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93554" w14:textId="6E253AA9" w:rsidR="00865A27" w:rsidRPr="00602824" w:rsidRDefault="00570F6E" w:rsidP="005B4CC5">
      <w:pPr>
        <w:pStyle w:val="Covertitle"/>
        <w:ind w:right="254"/>
        <w:rPr>
          <w:rFonts w:cs="Segoe UI"/>
          <w:b/>
          <w:color w:val="FFFFFF" w:themeColor="background1"/>
          <w:sz w:val="64"/>
          <w:szCs w:val="64"/>
        </w:rPr>
      </w:pPr>
      <w:r w:rsidRPr="00BB1BDE">
        <w:rPr>
          <w:noProof/>
          <w:color w:val="FFFFFF" w:themeColor="background1"/>
        </w:rPr>
        <w:drawing>
          <wp:anchor distT="0" distB="0" distL="114300" distR="114300" simplePos="0" relativeHeight="251658242" behindDoc="1" locked="0" layoutInCell="1" allowOverlap="1" wp14:anchorId="7D46CD70" wp14:editId="33BE8C45">
            <wp:simplePos x="0" y="0"/>
            <wp:positionH relativeFrom="page">
              <wp:align>left</wp:align>
            </wp:positionH>
            <wp:positionV relativeFrom="page">
              <wp:align>top</wp:align>
            </wp:positionV>
            <wp:extent cx="7558405" cy="10691489"/>
            <wp:effectExtent l="0" t="0" r="4445" b="0"/>
            <wp:wrapNone/>
            <wp:docPr id="503" name="Picture 5" descr="A blue background with white murmu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 name="Picture 5" descr="A blue background with white murmuration."/>
                    <pic:cNvPicPr/>
                  </pic:nvPicPr>
                  <pic:blipFill>
                    <a:blip r:embed="rId12">
                      <a:extLst>
                        <a:ext uri="{28A0092B-C50C-407E-A947-70E740481C1C}">
                          <a14:useLocalDpi xmlns:a14="http://schemas.microsoft.com/office/drawing/2010/main" val="0"/>
                        </a:ext>
                      </a:extLst>
                    </a:blip>
                    <a:stretch>
                      <a:fillRect/>
                    </a:stretch>
                  </pic:blipFill>
                  <pic:spPr>
                    <a:xfrm>
                      <a:off x="0" y="0"/>
                      <a:ext cx="7558405" cy="10691489"/>
                    </a:xfrm>
                    <a:prstGeom prst="rect">
                      <a:avLst/>
                    </a:prstGeom>
                  </pic:spPr>
                </pic:pic>
              </a:graphicData>
            </a:graphic>
            <wp14:sizeRelH relativeFrom="page">
              <wp14:pctWidth>0</wp14:pctWidth>
            </wp14:sizeRelH>
            <wp14:sizeRelV relativeFrom="page">
              <wp14:pctHeight>0</wp14:pctHeight>
            </wp14:sizeRelV>
          </wp:anchor>
        </w:drawing>
      </w:r>
      <w:bookmarkStart w:id="0" w:name="_Ref202377252"/>
      <w:bookmarkEnd w:id="0"/>
      <w:sdt>
        <w:sdtPr>
          <w:rPr>
            <w:rFonts w:cs="Segoe UI"/>
            <w:b/>
            <w:color w:val="FFFFFF" w:themeColor="background1"/>
            <w:sz w:val="64"/>
            <w:szCs w:val="64"/>
          </w:rPr>
          <w:id w:val="803730555"/>
          <w:docPartObj>
            <w:docPartGallery w:val="Cover Pages"/>
            <w:docPartUnique/>
          </w:docPartObj>
        </w:sdtPr>
        <w:sdtEndPr>
          <w:rPr>
            <w:sz w:val="36"/>
            <w:szCs w:val="36"/>
          </w:rPr>
        </w:sdtEndPr>
        <w:sdtContent>
          <w:sdt>
            <w:sdtPr>
              <w:rPr>
                <w:rFonts w:cs="Segoe UI"/>
                <w:b/>
                <w:color w:val="FFFFFF" w:themeColor="background1"/>
                <w:sz w:val="64"/>
                <w:szCs w:val="64"/>
              </w:rPr>
              <w:alias w:val="Title"/>
              <w:tag w:val=""/>
              <w:id w:val="-1850469689"/>
              <w:dataBinding w:prefixMappings="xmlns:ns0='http://purl.org/dc/elements/1.1/' xmlns:ns1='http://schemas.openxmlformats.org/package/2006/metadata/core-properties' " w:xpath="/ns1:coreProperties[1]/ns0:title[1]" w:storeItemID="{6C3C8BC8-F283-45AE-878A-BAB7291924A1}"/>
              <w:text/>
            </w:sdtPr>
            <w:sdtContent>
              <w:r w:rsidR="00913ECF">
                <w:rPr>
                  <w:rFonts w:cs="Segoe UI"/>
                  <w:b/>
                  <w:color w:val="FFFFFF" w:themeColor="background1"/>
                  <w:sz w:val="64"/>
                  <w:szCs w:val="64"/>
                </w:rPr>
                <w:t>Final</w:t>
              </w:r>
              <w:r w:rsidRPr="00602824">
                <w:rPr>
                  <w:rFonts w:cs="Segoe UI"/>
                  <w:b/>
                  <w:color w:val="FFFFFF" w:themeColor="background1"/>
                  <w:sz w:val="64"/>
                  <w:szCs w:val="64"/>
                </w:rPr>
                <w:t xml:space="preserve"> Evaluation</w:t>
              </w:r>
              <w:r w:rsidR="00913ECF">
                <w:rPr>
                  <w:rFonts w:cs="Segoe UI"/>
                  <w:b/>
                  <w:color w:val="FFFFFF" w:themeColor="background1"/>
                  <w:sz w:val="64"/>
                  <w:szCs w:val="64"/>
                </w:rPr>
                <w:t xml:space="preserve"> </w:t>
              </w:r>
              <w:r w:rsidRPr="00602824">
                <w:rPr>
                  <w:rFonts w:cs="Segoe UI"/>
                  <w:b/>
                  <w:color w:val="FFFFFF" w:themeColor="background1"/>
                  <w:sz w:val="64"/>
                  <w:szCs w:val="64"/>
                </w:rPr>
                <w:t>of the Prescribed List Reforms</w:t>
              </w:r>
            </w:sdtContent>
          </w:sdt>
        </w:sdtContent>
      </w:sdt>
    </w:p>
    <w:p w14:paraId="073F9842" w14:textId="11498223" w:rsidR="00865A27" w:rsidRPr="00602824" w:rsidRDefault="00000000">
      <w:pPr>
        <w:pStyle w:val="CoverPage-Client"/>
        <w:spacing w:before="360"/>
        <w:rPr>
          <w:rFonts w:cs="Segoe UI"/>
          <w:color w:val="F8981D" w:themeColor="accent3"/>
        </w:rPr>
      </w:pPr>
      <w:sdt>
        <w:sdtPr>
          <w:rPr>
            <w:rStyle w:val="CoverPage-ClientChar"/>
            <w:rFonts w:cs="Segoe UI"/>
            <w:color w:val="F8981D" w:themeColor="accent3"/>
          </w:rPr>
          <w:alias w:val="Subject"/>
          <w:tag w:val=""/>
          <w:id w:val="-1755584571"/>
          <w:dataBinding w:prefixMappings="xmlns:ns0='http://purl.org/dc/elements/1.1/' xmlns:ns1='http://schemas.openxmlformats.org/package/2006/metadata/core-properties' " w:xpath="/ns1:coreProperties[1]/ns0:subject[1]" w:storeItemID="{6C3C8BC8-F283-45AE-878A-BAB7291924A1}"/>
          <w:text/>
        </w:sdtPr>
        <w:sdtContent>
          <w:r w:rsidR="00E71BBE" w:rsidRPr="00602824">
            <w:rPr>
              <w:rStyle w:val="CoverPage-ClientChar"/>
              <w:rFonts w:cs="Segoe UI"/>
              <w:color w:val="F8981D" w:themeColor="accent3"/>
            </w:rPr>
            <w:t>Department of Health, Disability and Ageing</w:t>
          </w:r>
        </w:sdtContent>
      </w:sdt>
    </w:p>
    <w:p w14:paraId="2DC0CD0E" w14:textId="0354AAD1" w:rsidR="00865A27" w:rsidRPr="00602824" w:rsidRDefault="00000000">
      <w:pPr>
        <w:pStyle w:val="CoverPage-Date"/>
        <w:spacing w:before="240"/>
        <w:rPr>
          <w:color w:val="FFFFFF" w:themeColor="background1"/>
        </w:rPr>
      </w:pPr>
      <w:sdt>
        <w:sdtPr>
          <w:rPr>
            <w:rStyle w:val="CoverPage-DateChar"/>
            <w:rFonts w:cs="Segoe UI"/>
            <w:color w:val="FFFFFF" w:themeColor="background1"/>
            <w:sz w:val="20"/>
            <w:szCs w:val="20"/>
          </w:rPr>
          <w:alias w:val="Publish Date"/>
          <w:tag w:val=""/>
          <w:id w:val="-443608997"/>
          <w:dataBinding w:prefixMappings="xmlns:ns0='http://schemas.microsoft.com/office/2006/coverPageProps' " w:xpath="/ns0:CoverPageProperties[1]/ns0:PublishDate[1]" w:storeItemID="{55AF091B-3C7A-41E3-B477-F2FDAA23CFDA}"/>
          <w:date w:fullDate="2026-06-16T00:00:00Z">
            <w:dateFormat w:val="d MMMM yyyy"/>
            <w:lid w:val="en-AU"/>
            <w:storeMappedDataAs w:val="dateTime"/>
            <w:calendar w:val="gregorian"/>
          </w:date>
        </w:sdtPr>
        <w:sdtEndPr>
          <w:rPr>
            <w:rStyle w:val="DefaultParagraphFont"/>
            <w:rFonts w:cs="Times New Roman"/>
            <w:sz w:val="24"/>
            <w:szCs w:val="19"/>
          </w:rPr>
        </w:sdtEndPr>
        <w:sdtContent>
          <w:r w:rsidR="006466C3">
            <w:rPr>
              <w:rStyle w:val="CoverPage-DateChar"/>
              <w:rFonts w:cs="Segoe UI"/>
              <w:color w:val="FFFFFF" w:themeColor="background1"/>
              <w:sz w:val="20"/>
              <w:szCs w:val="20"/>
            </w:rPr>
            <w:t>16</w:t>
          </w:r>
          <w:r w:rsidR="006B3463">
            <w:rPr>
              <w:rStyle w:val="CoverPage-DateChar"/>
              <w:rFonts w:cs="Segoe UI"/>
              <w:color w:val="FFFFFF" w:themeColor="background1"/>
              <w:sz w:val="20"/>
              <w:szCs w:val="20"/>
            </w:rPr>
            <w:t xml:space="preserve"> June</w:t>
          </w:r>
          <w:r w:rsidR="005D3C1B">
            <w:rPr>
              <w:rStyle w:val="CoverPage-DateChar"/>
              <w:rFonts w:cs="Segoe UI"/>
              <w:color w:val="FFFFFF" w:themeColor="background1"/>
              <w:sz w:val="20"/>
              <w:szCs w:val="20"/>
            </w:rPr>
            <w:t xml:space="preserve"> 2026</w:t>
          </w:r>
        </w:sdtContent>
      </w:sdt>
    </w:p>
    <w:p w14:paraId="37C47656" w14:textId="77777777" w:rsidR="00865A27" w:rsidRPr="00602824" w:rsidRDefault="00865A27" w:rsidP="00C76C1E">
      <w:pPr>
        <w:pStyle w:val="Heading4"/>
        <w:ind w:right="2409"/>
        <w:sectPr w:rsidR="00865A27" w:rsidRPr="00602824" w:rsidSect="008C0E64">
          <w:headerReference w:type="even" r:id="rId13"/>
          <w:headerReference w:type="default" r:id="rId14"/>
          <w:footerReference w:type="even" r:id="rId15"/>
          <w:footerReference w:type="default" r:id="rId16"/>
          <w:headerReference w:type="first" r:id="rId17"/>
          <w:footerReference w:type="first" r:id="rId18"/>
          <w:type w:val="continuous"/>
          <w:pgSz w:w="11907" w:h="16839" w:code="9"/>
          <w:pgMar w:top="5954" w:right="1361" w:bottom="1701" w:left="1361" w:header="737" w:footer="720" w:gutter="0"/>
          <w:pgNumType w:start="1"/>
          <w:cols w:space="720"/>
          <w:docGrid w:linePitch="360"/>
        </w:sectPr>
      </w:pPr>
    </w:p>
    <w:p w14:paraId="5E1ED673" w14:textId="11539381" w:rsidR="00C76C1E" w:rsidRPr="008B68A6" w:rsidRDefault="008022D7" w:rsidP="008B68A6">
      <w:pPr>
        <w:rPr>
          <w:sz w:val="23"/>
          <w:szCs w:val="23"/>
        </w:rPr>
      </w:pPr>
      <w:r w:rsidRPr="00602824">
        <w:lastRenderedPageBreak/>
        <w:br/>
      </w:r>
      <w:r w:rsidR="00C76C1E" w:rsidRPr="008B68A6">
        <w:rPr>
          <w:rFonts w:cs="Segoe UI Semibold"/>
          <w:i/>
          <w:noProof/>
          <w:color w:val="00264D" w:themeColor="background2"/>
          <w:sz w:val="23"/>
          <w:szCs w:val="23"/>
        </w:rPr>
        <w:drawing>
          <wp:anchor distT="0" distB="0" distL="114300" distR="114300" simplePos="0" relativeHeight="251658240" behindDoc="1" locked="0" layoutInCell="1" allowOverlap="1" wp14:anchorId="26FE44F1" wp14:editId="346D0C2E">
            <wp:simplePos x="0" y="0"/>
            <wp:positionH relativeFrom="page">
              <wp:align>center</wp:align>
            </wp:positionH>
            <wp:positionV relativeFrom="page">
              <wp:posOffset>112395</wp:posOffset>
            </wp:positionV>
            <wp:extent cx="7559907" cy="9608399"/>
            <wp:effectExtent l="0" t="0" r="3175" b="0"/>
            <wp:wrapNone/>
            <wp:docPr id="806" name="Picture 806" descr="Grey background including an artwork developed by Marcus Lee De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 name="Picture 806" descr="Grey background including an artwork developed by Marcus Lee Design."/>
                    <pic:cNvPicPr/>
                  </pic:nvPicPr>
                  <pic:blipFill>
                    <a:blip r:embed="rId19">
                      <a:extLst>
                        <a:ext uri="{28A0092B-C50C-407E-A947-70E740481C1C}">
                          <a14:useLocalDpi xmlns:a14="http://schemas.microsoft.com/office/drawing/2010/main" val="0"/>
                        </a:ext>
                      </a:extLst>
                    </a:blip>
                    <a:stretch>
                      <a:fillRect/>
                    </a:stretch>
                  </pic:blipFill>
                  <pic:spPr>
                    <a:xfrm>
                      <a:off x="0" y="0"/>
                      <a:ext cx="7559907" cy="9608399"/>
                    </a:xfrm>
                    <a:prstGeom prst="rect">
                      <a:avLst/>
                    </a:prstGeom>
                  </pic:spPr>
                </pic:pic>
              </a:graphicData>
            </a:graphic>
            <wp14:sizeRelH relativeFrom="margin">
              <wp14:pctWidth>0</wp14:pctWidth>
            </wp14:sizeRelH>
            <wp14:sizeRelV relativeFrom="margin">
              <wp14:pctHeight>0</wp14:pctHeight>
            </wp14:sizeRelV>
          </wp:anchor>
        </w:drawing>
      </w:r>
      <w:r w:rsidR="00C76C1E" w:rsidRPr="008B68A6">
        <w:rPr>
          <w:b/>
          <w:bCs/>
          <w:color w:val="00264D" w:themeColor="background2"/>
          <w:sz w:val="23"/>
          <w:szCs w:val="23"/>
        </w:rPr>
        <w:t>Nous Group</w:t>
      </w:r>
      <w:r w:rsidR="00C76C1E" w:rsidRPr="008B68A6">
        <w:rPr>
          <w:color w:val="00264D" w:themeColor="background2"/>
          <w:sz w:val="23"/>
          <w:szCs w:val="23"/>
        </w:rPr>
        <w:t xml:space="preserve"> acknowledges Aboriginal and Torres Strait Islander</w:t>
      </w:r>
      <w:r w:rsidR="008D78DE">
        <w:rPr>
          <w:color w:val="00264D" w:themeColor="background2"/>
          <w:sz w:val="23"/>
          <w:szCs w:val="23"/>
        </w:rPr>
        <w:t xml:space="preserve"> </w:t>
      </w:r>
      <w:r w:rsidR="008D78DE">
        <w:rPr>
          <w:color w:val="00264D" w:themeColor="background2"/>
          <w:sz w:val="23"/>
          <w:szCs w:val="23"/>
        </w:rPr>
        <w:br/>
      </w:r>
      <w:r w:rsidR="00C76C1E" w:rsidRPr="008B68A6">
        <w:rPr>
          <w:color w:val="00264D" w:themeColor="background2"/>
          <w:sz w:val="23"/>
          <w:szCs w:val="23"/>
        </w:rPr>
        <w:t>peoples as the First Australians and the Traditional Custodians of</w:t>
      </w:r>
      <w:r w:rsidR="008D78DE">
        <w:rPr>
          <w:color w:val="00264D" w:themeColor="background2"/>
          <w:sz w:val="23"/>
          <w:szCs w:val="23"/>
        </w:rPr>
        <w:t xml:space="preserve"> </w:t>
      </w:r>
      <w:r w:rsidR="008D78DE">
        <w:rPr>
          <w:color w:val="00264D" w:themeColor="background2"/>
          <w:sz w:val="23"/>
          <w:szCs w:val="23"/>
        </w:rPr>
        <w:br/>
      </w:r>
      <w:r w:rsidR="00C76C1E" w:rsidRPr="008B68A6">
        <w:rPr>
          <w:color w:val="00264D" w:themeColor="background2"/>
          <w:sz w:val="23"/>
          <w:szCs w:val="23"/>
        </w:rPr>
        <w:t xml:space="preserve">country throughout Australia. We pay our respect to Elders past, </w:t>
      </w:r>
      <w:r w:rsidR="008D78DE">
        <w:rPr>
          <w:color w:val="00264D" w:themeColor="background2"/>
          <w:sz w:val="23"/>
          <w:szCs w:val="23"/>
        </w:rPr>
        <w:br/>
      </w:r>
      <w:r w:rsidR="00C76C1E" w:rsidRPr="008B68A6">
        <w:rPr>
          <w:color w:val="00264D" w:themeColor="background2"/>
          <w:sz w:val="23"/>
          <w:szCs w:val="23"/>
        </w:rPr>
        <w:t xml:space="preserve">present and emerging, who maintain their culture, country and </w:t>
      </w:r>
      <w:r w:rsidR="008D78DE">
        <w:rPr>
          <w:color w:val="00264D" w:themeColor="background2"/>
          <w:sz w:val="23"/>
          <w:szCs w:val="23"/>
        </w:rPr>
        <w:br/>
      </w:r>
      <w:r w:rsidR="00C76C1E" w:rsidRPr="008B68A6">
        <w:rPr>
          <w:color w:val="00264D" w:themeColor="background2"/>
          <w:sz w:val="23"/>
          <w:szCs w:val="23"/>
        </w:rPr>
        <w:t>spiritual connection to the land, sea and community.</w:t>
      </w:r>
    </w:p>
    <w:p w14:paraId="6015E260" w14:textId="3B3FB312" w:rsidR="00C76C1E" w:rsidRPr="00602824" w:rsidRDefault="00C76C1E" w:rsidP="000673BA">
      <w:pPr>
        <w:pBdr>
          <w:bottom w:val="single" w:sz="12" w:space="1" w:color="auto"/>
        </w:pBdr>
        <w:spacing w:before="480"/>
        <w:ind w:right="2267"/>
        <w:rPr>
          <w:sz w:val="18"/>
          <w:szCs w:val="18"/>
          <w:lang w:eastAsia="en-AU"/>
        </w:rPr>
      </w:pPr>
      <w:r w:rsidRPr="00602824">
        <w:rPr>
          <w:sz w:val="18"/>
          <w:szCs w:val="18"/>
          <w:lang w:eastAsia="en-AU"/>
        </w:rPr>
        <w:t>This artwork was developed by Marcus Lee Design to reflect Nous Group’s Reconciliation Action Plan and our aspirations for respectful and productive engagement with Aboriginal and Torres Strait Islander peoples and communities.</w:t>
      </w:r>
    </w:p>
    <w:p w14:paraId="429A6C98" w14:textId="77777777" w:rsidR="00C76C1E" w:rsidRPr="00602824" w:rsidRDefault="00C76C1E" w:rsidP="00C76C1E">
      <w:pPr>
        <w:spacing w:before="1680" w:after="240"/>
        <w:ind w:right="-1"/>
        <w:rPr>
          <w:rFonts w:ascii="Segoe UI Semibold" w:hAnsi="Segoe UI Semibold" w:cs="Segoe UI Semibold"/>
          <w:i/>
          <w:sz w:val="16"/>
          <w:szCs w:val="16"/>
        </w:rPr>
      </w:pPr>
      <w:r w:rsidRPr="00602824">
        <w:rPr>
          <w:rFonts w:ascii="Segoe UI Semibold" w:hAnsi="Segoe UI Semibold" w:cs="Segoe UI Semibold"/>
          <w:i/>
          <w:sz w:val="16"/>
          <w:szCs w:val="16"/>
        </w:rPr>
        <w:t>Disclaimer:</w:t>
      </w:r>
    </w:p>
    <w:p w14:paraId="3944D664" w14:textId="38561AD6" w:rsidR="00C76C1E" w:rsidRPr="00602824" w:rsidRDefault="00C76C1E" w:rsidP="00C76C1E">
      <w:pPr>
        <w:ind w:right="-1"/>
        <w:rPr>
          <w:i/>
          <w:sz w:val="16"/>
          <w:szCs w:val="16"/>
        </w:rPr>
      </w:pPr>
      <w:r w:rsidRPr="00602824">
        <w:rPr>
          <w:i/>
          <w:sz w:val="16"/>
          <w:szCs w:val="16"/>
        </w:rPr>
        <w:t>Nous Group (</w:t>
      </w:r>
      <w:r w:rsidRPr="00602824">
        <w:rPr>
          <w:b/>
          <w:i/>
          <w:sz w:val="16"/>
          <w:szCs w:val="16"/>
        </w:rPr>
        <w:t>Nous</w:t>
      </w:r>
      <w:r w:rsidRPr="00602824">
        <w:rPr>
          <w:i/>
          <w:sz w:val="16"/>
          <w:szCs w:val="16"/>
        </w:rPr>
        <w:t xml:space="preserve">) has prepared this report for the benefit of </w:t>
      </w:r>
      <w:r w:rsidR="009372A3" w:rsidRPr="00602824">
        <w:rPr>
          <w:i/>
          <w:sz w:val="16"/>
          <w:szCs w:val="16"/>
        </w:rPr>
        <w:t>the Department of Health</w:t>
      </w:r>
      <w:r w:rsidR="006273C9" w:rsidRPr="00602824">
        <w:rPr>
          <w:i/>
          <w:sz w:val="16"/>
          <w:szCs w:val="16"/>
        </w:rPr>
        <w:t>, Disability</w:t>
      </w:r>
      <w:r w:rsidR="009372A3" w:rsidRPr="00602824">
        <w:rPr>
          <w:i/>
          <w:sz w:val="16"/>
          <w:szCs w:val="16"/>
        </w:rPr>
        <w:t xml:space="preserve"> and Age</w:t>
      </w:r>
      <w:r w:rsidR="006273C9" w:rsidRPr="00602824">
        <w:rPr>
          <w:i/>
          <w:sz w:val="16"/>
          <w:szCs w:val="16"/>
        </w:rPr>
        <w:t>ing</w:t>
      </w:r>
      <w:r w:rsidRPr="00602824">
        <w:rPr>
          <w:i/>
          <w:sz w:val="16"/>
          <w:szCs w:val="16"/>
        </w:rPr>
        <w:t xml:space="preserve"> (the </w:t>
      </w:r>
      <w:r w:rsidRPr="00602824">
        <w:rPr>
          <w:b/>
          <w:i/>
          <w:sz w:val="16"/>
          <w:szCs w:val="16"/>
        </w:rPr>
        <w:t>Client</w:t>
      </w:r>
      <w:r w:rsidRPr="00602824">
        <w:rPr>
          <w:i/>
          <w:sz w:val="16"/>
          <w:szCs w:val="16"/>
        </w:rPr>
        <w:t>).</w:t>
      </w:r>
    </w:p>
    <w:p w14:paraId="20E185A2" w14:textId="77777777" w:rsidR="00C76C1E" w:rsidRPr="00602824" w:rsidRDefault="00C76C1E" w:rsidP="00C76C1E">
      <w:pPr>
        <w:rPr>
          <w:i/>
          <w:sz w:val="16"/>
          <w:szCs w:val="16"/>
        </w:rPr>
      </w:pPr>
      <w:r w:rsidRPr="00602824">
        <w:rPr>
          <w:i/>
          <w:sz w:val="16"/>
          <w:szCs w:val="16"/>
        </w:rPr>
        <w:t>The report should not be used or relied upon for any purpose other than as an expression of the conclusions and recommendations of Nous to the Client as to the matters within the scope of the report. Nous and its officers and employees expressly disclaim any liability to any person other than the Client who relies or purports to rely on the report for any other purpose.</w:t>
      </w:r>
    </w:p>
    <w:p w14:paraId="06D06063" w14:textId="77777777" w:rsidR="00C76C1E" w:rsidRPr="00602824" w:rsidRDefault="00C76C1E" w:rsidP="00C76C1E">
      <w:pPr>
        <w:rPr>
          <w:i/>
          <w:sz w:val="16"/>
          <w:szCs w:val="16"/>
        </w:rPr>
      </w:pPr>
      <w:r w:rsidRPr="00AC7E3F">
        <w:rPr>
          <w:noProof/>
          <w:sz w:val="16"/>
          <w:szCs w:val="16"/>
          <w:lang w:eastAsia="en-AU"/>
        </w:rPr>
        <mc:AlternateContent>
          <mc:Choice Requires="wps">
            <w:drawing>
              <wp:anchor distT="0" distB="0" distL="114300" distR="114300" simplePos="0" relativeHeight="251658241" behindDoc="0" locked="0" layoutInCell="0" allowOverlap="1" wp14:anchorId="4D0EAA8F" wp14:editId="46B20E6F">
                <wp:simplePos x="0" y="0"/>
                <wp:positionH relativeFrom="margin">
                  <wp:align>left</wp:align>
                </wp:positionH>
                <wp:positionV relativeFrom="bottomMargin">
                  <wp:posOffset>-426361</wp:posOffset>
                </wp:positionV>
                <wp:extent cx="1720800" cy="313200"/>
                <wp:effectExtent l="0" t="0" r="0" b="0"/>
                <wp:wrapNone/>
                <wp:docPr id="805" name="Text Box 805"/>
                <wp:cNvGraphicFramePr/>
                <a:graphic xmlns:a="http://schemas.openxmlformats.org/drawingml/2006/main">
                  <a:graphicData uri="http://schemas.microsoft.com/office/word/2010/wordprocessingShape">
                    <wps:wsp>
                      <wps:cNvSpPr txBox="1"/>
                      <wps:spPr>
                        <a:xfrm>
                          <a:off x="0" y="0"/>
                          <a:ext cx="1720800" cy="313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F4FE3A" w14:textId="77777777" w:rsidR="00C76C1E" w:rsidRPr="00602824" w:rsidRDefault="00C76C1E" w:rsidP="00C76C1E">
                            <w:pPr>
                              <w:rPr>
                                <w:color w:val="808080" w:themeColor="background1" w:themeShade="80"/>
                              </w:rPr>
                            </w:pPr>
                            <w:r w:rsidRPr="00602824">
                              <w:rPr>
                                <w:color w:val="808080" w:themeColor="background1" w:themeShade="80"/>
                              </w:rPr>
                              <w:t>© Nous Group</w:t>
                            </w:r>
                          </w:p>
                        </w:txbxContent>
                      </wps:txbx>
                      <wps:bodyPr rot="0" spcFirstLastPara="0" vertOverflow="overflow" horzOverflow="overflow" vert="horz" wrap="square" lIns="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0EAA8F" id="_x0000_t202" coordsize="21600,21600" o:spt="202" path="m,l,21600r21600,l21600,xe">
                <v:stroke joinstyle="miter"/>
                <v:path gradientshapeok="t" o:connecttype="rect"/>
              </v:shapetype>
              <v:shape id="Text Box 805" o:spid="_x0000_s1026" type="#_x0000_t202" style="position:absolute;margin-left:0;margin-top:-33.55pt;width:135.5pt;height:24.65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" o:allowincell="f" filled="f" stroked="f" strokeweight=".5pt">
                <v:textbox inset="0">
                  <w:txbxContent>
                    <w:p w14:paraId="3CF4FE3A" w14:textId="77777777" w:rsidR="00C76C1E" w:rsidRPr="00602824" w:rsidRDefault="00C76C1E" w:rsidP="00C76C1E">
                      <w:pPr>
                        <w:rPr>
                          <w:color w:val="808080" w:themeColor="background1" w:themeShade="80"/>
                        </w:rPr>
                      </w:pPr>
                      <w:r w:rsidRPr="00602824">
                        <w:rPr>
                          <w:color w:val="808080" w:themeColor="background1" w:themeShade="80"/>
                        </w:rPr>
                        <w:t>© Nous Group</w:t>
                      </w:r>
                    </w:p>
                  </w:txbxContent>
                </v:textbox>
                <w10:wrap anchorx="margin" anchory="margin"/>
              </v:shape>
            </w:pict>
          </mc:Fallback>
        </mc:AlternateContent>
      </w:r>
      <w:r w:rsidRPr="00602824">
        <w:rPr>
          <w:i/>
          <w:sz w:val="16"/>
          <w:szCs w:val="16"/>
        </w:rPr>
        <w:t>Nous has prepared the report with care and diligence. The conclusions and recommendations given by Nous in the report are given in good faith and in the reasonable belief that they are correct and not misleading. The report has been prepared by Nous based on information provided by the Client and by other persons. Nous has relied on that information and has not independently verified or audited that information.</w:t>
      </w:r>
      <w:r w:rsidRPr="00602824">
        <w:rPr>
          <w:i/>
          <w:sz w:val="16"/>
          <w:szCs w:val="16"/>
        </w:rPr>
        <w:br w:type="page"/>
      </w:r>
    </w:p>
    <w:p w14:paraId="030E62DA" w14:textId="77777777" w:rsidR="00FD4AB1" w:rsidRPr="00602824" w:rsidRDefault="00FD4AB1" w:rsidP="00C76C1E">
      <w:pPr>
        <w:ind w:right="-1"/>
        <w:rPr>
          <w:sz w:val="16"/>
          <w:szCs w:val="16"/>
        </w:rPr>
        <w:sectPr w:rsidR="00FD4AB1" w:rsidRPr="00602824" w:rsidSect="008C0E64">
          <w:pgSz w:w="11907" w:h="16839" w:code="9"/>
          <w:pgMar w:top="5954" w:right="1361" w:bottom="1701" w:left="1361" w:header="737" w:footer="720" w:gutter="0"/>
          <w:pgNumType w:start="1"/>
          <w:cols w:space="720"/>
          <w:docGrid w:linePitch="360"/>
        </w:sectPr>
      </w:pPr>
    </w:p>
    <w:p w14:paraId="59F2F11A" w14:textId="445038C0" w:rsidR="00CF7BA0" w:rsidRPr="00602824" w:rsidRDefault="00CF7BA0" w:rsidP="000424CD">
      <w:pPr>
        <w:pStyle w:val="ContentsHeading"/>
        <w:spacing w:before="0" w:after="360"/>
      </w:pPr>
      <w:r w:rsidRPr="00602824">
        <w:t>Contents</w:t>
      </w:r>
    </w:p>
    <w:p w14:paraId="1A7B8718" w14:textId="325A0C57" w:rsidR="0092693A" w:rsidRDefault="00B658A0">
      <w:pPr>
        <w:pStyle w:val="TOC1"/>
        <w:rPr>
          <w:rFonts w:asciiTheme="minorHAnsi" w:eastAsiaTheme="minorEastAsia" w:hAnsiTheme="minorHAnsi"/>
          <w:kern w:val="2"/>
          <w:sz w:val="24"/>
          <w:szCs w:val="24"/>
          <w:lang w:val="en-AU" w:eastAsia="en-AU"/>
          <w14:ligatures w14:val="standardContextual"/>
        </w:rPr>
      </w:pPr>
      <w:r w:rsidRPr="00602824">
        <w:rPr>
          <w:b/>
          <w:lang w:val="en-AU"/>
        </w:rPr>
        <w:fldChar w:fldCharType="begin"/>
      </w:r>
      <w:r w:rsidRPr="005E2AE3">
        <w:rPr>
          <w:b/>
          <w:lang w:val="en-AU"/>
        </w:rPr>
        <w:instrText xml:space="preserve"> TOC \o "1-2" \h \z \u </w:instrText>
      </w:r>
      <w:r w:rsidRPr="00602824">
        <w:rPr>
          <w:b/>
          <w:lang w:val="en-AU"/>
        </w:rPr>
        <w:fldChar w:fldCharType="separate"/>
      </w:r>
      <w:hyperlink w:anchor="_Toc237002797" w:history="1">
        <w:r w:rsidR="0092693A" w:rsidRPr="000E22B9">
          <w:rPr>
            <w:rStyle w:val="Hyperlink"/>
          </w:rPr>
          <w:t>Glossary of commonly used terms and acronyms</w:t>
        </w:r>
        <w:r w:rsidR="0092693A">
          <w:rPr>
            <w:webHidden/>
          </w:rPr>
          <w:tab/>
        </w:r>
        <w:r w:rsidR="0092693A">
          <w:rPr>
            <w:webHidden/>
          </w:rPr>
          <w:fldChar w:fldCharType="begin"/>
        </w:r>
        <w:r w:rsidR="0092693A">
          <w:rPr>
            <w:webHidden/>
          </w:rPr>
          <w:instrText xml:space="preserve"> PAGEREF _Toc237002797 \h </w:instrText>
        </w:r>
        <w:r w:rsidR="0092693A">
          <w:rPr>
            <w:webHidden/>
          </w:rPr>
        </w:r>
        <w:r w:rsidR="0092693A">
          <w:rPr>
            <w:webHidden/>
          </w:rPr>
          <w:fldChar w:fldCharType="separate"/>
        </w:r>
        <w:r w:rsidR="0092693A">
          <w:rPr>
            <w:webHidden/>
          </w:rPr>
          <w:t>iii</w:t>
        </w:r>
        <w:r w:rsidR="0092693A">
          <w:rPr>
            <w:webHidden/>
          </w:rPr>
          <w:fldChar w:fldCharType="end"/>
        </w:r>
      </w:hyperlink>
    </w:p>
    <w:p w14:paraId="0FFA607D" w14:textId="3E8DFAB6" w:rsidR="0092693A" w:rsidRDefault="0092693A">
      <w:pPr>
        <w:pStyle w:val="TOC1"/>
        <w:rPr>
          <w:rFonts w:asciiTheme="minorHAnsi" w:eastAsiaTheme="minorEastAsia" w:hAnsiTheme="minorHAnsi"/>
          <w:kern w:val="2"/>
          <w:sz w:val="24"/>
          <w:szCs w:val="24"/>
          <w:lang w:val="en-AU" w:eastAsia="en-AU"/>
          <w14:ligatures w14:val="standardContextual"/>
        </w:rPr>
      </w:pPr>
      <w:hyperlink w:anchor="_Toc237002798" w:history="1">
        <w:r w:rsidRPr="000E22B9">
          <w:rPr>
            <w:rStyle w:val="Hyperlink"/>
          </w:rPr>
          <w:t>Background on the Prescribed List</w:t>
        </w:r>
        <w:r>
          <w:rPr>
            <w:webHidden/>
          </w:rPr>
          <w:tab/>
        </w:r>
        <w:r>
          <w:rPr>
            <w:webHidden/>
          </w:rPr>
          <w:fldChar w:fldCharType="begin"/>
        </w:r>
        <w:r>
          <w:rPr>
            <w:webHidden/>
          </w:rPr>
          <w:instrText xml:space="preserve"> PAGEREF _Toc237002798 \h </w:instrText>
        </w:r>
        <w:r>
          <w:rPr>
            <w:webHidden/>
          </w:rPr>
        </w:r>
        <w:r>
          <w:rPr>
            <w:webHidden/>
          </w:rPr>
          <w:fldChar w:fldCharType="separate"/>
        </w:r>
        <w:r>
          <w:rPr>
            <w:webHidden/>
          </w:rPr>
          <w:t>iv</w:t>
        </w:r>
        <w:r>
          <w:rPr>
            <w:webHidden/>
          </w:rPr>
          <w:fldChar w:fldCharType="end"/>
        </w:r>
      </w:hyperlink>
    </w:p>
    <w:p w14:paraId="13545ACD" w14:textId="6497BC96" w:rsidR="0092693A" w:rsidRDefault="0092693A">
      <w:pPr>
        <w:pStyle w:val="TOC1"/>
        <w:rPr>
          <w:rFonts w:asciiTheme="minorHAnsi" w:eastAsiaTheme="minorEastAsia" w:hAnsiTheme="minorHAnsi"/>
          <w:kern w:val="2"/>
          <w:sz w:val="24"/>
          <w:szCs w:val="24"/>
          <w:lang w:val="en-AU" w:eastAsia="en-AU"/>
          <w14:ligatures w14:val="standardContextual"/>
        </w:rPr>
      </w:pPr>
      <w:hyperlink w:anchor="_Toc237002799" w:history="1">
        <w:r w:rsidRPr="000E22B9">
          <w:rPr>
            <w:rStyle w:val="Hyperlink"/>
          </w:rPr>
          <w:t>Executive summary</w:t>
        </w:r>
        <w:r>
          <w:rPr>
            <w:webHidden/>
          </w:rPr>
          <w:tab/>
        </w:r>
        <w:r>
          <w:rPr>
            <w:webHidden/>
          </w:rPr>
          <w:fldChar w:fldCharType="begin"/>
        </w:r>
        <w:r>
          <w:rPr>
            <w:webHidden/>
          </w:rPr>
          <w:instrText xml:space="preserve"> PAGEREF _Toc237002799 \h </w:instrText>
        </w:r>
        <w:r>
          <w:rPr>
            <w:webHidden/>
          </w:rPr>
        </w:r>
        <w:r>
          <w:rPr>
            <w:webHidden/>
          </w:rPr>
          <w:fldChar w:fldCharType="separate"/>
        </w:r>
        <w:r>
          <w:rPr>
            <w:webHidden/>
          </w:rPr>
          <w:t>1</w:t>
        </w:r>
        <w:r>
          <w:rPr>
            <w:webHidden/>
          </w:rPr>
          <w:fldChar w:fldCharType="end"/>
        </w:r>
      </w:hyperlink>
    </w:p>
    <w:p w14:paraId="262C3793" w14:textId="7B3024B8" w:rsidR="0092693A" w:rsidRDefault="0092693A">
      <w:pPr>
        <w:pStyle w:val="TOC2"/>
        <w:rPr>
          <w:rFonts w:asciiTheme="minorHAnsi" w:eastAsiaTheme="minorEastAsia" w:hAnsiTheme="minorHAnsi"/>
          <w:noProof/>
          <w:kern w:val="2"/>
          <w:sz w:val="24"/>
          <w:szCs w:val="24"/>
          <w:lang w:val="en-AU" w:eastAsia="en-AU"/>
          <w14:ligatures w14:val="standardContextual"/>
        </w:rPr>
      </w:pPr>
      <w:hyperlink w:anchor="_Toc237002800" w:history="1">
        <w:r w:rsidRPr="000E22B9">
          <w:rPr>
            <w:rStyle w:val="Hyperlink"/>
            <w:noProof/>
          </w:rPr>
          <w:t>Final state of the reforms</w:t>
        </w:r>
        <w:r>
          <w:rPr>
            <w:noProof/>
            <w:webHidden/>
          </w:rPr>
          <w:tab/>
        </w:r>
        <w:r>
          <w:rPr>
            <w:noProof/>
            <w:webHidden/>
          </w:rPr>
          <w:fldChar w:fldCharType="begin"/>
        </w:r>
        <w:r>
          <w:rPr>
            <w:noProof/>
            <w:webHidden/>
          </w:rPr>
          <w:instrText xml:space="preserve"> PAGEREF _Toc237002800 \h </w:instrText>
        </w:r>
        <w:r>
          <w:rPr>
            <w:noProof/>
            <w:webHidden/>
          </w:rPr>
        </w:r>
        <w:r>
          <w:rPr>
            <w:noProof/>
            <w:webHidden/>
          </w:rPr>
          <w:fldChar w:fldCharType="separate"/>
        </w:r>
        <w:r>
          <w:rPr>
            <w:noProof/>
            <w:webHidden/>
          </w:rPr>
          <w:t>8</w:t>
        </w:r>
        <w:r>
          <w:rPr>
            <w:noProof/>
            <w:webHidden/>
          </w:rPr>
          <w:fldChar w:fldCharType="end"/>
        </w:r>
      </w:hyperlink>
    </w:p>
    <w:p w14:paraId="095CD8B9" w14:textId="1CFB94BF" w:rsidR="0092693A" w:rsidRDefault="0092693A">
      <w:pPr>
        <w:pStyle w:val="TOC1"/>
        <w:rPr>
          <w:rFonts w:asciiTheme="minorHAnsi" w:eastAsiaTheme="minorEastAsia" w:hAnsiTheme="minorHAnsi"/>
          <w:kern w:val="2"/>
          <w:sz w:val="24"/>
          <w:szCs w:val="24"/>
          <w:lang w:val="en-AU" w:eastAsia="en-AU"/>
          <w14:ligatures w14:val="standardContextual"/>
        </w:rPr>
      </w:pPr>
      <w:hyperlink w:anchor="_Toc237002801" w:history="1">
        <w:r w:rsidRPr="000E22B9">
          <w:rPr>
            <w:rStyle w:val="Hyperlink"/>
          </w:rPr>
          <w:t>1</w:t>
        </w:r>
        <w:r>
          <w:rPr>
            <w:rFonts w:asciiTheme="minorHAnsi" w:eastAsiaTheme="minorEastAsia" w:hAnsiTheme="minorHAnsi"/>
            <w:kern w:val="2"/>
            <w:sz w:val="24"/>
            <w:szCs w:val="24"/>
            <w:lang w:val="en-AU" w:eastAsia="en-AU"/>
            <w14:ligatures w14:val="standardContextual"/>
          </w:rPr>
          <w:tab/>
        </w:r>
        <w:r w:rsidRPr="000E22B9">
          <w:rPr>
            <w:rStyle w:val="Hyperlink"/>
          </w:rPr>
          <w:t>About this Evaluation</w:t>
        </w:r>
        <w:r>
          <w:rPr>
            <w:webHidden/>
          </w:rPr>
          <w:tab/>
        </w:r>
        <w:r>
          <w:rPr>
            <w:webHidden/>
          </w:rPr>
          <w:fldChar w:fldCharType="begin"/>
        </w:r>
        <w:r>
          <w:rPr>
            <w:webHidden/>
          </w:rPr>
          <w:instrText xml:space="preserve"> PAGEREF _Toc237002801 \h </w:instrText>
        </w:r>
        <w:r>
          <w:rPr>
            <w:webHidden/>
          </w:rPr>
        </w:r>
        <w:r>
          <w:rPr>
            <w:webHidden/>
          </w:rPr>
          <w:fldChar w:fldCharType="separate"/>
        </w:r>
        <w:r>
          <w:rPr>
            <w:webHidden/>
          </w:rPr>
          <w:t>12</w:t>
        </w:r>
        <w:r>
          <w:rPr>
            <w:webHidden/>
          </w:rPr>
          <w:fldChar w:fldCharType="end"/>
        </w:r>
      </w:hyperlink>
    </w:p>
    <w:p w14:paraId="49F2EE46" w14:textId="09F921FB" w:rsidR="0092693A" w:rsidRDefault="0092693A">
      <w:pPr>
        <w:pStyle w:val="TOC1"/>
        <w:rPr>
          <w:rFonts w:asciiTheme="minorHAnsi" w:eastAsiaTheme="minorEastAsia" w:hAnsiTheme="minorHAnsi"/>
          <w:kern w:val="2"/>
          <w:sz w:val="24"/>
          <w:szCs w:val="24"/>
          <w:lang w:val="en-AU" w:eastAsia="en-AU"/>
          <w14:ligatures w14:val="standardContextual"/>
        </w:rPr>
      </w:pPr>
      <w:hyperlink w:anchor="_Toc237002802" w:history="1">
        <w:r w:rsidRPr="000E22B9">
          <w:rPr>
            <w:rStyle w:val="Hyperlink"/>
          </w:rPr>
          <w:t>2</w:t>
        </w:r>
        <w:r>
          <w:rPr>
            <w:rFonts w:asciiTheme="minorHAnsi" w:eastAsiaTheme="minorEastAsia" w:hAnsiTheme="minorHAnsi"/>
            <w:kern w:val="2"/>
            <w:sz w:val="24"/>
            <w:szCs w:val="24"/>
            <w:lang w:val="en-AU" w:eastAsia="en-AU"/>
            <w14:ligatures w14:val="standardContextual"/>
          </w:rPr>
          <w:tab/>
        </w:r>
        <w:r w:rsidRPr="000E22B9">
          <w:rPr>
            <w:rStyle w:val="Hyperlink"/>
          </w:rPr>
          <w:t>Achievement of the reform objectives</w:t>
        </w:r>
        <w:r>
          <w:rPr>
            <w:webHidden/>
          </w:rPr>
          <w:tab/>
        </w:r>
        <w:r>
          <w:rPr>
            <w:webHidden/>
          </w:rPr>
          <w:fldChar w:fldCharType="begin"/>
        </w:r>
        <w:r>
          <w:rPr>
            <w:webHidden/>
          </w:rPr>
          <w:instrText xml:space="preserve"> PAGEREF _Toc237002802 \h </w:instrText>
        </w:r>
        <w:r>
          <w:rPr>
            <w:webHidden/>
          </w:rPr>
        </w:r>
        <w:r>
          <w:rPr>
            <w:webHidden/>
          </w:rPr>
          <w:fldChar w:fldCharType="separate"/>
        </w:r>
        <w:r>
          <w:rPr>
            <w:webHidden/>
          </w:rPr>
          <w:t>14</w:t>
        </w:r>
        <w:r>
          <w:rPr>
            <w:webHidden/>
          </w:rPr>
          <w:fldChar w:fldCharType="end"/>
        </w:r>
      </w:hyperlink>
    </w:p>
    <w:p w14:paraId="07ABCEB2" w14:textId="56EE8AED" w:rsidR="0092693A" w:rsidRDefault="0092693A">
      <w:pPr>
        <w:pStyle w:val="TOC2"/>
        <w:rPr>
          <w:rFonts w:asciiTheme="minorHAnsi" w:eastAsiaTheme="minorEastAsia" w:hAnsiTheme="minorHAnsi"/>
          <w:noProof/>
          <w:kern w:val="2"/>
          <w:sz w:val="24"/>
          <w:szCs w:val="24"/>
          <w:lang w:val="en-AU" w:eastAsia="en-AU"/>
          <w14:ligatures w14:val="standardContextual"/>
        </w:rPr>
      </w:pPr>
      <w:hyperlink w:anchor="_Toc237002803" w:history="1">
        <w:r w:rsidRPr="000E22B9">
          <w:rPr>
            <w:rStyle w:val="Hyperlink"/>
            <w:noProof/>
          </w:rPr>
          <w:t>2.1</w:t>
        </w:r>
        <w:r>
          <w:rPr>
            <w:rFonts w:asciiTheme="minorHAnsi" w:eastAsiaTheme="minorEastAsia" w:hAnsiTheme="minorHAnsi"/>
            <w:noProof/>
            <w:kern w:val="2"/>
            <w:sz w:val="24"/>
            <w:szCs w:val="24"/>
            <w:lang w:val="en-AU" w:eastAsia="en-AU"/>
            <w14:ligatures w14:val="standardContextual"/>
          </w:rPr>
          <w:tab/>
        </w:r>
        <w:r w:rsidRPr="000E22B9">
          <w:rPr>
            <w:rStyle w:val="Hyperlink"/>
            <w:noProof/>
          </w:rPr>
          <w:t>Objective 1: Improve the alignment of the scheduled benefits of the PL with the prices paid in more competitive markets</w:t>
        </w:r>
        <w:r>
          <w:rPr>
            <w:noProof/>
            <w:webHidden/>
          </w:rPr>
          <w:tab/>
        </w:r>
        <w:r>
          <w:rPr>
            <w:noProof/>
            <w:webHidden/>
          </w:rPr>
          <w:fldChar w:fldCharType="begin"/>
        </w:r>
        <w:r>
          <w:rPr>
            <w:noProof/>
            <w:webHidden/>
          </w:rPr>
          <w:instrText xml:space="preserve"> PAGEREF _Toc237002803 \h </w:instrText>
        </w:r>
        <w:r>
          <w:rPr>
            <w:noProof/>
            <w:webHidden/>
          </w:rPr>
        </w:r>
        <w:r>
          <w:rPr>
            <w:noProof/>
            <w:webHidden/>
          </w:rPr>
          <w:fldChar w:fldCharType="separate"/>
        </w:r>
        <w:r>
          <w:rPr>
            <w:noProof/>
            <w:webHidden/>
          </w:rPr>
          <w:t>14</w:t>
        </w:r>
        <w:r>
          <w:rPr>
            <w:noProof/>
            <w:webHidden/>
          </w:rPr>
          <w:fldChar w:fldCharType="end"/>
        </w:r>
      </w:hyperlink>
    </w:p>
    <w:p w14:paraId="65253F47" w14:textId="7D4125E8" w:rsidR="0092693A" w:rsidRDefault="0092693A">
      <w:pPr>
        <w:pStyle w:val="TOC2"/>
        <w:rPr>
          <w:rFonts w:asciiTheme="minorHAnsi" w:eastAsiaTheme="minorEastAsia" w:hAnsiTheme="minorHAnsi"/>
          <w:noProof/>
          <w:kern w:val="2"/>
          <w:sz w:val="24"/>
          <w:szCs w:val="24"/>
          <w:lang w:val="en-AU" w:eastAsia="en-AU"/>
          <w14:ligatures w14:val="standardContextual"/>
        </w:rPr>
      </w:pPr>
      <w:hyperlink w:anchor="_Toc237002804" w:history="1">
        <w:r w:rsidRPr="000E22B9">
          <w:rPr>
            <w:rStyle w:val="Hyperlink"/>
            <w:noProof/>
          </w:rPr>
          <w:t>2.2</w:t>
        </w:r>
        <w:r>
          <w:rPr>
            <w:rFonts w:asciiTheme="minorHAnsi" w:eastAsiaTheme="minorEastAsia" w:hAnsiTheme="minorHAnsi"/>
            <w:noProof/>
            <w:kern w:val="2"/>
            <w:sz w:val="24"/>
            <w:szCs w:val="24"/>
            <w:lang w:val="en-AU" w:eastAsia="en-AU"/>
            <w14:ligatures w14:val="standardContextual"/>
          </w:rPr>
          <w:tab/>
        </w:r>
        <w:r w:rsidRPr="000E22B9">
          <w:rPr>
            <w:rStyle w:val="Hyperlink"/>
            <w:noProof/>
          </w:rPr>
          <w:t>Objective 2: Maintain no additional out-of-pocket costs associated with the PL devices for consumers</w:t>
        </w:r>
        <w:r>
          <w:rPr>
            <w:noProof/>
            <w:webHidden/>
          </w:rPr>
          <w:tab/>
        </w:r>
        <w:r>
          <w:rPr>
            <w:noProof/>
            <w:webHidden/>
          </w:rPr>
          <w:fldChar w:fldCharType="begin"/>
        </w:r>
        <w:r>
          <w:rPr>
            <w:noProof/>
            <w:webHidden/>
          </w:rPr>
          <w:instrText xml:space="preserve"> PAGEREF _Toc237002804 \h </w:instrText>
        </w:r>
        <w:r>
          <w:rPr>
            <w:noProof/>
            <w:webHidden/>
          </w:rPr>
        </w:r>
        <w:r>
          <w:rPr>
            <w:noProof/>
            <w:webHidden/>
          </w:rPr>
          <w:fldChar w:fldCharType="separate"/>
        </w:r>
        <w:r>
          <w:rPr>
            <w:noProof/>
            <w:webHidden/>
          </w:rPr>
          <w:t>23</w:t>
        </w:r>
        <w:r>
          <w:rPr>
            <w:noProof/>
            <w:webHidden/>
          </w:rPr>
          <w:fldChar w:fldCharType="end"/>
        </w:r>
      </w:hyperlink>
    </w:p>
    <w:p w14:paraId="60F984F8" w14:textId="1E4DA4B1" w:rsidR="0092693A" w:rsidRDefault="0092693A">
      <w:pPr>
        <w:pStyle w:val="TOC2"/>
        <w:rPr>
          <w:rFonts w:asciiTheme="minorHAnsi" w:eastAsiaTheme="minorEastAsia" w:hAnsiTheme="minorHAnsi"/>
          <w:noProof/>
          <w:kern w:val="2"/>
          <w:sz w:val="24"/>
          <w:szCs w:val="24"/>
          <w:lang w:val="en-AU" w:eastAsia="en-AU"/>
          <w14:ligatures w14:val="standardContextual"/>
        </w:rPr>
      </w:pPr>
      <w:hyperlink w:anchor="_Toc237002805" w:history="1">
        <w:r w:rsidRPr="000E22B9">
          <w:rPr>
            <w:rStyle w:val="Hyperlink"/>
            <w:noProof/>
          </w:rPr>
          <w:t>2.3</w:t>
        </w:r>
        <w:r>
          <w:rPr>
            <w:rFonts w:asciiTheme="minorHAnsi" w:eastAsiaTheme="minorEastAsia" w:hAnsiTheme="minorHAnsi"/>
            <w:noProof/>
            <w:kern w:val="2"/>
            <w:sz w:val="24"/>
            <w:szCs w:val="24"/>
            <w:lang w:val="en-AU" w:eastAsia="en-AU"/>
            <w14:ligatures w14:val="standardContextual"/>
          </w:rPr>
          <w:tab/>
        </w:r>
        <w:r w:rsidRPr="000E22B9">
          <w:rPr>
            <w:rStyle w:val="Hyperlink"/>
            <w:noProof/>
          </w:rPr>
          <w:t>Objective 3: Maintain clinician choice of appropriate prostheses for their patients</w:t>
        </w:r>
        <w:r>
          <w:rPr>
            <w:noProof/>
            <w:webHidden/>
          </w:rPr>
          <w:tab/>
        </w:r>
        <w:r>
          <w:rPr>
            <w:noProof/>
            <w:webHidden/>
          </w:rPr>
          <w:fldChar w:fldCharType="begin"/>
        </w:r>
        <w:r>
          <w:rPr>
            <w:noProof/>
            <w:webHidden/>
          </w:rPr>
          <w:instrText xml:space="preserve"> PAGEREF _Toc237002805 \h </w:instrText>
        </w:r>
        <w:r>
          <w:rPr>
            <w:noProof/>
            <w:webHidden/>
          </w:rPr>
        </w:r>
        <w:r>
          <w:rPr>
            <w:noProof/>
            <w:webHidden/>
          </w:rPr>
          <w:fldChar w:fldCharType="separate"/>
        </w:r>
        <w:r>
          <w:rPr>
            <w:noProof/>
            <w:webHidden/>
          </w:rPr>
          <w:t>26</w:t>
        </w:r>
        <w:r>
          <w:rPr>
            <w:noProof/>
            <w:webHidden/>
          </w:rPr>
          <w:fldChar w:fldCharType="end"/>
        </w:r>
      </w:hyperlink>
    </w:p>
    <w:p w14:paraId="5F6F19CC" w14:textId="475115C7" w:rsidR="0092693A" w:rsidRDefault="0092693A">
      <w:pPr>
        <w:pStyle w:val="TOC2"/>
        <w:rPr>
          <w:rFonts w:asciiTheme="minorHAnsi" w:eastAsiaTheme="minorEastAsia" w:hAnsiTheme="minorHAnsi"/>
          <w:noProof/>
          <w:kern w:val="2"/>
          <w:sz w:val="24"/>
          <w:szCs w:val="24"/>
          <w:lang w:val="en-AU" w:eastAsia="en-AU"/>
          <w14:ligatures w14:val="standardContextual"/>
        </w:rPr>
      </w:pPr>
      <w:hyperlink w:anchor="_Toc237002806" w:history="1">
        <w:r w:rsidRPr="000E22B9">
          <w:rPr>
            <w:rStyle w:val="Hyperlink"/>
            <w:noProof/>
          </w:rPr>
          <w:t>2.4</w:t>
        </w:r>
        <w:r>
          <w:rPr>
            <w:rFonts w:asciiTheme="minorHAnsi" w:eastAsiaTheme="minorEastAsia" w:hAnsiTheme="minorHAnsi"/>
            <w:noProof/>
            <w:kern w:val="2"/>
            <w:sz w:val="24"/>
            <w:szCs w:val="24"/>
            <w:lang w:val="en-AU" w:eastAsia="en-AU"/>
            <w14:ligatures w14:val="standardContextual"/>
          </w:rPr>
          <w:tab/>
        </w:r>
        <w:r w:rsidRPr="000E22B9">
          <w:rPr>
            <w:rStyle w:val="Hyperlink"/>
            <w:noProof/>
          </w:rPr>
          <w:t>Objective 4: Improve the affordability and value of PHI for privately insured Australians</w:t>
        </w:r>
        <w:r>
          <w:rPr>
            <w:noProof/>
            <w:webHidden/>
          </w:rPr>
          <w:tab/>
        </w:r>
        <w:r>
          <w:rPr>
            <w:noProof/>
            <w:webHidden/>
          </w:rPr>
          <w:fldChar w:fldCharType="begin"/>
        </w:r>
        <w:r>
          <w:rPr>
            <w:noProof/>
            <w:webHidden/>
          </w:rPr>
          <w:instrText xml:space="preserve"> PAGEREF _Toc237002806 \h </w:instrText>
        </w:r>
        <w:r>
          <w:rPr>
            <w:noProof/>
            <w:webHidden/>
          </w:rPr>
        </w:r>
        <w:r>
          <w:rPr>
            <w:noProof/>
            <w:webHidden/>
          </w:rPr>
          <w:fldChar w:fldCharType="separate"/>
        </w:r>
        <w:r>
          <w:rPr>
            <w:noProof/>
            <w:webHidden/>
          </w:rPr>
          <w:t>29</w:t>
        </w:r>
        <w:r>
          <w:rPr>
            <w:noProof/>
            <w:webHidden/>
          </w:rPr>
          <w:fldChar w:fldCharType="end"/>
        </w:r>
      </w:hyperlink>
    </w:p>
    <w:p w14:paraId="443DA30A" w14:textId="57CBA5ED" w:rsidR="0092693A" w:rsidRDefault="0092693A">
      <w:pPr>
        <w:pStyle w:val="TOC2"/>
        <w:rPr>
          <w:rFonts w:asciiTheme="minorHAnsi" w:eastAsiaTheme="minorEastAsia" w:hAnsiTheme="minorHAnsi"/>
          <w:noProof/>
          <w:kern w:val="2"/>
          <w:sz w:val="24"/>
          <w:szCs w:val="24"/>
          <w:lang w:val="en-AU" w:eastAsia="en-AU"/>
          <w14:ligatures w14:val="standardContextual"/>
        </w:rPr>
      </w:pPr>
      <w:hyperlink w:anchor="_Toc237002807" w:history="1">
        <w:r w:rsidRPr="000E22B9">
          <w:rPr>
            <w:rStyle w:val="Hyperlink"/>
            <w:noProof/>
          </w:rPr>
          <w:t>2.5</w:t>
        </w:r>
        <w:r>
          <w:rPr>
            <w:rFonts w:asciiTheme="minorHAnsi" w:eastAsiaTheme="minorEastAsia" w:hAnsiTheme="minorHAnsi"/>
            <w:noProof/>
            <w:kern w:val="2"/>
            <w:sz w:val="24"/>
            <w:szCs w:val="24"/>
            <w:lang w:val="en-AU" w:eastAsia="en-AU"/>
            <w14:ligatures w14:val="standardContextual"/>
          </w:rPr>
          <w:tab/>
        </w:r>
        <w:r w:rsidRPr="000E22B9">
          <w:rPr>
            <w:rStyle w:val="Hyperlink"/>
            <w:noProof/>
          </w:rPr>
          <w:t>Objective 5: Clarify the purpose, definition and scope of the PL in legislation</w:t>
        </w:r>
        <w:r>
          <w:rPr>
            <w:noProof/>
            <w:webHidden/>
          </w:rPr>
          <w:tab/>
        </w:r>
        <w:r>
          <w:rPr>
            <w:noProof/>
            <w:webHidden/>
          </w:rPr>
          <w:fldChar w:fldCharType="begin"/>
        </w:r>
        <w:r>
          <w:rPr>
            <w:noProof/>
            <w:webHidden/>
          </w:rPr>
          <w:instrText xml:space="preserve"> PAGEREF _Toc237002807 \h </w:instrText>
        </w:r>
        <w:r>
          <w:rPr>
            <w:noProof/>
            <w:webHidden/>
          </w:rPr>
        </w:r>
        <w:r>
          <w:rPr>
            <w:noProof/>
            <w:webHidden/>
          </w:rPr>
          <w:fldChar w:fldCharType="separate"/>
        </w:r>
        <w:r>
          <w:rPr>
            <w:noProof/>
            <w:webHidden/>
          </w:rPr>
          <w:t>36</w:t>
        </w:r>
        <w:r>
          <w:rPr>
            <w:noProof/>
            <w:webHidden/>
          </w:rPr>
          <w:fldChar w:fldCharType="end"/>
        </w:r>
      </w:hyperlink>
    </w:p>
    <w:p w14:paraId="0BA4A11C" w14:textId="0B3ACAE4" w:rsidR="0092693A" w:rsidRDefault="0092693A">
      <w:pPr>
        <w:pStyle w:val="TOC2"/>
        <w:rPr>
          <w:rFonts w:asciiTheme="minorHAnsi" w:eastAsiaTheme="minorEastAsia" w:hAnsiTheme="minorHAnsi"/>
          <w:noProof/>
          <w:kern w:val="2"/>
          <w:sz w:val="24"/>
          <w:szCs w:val="24"/>
          <w:lang w:val="en-AU" w:eastAsia="en-AU"/>
          <w14:ligatures w14:val="standardContextual"/>
        </w:rPr>
      </w:pPr>
      <w:hyperlink w:anchor="_Toc237002808" w:history="1">
        <w:r w:rsidRPr="000E22B9">
          <w:rPr>
            <w:rStyle w:val="Hyperlink"/>
            <w:noProof/>
          </w:rPr>
          <w:t>2.6</w:t>
        </w:r>
        <w:r>
          <w:rPr>
            <w:rFonts w:asciiTheme="minorHAnsi" w:eastAsiaTheme="minorEastAsia" w:hAnsiTheme="minorHAnsi"/>
            <w:noProof/>
            <w:kern w:val="2"/>
            <w:sz w:val="24"/>
            <w:szCs w:val="24"/>
            <w:lang w:val="en-AU" w:eastAsia="en-AU"/>
            <w14:ligatures w14:val="standardContextual"/>
          </w:rPr>
          <w:tab/>
        </w:r>
        <w:r w:rsidRPr="000E22B9">
          <w:rPr>
            <w:rStyle w:val="Hyperlink"/>
            <w:noProof/>
          </w:rPr>
          <w:t>Objective 6: Implement new PL assessment pathways aligned to Health Technology Assessment principles and streamline the application process through simple and robust IT infrastructure</w:t>
        </w:r>
        <w:r>
          <w:rPr>
            <w:noProof/>
            <w:webHidden/>
          </w:rPr>
          <w:tab/>
        </w:r>
        <w:r>
          <w:rPr>
            <w:noProof/>
            <w:webHidden/>
          </w:rPr>
          <w:fldChar w:fldCharType="begin"/>
        </w:r>
        <w:r>
          <w:rPr>
            <w:noProof/>
            <w:webHidden/>
          </w:rPr>
          <w:instrText xml:space="preserve"> PAGEREF _Toc237002808 \h </w:instrText>
        </w:r>
        <w:r>
          <w:rPr>
            <w:noProof/>
            <w:webHidden/>
          </w:rPr>
        </w:r>
        <w:r>
          <w:rPr>
            <w:noProof/>
            <w:webHidden/>
          </w:rPr>
          <w:fldChar w:fldCharType="separate"/>
        </w:r>
        <w:r>
          <w:rPr>
            <w:noProof/>
            <w:webHidden/>
          </w:rPr>
          <w:t>45</w:t>
        </w:r>
        <w:r>
          <w:rPr>
            <w:noProof/>
            <w:webHidden/>
          </w:rPr>
          <w:fldChar w:fldCharType="end"/>
        </w:r>
      </w:hyperlink>
    </w:p>
    <w:p w14:paraId="45C566EB" w14:textId="5E3E236E" w:rsidR="0092693A" w:rsidRDefault="0092693A">
      <w:pPr>
        <w:pStyle w:val="TOC2"/>
        <w:rPr>
          <w:rFonts w:asciiTheme="minorHAnsi" w:eastAsiaTheme="minorEastAsia" w:hAnsiTheme="minorHAnsi"/>
          <w:noProof/>
          <w:kern w:val="2"/>
          <w:sz w:val="24"/>
          <w:szCs w:val="24"/>
          <w:lang w:val="en-AU" w:eastAsia="en-AU"/>
          <w14:ligatures w14:val="standardContextual"/>
        </w:rPr>
      </w:pPr>
      <w:hyperlink w:anchor="_Toc237002809" w:history="1">
        <w:r w:rsidRPr="000E22B9">
          <w:rPr>
            <w:rStyle w:val="Hyperlink"/>
            <w:noProof/>
          </w:rPr>
          <w:t>2.7</w:t>
        </w:r>
        <w:r>
          <w:rPr>
            <w:rFonts w:asciiTheme="minorHAnsi" w:eastAsiaTheme="minorEastAsia" w:hAnsiTheme="minorHAnsi"/>
            <w:noProof/>
            <w:kern w:val="2"/>
            <w:sz w:val="24"/>
            <w:szCs w:val="24"/>
            <w:lang w:val="en-AU" w:eastAsia="en-AU"/>
            <w14:ligatures w14:val="standardContextual"/>
          </w:rPr>
          <w:tab/>
        </w:r>
        <w:r w:rsidRPr="000E22B9">
          <w:rPr>
            <w:rStyle w:val="Hyperlink"/>
            <w:noProof/>
          </w:rPr>
          <w:t>Objective 7: Develop and implement PL post-listing reviews and PL compliance frameworks to safeguard the PL Reforms</w:t>
        </w:r>
        <w:r>
          <w:rPr>
            <w:noProof/>
            <w:webHidden/>
          </w:rPr>
          <w:tab/>
        </w:r>
        <w:r>
          <w:rPr>
            <w:noProof/>
            <w:webHidden/>
          </w:rPr>
          <w:fldChar w:fldCharType="begin"/>
        </w:r>
        <w:r>
          <w:rPr>
            <w:noProof/>
            <w:webHidden/>
          </w:rPr>
          <w:instrText xml:space="preserve"> PAGEREF _Toc237002809 \h </w:instrText>
        </w:r>
        <w:r>
          <w:rPr>
            <w:noProof/>
            <w:webHidden/>
          </w:rPr>
        </w:r>
        <w:r>
          <w:rPr>
            <w:noProof/>
            <w:webHidden/>
          </w:rPr>
          <w:fldChar w:fldCharType="separate"/>
        </w:r>
        <w:r>
          <w:rPr>
            <w:noProof/>
            <w:webHidden/>
          </w:rPr>
          <w:t>52</w:t>
        </w:r>
        <w:r>
          <w:rPr>
            <w:noProof/>
            <w:webHidden/>
          </w:rPr>
          <w:fldChar w:fldCharType="end"/>
        </w:r>
      </w:hyperlink>
    </w:p>
    <w:p w14:paraId="410A249B" w14:textId="4C0BFAE5" w:rsidR="0092693A" w:rsidRDefault="0092693A">
      <w:pPr>
        <w:pStyle w:val="TOC2"/>
        <w:rPr>
          <w:rFonts w:asciiTheme="minorHAnsi" w:eastAsiaTheme="minorEastAsia" w:hAnsiTheme="minorHAnsi"/>
          <w:noProof/>
          <w:kern w:val="2"/>
          <w:sz w:val="24"/>
          <w:szCs w:val="24"/>
          <w:lang w:val="en-AU" w:eastAsia="en-AU"/>
          <w14:ligatures w14:val="standardContextual"/>
        </w:rPr>
      </w:pPr>
      <w:hyperlink w:anchor="_Toc237002810" w:history="1">
        <w:r w:rsidRPr="000E22B9">
          <w:rPr>
            <w:rStyle w:val="Hyperlink"/>
            <w:noProof/>
          </w:rPr>
          <w:t>2.8</w:t>
        </w:r>
        <w:r>
          <w:rPr>
            <w:rFonts w:asciiTheme="minorHAnsi" w:eastAsiaTheme="minorEastAsia" w:hAnsiTheme="minorHAnsi"/>
            <w:noProof/>
            <w:kern w:val="2"/>
            <w:sz w:val="24"/>
            <w:szCs w:val="24"/>
            <w:lang w:val="en-AU" w:eastAsia="en-AU"/>
            <w14:ligatures w14:val="standardContextual"/>
          </w:rPr>
          <w:tab/>
        </w:r>
        <w:r w:rsidRPr="000E22B9">
          <w:rPr>
            <w:rStyle w:val="Hyperlink"/>
            <w:noProof/>
          </w:rPr>
          <w:t>Objective 8: Ensure ongoing financial sustainability of PL administration through effective and efficient cost recovery arrangements that are compliant with the AGCF</w:t>
        </w:r>
        <w:r>
          <w:rPr>
            <w:noProof/>
            <w:webHidden/>
          </w:rPr>
          <w:tab/>
        </w:r>
        <w:r>
          <w:rPr>
            <w:noProof/>
            <w:webHidden/>
          </w:rPr>
          <w:fldChar w:fldCharType="begin"/>
        </w:r>
        <w:r>
          <w:rPr>
            <w:noProof/>
            <w:webHidden/>
          </w:rPr>
          <w:instrText xml:space="preserve"> PAGEREF _Toc237002810 \h </w:instrText>
        </w:r>
        <w:r>
          <w:rPr>
            <w:noProof/>
            <w:webHidden/>
          </w:rPr>
        </w:r>
        <w:r>
          <w:rPr>
            <w:noProof/>
            <w:webHidden/>
          </w:rPr>
          <w:fldChar w:fldCharType="separate"/>
        </w:r>
        <w:r>
          <w:rPr>
            <w:noProof/>
            <w:webHidden/>
          </w:rPr>
          <w:t>64</w:t>
        </w:r>
        <w:r>
          <w:rPr>
            <w:noProof/>
            <w:webHidden/>
          </w:rPr>
          <w:fldChar w:fldCharType="end"/>
        </w:r>
      </w:hyperlink>
    </w:p>
    <w:p w14:paraId="3D2B22FA" w14:textId="0C7DE540" w:rsidR="0092693A" w:rsidRDefault="0092693A">
      <w:pPr>
        <w:pStyle w:val="TOC1"/>
        <w:rPr>
          <w:rFonts w:asciiTheme="minorHAnsi" w:eastAsiaTheme="minorEastAsia" w:hAnsiTheme="minorHAnsi"/>
          <w:kern w:val="2"/>
          <w:sz w:val="24"/>
          <w:szCs w:val="24"/>
          <w:lang w:val="en-AU" w:eastAsia="en-AU"/>
          <w14:ligatures w14:val="standardContextual"/>
        </w:rPr>
      </w:pPr>
      <w:hyperlink w:anchor="_Toc237002811" w:history="1">
        <w:r w:rsidRPr="000E22B9">
          <w:rPr>
            <w:rStyle w:val="Hyperlink"/>
          </w:rPr>
          <w:t>Appendix A</w:t>
        </w:r>
        <w:r>
          <w:rPr>
            <w:rFonts w:asciiTheme="minorHAnsi" w:eastAsiaTheme="minorEastAsia" w:hAnsiTheme="minorHAnsi"/>
            <w:kern w:val="2"/>
            <w:sz w:val="24"/>
            <w:szCs w:val="24"/>
            <w:lang w:val="en-AU" w:eastAsia="en-AU"/>
            <w14:ligatures w14:val="standardContextual"/>
          </w:rPr>
          <w:tab/>
        </w:r>
        <w:r w:rsidRPr="000E22B9">
          <w:rPr>
            <w:rStyle w:val="Hyperlink"/>
          </w:rPr>
          <w:t>Methodology</w:t>
        </w:r>
        <w:r>
          <w:rPr>
            <w:webHidden/>
          </w:rPr>
          <w:tab/>
        </w:r>
        <w:r>
          <w:rPr>
            <w:webHidden/>
          </w:rPr>
          <w:fldChar w:fldCharType="begin"/>
        </w:r>
        <w:r>
          <w:rPr>
            <w:webHidden/>
          </w:rPr>
          <w:instrText xml:space="preserve"> PAGEREF _Toc237002811 \h </w:instrText>
        </w:r>
        <w:r>
          <w:rPr>
            <w:webHidden/>
          </w:rPr>
        </w:r>
        <w:r>
          <w:rPr>
            <w:webHidden/>
          </w:rPr>
          <w:fldChar w:fldCharType="separate"/>
        </w:r>
        <w:r>
          <w:rPr>
            <w:webHidden/>
          </w:rPr>
          <w:t>68</w:t>
        </w:r>
        <w:r>
          <w:rPr>
            <w:webHidden/>
          </w:rPr>
          <w:fldChar w:fldCharType="end"/>
        </w:r>
      </w:hyperlink>
    </w:p>
    <w:p w14:paraId="3AE9B467" w14:textId="5B1F2EA4" w:rsidR="0092693A" w:rsidRDefault="0092693A">
      <w:pPr>
        <w:pStyle w:val="TOC2"/>
        <w:rPr>
          <w:rFonts w:asciiTheme="minorHAnsi" w:eastAsiaTheme="minorEastAsia" w:hAnsiTheme="minorHAnsi"/>
          <w:noProof/>
          <w:kern w:val="2"/>
          <w:sz w:val="24"/>
          <w:szCs w:val="24"/>
          <w:lang w:val="en-AU" w:eastAsia="en-AU"/>
          <w14:ligatures w14:val="standardContextual"/>
        </w:rPr>
      </w:pPr>
      <w:hyperlink w:anchor="_Toc237002812" w:history="1">
        <w:r w:rsidRPr="000E22B9">
          <w:rPr>
            <w:rStyle w:val="Hyperlink"/>
            <w:noProof/>
          </w:rPr>
          <w:t>A.1</w:t>
        </w:r>
        <w:r>
          <w:rPr>
            <w:rFonts w:asciiTheme="minorHAnsi" w:eastAsiaTheme="minorEastAsia" w:hAnsiTheme="minorHAnsi"/>
            <w:noProof/>
            <w:kern w:val="2"/>
            <w:sz w:val="24"/>
            <w:szCs w:val="24"/>
            <w:lang w:val="en-AU" w:eastAsia="en-AU"/>
            <w14:ligatures w14:val="standardContextual"/>
          </w:rPr>
          <w:tab/>
        </w:r>
        <w:r w:rsidRPr="000E22B9">
          <w:rPr>
            <w:rStyle w:val="Hyperlink"/>
            <w:noProof/>
          </w:rPr>
          <w:t>Purpose of the evaluation</w:t>
        </w:r>
        <w:r>
          <w:rPr>
            <w:noProof/>
            <w:webHidden/>
          </w:rPr>
          <w:tab/>
        </w:r>
        <w:r>
          <w:rPr>
            <w:noProof/>
            <w:webHidden/>
          </w:rPr>
          <w:fldChar w:fldCharType="begin"/>
        </w:r>
        <w:r>
          <w:rPr>
            <w:noProof/>
            <w:webHidden/>
          </w:rPr>
          <w:instrText xml:space="preserve"> PAGEREF _Toc237002812 \h </w:instrText>
        </w:r>
        <w:r>
          <w:rPr>
            <w:noProof/>
            <w:webHidden/>
          </w:rPr>
        </w:r>
        <w:r>
          <w:rPr>
            <w:noProof/>
            <w:webHidden/>
          </w:rPr>
          <w:fldChar w:fldCharType="separate"/>
        </w:r>
        <w:r>
          <w:rPr>
            <w:noProof/>
            <w:webHidden/>
          </w:rPr>
          <w:t>68</w:t>
        </w:r>
        <w:r>
          <w:rPr>
            <w:noProof/>
            <w:webHidden/>
          </w:rPr>
          <w:fldChar w:fldCharType="end"/>
        </w:r>
      </w:hyperlink>
    </w:p>
    <w:p w14:paraId="32BA9641" w14:textId="6CE95CC7" w:rsidR="0092693A" w:rsidRDefault="0092693A">
      <w:pPr>
        <w:pStyle w:val="TOC2"/>
        <w:rPr>
          <w:rFonts w:asciiTheme="minorHAnsi" w:eastAsiaTheme="minorEastAsia" w:hAnsiTheme="minorHAnsi"/>
          <w:noProof/>
          <w:kern w:val="2"/>
          <w:sz w:val="24"/>
          <w:szCs w:val="24"/>
          <w:lang w:val="en-AU" w:eastAsia="en-AU"/>
          <w14:ligatures w14:val="standardContextual"/>
        </w:rPr>
      </w:pPr>
      <w:hyperlink w:anchor="_Toc237002813" w:history="1">
        <w:r w:rsidRPr="000E22B9">
          <w:rPr>
            <w:rStyle w:val="Hyperlink"/>
            <w:noProof/>
          </w:rPr>
          <w:t>A.2</w:t>
        </w:r>
        <w:r>
          <w:rPr>
            <w:rFonts w:asciiTheme="minorHAnsi" w:eastAsiaTheme="minorEastAsia" w:hAnsiTheme="minorHAnsi"/>
            <w:noProof/>
            <w:kern w:val="2"/>
            <w:sz w:val="24"/>
            <w:szCs w:val="24"/>
            <w:lang w:val="en-AU" w:eastAsia="en-AU"/>
            <w14:ligatures w14:val="standardContextual"/>
          </w:rPr>
          <w:tab/>
        </w:r>
        <w:r w:rsidRPr="000E22B9">
          <w:rPr>
            <w:rStyle w:val="Hyperlink"/>
            <w:noProof/>
          </w:rPr>
          <w:t>Evaluation plan and theory of change</w:t>
        </w:r>
        <w:r>
          <w:rPr>
            <w:noProof/>
            <w:webHidden/>
          </w:rPr>
          <w:tab/>
        </w:r>
        <w:r>
          <w:rPr>
            <w:noProof/>
            <w:webHidden/>
          </w:rPr>
          <w:fldChar w:fldCharType="begin"/>
        </w:r>
        <w:r>
          <w:rPr>
            <w:noProof/>
            <w:webHidden/>
          </w:rPr>
          <w:instrText xml:space="preserve"> PAGEREF _Toc237002813 \h </w:instrText>
        </w:r>
        <w:r>
          <w:rPr>
            <w:noProof/>
            <w:webHidden/>
          </w:rPr>
        </w:r>
        <w:r>
          <w:rPr>
            <w:noProof/>
            <w:webHidden/>
          </w:rPr>
          <w:fldChar w:fldCharType="separate"/>
        </w:r>
        <w:r>
          <w:rPr>
            <w:noProof/>
            <w:webHidden/>
          </w:rPr>
          <w:t>68</w:t>
        </w:r>
        <w:r>
          <w:rPr>
            <w:noProof/>
            <w:webHidden/>
          </w:rPr>
          <w:fldChar w:fldCharType="end"/>
        </w:r>
      </w:hyperlink>
    </w:p>
    <w:p w14:paraId="3B23165A" w14:textId="402B577E" w:rsidR="0092693A" w:rsidRDefault="0092693A">
      <w:pPr>
        <w:pStyle w:val="TOC2"/>
        <w:rPr>
          <w:rFonts w:asciiTheme="minorHAnsi" w:eastAsiaTheme="minorEastAsia" w:hAnsiTheme="minorHAnsi"/>
          <w:noProof/>
          <w:kern w:val="2"/>
          <w:sz w:val="24"/>
          <w:szCs w:val="24"/>
          <w:lang w:val="en-AU" w:eastAsia="en-AU"/>
          <w14:ligatures w14:val="standardContextual"/>
        </w:rPr>
      </w:pPr>
      <w:hyperlink w:anchor="_Toc237002814" w:history="1">
        <w:r w:rsidRPr="000E22B9">
          <w:rPr>
            <w:rStyle w:val="Hyperlink"/>
            <w:noProof/>
          </w:rPr>
          <w:t>A.3</w:t>
        </w:r>
        <w:r>
          <w:rPr>
            <w:rFonts w:asciiTheme="minorHAnsi" w:eastAsiaTheme="minorEastAsia" w:hAnsiTheme="minorHAnsi"/>
            <w:noProof/>
            <w:kern w:val="2"/>
            <w:sz w:val="24"/>
            <w:szCs w:val="24"/>
            <w:lang w:val="en-AU" w:eastAsia="en-AU"/>
            <w14:ligatures w14:val="standardContextual"/>
          </w:rPr>
          <w:tab/>
        </w:r>
        <w:r w:rsidRPr="000E22B9">
          <w:rPr>
            <w:rStyle w:val="Hyperlink"/>
            <w:noProof/>
          </w:rPr>
          <w:t>Overall approach and KEQs</w:t>
        </w:r>
        <w:r>
          <w:rPr>
            <w:noProof/>
            <w:webHidden/>
          </w:rPr>
          <w:tab/>
        </w:r>
        <w:r>
          <w:rPr>
            <w:noProof/>
            <w:webHidden/>
          </w:rPr>
          <w:fldChar w:fldCharType="begin"/>
        </w:r>
        <w:r>
          <w:rPr>
            <w:noProof/>
            <w:webHidden/>
          </w:rPr>
          <w:instrText xml:space="preserve"> PAGEREF _Toc237002814 \h </w:instrText>
        </w:r>
        <w:r>
          <w:rPr>
            <w:noProof/>
            <w:webHidden/>
          </w:rPr>
        </w:r>
        <w:r>
          <w:rPr>
            <w:noProof/>
            <w:webHidden/>
          </w:rPr>
          <w:fldChar w:fldCharType="separate"/>
        </w:r>
        <w:r>
          <w:rPr>
            <w:noProof/>
            <w:webHidden/>
          </w:rPr>
          <w:t>72</w:t>
        </w:r>
        <w:r>
          <w:rPr>
            <w:noProof/>
            <w:webHidden/>
          </w:rPr>
          <w:fldChar w:fldCharType="end"/>
        </w:r>
      </w:hyperlink>
    </w:p>
    <w:p w14:paraId="4C1D5343" w14:textId="77C35EC7" w:rsidR="0092693A" w:rsidRDefault="0092693A">
      <w:pPr>
        <w:pStyle w:val="TOC2"/>
        <w:rPr>
          <w:rFonts w:asciiTheme="minorHAnsi" w:eastAsiaTheme="minorEastAsia" w:hAnsiTheme="minorHAnsi"/>
          <w:noProof/>
          <w:kern w:val="2"/>
          <w:sz w:val="24"/>
          <w:szCs w:val="24"/>
          <w:lang w:val="en-AU" w:eastAsia="en-AU"/>
          <w14:ligatures w14:val="standardContextual"/>
        </w:rPr>
      </w:pPr>
      <w:hyperlink w:anchor="_Toc237002815" w:history="1">
        <w:r w:rsidRPr="000E22B9">
          <w:rPr>
            <w:rStyle w:val="Hyperlink"/>
            <w:noProof/>
          </w:rPr>
          <w:t>A.4</w:t>
        </w:r>
        <w:r>
          <w:rPr>
            <w:rFonts w:asciiTheme="minorHAnsi" w:eastAsiaTheme="minorEastAsia" w:hAnsiTheme="minorHAnsi"/>
            <w:noProof/>
            <w:kern w:val="2"/>
            <w:sz w:val="24"/>
            <w:szCs w:val="24"/>
            <w:lang w:val="en-AU" w:eastAsia="en-AU"/>
            <w14:ligatures w14:val="standardContextual"/>
          </w:rPr>
          <w:tab/>
        </w:r>
        <w:r w:rsidRPr="000E22B9">
          <w:rPr>
            <w:rStyle w:val="Hyperlink"/>
            <w:noProof/>
          </w:rPr>
          <w:t>Approach to data collection and engagement</w:t>
        </w:r>
        <w:r>
          <w:rPr>
            <w:noProof/>
            <w:webHidden/>
          </w:rPr>
          <w:tab/>
        </w:r>
        <w:r>
          <w:rPr>
            <w:noProof/>
            <w:webHidden/>
          </w:rPr>
          <w:fldChar w:fldCharType="begin"/>
        </w:r>
        <w:r>
          <w:rPr>
            <w:noProof/>
            <w:webHidden/>
          </w:rPr>
          <w:instrText xml:space="preserve"> PAGEREF _Toc237002815 \h </w:instrText>
        </w:r>
        <w:r>
          <w:rPr>
            <w:noProof/>
            <w:webHidden/>
          </w:rPr>
        </w:r>
        <w:r>
          <w:rPr>
            <w:noProof/>
            <w:webHidden/>
          </w:rPr>
          <w:fldChar w:fldCharType="separate"/>
        </w:r>
        <w:r>
          <w:rPr>
            <w:noProof/>
            <w:webHidden/>
          </w:rPr>
          <w:t>73</w:t>
        </w:r>
        <w:r>
          <w:rPr>
            <w:noProof/>
            <w:webHidden/>
          </w:rPr>
          <w:fldChar w:fldCharType="end"/>
        </w:r>
      </w:hyperlink>
    </w:p>
    <w:p w14:paraId="1C0FFFA4" w14:textId="3C4E8A54" w:rsidR="0092693A" w:rsidRDefault="0092693A">
      <w:pPr>
        <w:pStyle w:val="TOC1"/>
        <w:rPr>
          <w:rFonts w:asciiTheme="minorHAnsi" w:eastAsiaTheme="minorEastAsia" w:hAnsiTheme="minorHAnsi"/>
          <w:kern w:val="2"/>
          <w:sz w:val="24"/>
          <w:szCs w:val="24"/>
          <w:lang w:val="en-AU" w:eastAsia="en-AU"/>
          <w14:ligatures w14:val="standardContextual"/>
        </w:rPr>
      </w:pPr>
      <w:hyperlink w:anchor="_Toc237002816" w:history="1">
        <w:r w:rsidRPr="000E22B9">
          <w:rPr>
            <w:rStyle w:val="Hyperlink"/>
          </w:rPr>
          <w:t>Appendix B</w:t>
        </w:r>
        <w:r>
          <w:rPr>
            <w:rFonts w:asciiTheme="minorHAnsi" w:eastAsiaTheme="minorEastAsia" w:hAnsiTheme="minorHAnsi"/>
            <w:kern w:val="2"/>
            <w:sz w:val="24"/>
            <w:szCs w:val="24"/>
            <w:lang w:val="en-AU" w:eastAsia="en-AU"/>
            <w14:ligatures w14:val="standardContextual"/>
          </w:rPr>
          <w:tab/>
        </w:r>
        <w:r w:rsidRPr="000E22B9">
          <w:rPr>
            <w:rStyle w:val="Hyperlink"/>
          </w:rPr>
          <w:t>List of stakeholders consulted</w:t>
        </w:r>
        <w:r>
          <w:rPr>
            <w:webHidden/>
          </w:rPr>
          <w:tab/>
        </w:r>
        <w:r>
          <w:rPr>
            <w:webHidden/>
          </w:rPr>
          <w:fldChar w:fldCharType="begin"/>
        </w:r>
        <w:r>
          <w:rPr>
            <w:webHidden/>
          </w:rPr>
          <w:instrText xml:space="preserve"> PAGEREF _Toc237002816 \h </w:instrText>
        </w:r>
        <w:r>
          <w:rPr>
            <w:webHidden/>
          </w:rPr>
        </w:r>
        <w:r>
          <w:rPr>
            <w:webHidden/>
          </w:rPr>
          <w:fldChar w:fldCharType="separate"/>
        </w:r>
        <w:r>
          <w:rPr>
            <w:webHidden/>
          </w:rPr>
          <w:t>74</w:t>
        </w:r>
        <w:r>
          <w:rPr>
            <w:webHidden/>
          </w:rPr>
          <w:fldChar w:fldCharType="end"/>
        </w:r>
      </w:hyperlink>
    </w:p>
    <w:p w14:paraId="2CCF094D" w14:textId="05989DD4" w:rsidR="0092693A" w:rsidRDefault="0092693A">
      <w:pPr>
        <w:pStyle w:val="TOC1"/>
        <w:rPr>
          <w:rFonts w:asciiTheme="minorHAnsi" w:eastAsiaTheme="minorEastAsia" w:hAnsiTheme="minorHAnsi"/>
          <w:kern w:val="2"/>
          <w:sz w:val="24"/>
          <w:szCs w:val="24"/>
          <w:lang w:val="en-AU" w:eastAsia="en-AU"/>
          <w14:ligatures w14:val="standardContextual"/>
        </w:rPr>
      </w:pPr>
      <w:hyperlink w:anchor="_Toc237002817" w:history="1">
        <w:r w:rsidRPr="000E22B9">
          <w:rPr>
            <w:rStyle w:val="Hyperlink"/>
          </w:rPr>
          <w:t>Appendix C</w:t>
        </w:r>
        <w:r>
          <w:rPr>
            <w:rFonts w:asciiTheme="minorHAnsi" w:eastAsiaTheme="minorEastAsia" w:hAnsiTheme="minorHAnsi"/>
            <w:kern w:val="2"/>
            <w:sz w:val="24"/>
            <w:szCs w:val="24"/>
            <w:lang w:val="en-AU" w:eastAsia="en-AU"/>
            <w14:ligatures w14:val="standardContextual"/>
          </w:rPr>
          <w:tab/>
        </w:r>
        <w:r w:rsidRPr="000E22B9">
          <w:rPr>
            <w:rStyle w:val="Hyperlink"/>
          </w:rPr>
          <w:t>Detail on evaluation indicators</w:t>
        </w:r>
        <w:r>
          <w:rPr>
            <w:webHidden/>
          </w:rPr>
          <w:tab/>
        </w:r>
        <w:r>
          <w:rPr>
            <w:webHidden/>
          </w:rPr>
          <w:fldChar w:fldCharType="begin"/>
        </w:r>
        <w:r>
          <w:rPr>
            <w:webHidden/>
          </w:rPr>
          <w:instrText xml:space="preserve"> PAGEREF _Toc237002817 \h </w:instrText>
        </w:r>
        <w:r>
          <w:rPr>
            <w:webHidden/>
          </w:rPr>
        </w:r>
        <w:r>
          <w:rPr>
            <w:webHidden/>
          </w:rPr>
          <w:fldChar w:fldCharType="separate"/>
        </w:r>
        <w:r>
          <w:rPr>
            <w:webHidden/>
          </w:rPr>
          <w:t>75</w:t>
        </w:r>
        <w:r>
          <w:rPr>
            <w:webHidden/>
          </w:rPr>
          <w:fldChar w:fldCharType="end"/>
        </w:r>
      </w:hyperlink>
    </w:p>
    <w:p w14:paraId="1DA496D5" w14:textId="492F60CC" w:rsidR="0092693A" w:rsidRDefault="0092693A">
      <w:pPr>
        <w:pStyle w:val="TOC2"/>
        <w:rPr>
          <w:rFonts w:asciiTheme="minorHAnsi" w:eastAsiaTheme="minorEastAsia" w:hAnsiTheme="minorHAnsi"/>
          <w:noProof/>
          <w:kern w:val="2"/>
          <w:sz w:val="24"/>
          <w:szCs w:val="24"/>
          <w:lang w:val="en-AU" w:eastAsia="en-AU"/>
          <w14:ligatures w14:val="standardContextual"/>
        </w:rPr>
      </w:pPr>
      <w:hyperlink w:anchor="_Toc237002818" w:history="1">
        <w:r w:rsidRPr="000E22B9">
          <w:rPr>
            <w:rStyle w:val="Hyperlink"/>
            <w:noProof/>
          </w:rPr>
          <w:t>C.1</w:t>
        </w:r>
        <w:r>
          <w:rPr>
            <w:rFonts w:asciiTheme="minorHAnsi" w:eastAsiaTheme="minorEastAsia" w:hAnsiTheme="minorHAnsi"/>
            <w:noProof/>
            <w:kern w:val="2"/>
            <w:sz w:val="24"/>
            <w:szCs w:val="24"/>
            <w:lang w:val="en-AU" w:eastAsia="en-AU"/>
            <w14:ligatures w14:val="standardContextual"/>
          </w:rPr>
          <w:tab/>
        </w:r>
        <w:r w:rsidRPr="000E22B9">
          <w:rPr>
            <w:rStyle w:val="Hyperlink"/>
            <w:noProof/>
          </w:rPr>
          <w:t>Indicator 1: Reduction in benefits</w:t>
        </w:r>
        <w:r>
          <w:rPr>
            <w:noProof/>
            <w:webHidden/>
          </w:rPr>
          <w:tab/>
        </w:r>
        <w:r>
          <w:rPr>
            <w:noProof/>
            <w:webHidden/>
          </w:rPr>
          <w:fldChar w:fldCharType="begin"/>
        </w:r>
        <w:r>
          <w:rPr>
            <w:noProof/>
            <w:webHidden/>
          </w:rPr>
          <w:instrText xml:space="preserve"> PAGEREF _Toc237002818 \h </w:instrText>
        </w:r>
        <w:r>
          <w:rPr>
            <w:noProof/>
            <w:webHidden/>
          </w:rPr>
        </w:r>
        <w:r>
          <w:rPr>
            <w:noProof/>
            <w:webHidden/>
          </w:rPr>
          <w:fldChar w:fldCharType="separate"/>
        </w:r>
        <w:r>
          <w:rPr>
            <w:noProof/>
            <w:webHidden/>
          </w:rPr>
          <w:t>75</w:t>
        </w:r>
        <w:r>
          <w:rPr>
            <w:noProof/>
            <w:webHidden/>
          </w:rPr>
          <w:fldChar w:fldCharType="end"/>
        </w:r>
      </w:hyperlink>
    </w:p>
    <w:p w14:paraId="4E3B2446" w14:textId="7BDD1B98" w:rsidR="0092693A" w:rsidRDefault="0092693A">
      <w:pPr>
        <w:pStyle w:val="TOC2"/>
        <w:rPr>
          <w:rFonts w:asciiTheme="minorHAnsi" w:eastAsiaTheme="minorEastAsia" w:hAnsiTheme="minorHAnsi"/>
          <w:noProof/>
          <w:kern w:val="2"/>
          <w:sz w:val="24"/>
          <w:szCs w:val="24"/>
          <w:lang w:val="en-AU" w:eastAsia="en-AU"/>
          <w14:ligatures w14:val="standardContextual"/>
        </w:rPr>
      </w:pPr>
      <w:hyperlink w:anchor="_Toc237002819" w:history="1">
        <w:r w:rsidRPr="000E22B9">
          <w:rPr>
            <w:rStyle w:val="Hyperlink"/>
            <w:noProof/>
          </w:rPr>
          <w:t>C.2</w:t>
        </w:r>
        <w:r>
          <w:rPr>
            <w:rFonts w:asciiTheme="minorHAnsi" w:eastAsiaTheme="minorEastAsia" w:hAnsiTheme="minorHAnsi"/>
            <w:noProof/>
            <w:kern w:val="2"/>
            <w:sz w:val="24"/>
            <w:szCs w:val="24"/>
            <w:lang w:val="en-AU" w:eastAsia="en-AU"/>
            <w14:ligatures w14:val="standardContextual"/>
          </w:rPr>
          <w:tab/>
        </w:r>
        <w:r w:rsidRPr="000E22B9">
          <w:rPr>
            <w:rStyle w:val="Hyperlink"/>
            <w:noProof/>
          </w:rPr>
          <w:t>Indicator 2: Change in the size of the gap between PL benefits and prices paid in more competitive markets</w:t>
        </w:r>
        <w:r>
          <w:rPr>
            <w:noProof/>
            <w:webHidden/>
          </w:rPr>
          <w:tab/>
        </w:r>
        <w:r>
          <w:rPr>
            <w:noProof/>
            <w:webHidden/>
          </w:rPr>
          <w:fldChar w:fldCharType="begin"/>
        </w:r>
        <w:r>
          <w:rPr>
            <w:noProof/>
            <w:webHidden/>
          </w:rPr>
          <w:instrText xml:space="preserve"> PAGEREF _Toc237002819 \h </w:instrText>
        </w:r>
        <w:r>
          <w:rPr>
            <w:noProof/>
            <w:webHidden/>
          </w:rPr>
        </w:r>
        <w:r>
          <w:rPr>
            <w:noProof/>
            <w:webHidden/>
          </w:rPr>
          <w:fldChar w:fldCharType="separate"/>
        </w:r>
        <w:r>
          <w:rPr>
            <w:noProof/>
            <w:webHidden/>
          </w:rPr>
          <w:t>75</w:t>
        </w:r>
        <w:r>
          <w:rPr>
            <w:noProof/>
            <w:webHidden/>
          </w:rPr>
          <w:fldChar w:fldCharType="end"/>
        </w:r>
      </w:hyperlink>
    </w:p>
    <w:p w14:paraId="4DEB626D" w14:textId="6674FE55" w:rsidR="0092693A" w:rsidRDefault="0092693A">
      <w:pPr>
        <w:pStyle w:val="TOC2"/>
        <w:rPr>
          <w:rFonts w:asciiTheme="minorHAnsi" w:eastAsiaTheme="minorEastAsia" w:hAnsiTheme="minorHAnsi"/>
          <w:noProof/>
          <w:kern w:val="2"/>
          <w:sz w:val="24"/>
          <w:szCs w:val="24"/>
          <w:lang w:val="en-AU" w:eastAsia="en-AU"/>
          <w14:ligatures w14:val="standardContextual"/>
        </w:rPr>
      </w:pPr>
      <w:hyperlink w:anchor="_Toc237002820" w:history="1">
        <w:r w:rsidRPr="000E22B9">
          <w:rPr>
            <w:rStyle w:val="Hyperlink"/>
            <w:noProof/>
          </w:rPr>
          <w:t>C.3</w:t>
        </w:r>
        <w:r>
          <w:rPr>
            <w:rFonts w:asciiTheme="minorHAnsi" w:eastAsiaTheme="minorEastAsia" w:hAnsiTheme="minorHAnsi"/>
            <w:noProof/>
            <w:kern w:val="2"/>
            <w:sz w:val="24"/>
            <w:szCs w:val="24"/>
            <w:lang w:val="en-AU" w:eastAsia="en-AU"/>
            <w14:ligatures w14:val="standardContextual"/>
          </w:rPr>
          <w:tab/>
        </w:r>
        <w:r w:rsidRPr="000E22B9">
          <w:rPr>
            <w:rStyle w:val="Hyperlink"/>
            <w:noProof/>
          </w:rPr>
          <w:t>Indicator 3: Change in out-of-pocket expenses related to PL items</w:t>
        </w:r>
        <w:r>
          <w:rPr>
            <w:noProof/>
            <w:webHidden/>
          </w:rPr>
          <w:tab/>
        </w:r>
        <w:r>
          <w:rPr>
            <w:noProof/>
            <w:webHidden/>
          </w:rPr>
          <w:fldChar w:fldCharType="begin"/>
        </w:r>
        <w:r>
          <w:rPr>
            <w:noProof/>
            <w:webHidden/>
          </w:rPr>
          <w:instrText xml:space="preserve"> PAGEREF _Toc237002820 \h </w:instrText>
        </w:r>
        <w:r>
          <w:rPr>
            <w:noProof/>
            <w:webHidden/>
          </w:rPr>
        </w:r>
        <w:r>
          <w:rPr>
            <w:noProof/>
            <w:webHidden/>
          </w:rPr>
          <w:fldChar w:fldCharType="separate"/>
        </w:r>
        <w:r>
          <w:rPr>
            <w:noProof/>
            <w:webHidden/>
          </w:rPr>
          <w:t>80</w:t>
        </w:r>
        <w:r>
          <w:rPr>
            <w:noProof/>
            <w:webHidden/>
          </w:rPr>
          <w:fldChar w:fldCharType="end"/>
        </w:r>
      </w:hyperlink>
    </w:p>
    <w:p w14:paraId="5A2BD6FF" w14:textId="13A34A50" w:rsidR="0092693A" w:rsidRDefault="0092693A">
      <w:pPr>
        <w:pStyle w:val="TOC2"/>
        <w:rPr>
          <w:rFonts w:asciiTheme="minorHAnsi" w:eastAsiaTheme="minorEastAsia" w:hAnsiTheme="minorHAnsi"/>
          <w:noProof/>
          <w:kern w:val="2"/>
          <w:sz w:val="24"/>
          <w:szCs w:val="24"/>
          <w:lang w:val="en-AU" w:eastAsia="en-AU"/>
          <w14:ligatures w14:val="standardContextual"/>
        </w:rPr>
      </w:pPr>
      <w:hyperlink w:anchor="_Toc237002821" w:history="1">
        <w:r w:rsidRPr="000E22B9">
          <w:rPr>
            <w:rStyle w:val="Hyperlink"/>
            <w:noProof/>
          </w:rPr>
          <w:t>C.4</w:t>
        </w:r>
        <w:r>
          <w:rPr>
            <w:rFonts w:asciiTheme="minorHAnsi" w:eastAsiaTheme="minorEastAsia" w:hAnsiTheme="minorHAnsi"/>
            <w:noProof/>
            <w:kern w:val="2"/>
            <w:sz w:val="24"/>
            <w:szCs w:val="24"/>
            <w:lang w:val="en-AU" w:eastAsia="en-AU"/>
            <w14:ligatures w14:val="standardContextual"/>
          </w:rPr>
          <w:tab/>
        </w:r>
        <w:r w:rsidRPr="000E22B9">
          <w:rPr>
            <w:rStyle w:val="Hyperlink"/>
            <w:noProof/>
          </w:rPr>
          <w:t>Indicator 6: Change in PHI premium increases</w:t>
        </w:r>
        <w:r>
          <w:rPr>
            <w:noProof/>
            <w:webHidden/>
          </w:rPr>
          <w:tab/>
        </w:r>
        <w:r>
          <w:rPr>
            <w:noProof/>
            <w:webHidden/>
          </w:rPr>
          <w:fldChar w:fldCharType="begin"/>
        </w:r>
        <w:r>
          <w:rPr>
            <w:noProof/>
            <w:webHidden/>
          </w:rPr>
          <w:instrText xml:space="preserve"> PAGEREF _Toc237002821 \h </w:instrText>
        </w:r>
        <w:r>
          <w:rPr>
            <w:noProof/>
            <w:webHidden/>
          </w:rPr>
        </w:r>
        <w:r>
          <w:rPr>
            <w:noProof/>
            <w:webHidden/>
          </w:rPr>
          <w:fldChar w:fldCharType="separate"/>
        </w:r>
        <w:r>
          <w:rPr>
            <w:noProof/>
            <w:webHidden/>
          </w:rPr>
          <w:t>82</w:t>
        </w:r>
        <w:r>
          <w:rPr>
            <w:noProof/>
            <w:webHidden/>
          </w:rPr>
          <w:fldChar w:fldCharType="end"/>
        </w:r>
      </w:hyperlink>
    </w:p>
    <w:p w14:paraId="5EE3E7F3" w14:textId="4B1954ED" w:rsidR="0092693A" w:rsidRDefault="0092693A">
      <w:pPr>
        <w:pStyle w:val="TOC2"/>
        <w:rPr>
          <w:rFonts w:asciiTheme="minorHAnsi" w:eastAsiaTheme="minorEastAsia" w:hAnsiTheme="minorHAnsi"/>
          <w:noProof/>
          <w:kern w:val="2"/>
          <w:sz w:val="24"/>
          <w:szCs w:val="24"/>
          <w:lang w:val="en-AU" w:eastAsia="en-AU"/>
          <w14:ligatures w14:val="standardContextual"/>
        </w:rPr>
      </w:pPr>
      <w:hyperlink w:anchor="_Toc237002822" w:history="1">
        <w:r w:rsidRPr="000E22B9">
          <w:rPr>
            <w:rStyle w:val="Hyperlink"/>
            <w:noProof/>
          </w:rPr>
          <w:t>C.5</w:t>
        </w:r>
        <w:r>
          <w:rPr>
            <w:rFonts w:asciiTheme="minorHAnsi" w:eastAsiaTheme="minorEastAsia" w:hAnsiTheme="minorHAnsi"/>
            <w:noProof/>
            <w:kern w:val="2"/>
            <w:sz w:val="24"/>
            <w:szCs w:val="24"/>
            <w:lang w:val="en-AU" w:eastAsia="en-AU"/>
            <w14:ligatures w14:val="standardContextual"/>
          </w:rPr>
          <w:tab/>
        </w:r>
        <w:r w:rsidRPr="000E22B9">
          <w:rPr>
            <w:rStyle w:val="Hyperlink"/>
            <w:noProof/>
          </w:rPr>
          <w:t>Indicator 7: Change in PHI coverage and for whom</w:t>
        </w:r>
        <w:r>
          <w:rPr>
            <w:noProof/>
            <w:webHidden/>
          </w:rPr>
          <w:tab/>
        </w:r>
        <w:r>
          <w:rPr>
            <w:noProof/>
            <w:webHidden/>
          </w:rPr>
          <w:fldChar w:fldCharType="begin"/>
        </w:r>
        <w:r>
          <w:rPr>
            <w:noProof/>
            <w:webHidden/>
          </w:rPr>
          <w:instrText xml:space="preserve"> PAGEREF _Toc237002822 \h </w:instrText>
        </w:r>
        <w:r>
          <w:rPr>
            <w:noProof/>
            <w:webHidden/>
          </w:rPr>
        </w:r>
        <w:r>
          <w:rPr>
            <w:noProof/>
            <w:webHidden/>
          </w:rPr>
          <w:fldChar w:fldCharType="separate"/>
        </w:r>
        <w:r>
          <w:rPr>
            <w:noProof/>
            <w:webHidden/>
          </w:rPr>
          <w:t>83</w:t>
        </w:r>
        <w:r>
          <w:rPr>
            <w:noProof/>
            <w:webHidden/>
          </w:rPr>
          <w:fldChar w:fldCharType="end"/>
        </w:r>
      </w:hyperlink>
    </w:p>
    <w:p w14:paraId="68464405" w14:textId="00C4F6DD" w:rsidR="0092693A" w:rsidRDefault="0092693A">
      <w:pPr>
        <w:pStyle w:val="TOC2"/>
        <w:rPr>
          <w:rFonts w:asciiTheme="minorHAnsi" w:eastAsiaTheme="minorEastAsia" w:hAnsiTheme="minorHAnsi"/>
          <w:noProof/>
          <w:kern w:val="2"/>
          <w:sz w:val="24"/>
          <w:szCs w:val="24"/>
          <w:lang w:val="en-AU" w:eastAsia="en-AU"/>
          <w14:ligatures w14:val="standardContextual"/>
        </w:rPr>
      </w:pPr>
      <w:hyperlink w:anchor="_Toc237002823" w:history="1">
        <w:r w:rsidRPr="000E22B9">
          <w:rPr>
            <w:rStyle w:val="Hyperlink"/>
            <w:noProof/>
          </w:rPr>
          <w:t>C.6</w:t>
        </w:r>
        <w:r>
          <w:rPr>
            <w:rFonts w:asciiTheme="minorHAnsi" w:eastAsiaTheme="minorEastAsia" w:hAnsiTheme="minorHAnsi"/>
            <w:noProof/>
            <w:kern w:val="2"/>
            <w:sz w:val="24"/>
            <w:szCs w:val="24"/>
            <w:lang w:val="en-AU" w:eastAsia="en-AU"/>
            <w14:ligatures w14:val="standardContextual"/>
          </w:rPr>
          <w:tab/>
        </w:r>
        <w:r w:rsidRPr="000E22B9">
          <w:rPr>
            <w:rStyle w:val="Hyperlink"/>
            <w:noProof/>
          </w:rPr>
          <w:t>Indicator 9: Implementation of PL regrouping</w:t>
        </w:r>
        <w:r>
          <w:rPr>
            <w:noProof/>
            <w:webHidden/>
          </w:rPr>
          <w:tab/>
        </w:r>
        <w:r>
          <w:rPr>
            <w:noProof/>
            <w:webHidden/>
          </w:rPr>
          <w:fldChar w:fldCharType="begin"/>
        </w:r>
        <w:r>
          <w:rPr>
            <w:noProof/>
            <w:webHidden/>
          </w:rPr>
          <w:instrText xml:space="preserve"> PAGEREF _Toc237002823 \h </w:instrText>
        </w:r>
        <w:r>
          <w:rPr>
            <w:noProof/>
            <w:webHidden/>
          </w:rPr>
        </w:r>
        <w:r>
          <w:rPr>
            <w:noProof/>
            <w:webHidden/>
          </w:rPr>
          <w:fldChar w:fldCharType="separate"/>
        </w:r>
        <w:r>
          <w:rPr>
            <w:noProof/>
            <w:webHidden/>
          </w:rPr>
          <w:t>83</w:t>
        </w:r>
        <w:r>
          <w:rPr>
            <w:noProof/>
            <w:webHidden/>
          </w:rPr>
          <w:fldChar w:fldCharType="end"/>
        </w:r>
      </w:hyperlink>
    </w:p>
    <w:p w14:paraId="58185D38" w14:textId="6AAC5F7C" w:rsidR="000D5CE3" w:rsidRPr="00602824" w:rsidRDefault="00B658A0" w:rsidP="004D7D4F">
      <w:pPr>
        <w:pStyle w:val="Heading1"/>
        <w:numPr>
          <w:ilvl w:val="0"/>
          <w:numId w:val="0"/>
        </w:numPr>
      </w:pPr>
      <w:r w:rsidRPr="00602824">
        <w:rPr>
          <w:rFonts w:eastAsiaTheme="minorHAnsi" w:cstheme="minorBidi"/>
          <w:b w:val="0"/>
          <w:color w:val="auto"/>
          <w:sz w:val="19"/>
          <w:szCs w:val="22"/>
        </w:rPr>
        <w:fldChar w:fldCharType="end"/>
      </w:r>
      <w:bookmarkStart w:id="1" w:name="_Toc237002797"/>
      <w:r w:rsidR="004D7D4F" w:rsidRPr="00602824">
        <w:t xml:space="preserve">Glossary of </w:t>
      </w:r>
      <w:r w:rsidR="003F02E7" w:rsidRPr="00602824">
        <w:t xml:space="preserve">commonly used </w:t>
      </w:r>
      <w:r w:rsidR="004D7D4F" w:rsidRPr="00602824">
        <w:t>terms and acronyms</w:t>
      </w:r>
      <w:bookmarkEnd w:id="1"/>
      <w:r w:rsidR="004D7D4F" w:rsidRPr="00602824">
        <w:t xml:space="preserve"> </w:t>
      </w:r>
    </w:p>
    <w:tbl>
      <w:tblPr>
        <w:tblStyle w:val="NOUSSideHeader"/>
        <w:tblW w:w="0" w:type="auto"/>
        <w:tblInd w:w="30" w:type="dxa"/>
        <w:tblLook w:val="04A0" w:firstRow="1" w:lastRow="0" w:firstColumn="1" w:lastColumn="0" w:noHBand="0" w:noVBand="1"/>
      </w:tblPr>
      <w:tblGrid>
        <w:gridCol w:w="1813"/>
        <w:gridCol w:w="7087"/>
      </w:tblGrid>
      <w:tr w:rsidR="00D25B3C" w:rsidRPr="00602824" w14:paraId="3AE24D3E" w14:textId="77777777" w:rsidTr="00D25B3C">
        <w:tc>
          <w:tcPr>
            <w:cnfStyle w:val="001000000000" w:firstRow="0" w:lastRow="0" w:firstColumn="1" w:lastColumn="0" w:oddVBand="0" w:evenVBand="0" w:oddHBand="0" w:evenHBand="0" w:firstRowFirstColumn="0" w:firstRowLastColumn="0" w:lastRowFirstColumn="0" w:lastRowLastColumn="0"/>
            <w:tcW w:w="1813" w:type="dxa"/>
            <w:tcBorders>
              <w:bottom w:val="single" w:sz="8" w:space="0" w:color="FFFFFF"/>
            </w:tcBorders>
          </w:tcPr>
          <w:p w14:paraId="3EA91FA5" w14:textId="441742A0" w:rsidR="00D25B3C" w:rsidRPr="00602824" w:rsidRDefault="00D25B3C" w:rsidP="00D25B3C">
            <w:pPr>
              <w:pStyle w:val="TableNheader"/>
              <w:spacing w:before="60" w:after="60" w:line="240" w:lineRule="auto"/>
              <w:jc w:val="left"/>
            </w:pPr>
            <w:r>
              <w:t>AGCF</w:t>
            </w:r>
          </w:p>
        </w:tc>
        <w:tc>
          <w:tcPr>
            <w:tcW w:w="7087" w:type="dxa"/>
          </w:tcPr>
          <w:p w14:paraId="792FD3EE" w14:textId="4B54B28F" w:rsidR="00D25B3C" w:rsidRPr="00602824" w:rsidRDefault="00D25B3C" w:rsidP="008C0E64">
            <w:pPr>
              <w:pStyle w:val="TableNText"/>
              <w:spacing w:before="60" w:after="60" w:line="240" w:lineRule="auto"/>
              <w:cnfStyle w:val="000000000000" w:firstRow="0" w:lastRow="0" w:firstColumn="0" w:lastColumn="0" w:oddVBand="0" w:evenVBand="0" w:oddHBand="0" w:evenHBand="0" w:firstRowFirstColumn="0" w:firstRowLastColumn="0" w:lastRowFirstColumn="0" w:lastRowLastColumn="0"/>
            </w:pPr>
            <w:r>
              <w:t xml:space="preserve">Australian </w:t>
            </w:r>
            <w:r w:rsidR="00251A24">
              <w:t>Government Charging Framework</w:t>
            </w:r>
          </w:p>
        </w:tc>
      </w:tr>
      <w:tr w:rsidR="007C2D44" w:rsidRPr="00602824" w14:paraId="36314CE9" w14:textId="77777777" w:rsidTr="00D25B3C">
        <w:tc>
          <w:tcPr>
            <w:cnfStyle w:val="001000000000" w:firstRow="0" w:lastRow="0" w:firstColumn="1" w:lastColumn="0" w:oddVBand="0" w:evenVBand="0" w:oddHBand="0" w:evenHBand="0" w:firstRowFirstColumn="0" w:firstRowLastColumn="0" w:lastRowFirstColumn="0" w:lastRowLastColumn="0"/>
            <w:tcW w:w="1813" w:type="dxa"/>
            <w:tcBorders>
              <w:bottom w:val="single" w:sz="8" w:space="0" w:color="FFFFFF"/>
            </w:tcBorders>
          </w:tcPr>
          <w:p w14:paraId="569E236F" w14:textId="25845B33" w:rsidR="004D7D4F" w:rsidRPr="00602824" w:rsidRDefault="005C4F4F" w:rsidP="008C0E64">
            <w:pPr>
              <w:pStyle w:val="TableNheader"/>
              <w:spacing w:before="60" w:after="60" w:line="240" w:lineRule="auto"/>
              <w:jc w:val="left"/>
              <w:rPr>
                <w:b/>
              </w:rPr>
            </w:pPr>
            <w:r w:rsidRPr="00602824">
              <w:t>CIED</w:t>
            </w:r>
          </w:p>
        </w:tc>
        <w:tc>
          <w:tcPr>
            <w:tcW w:w="7087" w:type="dxa"/>
          </w:tcPr>
          <w:p w14:paraId="0BC24081" w14:textId="44211005" w:rsidR="004D7D4F" w:rsidRPr="00602824" w:rsidRDefault="005C4F4F" w:rsidP="008C0E64">
            <w:pPr>
              <w:pStyle w:val="TableNText"/>
              <w:spacing w:before="60" w:after="60" w:line="240" w:lineRule="auto"/>
              <w:cnfStyle w:val="000000000000" w:firstRow="0" w:lastRow="0" w:firstColumn="0" w:lastColumn="0" w:oddVBand="0" w:evenVBand="0" w:oddHBand="0" w:evenHBand="0" w:firstRowFirstColumn="0" w:firstRowLastColumn="0" w:lastRowFirstColumn="0" w:lastRowLastColumn="0"/>
            </w:pPr>
            <w:r w:rsidRPr="00602824">
              <w:t xml:space="preserve">Cardiac </w:t>
            </w:r>
            <w:r w:rsidR="00F87405">
              <w:t>i</w:t>
            </w:r>
            <w:r w:rsidRPr="00602824">
              <w:t xml:space="preserve">mplantable </w:t>
            </w:r>
            <w:r w:rsidR="00F87405">
              <w:t>e</w:t>
            </w:r>
            <w:r w:rsidRPr="00602824">
              <w:t xml:space="preserve">lectronic </w:t>
            </w:r>
            <w:r w:rsidR="00F87405">
              <w:t>d</w:t>
            </w:r>
            <w:r w:rsidRPr="00602824">
              <w:t>evice</w:t>
            </w:r>
            <w:r w:rsidR="00F87405">
              <w:t>(s)</w:t>
            </w:r>
          </w:p>
        </w:tc>
      </w:tr>
      <w:tr w:rsidR="007C2D44" w:rsidRPr="00602824" w14:paraId="0A515A63" w14:textId="77777777" w:rsidTr="00D25B3C">
        <w:tc>
          <w:tcPr>
            <w:cnfStyle w:val="001000000000" w:firstRow="0" w:lastRow="0" w:firstColumn="1" w:lastColumn="0" w:oddVBand="0" w:evenVBand="0" w:oddHBand="0" w:evenHBand="0" w:firstRowFirstColumn="0" w:firstRowLastColumn="0" w:lastRowFirstColumn="0" w:lastRowLastColumn="0"/>
            <w:tcW w:w="1813" w:type="dxa"/>
            <w:tcBorders>
              <w:top w:val="single" w:sz="8" w:space="0" w:color="FFFFFF"/>
              <w:bottom w:val="single" w:sz="8" w:space="0" w:color="FFFFFF"/>
            </w:tcBorders>
          </w:tcPr>
          <w:p w14:paraId="45EB338A" w14:textId="5AA2AF9B" w:rsidR="005C4F4F" w:rsidRPr="00602824" w:rsidRDefault="00B76B60" w:rsidP="008C0E64">
            <w:pPr>
              <w:pStyle w:val="TableNheader"/>
              <w:spacing w:before="60" w:after="60" w:line="240" w:lineRule="auto"/>
              <w:jc w:val="left"/>
              <w:rPr>
                <w:b/>
              </w:rPr>
            </w:pPr>
            <w:r w:rsidRPr="00602824">
              <w:t xml:space="preserve">Consumers </w:t>
            </w:r>
          </w:p>
        </w:tc>
        <w:tc>
          <w:tcPr>
            <w:tcW w:w="7087" w:type="dxa"/>
          </w:tcPr>
          <w:p w14:paraId="6B252034" w14:textId="08A0D197" w:rsidR="005C4F4F" w:rsidRPr="00602824" w:rsidRDefault="00B76B60" w:rsidP="008C0E64">
            <w:pPr>
              <w:pStyle w:val="TableNText"/>
              <w:spacing w:before="60" w:after="60" w:line="240" w:lineRule="auto"/>
              <w:cnfStyle w:val="000000000000" w:firstRow="0" w:lastRow="0" w:firstColumn="0" w:lastColumn="0" w:oddVBand="0" w:evenVBand="0" w:oddHBand="0" w:evenHBand="0" w:firstRowFirstColumn="0" w:firstRowLastColumn="0" w:lastRowFirstColumn="0" w:lastRowLastColumn="0"/>
            </w:pPr>
            <w:r w:rsidRPr="00602824">
              <w:t xml:space="preserve">Also alternatively referred to </w:t>
            </w:r>
            <w:r w:rsidR="008E27B5" w:rsidRPr="00602824">
              <w:t xml:space="preserve">as </w:t>
            </w:r>
            <w:r w:rsidRPr="00602824">
              <w:rPr>
                <w:i/>
                <w:iCs/>
              </w:rPr>
              <w:t>patients</w:t>
            </w:r>
            <w:r w:rsidRPr="00602824">
              <w:t xml:space="preserve"> </w:t>
            </w:r>
          </w:p>
        </w:tc>
      </w:tr>
      <w:tr w:rsidR="007C2D44" w:rsidRPr="00602824" w14:paraId="4DF29E9B" w14:textId="77777777" w:rsidTr="00D25B3C">
        <w:tc>
          <w:tcPr>
            <w:cnfStyle w:val="001000000000" w:firstRow="0" w:lastRow="0" w:firstColumn="1" w:lastColumn="0" w:oddVBand="0" w:evenVBand="0" w:oddHBand="0" w:evenHBand="0" w:firstRowFirstColumn="0" w:firstRowLastColumn="0" w:lastRowFirstColumn="0" w:lastRowLastColumn="0"/>
            <w:tcW w:w="1813" w:type="dxa"/>
            <w:tcBorders>
              <w:top w:val="single" w:sz="8" w:space="0" w:color="FFFFFF"/>
              <w:bottom w:val="single" w:sz="8" w:space="0" w:color="FFFFFF"/>
            </w:tcBorders>
          </w:tcPr>
          <w:p w14:paraId="2A616B14" w14:textId="2C680DDB" w:rsidR="00B76B60" w:rsidRPr="00602824" w:rsidRDefault="00974101" w:rsidP="008C0E64">
            <w:pPr>
              <w:pStyle w:val="TableNheader"/>
              <w:spacing w:before="60" w:after="60" w:line="240" w:lineRule="auto"/>
              <w:jc w:val="left"/>
              <w:rPr>
                <w:b/>
              </w:rPr>
            </w:pPr>
            <w:r w:rsidRPr="00602824">
              <w:t>ECAG</w:t>
            </w:r>
          </w:p>
        </w:tc>
        <w:tc>
          <w:tcPr>
            <w:tcW w:w="7087" w:type="dxa"/>
          </w:tcPr>
          <w:p w14:paraId="7655A046" w14:textId="0EADD1BF" w:rsidR="00B76B60" w:rsidRPr="00602824" w:rsidRDefault="00974101" w:rsidP="008C0E64">
            <w:pPr>
              <w:pStyle w:val="TableNText"/>
              <w:spacing w:before="60" w:after="60" w:line="240" w:lineRule="auto"/>
              <w:cnfStyle w:val="000000000000" w:firstRow="0" w:lastRow="0" w:firstColumn="0" w:lastColumn="0" w:oddVBand="0" w:evenVBand="0" w:oddHBand="0" w:evenHBand="0" w:firstRowFirstColumn="0" w:firstRowLastColumn="0" w:lastRowFirstColumn="0" w:lastRowLastColumn="0"/>
            </w:pPr>
            <w:r w:rsidRPr="00602824">
              <w:t xml:space="preserve">Expert Clinical Advisory Committee </w:t>
            </w:r>
          </w:p>
        </w:tc>
      </w:tr>
      <w:tr w:rsidR="00AB0324" w:rsidRPr="00602824" w14:paraId="580FEE21" w14:textId="77777777" w:rsidTr="00D25B3C">
        <w:tc>
          <w:tcPr>
            <w:cnfStyle w:val="001000000000" w:firstRow="0" w:lastRow="0" w:firstColumn="1" w:lastColumn="0" w:oddVBand="0" w:evenVBand="0" w:oddHBand="0" w:evenHBand="0" w:firstRowFirstColumn="0" w:firstRowLastColumn="0" w:lastRowFirstColumn="0" w:lastRowLastColumn="0"/>
            <w:tcW w:w="1813" w:type="dxa"/>
            <w:tcBorders>
              <w:top w:val="single" w:sz="8" w:space="0" w:color="FFFFFF"/>
              <w:bottom w:val="single" w:sz="8" w:space="0" w:color="FFFFFF"/>
            </w:tcBorders>
          </w:tcPr>
          <w:p w14:paraId="79EF4069" w14:textId="0F4D848F" w:rsidR="00AB0324" w:rsidRPr="00602824" w:rsidRDefault="00AB0324" w:rsidP="00AB0324">
            <w:pPr>
              <w:pStyle w:val="TableNheader"/>
              <w:spacing w:before="60" w:after="60" w:line="240" w:lineRule="auto"/>
              <w:jc w:val="left"/>
            </w:pPr>
            <w:r>
              <w:t>FY</w:t>
            </w:r>
          </w:p>
        </w:tc>
        <w:tc>
          <w:tcPr>
            <w:tcW w:w="7087" w:type="dxa"/>
          </w:tcPr>
          <w:p w14:paraId="6A86FFCB" w14:textId="7B004B60" w:rsidR="00AB0324" w:rsidRPr="00602824" w:rsidRDefault="00AB0324" w:rsidP="008C0E64">
            <w:pPr>
              <w:pStyle w:val="TableNText"/>
              <w:spacing w:before="60" w:after="60" w:line="240" w:lineRule="auto"/>
              <w:cnfStyle w:val="000000000000" w:firstRow="0" w:lastRow="0" w:firstColumn="0" w:lastColumn="0" w:oddVBand="0" w:evenVBand="0" w:oddHBand="0" w:evenHBand="0" w:firstRowFirstColumn="0" w:firstRowLastColumn="0" w:lastRowFirstColumn="0" w:lastRowLastColumn="0"/>
            </w:pPr>
            <w:r>
              <w:t>Financial year</w:t>
            </w:r>
          </w:p>
        </w:tc>
      </w:tr>
      <w:tr w:rsidR="007C2D44" w:rsidRPr="00602824" w14:paraId="36D1F07E" w14:textId="77777777" w:rsidTr="00D25B3C">
        <w:tc>
          <w:tcPr>
            <w:cnfStyle w:val="001000000000" w:firstRow="0" w:lastRow="0" w:firstColumn="1" w:lastColumn="0" w:oddVBand="0" w:evenVBand="0" w:oddHBand="0" w:evenHBand="0" w:firstRowFirstColumn="0" w:firstRowLastColumn="0" w:lastRowFirstColumn="0" w:lastRowLastColumn="0"/>
            <w:tcW w:w="1813" w:type="dxa"/>
            <w:tcBorders>
              <w:top w:val="single" w:sz="8" w:space="0" w:color="FFFFFF"/>
              <w:bottom w:val="single" w:sz="8" w:space="0" w:color="FFFFFF"/>
            </w:tcBorders>
          </w:tcPr>
          <w:p w14:paraId="60FA9345" w14:textId="1991D4BA" w:rsidR="00170753" w:rsidRPr="00602824" w:rsidRDefault="00170753" w:rsidP="008C0E64">
            <w:pPr>
              <w:pStyle w:val="TableNheader"/>
              <w:spacing w:before="60" w:after="60" w:line="240" w:lineRule="auto"/>
              <w:jc w:val="left"/>
              <w:rPr>
                <w:b/>
              </w:rPr>
            </w:pPr>
            <w:r w:rsidRPr="00602824">
              <w:t>GUI</w:t>
            </w:r>
          </w:p>
        </w:tc>
        <w:tc>
          <w:tcPr>
            <w:tcW w:w="7087" w:type="dxa"/>
          </w:tcPr>
          <w:p w14:paraId="07F0AAB7" w14:textId="0A7DEEEF" w:rsidR="00170753" w:rsidRPr="00602824" w:rsidRDefault="00170753" w:rsidP="008C0E64">
            <w:pPr>
              <w:pStyle w:val="TableNText"/>
              <w:spacing w:before="60" w:after="60" w:line="240" w:lineRule="auto"/>
              <w:cnfStyle w:val="000000000000" w:firstRow="0" w:lastRow="0" w:firstColumn="0" w:lastColumn="0" w:oddVBand="0" w:evenVBand="0" w:oddHBand="0" w:evenHBand="0" w:firstRowFirstColumn="0" w:firstRowLastColumn="0" w:lastRowFirstColumn="0" w:lastRowLastColumn="0"/>
            </w:pPr>
            <w:r w:rsidRPr="00602824">
              <w:t xml:space="preserve">General </w:t>
            </w:r>
            <w:r w:rsidR="00BC4638">
              <w:t>u</w:t>
            </w:r>
            <w:r w:rsidRPr="00602824">
              <w:t xml:space="preserve">se </w:t>
            </w:r>
            <w:r w:rsidR="00BC4638">
              <w:t>i</w:t>
            </w:r>
            <w:r w:rsidRPr="00602824">
              <w:t>tem</w:t>
            </w:r>
          </w:p>
        </w:tc>
      </w:tr>
      <w:tr w:rsidR="00193D8E" w:rsidRPr="00602824" w14:paraId="50E76D11" w14:textId="77777777" w:rsidTr="00D25B3C">
        <w:tc>
          <w:tcPr>
            <w:cnfStyle w:val="001000000000" w:firstRow="0" w:lastRow="0" w:firstColumn="1" w:lastColumn="0" w:oddVBand="0" w:evenVBand="0" w:oddHBand="0" w:evenHBand="0" w:firstRowFirstColumn="0" w:firstRowLastColumn="0" w:lastRowFirstColumn="0" w:lastRowLastColumn="0"/>
            <w:tcW w:w="1813" w:type="dxa"/>
            <w:tcBorders>
              <w:top w:val="single" w:sz="8" w:space="0" w:color="FFFFFF"/>
              <w:bottom w:val="single" w:sz="8" w:space="0" w:color="FFFFFF"/>
            </w:tcBorders>
          </w:tcPr>
          <w:p w14:paraId="05F24221" w14:textId="3C1AAB9A" w:rsidR="00193D8E" w:rsidRDefault="00193D8E" w:rsidP="00193D8E">
            <w:pPr>
              <w:pStyle w:val="TableNheader"/>
              <w:spacing w:before="60" w:after="60" w:line="240" w:lineRule="auto"/>
              <w:jc w:val="left"/>
            </w:pPr>
            <w:r>
              <w:t>HIB</w:t>
            </w:r>
          </w:p>
        </w:tc>
        <w:tc>
          <w:tcPr>
            <w:tcW w:w="7087" w:type="dxa"/>
          </w:tcPr>
          <w:p w14:paraId="39DF91C1" w14:textId="65A36E51" w:rsidR="00193D8E" w:rsidRDefault="00193D8E" w:rsidP="008C0E64">
            <w:pPr>
              <w:pStyle w:val="TableNText"/>
              <w:spacing w:before="60" w:after="60" w:line="240" w:lineRule="auto"/>
              <w:cnfStyle w:val="000000000000" w:firstRow="0" w:lastRow="0" w:firstColumn="0" w:lastColumn="0" w:oddVBand="0" w:evenVBand="0" w:oddHBand="0" w:evenHBand="0" w:firstRowFirstColumn="0" w:firstRowLastColumn="0" w:lastRowFirstColumn="0" w:lastRowLastColumn="0"/>
            </w:pPr>
            <w:r>
              <w:t>Health insurance business</w:t>
            </w:r>
          </w:p>
        </w:tc>
      </w:tr>
      <w:tr w:rsidR="00AB0324" w:rsidRPr="00602824" w14:paraId="1D0A7514" w14:textId="77777777" w:rsidTr="00D25B3C">
        <w:tc>
          <w:tcPr>
            <w:cnfStyle w:val="001000000000" w:firstRow="0" w:lastRow="0" w:firstColumn="1" w:lastColumn="0" w:oddVBand="0" w:evenVBand="0" w:oddHBand="0" w:evenHBand="0" w:firstRowFirstColumn="0" w:firstRowLastColumn="0" w:lastRowFirstColumn="0" w:lastRowLastColumn="0"/>
            <w:tcW w:w="1813" w:type="dxa"/>
            <w:tcBorders>
              <w:top w:val="single" w:sz="8" w:space="0" w:color="FFFFFF"/>
              <w:bottom w:val="single" w:sz="8" w:space="0" w:color="FFFFFF"/>
            </w:tcBorders>
          </w:tcPr>
          <w:p w14:paraId="1D6FABFC" w14:textId="5FC06A15" w:rsidR="00AB0324" w:rsidRPr="00602824" w:rsidRDefault="00AB0324" w:rsidP="00AB0324">
            <w:pPr>
              <w:pStyle w:val="TableNheader"/>
              <w:spacing w:before="60" w:after="60" w:line="240" w:lineRule="auto"/>
              <w:jc w:val="left"/>
            </w:pPr>
            <w:r>
              <w:t>H</w:t>
            </w:r>
            <w:r w:rsidR="00193D8E">
              <w:t>PP</w:t>
            </w:r>
          </w:p>
        </w:tc>
        <w:tc>
          <w:tcPr>
            <w:tcW w:w="7087" w:type="dxa"/>
          </w:tcPr>
          <w:p w14:paraId="60259678" w14:textId="3254E12E" w:rsidR="00AB0324" w:rsidRPr="00602824" w:rsidRDefault="00193D8E" w:rsidP="008C0E64">
            <w:pPr>
              <w:pStyle w:val="TableNText"/>
              <w:spacing w:before="60" w:after="60" w:line="240" w:lineRule="auto"/>
              <w:cnfStyle w:val="000000000000" w:firstRow="0" w:lastRow="0" w:firstColumn="0" w:lastColumn="0" w:oddVBand="0" w:evenVBand="0" w:oddHBand="0" w:evenHBand="0" w:firstRowFirstColumn="0" w:firstRowLastColumn="0" w:lastRowFirstColumn="0" w:lastRowLastColumn="0"/>
            </w:pPr>
            <w:r w:rsidRPr="00602824">
              <w:t>Health Products Portal</w:t>
            </w:r>
          </w:p>
        </w:tc>
      </w:tr>
      <w:tr w:rsidR="007C2D44" w:rsidRPr="00602824" w14:paraId="734B52E1" w14:textId="77777777" w:rsidTr="00D25B3C">
        <w:tc>
          <w:tcPr>
            <w:cnfStyle w:val="001000000000" w:firstRow="0" w:lastRow="0" w:firstColumn="1" w:lastColumn="0" w:oddVBand="0" w:evenVBand="0" w:oddHBand="0" w:evenHBand="0" w:firstRowFirstColumn="0" w:firstRowLastColumn="0" w:lastRowFirstColumn="0" w:lastRowLastColumn="0"/>
            <w:tcW w:w="1813" w:type="dxa"/>
            <w:tcBorders>
              <w:top w:val="single" w:sz="8" w:space="0" w:color="FFFFFF"/>
              <w:bottom w:val="single" w:sz="8" w:space="0" w:color="FFFFFF"/>
            </w:tcBorders>
          </w:tcPr>
          <w:p w14:paraId="1C44E109" w14:textId="3D757F41" w:rsidR="00170753" w:rsidRPr="00602824" w:rsidRDefault="00170753" w:rsidP="008C0E64">
            <w:pPr>
              <w:pStyle w:val="TableNheader"/>
              <w:spacing w:before="60" w:after="60" w:line="240" w:lineRule="auto"/>
              <w:jc w:val="left"/>
              <w:rPr>
                <w:b/>
              </w:rPr>
            </w:pPr>
            <w:r w:rsidRPr="00602824">
              <w:t>H</w:t>
            </w:r>
            <w:r w:rsidR="00193D8E">
              <w:t>T</w:t>
            </w:r>
          </w:p>
        </w:tc>
        <w:tc>
          <w:tcPr>
            <w:tcW w:w="7087" w:type="dxa"/>
          </w:tcPr>
          <w:p w14:paraId="1979DE21" w14:textId="74A36204" w:rsidR="00170753" w:rsidRPr="00602824" w:rsidRDefault="00193D8E" w:rsidP="008C0E64">
            <w:pPr>
              <w:pStyle w:val="TableNText"/>
              <w:spacing w:before="60" w:after="60" w:line="240" w:lineRule="auto"/>
              <w:cnfStyle w:val="000000000000" w:firstRow="0" w:lastRow="0" w:firstColumn="0" w:lastColumn="0" w:oddVBand="0" w:evenVBand="0" w:oddHBand="0" w:evenHBand="0" w:firstRowFirstColumn="0" w:firstRowLastColumn="0" w:lastRowFirstColumn="0" w:lastRowLastColumn="0"/>
            </w:pPr>
            <w:r>
              <w:t>Hospital treatment</w:t>
            </w:r>
            <w:r w:rsidR="00170753" w:rsidRPr="00602824">
              <w:t xml:space="preserve"> </w:t>
            </w:r>
          </w:p>
        </w:tc>
      </w:tr>
      <w:tr w:rsidR="007C2D44" w:rsidRPr="00602824" w14:paraId="3D786E8D" w14:textId="77777777" w:rsidTr="00D25B3C">
        <w:tc>
          <w:tcPr>
            <w:cnfStyle w:val="001000000000" w:firstRow="0" w:lastRow="0" w:firstColumn="1" w:lastColumn="0" w:oddVBand="0" w:evenVBand="0" w:oddHBand="0" w:evenHBand="0" w:firstRowFirstColumn="0" w:firstRowLastColumn="0" w:lastRowFirstColumn="0" w:lastRowLastColumn="0"/>
            <w:tcW w:w="1813" w:type="dxa"/>
            <w:tcBorders>
              <w:top w:val="single" w:sz="8" w:space="0" w:color="FFFFFF"/>
              <w:bottom w:val="single" w:sz="8" w:space="0" w:color="FFFFFF"/>
            </w:tcBorders>
          </w:tcPr>
          <w:p w14:paraId="6A21A7E4" w14:textId="1D5439C6" w:rsidR="002E6133" w:rsidRPr="00602824" w:rsidRDefault="002E6133" w:rsidP="008C0E64">
            <w:pPr>
              <w:pStyle w:val="TableNheader"/>
              <w:spacing w:before="60" w:after="60" w:line="240" w:lineRule="auto"/>
              <w:jc w:val="left"/>
              <w:rPr>
                <w:b/>
              </w:rPr>
            </w:pPr>
            <w:r w:rsidRPr="00602824">
              <w:t>HTA</w:t>
            </w:r>
          </w:p>
        </w:tc>
        <w:tc>
          <w:tcPr>
            <w:tcW w:w="7087" w:type="dxa"/>
          </w:tcPr>
          <w:p w14:paraId="2832BC8E" w14:textId="4E4ABFEF" w:rsidR="002E6133" w:rsidRPr="00602824" w:rsidRDefault="002E6133" w:rsidP="008C0E64">
            <w:pPr>
              <w:pStyle w:val="TableNText"/>
              <w:spacing w:before="60" w:after="60" w:line="240" w:lineRule="auto"/>
              <w:cnfStyle w:val="000000000000" w:firstRow="0" w:lastRow="0" w:firstColumn="0" w:lastColumn="0" w:oddVBand="0" w:evenVBand="0" w:oddHBand="0" w:evenHBand="0" w:firstRowFirstColumn="0" w:firstRowLastColumn="0" w:lastRowFirstColumn="0" w:lastRowLastColumn="0"/>
            </w:pPr>
            <w:r w:rsidRPr="00602824">
              <w:t xml:space="preserve">Health Technology Assessment </w:t>
            </w:r>
          </w:p>
        </w:tc>
      </w:tr>
      <w:tr w:rsidR="007C2D44" w:rsidRPr="00602824" w14:paraId="472B5860" w14:textId="77777777" w:rsidTr="00D25B3C">
        <w:tc>
          <w:tcPr>
            <w:cnfStyle w:val="001000000000" w:firstRow="0" w:lastRow="0" w:firstColumn="1" w:lastColumn="0" w:oddVBand="0" w:evenVBand="0" w:oddHBand="0" w:evenHBand="0" w:firstRowFirstColumn="0" w:firstRowLastColumn="0" w:lastRowFirstColumn="0" w:lastRowLastColumn="0"/>
            <w:tcW w:w="1813" w:type="dxa"/>
            <w:tcBorders>
              <w:top w:val="single" w:sz="8" w:space="0" w:color="FFFFFF"/>
              <w:bottom w:val="single" w:sz="8" w:space="0" w:color="FFFFFF"/>
            </w:tcBorders>
          </w:tcPr>
          <w:p w14:paraId="6774AC21" w14:textId="525A7765" w:rsidR="00170753" w:rsidRPr="00602824" w:rsidRDefault="00170753" w:rsidP="008C0E64">
            <w:pPr>
              <w:pStyle w:val="TableNheader"/>
              <w:spacing w:before="60" w:after="60" w:line="240" w:lineRule="auto"/>
              <w:jc w:val="left"/>
              <w:rPr>
                <w:b/>
              </w:rPr>
            </w:pPr>
            <w:r w:rsidRPr="00602824">
              <w:t>IHACPA</w:t>
            </w:r>
          </w:p>
        </w:tc>
        <w:tc>
          <w:tcPr>
            <w:tcW w:w="7087" w:type="dxa"/>
          </w:tcPr>
          <w:p w14:paraId="01FC4D3A" w14:textId="6C974CD3" w:rsidR="00170753" w:rsidRPr="00602824" w:rsidRDefault="008E27B5" w:rsidP="008C0E64">
            <w:pPr>
              <w:pStyle w:val="TableNText"/>
              <w:spacing w:before="60" w:after="60" w:line="240" w:lineRule="auto"/>
              <w:cnfStyle w:val="000000000000" w:firstRow="0" w:lastRow="0" w:firstColumn="0" w:lastColumn="0" w:oddVBand="0" w:evenVBand="0" w:oddHBand="0" w:evenHBand="0" w:firstRowFirstColumn="0" w:firstRowLastColumn="0" w:lastRowFirstColumn="0" w:lastRowLastColumn="0"/>
            </w:pPr>
            <w:r w:rsidRPr="00602824">
              <w:t>Independent Health and Aged Care Pricing Authority</w:t>
            </w:r>
          </w:p>
        </w:tc>
      </w:tr>
      <w:tr w:rsidR="007C2D44" w:rsidRPr="00602824" w14:paraId="13B57EF9" w14:textId="77777777" w:rsidTr="00D25B3C">
        <w:tc>
          <w:tcPr>
            <w:cnfStyle w:val="001000000000" w:firstRow="0" w:lastRow="0" w:firstColumn="1" w:lastColumn="0" w:oddVBand="0" w:evenVBand="0" w:oddHBand="0" w:evenHBand="0" w:firstRowFirstColumn="0" w:firstRowLastColumn="0" w:lastRowFirstColumn="0" w:lastRowLastColumn="0"/>
            <w:tcW w:w="1813" w:type="dxa"/>
            <w:tcBorders>
              <w:top w:val="single" w:sz="8" w:space="0" w:color="FFFFFF"/>
              <w:bottom w:val="single" w:sz="8" w:space="0" w:color="FFFFFF"/>
            </w:tcBorders>
          </w:tcPr>
          <w:p w14:paraId="6B8D5786" w14:textId="5F456D04" w:rsidR="009E355E" w:rsidRPr="00602824" w:rsidRDefault="009E355E" w:rsidP="008C0E64">
            <w:pPr>
              <w:pStyle w:val="TableNheader"/>
              <w:spacing w:before="60" w:after="60" w:line="240" w:lineRule="auto"/>
              <w:jc w:val="left"/>
              <w:rPr>
                <w:b/>
              </w:rPr>
            </w:pPr>
            <w:r w:rsidRPr="00602824">
              <w:t>IECT</w:t>
            </w:r>
          </w:p>
        </w:tc>
        <w:tc>
          <w:tcPr>
            <w:tcW w:w="7087" w:type="dxa"/>
          </w:tcPr>
          <w:p w14:paraId="2863B222" w14:textId="0DD8C49E" w:rsidR="009E355E" w:rsidRPr="00602824" w:rsidRDefault="009E355E" w:rsidP="008C0E64">
            <w:pPr>
              <w:pStyle w:val="TableNText"/>
              <w:spacing w:before="60" w:after="60" w:line="240" w:lineRule="auto"/>
              <w:cnfStyle w:val="000000000000" w:firstRow="0" w:lastRow="0" w:firstColumn="0" w:lastColumn="0" w:oddVBand="0" w:evenVBand="0" w:oddHBand="0" w:evenHBand="0" w:firstRowFirstColumn="0" w:firstRowLastColumn="0" w:lastRowFirstColumn="0" w:lastRowLastColumn="0"/>
            </w:pPr>
            <w:r w:rsidRPr="00602824">
              <w:t xml:space="preserve">Industry Employed Cardiac Technician </w:t>
            </w:r>
          </w:p>
        </w:tc>
      </w:tr>
      <w:tr w:rsidR="00193D8E" w:rsidRPr="00602824" w14:paraId="08F6DA69" w14:textId="77777777" w:rsidTr="00D25B3C">
        <w:tc>
          <w:tcPr>
            <w:cnfStyle w:val="001000000000" w:firstRow="0" w:lastRow="0" w:firstColumn="1" w:lastColumn="0" w:oddVBand="0" w:evenVBand="0" w:oddHBand="0" w:evenHBand="0" w:firstRowFirstColumn="0" w:firstRowLastColumn="0" w:lastRowFirstColumn="0" w:lastRowLastColumn="0"/>
            <w:tcW w:w="1813" w:type="dxa"/>
            <w:tcBorders>
              <w:top w:val="single" w:sz="8" w:space="0" w:color="FFFFFF"/>
              <w:bottom w:val="single" w:sz="8" w:space="0" w:color="FFFFFF"/>
            </w:tcBorders>
          </w:tcPr>
          <w:p w14:paraId="15C630B1" w14:textId="5A6FABC8" w:rsidR="00193D8E" w:rsidRPr="00602824" w:rsidRDefault="00193D8E" w:rsidP="00193D8E">
            <w:pPr>
              <w:pStyle w:val="TableNheader"/>
              <w:spacing w:before="60" w:after="60" w:line="240" w:lineRule="auto"/>
              <w:jc w:val="left"/>
            </w:pPr>
            <w:r>
              <w:t>KEQ</w:t>
            </w:r>
          </w:p>
        </w:tc>
        <w:tc>
          <w:tcPr>
            <w:tcW w:w="7087" w:type="dxa"/>
          </w:tcPr>
          <w:p w14:paraId="6F46C4C0" w14:textId="15F1C199" w:rsidR="00193D8E" w:rsidRPr="00602824" w:rsidRDefault="00193D8E" w:rsidP="008C0E64">
            <w:pPr>
              <w:pStyle w:val="TableNText"/>
              <w:spacing w:before="60" w:after="60" w:line="240" w:lineRule="auto"/>
              <w:cnfStyle w:val="000000000000" w:firstRow="0" w:lastRow="0" w:firstColumn="0" w:lastColumn="0" w:oddVBand="0" w:evenVBand="0" w:oddHBand="0" w:evenHBand="0" w:firstRowFirstColumn="0" w:firstRowLastColumn="0" w:lastRowFirstColumn="0" w:lastRowLastColumn="0"/>
            </w:pPr>
            <w:r>
              <w:t>Key evaluation question</w:t>
            </w:r>
          </w:p>
        </w:tc>
      </w:tr>
      <w:tr w:rsidR="0020408A" w:rsidRPr="00602824" w14:paraId="6D09B605" w14:textId="77777777" w:rsidTr="00D25B3C">
        <w:tc>
          <w:tcPr>
            <w:cnfStyle w:val="001000000000" w:firstRow="0" w:lastRow="0" w:firstColumn="1" w:lastColumn="0" w:oddVBand="0" w:evenVBand="0" w:oddHBand="0" w:evenHBand="0" w:firstRowFirstColumn="0" w:firstRowLastColumn="0" w:lastRowFirstColumn="0" w:lastRowLastColumn="0"/>
            <w:tcW w:w="1813" w:type="dxa"/>
            <w:tcBorders>
              <w:top w:val="single" w:sz="8" w:space="0" w:color="FFFFFF"/>
              <w:bottom w:val="single" w:sz="8" w:space="0" w:color="FFFFFF"/>
            </w:tcBorders>
          </w:tcPr>
          <w:p w14:paraId="505D451D" w14:textId="52C3CB2F" w:rsidR="0020408A" w:rsidRPr="00602824" w:rsidRDefault="0020408A" w:rsidP="0020408A">
            <w:pPr>
              <w:pStyle w:val="TableNheader"/>
              <w:spacing w:before="60" w:after="60" w:line="240" w:lineRule="auto"/>
              <w:jc w:val="left"/>
            </w:pPr>
            <w:r>
              <w:t>LPP</w:t>
            </w:r>
          </w:p>
        </w:tc>
        <w:tc>
          <w:tcPr>
            <w:tcW w:w="7087" w:type="dxa"/>
          </w:tcPr>
          <w:p w14:paraId="25313D4F" w14:textId="65725C08" w:rsidR="0020408A" w:rsidRPr="00602824" w:rsidRDefault="0020408A" w:rsidP="008C0E64">
            <w:pPr>
              <w:pStyle w:val="TableNText"/>
              <w:spacing w:before="60" w:after="60" w:line="240" w:lineRule="auto"/>
              <w:cnfStyle w:val="000000000000" w:firstRow="0" w:lastRow="0" w:firstColumn="0" w:lastColumn="0" w:oddVBand="0" w:evenVBand="0" w:oddHBand="0" w:evenHBand="0" w:firstRowFirstColumn="0" w:firstRowLastColumn="0" w:lastRowFirstColumn="0" w:lastRowLastColumn="0"/>
            </w:pPr>
            <w:proofErr w:type="spellStart"/>
            <w:r w:rsidRPr="0020408A">
              <w:t>Liste</w:t>
            </w:r>
            <w:proofErr w:type="spellEnd"/>
            <w:r w:rsidRPr="0020408A">
              <w:t xml:space="preserve"> des </w:t>
            </w:r>
            <w:proofErr w:type="spellStart"/>
            <w:r w:rsidRPr="0020408A">
              <w:t>Produits</w:t>
            </w:r>
            <w:proofErr w:type="spellEnd"/>
            <w:r w:rsidRPr="0020408A">
              <w:t xml:space="preserve"> et </w:t>
            </w:r>
            <w:proofErr w:type="spellStart"/>
            <w:r w:rsidRPr="0020408A">
              <w:t>Prestations</w:t>
            </w:r>
            <w:proofErr w:type="spellEnd"/>
          </w:p>
        </w:tc>
      </w:tr>
      <w:tr w:rsidR="007C2D44" w:rsidRPr="00602824" w14:paraId="49B59CDB" w14:textId="77777777" w:rsidTr="00D25B3C">
        <w:tc>
          <w:tcPr>
            <w:cnfStyle w:val="001000000000" w:firstRow="0" w:lastRow="0" w:firstColumn="1" w:lastColumn="0" w:oddVBand="0" w:evenVBand="0" w:oddHBand="0" w:evenHBand="0" w:firstRowFirstColumn="0" w:firstRowLastColumn="0" w:lastRowFirstColumn="0" w:lastRowLastColumn="0"/>
            <w:tcW w:w="1813" w:type="dxa"/>
            <w:tcBorders>
              <w:top w:val="single" w:sz="8" w:space="0" w:color="FFFFFF"/>
              <w:bottom w:val="single" w:sz="8" w:space="0" w:color="FFFFFF"/>
            </w:tcBorders>
          </w:tcPr>
          <w:p w14:paraId="1CE0617B" w14:textId="117B2AF2" w:rsidR="009E355E" w:rsidRPr="00602824" w:rsidRDefault="007971AF" w:rsidP="008C0E64">
            <w:pPr>
              <w:pStyle w:val="TableNheader"/>
              <w:spacing w:before="60" w:after="60" w:line="240" w:lineRule="auto"/>
              <w:jc w:val="left"/>
              <w:rPr>
                <w:b/>
              </w:rPr>
            </w:pPr>
            <w:r w:rsidRPr="00602824">
              <w:t>MDHTAC</w:t>
            </w:r>
          </w:p>
        </w:tc>
        <w:tc>
          <w:tcPr>
            <w:tcW w:w="7087" w:type="dxa"/>
          </w:tcPr>
          <w:p w14:paraId="67086FCB" w14:textId="6F2FE253" w:rsidR="009E355E" w:rsidRPr="00602824" w:rsidRDefault="007971AF" w:rsidP="008C0E64">
            <w:pPr>
              <w:pStyle w:val="TableNText"/>
              <w:spacing w:before="60" w:after="60" w:line="240" w:lineRule="auto"/>
              <w:cnfStyle w:val="000000000000" w:firstRow="0" w:lastRow="0" w:firstColumn="0" w:lastColumn="0" w:oddVBand="0" w:evenVBand="0" w:oddHBand="0" w:evenHBand="0" w:firstRowFirstColumn="0" w:firstRowLastColumn="0" w:lastRowFirstColumn="0" w:lastRowLastColumn="0"/>
            </w:pPr>
            <w:r w:rsidRPr="00602824">
              <w:t>Medical Device and Human Tissue Advisory Committee</w:t>
            </w:r>
          </w:p>
        </w:tc>
      </w:tr>
      <w:tr w:rsidR="007C2D44" w:rsidRPr="00602824" w14:paraId="5094E472" w14:textId="77777777" w:rsidTr="00D25B3C">
        <w:tc>
          <w:tcPr>
            <w:cnfStyle w:val="001000000000" w:firstRow="0" w:lastRow="0" w:firstColumn="1" w:lastColumn="0" w:oddVBand="0" w:evenVBand="0" w:oddHBand="0" w:evenHBand="0" w:firstRowFirstColumn="0" w:firstRowLastColumn="0" w:lastRowFirstColumn="0" w:lastRowLastColumn="0"/>
            <w:tcW w:w="1813" w:type="dxa"/>
            <w:tcBorders>
              <w:top w:val="single" w:sz="8" w:space="0" w:color="FFFFFF"/>
              <w:bottom w:val="single" w:sz="8" w:space="0" w:color="FFFFFF"/>
            </w:tcBorders>
          </w:tcPr>
          <w:p w14:paraId="71F83F1F" w14:textId="192174F1" w:rsidR="008E27B5" w:rsidRPr="00602824" w:rsidRDefault="008E27B5" w:rsidP="008C0E64">
            <w:pPr>
              <w:pStyle w:val="TableNheader"/>
              <w:spacing w:before="60" w:after="60" w:line="240" w:lineRule="auto"/>
              <w:jc w:val="left"/>
              <w:rPr>
                <w:b/>
              </w:rPr>
            </w:pPr>
            <w:r w:rsidRPr="00602824">
              <w:t>Medical device sponsor</w:t>
            </w:r>
          </w:p>
        </w:tc>
        <w:tc>
          <w:tcPr>
            <w:tcW w:w="7087" w:type="dxa"/>
          </w:tcPr>
          <w:p w14:paraId="5B9A7C06" w14:textId="28F78CF0" w:rsidR="008E27B5" w:rsidRPr="00602824" w:rsidRDefault="00DB22D4" w:rsidP="008C0E64">
            <w:pPr>
              <w:pStyle w:val="TableNText"/>
              <w:spacing w:before="60" w:after="60" w:line="240" w:lineRule="auto"/>
              <w:cnfStyle w:val="000000000000" w:firstRow="0" w:lastRow="0" w:firstColumn="0" w:lastColumn="0" w:oddVBand="0" w:evenVBand="0" w:oddHBand="0" w:evenHBand="0" w:firstRowFirstColumn="0" w:firstRowLastColumn="0" w:lastRowFirstColumn="0" w:lastRowLastColumn="0"/>
              <w:rPr>
                <w:i/>
                <w:iCs/>
              </w:rPr>
            </w:pPr>
            <w:r w:rsidRPr="00602824">
              <w:t>A</w:t>
            </w:r>
            <w:r w:rsidR="00610B1A" w:rsidRPr="00602824">
              <w:t>lso a</w:t>
            </w:r>
            <w:r w:rsidRPr="00602824">
              <w:t>lternatively</w:t>
            </w:r>
            <w:r w:rsidR="008E27B5" w:rsidRPr="00602824">
              <w:t xml:space="preserve"> referred to as </w:t>
            </w:r>
            <w:r w:rsidR="008E27B5" w:rsidRPr="00602824">
              <w:rPr>
                <w:i/>
                <w:iCs/>
              </w:rPr>
              <w:t>medical technology company</w:t>
            </w:r>
            <w:r w:rsidR="00014C93">
              <w:rPr>
                <w:i/>
                <w:iCs/>
              </w:rPr>
              <w:t xml:space="preserve"> </w:t>
            </w:r>
            <w:r w:rsidR="00014C93">
              <w:t>or</w:t>
            </w:r>
            <w:r w:rsidR="008E27B5" w:rsidRPr="00602824">
              <w:rPr>
                <w:i/>
                <w:iCs/>
              </w:rPr>
              <w:t xml:space="preserve"> medical technology </w:t>
            </w:r>
            <w:r w:rsidR="00014C93">
              <w:rPr>
                <w:i/>
                <w:iCs/>
              </w:rPr>
              <w:t>sponsor</w:t>
            </w:r>
          </w:p>
        </w:tc>
      </w:tr>
      <w:tr w:rsidR="007C2D44" w:rsidRPr="00602824" w14:paraId="23E999D7" w14:textId="77777777" w:rsidTr="00D25B3C">
        <w:tc>
          <w:tcPr>
            <w:cnfStyle w:val="001000000000" w:firstRow="0" w:lastRow="0" w:firstColumn="1" w:lastColumn="0" w:oddVBand="0" w:evenVBand="0" w:oddHBand="0" w:evenHBand="0" w:firstRowFirstColumn="0" w:firstRowLastColumn="0" w:lastRowFirstColumn="0" w:lastRowLastColumn="0"/>
            <w:tcW w:w="1813" w:type="dxa"/>
            <w:tcBorders>
              <w:top w:val="single" w:sz="8" w:space="0" w:color="FFFFFF"/>
              <w:bottom w:val="single" w:sz="8" w:space="0" w:color="FFFFFF"/>
            </w:tcBorders>
          </w:tcPr>
          <w:p w14:paraId="27E076BD" w14:textId="2DC86A1C" w:rsidR="008E27B5" w:rsidRPr="00602824" w:rsidRDefault="007971AF" w:rsidP="008C0E64">
            <w:pPr>
              <w:pStyle w:val="TableNheader"/>
              <w:spacing w:before="60" w:after="60" w:line="240" w:lineRule="auto"/>
              <w:jc w:val="left"/>
              <w:rPr>
                <w:b/>
              </w:rPr>
            </w:pPr>
            <w:r w:rsidRPr="00602824">
              <w:t>MOU</w:t>
            </w:r>
          </w:p>
        </w:tc>
        <w:tc>
          <w:tcPr>
            <w:tcW w:w="7087" w:type="dxa"/>
          </w:tcPr>
          <w:p w14:paraId="6937FCC9" w14:textId="0C49494A" w:rsidR="008E27B5" w:rsidRPr="00602824" w:rsidRDefault="000A422F" w:rsidP="008C0E64">
            <w:pPr>
              <w:pStyle w:val="TableNText"/>
              <w:spacing w:before="60" w:after="60" w:line="240" w:lineRule="auto"/>
              <w:cnfStyle w:val="000000000000" w:firstRow="0" w:lastRow="0" w:firstColumn="0" w:lastColumn="0" w:oddVBand="0" w:evenVBand="0" w:oddHBand="0" w:evenHBand="0" w:firstRowFirstColumn="0" w:firstRowLastColumn="0" w:lastRowFirstColumn="0" w:lastRowLastColumn="0"/>
            </w:pPr>
            <w:r w:rsidRPr="00602824">
              <w:t>Memorandum of Understanding</w:t>
            </w:r>
          </w:p>
        </w:tc>
      </w:tr>
      <w:tr w:rsidR="007C2D44" w:rsidRPr="00602824" w14:paraId="4919F024" w14:textId="77777777" w:rsidTr="00D25B3C">
        <w:tc>
          <w:tcPr>
            <w:cnfStyle w:val="001000000000" w:firstRow="0" w:lastRow="0" w:firstColumn="1" w:lastColumn="0" w:oddVBand="0" w:evenVBand="0" w:oddHBand="0" w:evenHBand="0" w:firstRowFirstColumn="0" w:firstRowLastColumn="0" w:lastRowFirstColumn="0" w:lastRowLastColumn="0"/>
            <w:tcW w:w="1813" w:type="dxa"/>
            <w:tcBorders>
              <w:top w:val="single" w:sz="8" w:space="0" w:color="FFFFFF"/>
              <w:bottom w:val="single" w:sz="8" w:space="0" w:color="FFFFFF"/>
            </w:tcBorders>
          </w:tcPr>
          <w:p w14:paraId="476EDBFA" w14:textId="1D258D98" w:rsidR="000A422F" w:rsidRPr="00602824" w:rsidRDefault="000A422F" w:rsidP="008C0E64">
            <w:pPr>
              <w:pStyle w:val="TableNheader"/>
              <w:spacing w:before="60" w:after="60" w:line="240" w:lineRule="auto"/>
              <w:jc w:val="left"/>
              <w:rPr>
                <w:b/>
              </w:rPr>
            </w:pPr>
            <w:r w:rsidRPr="00602824">
              <w:t>MSAC</w:t>
            </w:r>
          </w:p>
        </w:tc>
        <w:tc>
          <w:tcPr>
            <w:tcW w:w="7087" w:type="dxa"/>
          </w:tcPr>
          <w:p w14:paraId="02F9ED86" w14:textId="3BD02E34" w:rsidR="000A422F" w:rsidRPr="00602824" w:rsidRDefault="002E6133" w:rsidP="008C0E64">
            <w:pPr>
              <w:pStyle w:val="TableNText"/>
              <w:spacing w:before="60" w:after="60" w:line="240" w:lineRule="auto"/>
              <w:cnfStyle w:val="000000000000" w:firstRow="0" w:lastRow="0" w:firstColumn="0" w:lastColumn="0" w:oddVBand="0" w:evenVBand="0" w:oddHBand="0" w:evenHBand="0" w:firstRowFirstColumn="0" w:firstRowLastColumn="0" w:lastRowFirstColumn="0" w:lastRowLastColumn="0"/>
            </w:pPr>
            <w:r w:rsidRPr="00602824">
              <w:t>Medical Servi</w:t>
            </w:r>
            <w:r w:rsidR="0037119E">
              <w:t>c</w:t>
            </w:r>
            <w:r w:rsidRPr="00602824">
              <w:t>es Advisory Committee</w:t>
            </w:r>
          </w:p>
        </w:tc>
      </w:tr>
      <w:tr w:rsidR="007C2D44" w:rsidRPr="00602824" w14:paraId="5E7F415F" w14:textId="77777777" w:rsidTr="00D25B3C">
        <w:tc>
          <w:tcPr>
            <w:cnfStyle w:val="001000000000" w:firstRow="0" w:lastRow="0" w:firstColumn="1" w:lastColumn="0" w:oddVBand="0" w:evenVBand="0" w:oddHBand="0" w:evenHBand="0" w:firstRowFirstColumn="0" w:firstRowLastColumn="0" w:lastRowFirstColumn="0" w:lastRowLastColumn="0"/>
            <w:tcW w:w="1813" w:type="dxa"/>
            <w:tcBorders>
              <w:top w:val="single" w:sz="8" w:space="0" w:color="FFFFFF"/>
              <w:bottom w:val="single" w:sz="8" w:space="0" w:color="FFFFFF"/>
            </w:tcBorders>
          </w:tcPr>
          <w:p w14:paraId="0EB1EC1A" w14:textId="7A14BB84" w:rsidR="002E6133" w:rsidRPr="00602824" w:rsidRDefault="002E6133" w:rsidP="008C0E64">
            <w:pPr>
              <w:pStyle w:val="TableNheader"/>
              <w:spacing w:before="60" w:after="60" w:line="240" w:lineRule="auto"/>
              <w:jc w:val="left"/>
              <w:rPr>
                <w:b/>
              </w:rPr>
            </w:pPr>
            <w:r w:rsidRPr="00602824">
              <w:t>PHI</w:t>
            </w:r>
          </w:p>
        </w:tc>
        <w:tc>
          <w:tcPr>
            <w:tcW w:w="7087" w:type="dxa"/>
          </w:tcPr>
          <w:p w14:paraId="5ABB4CD4" w14:textId="1689D191" w:rsidR="002E6133" w:rsidRPr="00602824" w:rsidRDefault="002E6133" w:rsidP="008C0E64">
            <w:pPr>
              <w:pStyle w:val="TableNText"/>
              <w:spacing w:before="60" w:after="60" w:line="240" w:lineRule="auto"/>
              <w:cnfStyle w:val="000000000000" w:firstRow="0" w:lastRow="0" w:firstColumn="0" w:lastColumn="0" w:oddVBand="0" w:evenVBand="0" w:oddHBand="0" w:evenHBand="0" w:firstRowFirstColumn="0" w:firstRowLastColumn="0" w:lastRowFirstColumn="0" w:lastRowLastColumn="0"/>
            </w:pPr>
            <w:r w:rsidRPr="00602824">
              <w:t>Private Health Insurance</w:t>
            </w:r>
          </w:p>
        </w:tc>
      </w:tr>
      <w:tr w:rsidR="007C2D44" w:rsidRPr="00602824" w14:paraId="3793393F" w14:textId="77777777" w:rsidTr="00D25B3C">
        <w:tc>
          <w:tcPr>
            <w:cnfStyle w:val="001000000000" w:firstRow="0" w:lastRow="0" w:firstColumn="1" w:lastColumn="0" w:oddVBand="0" w:evenVBand="0" w:oddHBand="0" w:evenHBand="0" w:firstRowFirstColumn="0" w:firstRowLastColumn="0" w:lastRowFirstColumn="0" w:lastRowLastColumn="0"/>
            <w:tcW w:w="1813" w:type="dxa"/>
            <w:tcBorders>
              <w:top w:val="single" w:sz="8" w:space="0" w:color="FFFFFF"/>
              <w:bottom w:val="single" w:sz="8" w:space="0" w:color="FFFFFF"/>
            </w:tcBorders>
          </w:tcPr>
          <w:p w14:paraId="302D060F" w14:textId="238643E1" w:rsidR="003F02E7" w:rsidRPr="00602824" w:rsidRDefault="003F02E7" w:rsidP="008C0E64">
            <w:pPr>
              <w:pStyle w:val="TableNheader"/>
              <w:spacing w:before="60" w:after="60" w:line="240" w:lineRule="auto"/>
              <w:jc w:val="left"/>
              <w:rPr>
                <w:b/>
              </w:rPr>
            </w:pPr>
            <w:r w:rsidRPr="00602824">
              <w:t xml:space="preserve">PL </w:t>
            </w:r>
          </w:p>
        </w:tc>
        <w:tc>
          <w:tcPr>
            <w:tcW w:w="7087" w:type="dxa"/>
          </w:tcPr>
          <w:p w14:paraId="4A4E43FE" w14:textId="29547B19" w:rsidR="003F02E7" w:rsidRPr="00602824" w:rsidRDefault="003F02E7" w:rsidP="008C0E64">
            <w:pPr>
              <w:pStyle w:val="TableNText"/>
              <w:spacing w:before="60" w:after="60" w:line="240" w:lineRule="auto"/>
              <w:cnfStyle w:val="000000000000" w:firstRow="0" w:lastRow="0" w:firstColumn="0" w:lastColumn="0" w:oddVBand="0" w:evenVBand="0" w:oddHBand="0" w:evenHBand="0" w:firstRowFirstColumn="0" w:firstRowLastColumn="0" w:lastRowFirstColumn="0" w:lastRowLastColumn="0"/>
            </w:pPr>
            <w:r w:rsidRPr="00602824">
              <w:t xml:space="preserve">Prescribed List (previously known as the </w:t>
            </w:r>
            <w:r w:rsidRPr="00602824">
              <w:rPr>
                <w:i/>
                <w:iCs/>
              </w:rPr>
              <w:t>Prostheses List</w:t>
            </w:r>
            <w:r w:rsidRPr="00602824">
              <w:t xml:space="preserve">) </w:t>
            </w:r>
          </w:p>
        </w:tc>
      </w:tr>
      <w:tr w:rsidR="007C2D44" w:rsidRPr="00602824" w14:paraId="0E0A0D75" w14:textId="77777777" w:rsidTr="00D25B3C">
        <w:tc>
          <w:tcPr>
            <w:cnfStyle w:val="001000000000" w:firstRow="0" w:lastRow="0" w:firstColumn="1" w:lastColumn="0" w:oddVBand="0" w:evenVBand="0" w:oddHBand="0" w:evenHBand="0" w:firstRowFirstColumn="0" w:firstRowLastColumn="0" w:lastRowFirstColumn="0" w:lastRowLastColumn="0"/>
            <w:tcW w:w="1813" w:type="dxa"/>
            <w:tcBorders>
              <w:top w:val="single" w:sz="8" w:space="0" w:color="FFFFFF"/>
              <w:bottom w:val="single" w:sz="8" w:space="0" w:color="FFFFFF"/>
            </w:tcBorders>
          </w:tcPr>
          <w:p w14:paraId="37046329" w14:textId="379DA01E" w:rsidR="002E6133" w:rsidRPr="00602824" w:rsidRDefault="002E6133" w:rsidP="008C0E64">
            <w:pPr>
              <w:pStyle w:val="TableNheader"/>
              <w:spacing w:before="60" w:after="60" w:line="240" w:lineRule="auto"/>
              <w:jc w:val="left"/>
              <w:rPr>
                <w:b/>
              </w:rPr>
            </w:pPr>
            <w:r w:rsidRPr="00602824">
              <w:t xml:space="preserve">Private hospitals </w:t>
            </w:r>
          </w:p>
        </w:tc>
        <w:tc>
          <w:tcPr>
            <w:tcW w:w="7087" w:type="dxa"/>
          </w:tcPr>
          <w:p w14:paraId="3E5CED58" w14:textId="218BB35E" w:rsidR="002E6133" w:rsidRPr="00201019" w:rsidRDefault="002E6133" w:rsidP="008C0E64">
            <w:pPr>
              <w:pStyle w:val="TableNText"/>
              <w:spacing w:before="60" w:after="60" w:line="240" w:lineRule="auto"/>
              <w:cnfStyle w:val="000000000000" w:firstRow="0" w:lastRow="0" w:firstColumn="0" w:lastColumn="0" w:oddVBand="0" w:evenVBand="0" w:oddHBand="0" w:evenHBand="0" w:firstRowFirstColumn="0" w:firstRowLastColumn="0" w:lastRowFirstColumn="0" w:lastRowLastColumn="0"/>
            </w:pPr>
            <w:r w:rsidRPr="00602824">
              <w:t xml:space="preserve">Also alternatively referred to as </w:t>
            </w:r>
            <w:r w:rsidRPr="00602824">
              <w:rPr>
                <w:i/>
                <w:iCs/>
              </w:rPr>
              <w:t>private healthcare providers</w:t>
            </w:r>
            <w:r w:rsidR="00201019">
              <w:rPr>
                <w:i/>
                <w:iCs/>
              </w:rPr>
              <w:t xml:space="preserve">. </w:t>
            </w:r>
            <w:r w:rsidR="00201019">
              <w:t xml:space="preserve">Unless specified, </w:t>
            </w:r>
            <w:r w:rsidR="00201019" w:rsidRPr="00DF557D">
              <w:rPr>
                <w:i/>
                <w:iCs/>
              </w:rPr>
              <w:t>hospitals</w:t>
            </w:r>
            <w:r w:rsidR="00201019">
              <w:t xml:space="preserve"> refers to </w:t>
            </w:r>
            <w:r w:rsidR="00DF557D">
              <w:t>both private hospitals and day hospitals</w:t>
            </w:r>
          </w:p>
        </w:tc>
      </w:tr>
      <w:tr w:rsidR="007C2D44" w:rsidRPr="00602824" w14:paraId="5DD92AED" w14:textId="77777777" w:rsidTr="00D25B3C">
        <w:tc>
          <w:tcPr>
            <w:cnfStyle w:val="001000000000" w:firstRow="0" w:lastRow="0" w:firstColumn="1" w:lastColumn="0" w:oddVBand="0" w:evenVBand="0" w:oddHBand="0" w:evenHBand="0" w:firstRowFirstColumn="0" w:firstRowLastColumn="0" w:lastRowFirstColumn="0" w:lastRowLastColumn="0"/>
            <w:tcW w:w="1813" w:type="dxa"/>
            <w:tcBorders>
              <w:top w:val="single" w:sz="8" w:space="0" w:color="FFFFFF"/>
              <w:bottom w:val="single" w:sz="8" w:space="0" w:color="FFFFFF"/>
            </w:tcBorders>
          </w:tcPr>
          <w:p w14:paraId="3B17F255" w14:textId="2138A45F" w:rsidR="002E6133" w:rsidRPr="00602824" w:rsidRDefault="002E6133" w:rsidP="008C0E64">
            <w:pPr>
              <w:pStyle w:val="TableNheader"/>
              <w:spacing w:before="60" w:after="60" w:line="240" w:lineRule="auto"/>
              <w:jc w:val="left"/>
              <w:rPr>
                <w:b/>
                <w:highlight w:val="yellow"/>
              </w:rPr>
            </w:pPr>
            <w:r w:rsidRPr="00602824">
              <w:t xml:space="preserve">Public benchmark </w:t>
            </w:r>
          </w:p>
        </w:tc>
        <w:tc>
          <w:tcPr>
            <w:tcW w:w="7087" w:type="dxa"/>
          </w:tcPr>
          <w:p w14:paraId="20B86A77" w14:textId="7D06F748" w:rsidR="002E6133" w:rsidRPr="00602824" w:rsidRDefault="00CA0E8F" w:rsidP="008C0E64">
            <w:pPr>
              <w:pStyle w:val="TableNText"/>
              <w:spacing w:before="60" w:after="60" w:line="240" w:lineRule="auto"/>
              <w:cnfStyle w:val="000000000000" w:firstRow="0" w:lastRow="0" w:firstColumn="0" w:lastColumn="0" w:oddVBand="0" w:evenVBand="0" w:oddHBand="0" w:evenHBand="0" w:firstRowFirstColumn="0" w:firstRowLastColumn="0" w:lastRowFirstColumn="0" w:lastRowLastColumn="0"/>
            </w:pPr>
            <w:r w:rsidRPr="00602824">
              <w:t xml:space="preserve">Benchmark pricing for PL items sold to Australian public </w:t>
            </w:r>
            <w:r w:rsidR="00DB22D4" w:rsidRPr="00602824">
              <w:t xml:space="preserve">hospitals – alternatively referred to as </w:t>
            </w:r>
            <w:r w:rsidR="00DB22D4" w:rsidRPr="00602824">
              <w:rPr>
                <w:i/>
                <w:iCs/>
              </w:rPr>
              <w:t>Weighted Average Price (WAP)</w:t>
            </w:r>
          </w:p>
        </w:tc>
      </w:tr>
      <w:tr w:rsidR="007C2D44" w:rsidRPr="00602824" w14:paraId="599C5E99" w14:textId="77777777" w:rsidTr="00D25B3C">
        <w:tc>
          <w:tcPr>
            <w:cnfStyle w:val="001000000000" w:firstRow="0" w:lastRow="0" w:firstColumn="1" w:lastColumn="0" w:oddVBand="0" w:evenVBand="0" w:oddHBand="0" w:evenHBand="0" w:firstRowFirstColumn="0" w:firstRowLastColumn="0" w:lastRowFirstColumn="0" w:lastRowLastColumn="0"/>
            <w:tcW w:w="1813" w:type="dxa"/>
            <w:tcBorders>
              <w:top w:val="single" w:sz="8" w:space="0" w:color="FFFFFF"/>
            </w:tcBorders>
          </w:tcPr>
          <w:p w14:paraId="3CD85CAC" w14:textId="6956B73E" w:rsidR="002E6133" w:rsidRPr="00602824" w:rsidRDefault="002E6133" w:rsidP="008C0E64">
            <w:pPr>
              <w:pStyle w:val="TableNheader"/>
              <w:spacing w:before="60" w:after="60" w:line="240" w:lineRule="auto"/>
              <w:jc w:val="left"/>
              <w:rPr>
                <w:b/>
              </w:rPr>
            </w:pPr>
            <w:r w:rsidRPr="00602824">
              <w:t>TSS</w:t>
            </w:r>
          </w:p>
        </w:tc>
        <w:tc>
          <w:tcPr>
            <w:tcW w:w="7087" w:type="dxa"/>
          </w:tcPr>
          <w:p w14:paraId="53680BDF" w14:textId="0C336B1C" w:rsidR="006466C3" w:rsidRPr="006466C3" w:rsidRDefault="002E6133" w:rsidP="006466C3">
            <w:pPr>
              <w:pStyle w:val="TableNText"/>
              <w:spacing w:before="60" w:after="60" w:line="240" w:lineRule="auto"/>
              <w:cnfStyle w:val="000000000000" w:firstRow="0" w:lastRow="0" w:firstColumn="0" w:lastColumn="0" w:oddVBand="0" w:evenVBand="0" w:oddHBand="0" w:evenHBand="0" w:firstRowFirstColumn="0" w:firstRowLastColumn="0" w:lastRowFirstColumn="0" w:lastRowLastColumn="0"/>
            </w:pPr>
            <w:r w:rsidRPr="00602824">
              <w:t>Technical Support Services (for CIEDs)</w:t>
            </w:r>
          </w:p>
        </w:tc>
      </w:tr>
    </w:tbl>
    <w:p w14:paraId="05C350CD" w14:textId="6D24E3D1" w:rsidR="004D7D4F" w:rsidRPr="00602824" w:rsidRDefault="004D7D4F" w:rsidP="00810945">
      <w:pPr>
        <w:pStyle w:val="Heading1"/>
        <w:numPr>
          <w:ilvl w:val="0"/>
          <w:numId w:val="0"/>
        </w:numPr>
      </w:pPr>
      <w:bookmarkStart w:id="2" w:name="_Toc237002798"/>
      <w:r w:rsidRPr="00602824">
        <w:t>Background on the Prescribed List</w:t>
      </w:r>
      <w:bookmarkEnd w:id="2"/>
      <w:r w:rsidRPr="00602824">
        <w:t xml:space="preserve"> </w:t>
      </w:r>
    </w:p>
    <w:tbl>
      <w:tblPr>
        <w:tblStyle w:val="NOUSSideHeader4"/>
        <w:tblW w:w="5000" w:type="pct"/>
        <w:tblLook w:val="04A0" w:firstRow="1" w:lastRow="0" w:firstColumn="1" w:lastColumn="0" w:noHBand="0" w:noVBand="1"/>
      </w:tblPr>
      <w:tblGrid>
        <w:gridCol w:w="9185"/>
      </w:tblGrid>
      <w:tr w:rsidR="002E6683" w:rsidRPr="00602824" w14:paraId="208E187C" w14:textId="77777777" w:rsidTr="007B157A">
        <w:trPr>
          <w:cnfStyle w:val="100000000000" w:firstRow="1" w:lastRow="0" w:firstColumn="0" w:lastColumn="0" w:oddVBand="0" w:evenVBand="0" w:oddHBand="0" w:evenHBand="0" w:firstRowFirstColumn="0" w:firstRowLastColumn="0" w:lastRowFirstColumn="0" w:lastRowLastColumn="0"/>
        </w:trPr>
        <w:tc>
          <w:tcPr>
            <w:tcW w:w="8931" w:type="dxa"/>
          </w:tcPr>
          <w:p w14:paraId="02CFA2C0" w14:textId="772C09D3" w:rsidR="008B6B10" w:rsidRPr="00602824" w:rsidRDefault="008B6B10" w:rsidP="009D3921">
            <w:pPr>
              <w:rPr>
                <w:b/>
                <w:bCs/>
              </w:rPr>
            </w:pPr>
            <w:bookmarkStart w:id="3" w:name="_Hlk202782382"/>
            <w:r w:rsidRPr="00602824">
              <w:rPr>
                <w:b/>
                <w:bCs/>
              </w:rPr>
              <w:t xml:space="preserve">The Prescribed List of </w:t>
            </w:r>
            <w:r w:rsidR="002974DB" w:rsidRPr="00602824">
              <w:rPr>
                <w:b/>
                <w:bCs/>
              </w:rPr>
              <w:t xml:space="preserve">Medical Devices and Human Tissue Products </w:t>
            </w:r>
          </w:p>
          <w:p w14:paraId="149B202F" w14:textId="2C351DEF" w:rsidR="002974DB" w:rsidRPr="00602824" w:rsidRDefault="002974DB" w:rsidP="009D3921">
            <w:r w:rsidRPr="00602824">
              <w:t xml:space="preserve">The Prescribed List (PL) </w:t>
            </w:r>
            <w:r w:rsidR="004B585C" w:rsidRPr="00602824">
              <w:t>(</w:t>
            </w:r>
            <w:r w:rsidRPr="00602824">
              <w:t xml:space="preserve">previously known as the Prostheses List) is a schedule to the </w:t>
            </w:r>
            <w:r w:rsidRPr="006C16C4">
              <w:rPr>
                <w:i/>
                <w:iCs/>
              </w:rPr>
              <w:t>Private Health Insurance (Medical Devices and Human Tissue Products) Rules 2024</w:t>
            </w:r>
            <w:r w:rsidRPr="00602824">
              <w:t xml:space="preserve"> that sets the minimum price a private health insurer must pay a hospital for medical devices and human tissue products received by private patients in privately insured episodes of care. This is a legislative instrument made under the </w:t>
            </w:r>
            <w:r w:rsidRPr="006C16C4">
              <w:rPr>
                <w:i/>
                <w:iCs/>
              </w:rPr>
              <w:t>Private Health Insurance Act 2007</w:t>
            </w:r>
            <w:r w:rsidRPr="00602824">
              <w:t>.</w:t>
            </w:r>
          </w:p>
          <w:p w14:paraId="1E3351E4" w14:textId="01E97CA8" w:rsidR="002974DB" w:rsidRPr="00602824" w:rsidRDefault="002974DB" w:rsidP="009D3921">
            <w:r w:rsidRPr="00602824">
              <w:t xml:space="preserve">The Minister of Health, Disability and Aged Care is responsible for administration of the PHI Act, including the PL. A range of stakeholders are involved in the provision, acquisition, funding and receipt of medical devices. These include the Department, private health insurers, private healthcare providers (i.e. private hospitals and day hospitals), medical technology companies, clinicians, and consumers. Their interactions in respect </w:t>
            </w:r>
            <w:r w:rsidR="0070173D" w:rsidRPr="00602824">
              <w:t xml:space="preserve">of </w:t>
            </w:r>
            <w:r w:rsidRPr="00602824">
              <w:t>the Prescribed List are summarised in Figure 1 below.</w:t>
            </w:r>
          </w:p>
          <w:p w14:paraId="5C3261AE" w14:textId="77777777" w:rsidR="002974DB" w:rsidRPr="00602824" w:rsidRDefault="002974DB" w:rsidP="009D3921">
            <w:r w:rsidRPr="00602824">
              <w:t xml:space="preserve">Since its introduction in 1985, the PL has undergone several reforms, reviews and changes. The PL is currently in four parts. For a device or product to be listed on the PL it must satisfy the criteria for listing for one of the four parts of the PL. </w:t>
            </w:r>
          </w:p>
          <w:p w14:paraId="13DA337E" w14:textId="1C761679" w:rsidR="002974DB" w:rsidRPr="00602824" w:rsidRDefault="002974DB" w:rsidP="00C43175">
            <w:pPr>
              <w:pStyle w:val="ListBullet"/>
            </w:pPr>
            <w:r w:rsidRPr="00602824">
              <w:t>Part A – consists of medical devices used for specific therapy (not general use) that must be either surgically implantable devices or be essential and specifically designed as an integral single-use aid for implanting a device or be critical to the continuing function of the surgically implanted device.</w:t>
            </w:r>
          </w:p>
          <w:p w14:paraId="34F6361A" w14:textId="7B17AD28" w:rsidR="002974DB" w:rsidRPr="00602824" w:rsidRDefault="002974DB" w:rsidP="00C43175">
            <w:pPr>
              <w:pStyle w:val="ListBullet"/>
            </w:pPr>
            <w:r w:rsidRPr="00602824">
              <w:t xml:space="preserve">Part B – consists of human tissue products. </w:t>
            </w:r>
          </w:p>
          <w:p w14:paraId="6486484D" w14:textId="732D7A68" w:rsidR="002974DB" w:rsidRPr="00602824" w:rsidRDefault="002974DB" w:rsidP="00C43175">
            <w:pPr>
              <w:pStyle w:val="ListBullet"/>
            </w:pPr>
            <w:r w:rsidRPr="00602824">
              <w:t>Part C – covers the specified groups of medical devices stated in the Rules that do not meet the listing criteria for Part A, but which the Minister considers suitable for benefit payments by private health insurers.</w:t>
            </w:r>
          </w:p>
          <w:p w14:paraId="0E90AF68" w14:textId="36606CA7" w:rsidR="002974DB" w:rsidRPr="00602824" w:rsidRDefault="002974DB" w:rsidP="00C43175">
            <w:pPr>
              <w:pStyle w:val="ListBullet"/>
            </w:pPr>
            <w:r w:rsidRPr="00602824">
              <w:t xml:space="preserve">Part D – consists of </w:t>
            </w:r>
            <w:r w:rsidR="00DF557D">
              <w:t>g</w:t>
            </w:r>
            <w:r w:rsidRPr="00602824">
              <w:t xml:space="preserve">eneral </w:t>
            </w:r>
            <w:r w:rsidR="00DF557D">
              <w:t>u</w:t>
            </w:r>
            <w:r w:rsidRPr="00602824">
              <w:t xml:space="preserve">se </w:t>
            </w:r>
            <w:r w:rsidR="00DF557D">
              <w:t>i</w:t>
            </w:r>
            <w:r w:rsidRPr="00602824">
              <w:t>tems (GUIs). GUIs include items not originally intended for the PL, including surgical consumables such as surgical glues.</w:t>
            </w:r>
          </w:p>
          <w:p w14:paraId="715D3A2F" w14:textId="5FA5DECE" w:rsidR="002974DB" w:rsidRPr="00602824" w:rsidRDefault="002974DB" w:rsidP="009D3921">
            <w:r w:rsidRPr="00602824">
              <w:t>The Department accepts applications on a continuous basis, and from 2019, the Prescribed List is typically published three times per year (effective 1 March, 1 July and 1 November).</w:t>
            </w:r>
          </w:p>
        </w:tc>
      </w:tr>
    </w:tbl>
    <w:p w14:paraId="76ABD0BF" w14:textId="3507ED87" w:rsidR="0063269B" w:rsidRPr="00602824" w:rsidRDefault="0063269B" w:rsidP="00FB712C">
      <w:pPr>
        <w:pStyle w:val="Caption"/>
        <w:spacing w:before="360"/>
      </w:pPr>
      <w:bookmarkStart w:id="4" w:name="_Ref201055421"/>
      <w:bookmarkEnd w:id="3"/>
      <w:r w:rsidRPr="00602824">
        <w:t xml:space="preserve">Figure </w:t>
      </w:r>
      <w:r w:rsidR="005539DD">
        <w:fldChar w:fldCharType="begin"/>
      </w:r>
      <w:r w:rsidR="005539DD">
        <w:instrText xml:space="preserve"> SEQ Figure \* ARABIC </w:instrText>
      </w:r>
      <w:r w:rsidR="005539DD">
        <w:fldChar w:fldCharType="separate"/>
      </w:r>
      <w:r w:rsidR="0092693A">
        <w:rPr>
          <w:noProof/>
        </w:rPr>
        <w:t>1</w:t>
      </w:r>
      <w:r w:rsidR="005539DD">
        <w:fldChar w:fldCharType="end"/>
      </w:r>
      <w:bookmarkEnd w:id="4"/>
      <w:r w:rsidRPr="00602824">
        <w:t xml:space="preserve"> </w:t>
      </w:r>
      <w:bookmarkStart w:id="5" w:name="_Ref201055417"/>
      <w:r w:rsidRPr="00602824">
        <w:t>| Mechanism of the Prescribed List</w:t>
      </w:r>
      <w:bookmarkEnd w:id="5"/>
    </w:p>
    <w:p w14:paraId="387414D7" w14:textId="77777777" w:rsidR="0063269B" w:rsidRPr="00602824" w:rsidRDefault="0063269B" w:rsidP="0063269B">
      <w:pPr>
        <w:rPr>
          <w:lang w:eastAsia="en-AU"/>
        </w:rPr>
      </w:pPr>
      <w:r w:rsidRPr="00AC7E3F">
        <w:rPr>
          <w:noProof/>
          <w:sz w:val="16"/>
          <w:szCs w:val="16"/>
        </w:rPr>
        <w:drawing>
          <wp:inline distT="0" distB="0" distL="0" distR="0" wp14:anchorId="19F5088E" wp14:editId="7918BE69">
            <wp:extent cx="5832000" cy="2642432"/>
            <wp:effectExtent l="0" t="0" r="0" b="5715"/>
            <wp:docPr id="772858009" name="Picture 26" descr="Diagram showing the mechanism of the Prescribed List, mapping interactions between the Department, insurers, hospitals, clinicians, device companies, and consum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858009" name="Picture 26" descr="Diagram showing the mechanism of the Prescribed List, mapping interactions between the Department, insurers, hospitals, clinicians, device companies, and consumers."/>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832000" cy="2642432"/>
                    </a:xfrm>
                    <a:prstGeom prst="rect">
                      <a:avLst/>
                    </a:prstGeom>
                  </pic:spPr>
                </pic:pic>
              </a:graphicData>
            </a:graphic>
          </wp:inline>
        </w:drawing>
      </w:r>
    </w:p>
    <w:p w14:paraId="2C9B9C87" w14:textId="77777777" w:rsidR="00134FD6" w:rsidRDefault="00134FD6" w:rsidP="00C11184">
      <w:pPr>
        <w:pStyle w:val="Heading1"/>
        <w:numPr>
          <w:ilvl w:val="0"/>
          <w:numId w:val="0"/>
        </w:numPr>
        <w:ind w:left="360" w:hanging="360"/>
        <w:sectPr w:rsidR="00134FD6" w:rsidSect="008C0E64">
          <w:footerReference w:type="default" r:id="rId21"/>
          <w:type w:val="continuous"/>
          <w:pgSz w:w="11907" w:h="16839" w:code="9"/>
          <w:pgMar w:top="1247" w:right="1361" w:bottom="1361" w:left="1361" w:header="720" w:footer="720" w:gutter="0"/>
          <w:pgNumType w:fmt="lowerRoman"/>
          <w:cols w:space="720"/>
          <w:docGrid w:linePitch="360"/>
        </w:sectPr>
      </w:pPr>
    </w:p>
    <w:p w14:paraId="6AF6608B" w14:textId="7B06EE8D" w:rsidR="00C11184" w:rsidRPr="002F0197" w:rsidRDefault="00C11184" w:rsidP="002F0197">
      <w:pPr>
        <w:pStyle w:val="Heading1"/>
        <w:numPr>
          <w:ilvl w:val="0"/>
          <w:numId w:val="0"/>
        </w:numPr>
        <w:spacing w:after="600"/>
        <w:ind w:left="360" w:hanging="360"/>
        <w:rPr>
          <w:color w:val="FFFFFF" w:themeColor="background1"/>
        </w:rPr>
      </w:pPr>
      <w:bookmarkStart w:id="6" w:name="_Toc237002799"/>
      <w:r w:rsidRPr="002F0197">
        <w:rPr>
          <w:color w:val="FFFFFF" w:themeColor="background1"/>
        </w:rPr>
        <w:t>Executive summary</w:t>
      </w:r>
      <w:r w:rsidR="002F0197" w:rsidRPr="002F0197">
        <w:rPr>
          <w:noProof/>
          <w:color w:val="FFFFFF" w:themeColor="background1"/>
        </w:rPr>
        <w:drawing>
          <wp:anchor distT="0" distB="0" distL="114300" distR="114300" simplePos="0" relativeHeight="251658245" behindDoc="1" locked="0" layoutInCell="1" allowOverlap="1" wp14:anchorId="53FA82B5" wp14:editId="5CDB4AF5">
            <wp:simplePos x="1095375" y="1095375"/>
            <wp:positionH relativeFrom="page">
              <wp:align>left</wp:align>
            </wp:positionH>
            <wp:positionV relativeFrom="page">
              <wp:posOffset>107950</wp:posOffset>
            </wp:positionV>
            <wp:extent cx="7560000" cy="1184400"/>
            <wp:effectExtent l="0" t="0" r="3175" b="0"/>
            <wp:wrapNone/>
            <wp:docPr id="1453909464" name="Picture 1" descr="Heading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909464" name="Picture 1" descr="Heading background."/>
                    <pic:cNvPicPr/>
                  </pic:nvPicPr>
                  <pic:blipFill>
                    <a:blip r:embed="rId22">
                      <a:extLst>
                        <a:ext uri="{28A0092B-C50C-407E-A947-70E740481C1C}">
                          <a14:useLocalDpi xmlns:a14="http://schemas.microsoft.com/office/drawing/2010/main" val="0"/>
                        </a:ext>
                      </a:extLst>
                    </a:blip>
                    <a:stretch>
                      <a:fillRect/>
                    </a:stretch>
                  </pic:blipFill>
                  <pic:spPr>
                    <a:xfrm>
                      <a:off x="0" y="0"/>
                      <a:ext cx="7560000" cy="1184400"/>
                    </a:xfrm>
                    <a:prstGeom prst="rect">
                      <a:avLst/>
                    </a:prstGeom>
                  </pic:spPr>
                </pic:pic>
              </a:graphicData>
            </a:graphic>
            <wp14:sizeRelH relativeFrom="margin">
              <wp14:pctWidth>0</wp14:pctWidth>
            </wp14:sizeRelH>
            <wp14:sizeRelV relativeFrom="margin">
              <wp14:pctHeight>0</wp14:pctHeight>
            </wp14:sizeRelV>
          </wp:anchor>
        </w:drawing>
      </w:r>
      <w:bookmarkEnd w:id="6"/>
    </w:p>
    <w:p w14:paraId="14562342" w14:textId="19FB6914" w:rsidR="00F447A9" w:rsidRDefault="001449E0" w:rsidP="002B6098">
      <w:pPr>
        <w:rPr>
          <w:lang w:eastAsia="en-AU"/>
        </w:rPr>
      </w:pPr>
      <w:r w:rsidRPr="40A7BA96">
        <w:rPr>
          <w:lang w:eastAsia="en-AU"/>
        </w:rPr>
        <w:t xml:space="preserve">The </w:t>
      </w:r>
      <w:r>
        <w:t>Prescribed List of Medical Devices and Human Tissue Products</w:t>
      </w:r>
      <w:r w:rsidRPr="40A7BA96">
        <w:rPr>
          <w:lang w:eastAsia="en-AU"/>
        </w:rPr>
        <w:t xml:space="preserve"> </w:t>
      </w:r>
      <w:r>
        <w:rPr>
          <w:lang w:eastAsia="en-AU"/>
        </w:rPr>
        <w:t xml:space="preserve">(PL) </w:t>
      </w:r>
      <w:r w:rsidRPr="40A7BA96">
        <w:rPr>
          <w:lang w:eastAsia="en-AU"/>
        </w:rPr>
        <w:t>reform program</w:t>
      </w:r>
      <w:r w:rsidR="004002C8">
        <w:rPr>
          <w:lang w:eastAsia="en-AU"/>
        </w:rPr>
        <w:t xml:space="preserve">, </w:t>
      </w:r>
      <w:r w:rsidR="007357FB" w:rsidRPr="005A1DE6">
        <w:rPr>
          <w:lang w:eastAsia="en-AU"/>
        </w:rPr>
        <w:t>introduced in the 2021-22 Australian Federal Budget</w:t>
      </w:r>
      <w:r w:rsidR="004002C8">
        <w:rPr>
          <w:lang w:eastAsia="en-AU"/>
        </w:rPr>
        <w:t>, ai</w:t>
      </w:r>
      <w:r w:rsidR="00472705">
        <w:rPr>
          <w:lang w:eastAsia="en-AU"/>
        </w:rPr>
        <w:t>med</w:t>
      </w:r>
      <w:r w:rsidR="007357FB" w:rsidRPr="005A1DE6">
        <w:rPr>
          <w:lang w:eastAsia="en-AU"/>
        </w:rPr>
        <w:t xml:space="preserve"> to “reduce the cost of medical devices used in the private health sector and streamline access to new medical devices”.</w:t>
      </w:r>
      <w:r w:rsidR="00AA54A5">
        <w:rPr>
          <w:rStyle w:val="FootnoteReference"/>
          <w:lang w:eastAsia="en-AU"/>
        </w:rPr>
        <w:footnoteReference w:id="2"/>
      </w:r>
      <w:r w:rsidR="007357FB" w:rsidRPr="005A1DE6">
        <w:rPr>
          <w:lang w:eastAsia="en-AU"/>
        </w:rPr>
        <w:t xml:space="preserve"> </w:t>
      </w:r>
      <w:r w:rsidR="00800163">
        <w:rPr>
          <w:lang w:eastAsia="en-AU"/>
        </w:rPr>
        <w:t xml:space="preserve">The </w:t>
      </w:r>
      <w:r w:rsidR="007B4ACC">
        <w:rPr>
          <w:lang w:eastAsia="en-AU"/>
        </w:rPr>
        <w:t>reform program was implemented between</w:t>
      </w:r>
      <w:r w:rsidR="00167838">
        <w:rPr>
          <w:lang w:eastAsia="en-AU"/>
        </w:rPr>
        <w:t xml:space="preserve"> 1 July 2021 and 30 June 2025.</w:t>
      </w:r>
    </w:p>
    <w:p w14:paraId="46B02C5E" w14:textId="7DF9D9B4" w:rsidR="00802005" w:rsidRDefault="002B6098" w:rsidP="002B6098">
      <w:pPr>
        <w:rPr>
          <w:lang w:eastAsia="en-AU"/>
        </w:rPr>
      </w:pPr>
      <w:r w:rsidRPr="0073070A">
        <w:rPr>
          <w:lang w:eastAsia="en-AU"/>
        </w:rPr>
        <w:t xml:space="preserve">Nous Group (Nous) </w:t>
      </w:r>
      <w:r>
        <w:rPr>
          <w:lang w:eastAsia="en-AU"/>
        </w:rPr>
        <w:t xml:space="preserve">was commissioned by the Department </w:t>
      </w:r>
      <w:r w:rsidRPr="0073070A">
        <w:rPr>
          <w:lang w:eastAsia="en-AU"/>
        </w:rPr>
        <w:t>to conduct an independent evaluation of the reforms from September 2023 to June 2026</w:t>
      </w:r>
      <w:r>
        <w:rPr>
          <w:lang w:eastAsia="en-AU"/>
        </w:rPr>
        <w:t xml:space="preserve">. </w:t>
      </w:r>
      <w:r w:rsidRPr="0073070A">
        <w:rPr>
          <w:lang w:eastAsia="en-AU"/>
        </w:rPr>
        <w:t xml:space="preserve">The evaluation </w:t>
      </w:r>
      <w:r>
        <w:rPr>
          <w:lang w:eastAsia="en-AU"/>
        </w:rPr>
        <w:t>sought</w:t>
      </w:r>
      <w:r w:rsidRPr="0073070A">
        <w:rPr>
          <w:lang w:eastAsia="en-AU"/>
        </w:rPr>
        <w:t xml:space="preserve"> to understand the extent to which reform activities delivered the </w:t>
      </w:r>
      <w:r>
        <w:rPr>
          <w:lang w:eastAsia="en-AU"/>
        </w:rPr>
        <w:t xml:space="preserve">eight stated reform objectives (listed in </w:t>
      </w:r>
      <w:r w:rsidR="00BB7E44">
        <w:rPr>
          <w:lang w:eastAsia="en-AU"/>
        </w:rPr>
        <w:fldChar w:fldCharType="begin"/>
      </w:r>
      <w:r w:rsidR="00BB7E44">
        <w:rPr>
          <w:lang w:eastAsia="en-AU"/>
        </w:rPr>
        <w:instrText xml:space="preserve"> REF _Ref201058721 \h </w:instrText>
      </w:r>
      <w:r w:rsidR="00BB7E44">
        <w:rPr>
          <w:lang w:eastAsia="en-AU"/>
        </w:rPr>
      </w:r>
      <w:r w:rsidR="00BB7E44">
        <w:rPr>
          <w:lang w:eastAsia="en-AU"/>
        </w:rPr>
        <w:fldChar w:fldCharType="separate"/>
      </w:r>
      <w:r w:rsidR="0092693A" w:rsidRPr="00602824">
        <w:t xml:space="preserve">Figure </w:t>
      </w:r>
      <w:r w:rsidR="0092693A">
        <w:rPr>
          <w:noProof/>
        </w:rPr>
        <w:t>2</w:t>
      </w:r>
      <w:r w:rsidR="00BB7E44">
        <w:rPr>
          <w:lang w:eastAsia="en-AU"/>
        </w:rPr>
        <w:fldChar w:fldCharType="end"/>
      </w:r>
      <w:r>
        <w:rPr>
          <w:lang w:eastAsia="en-AU"/>
        </w:rPr>
        <w:t xml:space="preserve">) </w:t>
      </w:r>
      <w:r w:rsidRPr="0073070A">
        <w:rPr>
          <w:lang w:eastAsia="en-AU"/>
        </w:rPr>
        <w:t xml:space="preserve">and to provide </w:t>
      </w:r>
      <w:r>
        <w:rPr>
          <w:lang w:eastAsia="en-AU"/>
        </w:rPr>
        <w:t xml:space="preserve">useful insights for the future of the PL. </w:t>
      </w:r>
    </w:p>
    <w:p w14:paraId="7BDA9EC5" w14:textId="35780EDD" w:rsidR="002B6098" w:rsidRDefault="002B6098" w:rsidP="002B6098">
      <w:pPr>
        <w:rPr>
          <w:lang w:eastAsia="en-AU"/>
        </w:rPr>
      </w:pPr>
      <w:r>
        <w:rPr>
          <w:lang w:eastAsia="en-AU"/>
        </w:rPr>
        <w:t xml:space="preserve">This </w:t>
      </w:r>
      <w:r w:rsidRPr="00677FC1">
        <w:rPr>
          <w:lang w:eastAsia="en-AU"/>
        </w:rPr>
        <w:t>Final</w:t>
      </w:r>
      <w:r w:rsidR="00790076" w:rsidRPr="00677FC1">
        <w:rPr>
          <w:lang w:eastAsia="en-AU"/>
        </w:rPr>
        <w:t xml:space="preserve"> Evaluation</w:t>
      </w:r>
      <w:r w:rsidRPr="00677FC1">
        <w:rPr>
          <w:lang w:eastAsia="en-AU"/>
        </w:rPr>
        <w:t xml:space="preserve"> </w:t>
      </w:r>
      <w:r w:rsidR="00153530" w:rsidRPr="00677FC1">
        <w:rPr>
          <w:lang w:eastAsia="en-AU"/>
        </w:rPr>
        <w:t>r</w:t>
      </w:r>
      <w:r w:rsidRPr="00677FC1">
        <w:rPr>
          <w:lang w:eastAsia="en-AU"/>
        </w:rPr>
        <w:t>eport builds</w:t>
      </w:r>
      <w:r>
        <w:rPr>
          <w:lang w:eastAsia="en-AU"/>
        </w:rPr>
        <w:t xml:space="preserve"> on</w:t>
      </w:r>
      <w:r w:rsidR="00677FC1">
        <w:rPr>
          <w:lang w:eastAsia="en-AU"/>
        </w:rPr>
        <w:t xml:space="preserve"> a</w:t>
      </w:r>
      <w:r>
        <w:rPr>
          <w:lang w:eastAsia="en-AU"/>
        </w:rPr>
        <w:t xml:space="preserve"> </w:t>
      </w:r>
      <w:r w:rsidRPr="00602824">
        <w:rPr>
          <w:lang w:eastAsia="en-AU"/>
        </w:rPr>
        <w:t xml:space="preserve">Baseline Evaluation report and </w:t>
      </w:r>
      <w:r>
        <w:rPr>
          <w:lang w:eastAsia="en-AU"/>
        </w:rPr>
        <w:t xml:space="preserve">two </w:t>
      </w:r>
      <w:r w:rsidRPr="00602824">
        <w:rPr>
          <w:lang w:eastAsia="en-AU"/>
        </w:rPr>
        <w:t>Interim Evaluation</w:t>
      </w:r>
      <w:r>
        <w:rPr>
          <w:lang w:eastAsia="en-AU"/>
        </w:rPr>
        <w:t xml:space="preserve"> </w:t>
      </w:r>
      <w:r w:rsidR="00443B25">
        <w:rPr>
          <w:lang w:eastAsia="en-AU"/>
        </w:rPr>
        <w:t>r</w:t>
      </w:r>
      <w:r w:rsidRPr="00602824">
        <w:rPr>
          <w:lang w:eastAsia="en-AU"/>
        </w:rPr>
        <w:t>epor</w:t>
      </w:r>
      <w:r>
        <w:rPr>
          <w:lang w:eastAsia="en-AU"/>
        </w:rPr>
        <w:t>ts already published.</w:t>
      </w:r>
      <w:r w:rsidR="00A345E0">
        <w:rPr>
          <w:lang w:eastAsia="en-AU"/>
        </w:rPr>
        <w:t xml:space="preserve"> The</w:t>
      </w:r>
      <w:r>
        <w:rPr>
          <w:lang w:eastAsia="en-AU"/>
        </w:rPr>
        <w:t xml:space="preserve"> </w:t>
      </w:r>
      <w:r w:rsidRPr="00677FC1">
        <w:rPr>
          <w:i/>
          <w:iCs/>
          <w:lang w:eastAsia="en-AU"/>
        </w:rPr>
        <w:t>Interim Evaluation #1</w:t>
      </w:r>
      <w:r w:rsidR="00A345E0" w:rsidRPr="00677FC1">
        <w:rPr>
          <w:i/>
          <w:iCs/>
          <w:lang w:eastAsia="en-AU"/>
        </w:rPr>
        <w:t xml:space="preserve"> report</w:t>
      </w:r>
      <w:r>
        <w:rPr>
          <w:rStyle w:val="FootnoteReference"/>
          <w:lang w:eastAsia="en-AU"/>
        </w:rPr>
        <w:footnoteReference w:id="3"/>
      </w:r>
      <w:r>
        <w:rPr>
          <w:lang w:eastAsia="en-AU"/>
        </w:rPr>
        <w:t xml:space="preserve"> </w:t>
      </w:r>
      <w:r w:rsidRPr="00602824">
        <w:rPr>
          <w:lang w:eastAsia="en-AU"/>
        </w:rPr>
        <w:t>covered the implementation of the reforms until June 2024</w:t>
      </w:r>
      <w:r>
        <w:rPr>
          <w:lang w:eastAsia="en-AU"/>
        </w:rPr>
        <w:t xml:space="preserve"> and </w:t>
      </w:r>
      <w:r w:rsidR="00621DF5">
        <w:rPr>
          <w:lang w:eastAsia="en-AU"/>
        </w:rPr>
        <w:t xml:space="preserve">the </w:t>
      </w:r>
      <w:r w:rsidRPr="00677FC1">
        <w:rPr>
          <w:i/>
          <w:iCs/>
          <w:lang w:eastAsia="en-AU"/>
        </w:rPr>
        <w:t>Interim Evaluation #2</w:t>
      </w:r>
      <w:r w:rsidR="00621DF5" w:rsidRPr="00677FC1">
        <w:rPr>
          <w:i/>
          <w:iCs/>
          <w:lang w:eastAsia="en-AU"/>
        </w:rPr>
        <w:t xml:space="preserve"> report</w:t>
      </w:r>
      <w:r>
        <w:rPr>
          <w:rStyle w:val="FootnoteReference"/>
          <w:lang w:eastAsia="en-AU"/>
        </w:rPr>
        <w:footnoteReference w:id="4"/>
      </w:r>
      <w:r>
        <w:rPr>
          <w:lang w:eastAsia="en-AU"/>
        </w:rPr>
        <w:t xml:space="preserve"> </w:t>
      </w:r>
      <w:r w:rsidRPr="00602824">
        <w:rPr>
          <w:lang w:eastAsia="en-AU"/>
        </w:rPr>
        <w:t>cover</w:t>
      </w:r>
      <w:r>
        <w:rPr>
          <w:lang w:eastAsia="en-AU"/>
        </w:rPr>
        <w:t>ed</w:t>
      </w:r>
      <w:r w:rsidRPr="00602824">
        <w:rPr>
          <w:lang w:eastAsia="en-AU"/>
        </w:rPr>
        <w:t xml:space="preserve"> the period from July 2024 to June 2025</w:t>
      </w:r>
      <w:r>
        <w:rPr>
          <w:lang w:eastAsia="en-AU"/>
        </w:rPr>
        <w:t>.</w:t>
      </w:r>
      <w:r w:rsidR="00A713B9">
        <w:rPr>
          <w:lang w:eastAsia="en-AU"/>
        </w:rPr>
        <w:t xml:space="preserve"> </w:t>
      </w:r>
      <w:r w:rsidR="00A713B9" w:rsidRPr="00A713B9">
        <w:rPr>
          <w:lang w:eastAsia="en-AU"/>
        </w:rPr>
        <w:t xml:space="preserve">This report builds on </w:t>
      </w:r>
      <w:r w:rsidR="00621DF5">
        <w:rPr>
          <w:lang w:eastAsia="en-AU"/>
        </w:rPr>
        <w:t xml:space="preserve">the </w:t>
      </w:r>
      <w:r w:rsidR="00A713B9" w:rsidRPr="00677FC1">
        <w:rPr>
          <w:i/>
          <w:iCs/>
          <w:lang w:eastAsia="en-AU"/>
        </w:rPr>
        <w:t>Interim Evaluation #2</w:t>
      </w:r>
      <w:r w:rsidR="00621DF5" w:rsidRPr="00677FC1">
        <w:rPr>
          <w:i/>
          <w:iCs/>
          <w:lang w:eastAsia="en-AU"/>
        </w:rPr>
        <w:t xml:space="preserve"> report</w:t>
      </w:r>
      <w:r w:rsidR="00A713B9" w:rsidRPr="00A713B9">
        <w:rPr>
          <w:lang w:eastAsia="en-AU"/>
        </w:rPr>
        <w:t xml:space="preserve">, updating the analysis through revised figures and targeted amendments to findings </w:t>
      </w:r>
      <w:r w:rsidR="0081768B">
        <w:rPr>
          <w:lang w:eastAsia="en-AU"/>
        </w:rPr>
        <w:t xml:space="preserve">and recommendations </w:t>
      </w:r>
      <w:r w:rsidR="00A713B9" w:rsidRPr="00A713B9">
        <w:rPr>
          <w:lang w:eastAsia="en-AU"/>
        </w:rPr>
        <w:t>to reflect impacts realised following program completion.</w:t>
      </w:r>
    </w:p>
    <w:p w14:paraId="07A05838" w14:textId="78621772" w:rsidR="00852DE2" w:rsidRPr="005E2AE3" w:rsidRDefault="000906FF" w:rsidP="00A757DC">
      <w:pPr>
        <w:rPr>
          <w:lang w:eastAsia="en-AU"/>
        </w:rPr>
      </w:pPr>
      <w:r>
        <w:rPr>
          <w:lang w:eastAsia="en-AU"/>
        </w:rPr>
        <w:t xml:space="preserve">Due to the benefit reductions </w:t>
      </w:r>
      <w:r w:rsidR="00F81527">
        <w:rPr>
          <w:lang w:eastAsia="en-AU"/>
        </w:rPr>
        <w:t>achieved through the reforms,</w:t>
      </w:r>
      <w:r w:rsidR="00D613C5">
        <w:rPr>
          <w:lang w:eastAsia="en-AU"/>
        </w:rPr>
        <w:t xml:space="preserve"> </w:t>
      </w:r>
      <w:r w:rsidR="006D5643">
        <w:rPr>
          <w:lang w:eastAsia="en-AU"/>
        </w:rPr>
        <w:t xml:space="preserve">the Independent Health and Aged care </w:t>
      </w:r>
      <w:r w:rsidR="00491BE2">
        <w:rPr>
          <w:lang w:eastAsia="en-AU"/>
        </w:rPr>
        <w:t xml:space="preserve">Pricing Authority (IHACPA) estimated that </w:t>
      </w:r>
      <w:r w:rsidR="00624A15" w:rsidRPr="005E2AE3">
        <w:rPr>
          <w:lang w:eastAsia="en-AU"/>
        </w:rPr>
        <w:t>significant savings of $</w:t>
      </w:r>
      <w:r w:rsidR="00FB4314" w:rsidRPr="005E2AE3">
        <w:rPr>
          <w:lang w:eastAsia="en-AU"/>
        </w:rPr>
        <w:t>540</w:t>
      </w:r>
      <w:r w:rsidR="00624A15" w:rsidRPr="005E2AE3">
        <w:rPr>
          <w:lang w:eastAsia="en-AU"/>
        </w:rPr>
        <w:t xml:space="preserve"> million</w:t>
      </w:r>
      <w:r w:rsidR="00FB4314" w:rsidRPr="005E2AE3">
        <w:rPr>
          <w:lang w:eastAsia="en-AU"/>
        </w:rPr>
        <w:t xml:space="preserve"> </w:t>
      </w:r>
      <w:r w:rsidR="00D613C5" w:rsidRPr="005E2AE3">
        <w:rPr>
          <w:lang w:eastAsia="en-AU"/>
        </w:rPr>
        <w:t xml:space="preserve">were generated </w:t>
      </w:r>
      <w:r w:rsidR="00624A15" w:rsidRPr="005E2AE3">
        <w:rPr>
          <w:lang w:eastAsia="en-AU"/>
        </w:rPr>
        <w:t xml:space="preserve">for the Australian health system </w:t>
      </w:r>
      <w:r w:rsidR="0006673D" w:rsidRPr="005E2AE3">
        <w:rPr>
          <w:lang w:eastAsia="en-AU"/>
        </w:rPr>
        <w:t>in the three years from July 2022 to June 2025</w:t>
      </w:r>
      <w:r w:rsidR="00D613C5" w:rsidRPr="005E2AE3">
        <w:rPr>
          <w:lang w:eastAsia="en-AU"/>
        </w:rPr>
        <w:t>.</w:t>
      </w:r>
      <w:r w:rsidR="00624A15" w:rsidRPr="00624A15">
        <w:rPr>
          <w:rFonts w:cstheme="minorHAnsi"/>
          <w:szCs w:val="14"/>
          <w:vertAlign w:val="superscript"/>
          <w:lang w:eastAsia="en-AU"/>
        </w:rPr>
        <w:footnoteReference w:id="5"/>
      </w:r>
      <w:r w:rsidR="00620CE0" w:rsidRPr="005E2AE3">
        <w:rPr>
          <w:lang w:eastAsia="en-AU"/>
        </w:rPr>
        <w:t xml:space="preserve"> </w:t>
      </w:r>
      <w:r w:rsidR="00BE28D8" w:rsidRPr="005E2AE3">
        <w:rPr>
          <w:lang w:eastAsia="en-AU"/>
        </w:rPr>
        <w:t>This includes $239 million in FY25, which reflects the reforms’ annualised impact now that benefit reductions have been fully implemented</w:t>
      </w:r>
      <w:r w:rsidR="00270A87" w:rsidRPr="005E2AE3">
        <w:rPr>
          <w:lang w:eastAsia="en-AU"/>
        </w:rPr>
        <w:t xml:space="preserve">. </w:t>
      </w:r>
      <w:r w:rsidR="00BE28D8" w:rsidRPr="005E2AE3">
        <w:rPr>
          <w:lang w:eastAsia="en-AU"/>
        </w:rPr>
        <w:t>Subject to future changes in device utilisation and benefit settings, savings of a similar annual order are expected to continue in future years.</w:t>
      </w:r>
      <w:r w:rsidR="00144B96" w:rsidRPr="005E2AE3">
        <w:rPr>
          <w:lang w:eastAsia="en-AU"/>
        </w:rPr>
        <w:t xml:space="preserve"> The cumulative effect of savings</w:t>
      </w:r>
      <w:r w:rsidR="00317006">
        <w:rPr>
          <w:lang w:eastAsia="en-AU"/>
        </w:rPr>
        <w:t xml:space="preserve"> from the </w:t>
      </w:r>
      <w:r w:rsidR="00C70BA1">
        <w:rPr>
          <w:lang w:eastAsia="en-AU"/>
        </w:rPr>
        <w:t>benefit reductions</w:t>
      </w:r>
      <w:r w:rsidR="00144B96" w:rsidRPr="005E2AE3">
        <w:rPr>
          <w:lang w:eastAsia="en-AU"/>
        </w:rPr>
        <w:t xml:space="preserve"> is estimated to reach $1 billion by June 2027.</w:t>
      </w:r>
      <w:r w:rsidR="00141842" w:rsidRPr="005E2AE3">
        <w:rPr>
          <w:rStyle w:val="FootnoteReference"/>
          <w:lang w:eastAsia="en-AU"/>
        </w:rPr>
        <w:footnoteReference w:id="6"/>
      </w:r>
    </w:p>
    <w:p w14:paraId="795503B5" w14:textId="7E605758" w:rsidR="00F447A9" w:rsidRPr="005E2AE3" w:rsidRDefault="00852DE2" w:rsidP="00A757DC">
      <w:pPr>
        <w:rPr>
          <w:lang w:eastAsia="en-AU"/>
        </w:rPr>
      </w:pPr>
      <w:r w:rsidRPr="005E2AE3">
        <w:rPr>
          <w:lang w:eastAsia="en-AU"/>
        </w:rPr>
        <w:t>These savings have</w:t>
      </w:r>
      <w:r w:rsidR="002E2ACA" w:rsidRPr="005E2AE3">
        <w:rPr>
          <w:lang w:eastAsia="en-AU"/>
        </w:rPr>
        <w:t xml:space="preserve"> </w:t>
      </w:r>
      <w:r w:rsidR="00020FC0" w:rsidRPr="005E2AE3">
        <w:rPr>
          <w:lang w:eastAsia="en-AU"/>
        </w:rPr>
        <w:t xml:space="preserve">put </w:t>
      </w:r>
      <w:r w:rsidR="00624A15" w:rsidRPr="005E2AE3">
        <w:rPr>
          <w:lang w:eastAsia="en-AU"/>
        </w:rPr>
        <w:t xml:space="preserve">downward pressure on </w:t>
      </w:r>
      <w:r w:rsidR="001E225D" w:rsidRPr="005E2AE3">
        <w:rPr>
          <w:lang w:eastAsia="en-AU"/>
        </w:rPr>
        <w:t>private health insurance (</w:t>
      </w:r>
      <w:r w:rsidR="00624A15" w:rsidRPr="005E2AE3">
        <w:rPr>
          <w:lang w:eastAsia="en-AU"/>
        </w:rPr>
        <w:t>PHI</w:t>
      </w:r>
      <w:r w:rsidR="001E225D" w:rsidRPr="005E2AE3">
        <w:rPr>
          <w:lang w:eastAsia="en-AU"/>
        </w:rPr>
        <w:t>)</w:t>
      </w:r>
      <w:r w:rsidR="00624A15" w:rsidRPr="005E2AE3">
        <w:rPr>
          <w:lang w:eastAsia="en-AU"/>
        </w:rPr>
        <w:t xml:space="preserve"> premiums</w:t>
      </w:r>
      <w:r w:rsidRPr="005E2AE3">
        <w:rPr>
          <w:lang w:eastAsia="en-AU"/>
        </w:rPr>
        <w:t>.</w:t>
      </w:r>
      <w:r w:rsidR="007A4D1F" w:rsidRPr="005E2AE3">
        <w:rPr>
          <w:lang w:eastAsia="en-AU"/>
        </w:rPr>
        <w:t xml:space="preserve"> While </w:t>
      </w:r>
      <w:r w:rsidR="00C70BA1">
        <w:rPr>
          <w:lang w:eastAsia="en-AU"/>
        </w:rPr>
        <w:t xml:space="preserve">increases in the volume of </w:t>
      </w:r>
      <w:r w:rsidR="00D23ABB">
        <w:rPr>
          <w:lang w:eastAsia="en-AU"/>
        </w:rPr>
        <w:t xml:space="preserve">devices used and </w:t>
      </w:r>
      <w:r w:rsidR="007A4D1F" w:rsidRPr="005E2AE3">
        <w:rPr>
          <w:lang w:eastAsia="en-AU"/>
        </w:rPr>
        <w:t xml:space="preserve">broader cost pressures mean premiums have </w:t>
      </w:r>
      <w:r w:rsidR="00C27280" w:rsidRPr="005E2AE3">
        <w:rPr>
          <w:lang w:eastAsia="en-AU"/>
        </w:rPr>
        <w:t>continued to increase</w:t>
      </w:r>
      <w:r w:rsidR="007A4D1F" w:rsidRPr="005E2AE3">
        <w:rPr>
          <w:lang w:eastAsia="en-AU"/>
        </w:rPr>
        <w:t xml:space="preserve">, </w:t>
      </w:r>
      <w:r w:rsidR="00BA5543" w:rsidRPr="005E2AE3">
        <w:rPr>
          <w:lang w:eastAsia="en-AU"/>
        </w:rPr>
        <w:t xml:space="preserve">it is reasonable to conclude that </w:t>
      </w:r>
      <w:r w:rsidR="007A4D1F" w:rsidRPr="005E2AE3">
        <w:rPr>
          <w:lang w:eastAsia="en-AU"/>
        </w:rPr>
        <w:t>the reduction in PL benefits has moderated the size of these increases</w:t>
      </w:r>
      <w:r w:rsidR="00246118" w:rsidRPr="005E2AE3">
        <w:rPr>
          <w:lang w:eastAsia="en-AU"/>
        </w:rPr>
        <w:t>.</w:t>
      </w:r>
    </w:p>
    <w:p w14:paraId="4F68262C" w14:textId="76337513" w:rsidR="00C57043" w:rsidRPr="005E2AE3" w:rsidRDefault="007D7402" w:rsidP="00A757DC">
      <w:pPr>
        <w:rPr>
          <w:lang w:eastAsia="en-AU"/>
        </w:rPr>
      </w:pPr>
      <w:r w:rsidRPr="005E2AE3">
        <w:rPr>
          <w:lang w:eastAsia="en-AU"/>
        </w:rPr>
        <w:t xml:space="preserve">While these savings </w:t>
      </w:r>
      <w:r w:rsidR="00FB1BB3" w:rsidRPr="005E2AE3">
        <w:rPr>
          <w:lang w:eastAsia="en-AU"/>
        </w:rPr>
        <w:t xml:space="preserve">provide the headline impact of the reforms, </w:t>
      </w:r>
      <w:r w:rsidR="00B97DB7" w:rsidRPr="005E2AE3">
        <w:rPr>
          <w:lang w:eastAsia="en-AU"/>
        </w:rPr>
        <w:t xml:space="preserve">the other planned objectives </w:t>
      </w:r>
      <w:r w:rsidR="00FB4278" w:rsidRPr="005E2AE3">
        <w:rPr>
          <w:lang w:eastAsia="en-AU"/>
        </w:rPr>
        <w:t>had mixed success</w:t>
      </w:r>
      <w:r w:rsidR="00C94BCF" w:rsidRPr="005E2AE3">
        <w:rPr>
          <w:lang w:eastAsia="en-AU"/>
        </w:rPr>
        <w:t>.</w:t>
      </w:r>
      <w:r w:rsidR="00B97DB7" w:rsidRPr="005E2AE3">
        <w:rPr>
          <w:lang w:eastAsia="en-AU"/>
        </w:rPr>
        <w:t xml:space="preserve"> </w:t>
      </w:r>
      <w:r w:rsidR="00F5195F" w:rsidRPr="005E2AE3">
        <w:rPr>
          <w:lang w:eastAsia="en-AU"/>
        </w:rPr>
        <w:t>I</w:t>
      </w:r>
      <w:r w:rsidR="00664F5E" w:rsidRPr="005E2AE3">
        <w:rPr>
          <w:lang w:eastAsia="en-AU"/>
        </w:rPr>
        <w:t>t is worth noting that perhaps</w:t>
      </w:r>
      <w:r w:rsidR="00135021" w:rsidRPr="005E2AE3">
        <w:rPr>
          <w:lang w:eastAsia="en-AU"/>
        </w:rPr>
        <w:t xml:space="preserve"> the most striking </w:t>
      </w:r>
      <w:r w:rsidR="00707582" w:rsidRPr="005E2AE3">
        <w:rPr>
          <w:lang w:eastAsia="en-AU"/>
        </w:rPr>
        <w:t>reflection</w:t>
      </w:r>
      <w:r w:rsidR="00135021" w:rsidRPr="005E2AE3">
        <w:rPr>
          <w:lang w:eastAsia="en-AU"/>
        </w:rPr>
        <w:t xml:space="preserve"> </w:t>
      </w:r>
      <w:r w:rsidR="00664F5E" w:rsidRPr="005E2AE3">
        <w:rPr>
          <w:lang w:eastAsia="en-AU"/>
        </w:rPr>
        <w:t>by</w:t>
      </w:r>
      <w:r w:rsidR="00135021" w:rsidRPr="005E2AE3">
        <w:rPr>
          <w:lang w:eastAsia="en-AU"/>
        </w:rPr>
        <w:t xml:space="preserve"> the evaluation </w:t>
      </w:r>
      <w:r w:rsidR="00664F5E" w:rsidRPr="005E2AE3">
        <w:rPr>
          <w:lang w:eastAsia="en-AU"/>
        </w:rPr>
        <w:t xml:space="preserve">team </w:t>
      </w:r>
      <w:r w:rsidR="00F5195F" w:rsidRPr="005E2AE3">
        <w:rPr>
          <w:lang w:eastAsia="en-AU"/>
        </w:rPr>
        <w:t xml:space="preserve">across the reform years </w:t>
      </w:r>
      <w:r w:rsidR="00135021" w:rsidRPr="005E2AE3">
        <w:rPr>
          <w:lang w:eastAsia="en-AU"/>
        </w:rPr>
        <w:t xml:space="preserve">was the extent of </w:t>
      </w:r>
      <w:r w:rsidR="00DE0D1C" w:rsidRPr="005E2AE3">
        <w:rPr>
          <w:lang w:eastAsia="en-AU"/>
        </w:rPr>
        <w:t>mistrust</w:t>
      </w:r>
      <w:r w:rsidR="0080091F" w:rsidRPr="005E2AE3">
        <w:rPr>
          <w:lang w:eastAsia="en-AU"/>
        </w:rPr>
        <w:t xml:space="preserve"> </w:t>
      </w:r>
      <w:r w:rsidR="00AC7FC0" w:rsidRPr="005E2AE3">
        <w:rPr>
          <w:lang w:eastAsia="en-AU"/>
        </w:rPr>
        <w:t xml:space="preserve">between the </w:t>
      </w:r>
      <w:r w:rsidR="00FB6A5D">
        <w:rPr>
          <w:lang w:eastAsia="en-AU"/>
        </w:rPr>
        <w:t xml:space="preserve">private sector </w:t>
      </w:r>
      <w:r w:rsidR="00AC7FC0" w:rsidRPr="005E2AE3">
        <w:rPr>
          <w:lang w:eastAsia="en-AU"/>
        </w:rPr>
        <w:t>parties involved in the P</w:t>
      </w:r>
      <w:r w:rsidR="000406B5" w:rsidRPr="005E2AE3">
        <w:rPr>
          <w:lang w:eastAsia="en-AU"/>
        </w:rPr>
        <w:t>L reform process – insurers, private hospitals</w:t>
      </w:r>
      <w:r w:rsidR="001F1133">
        <w:rPr>
          <w:lang w:eastAsia="en-AU"/>
        </w:rPr>
        <w:t xml:space="preserve"> and the</w:t>
      </w:r>
      <w:r w:rsidR="001F1133" w:rsidRPr="005E2AE3">
        <w:rPr>
          <w:lang w:eastAsia="en-AU"/>
        </w:rPr>
        <w:t xml:space="preserve"> MedTech</w:t>
      </w:r>
      <w:r w:rsidR="000406B5" w:rsidRPr="005E2AE3">
        <w:rPr>
          <w:lang w:eastAsia="en-AU"/>
        </w:rPr>
        <w:t xml:space="preserve"> companies</w:t>
      </w:r>
      <w:r w:rsidR="001F1133">
        <w:rPr>
          <w:lang w:eastAsia="en-AU"/>
        </w:rPr>
        <w:t>.</w:t>
      </w:r>
      <w:r w:rsidR="001C071E" w:rsidRPr="005E2AE3">
        <w:rPr>
          <w:lang w:eastAsia="en-AU"/>
        </w:rPr>
        <w:t xml:space="preserve"> </w:t>
      </w:r>
      <w:r w:rsidR="0005433B" w:rsidRPr="005E2AE3">
        <w:rPr>
          <w:lang w:eastAsia="en-AU"/>
        </w:rPr>
        <w:t xml:space="preserve">The potential for conflicts of interest was also extremely high. </w:t>
      </w:r>
      <w:r w:rsidR="000012C5" w:rsidRPr="005E2AE3">
        <w:rPr>
          <w:lang w:eastAsia="en-AU"/>
        </w:rPr>
        <w:t>The</w:t>
      </w:r>
      <w:r w:rsidR="000B6E32" w:rsidRPr="005E2AE3">
        <w:rPr>
          <w:lang w:eastAsia="en-AU"/>
        </w:rPr>
        <w:t xml:space="preserve"> process</w:t>
      </w:r>
      <w:r w:rsidR="000012C5" w:rsidRPr="005E2AE3">
        <w:rPr>
          <w:lang w:eastAsia="en-AU"/>
        </w:rPr>
        <w:t xml:space="preserve"> adopted by Government was</w:t>
      </w:r>
      <w:r w:rsidR="000B6E32" w:rsidRPr="005E2AE3">
        <w:rPr>
          <w:lang w:eastAsia="en-AU"/>
        </w:rPr>
        <w:t xml:space="preserve"> deliberat</w:t>
      </w:r>
      <w:r w:rsidR="00625012" w:rsidRPr="005E2AE3">
        <w:rPr>
          <w:lang w:eastAsia="en-AU"/>
        </w:rPr>
        <w:t>ely consultative</w:t>
      </w:r>
      <w:r w:rsidR="00A24260" w:rsidRPr="005E2AE3">
        <w:rPr>
          <w:lang w:eastAsia="en-AU"/>
        </w:rPr>
        <w:t xml:space="preserve">, which often </w:t>
      </w:r>
      <w:r w:rsidR="000012C5" w:rsidRPr="005E2AE3">
        <w:rPr>
          <w:lang w:eastAsia="en-AU"/>
        </w:rPr>
        <w:t xml:space="preserve">resulted in </w:t>
      </w:r>
      <w:r w:rsidR="00CF403B" w:rsidRPr="005E2AE3">
        <w:rPr>
          <w:lang w:eastAsia="en-AU"/>
        </w:rPr>
        <w:t>open acrimony.</w:t>
      </w:r>
      <w:r w:rsidR="00625012" w:rsidRPr="005E2AE3">
        <w:rPr>
          <w:lang w:eastAsia="en-AU"/>
        </w:rPr>
        <w:t xml:space="preserve"> </w:t>
      </w:r>
      <w:r w:rsidR="00157ED0" w:rsidRPr="005E2AE3">
        <w:rPr>
          <w:lang w:eastAsia="en-AU"/>
        </w:rPr>
        <w:t xml:space="preserve">The significant commercial interests involved meant that the reforms became highly contentious, </w:t>
      </w:r>
      <w:r w:rsidR="00394E6E" w:rsidRPr="005E2AE3">
        <w:rPr>
          <w:lang w:eastAsia="en-AU"/>
        </w:rPr>
        <w:t>with claims made by various stakeholders</w:t>
      </w:r>
      <w:r w:rsidR="00444745" w:rsidRPr="005E2AE3">
        <w:rPr>
          <w:lang w:eastAsia="en-AU"/>
        </w:rPr>
        <w:t xml:space="preserve"> </w:t>
      </w:r>
      <w:r w:rsidR="00157ED0" w:rsidRPr="005E2AE3">
        <w:rPr>
          <w:lang w:eastAsia="en-AU"/>
        </w:rPr>
        <w:t>bordering on litigious</w:t>
      </w:r>
      <w:r w:rsidR="005915C1" w:rsidRPr="005E2AE3">
        <w:rPr>
          <w:lang w:eastAsia="en-AU"/>
        </w:rPr>
        <w:t>. The</w:t>
      </w:r>
      <w:r w:rsidR="007F2D7E" w:rsidRPr="005E2AE3">
        <w:rPr>
          <w:lang w:eastAsia="en-AU"/>
        </w:rPr>
        <w:t xml:space="preserve"> interests of consumers </w:t>
      </w:r>
      <w:r w:rsidR="005915C1" w:rsidRPr="005E2AE3">
        <w:rPr>
          <w:lang w:eastAsia="en-AU"/>
        </w:rPr>
        <w:t xml:space="preserve">were </w:t>
      </w:r>
      <w:r w:rsidR="007F2D7E" w:rsidRPr="005E2AE3">
        <w:rPr>
          <w:lang w:eastAsia="en-AU"/>
        </w:rPr>
        <w:t>often lost</w:t>
      </w:r>
      <w:r w:rsidR="005915C1" w:rsidRPr="005E2AE3">
        <w:rPr>
          <w:lang w:eastAsia="en-AU"/>
        </w:rPr>
        <w:t xml:space="preserve"> i</w:t>
      </w:r>
      <w:r w:rsidR="007F2D7E" w:rsidRPr="005E2AE3">
        <w:rPr>
          <w:lang w:eastAsia="en-AU"/>
        </w:rPr>
        <w:t>n the process.</w:t>
      </w:r>
    </w:p>
    <w:p w14:paraId="0163F1FF" w14:textId="7623AB63" w:rsidR="008935C3" w:rsidRPr="005E2AE3" w:rsidRDefault="008935C3" w:rsidP="008935C3">
      <w:pPr>
        <w:rPr>
          <w:lang w:eastAsia="en-AU"/>
        </w:rPr>
      </w:pPr>
      <w:r w:rsidRPr="005E2AE3">
        <w:rPr>
          <w:lang w:eastAsia="en-AU"/>
        </w:rPr>
        <w:t xml:space="preserve">The </w:t>
      </w:r>
      <w:r w:rsidR="0089518D" w:rsidRPr="005E2AE3">
        <w:rPr>
          <w:i/>
          <w:lang w:eastAsia="en-AU"/>
        </w:rPr>
        <w:t>Memorandum of Understandi</w:t>
      </w:r>
      <w:r w:rsidR="00A237C0" w:rsidRPr="005E2AE3">
        <w:rPr>
          <w:i/>
          <w:lang w:eastAsia="en-AU"/>
        </w:rPr>
        <w:t>ng</w:t>
      </w:r>
      <w:r w:rsidR="0094705B" w:rsidRPr="005E2AE3">
        <w:rPr>
          <w:i/>
          <w:lang w:eastAsia="en-AU"/>
        </w:rPr>
        <w:t xml:space="preserve"> for the policy parameters of the Prostheses List Reform</w:t>
      </w:r>
      <w:r w:rsidR="0053362B" w:rsidRPr="005E2AE3">
        <w:rPr>
          <w:i/>
          <w:lang w:eastAsia="en-AU"/>
        </w:rPr>
        <w:t>s</w:t>
      </w:r>
      <w:r w:rsidR="00953B27" w:rsidRPr="005E2AE3">
        <w:rPr>
          <w:rStyle w:val="FootnoteReference"/>
          <w:lang w:eastAsia="en-AU"/>
        </w:rPr>
        <w:footnoteReference w:id="7"/>
      </w:r>
      <w:r w:rsidR="00953B27" w:rsidRPr="005E2AE3">
        <w:rPr>
          <w:lang w:eastAsia="en-AU"/>
        </w:rPr>
        <w:t xml:space="preserve"> (the MOU)</w:t>
      </w:r>
      <w:r w:rsidRPr="005E2AE3">
        <w:rPr>
          <w:lang w:eastAsia="en-AU"/>
        </w:rPr>
        <w:t xml:space="preserve">, agreed early in the reform process between the then Minister for Health and </w:t>
      </w:r>
      <w:r w:rsidR="0053362B" w:rsidRPr="005E2AE3">
        <w:rPr>
          <w:lang w:eastAsia="en-AU"/>
        </w:rPr>
        <w:t>Aged Care</w:t>
      </w:r>
      <w:r w:rsidRPr="005E2AE3">
        <w:rPr>
          <w:lang w:eastAsia="en-AU"/>
        </w:rPr>
        <w:t xml:space="preserve"> and the MTAA in 2022, had a significant impact on the realisation of the reform’s objectives. While the MOU </w:t>
      </w:r>
      <w:r w:rsidR="00FF7BC5" w:rsidRPr="005E2AE3">
        <w:rPr>
          <w:lang w:eastAsia="en-AU"/>
        </w:rPr>
        <w:t>established</w:t>
      </w:r>
      <w:r w:rsidRPr="005E2AE3">
        <w:rPr>
          <w:lang w:eastAsia="en-AU"/>
        </w:rPr>
        <w:t xml:space="preserve"> the </w:t>
      </w:r>
      <w:r w:rsidR="00E9185E" w:rsidRPr="005E2AE3">
        <w:rPr>
          <w:lang w:eastAsia="en-AU"/>
        </w:rPr>
        <w:t xml:space="preserve">process </w:t>
      </w:r>
      <w:r w:rsidR="00D71A67" w:rsidRPr="005E2AE3">
        <w:rPr>
          <w:lang w:eastAsia="en-AU"/>
        </w:rPr>
        <w:t xml:space="preserve">and parameters </w:t>
      </w:r>
      <w:r w:rsidR="00FF7BC5" w:rsidRPr="005E2AE3">
        <w:rPr>
          <w:lang w:eastAsia="en-AU"/>
        </w:rPr>
        <w:t>for</w:t>
      </w:r>
      <w:r w:rsidR="00D71A67" w:rsidRPr="005E2AE3">
        <w:rPr>
          <w:lang w:eastAsia="en-AU"/>
        </w:rPr>
        <w:t xml:space="preserve"> reducing</w:t>
      </w:r>
      <w:r w:rsidR="00E9185E" w:rsidRPr="005E2AE3">
        <w:rPr>
          <w:lang w:eastAsia="en-AU"/>
        </w:rPr>
        <w:t xml:space="preserve"> </w:t>
      </w:r>
      <w:r w:rsidR="00CA5015" w:rsidRPr="005E2AE3">
        <w:rPr>
          <w:lang w:eastAsia="en-AU"/>
        </w:rPr>
        <w:t>PL benefits</w:t>
      </w:r>
      <w:r w:rsidRPr="005E2AE3">
        <w:rPr>
          <w:lang w:eastAsia="en-AU"/>
        </w:rPr>
        <w:t xml:space="preserve">, it also </w:t>
      </w:r>
      <w:r w:rsidR="00FF7BC5" w:rsidRPr="005E2AE3">
        <w:rPr>
          <w:lang w:eastAsia="en-AU"/>
        </w:rPr>
        <w:t>limited</w:t>
      </w:r>
      <w:r w:rsidRPr="005E2AE3">
        <w:rPr>
          <w:lang w:eastAsia="en-AU"/>
        </w:rPr>
        <w:t xml:space="preserve"> flexibility to achieve some of the </w:t>
      </w:r>
      <w:r w:rsidR="008D58E5" w:rsidRPr="005E2AE3">
        <w:rPr>
          <w:lang w:eastAsia="en-AU"/>
        </w:rPr>
        <w:t>other o</w:t>
      </w:r>
      <w:r w:rsidR="00FF7BC5" w:rsidRPr="005E2AE3">
        <w:rPr>
          <w:lang w:eastAsia="en-AU"/>
        </w:rPr>
        <w:t>bjectives</w:t>
      </w:r>
      <w:r w:rsidRPr="005E2AE3">
        <w:rPr>
          <w:lang w:eastAsia="en-AU"/>
        </w:rPr>
        <w:t xml:space="preserve">. This was particularly in relation to the planned project to address the existing inequalities in the structure of the PL and simplify and streamline its 13 groupings (included under Objective 5 of the reforms). The MOU’s ban on the achievement of further savings was a significant factor in </w:t>
      </w:r>
      <w:r w:rsidR="003708A8">
        <w:rPr>
          <w:lang w:val="en-US" w:eastAsia="en-AU"/>
        </w:rPr>
        <w:t>the failure to achieve</w:t>
      </w:r>
      <w:r w:rsidR="00145004">
        <w:rPr>
          <w:lang w:val="en-US" w:eastAsia="en-AU"/>
        </w:rPr>
        <w:t xml:space="preserve"> </w:t>
      </w:r>
      <w:r>
        <w:rPr>
          <w:lang w:val="en-US" w:eastAsia="en-AU"/>
        </w:rPr>
        <w:t>regrouping.</w:t>
      </w:r>
    </w:p>
    <w:p w14:paraId="4672B4EC" w14:textId="7DF0A400" w:rsidR="00531C99" w:rsidRPr="00531C99" w:rsidRDefault="00531C99" w:rsidP="00531C99">
      <w:pPr>
        <w:spacing w:before="240" w:after="160"/>
        <w:rPr>
          <w:b/>
          <w:bCs/>
          <w:sz w:val="20"/>
          <w:szCs w:val="20"/>
          <w:lang w:eastAsia="en-AU"/>
        </w:rPr>
      </w:pPr>
      <w:r w:rsidRPr="00531C99">
        <w:rPr>
          <w:b/>
          <w:bCs/>
          <w:sz w:val="20"/>
          <w:szCs w:val="20"/>
          <w:lang w:eastAsia="en-AU"/>
        </w:rPr>
        <w:t>Governance</w:t>
      </w:r>
    </w:p>
    <w:p w14:paraId="65BA7265" w14:textId="2B787023" w:rsidR="003F35B2" w:rsidRPr="005E2AE3" w:rsidRDefault="003F35B2" w:rsidP="00A757DC">
      <w:pPr>
        <w:rPr>
          <w:lang w:eastAsia="en-AU"/>
        </w:rPr>
      </w:pPr>
      <w:r w:rsidRPr="005E2AE3">
        <w:rPr>
          <w:lang w:eastAsia="en-AU"/>
        </w:rPr>
        <w:t xml:space="preserve">The </w:t>
      </w:r>
      <w:r w:rsidR="003E174F" w:rsidRPr="005E2AE3">
        <w:rPr>
          <w:lang w:eastAsia="en-AU"/>
        </w:rPr>
        <w:t>existence of</w:t>
      </w:r>
      <w:r w:rsidR="00221CE6" w:rsidRPr="005E2AE3">
        <w:rPr>
          <w:lang w:eastAsia="en-AU"/>
        </w:rPr>
        <w:t xml:space="preserve"> disruptive disputation and potential </w:t>
      </w:r>
      <w:r w:rsidR="00430049" w:rsidRPr="005E2AE3">
        <w:rPr>
          <w:lang w:eastAsia="en-AU"/>
        </w:rPr>
        <w:t xml:space="preserve">conflicts </w:t>
      </w:r>
      <w:r w:rsidR="00221CE6" w:rsidRPr="005E2AE3">
        <w:rPr>
          <w:lang w:eastAsia="en-AU"/>
        </w:rPr>
        <w:t xml:space="preserve">of interest </w:t>
      </w:r>
      <w:r w:rsidR="003D7D4A" w:rsidRPr="005E2AE3">
        <w:rPr>
          <w:lang w:eastAsia="en-AU"/>
        </w:rPr>
        <w:t>was to some extent improved at the outset</w:t>
      </w:r>
      <w:r w:rsidR="00396996" w:rsidRPr="005E2AE3">
        <w:rPr>
          <w:lang w:eastAsia="en-AU"/>
        </w:rPr>
        <w:t xml:space="preserve"> by</w:t>
      </w:r>
      <w:r w:rsidR="003D7D4A" w:rsidRPr="005E2AE3">
        <w:rPr>
          <w:lang w:eastAsia="en-AU"/>
        </w:rPr>
        <w:t xml:space="preserve"> the changes to governance for the </w:t>
      </w:r>
      <w:r w:rsidR="007805F8" w:rsidRPr="005E2AE3">
        <w:rPr>
          <w:lang w:eastAsia="en-AU"/>
        </w:rPr>
        <w:t xml:space="preserve">PL. The former Prostheses List Advisory Committee (PLAC) was replaced by the Medical Technology and Human Tissue </w:t>
      </w:r>
      <w:r w:rsidR="0067092F" w:rsidRPr="005E2AE3">
        <w:rPr>
          <w:lang w:eastAsia="en-AU"/>
        </w:rPr>
        <w:t>Advisory</w:t>
      </w:r>
      <w:r w:rsidR="007805F8" w:rsidRPr="005E2AE3">
        <w:rPr>
          <w:lang w:eastAsia="en-AU"/>
        </w:rPr>
        <w:t xml:space="preserve"> Committee (</w:t>
      </w:r>
      <w:r w:rsidR="0067092F" w:rsidRPr="005E2AE3">
        <w:rPr>
          <w:lang w:eastAsia="en-AU"/>
        </w:rPr>
        <w:t>MDHTAC), which removed representatives of the</w:t>
      </w:r>
      <w:r w:rsidR="001178E0" w:rsidRPr="005E2AE3">
        <w:rPr>
          <w:lang w:eastAsia="en-AU"/>
        </w:rPr>
        <w:t xml:space="preserve"> MedTech industry, the private health insurance industry and the private hospitals. The </w:t>
      </w:r>
      <w:r w:rsidR="00F45BC9" w:rsidRPr="005E2AE3">
        <w:rPr>
          <w:lang w:eastAsia="en-AU"/>
        </w:rPr>
        <w:t xml:space="preserve">MDHTAC and its </w:t>
      </w:r>
      <w:r w:rsidR="00092FAB">
        <w:rPr>
          <w:lang w:eastAsia="en-AU"/>
        </w:rPr>
        <w:t xml:space="preserve">Expert </w:t>
      </w:r>
      <w:r w:rsidR="00F45BC9" w:rsidRPr="005E2AE3">
        <w:rPr>
          <w:lang w:eastAsia="en-AU"/>
        </w:rPr>
        <w:t>Clinical Advisory Groups (</w:t>
      </w:r>
      <w:r w:rsidR="00092FAB">
        <w:rPr>
          <w:lang w:eastAsia="en-AU"/>
        </w:rPr>
        <w:t>E</w:t>
      </w:r>
      <w:r w:rsidR="00F45BC9" w:rsidRPr="005E2AE3">
        <w:rPr>
          <w:lang w:eastAsia="en-AU"/>
        </w:rPr>
        <w:t xml:space="preserve">CAGs) included strong </w:t>
      </w:r>
      <w:r w:rsidR="001675F1" w:rsidRPr="005E2AE3">
        <w:rPr>
          <w:lang w:eastAsia="en-AU"/>
        </w:rPr>
        <w:t>clinical representation and were able to transact business much more effectively, and in the interests of consumers.</w:t>
      </w:r>
      <w:r w:rsidR="00C55055" w:rsidRPr="005E2AE3">
        <w:rPr>
          <w:lang w:eastAsia="en-AU"/>
        </w:rPr>
        <w:t xml:space="preserve"> While </w:t>
      </w:r>
      <w:r w:rsidR="000023A3">
        <w:rPr>
          <w:lang w:eastAsia="en-AU"/>
        </w:rPr>
        <w:t xml:space="preserve">some </w:t>
      </w:r>
      <w:r w:rsidR="00414571">
        <w:rPr>
          <w:lang w:eastAsia="en-AU"/>
        </w:rPr>
        <w:t xml:space="preserve">MDHTAC members </w:t>
      </w:r>
      <w:r w:rsidR="00E3093D">
        <w:rPr>
          <w:lang w:eastAsia="en-AU"/>
        </w:rPr>
        <w:t>felt the Committee</w:t>
      </w:r>
      <w:r w:rsidR="00414571">
        <w:rPr>
          <w:lang w:eastAsia="en-AU"/>
        </w:rPr>
        <w:t xml:space="preserve"> would </w:t>
      </w:r>
      <w:r w:rsidR="00235495">
        <w:rPr>
          <w:lang w:eastAsia="en-AU"/>
        </w:rPr>
        <w:t>benefit</w:t>
      </w:r>
      <w:r w:rsidR="00414571">
        <w:rPr>
          <w:lang w:eastAsia="en-AU"/>
        </w:rPr>
        <w:t xml:space="preserve"> from </w:t>
      </w:r>
      <w:r w:rsidR="00F43C92">
        <w:rPr>
          <w:lang w:eastAsia="en-AU"/>
        </w:rPr>
        <w:t xml:space="preserve">having </w:t>
      </w:r>
      <w:r w:rsidR="00D4176F">
        <w:rPr>
          <w:lang w:eastAsia="en-AU"/>
        </w:rPr>
        <w:t xml:space="preserve">better access to </w:t>
      </w:r>
      <w:r w:rsidR="00F43C92">
        <w:rPr>
          <w:lang w:eastAsia="en-AU"/>
        </w:rPr>
        <w:t xml:space="preserve">the voice of </w:t>
      </w:r>
      <w:r w:rsidR="0077290F">
        <w:rPr>
          <w:lang w:eastAsia="en-AU"/>
        </w:rPr>
        <w:t>the</w:t>
      </w:r>
      <w:r w:rsidR="00B82524" w:rsidRPr="005E2AE3">
        <w:rPr>
          <w:lang w:eastAsia="en-AU"/>
        </w:rPr>
        <w:t xml:space="preserve"> hospitals</w:t>
      </w:r>
      <w:r w:rsidR="00622E06">
        <w:rPr>
          <w:lang w:eastAsia="en-AU"/>
        </w:rPr>
        <w:t xml:space="preserve"> (although not within the Committee)</w:t>
      </w:r>
      <w:r w:rsidR="005A0632" w:rsidRPr="005E2AE3">
        <w:rPr>
          <w:lang w:eastAsia="en-AU"/>
        </w:rPr>
        <w:t xml:space="preserve">, stakeholders </w:t>
      </w:r>
      <w:r w:rsidR="00A177BF" w:rsidRPr="005E2AE3">
        <w:rPr>
          <w:lang w:eastAsia="en-AU"/>
        </w:rPr>
        <w:t>generally supported the revised governance structures.</w:t>
      </w:r>
    </w:p>
    <w:p w14:paraId="016D30E1" w14:textId="79825D9D" w:rsidR="00531C99" w:rsidRPr="00531C99" w:rsidRDefault="00531C99" w:rsidP="00531C99">
      <w:pPr>
        <w:spacing w:before="240" w:after="160"/>
        <w:rPr>
          <w:b/>
          <w:bCs/>
          <w:sz w:val="20"/>
          <w:szCs w:val="20"/>
          <w:lang w:eastAsia="en-AU"/>
        </w:rPr>
      </w:pPr>
      <w:r w:rsidRPr="00531C99">
        <w:rPr>
          <w:b/>
          <w:bCs/>
          <w:sz w:val="20"/>
          <w:szCs w:val="20"/>
          <w:lang w:eastAsia="en-AU"/>
        </w:rPr>
        <w:t>Maintaining the PL policies of no out-of-pocket fees for consumers and clinician choice of device</w:t>
      </w:r>
    </w:p>
    <w:p w14:paraId="08FA22B1" w14:textId="1BFE2F67" w:rsidR="00194DA6" w:rsidRPr="00602824" w:rsidRDefault="0078263F" w:rsidP="00194DA6">
      <w:r>
        <w:rPr>
          <w:lang w:eastAsia="en-AU"/>
        </w:rPr>
        <w:t xml:space="preserve">The </w:t>
      </w:r>
      <w:r w:rsidR="00A1000F">
        <w:rPr>
          <w:lang w:eastAsia="en-AU"/>
        </w:rPr>
        <w:t xml:space="preserve">evaluation found no substantive evidence </w:t>
      </w:r>
      <w:r w:rsidR="00666599">
        <w:rPr>
          <w:lang w:eastAsia="en-AU"/>
        </w:rPr>
        <w:t xml:space="preserve">that </w:t>
      </w:r>
      <w:r w:rsidR="000A71F6">
        <w:rPr>
          <w:lang w:eastAsia="en-AU"/>
        </w:rPr>
        <w:t xml:space="preserve">the reforms had </w:t>
      </w:r>
      <w:r w:rsidR="001048F7">
        <w:rPr>
          <w:lang w:eastAsia="en-AU"/>
        </w:rPr>
        <w:t>im</w:t>
      </w:r>
      <w:r w:rsidR="00D455DD">
        <w:rPr>
          <w:lang w:eastAsia="en-AU"/>
        </w:rPr>
        <w:t xml:space="preserve">pacted on the core </w:t>
      </w:r>
      <w:r w:rsidR="009D7D09">
        <w:rPr>
          <w:lang w:eastAsia="en-AU"/>
        </w:rPr>
        <w:t>policy</w:t>
      </w:r>
      <w:r w:rsidR="00D455DD">
        <w:rPr>
          <w:lang w:eastAsia="en-AU"/>
        </w:rPr>
        <w:t xml:space="preserve"> of </w:t>
      </w:r>
      <w:r w:rsidR="0065359B">
        <w:rPr>
          <w:lang w:eastAsia="en-AU"/>
        </w:rPr>
        <w:t xml:space="preserve">maintaining </w:t>
      </w:r>
      <w:r w:rsidR="009C7ACC">
        <w:rPr>
          <w:lang w:eastAsia="en-AU"/>
        </w:rPr>
        <w:t>no additional</w:t>
      </w:r>
      <w:r w:rsidR="000A71F6">
        <w:rPr>
          <w:lang w:eastAsia="en-AU"/>
        </w:rPr>
        <w:t xml:space="preserve"> out-of-pocket costs for consumers</w:t>
      </w:r>
      <w:r w:rsidR="00812F88">
        <w:rPr>
          <w:lang w:eastAsia="en-AU"/>
        </w:rPr>
        <w:t xml:space="preserve">. </w:t>
      </w:r>
      <w:r w:rsidR="00E4573A">
        <w:t xml:space="preserve">Similarly, there was </w:t>
      </w:r>
      <w:r w:rsidR="00873412">
        <w:t>broad agreement that t</w:t>
      </w:r>
      <w:r w:rsidR="003305DE">
        <w:t xml:space="preserve">he ability for clinicians to have uninhibited choice of device </w:t>
      </w:r>
      <w:r w:rsidR="0086782F">
        <w:t>had not been significantly impacted by the reforms</w:t>
      </w:r>
      <w:r w:rsidR="00393C96">
        <w:t>.</w:t>
      </w:r>
      <w:r w:rsidR="003B6975" w:rsidRPr="00836085">
        <w:rPr>
          <w:lang w:eastAsia="en-AU"/>
        </w:rPr>
        <w:t>t</w:t>
      </w:r>
      <w:r w:rsidR="00C528B1">
        <w:rPr>
          <w:lang w:eastAsia="en-AU"/>
        </w:rPr>
        <w:t xml:space="preserve"> </w:t>
      </w:r>
      <w:r w:rsidR="003638F7">
        <w:rPr>
          <w:lang w:eastAsia="en-AU"/>
        </w:rPr>
        <w:t>While some c</w:t>
      </w:r>
      <w:r w:rsidR="00D93BD9" w:rsidRPr="00D93BD9">
        <w:rPr>
          <w:lang w:eastAsia="en-AU"/>
        </w:rPr>
        <w:t xml:space="preserve">oncerns were expressed </w:t>
      </w:r>
      <w:r w:rsidR="00666599">
        <w:rPr>
          <w:lang w:eastAsia="en-AU"/>
        </w:rPr>
        <w:t xml:space="preserve">by some stakeholders </w:t>
      </w:r>
      <w:r w:rsidR="008463FA">
        <w:rPr>
          <w:lang w:eastAsia="en-AU"/>
        </w:rPr>
        <w:t xml:space="preserve">that there had been some impact on </w:t>
      </w:r>
      <w:r w:rsidR="003638F7">
        <w:rPr>
          <w:lang w:eastAsia="en-AU"/>
        </w:rPr>
        <w:t xml:space="preserve">both </w:t>
      </w:r>
      <w:r w:rsidR="00393C96">
        <w:rPr>
          <w:lang w:eastAsia="en-AU"/>
        </w:rPr>
        <w:t xml:space="preserve">these </w:t>
      </w:r>
      <w:r w:rsidR="00CB2039">
        <w:rPr>
          <w:lang w:eastAsia="en-AU"/>
        </w:rPr>
        <w:t>policies</w:t>
      </w:r>
      <w:r w:rsidR="003638F7">
        <w:rPr>
          <w:lang w:eastAsia="en-AU"/>
        </w:rPr>
        <w:t>, these were at the margin</w:t>
      </w:r>
      <w:r w:rsidR="008A7A8C">
        <w:rPr>
          <w:lang w:eastAsia="en-AU"/>
        </w:rPr>
        <w:t xml:space="preserve">. </w:t>
      </w:r>
      <w:r w:rsidR="00E33E1B">
        <w:rPr>
          <w:lang w:eastAsia="en-AU"/>
        </w:rPr>
        <w:t>The c</w:t>
      </w:r>
      <w:r w:rsidR="00D93BD9" w:rsidRPr="00D93BD9">
        <w:rPr>
          <w:lang w:eastAsia="en-AU"/>
        </w:rPr>
        <w:t xml:space="preserve">oncerns </w:t>
      </w:r>
      <w:r w:rsidR="00E33E1B">
        <w:rPr>
          <w:lang w:eastAsia="en-AU"/>
        </w:rPr>
        <w:t xml:space="preserve">that were raised </w:t>
      </w:r>
      <w:r w:rsidR="00D93BD9" w:rsidRPr="00D93BD9">
        <w:rPr>
          <w:lang w:eastAsia="en-AU"/>
        </w:rPr>
        <w:t>related to the risk of cost-shifting behaviour on out</w:t>
      </w:r>
      <w:r w:rsidR="00205A63">
        <w:rPr>
          <w:lang w:eastAsia="en-AU"/>
        </w:rPr>
        <w:t>-</w:t>
      </w:r>
      <w:r w:rsidR="00D93BD9" w:rsidRPr="00D93BD9">
        <w:rPr>
          <w:lang w:eastAsia="en-AU"/>
        </w:rPr>
        <w:t>of</w:t>
      </w:r>
      <w:r w:rsidR="00205A63">
        <w:rPr>
          <w:lang w:eastAsia="en-AU"/>
        </w:rPr>
        <w:t>-</w:t>
      </w:r>
      <w:r w:rsidR="00D93BD9" w:rsidRPr="00D93BD9">
        <w:rPr>
          <w:lang w:eastAsia="en-AU"/>
        </w:rPr>
        <w:t>pocket</w:t>
      </w:r>
      <w:r w:rsidR="006500A1">
        <w:rPr>
          <w:lang w:eastAsia="en-AU"/>
        </w:rPr>
        <w:t xml:space="preserve"> fees</w:t>
      </w:r>
      <w:r w:rsidR="00D93BD9" w:rsidRPr="00D93BD9">
        <w:rPr>
          <w:lang w:eastAsia="en-AU"/>
        </w:rPr>
        <w:t xml:space="preserve"> and potential limitations on clinician choice related to </w:t>
      </w:r>
      <w:r w:rsidR="00E33E1B">
        <w:rPr>
          <w:lang w:eastAsia="en-AU"/>
        </w:rPr>
        <w:t xml:space="preserve">some specific </w:t>
      </w:r>
      <w:r w:rsidR="00D93BD9" w:rsidRPr="00D93BD9">
        <w:rPr>
          <w:lang w:eastAsia="en-AU"/>
        </w:rPr>
        <w:t>high cost/more advanced technologies.</w:t>
      </w:r>
    </w:p>
    <w:p w14:paraId="2440291F" w14:textId="38A20C16" w:rsidR="00531C99" w:rsidRPr="00531C99" w:rsidRDefault="00531C99" w:rsidP="00531C99">
      <w:pPr>
        <w:spacing w:before="240" w:after="160"/>
        <w:rPr>
          <w:b/>
          <w:bCs/>
          <w:sz w:val="20"/>
          <w:szCs w:val="20"/>
          <w:lang w:eastAsia="en-AU"/>
        </w:rPr>
      </w:pPr>
      <w:r>
        <w:rPr>
          <w:b/>
          <w:bCs/>
          <w:sz w:val="20"/>
          <w:szCs w:val="20"/>
          <w:lang w:eastAsia="en-AU"/>
        </w:rPr>
        <w:t>Benefit reductions</w:t>
      </w:r>
    </w:p>
    <w:p w14:paraId="3564F009" w14:textId="3C5D7C18" w:rsidR="00E51FCD" w:rsidRPr="00C770BC" w:rsidRDefault="00CF1080" w:rsidP="00E51FCD">
      <w:r w:rsidRPr="00DF4153">
        <w:rPr>
          <w:lang w:eastAsia="en-AU"/>
        </w:rPr>
        <w:t>A key component of the reform</w:t>
      </w:r>
      <w:r>
        <w:rPr>
          <w:lang w:eastAsia="en-AU"/>
        </w:rPr>
        <w:t xml:space="preserve">s </w:t>
      </w:r>
      <w:r w:rsidRPr="00DF4153">
        <w:rPr>
          <w:lang w:eastAsia="en-AU"/>
        </w:rPr>
        <w:t xml:space="preserve">was </w:t>
      </w:r>
      <w:r w:rsidR="00DA3731">
        <w:rPr>
          <w:lang w:eastAsia="en-AU"/>
        </w:rPr>
        <w:t>the</w:t>
      </w:r>
      <w:r w:rsidRPr="00DF4153">
        <w:rPr>
          <w:lang w:eastAsia="en-AU"/>
        </w:rPr>
        <w:t xml:space="preserve"> planned series of reductions to PL benefits</w:t>
      </w:r>
      <w:r w:rsidR="00C73685">
        <w:rPr>
          <w:lang w:eastAsia="en-AU"/>
        </w:rPr>
        <w:t xml:space="preserve">, </w:t>
      </w:r>
      <w:r w:rsidR="00F748B3">
        <w:rPr>
          <w:lang w:eastAsia="en-AU"/>
        </w:rPr>
        <w:t xml:space="preserve">which aimed to </w:t>
      </w:r>
      <w:r w:rsidR="00BD286A">
        <w:rPr>
          <w:lang w:eastAsia="en-AU"/>
        </w:rPr>
        <w:t>improve the alignment of</w:t>
      </w:r>
      <w:r w:rsidR="00F748B3" w:rsidRPr="00602824">
        <w:t xml:space="preserve"> PL benefits </w:t>
      </w:r>
      <w:r w:rsidR="00BD286A">
        <w:t>with</w:t>
      </w:r>
      <w:r w:rsidR="00BD286A" w:rsidRPr="00602824">
        <w:t xml:space="preserve"> </w:t>
      </w:r>
      <w:r w:rsidR="00F748B3" w:rsidRPr="00602824">
        <w:t xml:space="preserve">prices </w:t>
      </w:r>
      <w:r w:rsidR="00BD286A">
        <w:t xml:space="preserve">paid </w:t>
      </w:r>
      <w:r w:rsidR="00F748B3" w:rsidRPr="00602824">
        <w:t xml:space="preserve">in </w:t>
      </w:r>
      <w:r w:rsidR="00491EB1">
        <w:t>more competitive markets</w:t>
      </w:r>
      <w:r w:rsidR="00F748B3">
        <w:t>. The reductions, agreed in the 2022 MOU</w:t>
      </w:r>
      <w:r w:rsidR="00865912">
        <w:t>,</w:t>
      </w:r>
      <w:r w:rsidR="00F748B3">
        <w:t xml:space="preserve"> were</w:t>
      </w:r>
      <w:r w:rsidR="00F748B3">
        <w:rPr>
          <w:lang w:eastAsia="en-AU"/>
        </w:rPr>
        <w:t xml:space="preserve"> </w:t>
      </w:r>
      <w:r w:rsidR="00C73685">
        <w:rPr>
          <w:lang w:eastAsia="en-AU"/>
        </w:rPr>
        <w:t>implemented</w:t>
      </w:r>
      <w:r w:rsidR="00865912">
        <w:rPr>
          <w:lang w:eastAsia="en-AU"/>
        </w:rPr>
        <w:t xml:space="preserve"> as agreed</w:t>
      </w:r>
      <w:r w:rsidR="00C73685">
        <w:rPr>
          <w:lang w:eastAsia="en-AU"/>
        </w:rPr>
        <w:t xml:space="preserve"> in</w:t>
      </w:r>
      <w:r w:rsidR="00662F1A">
        <w:rPr>
          <w:lang w:eastAsia="en-AU"/>
        </w:rPr>
        <w:t xml:space="preserve"> a staged way in July 2023, </w:t>
      </w:r>
      <w:proofErr w:type="gramStart"/>
      <w:r w:rsidR="00662F1A">
        <w:rPr>
          <w:lang w:eastAsia="en-AU"/>
        </w:rPr>
        <w:t>2024</w:t>
      </w:r>
      <w:proofErr w:type="gramEnd"/>
      <w:r w:rsidR="00662F1A">
        <w:rPr>
          <w:lang w:eastAsia="en-AU"/>
        </w:rPr>
        <w:t xml:space="preserve"> and 2025</w:t>
      </w:r>
      <w:r w:rsidR="000B658B">
        <w:rPr>
          <w:lang w:eastAsia="en-AU"/>
        </w:rPr>
        <w:t xml:space="preserve"> to reduce the gap between PL benefits and prices in the Australian public health system</w:t>
      </w:r>
      <w:r w:rsidR="00662F1A">
        <w:rPr>
          <w:lang w:eastAsia="en-AU"/>
        </w:rPr>
        <w:t>.</w:t>
      </w:r>
      <w:r w:rsidR="00D25E59">
        <w:rPr>
          <w:lang w:eastAsia="en-AU"/>
        </w:rPr>
        <w:t xml:space="preserve"> </w:t>
      </w:r>
      <w:r w:rsidR="009524EE">
        <w:rPr>
          <w:lang w:eastAsia="en-AU"/>
        </w:rPr>
        <w:t>T</w:t>
      </w:r>
      <w:r w:rsidR="00AE5D19">
        <w:rPr>
          <w:lang w:eastAsia="en-AU"/>
        </w:rPr>
        <w:t xml:space="preserve">he </w:t>
      </w:r>
      <w:r w:rsidR="00237999">
        <w:rPr>
          <w:lang w:eastAsia="en-AU"/>
        </w:rPr>
        <w:t xml:space="preserve">private health </w:t>
      </w:r>
      <w:r w:rsidR="00AE5D19">
        <w:rPr>
          <w:lang w:eastAsia="en-AU"/>
        </w:rPr>
        <w:t>insurance industry argu</w:t>
      </w:r>
      <w:r w:rsidR="00A3657D">
        <w:rPr>
          <w:lang w:eastAsia="en-AU"/>
        </w:rPr>
        <w:t>ed</w:t>
      </w:r>
      <w:r w:rsidR="00AE5D19">
        <w:rPr>
          <w:lang w:eastAsia="en-AU"/>
        </w:rPr>
        <w:t xml:space="preserve"> that</w:t>
      </w:r>
      <w:r w:rsidR="00A3657D">
        <w:rPr>
          <w:lang w:eastAsia="en-AU"/>
        </w:rPr>
        <w:t xml:space="preserve"> </w:t>
      </w:r>
      <w:r w:rsidR="005D45C5">
        <w:rPr>
          <w:lang w:eastAsia="en-AU"/>
        </w:rPr>
        <w:t xml:space="preserve">use of </w:t>
      </w:r>
      <w:r w:rsidR="00A3657D">
        <w:rPr>
          <w:lang w:eastAsia="en-AU"/>
        </w:rPr>
        <w:t>public sector benchmark price</w:t>
      </w:r>
      <w:r w:rsidR="00ED2495">
        <w:rPr>
          <w:lang w:eastAsia="en-AU"/>
        </w:rPr>
        <w:t>s</w:t>
      </w:r>
      <w:r w:rsidR="00A3657D">
        <w:rPr>
          <w:lang w:eastAsia="en-AU"/>
        </w:rPr>
        <w:t xml:space="preserve"> </w:t>
      </w:r>
      <w:r w:rsidR="005D45C5">
        <w:rPr>
          <w:lang w:eastAsia="en-AU"/>
        </w:rPr>
        <w:t xml:space="preserve">did not </w:t>
      </w:r>
      <w:r w:rsidR="0021799F" w:rsidRPr="00876957">
        <w:t>generate sufficient savings to materially reduce premiums</w:t>
      </w:r>
      <w:r w:rsidR="0021799F" w:rsidRPr="00090FE3">
        <w:t xml:space="preserve">, </w:t>
      </w:r>
      <w:r w:rsidR="0021799F">
        <w:t>claiming</w:t>
      </w:r>
      <w:r w:rsidR="0021799F" w:rsidRPr="00090FE3">
        <w:t xml:space="preserve"> benefit levels remain </w:t>
      </w:r>
      <w:r w:rsidR="0021799F">
        <w:t xml:space="preserve">markedly </w:t>
      </w:r>
      <w:r w:rsidR="0021799F" w:rsidRPr="00090FE3">
        <w:t>higher than those observed in comparable international markets.</w:t>
      </w:r>
      <w:r w:rsidR="00237999">
        <w:t xml:space="preserve"> Wh</w:t>
      </w:r>
      <w:r w:rsidR="00AD6674">
        <w:rPr>
          <w:lang w:eastAsia="en-AU"/>
        </w:rPr>
        <w:t xml:space="preserve">ile the evaluation considers </w:t>
      </w:r>
      <w:r w:rsidR="00654DE5">
        <w:rPr>
          <w:lang w:eastAsia="en-AU"/>
        </w:rPr>
        <w:t xml:space="preserve">the </w:t>
      </w:r>
      <w:r w:rsidR="007A7D88">
        <w:rPr>
          <w:lang w:eastAsia="en-AU"/>
        </w:rPr>
        <w:t xml:space="preserve">use of </w:t>
      </w:r>
      <w:r w:rsidR="00654DE5">
        <w:rPr>
          <w:lang w:eastAsia="en-AU"/>
        </w:rPr>
        <w:t>public sector benchmark</w:t>
      </w:r>
      <w:r w:rsidR="00BD7D9F">
        <w:rPr>
          <w:lang w:eastAsia="en-AU"/>
        </w:rPr>
        <w:t xml:space="preserve">ing </w:t>
      </w:r>
      <w:r w:rsidR="007A7D88">
        <w:rPr>
          <w:lang w:eastAsia="en-AU"/>
        </w:rPr>
        <w:t>as</w:t>
      </w:r>
      <w:r w:rsidR="00AD6674">
        <w:rPr>
          <w:lang w:eastAsia="en-AU"/>
        </w:rPr>
        <w:t xml:space="preserve"> an appropriate and </w:t>
      </w:r>
      <w:r w:rsidR="007A7D88">
        <w:rPr>
          <w:lang w:eastAsia="en-AU"/>
        </w:rPr>
        <w:t>effective method for the reforms</w:t>
      </w:r>
      <w:r w:rsidR="00AD6674">
        <w:rPr>
          <w:lang w:eastAsia="en-AU"/>
        </w:rPr>
        <w:t xml:space="preserve">, </w:t>
      </w:r>
      <w:r w:rsidR="00D039F0">
        <w:rPr>
          <w:lang w:eastAsia="en-AU"/>
        </w:rPr>
        <w:t xml:space="preserve">case studies undertaken by the evaluation indicate that </w:t>
      </w:r>
      <w:r w:rsidR="00AD6674">
        <w:rPr>
          <w:lang w:eastAsia="en-AU"/>
        </w:rPr>
        <w:t xml:space="preserve">there is still room to assess </w:t>
      </w:r>
      <w:r w:rsidR="008A5D9F">
        <w:rPr>
          <w:lang w:eastAsia="en-AU"/>
        </w:rPr>
        <w:t>benefits</w:t>
      </w:r>
      <w:r w:rsidR="00AD6674">
        <w:rPr>
          <w:lang w:eastAsia="en-AU"/>
        </w:rPr>
        <w:t xml:space="preserve"> against </w:t>
      </w:r>
      <w:r w:rsidR="003609AD">
        <w:rPr>
          <w:lang w:eastAsia="en-AU"/>
        </w:rPr>
        <w:t>publicly available</w:t>
      </w:r>
      <w:r w:rsidR="008A5D9F">
        <w:rPr>
          <w:lang w:eastAsia="en-AU"/>
        </w:rPr>
        <w:t xml:space="preserve"> </w:t>
      </w:r>
      <w:r w:rsidR="002F2FE3">
        <w:rPr>
          <w:lang w:eastAsia="en-AU"/>
        </w:rPr>
        <w:t>international benchmarks</w:t>
      </w:r>
      <w:r w:rsidR="008A5D9F">
        <w:rPr>
          <w:lang w:eastAsia="en-AU"/>
        </w:rPr>
        <w:t xml:space="preserve"> as a complement to existing application and review processes</w:t>
      </w:r>
      <w:r w:rsidR="002F2FE3">
        <w:rPr>
          <w:lang w:eastAsia="en-AU"/>
        </w:rPr>
        <w:t>.</w:t>
      </w:r>
      <w:r w:rsidR="003E4244">
        <w:rPr>
          <w:lang w:eastAsia="en-AU"/>
        </w:rPr>
        <w:t xml:space="preserve"> </w:t>
      </w:r>
      <w:r w:rsidR="003E4244" w:rsidRPr="003E4244">
        <w:rPr>
          <w:lang w:eastAsia="en-AU"/>
        </w:rPr>
        <w:t>International price benchmarks should be used selectively as a targeted evidence source in relevant BAU benefit setting decisions and post-listing reviews. For relevant applications or reviews, the Department, MDHTAC or contracted HTA providers could draw on publicly available international prices and, where appropriate, seek input from comparable overseas pricing or reimbursement bodies to help assess whether proposed or existing benefits remain reasonable. The 7% floor applied above public sector benchmarks during the reforms demonstrates that benchmarks can be used with an appropriate premium or buffer, recognising contextual differences without treating them as a barrier to practical comparison.</w:t>
      </w:r>
    </w:p>
    <w:tbl>
      <w:tblPr>
        <w:tblStyle w:val="NousLongformcallout"/>
        <w:tblW w:w="4950" w:type="pct"/>
        <w:tblCellMar>
          <w:top w:w="170" w:type="dxa"/>
          <w:bottom w:w="170" w:type="dxa"/>
        </w:tblCellMar>
        <w:tblLook w:val="04A0" w:firstRow="1" w:lastRow="0" w:firstColumn="1" w:lastColumn="0" w:noHBand="0" w:noVBand="1"/>
      </w:tblPr>
      <w:tblGrid>
        <w:gridCol w:w="9070"/>
      </w:tblGrid>
      <w:tr w:rsidR="00AF5EA3" w:rsidRPr="00602824" w14:paraId="4CC4D085" w14:textId="77777777" w:rsidTr="00B43B01">
        <w:tc>
          <w:tcPr>
            <w:tcW w:w="9070" w:type="dxa"/>
            <w:tcBorders>
              <w:left w:val="single" w:sz="18" w:space="0" w:color="2E368F" w:themeColor="text2"/>
            </w:tcBorders>
            <w:shd w:val="clear" w:color="auto" w:fill="F2F2F2" w:themeFill="background1" w:themeFillShade="F2"/>
          </w:tcPr>
          <w:p w14:paraId="6B0C2A6F" w14:textId="70BB0FFA" w:rsidR="00AF5EA3" w:rsidRPr="00AF5EA3" w:rsidRDefault="00AF5EA3" w:rsidP="00AF5EA3">
            <w:pPr>
              <w:rPr>
                <w:rFonts w:asciiTheme="majorHAnsi" w:hAnsiTheme="majorHAnsi" w:cstheme="majorHAnsi"/>
              </w:rPr>
            </w:pPr>
            <w:r w:rsidRPr="00602824">
              <w:rPr>
                <w:rFonts w:asciiTheme="majorHAnsi" w:hAnsiTheme="majorHAnsi" w:cstheme="majorHAnsi"/>
                <w:color w:val="2E368F" w:themeColor="text2"/>
              </w:rPr>
              <w:t xml:space="preserve">RECOMMENDATION </w:t>
            </w:r>
            <w:r w:rsidR="007A58DB">
              <w:rPr>
                <w:rFonts w:asciiTheme="majorHAnsi" w:hAnsiTheme="majorHAnsi" w:cstheme="majorHAnsi"/>
                <w:color w:val="2E368F" w:themeColor="text2"/>
              </w:rPr>
              <w:t>1</w:t>
            </w:r>
            <w:r>
              <w:rPr>
                <w:rFonts w:asciiTheme="majorHAnsi" w:hAnsiTheme="majorHAnsi" w:cstheme="majorHAnsi"/>
                <w:color w:val="2E368F" w:themeColor="text2"/>
              </w:rPr>
              <w:t xml:space="preserve">: </w:t>
            </w:r>
            <w:r w:rsidR="00FF5AFA" w:rsidRPr="00FF5AFA">
              <w:rPr>
                <w:rFonts w:asciiTheme="majorHAnsi" w:hAnsiTheme="majorHAnsi" w:cstheme="majorHAnsi"/>
              </w:rPr>
              <w:t xml:space="preserve">Use international price benchmarking selectively as a complementary input to </w:t>
            </w:r>
            <w:r w:rsidR="007A58DB" w:rsidRPr="007A58DB">
              <w:rPr>
                <w:rFonts w:asciiTheme="majorHAnsi" w:hAnsiTheme="majorHAnsi" w:cstheme="majorHAnsi"/>
              </w:rPr>
              <w:t>relevant</w:t>
            </w:r>
            <w:r w:rsidR="00FF5AFA" w:rsidRPr="00FF5AFA">
              <w:rPr>
                <w:rFonts w:asciiTheme="majorHAnsi" w:hAnsiTheme="majorHAnsi" w:cstheme="majorHAnsi"/>
              </w:rPr>
              <w:t xml:space="preserve"> benefit-setting decisions</w:t>
            </w:r>
            <w:r w:rsidR="007A58DB" w:rsidRPr="007A58DB">
              <w:rPr>
                <w:rFonts w:asciiTheme="majorHAnsi" w:hAnsiTheme="majorHAnsi" w:cstheme="majorHAnsi"/>
              </w:rPr>
              <w:t xml:space="preserve"> and post-listing reviews</w:t>
            </w:r>
            <w:r w:rsidR="00FF5AFA" w:rsidRPr="00FF5AFA">
              <w:rPr>
                <w:rFonts w:asciiTheme="majorHAnsi" w:hAnsiTheme="majorHAnsi" w:cstheme="majorHAnsi"/>
              </w:rPr>
              <w:t>.</w:t>
            </w:r>
          </w:p>
        </w:tc>
      </w:tr>
    </w:tbl>
    <w:p w14:paraId="54FC01C1" w14:textId="61D58D69" w:rsidR="00531C99" w:rsidRPr="00531C99" w:rsidRDefault="00531C99" w:rsidP="00531C99">
      <w:pPr>
        <w:spacing w:before="240" w:after="160"/>
        <w:rPr>
          <w:b/>
          <w:bCs/>
          <w:sz w:val="20"/>
          <w:szCs w:val="20"/>
          <w:lang w:eastAsia="en-AU"/>
        </w:rPr>
      </w:pPr>
      <w:r>
        <w:rPr>
          <w:b/>
          <w:bCs/>
          <w:sz w:val="20"/>
          <w:szCs w:val="20"/>
          <w:lang w:eastAsia="en-AU"/>
        </w:rPr>
        <w:t>CIEDs</w:t>
      </w:r>
    </w:p>
    <w:p w14:paraId="60722714" w14:textId="4202EE04" w:rsidR="00AF5EA3" w:rsidRPr="00602824" w:rsidRDefault="00E439D2" w:rsidP="00AF5EA3">
      <w:pPr>
        <w:rPr>
          <w:lang w:eastAsia="en-AU"/>
        </w:rPr>
      </w:pPr>
      <w:proofErr w:type="gramStart"/>
      <w:r>
        <w:rPr>
          <w:lang w:eastAsia="en-AU"/>
        </w:rPr>
        <w:t>With the exception of</w:t>
      </w:r>
      <w:proofErr w:type="gramEnd"/>
      <w:r>
        <w:rPr>
          <w:lang w:eastAsia="en-AU"/>
        </w:rPr>
        <w:t xml:space="preserve"> </w:t>
      </w:r>
      <w:r w:rsidRPr="009E0792">
        <w:rPr>
          <w:lang w:eastAsia="en-AU"/>
        </w:rPr>
        <w:t>reductions to benefits for Cardiac Implantable Medical Device (CIED) items</w:t>
      </w:r>
      <w:r>
        <w:rPr>
          <w:lang w:eastAsia="en-AU"/>
        </w:rPr>
        <w:t>, the</w:t>
      </w:r>
      <w:r w:rsidR="00CF1080">
        <w:rPr>
          <w:lang w:eastAsia="en-AU"/>
        </w:rPr>
        <w:t xml:space="preserve"> </w:t>
      </w:r>
      <w:r w:rsidR="00F449F9">
        <w:rPr>
          <w:lang w:eastAsia="en-AU"/>
        </w:rPr>
        <w:t>reductions were a</w:t>
      </w:r>
      <w:r w:rsidR="00CF1080">
        <w:rPr>
          <w:lang w:eastAsia="en-AU"/>
        </w:rPr>
        <w:t xml:space="preserve">chieved </w:t>
      </w:r>
      <w:r w:rsidR="00CF1080" w:rsidRPr="00DF4153">
        <w:rPr>
          <w:lang w:eastAsia="en-AU"/>
        </w:rPr>
        <w:t>within the original timeframe</w:t>
      </w:r>
      <w:r w:rsidR="00CF1080">
        <w:rPr>
          <w:lang w:eastAsia="en-AU"/>
        </w:rPr>
        <w:t>s</w:t>
      </w:r>
      <w:r w:rsidR="00CF1080" w:rsidRPr="00DF4153">
        <w:rPr>
          <w:lang w:eastAsia="en-AU"/>
        </w:rPr>
        <w:t xml:space="preserve"> set </w:t>
      </w:r>
      <w:r w:rsidR="00CF1080">
        <w:rPr>
          <w:lang w:eastAsia="en-AU"/>
        </w:rPr>
        <w:t>out by</w:t>
      </w:r>
      <w:r w:rsidR="00CF1080" w:rsidRPr="00DF4153">
        <w:rPr>
          <w:lang w:eastAsia="en-AU"/>
        </w:rPr>
        <w:t xml:space="preserve"> Government, following </w:t>
      </w:r>
      <w:r w:rsidR="001F627C">
        <w:rPr>
          <w:lang w:eastAsia="en-AU"/>
        </w:rPr>
        <w:t>the</w:t>
      </w:r>
      <w:r w:rsidR="00CF1080">
        <w:rPr>
          <w:lang w:eastAsia="en-AU"/>
        </w:rPr>
        <w:t xml:space="preserve"> agreed</w:t>
      </w:r>
      <w:r w:rsidR="00CF1080" w:rsidRPr="00DF4153">
        <w:rPr>
          <w:lang w:eastAsia="en-AU"/>
        </w:rPr>
        <w:t xml:space="preserve"> methodology</w:t>
      </w:r>
      <w:r w:rsidR="003571A1">
        <w:rPr>
          <w:lang w:eastAsia="en-AU"/>
        </w:rPr>
        <w:t xml:space="preserve"> in the MOU</w:t>
      </w:r>
      <w:r w:rsidR="00CF1080" w:rsidRPr="00DF4153">
        <w:rPr>
          <w:lang w:eastAsia="en-AU"/>
        </w:rPr>
        <w:t>.</w:t>
      </w:r>
      <w:r w:rsidR="00CF1080">
        <w:rPr>
          <w:lang w:eastAsia="en-AU"/>
        </w:rPr>
        <w:t xml:space="preserve"> </w:t>
      </w:r>
      <w:r w:rsidR="002543BE">
        <w:rPr>
          <w:lang w:eastAsia="en-AU"/>
        </w:rPr>
        <w:t xml:space="preserve">An agreement to defer reductions to CIEDs </w:t>
      </w:r>
      <w:r w:rsidR="001E3C4B">
        <w:rPr>
          <w:lang w:eastAsia="en-AU"/>
        </w:rPr>
        <w:t xml:space="preserve">was </w:t>
      </w:r>
      <w:r w:rsidR="00E96DED">
        <w:rPr>
          <w:lang w:eastAsia="en-AU"/>
        </w:rPr>
        <w:t>made</w:t>
      </w:r>
      <w:r w:rsidR="00CF1080" w:rsidRPr="009E0792">
        <w:rPr>
          <w:lang w:eastAsia="en-AU"/>
        </w:rPr>
        <w:t xml:space="preserve"> early in the</w:t>
      </w:r>
      <w:r w:rsidR="00CF1080">
        <w:rPr>
          <w:lang w:eastAsia="en-AU"/>
        </w:rPr>
        <w:t xml:space="preserve"> reform</w:t>
      </w:r>
      <w:r w:rsidR="00CF1080" w:rsidRPr="009E0792">
        <w:rPr>
          <w:lang w:eastAsia="en-AU"/>
        </w:rPr>
        <w:t xml:space="preserve"> program </w:t>
      </w:r>
      <w:r w:rsidR="001A23F4">
        <w:rPr>
          <w:lang w:eastAsia="en-AU"/>
        </w:rPr>
        <w:t>to consider</w:t>
      </w:r>
      <w:r w:rsidR="00295BF5">
        <w:rPr>
          <w:lang w:eastAsia="en-AU"/>
        </w:rPr>
        <w:t xml:space="preserve"> treatment of</w:t>
      </w:r>
      <w:r w:rsidR="001E3C4B">
        <w:rPr>
          <w:lang w:eastAsia="en-AU"/>
        </w:rPr>
        <w:t xml:space="preserve"> the </w:t>
      </w:r>
      <w:r w:rsidR="00CF1080" w:rsidRPr="0059398C">
        <w:rPr>
          <w:lang w:eastAsia="en-AU"/>
        </w:rPr>
        <w:t xml:space="preserve">technical support services </w:t>
      </w:r>
      <w:r w:rsidR="00533A41">
        <w:rPr>
          <w:lang w:eastAsia="en-AU"/>
        </w:rPr>
        <w:t xml:space="preserve">(TSS) </w:t>
      </w:r>
      <w:r w:rsidR="00CF1080" w:rsidRPr="0059398C">
        <w:rPr>
          <w:lang w:eastAsia="en-AU"/>
        </w:rPr>
        <w:t>funded by the CIED benefits.</w:t>
      </w:r>
      <w:r w:rsidR="00CF1080">
        <w:rPr>
          <w:lang w:eastAsia="en-AU"/>
        </w:rPr>
        <w:t xml:space="preserve"> </w:t>
      </w:r>
      <w:r w:rsidR="007A45A6">
        <w:rPr>
          <w:lang w:eastAsia="en-AU"/>
        </w:rPr>
        <w:t xml:space="preserve">A </w:t>
      </w:r>
      <w:r w:rsidR="00EC5E98">
        <w:rPr>
          <w:lang w:eastAsia="en-AU"/>
        </w:rPr>
        <w:t>TSS component of CIED benefits was</w:t>
      </w:r>
      <w:r w:rsidR="00E40906">
        <w:rPr>
          <w:lang w:eastAsia="en-AU"/>
        </w:rPr>
        <w:t xml:space="preserve"> determined to be</w:t>
      </w:r>
      <w:r w:rsidR="00EC5E98">
        <w:rPr>
          <w:lang w:eastAsia="en-AU"/>
        </w:rPr>
        <w:t xml:space="preserve"> excluded from reductions</w:t>
      </w:r>
      <w:r w:rsidR="00DE6935">
        <w:rPr>
          <w:lang w:eastAsia="en-AU"/>
        </w:rPr>
        <w:t xml:space="preserve">, and </w:t>
      </w:r>
      <w:r w:rsidR="007A45A6">
        <w:rPr>
          <w:lang w:eastAsia="en-AU"/>
        </w:rPr>
        <w:t xml:space="preserve">reductions were sought </w:t>
      </w:r>
      <w:r w:rsidR="00F65D34">
        <w:rPr>
          <w:lang w:eastAsia="en-AU"/>
        </w:rPr>
        <w:t xml:space="preserve">for </w:t>
      </w:r>
      <w:r w:rsidR="00025903">
        <w:rPr>
          <w:lang w:eastAsia="en-AU"/>
        </w:rPr>
        <w:t>the capital component of CIEDs</w:t>
      </w:r>
      <w:r w:rsidR="007242B9">
        <w:rPr>
          <w:lang w:eastAsia="en-AU"/>
        </w:rPr>
        <w:t xml:space="preserve"> only</w:t>
      </w:r>
      <w:r w:rsidR="00025903">
        <w:rPr>
          <w:lang w:eastAsia="en-AU"/>
        </w:rPr>
        <w:t xml:space="preserve">. </w:t>
      </w:r>
      <w:r w:rsidR="006A1E7F" w:rsidRPr="005E2AE3">
        <w:rPr>
          <w:lang w:eastAsia="en-AU"/>
        </w:rPr>
        <w:t xml:space="preserve">The deferral </w:t>
      </w:r>
      <w:r w:rsidR="00A1097E" w:rsidRPr="005E2AE3">
        <w:rPr>
          <w:lang w:eastAsia="en-AU"/>
        </w:rPr>
        <w:t>by one year is es</w:t>
      </w:r>
      <w:r w:rsidR="006A1E7F" w:rsidRPr="005E2AE3">
        <w:rPr>
          <w:lang w:eastAsia="en-AU"/>
        </w:rPr>
        <w:t xml:space="preserve">timated </w:t>
      </w:r>
      <w:r w:rsidR="00533A41" w:rsidRPr="005E2AE3">
        <w:rPr>
          <w:lang w:eastAsia="en-AU"/>
        </w:rPr>
        <w:t xml:space="preserve">by IHACPA </w:t>
      </w:r>
      <w:r w:rsidR="006A1E7F" w:rsidRPr="005E2AE3">
        <w:rPr>
          <w:lang w:eastAsia="en-AU"/>
        </w:rPr>
        <w:t xml:space="preserve">to </w:t>
      </w:r>
      <w:r w:rsidR="00A1097E" w:rsidRPr="005E2AE3">
        <w:rPr>
          <w:lang w:eastAsia="en-AU"/>
        </w:rPr>
        <w:t xml:space="preserve">have </w:t>
      </w:r>
      <w:r w:rsidR="001A23F4" w:rsidRPr="005E2AE3">
        <w:rPr>
          <w:lang w:eastAsia="en-AU"/>
        </w:rPr>
        <w:t>resulted</w:t>
      </w:r>
      <w:r w:rsidR="006A1E7F" w:rsidRPr="005E2AE3">
        <w:rPr>
          <w:lang w:eastAsia="en-AU"/>
        </w:rPr>
        <w:t xml:space="preserve"> in $94 million in forgone savings over the five-year period from July 2022 to June 2027</w:t>
      </w:r>
      <w:r w:rsidR="001A23F4">
        <w:rPr>
          <w:lang w:eastAsia="en-AU"/>
        </w:rPr>
        <w:t>.</w:t>
      </w:r>
      <w:r w:rsidR="006D254B" w:rsidRPr="006D254B">
        <w:rPr>
          <w:rFonts w:cstheme="minorHAnsi"/>
          <w:szCs w:val="14"/>
          <w:vertAlign w:val="superscript"/>
          <w:lang w:eastAsia="en-AU"/>
        </w:rPr>
        <w:t xml:space="preserve"> </w:t>
      </w:r>
      <w:r w:rsidR="006D254B" w:rsidRPr="006A1E7F">
        <w:rPr>
          <w:rFonts w:cstheme="minorHAnsi"/>
          <w:szCs w:val="14"/>
          <w:vertAlign w:val="superscript"/>
          <w:lang w:eastAsia="en-AU"/>
        </w:rPr>
        <w:footnoteReference w:id="8"/>
      </w:r>
      <w:r w:rsidR="0091302B">
        <w:rPr>
          <w:lang w:eastAsia="en-AU"/>
        </w:rPr>
        <w:t xml:space="preserve"> </w:t>
      </w:r>
      <w:r w:rsidR="00042F40">
        <w:rPr>
          <w:lang w:eastAsia="en-AU"/>
        </w:rPr>
        <w:t>Given</w:t>
      </w:r>
      <w:r w:rsidR="00110991">
        <w:rPr>
          <w:lang w:eastAsia="en-AU"/>
        </w:rPr>
        <w:t xml:space="preserve"> TSS effectively remain</w:t>
      </w:r>
      <w:r w:rsidR="00AC2167">
        <w:rPr>
          <w:lang w:eastAsia="en-AU"/>
        </w:rPr>
        <w:t>s</w:t>
      </w:r>
      <w:r w:rsidR="00110991">
        <w:rPr>
          <w:lang w:eastAsia="en-AU"/>
        </w:rPr>
        <w:t xml:space="preserve"> funded by the PL </w:t>
      </w:r>
      <w:r w:rsidR="00A0298C">
        <w:rPr>
          <w:lang w:eastAsia="en-AU"/>
        </w:rPr>
        <w:t>(despite not being a medical device or human tissue product)</w:t>
      </w:r>
      <w:r w:rsidR="00541812">
        <w:rPr>
          <w:lang w:eastAsia="en-AU"/>
        </w:rPr>
        <w:t>,</w:t>
      </w:r>
      <w:r w:rsidR="00042F40">
        <w:rPr>
          <w:lang w:eastAsia="en-AU"/>
        </w:rPr>
        <w:t xml:space="preserve"> </w:t>
      </w:r>
      <w:r w:rsidR="00541812">
        <w:rPr>
          <w:lang w:eastAsia="en-AU"/>
        </w:rPr>
        <w:t xml:space="preserve">and </w:t>
      </w:r>
      <w:r w:rsidR="001556A0">
        <w:rPr>
          <w:lang w:eastAsia="en-AU"/>
        </w:rPr>
        <w:t xml:space="preserve">the existence of ongoing </w:t>
      </w:r>
      <w:r w:rsidR="00541812">
        <w:rPr>
          <w:lang w:eastAsia="en-AU"/>
        </w:rPr>
        <w:t xml:space="preserve">cross-subsidisation </w:t>
      </w:r>
      <w:r w:rsidR="001556A0">
        <w:rPr>
          <w:lang w:eastAsia="en-AU"/>
        </w:rPr>
        <w:t xml:space="preserve">of </w:t>
      </w:r>
      <w:r w:rsidR="007242B9">
        <w:rPr>
          <w:lang w:eastAsia="en-AU"/>
        </w:rPr>
        <w:t xml:space="preserve">CIED services in </w:t>
      </w:r>
      <w:r w:rsidR="00DE71B9">
        <w:rPr>
          <w:lang w:eastAsia="en-AU"/>
        </w:rPr>
        <w:t xml:space="preserve">public hospitals, </w:t>
      </w:r>
      <w:r w:rsidR="00042F40">
        <w:rPr>
          <w:lang w:eastAsia="en-AU"/>
        </w:rPr>
        <w:t>f</w:t>
      </w:r>
      <w:r w:rsidR="0091302B">
        <w:rPr>
          <w:lang w:eastAsia="en-AU"/>
        </w:rPr>
        <w:t>urther opportunities for reform remain in relation to CIEDs</w:t>
      </w:r>
      <w:r w:rsidR="00BF4ADE">
        <w:rPr>
          <w:lang w:eastAsia="en-AU"/>
        </w:rPr>
        <w:t xml:space="preserve">. </w:t>
      </w:r>
      <w:r w:rsidR="009574C9" w:rsidRPr="009574C9">
        <w:rPr>
          <w:lang w:eastAsia="en-AU"/>
        </w:rPr>
        <w:t xml:space="preserve">Given the ongoing growth in the use of CIEDs, </w:t>
      </w:r>
      <w:r w:rsidR="00F53A38">
        <w:rPr>
          <w:lang w:eastAsia="en-AU"/>
        </w:rPr>
        <w:t xml:space="preserve">and their significant cost, </w:t>
      </w:r>
      <w:r w:rsidR="007B7AB2">
        <w:rPr>
          <w:lang w:eastAsia="en-AU"/>
        </w:rPr>
        <w:t>there is a case for developing</w:t>
      </w:r>
      <w:r w:rsidR="009574C9" w:rsidRPr="009574C9">
        <w:rPr>
          <w:lang w:eastAsia="en-AU"/>
        </w:rPr>
        <w:t xml:space="preserve"> a more sustainable funding model for CIED </w:t>
      </w:r>
      <w:r w:rsidR="00F53A38">
        <w:rPr>
          <w:lang w:eastAsia="en-AU"/>
        </w:rPr>
        <w:t>TSS</w:t>
      </w:r>
      <w:r w:rsidR="004143E5">
        <w:rPr>
          <w:lang w:eastAsia="en-AU"/>
        </w:rPr>
        <w:t>s</w:t>
      </w:r>
      <w:r w:rsidR="009574C9" w:rsidRPr="009574C9">
        <w:rPr>
          <w:lang w:eastAsia="en-AU"/>
        </w:rPr>
        <w:t xml:space="preserve"> in both private and public health services, to allow these costs to be unbundled from device costs. This would support greater transparency and allow each component to be priced/funded appropriately. Reform efforts could also include continued support for remote monitoring – in line with technological advances – and the potential development of a national CIED registry to improve oversight and service quality.</w:t>
      </w:r>
      <w:r w:rsidR="004143E5">
        <w:rPr>
          <w:lang w:eastAsia="en-AU"/>
        </w:rPr>
        <w:t xml:space="preserve"> </w:t>
      </w:r>
      <w:r w:rsidR="00BF4ADE">
        <w:rPr>
          <w:lang w:eastAsia="en-AU"/>
        </w:rPr>
        <w:t>C</w:t>
      </w:r>
      <w:r w:rsidR="0091302B">
        <w:rPr>
          <w:lang w:eastAsia="en-AU"/>
        </w:rPr>
        <w:t xml:space="preserve">hange </w:t>
      </w:r>
      <w:r w:rsidR="00BF4ADE">
        <w:rPr>
          <w:lang w:eastAsia="en-AU"/>
        </w:rPr>
        <w:t>is likely to</w:t>
      </w:r>
      <w:r w:rsidR="0091302B">
        <w:rPr>
          <w:lang w:eastAsia="en-AU"/>
        </w:rPr>
        <w:t xml:space="preserve"> be </w:t>
      </w:r>
      <w:r w:rsidR="00D454AD">
        <w:rPr>
          <w:lang w:eastAsia="en-AU"/>
        </w:rPr>
        <w:t>slow, given the lack of a current technical workforce within both private and public hospitals.</w:t>
      </w:r>
    </w:p>
    <w:tbl>
      <w:tblPr>
        <w:tblStyle w:val="NousLongformcallout"/>
        <w:tblW w:w="4950" w:type="pct"/>
        <w:tblCellMar>
          <w:top w:w="170" w:type="dxa"/>
          <w:bottom w:w="170" w:type="dxa"/>
        </w:tblCellMar>
        <w:tblLook w:val="04A0" w:firstRow="1" w:lastRow="0" w:firstColumn="1" w:lastColumn="0" w:noHBand="0" w:noVBand="1"/>
      </w:tblPr>
      <w:tblGrid>
        <w:gridCol w:w="9070"/>
      </w:tblGrid>
      <w:tr w:rsidR="00AF5EA3" w:rsidRPr="00602824" w14:paraId="1F90E1F8" w14:textId="77777777" w:rsidTr="00531C99">
        <w:tc>
          <w:tcPr>
            <w:tcW w:w="9070" w:type="dxa"/>
            <w:tcBorders>
              <w:left w:val="single" w:sz="18" w:space="0" w:color="2E368F" w:themeColor="text2"/>
            </w:tcBorders>
            <w:shd w:val="clear" w:color="auto" w:fill="F2F2F2" w:themeFill="background1" w:themeFillShade="F2"/>
          </w:tcPr>
          <w:p w14:paraId="17A49265" w14:textId="4DBA8CA5" w:rsidR="00AF5EA3" w:rsidRPr="00194DA6" w:rsidRDefault="00AF5EA3">
            <w:pPr>
              <w:pStyle w:val="Longformcallout"/>
              <w:spacing w:before="0" w:after="120"/>
              <w:rPr>
                <w:rFonts w:asciiTheme="majorHAnsi" w:hAnsiTheme="majorHAnsi" w:cstheme="majorHAnsi"/>
                <w:color w:val="2E368F" w:themeColor="text2"/>
              </w:rPr>
            </w:pPr>
            <w:r w:rsidRPr="00602824">
              <w:rPr>
                <w:rFonts w:asciiTheme="majorHAnsi" w:hAnsiTheme="majorHAnsi" w:cstheme="majorHAnsi"/>
                <w:color w:val="2E368F" w:themeColor="text2"/>
              </w:rPr>
              <w:t xml:space="preserve">RECOMMENDATION </w:t>
            </w:r>
            <w:r w:rsidR="007A58DB">
              <w:rPr>
                <w:rFonts w:asciiTheme="majorHAnsi" w:hAnsiTheme="majorHAnsi" w:cstheme="majorHAnsi"/>
                <w:color w:val="2E368F" w:themeColor="text2"/>
              </w:rPr>
              <w:t>2</w:t>
            </w:r>
            <w:r>
              <w:rPr>
                <w:rFonts w:asciiTheme="majorHAnsi" w:hAnsiTheme="majorHAnsi" w:cstheme="majorHAnsi"/>
                <w:color w:val="2E368F" w:themeColor="text2"/>
              </w:rPr>
              <w:t xml:space="preserve">: </w:t>
            </w:r>
            <w:r w:rsidR="007A58DB" w:rsidRPr="007A58DB">
              <w:rPr>
                <w:rFonts w:asciiTheme="majorHAnsi" w:hAnsiTheme="majorHAnsi" w:cstheme="majorHAnsi"/>
              </w:rPr>
              <w:t>Use</w:t>
            </w:r>
            <w:r w:rsidRPr="00AF5EA3">
              <w:rPr>
                <w:rFonts w:asciiTheme="majorHAnsi" w:hAnsiTheme="majorHAnsi" w:cstheme="majorHAnsi"/>
              </w:rPr>
              <w:t xml:space="preserve"> the work undertaken </w:t>
            </w:r>
            <w:r w:rsidR="007A58DB" w:rsidRPr="007A58DB">
              <w:rPr>
                <w:rFonts w:asciiTheme="majorHAnsi" w:hAnsiTheme="majorHAnsi" w:cstheme="majorHAnsi"/>
              </w:rPr>
              <w:t>through</w:t>
            </w:r>
            <w:r w:rsidRPr="00AF5EA3">
              <w:rPr>
                <w:rFonts w:asciiTheme="majorHAnsi" w:hAnsiTheme="majorHAnsi" w:cstheme="majorHAnsi"/>
              </w:rPr>
              <w:t xml:space="preserve"> the reforms to </w:t>
            </w:r>
            <w:r w:rsidR="007A58DB" w:rsidRPr="007A58DB">
              <w:rPr>
                <w:rFonts w:asciiTheme="majorHAnsi" w:hAnsiTheme="majorHAnsi" w:cstheme="majorHAnsi"/>
              </w:rPr>
              <w:t>inform further cross-portfolio consideration of</w:t>
            </w:r>
            <w:r w:rsidRPr="00AF5EA3">
              <w:rPr>
                <w:rFonts w:asciiTheme="majorHAnsi" w:hAnsiTheme="majorHAnsi" w:cstheme="majorHAnsi"/>
              </w:rPr>
              <w:t xml:space="preserve"> alternative service and funding models that allow the separation of CIED device and service costs in both the public and private sectors.</w:t>
            </w:r>
          </w:p>
        </w:tc>
      </w:tr>
    </w:tbl>
    <w:p w14:paraId="257BC701" w14:textId="325B0778" w:rsidR="00531C99" w:rsidRPr="00531C99" w:rsidRDefault="00531C99" w:rsidP="00531C99">
      <w:pPr>
        <w:spacing w:before="240" w:after="160"/>
        <w:rPr>
          <w:b/>
          <w:bCs/>
          <w:sz w:val="20"/>
          <w:szCs w:val="20"/>
          <w:lang w:eastAsia="en-AU"/>
        </w:rPr>
      </w:pPr>
      <w:r>
        <w:rPr>
          <w:b/>
          <w:bCs/>
          <w:sz w:val="20"/>
          <w:szCs w:val="20"/>
          <w:lang w:eastAsia="en-AU"/>
        </w:rPr>
        <w:t>Regrouping</w:t>
      </w:r>
    </w:p>
    <w:p w14:paraId="70BF67A0" w14:textId="7519C1A0" w:rsidR="00AD02DA" w:rsidRPr="00B5127B" w:rsidRDefault="00573148" w:rsidP="00AD02DA">
      <w:pPr>
        <w:rPr>
          <w:szCs w:val="19"/>
          <w:lang w:eastAsia="en-AU"/>
        </w:rPr>
      </w:pPr>
      <w:r w:rsidRPr="38BE2503">
        <w:rPr>
          <w:lang w:eastAsia="en-AU"/>
        </w:rPr>
        <w:t xml:space="preserve">The </w:t>
      </w:r>
      <w:r>
        <w:rPr>
          <w:lang w:eastAsia="en-AU"/>
        </w:rPr>
        <w:t>original</w:t>
      </w:r>
      <w:r w:rsidRPr="38BE2503">
        <w:rPr>
          <w:lang w:eastAsia="en-AU"/>
        </w:rPr>
        <w:t xml:space="preserve"> vision for a more tightly defined, clinically ordered, and manageable PL ha</w:t>
      </w:r>
      <w:r>
        <w:rPr>
          <w:lang w:eastAsia="en-AU"/>
        </w:rPr>
        <w:t>s</w:t>
      </w:r>
      <w:r w:rsidRPr="38BE2503">
        <w:rPr>
          <w:lang w:eastAsia="en-AU"/>
        </w:rPr>
        <w:t xml:space="preserve"> not been </w:t>
      </w:r>
      <w:r w:rsidR="00FB6C4A">
        <w:rPr>
          <w:lang w:eastAsia="en-AU"/>
        </w:rPr>
        <w:t xml:space="preserve">fully </w:t>
      </w:r>
      <w:r>
        <w:rPr>
          <w:lang w:eastAsia="en-AU"/>
        </w:rPr>
        <w:t>realised</w:t>
      </w:r>
      <w:r w:rsidRPr="38BE2503">
        <w:rPr>
          <w:lang w:eastAsia="en-AU"/>
        </w:rPr>
        <w:t xml:space="preserve">. </w:t>
      </w:r>
      <w:r w:rsidR="004026FB">
        <w:rPr>
          <w:lang w:eastAsia="en-AU"/>
        </w:rPr>
        <w:t xml:space="preserve">While the </w:t>
      </w:r>
      <w:r w:rsidR="004974D9">
        <w:rPr>
          <w:lang w:eastAsia="en-AU"/>
        </w:rPr>
        <w:t xml:space="preserve">scope of the PL has been more tightly defined in </w:t>
      </w:r>
      <w:r w:rsidRPr="38BE2503">
        <w:rPr>
          <w:lang w:eastAsia="en-AU"/>
        </w:rPr>
        <w:t>legislation</w:t>
      </w:r>
      <w:r>
        <w:rPr>
          <w:lang w:eastAsia="en-AU"/>
        </w:rPr>
        <w:t xml:space="preserve">, </w:t>
      </w:r>
      <w:r w:rsidR="00C24052">
        <w:rPr>
          <w:lang w:eastAsia="en-AU"/>
        </w:rPr>
        <w:t>t</w:t>
      </w:r>
      <w:r w:rsidR="00915515" w:rsidRPr="00C71209">
        <w:t xml:space="preserve">he project to regroup the PL </w:t>
      </w:r>
      <w:r w:rsidR="004360B8">
        <w:t>‘</w:t>
      </w:r>
      <w:r w:rsidR="00915515" w:rsidRPr="00C71209">
        <w:t>along clinical lines</w:t>
      </w:r>
      <w:r w:rsidR="004360B8">
        <w:t>’</w:t>
      </w:r>
      <w:r w:rsidR="00915515">
        <w:t xml:space="preserve"> </w:t>
      </w:r>
      <w:r w:rsidR="00915515" w:rsidRPr="00C71209">
        <w:t xml:space="preserve">to create a transparent and practical grouping structure </w:t>
      </w:r>
      <w:r w:rsidR="00A25A72">
        <w:t xml:space="preserve">was discontinued. </w:t>
      </w:r>
      <w:r w:rsidR="00AD02DA" w:rsidRPr="00B5127B">
        <w:rPr>
          <w:szCs w:val="19"/>
          <w:lang w:eastAsia="en-AU"/>
        </w:rPr>
        <w:t>Th</w:t>
      </w:r>
      <w:r w:rsidR="00AD02DA">
        <w:rPr>
          <w:szCs w:val="19"/>
          <w:lang w:eastAsia="en-AU"/>
        </w:rPr>
        <w:t>e</w:t>
      </w:r>
      <w:r w:rsidR="00AD02DA" w:rsidRPr="00B5127B">
        <w:rPr>
          <w:szCs w:val="19"/>
          <w:lang w:eastAsia="en-AU"/>
        </w:rPr>
        <w:t xml:space="preserve"> regrouping aim</w:t>
      </w:r>
      <w:r w:rsidR="00AD02DA">
        <w:rPr>
          <w:szCs w:val="19"/>
          <w:lang w:eastAsia="en-AU"/>
        </w:rPr>
        <w:t>ed</w:t>
      </w:r>
      <w:r w:rsidR="00AD02DA" w:rsidRPr="00B5127B">
        <w:rPr>
          <w:szCs w:val="19"/>
          <w:lang w:eastAsia="en-AU"/>
        </w:rPr>
        <w:t xml:space="preserve"> to streamline the list</w:t>
      </w:r>
      <w:r w:rsidR="00F9650D">
        <w:rPr>
          <w:szCs w:val="19"/>
          <w:lang w:eastAsia="en-AU"/>
        </w:rPr>
        <w:t>,</w:t>
      </w:r>
      <w:r w:rsidR="00AD02DA" w:rsidRPr="00B5127B">
        <w:rPr>
          <w:szCs w:val="19"/>
          <w:lang w:eastAsia="en-AU"/>
        </w:rPr>
        <w:t xml:space="preserve"> make it simpler to navigate for insurers and hospitals</w:t>
      </w:r>
      <w:r w:rsidR="00F9650D">
        <w:rPr>
          <w:szCs w:val="19"/>
          <w:lang w:eastAsia="en-AU"/>
        </w:rPr>
        <w:t>, and</w:t>
      </w:r>
      <w:r w:rsidR="00F7734D">
        <w:rPr>
          <w:szCs w:val="19"/>
          <w:lang w:eastAsia="en-AU"/>
        </w:rPr>
        <w:t xml:space="preserve"> remove</w:t>
      </w:r>
      <w:r w:rsidR="00364A3F">
        <w:rPr>
          <w:szCs w:val="19"/>
          <w:lang w:eastAsia="en-AU"/>
        </w:rPr>
        <w:t xml:space="preserve"> historical</w:t>
      </w:r>
      <w:r w:rsidR="00F7734D">
        <w:rPr>
          <w:szCs w:val="19"/>
          <w:lang w:eastAsia="en-AU"/>
        </w:rPr>
        <w:t xml:space="preserve"> inconsistencies and </w:t>
      </w:r>
      <w:r w:rsidR="00E81EF9">
        <w:rPr>
          <w:szCs w:val="19"/>
          <w:lang w:eastAsia="en-AU"/>
        </w:rPr>
        <w:t xml:space="preserve">pricing </w:t>
      </w:r>
      <w:r w:rsidR="00F9650D">
        <w:rPr>
          <w:szCs w:val="19"/>
          <w:lang w:eastAsia="en-AU"/>
        </w:rPr>
        <w:t>anomalies</w:t>
      </w:r>
      <w:r w:rsidR="00F7734D">
        <w:rPr>
          <w:szCs w:val="19"/>
          <w:lang w:eastAsia="en-AU"/>
        </w:rPr>
        <w:t xml:space="preserve"> </w:t>
      </w:r>
      <w:r w:rsidR="00343BBC">
        <w:rPr>
          <w:szCs w:val="19"/>
          <w:lang w:eastAsia="en-AU"/>
        </w:rPr>
        <w:t>in the existing groupings.</w:t>
      </w:r>
    </w:p>
    <w:p w14:paraId="39BBB94F" w14:textId="3C151AAD" w:rsidR="00AF5EA3" w:rsidRPr="00602824" w:rsidRDefault="004921DA" w:rsidP="00AF5EA3">
      <w:pPr>
        <w:spacing w:after="160" w:line="259" w:lineRule="auto"/>
      </w:pPr>
      <w:r>
        <w:t>D</w:t>
      </w:r>
      <w:r w:rsidR="00915515">
        <w:t>etailed work was</w:t>
      </w:r>
      <w:r w:rsidR="00915515" w:rsidRPr="00A73757">
        <w:t xml:space="preserve"> undertaken </w:t>
      </w:r>
      <w:r w:rsidR="00915515">
        <w:t xml:space="preserve">with </w:t>
      </w:r>
      <w:r w:rsidR="00915515" w:rsidRPr="00A73757">
        <w:t xml:space="preserve">clinical </w:t>
      </w:r>
      <w:r w:rsidR="00D7097B">
        <w:t>i</w:t>
      </w:r>
      <w:r w:rsidR="00915515">
        <w:t xml:space="preserve">nput </w:t>
      </w:r>
      <w:r w:rsidR="00915515" w:rsidRPr="00A73757">
        <w:t>to</w:t>
      </w:r>
      <w:r w:rsidR="00915515">
        <w:t xml:space="preserve"> </w:t>
      </w:r>
      <w:r w:rsidR="00D7097B">
        <w:t>re</w:t>
      </w:r>
      <w:r w:rsidR="00915515">
        <w:t>group PL items by clinical use</w:t>
      </w:r>
      <w:r w:rsidR="00D7097B">
        <w:t>,</w:t>
      </w:r>
      <w:r w:rsidR="00992628">
        <w:t xml:space="preserve"> </w:t>
      </w:r>
      <w:r w:rsidR="00381438">
        <w:t xml:space="preserve">but </w:t>
      </w:r>
      <w:r w:rsidR="00992628">
        <w:t xml:space="preserve">the proposed structure </w:t>
      </w:r>
      <w:r w:rsidR="00F63D2A">
        <w:t xml:space="preserve">encountered </w:t>
      </w:r>
      <w:r w:rsidR="00A40EF6">
        <w:t xml:space="preserve">significant </w:t>
      </w:r>
      <w:r w:rsidR="003A2D08">
        <w:t>opposition from some stakeholders</w:t>
      </w:r>
      <w:r w:rsidR="005B04DC">
        <w:t xml:space="preserve">. The </w:t>
      </w:r>
      <w:r w:rsidR="00563124">
        <w:t xml:space="preserve">challenges </w:t>
      </w:r>
      <w:r w:rsidR="00485D8B">
        <w:t xml:space="preserve">that arose </w:t>
      </w:r>
      <w:r w:rsidR="00563124">
        <w:t xml:space="preserve">resulted </w:t>
      </w:r>
      <w:r w:rsidR="00485D8B">
        <w:t>from</w:t>
      </w:r>
      <w:r w:rsidR="00AE235D">
        <w:t xml:space="preserve"> the existence of </w:t>
      </w:r>
      <w:r w:rsidR="00915515">
        <w:t>mixed-benefit PL groupings</w:t>
      </w:r>
      <w:r w:rsidR="00DF4022">
        <w:t xml:space="preserve"> and the MOU ban on achieving further savings. </w:t>
      </w:r>
      <w:r w:rsidR="005F207C">
        <w:t>The r</w:t>
      </w:r>
      <w:r w:rsidR="00B13A7D">
        <w:t>e</w:t>
      </w:r>
      <w:r w:rsidR="005F207C">
        <w:t xml:space="preserve">grouping work was </w:t>
      </w:r>
      <w:r w:rsidR="00AA59AA">
        <w:t xml:space="preserve">ceased in </w:t>
      </w:r>
      <w:r w:rsidR="005A2F4F">
        <w:t xml:space="preserve">May </w:t>
      </w:r>
      <w:proofErr w:type="gramStart"/>
      <w:r w:rsidR="005A2F4F">
        <w:t>2025</w:t>
      </w:r>
      <w:proofErr w:type="gramEnd"/>
      <w:r w:rsidR="005A2F4F">
        <w:t xml:space="preserve"> </w:t>
      </w:r>
      <w:r w:rsidR="00AA59AA">
        <w:t>and</w:t>
      </w:r>
      <w:r w:rsidR="00915515">
        <w:t xml:space="preserve"> t</w:t>
      </w:r>
      <w:r w:rsidR="00915515" w:rsidRPr="00A73757">
        <w:t>he previous PL structure remains in place</w:t>
      </w:r>
      <w:r w:rsidR="00AA59AA">
        <w:t xml:space="preserve">. </w:t>
      </w:r>
      <w:r w:rsidR="00A03C4B">
        <w:t>T</w:t>
      </w:r>
      <w:r w:rsidR="00455682">
        <w:t xml:space="preserve">he decision </w:t>
      </w:r>
      <w:r w:rsidR="00DF1240">
        <w:t xml:space="preserve">to </w:t>
      </w:r>
      <w:r w:rsidR="00455682">
        <w:t xml:space="preserve">cease work </w:t>
      </w:r>
      <w:r w:rsidR="00DF1240">
        <w:t>on this project was</w:t>
      </w:r>
      <w:r w:rsidR="00455682">
        <w:t xml:space="preserve"> </w:t>
      </w:r>
      <w:r w:rsidR="00DE180D">
        <w:t>sound</w:t>
      </w:r>
      <w:r w:rsidR="00914882">
        <w:t xml:space="preserve">, given </w:t>
      </w:r>
      <w:r w:rsidR="00DE180D">
        <w:t xml:space="preserve">the </w:t>
      </w:r>
      <w:r w:rsidR="00914882">
        <w:t>constraints of the MOU</w:t>
      </w:r>
      <w:r w:rsidR="00F611E1">
        <w:t>, stakeholder pushback</w:t>
      </w:r>
      <w:r w:rsidR="001245ED">
        <w:t xml:space="preserve"> and the balance of</w:t>
      </w:r>
      <w:r w:rsidR="00F611E1">
        <w:t xml:space="preserve"> </w:t>
      </w:r>
      <w:r w:rsidR="00DE180D">
        <w:t xml:space="preserve">potential benefits </w:t>
      </w:r>
      <w:r w:rsidR="001245ED">
        <w:t>against</w:t>
      </w:r>
      <w:r w:rsidR="00DE180D">
        <w:t xml:space="preserve"> </w:t>
      </w:r>
      <w:r w:rsidR="00956FAA">
        <w:t>implementation effort</w:t>
      </w:r>
      <w:r w:rsidR="007A3EDC">
        <w:t xml:space="preserve"> at the time</w:t>
      </w:r>
      <w:r w:rsidR="001245ED">
        <w:t>.</w:t>
      </w:r>
      <w:r w:rsidR="007A3EDC">
        <w:t xml:space="preserve"> </w:t>
      </w:r>
      <w:r w:rsidR="00780612">
        <w:t xml:space="preserve">However, </w:t>
      </w:r>
      <w:r w:rsidR="009747E0">
        <w:t xml:space="preserve">with the MOU no longer in effect, </w:t>
      </w:r>
      <w:r w:rsidR="007A3EDC">
        <w:t xml:space="preserve">there remains an opportunity to use </w:t>
      </w:r>
      <w:r w:rsidR="00BD3687">
        <w:t xml:space="preserve">the extensive work undertaken to </w:t>
      </w:r>
      <w:r w:rsidR="00237FF9">
        <w:t xml:space="preserve">address the </w:t>
      </w:r>
      <w:r w:rsidR="001777CC">
        <w:t xml:space="preserve">inconsistencies </w:t>
      </w:r>
      <w:r w:rsidR="00237FF9">
        <w:t>currently within</w:t>
      </w:r>
      <w:r w:rsidR="00630B2F">
        <w:t xml:space="preserve"> </w:t>
      </w:r>
      <w:r w:rsidR="00237FF9">
        <w:t xml:space="preserve">the groupings and so to </w:t>
      </w:r>
      <w:r w:rsidR="00BD3687">
        <w:t>achieve benefit</w:t>
      </w:r>
      <w:r w:rsidR="000A3830">
        <w:t>s</w:t>
      </w:r>
      <w:r w:rsidR="00C63BE9">
        <w:t xml:space="preserve"> for</w:t>
      </w:r>
      <w:r w:rsidR="000A3830">
        <w:t xml:space="preserve"> </w:t>
      </w:r>
      <w:r w:rsidR="00FF03D3">
        <w:t xml:space="preserve">users of the PL and </w:t>
      </w:r>
      <w:r w:rsidR="000A3830">
        <w:t>for the consumer.</w:t>
      </w:r>
    </w:p>
    <w:tbl>
      <w:tblPr>
        <w:tblStyle w:val="NousLongformcallout"/>
        <w:tblW w:w="4950" w:type="pct"/>
        <w:tblCellMar>
          <w:top w:w="170" w:type="dxa"/>
          <w:bottom w:w="170" w:type="dxa"/>
        </w:tblCellMar>
        <w:tblLook w:val="04A0" w:firstRow="1" w:lastRow="0" w:firstColumn="1" w:lastColumn="0" w:noHBand="0" w:noVBand="1"/>
      </w:tblPr>
      <w:tblGrid>
        <w:gridCol w:w="9070"/>
      </w:tblGrid>
      <w:tr w:rsidR="00AF5EA3" w:rsidRPr="00602824" w14:paraId="0CEB6D93" w14:textId="77777777" w:rsidTr="00AF5EA3">
        <w:tc>
          <w:tcPr>
            <w:tcW w:w="9070" w:type="dxa"/>
            <w:tcBorders>
              <w:left w:val="single" w:sz="18" w:space="0" w:color="2E368F" w:themeColor="text2"/>
            </w:tcBorders>
            <w:shd w:val="clear" w:color="auto" w:fill="F2F2F2" w:themeFill="background1" w:themeFillShade="F2"/>
          </w:tcPr>
          <w:p w14:paraId="71C0CFA9" w14:textId="01DC5FD1" w:rsidR="00AF5EA3" w:rsidRPr="00194DA6" w:rsidRDefault="00AF5EA3">
            <w:pPr>
              <w:pStyle w:val="Longformcallout"/>
              <w:spacing w:before="0" w:after="120"/>
              <w:rPr>
                <w:rFonts w:asciiTheme="majorHAnsi" w:hAnsiTheme="majorHAnsi" w:cstheme="majorHAnsi"/>
                <w:color w:val="2E368F" w:themeColor="text2"/>
              </w:rPr>
            </w:pPr>
            <w:r w:rsidRPr="00602824">
              <w:rPr>
                <w:rFonts w:asciiTheme="majorHAnsi" w:hAnsiTheme="majorHAnsi" w:cstheme="majorHAnsi"/>
                <w:color w:val="2E368F" w:themeColor="text2"/>
              </w:rPr>
              <w:t xml:space="preserve">RECOMMENDATION </w:t>
            </w:r>
            <w:r w:rsidR="007A58DB">
              <w:rPr>
                <w:rFonts w:asciiTheme="majorHAnsi" w:hAnsiTheme="majorHAnsi" w:cstheme="majorHAnsi"/>
                <w:color w:val="2E368F" w:themeColor="text2"/>
              </w:rPr>
              <w:t>3</w:t>
            </w:r>
            <w:r>
              <w:rPr>
                <w:rFonts w:asciiTheme="majorHAnsi" w:hAnsiTheme="majorHAnsi" w:cstheme="majorHAnsi"/>
                <w:color w:val="2E368F" w:themeColor="text2"/>
              </w:rPr>
              <w:t xml:space="preserve">: </w:t>
            </w:r>
            <w:r w:rsidR="00D956D3" w:rsidRPr="00D956D3">
              <w:rPr>
                <w:rFonts w:asciiTheme="majorHAnsi" w:hAnsiTheme="majorHAnsi" w:cstheme="majorHAnsi"/>
              </w:rPr>
              <w:t>Build on the work undertaken during the reforms to identify and resolve historical inconsistencies and pricing anomalies in PL groupings. Rather than pursuing a wholesale restructure of the PL, this should be done in a targeted and ad hoc manner, as issues are identified.</w:t>
            </w:r>
          </w:p>
        </w:tc>
      </w:tr>
    </w:tbl>
    <w:p w14:paraId="6A38B2D6" w14:textId="5445E745" w:rsidR="00531C99" w:rsidRPr="00531C99" w:rsidRDefault="00531C99" w:rsidP="00531C99">
      <w:pPr>
        <w:spacing w:before="240" w:after="160"/>
        <w:rPr>
          <w:b/>
          <w:bCs/>
          <w:sz w:val="20"/>
          <w:szCs w:val="20"/>
          <w:lang w:eastAsia="en-AU"/>
        </w:rPr>
      </w:pPr>
      <w:r>
        <w:rPr>
          <w:b/>
          <w:bCs/>
          <w:sz w:val="20"/>
          <w:szCs w:val="20"/>
          <w:lang w:eastAsia="en-AU"/>
        </w:rPr>
        <w:t>Removal of GUIs</w:t>
      </w:r>
    </w:p>
    <w:p w14:paraId="594D7225" w14:textId="766C7CAE" w:rsidR="008F0A65" w:rsidRPr="005E2AE3" w:rsidRDefault="00176333" w:rsidP="001267C8">
      <w:pPr>
        <w:spacing w:after="160" w:line="259" w:lineRule="auto"/>
        <w:rPr>
          <w:lang w:eastAsia="en-AU"/>
        </w:rPr>
      </w:pPr>
      <w:r w:rsidRPr="005E2AE3">
        <w:rPr>
          <w:lang w:eastAsia="en-AU"/>
        </w:rPr>
        <w:t xml:space="preserve">A further project that aimed to </w:t>
      </w:r>
      <w:r w:rsidR="00091E0D" w:rsidRPr="005E2AE3">
        <w:rPr>
          <w:lang w:eastAsia="en-AU"/>
        </w:rPr>
        <w:t>clarify the scope of the PL</w:t>
      </w:r>
      <w:r w:rsidR="0021701D" w:rsidRPr="005E2AE3">
        <w:rPr>
          <w:lang w:eastAsia="en-AU"/>
        </w:rPr>
        <w:t xml:space="preserve"> was the desire to remove general use items </w:t>
      </w:r>
      <w:r w:rsidR="002738FD" w:rsidRPr="005E2AE3">
        <w:rPr>
          <w:lang w:eastAsia="en-AU"/>
        </w:rPr>
        <w:t xml:space="preserve">(GUIs) </w:t>
      </w:r>
      <w:r w:rsidR="0021701D" w:rsidRPr="005E2AE3">
        <w:rPr>
          <w:lang w:eastAsia="en-AU"/>
        </w:rPr>
        <w:t xml:space="preserve">from the </w:t>
      </w:r>
      <w:r w:rsidR="00091E0D" w:rsidRPr="005E2AE3">
        <w:rPr>
          <w:lang w:eastAsia="en-AU"/>
        </w:rPr>
        <w:t>list</w:t>
      </w:r>
      <w:r w:rsidR="0021701D" w:rsidRPr="005E2AE3">
        <w:rPr>
          <w:lang w:eastAsia="en-AU"/>
        </w:rPr>
        <w:t xml:space="preserve">. </w:t>
      </w:r>
      <w:r w:rsidR="000C61E6" w:rsidRPr="005E2AE3">
        <w:rPr>
          <w:lang w:eastAsia="en-AU"/>
        </w:rPr>
        <w:t xml:space="preserve">A significant amount of work was invested in consultation for and </w:t>
      </w:r>
      <w:r w:rsidR="00655309" w:rsidRPr="005E2AE3">
        <w:rPr>
          <w:lang w:eastAsia="en-AU"/>
        </w:rPr>
        <w:t>development</w:t>
      </w:r>
      <w:r w:rsidR="000C61E6" w:rsidRPr="005E2AE3">
        <w:rPr>
          <w:lang w:eastAsia="en-AU"/>
        </w:rPr>
        <w:t xml:space="preserve"> of an alternative funding model </w:t>
      </w:r>
      <w:r w:rsidR="00B235CC" w:rsidRPr="005E2AE3">
        <w:rPr>
          <w:lang w:eastAsia="en-AU"/>
        </w:rPr>
        <w:t xml:space="preserve">for GUIs </w:t>
      </w:r>
      <w:r w:rsidR="001267C8" w:rsidRPr="005E2AE3">
        <w:rPr>
          <w:lang w:eastAsia="en-AU"/>
        </w:rPr>
        <w:t>to facilitate their removal from the PL</w:t>
      </w:r>
      <w:r w:rsidR="000C61E6" w:rsidRPr="005E2AE3">
        <w:rPr>
          <w:lang w:eastAsia="en-AU"/>
        </w:rPr>
        <w:t xml:space="preserve">. </w:t>
      </w:r>
      <w:r w:rsidR="00BD75AB" w:rsidRPr="005E2AE3">
        <w:rPr>
          <w:lang w:eastAsia="en-AU"/>
        </w:rPr>
        <w:t xml:space="preserve">The motivation for their removal </w:t>
      </w:r>
      <w:r w:rsidR="000A490E" w:rsidRPr="005E2AE3">
        <w:rPr>
          <w:lang w:eastAsia="en-AU"/>
        </w:rPr>
        <w:t xml:space="preserve">was that they </w:t>
      </w:r>
      <w:r w:rsidR="0069568B" w:rsidRPr="005E2AE3">
        <w:rPr>
          <w:lang w:eastAsia="en-AU"/>
        </w:rPr>
        <w:t xml:space="preserve">did not accord with the original intent </w:t>
      </w:r>
      <w:r w:rsidR="0039015A" w:rsidRPr="005E2AE3">
        <w:rPr>
          <w:lang w:eastAsia="en-AU"/>
        </w:rPr>
        <w:t>o</w:t>
      </w:r>
      <w:r w:rsidR="0069568B" w:rsidRPr="005E2AE3">
        <w:rPr>
          <w:lang w:eastAsia="en-AU"/>
        </w:rPr>
        <w:t>f</w:t>
      </w:r>
      <w:r w:rsidR="0039015A" w:rsidRPr="005E2AE3">
        <w:rPr>
          <w:lang w:eastAsia="en-AU"/>
        </w:rPr>
        <w:t xml:space="preserve"> the PL </w:t>
      </w:r>
      <w:r w:rsidR="000A490E" w:rsidRPr="005E2AE3">
        <w:rPr>
          <w:lang w:eastAsia="en-AU"/>
        </w:rPr>
        <w:t xml:space="preserve">– they </w:t>
      </w:r>
      <w:r w:rsidR="0039015A" w:rsidRPr="005E2AE3">
        <w:rPr>
          <w:lang w:eastAsia="en-AU"/>
        </w:rPr>
        <w:t>are not</w:t>
      </w:r>
      <w:r w:rsidR="000A490E" w:rsidRPr="005E2AE3">
        <w:rPr>
          <w:lang w:eastAsia="en-AU"/>
        </w:rPr>
        <w:t xml:space="preserve"> implantable medical devices used for a specific therapy (which is the requirement to be listed in Part A)</w:t>
      </w:r>
      <w:r w:rsidR="00296F69" w:rsidRPr="005E2AE3">
        <w:rPr>
          <w:lang w:eastAsia="en-AU"/>
        </w:rPr>
        <w:t xml:space="preserve"> and </w:t>
      </w:r>
      <w:r w:rsidR="007D4060" w:rsidRPr="005E2AE3">
        <w:rPr>
          <w:lang w:eastAsia="en-AU"/>
        </w:rPr>
        <w:t>are use</w:t>
      </w:r>
      <w:r w:rsidR="006A5EFB" w:rsidRPr="005E2AE3">
        <w:rPr>
          <w:lang w:eastAsia="en-AU"/>
        </w:rPr>
        <w:t xml:space="preserve">d in </w:t>
      </w:r>
      <w:r w:rsidR="00296F69" w:rsidRPr="005E2AE3">
        <w:rPr>
          <w:lang w:eastAsia="en-AU"/>
        </w:rPr>
        <w:t xml:space="preserve">a broad range </w:t>
      </w:r>
      <w:r w:rsidR="006A5EFB" w:rsidRPr="005E2AE3">
        <w:rPr>
          <w:lang w:eastAsia="en-AU"/>
        </w:rPr>
        <w:t>surgeries</w:t>
      </w:r>
      <w:r w:rsidR="00296F69" w:rsidRPr="005E2AE3">
        <w:rPr>
          <w:lang w:eastAsia="en-AU"/>
        </w:rPr>
        <w:t xml:space="preserve">, </w:t>
      </w:r>
      <w:r w:rsidR="006A5EFB" w:rsidRPr="005E2AE3">
        <w:rPr>
          <w:lang w:eastAsia="en-AU"/>
        </w:rPr>
        <w:t xml:space="preserve">not </w:t>
      </w:r>
      <w:r w:rsidR="00296F69" w:rsidRPr="005E2AE3">
        <w:rPr>
          <w:lang w:eastAsia="en-AU"/>
        </w:rPr>
        <w:t xml:space="preserve">necessarily only surgeries </w:t>
      </w:r>
      <w:r w:rsidR="006A5EFB" w:rsidRPr="005E2AE3">
        <w:rPr>
          <w:lang w:eastAsia="en-AU"/>
        </w:rPr>
        <w:t xml:space="preserve">involving </w:t>
      </w:r>
      <w:r w:rsidR="00A67A85" w:rsidRPr="005E2AE3">
        <w:rPr>
          <w:lang w:eastAsia="en-AU"/>
        </w:rPr>
        <w:t>prostheses</w:t>
      </w:r>
      <w:r w:rsidR="000A490E" w:rsidRPr="005E2AE3">
        <w:rPr>
          <w:lang w:eastAsia="en-AU"/>
        </w:rPr>
        <w:t>.</w:t>
      </w:r>
      <w:r w:rsidR="00703A98" w:rsidRPr="005E2AE3">
        <w:rPr>
          <w:lang w:eastAsia="en-AU"/>
        </w:rPr>
        <w:t xml:space="preserve"> There was also a view that </w:t>
      </w:r>
      <w:r w:rsidR="0039015A" w:rsidRPr="005E2AE3">
        <w:rPr>
          <w:lang w:eastAsia="en-AU"/>
        </w:rPr>
        <w:t>they represented a significant profit source</w:t>
      </w:r>
      <w:r w:rsidR="00477875" w:rsidRPr="005E2AE3">
        <w:rPr>
          <w:lang w:eastAsia="en-AU"/>
        </w:rPr>
        <w:t xml:space="preserve">, allowing a significant amount of GUI expenditure to be billed to </w:t>
      </w:r>
      <w:r w:rsidR="00C412F8" w:rsidRPr="005E2AE3">
        <w:rPr>
          <w:lang w:eastAsia="en-AU"/>
        </w:rPr>
        <w:t>insurance</w:t>
      </w:r>
      <w:r w:rsidR="00041CC0" w:rsidRPr="005E2AE3">
        <w:rPr>
          <w:lang w:eastAsia="en-AU"/>
        </w:rPr>
        <w:t xml:space="preserve">, and </w:t>
      </w:r>
      <w:r w:rsidR="00CA1894" w:rsidRPr="005E2AE3">
        <w:rPr>
          <w:lang w:eastAsia="en-AU"/>
        </w:rPr>
        <w:t>would be better funded through other means</w:t>
      </w:r>
      <w:r w:rsidR="00C412F8" w:rsidRPr="005E2AE3">
        <w:rPr>
          <w:lang w:eastAsia="en-AU"/>
        </w:rPr>
        <w:t>.</w:t>
      </w:r>
    </w:p>
    <w:p w14:paraId="37E1E548" w14:textId="6D806106" w:rsidR="00BF24F3" w:rsidRDefault="00494FC4" w:rsidP="00BF24F3">
      <w:pPr>
        <w:spacing w:after="160" w:line="259" w:lineRule="auto"/>
      </w:pPr>
      <w:r w:rsidRPr="005E2AE3">
        <w:rPr>
          <w:lang w:eastAsia="en-AU"/>
        </w:rPr>
        <w:t>The GUI issue</w:t>
      </w:r>
      <w:r w:rsidR="00FC6241" w:rsidRPr="005E2AE3">
        <w:rPr>
          <w:lang w:eastAsia="en-AU"/>
        </w:rPr>
        <w:t xml:space="preserve"> </w:t>
      </w:r>
      <w:r w:rsidR="00B13E27" w:rsidRPr="005E2AE3">
        <w:rPr>
          <w:lang w:eastAsia="en-AU"/>
        </w:rPr>
        <w:t>aroused passionate stakeholder views</w:t>
      </w:r>
      <w:r w:rsidR="007E44C8" w:rsidRPr="005E2AE3">
        <w:rPr>
          <w:lang w:eastAsia="en-AU"/>
        </w:rPr>
        <w:t>.</w:t>
      </w:r>
      <w:r w:rsidR="008F0A65" w:rsidRPr="005E2AE3">
        <w:rPr>
          <w:lang w:eastAsia="en-AU"/>
        </w:rPr>
        <w:t xml:space="preserve"> </w:t>
      </w:r>
      <w:r w:rsidR="007E44C8" w:rsidRPr="005E2AE3">
        <w:rPr>
          <w:lang w:eastAsia="en-AU"/>
        </w:rPr>
        <w:t>U</w:t>
      </w:r>
      <w:r w:rsidR="001267C8" w:rsidRPr="005E2AE3">
        <w:rPr>
          <w:lang w:eastAsia="en-AU"/>
        </w:rPr>
        <w:t>ltimately</w:t>
      </w:r>
      <w:r w:rsidR="007E44C8" w:rsidRPr="005E2AE3">
        <w:rPr>
          <w:lang w:eastAsia="en-AU"/>
        </w:rPr>
        <w:t xml:space="preserve"> the parties could not reach </w:t>
      </w:r>
      <w:r w:rsidR="001267C8" w:rsidRPr="005E2AE3">
        <w:rPr>
          <w:lang w:eastAsia="en-AU"/>
        </w:rPr>
        <w:t xml:space="preserve">consensus on proposed </w:t>
      </w:r>
      <w:r w:rsidR="00562151" w:rsidRPr="005E2AE3">
        <w:rPr>
          <w:lang w:eastAsia="en-AU"/>
        </w:rPr>
        <w:t xml:space="preserve">alternative </w:t>
      </w:r>
      <w:r w:rsidR="001267C8" w:rsidRPr="005E2AE3">
        <w:rPr>
          <w:lang w:eastAsia="en-AU"/>
        </w:rPr>
        <w:t>arrangements, leading to the Government deciding</w:t>
      </w:r>
      <w:r w:rsidR="00B11972" w:rsidRPr="005E2AE3">
        <w:rPr>
          <w:lang w:eastAsia="en-AU"/>
        </w:rPr>
        <w:t xml:space="preserve"> in May 2024</w:t>
      </w:r>
      <w:r w:rsidR="001267C8" w:rsidRPr="005E2AE3">
        <w:rPr>
          <w:lang w:eastAsia="en-AU"/>
        </w:rPr>
        <w:t xml:space="preserve"> to</w:t>
      </w:r>
      <w:r w:rsidR="008555D5" w:rsidRPr="005E2AE3">
        <w:rPr>
          <w:lang w:eastAsia="en-AU"/>
        </w:rPr>
        <w:t xml:space="preserve"> </w:t>
      </w:r>
      <w:r w:rsidR="001267C8" w:rsidRPr="005E2AE3">
        <w:rPr>
          <w:lang w:eastAsia="en-AU"/>
        </w:rPr>
        <w:t>retain GUIs on the PL</w:t>
      </w:r>
      <w:r w:rsidR="00C412F8" w:rsidRPr="005E2AE3">
        <w:rPr>
          <w:lang w:eastAsia="en-AU"/>
        </w:rPr>
        <w:t xml:space="preserve"> in </w:t>
      </w:r>
      <w:r w:rsidR="00C01595" w:rsidRPr="005E2AE3">
        <w:rPr>
          <w:lang w:eastAsia="en-AU"/>
        </w:rPr>
        <w:t>an indefinite liminal state:</w:t>
      </w:r>
      <w:r w:rsidR="001267C8" w:rsidRPr="005E2AE3">
        <w:rPr>
          <w:lang w:eastAsia="en-AU"/>
        </w:rPr>
        <w:t xml:space="preserve"> </w:t>
      </w:r>
      <w:r w:rsidR="00AA1212" w:rsidRPr="005E2AE3">
        <w:rPr>
          <w:lang w:eastAsia="en-AU"/>
        </w:rPr>
        <w:t xml:space="preserve">existing categories of GUIs </w:t>
      </w:r>
      <w:r w:rsidR="00E1239B" w:rsidRPr="005E2AE3">
        <w:rPr>
          <w:lang w:eastAsia="en-AU"/>
        </w:rPr>
        <w:t>listed on a new Part D</w:t>
      </w:r>
      <w:r w:rsidR="00AA1212" w:rsidRPr="005E2AE3">
        <w:rPr>
          <w:lang w:eastAsia="en-AU"/>
        </w:rPr>
        <w:t>, with no additional categories t</w:t>
      </w:r>
      <w:r w:rsidR="00365E70" w:rsidRPr="005E2AE3">
        <w:rPr>
          <w:lang w:eastAsia="en-AU"/>
        </w:rPr>
        <w:t>o be added.</w:t>
      </w:r>
      <w:r w:rsidR="008E0196" w:rsidRPr="005E2AE3">
        <w:rPr>
          <w:lang w:eastAsia="en-AU"/>
        </w:rPr>
        <w:t xml:space="preserve"> </w:t>
      </w:r>
      <w:r w:rsidR="001267C8" w:rsidRPr="005E2AE3">
        <w:rPr>
          <w:lang w:eastAsia="en-AU"/>
        </w:rPr>
        <w:t>Reasons cited for this decision included strong stakeholder feedback regarding unresolved implementation challenges that could lead to adverse impacts, current financial pressures on the private hospital sector, and the absence of an agreed alternative funding arrangement</w:t>
      </w:r>
      <w:r w:rsidR="00AF65BD" w:rsidRPr="005E2AE3">
        <w:rPr>
          <w:lang w:eastAsia="en-AU"/>
        </w:rPr>
        <w:t>. Given</w:t>
      </w:r>
      <w:r w:rsidR="001267C8" w:rsidRPr="005E2AE3">
        <w:rPr>
          <w:lang w:eastAsia="en-AU"/>
        </w:rPr>
        <w:t xml:space="preserve"> the original commitment anticipat</w:t>
      </w:r>
      <w:r w:rsidR="00A708CD" w:rsidRPr="005E2AE3">
        <w:rPr>
          <w:lang w:eastAsia="en-AU"/>
        </w:rPr>
        <w:t>ed</w:t>
      </w:r>
      <w:r w:rsidR="001267C8" w:rsidRPr="005E2AE3">
        <w:rPr>
          <w:lang w:eastAsia="en-AU"/>
        </w:rPr>
        <w:t xml:space="preserve"> an alternative funding model</w:t>
      </w:r>
      <w:r w:rsidR="00AF65BD" w:rsidRPr="005E2AE3">
        <w:rPr>
          <w:lang w:eastAsia="en-AU"/>
        </w:rPr>
        <w:t>, the main impact of retention of GUIs is the continuing administrivia</w:t>
      </w:r>
      <w:r w:rsidR="00D16F84" w:rsidRPr="005E2AE3">
        <w:rPr>
          <w:lang w:eastAsia="en-AU"/>
        </w:rPr>
        <w:t xml:space="preserve"> an</w:t>
      </w:r>
      <w:r w:rsidR="00955853" w:rsidRPr="005E2AE3">
        <w:rPr>
          <w:lang w:eastAsia="en-AU"/>
        </w:rPr>
        <w:t xml:space="preserve">d </w:t>
      </w:r>
      <w:r w:rsidR="007010AB" w:rsidRPr="005E2AE3">
        <w:rPr>
          <w:lang w:eastAsia="en-AU"/>
        </w:rPr>
        <w:t>no progress made on clarifying the PL’s scope</w:t>
      </w:r>
      <w:r w:rsidR="00AF65BD" w:rsidRPr="005E2AE3">
        <w:rPr>
          <w:lang w:eastAsia="en-AU"/>
        </w:rPr>
        <w:t>.</w:t>
      </w:r>
      <w:r w:rsidR="001267C8" w:rsidRPr="005E2AE3">
        <w:rPr>
          <w:lang w:eastAsia="en-AU"/>
        </w:rPr>
        <w:t xml:space="preserve"> It is estimated that between $228 million and $240 million in benefits for GUIs were funded through the PL in FY24.</w:t>
      </w:r>
      <w:r w:rsidR="001267C8" w:rsidRPr="005E2AE3">
        <w:rPr>
          <w:rFonts w:cstheme="minorHAnsi"/>
          <w:szCs w:val="14"/>
          <w:vertAlign w:val="superscript"/>
          <w:lang w:eastAsia="en-AU"/>
        </w:rPr>
        <w:footnoteReference w:id="9"/>
      </w:r>
      <w:r w:rsidR="00BF24F3" w:rsidRPr="00BF24F3">
        <w:t xml:space="preserve"> </w:t>
      </w:r>
    </w:p>
    <w:p w14:paraId="2ADD6C9A" w14:textId="73148426" w:rsidR="001267C8" w:rsidRDefault="00724617" w:rsidP="001267C8">
      <w:pPr>
        <w:spacing w:after="160" w:line="259" w:lineRule="auto"/>
      </w:pPr>
      <w:r>
        <w:t xml:space="preserve">Given the </w:t>
      </w:r>
      <w:r w:rsidRPr="00602824">
        <w:t>broader policy objective of streamlining the PL’s scope to reduce cost pressures on private health insurers</w:t>
      </w:r>
      <w:r w:rsidR="00656D1D">
        <w:t>, t</w:t>
      </w:r>
      <w:r w:rsidR="00BF24F3" w:rsidRPr="00602824">
        <w:t xml:space="preserve">he work undertaken during the reform process to explore alternative funding approaches for GUIs should be leveraged in the post-reform context. There is an opportunity to build on this investment to develop a workable, clinically appropriate model that reduces system costs without adverse outcomes. </w:t>
      </w:r>
      <w:r w:rsidR="00EE0EEF" w:rsidRPr="00EE0EEF">
        <w:t>This could include options that better align funding with the clinical context in which GUIs are appropriately used.</w:t>
      </w:r>
    </w:p>
    <w:tbl>
      <w:tblPr>
        <w:tblStyle w:val="NousLongformcallout"/>
        <w:tblW w:w="4950" w:type="pct"/>
        <w:tblCellMar>
          <w:top w:w="170" w:type="dxa"/>
          <w:bottom w:w="170" w:type="dxa"/>
        </w:tblCellMar>
        <w:tblLook w:val="04A0" w:firstRow="1" w:lastRow="0" w:firstColumn="1" w:lastColumn="0" w:noHBand="0" w:noVBand="1"/>
      </w:tblPr>
      <w:tblGrid>
        <w:gridCol w:w="9070"/>
      </w:tblGrid>
      <w:tr w:rsidR="00AF5EA3" w:rsidRPr="00602824" w14:paraId="30737945" w14:textId="77777777" w:rsidTr="00AF5EA3">
        <w:tc>
          <w:tcPr>
            <w:tcW w:w="9070" w:type="dxa"/>
            <w:tcBorders>
              <w:left w:val="single" w:sz="18" w:space="0" w:color="2E368F" w:themeColor="text2"/>
            </w:tcBorders>
            <w:shd w:val="clear" w:color="auto" w:fill="F2F2F2" w:themeFill="background1" w:themeFillShade="F2"/>
          </w:tcPr>
          <w:p w14:paraId="44D81391" w14:textId="1569ACE6" w:rsidR="00AF5EA3" w:rsidRPr="00194DA6" w:rsidRDefault="00AF5EA3">
            <w:pPr>
              <w:pStyle w:val="Longformcallout"/>
              <w:spacing w:before="0" w:after="120"/>
              <w:rPr>
                <w:rFonts w:asciiTheme="majorHAnsi" w:hAnsiTheme="majorHAnsi" w:cstheme="majorHAnsi"/>
                <w:color w:val="2E368F" w:themeColor="text2"/>
              </w:rPr>
            </w:pPr>
            <w:r w:rsidRPr="00602824">
              <w:rPr>
                <w:rFonts w:asciiTheme="majorHAnsi" w:hAnsiTheme="majorHAnsi" w:cstheme="majorHAnsi"/>
                <w:color w:val="2E368F" w:themeColor="text2"/>
              </w:rPr>
              <w:t xml:space="preserve">RECOMMENDATION </w:t>
            </w:r>
            <w:r w:rsidR="00374E7D">
              <w:rPr>
                <w:rFonts w:asciiTheme="majorHAnsi" w:hAnsiTheme="majorHAnsi" w:cstheme="majorHAnsi"/>
                <w:color w:val="2E368F" w:themeColor="text2"/>
              </w:rPr>
              <w:t>4</w:t>
            </w:r>
            <w:r>
              <w:rPr>
                <w:rFonts w:asciiTheme="majorHAnsi" w:hAnsiTheme="majorHAnsi" w:cstheme="majorHAnsi"/>
                <w:color w:val="2E368F" w:themeColor="text2"/>
              </w:rPr>
              <w:t xml:space="preserve">: </w:t>
            </w:r>
            <w:r w:rsidR="00374E7D" w:rsidRPr="00374E7D">
              <w:rPr>
                <w:rFonts w:asciiTheme="majorHAnsi" w:hAnsiTheme="majorHAnsi" w:cstheme="majorHAnsi"/>
              </w:rPr>
              <w:t>Use the work and lessons from the reforms to inform further Department consideration of sustainable funding options for GUIs outside the PL</w:t>
            </w:r>
            <w:r w:rsidRPr="00AF5EA3">
              <w:rPr>
                <w:rFonts w:asciiTheme="majorHAnsi" w:hAnsiTheme="majorHAnsi" w:cstheme="majorHAnsi"/>
              </w:rPr>
              <w:t>.</w:t>
            </w:r>
          </w:p>
        </w:tc>
      </w:tr>
    </w:tbl>
    <w:p w14:paraId="6D8BDE9D" w14:textId="04FAF75F" w:rsidR="00531C99" w:rsidRPr="00531C99" w:rsidRDefault="00531C99" w:rsidP="00531C99">
      <w:pPr>
        <w:spacing w:before="240" w:after="160"/>
        <w:rPr>
          <w:b/>
          <w:bCs/>
          <w:sz w:val="20"/>
          <w:szCs w:val="20"/>
          <w:lang w:eastAsia="en-AU"/>
        </w:rPr>
      </w:pPr>
      <w:r>
        <w:rPr>
          <w:b/>
          <w:bCs/>
          <w:sz w:val="20"/>
          <w:szCs w:val="20"/>
          <w:lang w:eastAsia="en-AU"/>
        </w:rPr>
        <w:t>Revised pathways</w:t>
      </w:r>
    </w:p>
    <w:p w14:paraId="7FDB8B34" w14:textId="1A9F52D0" w:rsidR="00C22AD9" w:rsidRDefault="00983574" w:rsidP="002F6DB8">
      <w:pPr>
        <w:spacing w:after="160" w:line="259" w:lineRule="auto"/>
        <w:rPr>
          <w:lang w:eastAsia="en-AU"/>
        </w:rPr>
      </w:pPr>
      <w:r>
        <w:rPr>
          <w:lang w:eastAsia="en-AU"/>
        </w:rPr>
        <w:t>A further project aimed at st</w:t>
      </w:r>
      <w:r w:rsidR="00934415">
        <w:rPr>
          <w:lang w:eastAsia="en-AU"/>
        </w:rPr>
        <w:t>r</w:t>
      </w:r>
      <w:r>
        <w:rPr>
          <w:lang w:eastAsia="en-AU"/>
        </w:rPr>
        <w:t xml:space="preserve">eamlining access </w:t>
      </w:r>
      <w:r w:rsidR="00934415">
        <w:rPr>
          <w:lang w:eastAsia="en-AU"/>
        </w:rPr>
        <w:t>involved the creation of r</w:t>
      </w:r>
      <w:r w:rsidR="002F6DB8" w:rsidRPr="6C8AB6A8">
        <w:rPr>
          <w:lang w:eastAsia="en-AU"/>
        </w:rPr>
        <w:t xml:space="preserve">evised </w:t>
      </w:r>
      <w:r w:rsidR="002F6DB8">
        <w:rPr>
          <w:lang w:eastAsia="en-AU"/>
        </w:rPr>
        <w:t>assessment p</w:t>
      </w:r>
      <w:r w:rsidR="002F6DB8" w:rsidRPr="6C8AB6A8">
        <w:rPr>
          <w:lang w:eastAsia="en-AU"/>
        </w:rPr>
        <w:t>athway</w:t>
      </w:r>
      <w:r w:rsidR="002F6DB8">
        <w:rPr>
          <w:lang w:eastAsia="en-AU"/>
        </w:rPr>
        <w:t>s</w:t>
      </w:r>
      <w:r w:rsidR="00934415">
        <w:rPr>
          <w:lang w:eastAsia="en-AU"/>
        </w:rPr>
        <w:t>. New pathways were</w:t>
      </w:r>
      <w:r w:rsidR="007227AE">
        <w:rPr>
          <w:lang w:eastAsia="en-AU"/>
        </w:rPr>
        <w:t xml:space="preserve"> implemented, </w:t>
      </w:r>
      <w:r w:rsidR="002F6DB8">
        <w:rPr>
          <w:lang w:eastAsia="en-AU"/>
        </w:rPr>
        <w:t xml:space="preserve">with a </w:t>
      </w:r>
      <w:r w:rsidR="002F6DB8" w:rsidRPr="1EC5FC02">
        <w:rPr>
          <w:lang w:eastAsia="en-AU"/>
        </w:rPr>
        <w:t>new</w:t>
      </w:r>
      <w:r w:rsidR="002F6DB8">
        <w:rPr>
          <w:lang w:eastAsia="en-AU"/>
        </w:rPr>
        <w:t xml:space="preserve"> application</w:t>
      </w:r>
      <w:r w:rsidR="002F6DB8" w:rsidRPr="1EC5FC02">
        <w:rPr>
          <w:lang w:eastAsia="en-AU"/>
        </w:rPr>
        <w:t xml:space="preserve"> tier</w:t>
      </w:r>
      <w:r w:rsidR="000917AF">
        <w:rPr>
          <w:lang w:eastAsia="en-AU"/>
        </w:rPr>
        <w:t xml:space="preserve"> (Tier 1)</w:t>
      </w:r>
      <w:r w:rsidR="002F6DB8" w:rsidRPr="1EC5FC02">
        <w:rPr>
          <w:lang w:eastAsia="en-AU"/>
        </w:rPr>
        <w:t xml:space="preserve"> </w:t>
      </w:r>
      <w:r w:rsidR="000917AF">
        <w:rPr>
          <w:lang w:eastAsia="en-AU"/>
        </w:rPr>
        <w:t>enabling</w:t>
      </w:r>
      <w:r w:rsidR="002F6DB8">
        <w:rPr>
          <w:lang w:eastAsia="en-AU"/>
        </w:rPr>
        <w:t xml:space="preserve"> appropriate applications to have more focused assessments and others</w:t>
      </w:r>
      <w:r w:rsidR="002F6DB8" w:rsidRPr="6C8AB6A8">
        <w:rPr>
          <w:lang w:eastAsia="en-AU"/>
        </w:rPr>
        <w:t xml:space="preserve"> </w:t>
      </w:r>
      <w:r w:rsidR="002F6DB8">
        <w:rPr>
          <w:lang w:eastAsia="en-AU"/>
        </w:rPr>
        <w:t>to have more comprehensive assessments</w:t>
      </w:r>
      <w:r w:rsidR="000917AF">
        <w:rPr>
          <w:lang w:eastAsia="en-AU"/>
        </w:rPr>
        <w:t xml:space="preserve"> (Tiers 2 and 3</w:t>
      </w:r>
      <w:r w:rsidR="00DF0DCF">
        <w:rPr>
          <w:lang w:eastAsia="en-AU"/>
        </w:rPr>
        <w:t>)</w:t>
      </w:r>
      <w:r w:rsidR="00843A55">
        <w:rPr>
          <w:lang w:eastAsia="en-AU"/>
        </w:rPr>
        <w:t xml:space="preserve">. </w:t>
      </w:r>
      <w:r w:rsidR="002F6DB8">
        <w:rPr>
          <w:lang w:eastAsia="en-AU"/>
        </w:rPr>
        <w:t xml:space="preserve">While these tiered pathways are operational (supported by the </w:t>
      </w:r>
      <w:r w:rsidR="002B6625">
        <w:rPr>
          <w:lang w:eastAsia="en-AU"/>
        </w:rPr>
        <w:t>implementation of the</w:t>
      </w:r>
      <w:r w:rsidR="002F6DB8">
        <w:rPr>
          <w:lang w:eastAsia="en-AU"/>
        </w:rPr>
        <w:t xml:space="preserve"> Health Products Portal)</w:t>
      </w:r>
      <w:r w:rsidR="002F6DB8" w:rsidRPr="6C8AB6A8">
        <w:rPr>
          <w:lang w:eastAsia="en-AU"/>
        </w:rPr>
        <w:t xml:space="preserve">, the overall effectiveness of this </w:t>
      </w:r>
      <w:r w:rsidR="002F6DB8">
        <w:rPr>
          <w:lang w:eastAsia="en-AU"/>
        </w:rPr>
        <w:t>reform project</w:t>
      </w:r>
      <w:r w:rsidR="00843A55">
        <w:rPr>
          <w:lang w:eastAsia="en-AU"/>
        </w:rPr>
        <w:t xml:space="preserve"> </w:t>
      </w:r>
      <w:r w:rsidR="00067601">
        <w:rPr>
          <w:lang w:eastAsia="en-AU"/>
        </w:rPr>
        <w:t>has been limited</w:t>
      </w:r>
      <w:r w:rsidR="00D723C5">
        <w:rPr>
          <w:lang w:eastAsia="en-AU"/>
        </w:rPr>
        <w:t xml:space="preserve">, </w:t>
      </w:r>
      <w:r w:rsidR="00B96663">
        <w:rPr>
          <w:lang w:eastAsia="en-AU"/>
        </w:rPr>
        <w:t>in part</w:t>
      </w:r>
      <w:r w:rsidR="00D723C5">
        <w:rPr>
          <w:lang w:eastAsia="en-AU"/>
        </w:rPr>
        <w:t xml:space="preserve"> due to r</w:t>
      </w:r>
      <w:r w:rsidR="002F6DB8" w:rsidRPr="00C73DB4">
        <w:rPr>
          <w:lang w:eastAsia="en-AU"/>
        </w:rPr>
        <w:t>esource</w:t>
      </w:r>
      <w:r w:rsidR="00D723C5">
        <w:rPr>
          <w:lang w:eastAsia="en-AU"/>
        </w:rPr>
        <w:t xml:space="preserve"> constraints</w:t>
      </w:r>
      <w:r w:rsidR="00577043">
        <w:rPr>
          <w:lang w:eastAsia="en-AU"/>
        </w:rPr>
        <w:t xml:space="preserve">. </w:t>
      </w:r>
      <w:r w:rsidR="0080444C">
        <w:rPr>
          <w:lang w:eastAsia="en-AU"/>
        </w:rPr>
        <w:t xml:space="preserve">There is also evidence that the quality </w:t>
      </w:r>
      <w:r w:rsidR="003E7935">
        <w:rPr>
          <w:lang w:eastAsia="en-AU"/>
        </w:rPr>
        <w:t xml:space="preserve">and timeliness </w:t>
      </w:r>
      <w:r w:rsidR="0080444C">
        <w:rPr>
          <w:lang w:eastAsia="en-AU"/>
        </w:rPr>
        <w:t xml:space="preserve">of applications for the PL is sub-standard and has required ongoing </w:t>
      </w:r>
      <w:r w:rsidR="00D63C25">
        <w:rPr>
          <w:lang w:eastAsia="en-AU"/>
        </w:rPr>
        <w:t xml:space="preserve">to-and-froing between Department officials and the device sponsors to clarify aspects of the applications. </w:t>
      </w:r>
      <w:r w:rsidR="004C5A90">
        <w:rPr>
          <w:lang w:eastAsia="en-AU"/>
        </w:rPr>
        <w:t>This in turn has impacted the required resourcing.</w:t>
      </w:r>
      <w:r w:rsidR="002F6DB8" w:rsidRPr="00C73DB4">
        <w:rPr>
          <w:lang w:eastAsia="en-AU"/>
        </w:rPr>
        <w:t xml:space="preserve"> </w:t>
      </w:r>
      <w:r w:rsidR="00A124F0">
        <w:rPr>
          <w:lang w:eastAsia="en-AU"/>
        </w:rPr>
        <w:t>Tailored</w:t>
      </w:r>
      <w:r w:rsidR="00111253">
        <w:rPr>
          <w:lang w:eastAsia="en-AU"/>
        </w:rPr>
        <w:t xml:space="preserve"> training </w:t>
      </w:r>
      <w:r w:rsidR="00A124F0">
        <w:rPr>
          <w:lang w:eastAsia="en-AU"/>
        </w:rPr>
        <w:t>for sponsors</w:t>
      </w:r>
      <w:r w:rsidR="004714CF">
        <w:rPr>
          <w:lang w:eastAsia="en-AU"/>
        </w:rPr>
        <w:t xml:space="preserve"> as well as</w:t>
      </w:r>
      <w:r w:rsidR="00EB4C7D">
        <w:rPr>
          <w:lang w:eastAsia="en-AU"/>
        </w:rPr>
        <w:t xml:space="preserve"> t</w:t>
      </w:r>
      <w:r w:rsidR="004F7F7D" w:rsidRPr="004F7F7D">
        <w:rPr>
          <w:rFonts w:asciiTheme="minorHAnsi" w:hAnsiTheme="minorHAnsi" w:cstheme="minorHAnsi"/>
          <w:lang w:eastAsia="en-AU"/>
        </w:rPr>
        <w:t>ighter control on submission requirements, including timeframes and minimum standards, will lift the quality of submissions and free up staff time and effort for more productive endeavours.</w:t>
      </w:r>
      <w:r w:rsidR="00234B61">
        <w:rPr>
          <w:rFonts w:asciiTheme="minorHAnsi" w:hAnsiTheme="minorHAnsi" w:cstheme="minorHAnsi"/>
          <w:lang w:eastAsia="en-AU"/>
        </w:rPr>
        <w:t xml:space="preserve"> </w:t>
      </w:r>
      <w:r w:rsidR="00F267C2">
        <w:rPr>
          <w:rFonts w:asciiTheme="minorHAnsi" w:hAnsiTheme="minorHAnsi" w:cstheme="minorHAnsi"/>
          <w:lang w:eastAsia="en-AU"/>
        </w:rPr>
        <w:t xml:space="preserve">In parallel with this tightening, </w:t>
      </w:r>
      <w:r w:rsidR="00F50195">
        <w:rPr>
          <w:rFonts w:asciiTheme="minorHAnsi" w:hAnsiTheme="minorHAnsi" w:cstheme="minorHAnsi"/>
          <w:lang w:eastAsia="en-AU"/>
        </w:rPr>
        <w:t>t</w:t>
      </w:r>
      <w:r w:rsidR="009A559A">
        <w:rPr>
          <w:lang w:eastAsia="en-AU"/>
        </w:rPr>
        <w:t>he effectiveness of the application pathways would benefit from a review of resourcing requirements, including the level of technical expertise required and the staffing structure needed to meet those requirements.</w:t>
      </w:r>
    </w:p>
    <w:tbl>
      <w:tblPr>
        <w:tblStyle w:val="NousLongformcallout"/>
        <w:tblW w:w="4950" w:type="pct"/>
        <w:tblCellMar>
          <w:top w:w="170" w:type="dxa"/>
          <w:bottom w:w="170" w:type="dxa"/>
        </w:tblCellMar>
        <w:tblLook w:val="04A0" w:firstRow="1" w:lastRow="0" w:firstColumn="1" w:lastColumn="0" w:noHBand="0" w:noVBand="1"/>
      </w:tblPr>
      <w:tblGrid>
        <w:gridCol w:w="9070"/>
      </w:tblGrid>
      <w:tr w:rsidR="00AF5EA3" w:rsidRPr="00602824" w14:paraId="02BC26C3" w14:textId="77777777" w:rsidTr="00685084">
        <w:tc>
          <w:tcPr>
            <w:tcW w:w="9070" w:type="dxa"/>
            <w:tcBorders>
              <w:left w:val="single" w:sz="18" w:space="0" w:color="2E368F" w:themeColor="text2"/>
              <w:bottom w:val="nil"/>
            </w:tcBorders>
            <w:shd w:val="clear" w:color="auto" w:fill="F2F2F2" w:themeFill="background1" w:themeFillShade="F2"/>
          </w:tcPr>
          <w:p w14:paraId="70F5048A" w14:textId="7586EE0D" w:rsidR="00AF5EA3" w:rsidRPr="00194DA6" w:rsidRDefault="00AF5EA3">
            <w:pPr>
              <w:pStyle w:val="Longformcallout"/>
              <w:spacing w:before="0" w:after="120"/>
              <w:rPr>
                <w:rFonts w:asciiTheme="majorHAnsi" w:hAnsiTheme="majorHAnsi" w:cstheme="majorHAnsi"/>
                <w:color w:val="2E368F" w:themeColor="text2"/>
              </w:rPr>
            </w:pPr>
            <w:r w:rsidRPr="00602824">
              <w:rPr>
                <w:rFonts w:asciiTheme="majorHAnsi" w:hAnsiTheme="majorHAnsi" w:cstheme="majorHAnsi"/>
                <w:color w:val="2E368F" w:themeColor="text2"/>
              </w:rPr>
              <w:t xml:space="preserve">RECOMMENDATION </w:t>
            </w:r>
            <w:r w:rsidR="00374E7D">
              <w:rPr>
                <w:rFonts w:asciiTheme="majorHAnsi" w:hAnsiTheme="majorHAnsi" w:cstheme="majorHAnsi"/>
                <w:color w:val="2E368F" w:themeColor="text2"/>
              </w:rPr>
              <w:t>5</w:t>
            </w:r>
            <w:r>
              <w:rPr>
                <w:rFonts w:asciiTheme="majorHAnsi" w:hAnsiTheme="majorHAnsi" w:cstheme="majorHAnsi"/>
                <w:color w:val="2E368F" w:themeColor="text2"/>
              </w:rPr>
              <w:t xml:space="preserve">: </w:t>
            </w:r>
            <w:r w:rsidRPr="00AF5EA3">
              <w:rPr>
                <w:rFonts w:asciiTheme="majorHAnsi" w:hAnsiTheme="majorHAnsi" w:cstheme="majorHAnsi"/>
              </w:rPr>
              <w:t>Review staffing requirements against the nature and flow of application processing, matching work requirements with the technical and clinical expertise of the team</w:t>
            </w:r>
            <w:r w:rsidRPr="00194DA6">
              <w:rPr>
                <w:rFonts w:asciiTheme="majorHAnsi" w:hAnsiTheme="majorHAnsi" w:cstheme="majorHAnsi"/>
              </w:rPr>
              <w:t>.</w:t>
            </w:r>
          </w:p>
        </w:tc>
      </w:tr>
      <w:tr w:rsidR="00685084" w:rsidRPr="00602824" w14:paraId="2C9A82D4" w14:textId="77777777" w:rsidTr="00685084">
        <w:tc>
          <w:tcPr>
            <w:tcW w:w="9070" w:type="dxa"/>
            <w:tcBorders>
              <w:left w:val="single" w:sz="4" w:space="0" w:color="FFFFFF" w:themeColor="background1"/>
            </w:tcBorders>
            <w:shd w:val="clear" w:color="auto" w:fill="auto"/>
            <w:tcMar>
              <w:top w:w="28" w:type="dxa"/>
              <w:bottom w:w="28" w:type="dxa"/>
            </w:tcMar>
          </w:tcPr>
          <w:p w14:paraId="7DAE8E6A" w14:textId="77777777" w:rsidR="00685084" w:rsidRPr="006B418F" w:rsidRDefault="00685084">
            <w:pPr>
              <w:pStyle w:val="Longformcallout"/>
              <w:spacing w:before="0" w:after="120"/>
              <w:rPr>
                <w:rFonts w:asciiTheme="majorHAnsi" w:hAnsiTheme="majorHAnsi" w:cstheme="majorHAnsi"/>
                <w:color w:val="FFFFFF" w:themeColor="background1"/>
                <w:sz w:val="2"/>
                <w:szCs w:val="2"/>
              </w:rPr>
            </w:pPr>
          </w:p>
        </w:tc>
      </w:tr>
      <w:tr w:rsidR="00AF5EA3" w:rsidRPr="00602824" w14:paraId="28AE8BFC" w14:textId="77777777" w:rsidTr="00AF5EA3">
        <w:tc>
          <w:tcPr>
            <w:tcW w:w="9070" w:type="dxa"/>
            <w:tcBorders>
              <w:left w:val="single" w:sz="18" w:space="0" w:color="2E368F" w:themeColor="text2"/>
            </w:tcBorders>
            <w:shd w:val="clear" w:color="auto" w:fill="F2F2F2" w:themeFill="background1" w:themeFillShade="F2"/>
          </w:tcPr>
          <w:p w14:paraId="24995069" w14:textId="2C04F5AC" w:rsidR="00AF5EA3" w:rsidRPr="00194DA6" w:rsidRDefault="00AF5EA3">
            <w:pPr>
              <w:pStyle w:val="Longformcallout"/>
              <w:spacing w:before="0" w:after="120"/>
              <w:rPr>
                <w:rFonts w:asciiTheme="majorHAnsi" w:hAnsiTheme="majorHAnsi" w:cstheme="majorHAnsi"/>
                <w:color w:val="2E368F" w:themeColor="text2"/>
              </w:rPr>
            </w:pPr>
            <w:r w:rsidRPr="00602824">
              <w:rPr>
                <w:rFonts w:asciiTheme="majorHAnsi" w:hAnsiTheme="majorHAnsi" w:cstheme="majorHAnsi"/>
                <w:color w:val="2E368F" w:themeColor="text2"/>
              </w:rPr>
              <w:t xml:space="preserve">RECOMMENDATION </w:t>
            </w:r>
            <w:r w:rsidR="00374E7D">
              <w:rPr>
                <w:rFonts w:asciiTheme="majorHAnsi" w:hAnsiTheme="majorHAnsi" w:cstheme="majorHAnsi"/>
                <w:color w:val="2E368F" w:themeColor="text2"/>
              </w:rPr>
              <w:t>6</w:t>
            </w:r>
            <w:r>
              <w:rPr>
                <w:rFonts w:asciiTheme="majorHAnsi" w:hAnsiTheme="majorHAnsi" w:cstheme="majorHAnsi"/>
                <w:color w:val="2E368F" w:themeColor="text2"/>
              </w:rPr>
              <w:t xml:space="preserve">: </w:t>
            </w:r>
            <w:r w:rsidRPr="00AF5EA3">
              <w:rPr>
                <w:rFonts w:asciiTheme="majorHAnsi" w:hAnsiTheme="majorHAnsi" w:cstheme="majorHAnsi"/>
              </w:rPr>
              <w:t xml:space="preserve">Implement </w:t>
            </w:r>
            <w:r w:rsidR="00E462F4">
              <w:rPr>
                <w:rFonts w:asciiTheme="majorHAnsi" w:hAnsiTheme="majorHAnsi" w:cstheme="majorHAnsi"/>
              </w:rPr>
              <w:t xml:space="preserve">tailored training for sponsors </w:t>
            </w:r>
            <w:r w:rsidRPr="00AF5EA3">
              <w:rPr>
                <w:rFonts w:asciiTheme="majorHAnsi" w:hAnsiTheme="majorHAnsi" w:cstheme="majorHAnsi"/>
              </w:rPr>
              <w:t>and enforce tight requirements for quality, completeness and timeliness for sponsor submissions</w:t>
            </w:r>
            <w:r w:rsidRPr="00194DA6">
              <w:rPr>
                <w:rFonts w:asciiTheme="majorHAnsi" w:hAnsiTheme="majorHAnsi" w:cstheme="majorHAnsi"/>
              </w:rPr>
              <w:t>.</w:t>
            </w:r>
          </w:p>
        </w:tc>
      </w:tr>
    </w:tbl>
    <w:p w14:paraId="05A1BB7D" w14:textId="4838EEF6" w:rsidR="00531C99" w:rsidRPr="00531C99" w:rsidRDefault="00531C99" w:rsidP="00531C99">
      <w:pPr>
        <w:spacing w:before="240" w:after="160"/>
        <w:rPr>
          <w:b/>
          <w:bCs/>
          <w:sz w:val="20"/>
          <w:szCs w:val="20"/>
          <w:lang w:eastAsia="en-AU"/>
        </w:rPr>
      </w:pPr>
      <w:r>
        <w:rPr>
          <w:b/>
          <w:bCs/>
          <w:sz w:val="20"/>
          <w:szCs w:val="20"/>
          <w:lang w:eastAsia="en-AU"/>
        </w:rPr>
        <w:t>Further consideration of assessment requirements</w:t>
      </w:r>
    </w:p>
    <w:p w14:paraId="3986A32A" w14:textId="1E453F40" w:rsidR="00523D33" w:rsidRPr="00523D33" w:rsidRDefault="00EC3A59" w:rsidP="00523D33">
      <w:pPr>
        <w:rPr>
          <w:lang w:eastAsia="en-AU"/>
        </w:rPr>
      </w:pPr>
      <w:r>
        <w:rPr>
          <w:lang w:eastAsia="en-AU"/>
        </w:rPr>
        <w:t xml:space="preserve">Feedback from the MedTech industry </w:t>
      </w:r>
      <w:r w:rsidR="00C021E0">
        <w:rPr>
          <w:lang w:eastAsia="en-AU"/>
        </w:rPr>
        <w:t>during co</w:t>
      </w:r>
      <w:r w:rsidR="007B5B32">
        <w:rPr>
          <w:lang w:eastAsia="en-AU"/>
        </w:rPr>
        <w:t xml:space="preserve">nsultations suggested that </w:t>
      </w:r>
      <w:r w:rsidR="00BB6880">
        <w:rPr>
          <w:lang w:eastAsia="en-AU"/>
        </w:rPr>
        <w:t>Australia</w:t>
      </w:r>
      <w:r w:rsidR="00F937D2">
        <w:rPr>
          <w:lang w:eastAsia="en-AU"/>
        </w:rPr>
        <w:t>’s PL listing process</w:t>
      </w:r>
      <w:r w:rsidR="00BB6880">
        <w:rPr>
          <w:lang w:eastAsia="en-AU"/>
        </w:rPr>
        <w:t xml:space="preserve"> </w:t>
      </w:r>
      <w:r w:rsidR="00F12A4D">
        <w:rPr>
          <w:lang w:eastAsia="en-AU"/>
        </w:rPr>
        <w:t>has more stringent requirements around clinical effectiveness than international markets.</w:t>
      </w:r>
      <w:r w:rsidR="00EB46DE">
        <w:rPr>
          <w:lang w:eastAsia="en-AU"/>
        </w:rPr>
        <w:t xml:space="preserve"> </w:t>
      </w:r>
      <w:r w:rsidR="00322878">
        <w:rPr>
          <w:lang w:eastAsia="en-AU"/>
        </w:rPr>
        <w:t>Any device on the PL must already be assessed by the TGA and</w:t>
      </w:r>
      <w:r w:rsidR="00D578CF">
        <w:rPr>
          <w:lang w:eastAsia="en-AU"/>
        </w:rPr>
        <w:t xml:space="preserve"> </w:t>
      </w:r>
      <w:r w:rsidR="007C3B27">
        <w:rPr>
          <w:lang w:eastAsia="en-AU"/>
        </w:rPr>
        <w:t>li</w:t>
      </w:r>
      <w:r w:rsidR="00220F9F">
        <w:rPr>
          <w:lang w:eastAsia="en-AU"/>
        </w:rPr>
        <w:t>sted on the ARTG</w:t>
      </w:r>
      <w:r w:rsidR="00C70F5C">
        <w:rPr>
          <w:lang w:eastAsia="en-AU"/>
        </w:rPr>
        <w:t xml:space="preserve">. </w:t>
      </w:r>
      <w:r w:rsidR="00163FEC">
        <w:rPr>
          <w:lang w:eastAsia="en-AU"/>
        </w:rPr>
        <w:t xml:space="preserve">There </w:t>
      </w:r>
      <w:r w:rsidR="00A80F92">
        <w:rPr>
          <w:lang w:eastAsia="en-AU"/>
        </w:rPr>
        <w:t xml:space="preserve">is </w:t>
      </w:r>
      <w:r w:rsidR="00163FEC">
        <w:rPr>
          <w:lang w:eastAsia="en-AU"/>
        </w:rPr>
        <w:t>an opportunity for the TGA and the Department to</w:t>
      </w:r>
      <w:r w:rsidR="00A80F92">
        <w:rPr>
          <w:lang w:eastAsia="en-AU"/>
        </w:rPr>
        <w:t xml:space="preserve"> work together to</w:t>
      </w:r>
      <w:r w:rsidR="00163FEC">
        <w:rPr>
          <w:lang w:eastAsia="en-AU"/>
        </w:rPr>
        <w:t xml:space="preserve"> </w:t>
      </w:r>
      <w:r w:rsidR="00D75E4B">
        <w:rPr>
          <w:lang w:eastAsia="en-AU"/>
        </w:rPr>
        <w:t>find ways to</w:t>
      </w:r>
      <w:r w:rsidR="00A665BD">
        <w:rPr>
          <w:lang w:eastAsia="en-AU"/>
        </w:rPr>
        <w:t xml:space="preserve"> </w:t>
      </w:r>
      <w:r w:rsidR="00D75E4B">
        <w:rPr>
          <w:lang w:eastAsia="en-AU"/>
        </w:rPr>
        <w:t>streamline the clinical effectiveness assessment</w:t>
      </w:r>
      <w:r w:rsidR="00D31383">
        <w:rPr>
          <w:lang w:eastAsia="en-AU"/>
        </w:rPr>
        <w:t xml:space="preserve"> and reduce the administrative </w:t>
      </w:r>
      <w:r w:rsidR="000A69CF">
        <w:rPr>
          <w:lang w:eastAsia="en-AU"/>
        </w:rPr>
        <w:t>component</w:t>
      </w:r>
      <w:r w:rsidR="00D31383">
        <w:rPr>
          <w:lang w:eastAsia="en-AU"/>
        </w:rPr>
        <w:t xml:space="preserve"> of the </w:t>
      </w:r>
      <w:r w:rsidR="000A69CF">
        <w:rPr>
          <w:lang w:eastAsia="en-AU"/>
        </w:rPr>
        <w:t xml:space="preserve">listing </w:t>
      </w:r>
      <w:r w:rsidR="00D31383">
        <w:rPr>
          <w:lang w:eastAsia="en-AU"/>
        </w:rPr>
        <w:t>process.</w:t>
      </w:r>
    </w:p>
    <w:tbl>
      <w:tblPr>
        <w:tblStyle w:val="NousLongformcallout"/>
        <w:tblW w:w="4950" w:type="pct"/>
        <w:tblCellMar>
          <w:top w:w="170" w:type="dxa"/>
          <w:bottom w:w="170" w:type="dxa"/>
        </w:tblCellMar>
        <w:tblLook w:val="04A0" w:firstRow="1" w:lastRow="0" w:firstColumn="1" w:lastColumn="0" w:noHBand="0" w:noVBand="1"/>
      </w:tblPr>
      <w:tblGrid>
        <w:gridCol w:w="9070"/>
      </w:tblGrid>
      <w:tr w:rsidR="00AF5EA3" w:rsidRPr="00602824" w14:paraId="739C0A3A" w14:textId="77777777" w:rsidTr="00531C99">
        <w:tc>
          <w:tcPr>
            <w:tcW w:w="9070" w:type="dxa"/>
            <w:tcBorders>
              <w:left w:val="single" w:sz="18" w:space="0" w:color="2E368F" w:themeColor="text2"/>
            </w:tcBorders>
            <w:shd w:val="clear" w:color="auto" w:fill="F2F2F2" w:themeFill="background1" w:themeFillShade="F2"/>
          </w:tcPr>
          <w:p w14:paraId="7D2E4863" w14:textId="01714647" w:rsidR="00AF5EA3" w:rsidRPr="00194DA6" w:rsidRDefault="00AF5EA3">
            <w:pPr>
              <w:pStyle w:val="Longformcallout"/>
              <w:spacing w:before="0" w:after="120"/>
              <w:rPr>
                <w:rFonts w:asciiTheme="majorHAnsi" w:hAnsiTheme="majorHAnsi" w:cstheme="majorHAnsi"/>
                <w:color w:val="2E368F" w:themeColor="text2"/>
              </w:rPr>
            </w:pPr>
            <w:r w:rsidRPr="00602824">
              <w:rPr>
                <w:rFonts w:asciiTheme="majorHAnsi" w:hAnsiTheme="majorHAnsi" w:cstheme="majorHAnsi"/>
                <w:color w:val="2E368F" w:themeColor="text2"/>
              </w:rPr>
              <w:t xml:space="preserve">RECOMMENDATION </w:t>
            </w:r>
            <w:r w:rsidR="000E7590">
              <w:rPr>
                <w:rFonts w:asciiTheme="majorHAnsi" w:hAnsiTheme="majorHAnsi" w:cstheme="majorHAnsi"/>
                <w:color w:val="2E368F" w:themeColor="text2"/>
              </w:rPr>
              <w:t>7</w:t>
            </w:r>
            <w:r>
              <w:rPr>
                <w:rFonts w:asciiTheme="majorHAnsi" w:hAnsiTheme="majorHAnsi" w:cstheme="majorHAnsi"/>
                <w:color w:val="2E368F" w:themeColor="text2"/>
              </w:rPr>
              <w:t xml:space="preserve">: </w:t>
            </w:r>
            <w:r w:rsidRPr="00AF5EA3">
              <w:rPr>
                <w:rFonts w:asciiTheme="majorHAnsi" w:hAnsiTheme="majorHAnsi" w:cstheme="majorHAnsi"/>
              </w:rPr>
              <w:t xml:space="preserve">The Department and TGA should conduct a joint examination of the potential for some PL assessments to </w:t>
            </w:r>
            <w:r w:rsidR="006521F4">
              <w:rPr>
                <w:rFonts w:asciiTheme="majorHAnsi" w:hAnsiTheme="majorHAnsi" w:cstheme="majorHAnsi"/>
              </w:rPr>
              <w:t>leverage</w:t>
            </w:r>
            <w:r w:rsidRPr="00AF5EA3">
              <w:rPr>
                <w:rFonts w:asciiTheme="majorHAnsi" w:hAnsiTheme="majorHAnsi" w:cstheme="majorHAnsi"/>
              </w:rPr>
              <w:t xml:space="preserve"> the TGA assessment of device safety and quality or international assessments of clinical effectiveness and ensure there is no unnecessary duplication</w:t>
            </w:r>
            <w:r w:rsidRPr="00194DA6">
              <w:rPr>
                <w:rFonts w:asciiTheme="majorHAnsi" w:hAnsiTheme="majorHAnsi" w:cstheme="majorHAnsi"/>
              </w:rPr>
              <w:t>.</w:t>
            </w:r>
          </w:p>
        </w:tc>
      </w:tr>
    </w:tbl>
    <w:p w14:paraId="603B1767" w14:textId="07370B25" w:rsidR="00531C99" w:rsidRPr="00531C99" w:rsidRDefault="00531C99" w:rsidP="00531C99">
      <w:pPr>
        <w:spacing w:before="240" w:after="160"/>
        <w:rPr>
          <w:b/>
          <w:bCs/>
          <w:sz w:val="20"/>
          <w:szCs w:val="20"/>
          <w:lang w:eastAsia="en-AU"/>
        </w:rPr>
      </w:pPr>
      <w:r>
        <w:rPr>
          <w:b/>
          <w:bCs/>
          <w:sz w:val="20"/>
          <w:szCs w:val="20"/>
          <w:lang w:eastAsia="en-AU"/>
        </w:rPr>
        <w:t>Post-listing reviews</w:t>
      </w:r>
    </w:p>
    <w:p w14:paraId="0B3D1AF6" w14:textId="17FC6882" w:rsidR="004C5A90" w:rsidRDefault="00EC4F3D" w:rsidP="000349DE">
      <w:pPr>
        <w:spacing w:after="160" w:line="259" w:lineRule="auto"/>
        <w:rPr>
          <w:lang w:eastAsia="en-AU"/>
        </w:rPr>
      </w:pPr>
      <w:r>
        <w:rPr>
          <w:lang w:eastAsia="en-AU"/>
        </w:rPr>
        <w:t xml:space="preserve">The implementation of a more structured program for </w:t>
      </w:r>
      <w:r w:rsidR="001D433A">
        <w:rPr>
          <w:lang w:eastAsia="en-AU"/>
        </w:rPr>
        <w:t>post</w:t>
      </w:r>
      <w:r w:rsidR="00E11796">
        <w:rPr>
          <w:lang w:eastAsia="en-AU"/>
        </w:rPr>
        <w:t>-</w:t>
      </w:r>
      <w:r w:rsidR="001D433A">
        <w:rPr>
          <w:lang w:eastAsia="en-AU"/>
        </w:rPr>
        <w:t xml:space="preserve">listing reviews </w:t>
      </w:r>
      <w:r w:rsidR="00D70EA6">
        <w:rPr>
          <w:lang w:eastAsia="en-AU"/>
        </w:rPr>
        <w:t xml:space="preserve">was </w:t>
      </w:r>
      <w:r w:rsidR="00ED1AD1">
        <w:rPr>
          <w:lang w:eastAsia="en-AU"/>
        </w:rPr>
        <w:t xml:space="preserve">achieved through the development and </w:t>
      </w:r>
      <w:r w:rsidR="00494C4B">
        <w:rPr>
          <w:lang w:eastAsia="en-AU"/>
        </w:rPr>
        <w:t>testing</w:t>
      </w:r>
      <w:r w:rsidR="00ED1AD1">
        <w:rPr>
          <w:lang w:eastAsia="en-AU"/>
        </w:rPr>
        <w:t xml:space="preserve"> of a </w:t>
      </w:r>
      <w:r w:rsidR="001D433A">
        <w:rPr>
          <w:lang w:eastAsia="en-AU"/>
        </w:rPr>
        <w:t>post</w:t>
      </w:r>
      <w:r w:rsidR="00707DDA">
        <w:rPr>
          <w:lang w:eastAsia="en-AU"/>
        </w:rPr>
        <w:t>-listing review framework</w:t>
      </w:r>
      <w:r w:rsidR="00ED1AD1">
        <w:rPr>
          <w:lang w:eastAsia="en-AU"/>
        </w:rPr>
        <w:t xml:space="preserve">. </w:t>
      </w:r>
      <w:r w:rsidR="00A0176A">
        <w:rPr>
          <w:lang w:eastAsia="en-AU"/>
        </w:rPr>
        <w:t>While post</w:t>
      </w:r>
      <w:r w:rsidR="0001544E">
        <w:rPr>
          <w:lang w:eastAsia="en-AU"/>
        </w:rPr>
        <w:t>-</w:t>
      </w:r>
      <w:r w:rsidR="00A0176A">
        <w:rPr>
          <w:lang w:eastAsia="en-AU"/>
        </w:rPr>
        <w:t xml:space="preserve">listing reviews are necessarily </w:t>
      </w:r>
      <w:proofErr w:type="gramStart"/>
      <w:r w:rsidR="001C51C0">
        <w:rPr>
          <w:lang w:eastAsia="en-AU"/>
        </w:rPr>
        <w:t>fairly lengthy</w:t>
      </w:r>
      <w:proofErr w:type="gramEnd"/>
      <w:r w:rsidR="001C51C0">
        <w:rPr>
          <w:lang w:eastAsia="en-AU"/>
        </w:rPr>
        <w:t xml:space="preserve"> processes, </w:t>
      </w:r>
      <w:r w:rsidR="00A0176A">
        <w:rPr>
          <w:lang w:eastAsia="en-AU"/>
        </w:rPr>
        <w:t xml:space="preserve">two of the </w:t>
      </w:r>
      <w:r w:rsidR="00122046">
        <w:rPr>
          <w:lang w:eastAsia="en-AU"/>
        </w:rPr>
        <w:t xml:space="preserve">four </w:t>
      </w:r>
      <w:r w:rsidR="00A0176A">
        <w:rPr>
          <w:lang w:eastAsia="en-AU"/>
        </w:rPr>
        <w:t xml:space="preserve">pilot </w:t>
      </w:r>
      <w:r w:rsidR="00122046">
        <w:rPr>
          <w:lang w:eastAsia="en-AU"/>
        </w:rPr>
        <w:t>post</w:t>
      </w:r>
      <w:r w:rsidR="0001544E">
        <w:rPr>
          <w:lang w:eastAsia="en-AU"/>
        </w:rPr>
        <w:t>-</w:t>
      </w:r>
      <w:r w:rsidR="00122046">
        <w:rPr>
          <w:lang w:eastAsia="en-AU"/>
        </w:rPr>
        <w:t xml:space="preserve">listing reviews commenced </w:t>
      </w:r>
      <w:r w:rsidR="00A0176A">
        <w:rPr>
          <w:lang w:eastAsia="en-AU"/>
        </w:rPr>
        <w:t xml:space="preserve">during the reforms </w:t>
      </w:r>
      <w:r w:rsidR="00122046">
        <w:rPr>
          <w:lang w:eastAsia="en-AU"/>
        </w:rPr>
        <w:t xml:space="preserve">were </w:t>
      </w:r>
      <w:r w:rsidR="001C51C0">
        <w:rPr>
          <w:lang w:eastAsia="en-AU"/>
        </w:rPr>
        <w:t xml:space="preserve">excessively </w:t>
      </w:r>
      <w:r w:rsidR="00122046">
        <w:rPr>
          <w:lang w:eastAsia="en-AU"/>
        </w:rPr>
        <w:t>leng</w:t>
      </w:r>
      <w:r w:rsidR="002B6019">
        <w:rPr>
          <w:lang w:eastAsia="en-AU"/>
        </w:rPr>
        <w:t>thy</w:t>
      </w:r>
      <w:r w:rsidR="001C51C0">
        <w:rPr>
          <w:lang w:eastAsia="en-AU"/>
        </w:rPr>
        <w:t xml:space="preserve"> and </w:t>
      </w:r>
      <w:r w:rsidR="008E32D9">
        <w:rPr>
          <w:lang w:eastAsia="en-AU"/>
        </w:rPr>
        <w:t xml:space="preserve">are </w:t>
      </w:r>
      <w:r w:rsidR="001C51C0">
        <w:rPr>
          <w:lang w:eastAsia="en-AU"/>
        </w:rPr>
        <w:t>s</w:t>
      </w:r>
      <w:r w:rsidR="002B6019">
        <w:rPr>
          <w:lang w:eastAsia="en-AU"/>
        </w:rPr>
        <w:t xml:space="preserve">till ongoing </w:t>
      </w:r>
      <w:r w:rsidR="00D71E8E">
        <w:rPr>
          <w:lang w:eastAsia="en-AU"/>
        </w:rPr>
        <w:t>in May 2026</w:t>
      </w:r>
      <w:r w:rsidR="002B6019">
        <w:rPr>
          <w:lang w:eastAsia="en-AU"/>
        </w:rPr>
        <w:t>.</w:t>
      </w:r>
      <w:r w:rsidR="007A4506">
        <w:rPr>
          <w:lang w:eastAsia="en-AU"/>
        </w:rPr>
        <w:t xml:space="preserve"> Without </w:t>
      </w:r>
      <w:r w:rsidR="002B6019">
        <w:rPr>
          <w:lang w:eastAsia="en-AU"/>
        </w:rPr>
        <w:t>stricter timefr</w:t>
      </w:r>
      <w:r w:rsidR="00B96663">
        <w:rPr>
          <w:lang w:eastAsia="en-AU"/>
        </w:rPr>
        <w:t>ames</w:t>
      </w:r>
      <w:r w:rsidR="00DE5712">
        <w:rPr>
          <w:lang w:eastAsia="en-AU"/>
        </w:rPr>
        <w:t>, the post-listing reviews run the risk of</w:t>
      </w:r>
      <w:r w:rsidR="00BA4EB8">
        <w:rPr>
          <w:lang w:eastAsia="en-AU"/>
        </w:rPr>
        <w:t xml:space="preserve"> embedding uncertainty</w:t>
      </w:r>
      <w:r w:rsidR="00697991">
        <w:rPr>
          <w:lang w:eastAsia="en-AU"/>
        </w:rPr>
        <w:t xml:space="preserve"> around the devices under consideration. The updating of the </w:t>
      </w:r>
      <w:r w:rsidR="001B2E56">
        <w:rPr>
          <w:lang w:eastAsia="en-AU"/>
        </w:rPr>
        <w:t>f</w:t>
      </w:r>
      <w:r w:rsidR="00697991">
        <w:rPr>
          <w:lang w:eastAsia="en-AU"/>
        </w:rPr>
        <w:t xml:space="preserve">ramework in early 2026 to </w:t>
      </w:r>
      <w:r w:rsidR="00B15B80">
        <w:rPr>
          <w:lang w:eastAsia="en-AU"/>
        </w:rPr>
        <w:t xml:space="preserve">clarify timeframes for stakeholder </w:t>
      </w:r>
      <w:r w:rsidR="005276A9">
        <w:rPr>
          <w:lang w:eastAsia="en-AU"/>
        </w:rPr>
        <w:t>consultation and</w:t>
      </w:r>
      <w:r w:rsidR="00B15B80">
        <w:rPr>
          <w:lang w:eastAsia="en-AU"/>
        </w:rPr>
        <w:t xml:space="preserve"> the announcement of the next program of reviews for 2025-26 </w:t>
      </w:r>
      <w:r w:rsidR="00E610FD">
        <w:rPr>
          <w:lang w:eastAsia="en-AU"/>
        </w:rPr>
        <w:t>will assist with transparency and certainty.</w:t>
      </w:r>
      <w:r w:rsidR="00F33892">
        <w:rPr>
          <w:lang w:eastAsia="en-AU"/>
        </w:rPr>
        <w:t xml:space="preserve"> A</w:t>
      </w:r>
      <w:r w:rsidR="00C539B6">
        <w:rPr>
          <w:lang w:eastAsia="en-AU"/>
        </w:rPr>
        <w:t>dequate resourcing within the Department</w:t>
      </w:r>
      <w:r w:rsidR="00F33892">
        <w:rPr>
          <w:lang w:eastAsia="en-AU"/>
        </w:rPr>
        <w:t xml:space="preserve">, which </w:t>
      </w:r>
      <w:r w:rsidR="00C24D7F">
        <w:rPr>
          <w:lang w:eastAsia="en-AU"/>
        </w:rPr>
        <w:t>will likely</w:t>
      </w:r>
      <w:r w:rsidR="00F33892">
        <w:rPr>
          <w:lang w:eastAsia="en-AU"/>
        </w:rPr>
        <w:t xml:space="preserve"> be assisted by the increase in the cost recovery fee, is also crucial to a successful post</w:t>
      </w:r>
      <w:r w:rsidR="00DF347A">
        <w:rPr>
          <w:lang w:eastAsia="en-AU"/>
        </w:rPr>
        <w:t>-</w:t>
      </w:r>
      <w:r w:rsidR="00F33892">
        <w:rPr>
          <w:lang w:eastAsia="en-AU"/>
        </w:rPr>
        <w:t>listing review program.</w:t>
      </w:r>
    </w:p>
    <w:tbl>
      <w:tblPr>
        <w:tblStyle w:val="NousLongformcallout"/>
        <w:tblW w:w="4950" w:type="pct"/>
        <w:tblCellMar>
          <w:top w:w="170" w:type="dxa"/>
          <w:bottom w:w="170" w:type="dxa"/>
        </w:tblCellMar>
        <w:tblLook w:val="04A0" w:firstRow="1" w:lastRow="0" w:firstColumn="1" w:lastColumn="0" w:noHBand="0" w:noVBand="1"/>
      </w:tblPr>
      <w:tblGrid>
        <w:gridCol w:w="9070"/>
      </w:tblGrid>
      <w:tr w:rsidR="00AF5EA3" w:rsidRPr="00602824" w14:paraId="2B443AF4" w14:textId="77777777" w:rsidTr="00531C99">
        <w:tc>
          <w:tcPr>
            <w:tcW w:w="9070" w:type="dxa"/>
            <w:tcBorders>
              <w:left w:val="single" w:sz="18" w:space="0" w:color="2E368F" w:themeColor="text2"/>
            </w:tcBorders>
            <w:shd w:val="clear" w:color="auto" w:fill="F2F2F2" w:themeFill="background1" w:themeFillShade="F2"/>
          </w:tcPr>
          <w:p w14:paraId="423FF91A" w14:textId="679528AB" w:rsidR="00AF5EA3" w:rsidRPr="00194DA6" w:rsidRDefault="00AF5EA3">
            <w:pPr>
              <w:pStyle w:val="Longformcallout"/>
              <w:spacing w:before="0" w:after="120"/>
              <w:rPr>
                <w:rFonts w:asciiTheme="majorHAnsi" w:hAnsiTheme="majorHAnsi" w:cstheme="majorHAnsi"/>
                <w:color w:val="2E368F" w:themeColor="text2"/>
              </w:rPr>
            </w:pPr>
            <w:r w:rsidRPr="00602824">
              <w:rPr>
                <w:rFonts w:asciiTheme="majorHAnsi" w:hAnsiTheme="majorHAnsi" w:cstheme="majorHAnsi"/>
                <w:color w:val="2E368F" w:themeColor="text2"/>
              </w:rPr>
              <w:t xml:space="preserve">RECOMMENDATION </w:t>
            </w:r>
            <w:r w:rsidR="000E7590">
              <w:rPr>
                <w:rFonts w:asciiTheme="majorHAnsi" w:hAnsiTheme="majorHAnsi" w:cstheme="majorHAnsi"/>
                <w:color w:val="2E368F" w:themeColor="text2"/>
              </w:rPr>
              <w:t>8</w:t>
            </w:r>
            <w:r>
              <w:rPr>
                <w:rFonts w:asciiTheme="majorHAnsi" w:hAnsiTheme="majorHAnsi" w:cstheme="majorHAnsi"/>
                <w:color w:val="2E368F" w:themeColor="text2"/>
              </w:rPr>
              <w:t xml:space="preserve">: </w:t>
            </w:r>
            <w:r w:rsidRPr="00AF5EA3">
              <w:rPr>
                <w:rFonts w:asciiTheme="majorHAnsi" w:hAnsiTheme="majorHAnsi" w:cstheme="majorHAnsi"/>
              </w:rPr>
              <w:t>More tightly manage stakeholder input and resourcing to achieve planned timeframes for post-listing reviews</w:t>
            </w:r>
            <w:r w:rsidRPr="00194DA6">
              <w:rPr>
                <w:rFonts w:asciiTheme="majorHAnsi" w:hAnsiTheme="majorHAnsi" w:cstheme="majorHAnsi"/>
              </w:rPr>
              <w:t>.</w:t>
            </w:r>
          </w:p>
        </w:tc>
      </w:tr>
    </w:tbl>
    <w:p w14:paraId="38336842" w14:textId="660BBC99" w:rsidR="00531C99" w:rsidRPr="00531C99" w:rsidRDefault="00531C99" w:rsidP="00531C99">
      <w:pPr>
        <w:spacing w:before="240" w:after="160"/>
        <w:rPr>
          <w:b/>
          <w:bCs/>
          <w:sz w:val="20"/>
          <w:szCs w:val="20"/>
          <w:lang w:eastAsia="en-AU"/>
        </w:rPr>
      </w:pPr>
      <w:r>
        <w:rPr>
          <w:b/>
          <w:bCs/>
          <w:sz w:val="20"/>
          <w:szCs w:val="20"/>
          <w:lang w:eastAsia="en-AU"/>
        </w:rPr>
        <w:t>Compliance</w:t>
      </w:r>
    </w:p>
    <w:p w14:paraId="645DF9A4" w14:textId="0343B686" w:rsidR="00E325FD" w:rsidRPr="00E913F4" w:rsidRDefault="00091C57" w:rsidP="00E325FD">
      <w:pPr>
        <w:rPr>
          <w:rFonts w:asciiTheme="majorHAnsi" w:hAnsiTheme="majorHAnsi" w:cstheme="majorHAnsi"/>
        </w:rPr>
      </w:pPr>
      <w:r>
        <w:rPr>
          <w:lang w:eastAsia="en-AU"/>
        </w:rPr>
        <w:t>T</w:t>
      </w:r>
      <w:r w:rsidR="004C6E75">
        <w:rPr>
          <w:lang w:eastAsia="en-AU"/>
        </w:rPr>
        <w:t xml:space="preserve">he reforms struggled to introduce </w:t>
      </w:r>
      <w:r w:rsidR="00C22BB1">
        <w:rPr>
          <w:lang w:eastAsia="en-AU"/>
        </w:rPr>
        <w:t>tighter compliance mechanisms</w:t>
      </w:r>
      <w:r w:rsidR="00C608AB">
        <w:rPr>
          <w:lang w:eastAsia="en-AU"/>
        </w:rPr>
        <w:t xml:space="preserve"> to respond to the original aim of safeguarding the integrity of the PL</w:t>
      </w:r>
      <w:r w:rsidR="00300C63">
        <w:rPr>
          <w:lang w:eastAsia="en-AU"/>
        </w:rPr>
        <w:t xml:space="preserve">. </w:t>
      </w:r>
      <w:r w:rsidR="00E35F49">
        <w:rPr>
          <w:lang w:eastAsia="en-AU"/>
        </w:rPr>
        <w:t xml:space="preserve">The </w:t>
      </w:r>
      <w:r w:rsidR="009265EC">
        <w:rPr>
          <w:lang w:eastAsia="en-AU"/>
        </w:rPr>
        <w:t>Compliance Strategy</w:t>
      </w:r>
      <w:r w:rsidR="001E6852">
        <w:rPr>
          <w:lang w:eastAsia="en-AU"/>
        </w:rPr>
        <w:t xml:space="preserve"> </w:t>
      </w:r>
      <w:r w:rsidR="00C608AB">
        <w:rPr>
          <w:lang w:eastAsia="en-AU"/>
        </w:rPr>
        <w:t>promulgated</w:t>
      </w:r>
      <w:r w:rsidR="001D6444">
        <w:rPr>
          <w:lang w:eastAsia="en-AU"/>
        </w:rPr>
        <w:t xml:space="preserve"> </w:t>
      </w:r>
      <w:r w:rsidR="00C608AB">
        <w:rPr>
          <w:lang w:eastAsia="en-AU"/>
        </w:rPr>
        <w:t xml:space="preserve">following consultation </w:t>
      </w:r>
      <w:r w:rsidR="001D6444">
        <w:rPr>
          <w:lang w:eastAsia="en-AU"/>
        </w:rPr>
        <w:t xml:space="preserve">in 2023 was followed by </w:t>
      </w:r>
      <w:r w:rsidR="001E6852">
        <w:rPr>
          <w:lang w:eastAsia="en-AU"/>
        </w:rPr>
        <w:t xml:space="preserve">three </w:t>
      </w:r>
      <w:r w:rsidR="00290AB2">
        <w:rPr>
          <w:lang w:eastAsia="en-AU"/>
        </w:rPr>
        <w:t xml:space="preserve">further </w:t>
      </w:r>
      <w:r w:rsidR="001F49B4">
        <w:rPr>
          <w:lang w:eastAsia="en-AU"/>
        </w:rPr>
        <w:t>C</w:t>
      </w:r>
      <w:r w:rsidR="002265A5">
        <w:rPr>
          <w:lang w:eastAsia="en-AU"/>
        </w:rPr>
        <w:t>onsultation</w:t>
      </w:r>
      <w:r w:rsidR="001F49B4">
        <w:rPr>
          <w:lang w:eastAsia="en-AU"/>
        </w:rPr>
        <w:t xml:space="preserve"> Papers</w:t>
      </w:r>
      <w:r w:rsidR="000C0A6A">
        <w:rPr>
          <w:lang w:eastAsia="en-AU"/>
        </w:rPr>
        <w:t xml:space="preserve">, which received </w:t>
      </w:r>
      <w:r w:rsidR="00BF4FFD">
        <w:rPr>
          <w:lang w:eastAsia="en-AU"/>
        </w:rPr>
        <w:t xml:space="preserve">very </w:t>
      </w:r>
      <w:r w:rsidR="0015505E">
        <w:rPr>
          <w:lang w:eastAsia="en-AU"/>
        </w:rPr>
        <w:t>limited</w:t>
      </w:r>
      <w:r w:rsidR="000C0A6A">
        <w:rPr>
          <w:lang w:eastAsia="en-AU"/>
        </w:rPr>
        <w:t xml:space="preserve"> support from stakeholders</w:t>
      </w:r>
      <w:r w:rsidR="0090669B">
        <w:rPr>
          <w:lang w:eastAsia="en-AU"/>
        </w:rPr>
        <w:t xml:space="preserve"> and were not proceeded with</w:t>
      </w:r>
      <w:r w:rsidR="000C0A6A">
        <w:rPr>
          <w:lang w:eastAsia="en-AU"/>
        </w:rPr>
        <w:t>.</w:t>
      </w:r>
      <w:r w:rsidR="003C13A9">
        <w:rPr>
          <w:lang w:eastAsia="en-AU"/>
        </w:rPr>
        <w:t xml:space="preserve"> Any legislative change</w:t>
      </w:r>
      <w:r w:rsidR="006161C1">
        <w:rPr>
          <w:lang w:eastAsia="en-AU"/>
        </w:rPr>
        <w:t xml:space="preserve">s to introduce stronger compliance measures have been delayed and are unlikely to </w:t>
      </w:r>
      <w:r w:rsidR="005B5C75">
        <w:rPr>
          <w:lang w:eastAsia="en-AU"/>
        </w:rPr>
        <w:t>be a priority in the next few years. Instead, the Department published a final C</w:t>
      </w:r>
      <w:r w:rsidR="0090669B">
        <w:rPr>
          <w:lang w:eastAsia="en-AU"/>
        </w:rPr>
        <w:t xml:space="preserve">ompliance Strategy </w:t>
      </w:r>
      <w:r w:rsidR="001E6852">
        <w:rPr>
          <w:lang w:eastAsia="en-AU"/>
        </w:rPr>
        <w:t>i</w:t>
      </w:r>
      <w:r w:rsidR="009265EC">
        <w:rPr>
          <w:lang w:eastAsia="en-AU"/>
        </w:rPr>
        <w:t>n July 2025</w:t>
      </w:r>
      <w:r w:rsidR="0090669B">
        <w:rPr>
          <w:lang w:eastAsia="en-AU"/>
        </w:rPr>
        <w:t xml:space="preserve">, that set out </w:t>
      </w:r>
      <w:r w:rsidR="00905FDC">
        <w:rPr>
          <w:lang w:eastAsia="en-AU"/>
        </w:rPr>
        <w:t xml:space="preserve">an approach </w:t>
      </w:r>
      <w:r w:rsidR="003F7DA9">
        <w:rPr>
          <w:lang w:eastAsia="en-AU"/>
        </w:rPr>
        <w:t xml:space="preserve">that uses existing </w:t>
      </w:r>
      <w:r w:rsidR="0097153E">
        <w:rPr>
          <w:lang w:eastAsia="en-AU"/>
        </w:rPr>
        <w:t xml:space="preserve">regulatory mechanisms and </w:t>
      </w:r>
      <w:r w:rsidR="00E01642">
        <w:rPr>
          <w:lang w:eastAsia="en-AU"/>
        </w:rPr>
        <w:t>more</w:t>
      </w:r>
      <w:r w:rsidR="00682EF9">
        <w:rPr>
          <w:lang w:eastAsia="en-AU"/>
        </w:rPr>
        <w:t xml:space="preserve"> </w:t>
      </w:r>
      <w:r w:rsidR="00682EF9">
        <w:t xml:space="preserve">clearly articulates compliance expectations </w:t>
      </w:r>
      <w:r w:rsidR="00682EF9" w:rsidRPr="00923B46">
        <w:t xml:space="preserve">for </w:t>
      </w:r>
      <w:r w:rsidR="000B1DA3">
        <w:t>all stakeholders</w:t>
      </w:r>
      <w:r w:rsidR="00682EF9" w:rsidRPr="00923B46">
        <w:t>, explicitly identifying behaviours that may constitute non</w:t>
      </w:r>
      <w:r w:rsidR="00682EF9" w:rsidRPr="00923B46">
        <w:noBreakHyphen/>
        <w:t>compliance</w:t>
      </w:r>
      <w:r w:rsidR="000B1DA3">
        <w:t>.</w:t>
      </w:r>
      <w:r w:rsidR="00E325FD">
        <w:t xml:space="preserve"> The updated Strategy </w:t>
      </w:r>
      <w:r w:rsidR="00E325FD" w:rsidRPr="00A6646D">
        <w:t>adopts a lighter</w:t>
      </w:r>
      <w:r w:rsidR="00E325FD" w:rsidRPr="00A6646D">
        <w:noBreakHyphen/>
        <w:t>touch, risk</w:t>
      </w:r>
      <w:r w:rsidR="00E325FD" w:rsidRPr="00A6646D">
        <w:noBreakHyphen/>
        <w:t>based operational approach that prioritises education, monitoring and voluntary compliance over the introduction of new regulatory obligations</w:t>
      </w:r>
      <w:r w:rsidR="00E325FD">
        <w:t>.</w:t>
      </w:r>
    </w:p>
    <w:p w14:paraId="05A6EE95" w14:textId="248A013D" w:rsidR="00001C49" w:rsidRDefault="00D86676" w:rsidP="0085416A">
      <w:r>
        <w:t>Early in the reform process, private hospitals raised concerns about the lack of a compliance mechanism to enforce the PL price. They highlighted that the PL</w:t>
      </w:r>
      <w:r w:rsidRPr="00031AA0">
        <w:t xml:space="preserve"> only regulates the benefit paid</w:t>
      </w:r>
      <w:r>
        <w:t>,</w:t>
      </w:r>
      <w:r w:rsidRPr="00031AA0">
        <w:t xml:space="preserve"> rather than the prices at which medical devices are sold to hospitals by manufacturers</w:t>
      </w:r>
      <w:r>
        <w:t>. This can result in prices above the PL benefit being charged, with no mechanism to resolve the resultant dispute.</w:t>
      </w:r>
      <w:r w:rsidR="00A10C1C">
        <w:t xml:space="preserve"> O</w:t>
      </w:r>
      <w:r w:rsidR="00001C49">
        <w:rPr>
          <w:lang w:eastAsia="en-AU"/>
        </w:rPr>
        <w:t xml:space="preserve">ne of the Consultation Papers </w:t>
      </w:r>
      <w:r w:rsidR="002265A5">
        <w:rPr>
          <w:lang w:eastAsia="en-AU"/>
        </w:rPr>
        <w:t xml:space="preserve">(8b) </w:t>
      </w:r>
      <w:r w:rsidR="00AF23F2">
        <w:rPr>
          <w:lang w:eastAsia="en-AU"/>
        </w:rPr>
        <w:t>took up</w:t>
      </w:r>
      <w:r w:rsidR="00A10C1C">
        <w:rPr>
          <w:lang w:eastAsia="en-AU"/>
        </w:rPr>
        <w:t xml:space="preserve"> this concern</w:t>
      </w:r>
      <w:r w:rsidR="00AF23F2">
        <w:rPr>
          <w:lang w:eastAsia="en-AU"/>
        </w:rPr>
        <w:t>,</w:t>
      </w:r>
      <w:r w:rsidR="00A10C1C">
        <w:rPr>
          <w:lang w:eastAsia="en-AU"/>
        </w:rPr>
        <w:t xml:space="preserve"> </w:t>
      </w:r>
      <w:r w:rsidR="00001C49">
        <w:rPr>
          <w:lang w:eastAsia="en-AU"/>
        </w:rPr>
        <w:t>propos</w:t>
      </w:r>
      <w:r w:rsidR="00A10C1C">
        <w:rPr>
          <w:lang w:eastAsia="en-AU"/>
        </w:rPr>
        <w:t>ing</w:t>
      </w:r>
      <w:r w:rsidR="00916D6A">
        <w:rPr>
          <w:lang w:eastAsia="en-AU"/>
        </w:rPr>
        <w:t xml:space="preserve"> that</w:t>
      </w:r>
      <w:r w:rsidR="002265A5" w:rsidRPr="00602824">
        <w:t xml:space="preserve"> sponsors </w:t>
      </w:r>
      <w:r w:rsidR="00916D6A">
        <w:t xml:space="preserve">be restricted </w:t>
      </w:r>
      <w:r w:rsidR="002265A5" w:rsidRPr="00602824">
        <w:t>from charging an amount higher than the PL benefit</w:t>
      </w:r>
      <w:r w:rsidR="00F27097">
        <w:t xml:space="preserve">. </w:t>
      </w:r>
      <w:r w:rsidR="00070C9C">
        <w:t>This change was not agreed</w:t>
      </w:r>
      <w:r w:rsidR="00AF23F2">
        <w:t>. Call</w:t>
      </w:r>
      <w:r w:rsidR="003F069A">
        <w:t>s</w:t>
      </w:r>
      <w:r w:rsidR="00FD7A08">
        <w:t xml:space="preserve"> </w:t>
      </w:r>
      <w:r w:rsidR="00F27097">
        <w:t xml:space="preserve">for establishment of a dispute </w:t>
      </w:r>
      <w:r w:rsidR="00812E29">
        <w:t xml:space="preserve">resolution </w:t>
      </w:r>
      <w:r w:rsidR="00F27097">
        <w:t>mechanism</w:t>
      </w:r>
      <w:r w:rsidR="004D7F69">
        <w:t xml:space="preserve"> were also </w:t>
      </w:r>
      <w:r w:rsidR="00812E29">
        <w:t>not agreed</w:t>
      </w:r>
      <w:r w:rsidR="00440E22">
        <w:t>. It is noted that negotiating parties can</w:t>
      </w:r>
      <w:r w:rsidR="0029058B">
        <w:t xml:space="preserve"> (and sometimes do)</w:t>
      </w:r>
      <w:r w:rsidR="00440E22">
        <w:t xml:space="preserve"> agree to establish their own dispute resolution mechanism.</w:t>
      </w:r>
    </w:p>
    <w:p w14:paraId="18421FFB" w14:textId="6D1192D5" w:rsidR="0049166D" w:rsidRDefault="0049166D" w:rsidP="0085416A">
      <w:r>
        <w:t xml:space="preserve">Concerns remain </w:t>
      </w:r>
      <w:r w:rsidR="002B2776">
        <w:t xml:space="preserve">as to whether sufficient resources are available to effectively manage the </w:t>
      </w:r>
      <w:r w:rsidR="007D74B7">
        <w:t>approach outlined in the Strategy. A review of its effectiveness will be an important step to valida</w:t>
      </w:r>
      <w:r w:rsidR="00983BA3">
        <w:t xml:space="preserve">te whether </w:t>
      </w:r>
      <w:r w:rsidR="00E66F27">
        <w:t>concerns and complaints have been managed appropriately</w:t>
      </w:r>
      <w:r w:rsidR="006138B3">
        <w:t>.</w:t>
      </w:r>
    </w:p>
    <w:tbl>
      <w:tblPr>
        <w:tblStyle w:val="NousLongformcallout"/>
        <w:tblW w:w="4950" w:type="pct"/>
        <w:tblCellMar>
          <w:top w:w="170" w:type="dxa"/>
          <w:bottom w:w="170" w:type="dxa"/>
        </w:tblCellMar>
        <w:tblLook w:val="04A0" w:firstRow="1" w:lastRow="0" w:firstColumn="1" w:lastColumn="0" w:noHBand="0" w:noVBand="1"/>
      </w:tblPr>
      <w:tblGrid>
        <w:gridCol w:w="9070"/>
      </w:tblGrid>
      <w:tr w:rsidR="00AF5EA3" w:rsidRPr="00602824" w14:paraId="1CA0EEEA" w14:textId="77777777" w:rsidTr="00AF5EA3">
        <w:tc>
          <w:tcPr>
            <w:tcW w:w="9070" w:type="dxa"/>
            <w:tcBorders>
              <w:left w:val="single" w:sz="18" w:space="0" w:color="2E368F" w:themeColor="text2"/>
            </w:tcBorders>
            <w:shd w:val="clear" w:color="auto" w:fill="F2F2F2" w:themeFill="background1" w:themeFillShade="F2"/>
          </w:tcPr>
          <w:p w14:paraId="379CFCF4" w14:textId="796704CB" w:rsidR="00AF5EA3" w:rsidRPr="00194DA6" w:rsidRDefault="00AF5EA3">
            <w:pPr>
              <w:pStyle w:val="Longformcallout"/>
              <w:spacing w:before="0" w:after="120"/>
              <w:rPr>
                <w:rFonts w:asciiTheme="majorHAnsi" w:hAnsiTheme="majorHAnsi" w:cstheme="majorHAnsi"/>
                <w:color w:val="2E368F" w:themeColor="text2"/>
              </w:rPr>
            </w:pPr>
            <w:r w:rsidRPr="00602824">
              <w:rPr>
                <w:rFonts w:asciiTheme="majorHAnsi" w:hAnsiTheme="majorHAnsi" w:cstheme="majorHAnsi"/>
                <w:color w:val="2E368F" w:themeColor="text2"/>
              </w:rPr>
              <w:t xml:space="preserve">RECOMMENDATION </w:t>
            </w:r>
            <w:r w:rsidR="000E7590">
              <w:rPr>
                <w:rFonts w:asciiTheme="majorHAnsi" w:hAnsiTheme="majorHAnsi" w:cstheme="majorHAnsi"/>
                <w:color w:val="2E368F" w:themeColor="text2"/>
              </w:rPr>
              <w:t>9</w:t>
            </w:r>
            <w:r>
              <w:rPr>
                <w:rFonts w:asciiTheme="majorHAnsi" w:hAnsiTheme="majorHAnsi" w:cstheme="majorHAnsi"/>
                <w:color w:val="2E368F" w:themeColor="text2"/>
              </w:rPr>
              <w:t xml:space="preserve">: </w:t>
            </w:r>
            <w:r w:rsidRPr="00AF5EA3">
              <w:rPr>
                <w:rFonts w:asciiTheme="majorHAnsi" w:hAnsiTheme="majorHAnsi" w:cstheme="majorHAnsi"/>
              </w:rPr>
              <w:t>Regularly document adherence to monitoring activities and undertake an evaluation of the impact of the 2025 Compliance Strategy after three years of operation</w:t>
            </w:r>
            <w:r w:rsidRPr="00194DA6">
              <w:rPr>
                <w:rFonts w:asciiTheme="majorHAnsi" w:hAnsiTheme="majorHAnsi" w:cstheme="majorHAnsi"/>
              </w:rPr>
              <w:t>.</w:t>
            </w:r>
          </w:p>
        </w:tc>
      </w:tr>
    </w:tbl>
    <w:p w14:paraId="528AC0A3" w14:textId="7ECBB9C8" w:rsidR="00531C99" w:rsidRPr="00531C99" w:rsidRDefault="00531C99" w:rsidP="00531C99">
      <w:pPr>
        <w:spacing w:before="240" w:after="160"/>
        <w:rPr>
          <w:b/>
          <w:bCs/>
          <w:sz w:val="20"/>
          <w:szCs w:val="20"/>
          <w:lang w:eastAsia="en-AU"/>
        </w:rPr>
      </w:pPr>
      <w:r>
        <w:rPr>
          <w:b/>
          <w:bCs/>
          <w:sz w:val="20"/>
          <w:szCs w:val="20"/>
          <w:lang w:eastAsia="en-AU"/>
        </w:rPr>
        <w:t>Financial sustainability</w:t>
      </w:r>
    </w:p>
    <w:p w14:paraId="14E71130" w14:textId="3641DA49" w:rsidR="00C154C5" w:rsidRDefault="00C154C5" w:rsidP="0085416A">
      <w:r w:rsidRPr="00C154C5">
        <w:t>PL cost recovery arrangements were successfully updated through the reform process to include tiered application fees that reflect the varying effort required to process and assess different types of applications. An annual levy payable for billing codes was also introduced to recover general PL costs, including administration, IT system maintenance, compliance and post-listing review activities.</w:t>
      </w:r>
    </w:p>
    <w:p w14:paraId="64072251" w14:textId="214BF54A" w:rsidR="00BA61EE" w:rsidRPr="004770D1" w:rsidRDefault="00C1345D" w:rsidP="0085416A">
      <w:pPr>
        <w:rPr>
          <w:rFonts w:asciiTheme="majorHAnsi" w:hAnsiTheme="majorHAnsi" w:cstheme="majorHAnsi"/>
          <w:lang w:eastAsia="en-AU"/>
        </w:rPr>
      </w:pPr>
      <w:r>
        <w:t>A</w:t>
      </w:r>
      <w:r w:rsidRPr="00C1345D">
        <w:t xml:space="preserve"> formal assessment of </w:t>
      </w:r>
      <w:r w:rsidR="00C154C5">
        <w:t xml:space="preserve">the financial sustainability </w:t>
      </w:r>
      <w:r w:rsidR="0043138D">
        <w:t xml:space="preserve">of </w:t>
      </w:r>
      <w:r w:rsidRPr="00C1345D">
        <w:t xml:space="preserve">cost recovery </w:t>
      </w:r>
      <w:r w:rsidR="0043138D">
        <w:t xml:space="preserve">arrangements </w:t>
      </w:r>
      <w:r>
        <w:t>was</w:t>
      </w:r>
      <w:r w:rsidRPr="00C1345D">
        <w:t xml:space="preserve"> out of scope for the evaluation. </w:t>
      </w:r>
      <w:r w:rsidR="001A6C7F">
        <w:t xml:space="preserve">Noting the intent of the changes are to bring cost recovery fees </w:t>
      </w:r>
      <w:r w:rsidR="00CF6F6A">
        <w:t>in line with the actual costs to administer the PL</w:t>
      </w:r>
      <w:r w:rsidR="00402388">
        <w:t>,</w:t>
      </w:r>
      <w:r w:rsidR="00644358">
        <w:t xml:space="preserve"> it is concerning that a</w:t>
      </w:r>
      <w:r w:rsidR="00BA61EE" w:rsidRPr="00602824">
        <w:t xml:space="preserve">ll stakeholders, including </w:t>
      </w:r>
      <w:r w:rsidR="00644358">
        <w:t>D</w:t>
      </w:r>
      <w:r w:rsidR="00BA61EE" w:rsidRPr="00602824">
        <w:t xml:space="preserve">epartmental staff, </w:t>
      </w:r>
      <w:r w:rsidR="00867AE7">
        <w:t xml:space="preserve">continued to </w:t>
      </w:r>
      <w:r w:rsidR="00644358">
        <w:t>express concern</w:t>
      </w:r>
      <w:r w:rsidR="00BA61EE" w:rsidRPr="00602824">
        <w:t xml:space="preserve"> that the resources available to administer the PL are inadequate and do not represent efficient administration.</w:t>
      </w:r>
    </w:p>
    <w:p w14:paraId="207E27AD" w14:textId="54D98002" w:rsidR="00531C99" w:rsidRPr="00531C99" w:rsidRDefault="00531C99" w:rsidP="00531C99">
      <w:pPr>
        <w:spacing w:before="240" w:after="160"/>
        <w:rPr>
          <w:b/>
          <w:bCs/>
          <w:sz w:val="20"/>
          <w:szCs w:val="20"/>
          <w:lang w:eastAsia="en-AU"/>
        </w:rPr>
      </w:pPr>
      <w:r>
        <w:rPr>
          <w:b/>
          <w:bCs/>
          <w:sz w:val="20"/>
          <w:szCs w:val="20"/>
          <w:lang w:eastAsia="en-AU"/>
        </w:rPr>
        <w:t>Conclusion</w:t>
      </w:r>
    </w:p>
    <w:p w14:paraId="291BEACC" w14:textId="11E31D18" w:rsidR="005909C8" w:rsidRDefault="00A34CC8" w:rsidP="005909C8">
      <w:r>
        <w:rPr>
          <w:lang w:eastAsia="en-AU"/>
        </w:rPr>
        <w:t xml:space="preserve">Overall, the </w:t>
      </w:r>
      <w:r w:rsidR="000349DE" w:rsidRPr="000E0484">
        <w:rPr>
          <w:lang w:eastAsia="en-AU"/>
        </w:rPr>
        <w:t xml:space="preserve">reform program </w:t>
      </w:r>
      <w:r>
        <w:rPr>
          <w:lang w:eastAsia="en-AU"/>
        </w:rPr>
        <w:t xml:space="preserve">was implemented by the Department </w:t>
      </w:r>
      <w:r w:rsidR="000349DE" w:rsidRPr="000E0484">
        <w:rPr>
          <w:lang w:eastAsia="en-AU"/>
        </w:rPr>
        <w:t xml:space="preserve">in a highly consultative and methodical way. Extensive investment in discussion papers, webinars, consultation documents, regular stakeholder meetings, and clinician-led reviews supported the rollout of the reforms. </w:t>
      </w:r>
      <w:r w:rsidR="00D61669">
        <w:rPr>
          <w:lang w:eastAsia="en-AU"/>
        </w:rPr>
        <w:t>This consultative</w:t>
      </w:r>
      <w:r w:rsidR="000349DE">
        <w:rPr>
          <w:lang w:eastAsia="en-AU"/>
        </w:rPr>
        <w:t xml:space="preserve"> approach</w:t>
      </w:r>
      <w:r w:rsidR="000349DE" w:rsidRPr="000E0484">
        <w:rPr>
          <w:lang w:eastAsia="en-AU"/>
        </w:rPr>
        <w:t xml:space="preserve"> </w:t>
      </w:r>
      <w:r w:rsidR="00E62FFB">
        <w:rPr>
          <w:lang w:eastAsia="en-AU"/>
        </w:rPr>
        <w:t>was</w:t>
      </w:r>
      <w:r w:rsidR="000349DE" w:rsidRPr="000E0484">
        <w:rPr>
          <w:lang w:eastAsia="en-AU"/>
        </w:rPr>
        <w:t xml:space="preserve"> resource-intensive</w:t>
      </w:r>
      <w:r w:rsidR="00ED2971">
        <w:rPr>
          <w:lang w:eastAsia="en-AU"/>
        </w:rPr>
        <w:t xml:space="preserve"> and challenging</w:t>
      </w:r>
      <w:r w:rsidR="000349DE">
        <w:rPr>
          <w:lang w:eastAsia="en-AU"/>
        </w:rPr>
        <w:t xml:space="preserve"> </w:t>
      </w:r>
      <w:proofErr w:type="gramStart"/>
      <w:r w:rsidR="000349DE">
        <w:rPr>
          <w:lang w:eastAsia="en-AU"/>
        </w:rPr>
        <w:t>in light of</w:t>
      </w:r>
      <w:proofErr w:type="gramEnd"/>
      <w:r w:rsidR="000349DE">
        <w:rPr>
          <w:lang w:eastAsia="en-AU"/>
        </w:rPr>
        <w:t xml:space="preserve"> </w:t>
      </w:r>
      <w:r w:rsidR="000349DE" w:rsidRPr="000E0484">
        <w:rPr>
          <w:lang w:eastAsia="en-AU"/>
        </w:rPr>
        <w:t>divergent stakeholder views and the financial impact of the decisions made</w:t>
      </w:r>
      <w:r w:rsidR="00201731">
        <w:rPr>
          <w:lang w:eastAsia="en-AU"/>
        </w:rPr>
        <w:t xml:space="preserve"> on the</w:t>
      </w:r>
      <w:r w:rsidR="00CE219F">
        <w:rPr>
          <w:lang w:eastAsia="en-AU"/>
        </w:rPr>
        <w:t xml:space="preserve"> different stakeholder groups </w:t>
      </w:r>
      <w:r w:rsidR="006D4E20">
        <w:rPr>
          <w:lang w:eastAsia="en-AU"/>
        </w:rPr>
        <w:t>who have</w:t>
      </w:r>
      <w:r w:rsidR="00CE219F">
        <w:rPr>
          <w:lang w:eastAsia="en-AU"/>
        </w:rPr>
        <w:t xml:space="preserve"> a commercial interest in the PL</w:t>
      </w:r>
      <w:r w:rsidR="00593186">
        <w:rPr>
          <w:lang w:eastAsia="en-AU"/>
        </w:rPr>
        <w:t xml:space="preserve"> arrangements.</w:t>
      </w:r>
      <w:r w:rsidR="006D4E20">
        <w:rPr>
          <w:lang w:eastAsia="en-AU"/>
        </w:rPr>
        <w:t xml:space="preserve"> </w:t>
      </w:r>
      <w:r w:rsidR="000D41B6">
        <w:rPr>
          <w:lang w:eastAsia="en-AU"/>
        </w:rPr>
        <w:t xml:space="preserve">The over-riding imperative of the reforms </w:t>
      </w:r>
      <w:r w:rsidR="009C15C7">
        <w:rPr>
          <w:lang w:eastAsia="en-AU"/>
        </w:rPr>
        <w:t>–</w:t>
      </w:r>
      <w:r w:rsidR="000D41B6">
        <w:rPr>
          <w:lang w:eastAsia="en-AU"/>
        </w:rPr>
        <w:t xml:space="preserve"> </w:t>
      </w:r>
      <w:r w:rsidR="00193C13">
        <w:rPr>
          <w:lang w:eastAsia="en-AU"/>
        </w:rPr>
        <w:t xml:space="preserve">the </w:t>
      </w:r>
      <w:r w:rsidR="009C15C7">
        <w:rPr>
          <w:lang w:eastAsia="en-AU"/>
        </w:rPr>
        <w:t xml:space="preserve">reduction of </w:t>
      </w:r>
      <w:r w:rsidR="00C8733C">
        <w:rPr>
          <w:lang w:eastAsia="en-AU"/>
        </w:rPr>
        <w:t xml:space="preserve">benefits </w:t>
      </w:r>
      <w:r w:rsidR="00193C13">
        <w:rPr>
          <w:lang w:eastAsia="en-AU"/>
        </w:rPr>
        <w:t>and consequent downwards pressure on health insurance premiums – was achieved</w:t>
      </w:r>
      <w:r w:rsidR="00C55E15">
        <w:rPr>
          <w:lang w:eastAsia="en-AU"/>
        </w:rPr>
        <w:t xml:space="preserve"> but more remains to be done to </w:t>
      </w:r>
      <w:r w:rsidR="003B621D">
        <w:rPr>
          <w:lang w:eastAsia="en-AU"/>
        </w:rPr>
        <w:t>realise</w:t>
      </w:r>
      <w:r w:rsidR="00C55E15">
        <w:rPr>
          <w:lang w:eastAsia="en-AU"/>
        </w:rPr>
        <w:t xml:space="preserve"> all the potential benefits the reforms </w:t>
      </w:r>
      <w:r w:rsidR="00A169F7">
        <w:rPr>
          <w:lang w:eastAsia="en-AU"/>
        </w:rPr>
        <w:t>hoped to achieve</w:t>
      </w:r>
      <w:r w:rsidR="00B728BB">
        <w:rPr>
          <w:lang w:eastAsia="en-AU"/>
        </w:rPr>
        <w:t>.</w:t>
      </w:r>
    </w:p>
    <w:p w14:paraId="06C0A376" w14:textId="63329FC7" w:rsidR="009A7E41" w:rsidRDefault="009A7E41" w:rsidP="00354B01">
      <w:pPr>
        <w:spacing w:after="160" w:line="259" w:lineRule="auto"/>
      </w:pPr>
      <w:r>
        <w:br w:type="page"/>
      </w:r>
    </w:p>
    <w:p w14:paraId="650CB0B0" w14:textId="7E2C57D5" w:rsidR="00D04E7F" w:rsidRPr="00602824" w:rsidRDefault="00D04E7F" w:rsidP="00D04E7F">
      <w:pPr>
        <w:pStyle w:val="Caption"/>
      </w:pPr>
      <w:bookmarkStart w:id="7" w:name="_Ref201058721"/>
      <w:r w:rsidRPr="00602824">
        <w:t xml:space="preserve">Figure </w:t>
      </w:r>
      <w:r>
        <w:fldChar w:fldCharType="begin"/>
      </w:r>
      <w:r>
        <w:instrText xml:space="preserve"> SEQ Figure \* ARABIC </w:instrText>
      </w:r>
      <w:r>
        <w:fldChar w:fldCharType="separate"/>
      </w:r>
      <w:r w:rsidR="0092693A">
        <w:rPr>
          <w:noProof/>
        </w:rPr>
        <w:t>2</w:t>
      </w:r>
      <w:r>
        <w:fldChar w:fldCharType="end"/>
      </w:r>
      <w:bookmarkEnd w:id="7"/>
      <w:r w:rsidRPr="00602824">
        <w:t xml:space="preserve"> | Reform objectives and associated reform projects</w:t>
      </w:r>
    </w:p>
    <w:p w14:paraId="7E6FC40E" w14:textId="3C8E0BAF" w:rsidR="00D04E7F" w:rsidRDefault="00D04E7F" w:rsidP="00AC68AD">
      <w:r w:rsidRPr="00AC7E3F">
        <w:rPr>
          <w:noProof/>
        </w:rPr>
        <w:drawing>
          <wp:inline distT="0" distB="0" distL="0" distR="0" wp14:anchorId="306309A6" wp14:editId="6275ED4F">
            <wp:extent cx="5832000" cy="6467446"/>
            <wp:effectExtent l="0" t="0" r="0" b="0"/>
            <wp:docPr id="1901348855" name="Picture 1" descr="A diagram showing the reform objectives alongside the reform projects. Objective 1. Alignment of scheduled benefit reductions is connected to the Benefit reductions. Objective 2. Maintain no additional out-of-pocket costs is maintained through guardrails on benefit reductions. Objective 3. Maintain clinician choice is maintain baseline policy position. Objective 4. Affordability and value of PHI is achieved through objectives 1, 2 and 3. Objective 5. Purpose, definition and scope of the PL is connected to clarifying scope and definition in legislation, regrouping of the PL, and review general use items. Objective 6. PL assessment pathways is connected to modernised pathways and governance arrangements. Objective 7. PL listing reviews and PL compliance frameworks is connected to post-listing reviews and compliance activities. Objective 8. Financial sustainability is connected to cost recovery f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106230" name="Picture 1" descr="A diagram showing the reform objectives alongside the reform projects. Objective 1. Alignment of scheduled benefit reductions is connected to the Benefit reductions. Objective 2. Maintain no additional out-of-pocket costs is maintained through guardrails on benefit reductions. Objective 3. Maintain clinician choice is maintain baseline policy position. Objective 4. Affordability and value of PHI is achieved through objectives 1, 2 and 3. Objective 5. Purpose, definition and scope of the PL is connected to clarifying scope and definition in legislation, regrouping of the PL, and review general use items. Objective 6. PL assessment pathways is connected to modernised pathways and governance arrangements. Objective 7. PL listing reviews and PL compliance frameworks is connected to post-listing reviews and compliance activities. Objective 8. Financial sustainability is connected to cost recovery fees."/>
                    <pic:cNvPicPr/>
                  </pic:nvPicPr>
                  <pic:blipFill>
                    <a:blip r:embed="rId23"/>
                    <a:stretch>
                      <a:fillRect/>
                    </a:stretch>
                  </pic:blipFill>
                  <pic:spPr>
                    <a:xfrm>
                      <a:off x="0" y="0"/>
                      <a:ext cx="5832000" cy="6467446"/>
                    </a:xfrm>
                    <a:prstGeom prst="rect">
                      <a:avLst/>
                    </a:prstGeom>
                  </pic:spPr>
                </pic:pic>
              </a:graphicData>
            </a:graphic>
          </wp:inline>
        </w:drawing>
      </w:r>
    </w:p>
    <w:p w14:paraId="3BD9F62C" w14:textId="7BF75283" w:rsidR="008C4C4D" w:rsidRDefault="00C344E6" w:rsidP="00AC68AD">
      <w:r>
        <w:br w:type="page"/>
      </w:r>
    </w:p>
    <w:p w14:paraId="652EFCA1" w14:textId="77777777" w:rsidR="00C20C57" w:rsidRPr="00602824" w:rsidRDefault="00C20C57" w:rsidP="000D5CE3">
      <w:pPr>
        <w:sectPr w:rsidR="00C20C57" w:rsidRPr="00602824" w:rsidSect="00134FD6">
          <w:pgSz w:w="11907" w:h="16839" w:code="9"/>
          <w:pgMar w:top="1247" w:right="1361" w:bottom="1361" w:left="1361" w:header="720" w:footer="720" w:gutter="0"/>
          <w:pgNumType w:start="1"/>
          <w:cols w:space="720"/>
          <w:docGrid w:linePitch="360"/>
        </w:sectPr>
      </w:pPr>
    </w:p>
    <w:p w14:paraId="255FD707" w14:textId="2DEC8DBA" w:rsidR="00580898" w:rsidRPr="00602824" w:rsidRDefault="00066BBE" w:rsidP="00205FAD">
      <w:pPr>
        <w:pStyle w:val="Heading2"/>
        <w:numPr>
          <w:ilvl w:val="0"/>
          <w:numId w:val="0"/>
        </w:numPr>
        <w:spacing w:before="0"/>
      </w:pPr>
      <w:bookmarkStart w:id="8" w:name="_Toc237002800"/>
      <w:r>
        <w:t>Final</w:t>
      </w:r>
      <w:r w:rsidR="008E280C" w:rsidRPr="00602824">
        <w:t xml:space="preserve"> state of the reforms</w:t>
      </w:r>
      <w:bookmarkEnd w:id="8"/>
    </w:p>
    <w:p w14:paraId="7AC2C452" w14:textId="143B4373" w:rsidR="00B63325" w:rsidRPr="00B63325" w:rsidRDefault="00A77AD0" w:rsidP="003146C1">
      <w:pPr>
        <w:pStyle w:val="Caption"/>
      </w:pPr>
      <w:bookmarkStart w:id="9" w:name="_Ref159507697"/>
      <w:r w:rsidRPr="00602824">
        <w:t xml:space="preserve">Table </w:t>
      </w:r>
      <w:r w:rsidR="002604D0">
        <w:fldChar w:fldCharType="begin"/>
      </w:r>
      <w:r w:rsidR="002604D0">
        <w:instrText xml:space="preserve"> SEQ Table \* ARABIC </w:instrText>
      </w:r>
      <w:r w:rsidR="002604D0">
        <w:fldChar w:fldCharType="separate"/>
      </w:r>
      <w:r w:rsidR="0092693A">
        <w:rPr>
          <w:noProof/>
        </w:rPr>
        <w:t>1</w:t>
      </w:r>
      <w:r w:rsidR="002604D0">
        <w:fldChar w:fldCharType="end"/>
      </w:r>
      <w:bookmarkEnd w:id="9"/>
      <w:r w:rsidRPr="00602824">
        <w:t xml:space="preserve"> | Overview of reform objectives, their baseline position and </w:t>
      </w:r>
      <w:r w:rsidR="00300CAE">
        <w:t>the</w:t>
      </w:r>
      <w:r w:rsidR="00B96060">
        <w:t xml:space="preserve"> </w:t>
      </w:r>
      <w:r w:rsidR="00F9443A">
        <w:t xml:space="preserve">outcomes </w:t>
      </w:r>
      <w:r w:rsidR="00B96060">
        <w:t>achieved</w:t>
      </w:r>
    </w:p>
    <w:tbl>
      <w:tblPr>
        <w:tblStyle w:val="NOUS1"/>
        <w:tblW w:w="5000" w:type="pct"/>
        <w:tblCellMar>
          <w:top w:w="28" w:type="dxa"/>
          <w:bottom w:w="28" w:type="dxa"/>
        </w:tblCellMar>
        <w:tblLook w:val="04A0" w:firstRow="1" w:lastRow="0" w:firstColumn="1" w:lastColumn="0" w:noHBand="0" w:noVBand="1"/>
      </w:tblPr>
      <w:tblGrid>
        <w:gridCol w:w="1819"/>
        <w:gridCol w:w="1503"/>
        <w:gridCol w:w="1504"/>
        <w:gridCol w:w="1837"/>
        <w:gridCol w:w="2835"/>
        <w:gridCol w:w="4619"/>
      </w:tblGrid>
      <w:tr w:rsidR="007A57B1" w:rsidRPr="004440B3" w14:paraId="16F55DBE" w14:textId="77777777" w:rsidTr="00600141">
        <w:trPr>
          <w:cnfStyle w:val="100000000000" w:firstRow="1" w:lastRow="0" w:firstColumn="0" w:lastColumn="0" w:oddVBand="0" w:evenVBand="0" w:oddHBand="0" w:evenHBand="0" w:firstRowFirstColumn="0" w:firstRowLastColumn="0" w:lastRowFirstColumn="0" w:lastRowLastColumn="0"/>
        </w:trPr>
        <w:tc>
          <w:tcPr>
            <w:tcW w:w="1819" w:type="dxa"/>
            <w:tcBorders>
              <w:top w:val="single" w:sz="4" w:space="0" w:color="auto"/>
              <w:bottom w:val="single" w:sz="8" w:space="0" w:color="FFFFFF" w:themeColor="background1"/>
            </w:tcBorders>
            <w:shd w:val="clear" w:color="auto" w:fill="00264D" w:themeFill="background2"/>
          </w:tcPr>
          <w:p w14:paraId="5C96BDD5" w14:textId="77777777" w:rsidR="007A57B1" w:rsidRPr="00B63325" w:rsidRDefault="007A57B1" w:rsidP="00600141">
            <w:pPr>
              <w:pStyle w:val="TableNheader"/>
              <w:keepNext w:val="0"/>
              <w:keepLines/>
              <w:spacing w:line="240" w:lineRule="auto"/>
              <w:rPr>
                <w:color w:val="FFFFFF" w:themeColor="background1"/>
              </w:rPr>
            </w:pPr>
            <w:bookmarkStart w:id="10" w:name="_Ref202918173"/>
            <w:r w:rsidRPr="00B63325">
              <w:rPr>
                <w:color w:val="FFFFFF" w:themeColor="background1"/>
              </w:rPr>
              <w:t>Reform objective</w:t>
            </w:r>
          </w:p>
        </w:tc>
        <w:tc>
          <w:tcPr>
            <w:tcW w:w="1503" w:type="dxa"/>
            <w:tcBorders>
              <w:top w:val="single" w:sz="4" w:space="0" w:color="auto"/>
              <w:bottom w:val="single" w:sz="8" w:space="0" w:color="FFFFFF" w:themeColor="background1"/>
            </w:tcBorders>
            <w:shd w:val="clear" w:color="auto" w:fill="00264D" w:themeFill="background2"/>
          </w:tcPr>
          <w:p w14:paraId="1DFD8D8A" w14:textId="77777777" w:rsidR="007A57B1" w:rsidRPr="00B63325" w:rsidRDefault="007A57B1" w:rsidP="00600141">
            <w:pPr>
              <w:pStyle w:val="TableNheader"/>
              <w:keepNext w:val="0"/>
              <w:keepLines/>
              <w:spacing w:line="240" w:lineRule="auto"/>
              <w:rPr>
                <w:color w:val="FFFFFF" w:themeColor="background1"/>
              </w:rPr>
            </w:pPr>
            <w:r w:rsidRPr="00B63325">
              <w:rPr>
                <w:color w:val="FFFFFF" w:themeColor="background1"/>
              </w:rPr>
              <w:t>Baseline state</w:t>
            </w:r>
          </w:p>
        </w:tc>
        <w:tc>
          <w:tcPr>
            <w:tcW w:w="1504" w:type="dxa"/>
            <w:tcBorders>
              <w:top w:val="single" w:sz="4" w:space="0" w:color="auto"/>
              <w:bottom w:val="single" w:sz="8" w:space="0" w:color="FFFFFF" w:themeColor="background1"/>
            </w:tcBorders>
            <w:shd w:val="clear" w:color="auto" w:fill="00264D" w:themeFill="background2"/>
          </w:tcPr>
          <w:p w14:paraId="232BB5F6" w14:textId="77777777" w:rsidR="007A57B1" w:rsidRPr="00B63325" w:rsidRDefault="007A57B1" w:rsidP="00600141">
            <w:pPr>
              <w:pStyle w:val="TableNheader"/>
              <w:keepNext w:val="0"/>
              <w:keepLines/>
              <w:spacing w:line="240" w:lineRule="auto"/>
              <w:rPr>
                <w:color w:val="FFFFFF" w:themeColor="background1"/>
              </w:rPr>
            </w:pPr>
            <w:r w:rsidRPr="00B63325">
              <w:rPr>
                <w:color w:val="FFFFFF" w:themeColor="background1"/>
              </w:rPr>
              <w:t>Rationale for objective</w:t>
            </w:r>
          </w:p>
        </w:tc>
        <w:tc>
          <w:tcPr>
            <w:tcW w:w="1837" w:type="dxa"/>
            <w:tcBorders>
              <w:top w:val="single" w:sz="4" w:space="0" w:color="auto"/>
              <w:bottom w:val="single" w:sz="8" w:space="0" w:color="FFFFFF" w:themeColor="background1"/>
            </w:tcBorders>
            <w:shd w:val="clear" w:color="auto" w:fill="00264D" w:themeFill="background2"/>
          </w:tcPr>
          <w:p w14:paraId="5EF05523" w14:textId="77777777" w:rsidR="007A57B1" w:rsidRPr="00B63325" w:rsidRDefault="007A57B1" w:rsidP="00600141">
            <w:pPr>
              <w:pStyle w:val="TableNheader"/>
              <w:keepNext w:val="0"/>
              <w:keepLines/>
              <w:spacing w:line="240" w:lineRule="auto"/>
              <w:rPr>
                <w:color w:val="FFFFFF" w:themeColor="background1"/>
              </w:rPr>
            </w:pPr>
            <w:r>
              <w:rPr>
                <w:color w:val="FFFFFF" w:themeColor="background1"/>
              </w:rPr>
              <w:t>Reform project</w:t>
            </w:r>
          </w:p>
        </w:tc>
        <w:tc>
          <w:tcPr>
            <w:tcW w:w="2835" w:type="dxa"/>
            <w:tcBorders>
              <w:top w:val="single" w:sz="4" w:space="0" w:color="auto"/>
              <w:bottom w:val="single" w:sz="8" w:space="0" w:color="FFFFFF" w:themeColor="background1"/>
            </w:tcBorders>
            <w:shd w:val="clear" w:color="auto" w:fill="00264D" w:themeFill="background2"/>
          </w:tcPr>
          <w:p w14:paraId="44FF1773" w14:textId="77777777" w:rsidR="007A57B1" w:rsidRPr="00B63325" w:rsidRDefault="007A57B1" w:rsidP="00600141">
            <w:pPr>
              <w:pStyle w:val="TableNheader"/>
              <w:keepNext w:val="0"/>
              <w:keepLines/>
              <w:spacing w:line="240" w:lineRule="auto"/>
              <w:rPr>
                <w:color w:val="FFFFFF" w:themeColor="background1"/>
              </w:rPr>
            </w:pPr>
            <w:r>
              <w:rPr>
                <w:color w:val="FFFFFF" w:themeColor="background1"/>
              </w:rPr>
              <w:t>Implementation of reform project</w:t>
            </w:r>
          </w:p>
        </w:tc>
        <w:tc>
          <w:tcPr>
            <w:tcW w:w="4619" w:type="dxa"/>
            <w:tcBorders>
              <w:top w:val="single" w:sz="4" w:space="0" w:color="auto"/>
              <w:bottom w:val="single" w:sz="8" w:space="0" w:color="FFFFFF" w:themeColor="background1"/>
            </w:tcBorders>
            <w:shd w:val="clear" w:color="auto" w:fill="00264D" w:themeFill="background2"/>
          </w:tcPr>
          <w:p w14:paraId="09337AA9" w14:textId="77777777" w:rsidR="007A57B1" w:rsidRPr="00B63325" w:rsidRDefault="007A57B1" w:rsidP="00600141">
            <w:pPr>
              <w:pStyle w:val="TableNheader"/>
              <w:keepNext w:val="0"/>
              <w:keepLines/>
              <w:spacing w:line="240" w:lineRule="auto"/>
              <w:rPr>
                <w:color w:val="FFFFFF" w:themeColor="background1"/>
              </w:rPr>
            </w:pPr>
            <w:r w:rsidRPr="00B63325">
              <w:rPr>
                <w:color w:val="FFFFFF" w:themeColor="background1"/>
              </w:rPr>
              <w:t>Outcome</w:t>
            </w:r>
            <w:r>
              <w:rPr>
                <w:color w:val="FFFFFF" w:themeColor="background1"/>
              </w:rPr>
              <w:t>s achieved</w:t>
            </w:r>
          </w:p>
        </w:tc>
      </w:tr>
      <w:tr w:rsidR="007A57B1" w:rsidRPr="004440B3" w14:paraId="2F692AE4" w14:textId="77777777" w:rsidTr="00600141">
        <w:tc>
          <w:tcPr>
            <w:tcW w:w="1819" w:type="dxa"/>
            <w:tcBorders>
              <w:top w:val="single" w:sz="8" w:space="0" w:color="FFFFFF" w:themeColor="background1"/>
              <w:bottom w:val="single" w:sz="8" w:space="0" w:color="FFFFFF" w:themeColor="background1"/>
            </w:tcBorders>
            <w:shd w:val="clear" w:color="auto" w:fill="12365A"/>
          </w:tcPr>
          <w:p w14:paraId="5E1A0C47" w14:textId="77777777" w:rsidR="007A57B1" w:rsidRPr="00602824" w:rsidRDefault="007A57B1" w:rsidP="00600141">
            <w:pPr>
              <w:pStyle w:val="TableNText"/>
              <w:keepNext w:val="0"/>
              <w:keepLines/>
              <w:spacing w:line="240" w:lineRule="auto"/>
              <w:rPr>
                <w:rFonts w:asciiTheme="majorHAnsi" w:hAnsiTheme="majorHAnsi" w:cstheme="majorHAnsi"/>
              </w:rPr>
            </w:pPr>
            <w:r w:rsidRPr="00602824">
              <w:rPr>
                <w:rFonts w:asciiTheme="majorHAnsi" w:hAnsiTheme="majorHAnsi" w:cstheme="majorHAnsi"/>
              </w:rPr>
              <w:t>1. Improve the alignment of the scheduled benefits of the PL with the prices paid in more competitive markets</w:t>
            </w:r>
          </w:p>
        </w:tc>
        <w:tc>
          <w:tcPr>
            <w:tcW w:w="1503" w:type="dxa"/>
            <w:tcBorders>
              <w:top w:val="single" w:sz="8" w:space="0" w:color="FFFFFF" w:themeColor="background1"/>
              <w:bottom w:val="single" w:sz="8" w:space="0" w:color="D9D9D9" w:themeColor="background1" w:themeShade="D9"/>
            </w:tcBorders>
            <w:shd w:val="clear" w:color="auto" w:fill="FFFFFF" w:themeFill="background1"/>
          </w:tcPr>
          <w:p w14:paraId="00938D24" w14:textId="36930589" w:rsidR="007A57B1" w:rsidRPr="00354B01" w:rsidRDefault="007A57B1" w:rsidP="00354B01">
            <w:pPr>
              <w:pStyle w:val="TableNText"/>
              <w:keepNext w:val="0"/>
              <w:keepLines/>
              <w:spacing w:line="240" w:lineRule="auto"/>
            </w:pPr>
            <w:r w:rsidRPr="00602824">
              <w:t>PL benefits are significantly higher than prices in comparable markets.</w:t>
            </w:r>
          </w:p>
        </w:tc>
        <w:tc>
          <w:tcPr>
            <w:tcW w:w="1504" w:type="dxa"/>
            <w:tcBorders>
              <w:top w:val="single" w:sz="8" w:space="0" w:color="FFFFFF" w:themeColor="background1"/>
              <w:bottom w:val="single" w:sz="8" w:space="0" w:color="D9D9D9" w:themeColor="background1" w:themeShade="D9"/>
            </w:tcBorders>
            <w:shd w:val="clear" w:color="auto" w:fill="FFFFFF" w:themeFill="background1"/>
          </w:tcPr>
          <w:p w14:paraId="379A44BE" w14:textId="77777777" w:rsidR="007A57B1" w:rsidRPr="00602824" w:rsidRDefault="007A57B1" w:rsidP="00600141">
            <w:pPr>
              <w:pStyle w:val="TableNText"/>
              <w:keepNext w:val="0"/>
              <w:keepLines/>
              <w:spacing w:line="240" w:lineRule="auto"/>
            </w:pPr>
            <w:r w:rsidRPr="00602824">
              <w:t>High PL benefits contribute to PHI costs and issues of affordability.</w:t>
            </w:r>
          </w:p>
        </w:tc>
        <w:tc>
          <w:tcPr>
            <w:tcW w:w="1837" w:type="dxa"/>
            <w:tcBorders>
              <w:top w:val="single" w:sz="8" w:space="0" w:color="FFFFFF" w:themeColor="background1"/>
              <w:bottom w:val="single" w:sz="8" w:space="0" w:color="FFFFFF" w:themeColor="background1"/>
            </w:tcBorders>
            <w:shd w:val="clear" w:color="auto" w:fill="F2F2F2" w:themeFill="background1" w:themeFillShade="F2"/>
          </w:tcPr>
          <w:p w14:paraId="344BFC60" w14:textId="77777777" w:rsidR="007A57B1" w:rsidRPr="00517A2D" w:rsidRDefault="007A57B1" w:rsidP="00600141">
            <w:pPr>
              <w:pStyle w:val="TableNText"/>
              <w:keepNext w:val="0"/>
              <w:keepLines/>
              <w:spacing w:line="240" w:lineRule="auto"/>
              <w:rPr>
                <w:rFonts w:asciiTheme="majorHAnsi" w:hAnsiTheme="majorHAnsi" w:cstheme="majorHAnsi"/>
              </w:rPr>
            </w:pPr>
            <w:r w:rsidRPr="00517A2D">
              <w:rPr>
                <w:rFonts w:asciiTheme="majorHAnsi" w:hAnsiTheme="majorHAnsi" w:cstheme="majorHAnsi"/>
                <w:color w:val="00264D" w:themeColor="background2"/>
              </w:rPr>
              <w:t>PL benefits to be reduced incrementally over reform period in reference to IHACPA’s public benchmark prices (by 80% of the gap or within a 7% floor for most items).</w:t>
            </w:r>
          </w:p>
        </w:tc>
        <w:tc>
          <w:tcPr>
            <w:tcW w:w="2835" w:type="dxa"/>
            <w:tcBorders>
              <w:top w:val="single" w:sz="8" w:space="0" w:color="FFFFFF" w:themeColor="background1"/>
              <w:bottom w:val="single" w:sz="8" w:space="0" w:color="FFFFFF" w:themeColor="background1"/>
            </w:tcBorders>
            <w:shd w:val="clear" w:color="auto" w:fill="F2F2F2" w:themeFill="background1" w:themeFillShade="F2"/>
          </w:tcPr>
          <w:p w14:paraId="621DBB86" w14:textId="77777777" w:rsidR="007A57B1" w:rsidRDefault="007A57B1">
            <w:pPr>
              <w:pStyle w:val="TableNBullet"/>
              <w:numPr>
                <w:ilvl w:val="0"/>
                <w:numId w:val="3"/>
              </w:numPr>
              <w:spacing w:before="60" w:after="60"/>
            </w:pPr>
            <w:r w:rsidRPr="00E60B31">
              <w:t>Benefits were successfully reduced across eligible sections of the PL</w:t>
            </w:r>
            <w:r>
              <w:t>.</w:t>
            </w:r>
          </w:p>
          <w:p w14:paraId="29AFFCEA" w14:textId="77777777" w:rsidR="007A57B1" w:rsidRPr="004D3366" w:rsidRDefault="007A57B1">
            <w:pPr>
              <w:pStyle w:val="TableNBullet"/>
              <w:numPr>
                <w:ilvl w:val="0"/>
                <w:numId w:val="3"/>
              </w:numPr>
              <w:spacing w:before="60" w:after="60"/>
            </w:pPr>
            <w:r w:rsidRPr="00E60B31">
              <w:t>CIED reductions were completed for the device component only, with future funding arrangements for technical support services still unresolved.</w:t>
            </w:r>
          </w:p>
        </w:tc>
        <w:tc>
          <w:tcPr>
            <w:tcW w:w="4619" w:type="dxa"/>
            <w:tcBorders>
              <w:top w:val="single" w:sz="8" w:space="0" w:color="FFFFFF" w:themeColor="background1"/>
              <w:bottom w:val="single" w:sz="8" w:space="0" w:color="FFFFFF" w:themeColor="background1"/>
            </w:tcBorders>
            <w:shd w:val="clear" w:color="auto" w:fill="E6E6E1" w:themeFill="accent5"/>
          </w:tcPr>
          <w:p w14:paraId="5F8672CD" w14:textId="77777777" w:rsidR="007A57B1" w:rsidRDefault="007A57B1">
            <w:pPr>
              <w:pStyle w:val="TableNBullet"/>
              <w:numPr>
                <w:ilvl w:val="0"/>
                <w:numId w:val="3"/>
              </w:numPr>
            </w:pPr>
            <w:r w:rsidRPr="00EC24C0">
              <w:t>Benefit</w:t>
            </w:r>
            <w:r>
              <w:t xml:space="preserve"> reductions</w:t>
            </w:r>
            <w:r w:rsidRPr="00EC24C0">
              <w:t xml:space="preserve"> materially improv</w:t>
            </w:r>
            <w:r>
              <w:t>ed</w:t>
            </w:r>
            <w:r w:rsidRPr="00EC24C0">
              <w:t xml:space="preserve"> alignment with Australian public hospital benchmark prices.</w:t>
            </w:r>
          </w:p>
          <w:p w14:paraId="43EEFB7D" w14:textId="77777777" w:rsidR="007A57B1" w:rsidRDefault="007A57B1">
            <w:pPr>
              <w:pStyle w:val="TableNBullet"/>
              <w:numPr>
                <w:ilvl w:val="0"/>
                <w:numId w:val="3"/>
              </w:numPr>
            </w:pPr>
            <w:r w:rsidRPr="00EC24C0">
              <w:t>For items subject to reductions, the median gap above public benchmark prices decreased from $177 to $35.</w:t>
            </w:r>
          </w:p>
          <w:p w14:paraId="4232BC28" w14:textId="77777777" w:rsidR="007A57B1" w:rsidRPr="00602824" w:rsidRDefault="007A57B1">
            <w:pPr>
              <w:pStyle w:val="TableNBullet"/>
              <w:numPr>
                <w:ilvl w:val="0"/>
                <w:numId w:val="3"/>
              </w:numPr>
            </w:pPr>
            <w:r w:rsidRPr="00EC24C0">
              <w:t xml:space="preserve">Case studies comparing PL benefits with prices in New Zealand and France show </w:t>
            </w:r>
            <w:r>
              <w:t>an improvement in</w:t>
            </w:r>
            <w:r w:rsidRPr="00EC24C0">
              <w:t xml:space="preserve"> alignment with international markets, although material gaps remain for some products.</w:t>
            </w:r>
          </w:p>
        </w:tc>
      </w:tr>
      <w:tr w:rsidR="007A57B1" w:rsidRPr="004440B3" w14:paraId="00F12827" w14:textId="77777777" w:rsidTr="00600141">
        <w:tc>
          <w:tcPr>
            <w:tcW w:w="1819" w:type="dxa"/>
            <w:tcBorders>
              <w:top w:val="single" w:sz="8" w:space="0" w:color="FFFFFF" w:themeColor="background1"/>
              <w:bottom w:val="single" w:sz="8" w:space="0" w:color="FFFFFF" w:themeColor="background1"/>
            </w:tcBorders>
            <w:shd w:val="clear" w:color="auto" w:fill="12365A"/>
          </w:tcPr>
          <w:p w14:paraId="709F36EE" w14:textId="77777777" w:rsidR="007A57B1" w:rsidRPr="00602824" w:rsidRDefault="007A57B1" w:rsidP="00600141">
            <w:pPr>
              <w:pStyle w:val="TableNText"/>
              <w:keepNext w:val="0"/>
              <w:keepLines/>
              <w:spacing w:line="240" w:lineRule="auto"/>
              <w:rPr>
                <w:rFonts w:asciiTheme="majorHAnsi" w:hAnsiTheme="majorHAnsi" w:cstheme="majorBidi"/>
              </w:rPr>
            </w:pPr>
            <w:r w:rsidRPr="00602824">
              <w:rPr>
                <w:rFonts w:asciiTheme="majorHAnsi" w:hAnsiTheme="majorHAnsi" w:cstheme="majorBidi"/>
              </w:rPr>
              <w:t>2. Maintain no additional out-of-pocket costs associated with the PL devices for consumers</w:t>
            </w:r>
          </w:p>
        </w:tc>
        <w:tc>
          <w:tcPr>
            <w:tcW w:w="1503" w:type="dxa"/>
            <w:tcBorders>
              <w:top w:val="single" w:sz="8" w:space="0" w:color="D9D9D9" w:themeColor="background1" w:themeShade="D9"/>
              <w:bottom w:val="single" w:sz="8" w:space="0" w:color="D9D9D9" w:themeColor="background1" w:themeShade="D9"/>
            </w:tcBorders>
            <w:shd w:val="clear" w:color="auto" w:fill="FFFFFF" w:themeFill="background1"/>
          </w:tcPr>
          <w:p w14:paraId="270B3AF4" w14:textId="77777777" w:rsidR="007A57B1" w:rsidRPr="00602824" w:rsidRDefault="007A57B1" w:rsidP="00600141">
            <w:pPr>
              <w:pStyle w:val="TableNText"/>
              <w:keepNext w:val="0"/>
              <w:keepLines/>
              <w:spacing w:line="240" w:lineRule="auto"/>
            </w:pPr>
            <w:r w:rsidRPr="00602824">
              <w:t>Out-of-pocket costs for devices are charged in &lt;1% of episodes.</w:t>
            </w:r>
          </w:p>
        </w:tc>
        <w:tc>
          <w:tcPr>
            <w:tcW w:w="1504" w:type="dxa"/>
            <w:tcBorders>
              <w:top w:val="single" w:sz="8" w:space="0" w:color="D9D9D9" w:themeColor="background1" w:themeShade="D9"/>
              <w:bottom w:val="single" w:sz="8" w:space="0" w:color="D9D9D9" w:themeColor="background1" w:themeShade="D9"/>
            </w:tcBorders>
            <w:shd w:val="clear" w:color="auto" w:fill="FFFFFF" w:themeFill="background1"/>
          </w:tcPr>
          <w:p w14:paraId="74E16B18" w14:textId="77777777" w:rsidR="007A57B1" w:rsidRPr="00602824" w:rsidRDefault="007A57B1" w:rsidP="00600141">
            <w:pPr>
              <w:pStyle w:val="TableNText"/>
              <w:keepNext w:val="0"/>
              <w:keepLines/>
              <w:spacing w:line="240" w:lineRule="auto"/>
            </w:pPr>
            <w:r w:rsidRPr="00602824">
              <w:t>Minimising out-of-pocket expenses is important for maintaining access to devices.</w:t>
            </w:r>
          </w:p>
        </w:tc>
        <w:tc>
          <w:tcPr>
            <w:tcW w:w="1837" w:type="dxa"/>
            <w:tcBorders>
              <w:top w:val="single" w:sz="8" w:space="0" w:color="FFFFFF" w:themeColor="background1"/>
              <w:bottom w:val="single" w:sz="8" w:space="0" w:color="FFFFFF" w:themeColor="background1"/>
            </w:tcBorders>
            <w:shd w:val="clear" w:color="auto" w:fill="F2F2F2" w:themeFill="background1" w:themeFillShade="F2"/>
          </w:tcPr>
          <w:p w14:paraId="06D66A5D" w14:textId="77777777" w:rsidR="007A57B1" w:rsidRPr="006C39B2" w:rsidRDefault="007A57B1" w:rsidP="00600141">
            <w:pPr>
              <w:pStyle w:val="TableNText"/>
              <w:keepNext w:val="0"/>
              <w:keepLines/>
              <w:spacing w:line="240" w:lineRule="auto"/>
              <w:rPr>
                <w:rFonts w:asciiTheme="majorHAnsi" w:hAnsiTheme="majorHAnsi" w:cstheme="majorHAnsi"/>
                <w:color w:val="00264D" w:themeColor="background2"/>
              </w:rPr>
            </w:pPr>
            <w:r w:rsidRPr="006C39B2">
              <w:rPr>
                <w:rFonts w:asciiTheme="majorHAnsi" w:hAnsiTheme="majorHAnsi" w:cstheme="majorHAnsi"/>
                <w:color w:val="00264D" w:themeColor="background2"/>
              </w:rPr>
              <w:t>Maintaining minimal out-of-pocket costs establishes guardrails for the benefit reduction exercise and other policy decisions.</w:t>
            </w:r>
          </w:p>
        </w:tc>
        <w:tc>
          <w:tcPr>
            <w:tcW w:w="2835" w:type="dxa"/>
            <w:tcBorders>
              <w:top w:val="single" w:sz="8" w:space="0" w:color="FFFFFF" w:themeColor="background1"/>
              <w:bottom w:val="single" w:sz="8" w:space="0" w:color="FFFFFF" w:themeColor="background1"/>
            </w:tcBorders>
            <w:shd w:val="clear" w:color="auto" w:fill="F2F2F2" w:themeFill="background1" w:themeFillShade="F2"/>
          </w:tcPr>
          <w:p w14:paraId="6ABB21F6" w14:textId="77777777" w:rsidR="007A57B1" w:rsidRPr="00602824" w:rsidRDefault="007A57B1">
            <w:pPr>
              <w:pStyle w:val="TableNBullet"/>
              <w:numPr>
                <w:ilvl w:val="0"/>
                <w:numId w:val="3"/>
              </w:numPr>
              <w:spacing w:before="60" w:after="60"/>
            </w:pPr>
            <w:r>
              <w:t>The policy settings supporting minimal out-of-pocket costs associated with PL devices were maintained.</w:t>
            </w:r>
          </w:p>
        </w:tc>
        <w:tc>
          <w:tcPr>
            <w:tcW w:w="4619" w:type="dxa"/>
            <w:tcBorders>
              <w:top w:val="single" w:sz="8" w:space="0" w:color="FFFFFF" w:themeColor="background1"/>
              <w:bottom w:val="single" w:sz="8" w:space="0" w:color="FFFFFF" w:themeColor="background1"/>
            </w:tcBorders>
            <w:shd w:val="clear" w:color="auto" w:fill="E6E6E1" w:themeFill="accent5"/>
          </w:tcPr>
          <w:p w14:paraId="2812D2B4" w14:textId="77777777" w:rsidR="007A57B1" w:rsidRDefault="007A57B1">
            <w:pPr>
              <w:pStyle w:val="TableNBullet"/>
              <w:numPr>
                <w:ilvl w:val="0"/>
                <w:numId w:val="3"/>
              </w:numPr>
            </w:pPr>
            <w:r>
              <w:t>Out-of-pocket costs for PL items remained rare at the conclusion of the reforms, with gap payments occurring in less than 1% of episodes across most PL categories.</w:t>
            </w:r>
          </w:p>
          <w:p w14:paraId="752A124A" w14:textId="77777777" w:rsidR="007A57B1" w:rsidRDefault="007A57B1">
            <w:pPr>
              <w:pStyle w:val="TableNBullet"/>
              <w:numPr>
                <w:ilvl w:val="0"/>
                <w:numId w:val="3"/>
              </w:numPr>
            </w:pPr>
            <w:r>
              <w:t>The evaluation did not identify clear aggregate evidence that the reforms increased consumer out-of-pocket costs.</w:t>
            </w:r>
          </w:p>
          <w:p w14:paraId="6A0C84FC" w14:textId="77777777" w:rsidR="007A57B1" w:rsidRDefault="007A57B1">
            <w:pPr>
              <w:pStyle w:val="TableNBullet"/>
              <w:numPr>
                <w:ilvl w:val="0"/>
                <w:numId w:val="3"/>
              </w:numPr>
            </w:pPr>
            <w:r>
              <w:t>Some stakeholders reported isolated instances of financial pressure and potential cost-shifting, particularly where supplier prices exceed PL benefits.</w:t>
            </w:r>
          </w:p>
          <w:p w14:paraId="7D56AB28" w14:textId="77777777" w:rsidR="007A57B1" w:rsidRPr="00E632AB" w:rsidRDefault="007A57B1">
            <w:pPr>
              <w:pStyle w:val="TableNBullet"/>
              <w:numPr>
                <w:ilvl w:val="0"/>
                <w:numId w:val="3"/>
              </w:numPr>
            </w:pPr>
            <w:r>
              <w:t>Overall, the PL continued to largely meet its objective of minimising consumer out-of-pocket costs for listed devices throughout the reforms.</w:t>
            </w:r>
          </w:p>
        </w:tc>
      </w:tr>
      <w:tr w:rsidR="007A57B1" w:rsidRPr="004440B3" w14:paraId="175C16DC" w14:textId="77777777" w:rsidTr="00600141">
        <w:tc>
          <w:tcPr>
            <w:tcW w:w="1819" w:type="dxa"/>
            <w:tcBorders>
              <w:top w:val="single" w:sz="8" w:space="0" w:color="FFFFFF" w:themeColor="background1"/>
              <w:bottom w:val="single" w:sz="12" w:space="0" w:color="FFFFFF" w:themeColor="background1"/>
            </w:tcBorders>
            <w:shd w:val="clear" w:color="auto" w:fill="12365A"/>
          </w:tcPr>
          <w:p w14:paraId="3E9E1525" w14:textId="77777777" w:rsidR="007A57B1" w:rsidRPr="00602824" w:rsidRDefault="007A57B1" w:rsidP="00600141">
            <w:pPr>
              <w:pStyle w:val="TableNText"/>
              <w:keepNext w:val="0"/>
              <w:keepLines/>
              <w:spacing w:line="240" w:lineRule="auto"/>
              <w:rPr>
                <w:rFonts w:asciiTheme="majorHAnsi" w:hAnsiTheme="majorHAnsi" w:cstheme="majorBidi"/>
              </w:rPr>
            </w:pPr>
            <w:r w:rsidRPr="00602824">
              <w:rPr>
                <w:rFonts w:asciiTheme="majorHAnsi" w:hAnsiTheme="majorHAnsi" w:cstheme="majorBidi"/>
              </w:rPr>
              <w:t>3. Maintain clinician choice of appropriate prostheses for their patients</w:t>
            </w:r>
          </w:p>
        </w:tc>
        <w:tc>
          <w:tcPr>
            <w:tcW w:w="1503" w:type="dxa"/>
            <w:tcBorders>
              <w:top w:val="single" w:sz="8" w:space="0" w:color="D9D9D9" w:themeColor="background1" w:themeShade="D9"/>
              <w:bottom w:val="single" w:sz="8" w:space="0" w:color="D9D9D9" w:themeColor="background1" w:themeShade="D9"/>
            </w:tcBorders>
            <w:shd w:val="clear" w:color="auto" w:fill="FFFFFF" w:themeFill="background1"/>
          </w:tcPr>
          <w:p w14:paraId="519DF007" w14:textId="77777777" w:rsidR="007A57B1" w:rsidRDefault="007A57B1" w:rsidP="00600141">
            <w:pPr>
              <w:pStyle w:val="TableNText"/>
              <w:keepNext w:val="0"/>
              <w:keepLines/>
              <w:spacing w:line="240" w:lineRule="auto"/>
            </w:pPr>
            <w:r w:rsidRPr="00602824">
              <w:t>Clinicians have a choice of PL-listed items.</w:t>
            </w:r>
          </w:p>
          <w:p w14:paraId="330E1BB4" w14:textId="77777777" w:rsidR="007A57B1" w:rsidRPr="00602824" w:rsidRDefault="007A57B1" w:rsidP="00600141">
            <w:pPr>
              <w:pStyle w:val="TableNText"/>
              <w:keepNext w:val="0"/>
              <w:keepLines/>
              <w:spacing w:line="240" w:lineRule="auto"/>
            </w:pPr>
          </w:p>
        </w:tc>
        <w:tc>
          <w:tcPr>
            <w:tcW w:w="1504" w:type="dxa"/>
            <w:tcBorders>
              <w:top w:val="single" w:sz="8" w:space="0" w:color="D9D9D9" w:themeColor="background1" w:themeShade="D9"/>
              <w:bottom w:val="single" w:sz="8" w:space="0" w:color="D9D9D9" w:themeColor="background1" w:themeShade="D9"/>
            </w:tcBorders>
            <w:shd w:val="clear" w:color="auto" w:fill="FFFFFF" w:themeFill="background1"/>
          </w:tcPr>
          <w:p w14:paraId="3F499617" w14:textId="77777777" w:rsidR="007A57B1" w:rsidRPr="00602824" w:rsidRDefault="007A57B1" w:rsidP="00600141">
            <w:pPr>
              <w:pStyle w:val="TableNText"/>
              <w:keepNext w:val="0"/>
              <w:keepLines/>
              <w:spacing w:line="240" w:lineRule="auto"/>
            </w:pPr>
            <w:r w:rsidRPr="00602824">
              <w:t>Ensuring clinician choice is a core principle of the PL design.</w:t>
            </w:r>
          </w:p>
        </w:tc>
        <w:tc>
          <w:tcPr>
            <w:tcW w:w="1837" w:type="dxa"/>
            <w:tcBorders>
              <w:top w:val="single" w:sz="8" w:space="0" w:color="FFFFFF" w:themeColor="background1"/>
              <w:bottom w:val="single" w:sz="12" w:space="0" w:color="FFFFFF" w:themeColor="background1"/>
            </w:tcBorders>
            <w:shd w:val="clear" w:color="auto" w:fill="F2F2F2" w:themeFill="background1" w:themeFillShade="F2"/>
          </w:tcPr>
          <w:p w14:paraId="050FD80F" w14:textId="77777777" w:rsidR="007A57B1" w:rsidRPr="006C39B2" w:rsidRDefault="007A57B1" w:rsidP="00600141">
            <w:pPr>
              <w:pStyle w:val="TableNText"/>
              <w:keepNext w:val="0"/>
              <w:keepLines/>
              <w:spacing w:line="240" w:lineRule="auto"/>
              <w:rPr>
                <w:rFonts w:asciiTheme="majorHAnsi" w:hAnsiTheme="majorHAnsi" w:cstheme="majorHAnsi"/>
                <w:color w:val="00264D" w:themeColor="background2"/>
              </w:rPr>
            </w:pPr>
            <w:r w:rsidRPr="006C39B2">
              <w:rPr>
                <w:rFonts w:asciiTheme="majorHAnsi" w:hAnsiTheme="majorHAnsi" w:cstheme="majorHAnsi"/>
                <w:color w:val="00264D" w:themeColor="background2"/>
              </w:rPr>
              <w:t xml:space="preserve">Maintain policy position enabling clinician choice of appropriate </w:t>
            </w:r>
            <w:r>
              <w:rPr>
                <w:rFonts w:asciiTheme="majorHAnsi" w:hAnsiTheme="majorHAnsi" w:cstheme="majorHAnsi"/>
                <w:color w:val="00264D" w:themeColor="background2"/>
              </w:rPr>
              <w:t>devices</w:t>
            </w:r>
            <w:r w:rsidRPr="006C39B2">
              <w:rPr>
                <w:rFonts w:asciiTheme="majorHAnsi" w:hAnsiTheme="majorHAnsi" w:cstheme="majorHAnsi"/>
                <w:color w:val="00264D" w:themeColor="background2"/>
              </w:rPr>
              <w:t>.</w:t>
            </w:r>
          </w:p>
        </w:tc>
        <w:tc>
          <w:tcPr>
            <w:tcW w:w="2835" w:type="dxa"/>
            <w:tcBorders>
              <w:top w:val="single" w:sz="8" w:space="0" w:color="FFFFFF" w:themeColor="background1"/>
              <w:bottom w:val="single" w:sz="12" w:space="0" w:color="FFFFFF" w:themeColor="background1"/>
            </w:tcBorders>
            <w:shd w:val="clear" w:color="auto" w:fill="F2F2F2" w:themeFill="background1" w:themeFillShade="F2"/>
          </w:tcPr>
          <w:p w14:paraId="4BE079E9" w14:textId="77777777" w:rsidR="007A57B1" w:rsidRPr="00354B01" w:rsidRDefault="007A57B1" w:rsidP="00354B01">
            <w:pPr>
              <w:pStyle w:val="TableNBullet"/>
            </w:pPr>
            <w:r w:rsidRPr="00354B01">
              <w:t>The policy settings supporting clinician choice were maintained throughout the reforms.</w:t>
            </w:r>
          </w:p>
        </w:tc>
        <w:tc>
          <w:tcPr>
            <w:tcW w:w="4619" w:type="dxa"/>
            <w:tcBorders>
              <w:top w:val="single" w:sz="8" w:space="0" w:color="FFFFFF" w:themeColor="background1"/>
              <w:bottom w:val="single" w:sz="12" w:space="0" w:color="FFFFFF" w:themeColor="background1"/>
            </w:tcBorders>
            <w:shd w:val="clear" w:color="auto" w:fill="E6E6E1" w:themeFill="accent5"/>
          </w:tcPr>
          <w:p w14:paraId="7DB1BDE7" w14:textId="77777777" w:rsidR="007A57B1" w:rsidRPr="00354B01" w:rsidRDefault="007A57B1" w:rsidP="00354B01">
            <w:pPr>
              <w:pStyle w:val="TableNBullet"/>
            </w:pPr>
            <w:r w:rsidRPr="00354B01">
              <w:t>The reforms did not have a systematic impact on clinician choice of PL-listed devices.</w:t>
            </w:r>
          </w:p>
          <w:p w14:paraId="26CF3417" w14:textId="77777777" w:rsidR="007A57B1" w:rsidRPr="00354B01" w:rsidRDefault="007A57B1" w:rsidP="00354B01">
            <w:pPr>
              <w:pStyle w:val="TableNBullet"/>
            </w:pPr>
            <w:r w:rsidRPr="00354B01">
              <w:t>Some stakeholders reported isolated or emerging constraints, particularly for high-cost or more advanced technologies.</w:t>
            </w:r>
          </w:p>
          <w:p w14:paraId="760E22DB" w14:textId="77777777" w:rsidR="007A57B1" w:rsidRPr="00354B01" w:rsidRDefault="007A57B1" w:rsidP="00354B01">
            <w:pPr>
              <w:pStyle w:val="TableNBullet"/>
            </w:pPr>
            <w:r w:rsidRPr="00354B01">
              <w:t xml:space="preserve">Conditions placed on surgical guides and </w:t>
            </w:r>
            <w:proofErr w:type="spellStart"/>
            <w:r w:rsidRPr="00354B01">
              <w:t>biomodels</w:t>
            </w:r>
            <w:proofErr w:type="spellEnd"/>
            <w:r w:rsidRPr="00354B01">
              <w:t xml:space="preserve"> have raised specific concerns for some clinicians.</w:t>
            </w:r>
          </w:p>
        </w:tc>
      </w:tr>
      <w:tr w:rsidR="007A57B1" w:rsidRPr="004440B3" w14:paraId="52D22919" w14:textId="77777777" w:rsidTr="00FC598D">
        <w:tc>
          <w:tcPr>
            <w:tcW w:w="1819" w:type="dxa"/>
            <w:tcBorders>
              <w:top w:val="single" w:sz="12" w:space="0" w:color="FFFFFF" w:themeColor="background1"/>
            </w:tcBorders>
            <w:shd w:val="clear" w:color="auto" w:fill="12365A"/>
          </w:tcPr>
          <w:p w14:paraId="42E5AD98" w14:textId="77777777" w:rsidR="007A57B1" w:rsidRPr="00602824" w:rsidRDefault="007A57B1" w:rsidP="00600141">
            <w:pPr>
              <w:pStyle w:val="TableNText"/>
              <w:keepNext w:val="0"/>
              <w:keepLines/>
              <w:spacing w:line="240" w:lineRule="auto"/>
              <w:rPr>
                <w:rFonts w:asciiTheme="majorHAnsi" w:hAnsiTheme="majorHAnsi" w:cstheme="majorHAnsi"/>
              </w:rPr>
            </w:pPr>
            <w:r w:rsidRPr="00602824">
              <w:rPr>
                <w:rFonts w:asciiTheme="majorHAnsi" w:hAnsiTheme="majorHAnsi" w:cstheme="majorHAnsi"/>
              </w:rPr>
              <w:t>4. Improve the affordability and value of PHI for privately insured Australians</w:t>
            </w:r>
          </w:p>
        </w:tc>
        <w:tc>
          <w:tcPr>
            <w:tcW w:w="1503" w:type="dxa"/>
            <w:tcBorders>
              <w:top w:val="single" w:sz="8" w:space="0" w:color="D9D9D9" w:themeColor="background1" w:themeShade="D9"/>
              <w:bottom w:val="single" w:sz="8" w:space="0" w:color="D9D9D9" w:themeColor="background1" w:themeShade="D9"/>
            </w:tcBorders>
            <w:shd w:val="clear" w:color="auto" w:fill="FFFFFF" w:themeFill="background1"/>
          </w:tcPr>
          <w:p w14:paraId="0041787D" w14:textId="77777777" w:rsidR="007A57B1" w:rsidRDefault="007A57B1" w:rsidP="00600141">
            <w:pPr>
              <w:pStyle w:val="TableNText"/>
              <w:keepNext w:val="0"/>
              <w:keepLines/>
              <w:spacing w:line="240" w:lineRule="auto"/>
            </w:pPr>
            <w:r w:rsidRPr="00602824">
              <w:t>PHI affordability is an issue of concern</w:t>
            </w:r>
            <w:r>
              <w:t xml:space="preserve"> with</w:t>
            </w:r>
            <w:r w:rsidRPr="00602824">
              <w:t xml:space="preserve"> participation rates are decreasing </w:t>
            </w:r>
            <w:r>
              <w:t xml:space="preserve">for certain cohorts </w:t>
            </w:r>
            <w:r w:rsidRPr="00602824">
              <w:t>and risk profiles increasing.</w:t>
            </w:r>
          </w:p>
          <w:p w14:paraId="6AB805D6" w14:textId="77777777" w:rsidR="007A57B1" w:rsidRPr="00602824" w:rsidRDefault="007A57B1" w:rsidP="00600141">
            <w:pPr>
              <w:pStyle w:val="TableNText"/>
              <w:keepNext w:val="0"/>
              <w:keepLines/>
              <w:spacing w:line="240" w:lineRule="auto"/>
            </w:pPr>
          </w:p>
        </w:tc>
        <w:tc>
          <w:tcPr>
            <w:tcW w:w="1504" w:type="dxa"/>
            <w:tcBorders>
              <w:top w:val="single" w:sz="8" w:space="0" w:color="D9D9D9" w:themeColor="background1" w:themeShade="D9"/>
              <w:bottom w:val="single" w:sz="8" w:space="0" w:color="D9D9D9" w:themeColor="background1" w:themeShade="D9"/>
            </w:tcBorders>
            <w:shd w:val="clear" w:color="auto" w:fill="FFFFFF" w:themeFill="background1"/>
          </w:tcPr>
          <w:p w14:paraId="30C4C5F3" w14:textId="77777777" w:rsidR="007A57B1" w:rsidRPr="00602824" w:rsidRDefault="007A57B1" w:rsidP="00600141">
            <w:pPr>
              <w:pStyle w:val="TableNText"/>
              <w:keepNext w:val="0"/>
              <w:keepLines/>
              <w:spacing w:line="240" w:lineRule="auto"/>
            </w:pPr>
            <w:r w:rsidRPr="00602824">
              <w:t>Low PHI participation places strain on the rest of the health system.</w:t>
            </w:r>
          </w:p>
        </w:tc>
        <w:tc>
          <w:tcPr>
            <w:tcW w:w="1837" w:type="dxa"/>
            <w:tcBorders>
              <w:top w:val="single" w:sz="12" w:space="0" w:color="FFFFFF" w:themeColor="background1"/>
              <w:bottom w:val="single" w:sz="8" w:space="0" w:color="FFFFFF" w:themeColor="background1"/>
            </w:tcBorders>
            <w:shd w:val="clear" w:color="auto" w:fill="F2F2F2" w:themeFill="background1" w:themeFillShade="F2"/>
          </w:tcPr>
          <w:p w14:paraId="07EAD006" w14:textId="77777777" w:rsidR="007A57B1" w:rsidRPr="006C39B2" w:rsidRDefault="007A57B1" w:rsidP="00600141">
            <w:pPr>
              <w:pStyle w:val="TableNText"/>
              <w:keepNext w:val="0"/>
              <w:keepLines/>
              <w:spacing w:line="240" w:lineRule="auto"/>
              <w:rPr>
                <w:rFonts w:asciiTheme="majorHAnsi" w:hAnsiTheme="majorHAnsi" w:cstheme="majorHAnsi"/>
                <w:color w:val="00264D" w:themeColor="background2"/>
              </w:rPr>
            </w:pPr>
            <w:r w:rsidRPr="006C39B2">
              <w:rPr>
                <w:rFonts w:asciiTheme="majorHAnsi" w:hAnsiTheme="majorHAnsi" w:cstheme="majorHAnsi"/>
                <w:color w:val="00264D" w:themeColor="background2"/>
              </w:rPr>
              <w:t>Reduction in PL benefits while maintaining device availability and access.</w:t>
            </w:r>
          </w:p>
        </w:tc>
        <w:tc>
          <w:tcPr>
            <w:tcW w:w="2835" w:type="dxa"/>
            <w:tcBorders>
              <w:top w:val="single" w:sz="12" w:space="0" w:color="FFFFFF" w:themeColor="background1"/>
              <w:bottom w:val="single" w:sz="8" w:space="0" w:color="FFFFFF" w:themeColor="background1"/>
            </w:tcBorders>
            <w:shd w:val="clear" w:color="auto" w:fill="F2F2F2" w:themeFill="background1" w:themeFillShade="F2"/>
          </w:tcPr>
          <w:p w14:paraId="563B3A5D" w14:textId="77777777" w:rsidR="007A57B1" w:rsidRPr="00354B01" w:rsidRDefault="007A57B1" w:rsidP="00354B01">
            <w:pPr>
              <w:pStyle w:val="TableNBullet"/>
            </w:pPr>
            <w:r w:rsidRPr="00354B01">
              <w:t>Benefit reductions generated $540 million in savings for the PHI system during the reforms, with cumulative savings projected to exceed $1 billion by the end of FY26.</w:t>
            </w:r>
          </w:p>
        </w:tc>
        <w:tc>
          <w:tcPr>
            <w:tcW w:w="4619" w:type="dxa"/>
            <w:tcBorders>
              <w:top w:val="single" w:sz="12" w:space="0" w:color="FFFFFF" w:themeColor="background1"/>
              <w:bottom w:val="single" w:sz="8" w:space="0" w:color="FFFFFF" w:themeColor="background1"/>
            </w:tcBorders>
            <w:shd w:val="clear" w:color="auto" w:fill="E6E6E1" w:themeFill="accent5"/>
          </w:tcPr>
          <w:p w14:paraId="393AE6DD" w14:textId="77777777" w:rsidR="007A57B1" w:rsidRPr="00354B01" w:rsidRDefault="007A57B1" w:rsidP="00354B01">
            <w:pPr>
              <w:pStyle w:val="TableNBullet"/>
            </w:pPr>
            <w:r w:rsidRPr="00354B01">
              <w:t>Savings from benefit reductions placed downward pressure on PHI premiums for consumers, although premiums have continued to rise in absolute terms due to factors unrelated to the reforms.</w:t>
            </w:r>
          </w:p>
          <w:p w14:paraId="23B78766" w14:textId="77777777" w:rsidR="007A57B1" w:rsidRPr="00354B01" w:rsidRDefault="007A57B1" w:rsidP="00354B01">
            <w:pPr>
              <w:pStyle w:val="TableNBullet"/>
            </w:pPr>
            <w:r w:rsidRPr="00354B01">
              <w:t>The value of PHI in relation to PL access was maintained for consumers. Coverage was not affected by the reforms.</w:t>
            </w:r>
          </w:p>
        </w:tc>
      </w:tr>
      <w:tr w:rsidR="00A7646C" w:rsidRPr="004440B3" w14:paraId="41F980FA" w14:textId="77777777" w:rsidTr="00FC598D">
        <w:tc>
          <w:tcPr>
            <w:tcW w:w="1819" w:type="dxa"/>
            <w:vMerge w:val="restart"/>
            <w:tcBorders>
              <w:top w:val="single" w:sz="12" w:space="0" w:color="FFFFFF" w:themeColor="background1"/>
            </w:tcBorders>
            <w:shd w:val="clear" w:color="auto" w:fill="12365A"/>
          </w:tcPr>
          <w:p w14:paraId="039F272D" w14:textId="2F01D878" w:rsidR="00A7646C" w:rsidRPr="00602824" w:rsidRDefault="00A7646C" w:rsidP="00E16A69">
            <w:pPr>
              <w:pStyle w:val="TableNText"/>
              <w:keepNext w:val="0"/>
              <w:keepLines/>
              <w:spacing w:line="240" w:lineRule="auto"/>
              <w:rPr>
                <w:rFonts w:asciiTheme="majorHAnsi" w:hAnsiTheme="majorHAnsi" w:cstheme="majorHAnsi"/>
              </w:rPr>
            </w:pPr>
            <w:r w:rsidRPr="00602824">
              <w:rPr>
                <w:rFonts w:asciiTheme="majorHAnsi" w:hAnsiTheme="majorHAnsi" w:cstheme="majorBidi"/>
              </w:rPr>
              <w:t>5. Clarify the purpose, definition and scope of the PL in legislation</w:t>
            </w:r>
          </w:p>
        </w:tc>
        <w:tc>
          <w:tcPr>
            <w:tcW w:w="1503" w:type="dxa"/>
            <w:tcBorders>
              <w:top w:val="single" w:sz="8" w:space="0" w:color="D9D9D9" w:themeColor="background1" w:themeShade="D9"/>
              <w:bottom w:val="single" w:sz="8" w:space="0" w:color="D9D9D9" w:themeColor="background1" w:themeShade="D9"/>
            </w:tcBorders>
            <w:shd w:val="clear" w:color="auto" w:fill="FFFFFF" w:themeFill="background1"/>
          </w:tcPr>
          <w:p w14:paraId="0BAE9F86" w14:textId="14CAD653" w:rsidR="00A7646C" w:rsidRPr="00602824" w:rsidRDefault="00A7646C" w:rsidP="00E16A69">
            <w:pPr>
              <w:pStyle w:val="TableNText"/>
              <w:keepNext w:val="0"/>
              <w:keepLines/>
              <w:spacing w:line="240" w:lineRule="auto"/>
            </w:pPr>
            <w:r w:rsidRPr="00602824">
              <w:t>Only high-level definition of PL in legislation.</w:t>
            </w:r>
          </w:p>
        </w:tc>
        <w:tc>
          <w:tcPr>
            <w:tcW w:w="1504" w:type="dxa"/>
            <w:tcBorders>
              <w:top w:val="single" w:sz="8" w:space="0" w:color="D9D9D9" w:themeColor="background1" w:themeShade="D9"/>
              <w:bottom w:val="single" w:sz="8" w:space="0" w:color="D9D9D9" w:themeColor="background1" w:themeShade="D9"/>
            </w:tcBorders>
            <w:shd w:val="clear" w:color="auto" w:fill="FFFFFF" w:themeFill="background1"/>
          </w:tcPr>
          <w:p w14:paraId="452A97AB" w14:textId="3C194C80" w:rsidR="00A7646C" w:rsidRPr="00602824" w:rsidRDefault="00A7646C" w:rsidP="00E16A69">
            <w:pPr>
              <w:pStyle w:val="TableNText"/>
              <w:keepNext w:val="0"/>
              <w:keepLines/>
              <w:spacing w:line="240" w:lineRule="auto"/>
            </w:pPr>
            <w:r w:rsidRPr="00602824">
              <w:t>Lack of clarity and complex structure leads to reduced effectiveness and unwanted outcomes.</w:t>
            </w:r>
          </w:p>
        </w:tc>
        <w:tc>
          <w:tcPr>
            <w:tcW w:w="1837" w:type="dxa"/>
            <w:tcBorders>
              <w:top w:val="single" w:sz="12" w:space="0" w:color="FFFFFF" w:themeColor="background1"/>
              <w:bottom w:val="single" w:sz="8" w:space="0" w:color="FFFFFF" w:themeColor="background1"/>
            </w:tcBorders>
            <w:shd w:val="clear" w:color="auto" w:fill="F2F2F2" w:themeFill="background1" w:themeFillShade="F2"/>
          </w:tcPr>
          <w:p w14:paraId="0E09599C" w14:textId="3198ACF5" w:rsidR="00A7646C" w:rsidRPr="006C39B2" w:rsidRDefault="00A7646C" w:rsidP="00E16A69">
            <w:pPr>
              <w:pStyle w:val="TableNText"/>
              <w:keepNext w:val="0"/>
              <w:keepLines/>
              <w:spacing w:line="240" w:lineRule="auto"/>
              <w:rPr>
                <w:rFonts w:asciiTheme="majorHAnsi" w:hAnsiTheme="majorHAnsi" w:cstheme="majorHAnsi"/>
                <w:color w:val="00264D" w:themeColor="background2"/>
              </w:rPr>
            </w:pPr>
            <w:r w:rsidRPr="006C39B2">
              <w:rPr>
                <w:rFonts w:asciiTheme="majorHAnsi" w:hAnsiTheme="majorHAnsi" w:cstheme="majorHAnsi"/>
                <w:color w:val="00264D" w:themeColor="background2"/>
              </w:rPr>
              <w:t xml:space="preserve">Legislative changes </w:t>
            </w:r>
          </w:p>
        </w:tc>
        <w:tc>
          <w:tcPr>
            <w:tcW w:w="2835" w:type="dxa"/>
            <w:tcBorders>
              <w:top w:val="single" w:sz="12" w:space="0" w:color="FFFFFF" w:themeColor="background1"/>
              <w:bottom w:val="single" w:sz="8" w:space="0" w:color="FFFFFF" w:themeColor="background1"/>
            </w:tcBorders>
            <w:shd w:val="clear" w:color="auto" w:fill="F2F2F2" w:themeFill="background1" w:themeFillShade="F2"/>
          </w:tcPr>
          <w:p w14:paraId="17BF6B06" w14:textId="49300068" w:rsidR="00A7646C" w:rsidRPr="00354B01" w:rsidRDefault="00A7646C" w:rsidP="00354B01">
            <w:pPr>
              <w:pStyle w:val="TableNBullet"/>
            </w:pPr>
            <w:r w:rsidRPr="00354B01">
              <w:t>The reforms established definitions for medical devices and human tissue products, renamed the Prostheses List as the Prescribed List, and introduced listing criteria for Parts A, B, C and D in the legislative instrument.</w:t>
            </w:r>
          </w:p>
        </w:tc>
        <w:tc>
          <w:tcPr>
            <w:tcW w:w="4619" w:type="dxa"/>
            <w:tcBorders>
              <w:top w:val="single" w:sz="12" w:space="0" w:color="FFFFFF" w:themeColor="background1"/>
              <w:bottom w:val="single" w:sz="8" w:space="0" w:color="FFFFFF" w:themeColor="background1"/>
            </w:tcBorders>
            <w:shd w:val="clear" w:color="auto" w:fill="E6E6E1" w:themeFill="accent5"/>
          </w:tcPr>
          <w:p w14:paraId="518C619C" w14:textId="77777777" w:rsidR="00A7646C" w:rsidRPr="00354B01" w:rsidRDefault="00A7646C" w:rsidP="00354B01">
            <w:pPr>
              <w:pStyle w:val="TableNBullet"/>
            </w:pPr>
            <w:r w:rsidRPr="00354B01">
              <w:t>Legislative changes contributed to clarifying the purpose, definition and scope of the PL.</w:t>
            </w:r>
          </w:p>
          <w:p w14:paraId="2579853F" w14:textId="1189709F" w:rsidR="00A7646C" w:rsidRPr="00354B01" w:rsidRDefault="00A7646C" w:rsidP="00354B01">
            <w:pPr>
              <w:pStyle w:val="TableNBullet"/>
            </w:pPr>
            <w:r w:rsidRPr="00354B01">
              <w:t>The impact of these changes was reduced by the retention of GUIs and the unresolved treatment of CIED technical support services.</w:t>
            </w:r>
          </w:p>
        </w:tc>
      </w:tr>
      <w:tr w:rsidR="00A7646C" w:rsidRPr="004440B3" w14:paraId="5F08BCFB" w14:textId="77777777" w:rsidTr="00A82346">
        <w:tc>
          <w:tcPr>
            <w:tcW w:w="1819" w:type="dxa"/>
            <w:vMerge/>
            <w:shd w:val="clear" w:color="auto" w:fill="12365A"/>
          </w:tcPr>
          <w:p w14:paraId="47EE440F" w14:textId="77777777" w:rsidR="00A7646C" w:rsidRPr="00602824" w:rsidRDefault="00A7646C" w:rsidP="00A7646C">
            <w:pPr>
              <w:pStyle w:val="TableNText"/>
              <w:keepNext w:val="0"/>
              <w:keepLines/>
              <w:spacing w:line="240" w:lineRule="auto"/>
              <w:rPr>
                <w:rFonts w:asciiTheme="majorHAnsi" w:hAnsiTheme="majorHAnsi" w:cstheme="majorHAnsi"/>
              </w:rPr>
            </w:pPr>
          </w:p>
        </w:tc>
        <w:tc>
          <w:tcPr>
            <w:tcW w:w="1503" w:type="dxa"/>
            <w:tcBorders>
              <w:top w:val="single" w:sz="8" w:space="0" w:color="D9D9D9" w:themeColor="background1" w:themeShade="D9"/>
              <w:bottom w:val="single" w:sz="8" w:space="0" w:color="D9D9D9" w:themeColor="background1" w:themeShade="D9"/>
            </w:tcBorders>
            <w:shd w:val="clear" w:color="auto" w:fill="FFFFFF" w:themeFill="background1"/>
          </w:tcPr>
          <w:p w14:paraId="1AB5D9BB" w14:textId="40DD3BF4" w:rsidR="00A7646C" w:rsidRPr="00602824" w:rsidRDefault="00A7646C" w:rsidP="00A7646C">
            <w:pPr>
              <w:pStyle w:val="TableNText"/>
              <w:keepNext w:val="0"/>
              <w:keepLines/>
              <w:spacing w:line="240" w:lineRule="auto"/>
            </w:pPr>
            <w:r w:rsidRPr="00602824">
              <w:t>PL structure has become complex and difficult to navigate.</w:t>
            </w:r>
          </w:p>
        </w:tc>
        <w:tc>
          <w:tcPr>
            <w:tcW w:w="1504" w:type="dxa"/>
            <w:tcBorders>
              <w:top w:val="single" w:sz="8" w:space="0" w:color="D9D9D9" w:themeColor="background1" w:themeShade="D9"/>
              <w:bottom w:val="single" w:sz="8" w:space="0" w:color="D9D9D9" w:themeColor="background1" w:themeShade="D9"/>
            </w:tcBorders>
            <w:shd w:val="clear" w:color="auto" w:fill="FFFFFF" w:themeFill="background1"/>
          </w:tcPr>
          <w:p w14:paraId="4D6E8C16" w14:textId="77777777" w:rsidR="00A7646C" w:rsidRPr="00602824" w:rsidRDefault="00A7646C" w:rsidP="00A7646C">
            <w:pPr>
              <w:pStyle w:val="TableNText"/>
              <w:keepNext w:val="0"/>
              <w:keepLines/>
              <w:spacing w:line="240" w:lineRule="auto"/>
            </w:pPr>
          </w:p>
        </w:tc>
        <w:tc>
          <w:tcPr>
            <w:tcW w:w="1837" w:type="dxa"/>
            <w:tcBorders>
              <w:top w:val="single" w:sz="12" w:space="0" w:color="FFFFFF" w:themeColor="background1"/>
              <w:bottom w:val="single" w:sz="8" w:space="0" w:color="FFFFFF" w:themeColor="background1"/>
            </w:tcBorders>
            <w:shd w:val="clear" w:color="auto" w:fill="F2F2F2" w:themeFill="background1" w:themeFillShade="F2"/>
          </w:tcPr>
          <w:p w14:paraId="250107D4" w14:textId="0B577D73" w:rsidR="00A7646C" w:rsidRPr="006C39B2" w:rsidRDefault="00A7646C" w:rsidP="00A7646C">
            <w:pPr>
              <w:pStyle w:val="TableNText"/>
              <w:keepNext w:val="0"/>
              <w:keepLines/>
              <w:spacing w:line="240" w:lineRule="auto"/>
              <w:rPr>
                <w:rFonts w:asciiTheme="majorHAnsi" w:hAnsiTheme="majorHAnsi" w:cstheme="majorHAnsi"/>
                <w:color w:val="00264D" w:themeColor="background2"/>
              </w:rPr>
            </w:pPr>
            <w:r w:rsidRPr="006C39B2">
              <w:rPr>
                <w:rFonts w:asciiTheme="majorHAnsi" w:hAnsiTheme="majorHAnsi" w:cstheme="majorHAnsi"/>
                <w:color w:val="00264D" w:themeColor="background2"/>
              </w:rPr>
              <w:t>A revised grouping structure of the PL that is aligned to clinical outcomes</w:t>
            </w:r>
            <w:r w:rsidRPr="006C39B2">
              <w:rPr>
                <w:rFonts w:asciiTheme="majorHAnsi" w:hAnsiTheme="majorHAnsi" w:cstheme="majorHAnsi"/>
                <w:b/>
                <w:color w:val="00264D" w:themeColor="background2"/>
              </w:rPr>
              <w:t>,</w:t>
            </w:r>
            <w:r w:rsidRPr="006C39B2">
              <w:rPr>
                <w:rFonts w:asciiTheme="majorHAnsi" w:hAnsiTheme="majorHAnsi" w:cstheme="majorHAnsi"/>
                <w:color w:val="00264D" w:themeColor="background2"/>
              </w:rPr>
              <w:t xml:space="preserve"> independent of benefit, is transparent and practical to navigate</w:t>
            </w:r>
            <w:r>
              <w:t xml:space="preserve"> </w:t>
            </w:r>
          </w:p>
        </w:tc>
        <w:tc>
          <w:tcPr>
            <w:tcW w:w="2835" w:type="dxa"/>
            <w:tcBorders>
              <w:top w:val="single" w:sz="12" w:space="0" w:color="FFFFFF" w:themeColor="background1"/>
              <w:bottom w:val="single" w:sz="8" w:space="0" w:color="FFFFFF" w:themeColor="background1"/>
            </w:tcBorders>
            <w:shd w:val="clear" w:color="auto" w:fill="F2F2F2" w:themeFill="background1" w:themeFillShade="F2"/>
          </w:tcPr>
          <w:p w14:paraId="36745050" w14:textId="77777777" w:rsidR="00A7646C" w:rsidRPr="00354B01" w:rsidRDefault="00A7646C" w:rsidP="00354B01">
            <w:pPr>
              <w:pStyle w:val="TableNBullet"/>
            </w:pPr>
            <w:r w:rsidRPr="00354B01">
              <w:t>A revised grouping structure aligned to clinical outcomes was not implemented.</w:t>
            </w:r>
          </w:p>
          <w:p w14:paraId="33960FB5" w14:textId="2739D4FF" w:rsidR="00A7646C" w:rsidRPr="00354B01" w:rsidRDefault="00A7646C" w:rsidP="00354B01">
            <w:pPr>
              <w:pStyle w:val="TableNBullet"/>
            </w:pPr>
            <w:r w:rsidRPr="00354B01">
              <w:t>The regrouping project was discontinued due to the complexity of mixed-benefit groups, stakeholder concerns, and the MOU restriction on achieving further savings.</w:t>
            </w:r>
          </w:p>
        </w:tc>
        <w:tc>
          <w:tcPr>
            <w:tcW w:w="4619" w:type="dxa"/>
            <w:tcBorders>
              <w:top w:val="single" w:sz="12" w:space="0" w:color="FFFFFF" w:themeColor="background1"/>
              <w:bottom w:val="single" w:sz="8" w:space="0" w:color="FFFFFF" w:themeColor="background1"/>
            </w:tcBorders>
            <w:shd w:val="clear" w:color="auto" w:fill="E6E6E1" w:themeFill="accent5"/>
          </w:tcPr>
          <w:p w14:paraId="1EE5555E" w14:textId="70ACFC7F" w:rsidR="00A7646C" w:rsidRPr="00354B01" w:rsidRDefault="00A7646C" w:rsidP="00354B01">
            <w:pPr>
              <w:pStyle w:val="TableNBullet"/>
            </w:pPr>
            <w:r w:rsidRPr="00354B01">
              <w:t>The expected benefits of reduced grouping complexity, greater transparency and stronger alignment with clinical use were not achieved.</w:t>
            </w:r>
          </w:p>
        </w:tc>
      </w:tr>
      <w:tr w:rsidR="00A7646C" w:rsidRPr="004440B3" w14:paraId="5F67B616" w14:textId="77777777" w:rsidTr="00A82346">
        <w:tc>
          <w:tcPr>
            <w:tcW w:w="1819" w:type="dxa"/>
            <w:vMerge/>
            <w:shd w:val="clear" w:color="auto" w:fill="12365A"/>
          </w:tcPr>
          <w:p w14:paraId="30EE631E" w14:textId="77777777" w:rsidR="00A7646C" w:rsidRPr="00602824" w:rsidRDefault="00A7646C" w:rsidP="00A7646C">
            <w:pPr>
              <w:pStyle w:val="TableNText"/>
              <w:keepNext w:val="0"/>
              <w:keepLines/>
              <w:spacing w:line="240" w:lineRule="auto"/>
              <w:rPr>
                <w:rFonts w:asciiTheme="majorHAnsi" w:hAnsiTheme="majorHAnsi" w:cstheme="majorHAnsi"/>
              </w:rPr>
            </w:pPr>
          </w:p>
        </w:tc>
        <w:tc>
          <w:tcPr>
            <w:tcW w:w="1503" w:type="dxa"/>
            <w:tcBorders>
              <w:top w:val="single" w:sz="8" w:space="0" w:color="D9D9D9" w:themeColor="background1" w:themeShade="D9"/>
              <w:bottom w:val="single" w:sz="8" w:space="0" w:color="D9D9D9" w:themeColor="background1" w:themeShade="D9"/>
            </w:tcBorders>
            <w:shd w:val="clear" w:color="auto" w:fill="FFFFFF" w:themeFill="background1"/>
          </w:tcPr>
          <w:p w14:paraId="445D4A0B" w14:textId="448CEC0B" w:rsidR="00A7646C" w:rsidRPr="00602824" w:rsidRDefault="00430A5D" w:rsidP="00A7646C">
            <w:pPr>
              <w:pStyle w:val="TableNText"/>
              <w:keepNext w:val="0"/>
              <w:keepLines/>
              <w:spacing w:line="240" w:lineRule="auto"/>
            </w:pPr>
            <w:r w:rsidRPr="00602824">
              <w:t>Expanding PL scope over time is seen as a major driver of costs.</w:t>
            </w:r>
          </w:p>
        </w:tc>
        <w:tc>
          <w:tcPr>
            <w:tcW w:w="1504" w:type="dxa"/>
            <w:tcBorders>
              <w:top w:val="single" w:sz="8" w:space="0" w:color="D9D9D9" w:themeColor="background1" w:themeShade="D9"/>
              <w:bottom w:val="single" w:sz="8" w:space="0" w:color="D9D9D9" w:themeColor="background1" w:themeShade="D9"/>
            </w:tcBorders>
            <w:shd w:val="clear" w:color="auto" w:fill="FFFFFF" w:themeFill="background1"/>
          </w:tcPr>
          <w:p w14:paraId="49EE6129" w14:textId="77777777" w:rsidR="00A7646C" w:rsidRPr="00602824" w:rsidRDefault="00A7646C" w:rsidP="00A7646C">
            <w:pPr>
              <w:pStyle w:val="TableNText"/>
              <w:keepNext w:val="0"/>
              <w:keepLines/>
              <w:spacing w:line="240" w:lineRule="auto"/>
            </w:pPr>
          </w:p>
        </w:tc>
        <w:tc>
          <w:tcPr>
            <w:tcW w:w="1837" w:type="dxa"/>
            <w:tcBorders>
              <w:top w:val="single" w:sz="12" w:space="0" w:color="FFFFFF" w:themeColor="background1"/>
              <w:bottom w:val="single" w:sz="8" w:space="0" w:color="FFFFFF" w:themeColor="background1"/>
            </w:tcBorders>
            <w:shd w:val="clear" w:color="auto" w:fill="F2F2F2" w:themeFill="background1" w:themeFillShade="F2"/>
          </w:tcPr>
          <w:p w14:paraId="59124194" w14:textId="25D2B70B" w:rsidR="00A7646C" w:rsidRPr="006C39B2" w:rsidRDefault="00A7646C" w:rsidP="00A7646C">
            <w:pPr>
              <w:pStyle w:val="TableNText"/>
              <w:keepNext w:val="0"/>
              <w:keepLines/>
              <w:spacing w:line="240" w:lineRule="auto"/>
              <w:rPr>
                <w:rFonts w:asciiTheme="majorHAnsi" w:hAnsiTheme="majorHAnsi" w:cstheme="majorHAnsi"/>
                <w:color w:val="00264D" w:themeColor="background2"/>
              </w:rPr>
            </w:pPr>
            <w:r w:rsidRPr="006C39B2">
              <w:rPr>
                <w:rFonts w:asciiTheme="majorHAnsi" w:hAnsiTheme="majorHAnsi" w:cstheme="majorHAnsi"/>
                <w:color w:val="00264D" w:themeColor="background2"/>
              </w:rPr>
              <w:t>Remove items that do not meet PL eligibility criteria such as the General Use Items (GUIs)</w:t>
            </w:r>
          </w:p>
        </w:tc>
        <w:tc>
          <w:tcPr>
            <w:tcW w:w="2835" w:type="dxa"/>
            <w:tcBorders>
              <w:top w:val="single" w:sz="12" w:space="0" w:color="FFFFFF" w:themeColor="background1"/>
              <w:bottom w:val="single" w:sz="8" w:space="0" w:color="FFFFFF" w:themeColor="background1"/>
            </w:tcBorders>
            <w:shd w:val="clear" w:color="auto" w:fill="F2F2F2" w:themeFill="background1" w:themeFillShade="F2"/>
          </w:tcPr>
          <w:p w14:paraId="2C6AA2E2" w14:textId="1FC4EB7A" w:rsidR="00A7646C" w:rsidRPr="00354B01" w:rsidRDefault="00A7646C" w:rsidP="00354B01">
            <w:pPr>
              <w:pStyle w:val="TableNBullet"/>
            </w:pPr>
            <w:r w:rsidRPr="00354B01">
              <w:t>GUIs were scheduled for removal from the PL but were retained indefinitely after agreement over an alternative funding model could not be reached.</w:t>
            </w:r>
          </w:p>
        </w:tc>
        <w:tc>
          <w:tcPr>
            <w:tcW w:w="4619" w:type="dxa"/>
            <w:tcBorders>
              <w:top w:val="single" w:sz="12" w:space="0" w:color="FFFFFF" w:themeColor="background1"/>
              <w:bottom w:val="single" w:sz="8" w:space="0" w:color="FFFFFF" w:themeColor="background1"/>
            </w:tcBorders>
            <w:shd w:val="clear" w:color="auto" w:fill="E6E6E1" w:themeFill="accent5"/>
          </w:tcPr>
          <w:p w14:paraId="608A6FED" w14:textId="77777777" w:rsidR="00A7646C" w:rsidRPr="00354B01" w:rsidRDefault="00A7646C" w:rsidP="00354B01">
            <w:pPr>
              <w:pStyle w:val="TableNBullet"/>
            </w:pPr>
            <w:r w:rsidRPr="00354B01">
              <w:t>Existing GUI categories have been retained in Part D, with new listings limited to items that have a comparator already listed.</w:t>
            </w:r>
          </w:p>
          <w:p w14:paraId="11F782F5" w14:textId="39F4B150" w:rsidR="00A7646C" w:rsidRPr="00354B01" w:rsidRDefault="00A7646C" w:rsidP="00354B01">
            <w:pPr>
              <w:pStyle w:val="TableNBullet"/>
            </w:pPr>
            <w:r w:rsidRPr="00354B01">
              <w:t>GUI benefit reductions reduced expenditure, but the broader objective of clarifying the PL’s scope by removing GUIs was not achieved.</w:t>
            </w:r>
          </w:p>
        </w:tc>
      </w:tr>
      <w:tr w:rsidR="00A7646C" w:rsidRPr="004440B3" w14:paraId="0AA8EC3F" w14:textId="77777777" w:rsidTr="00600141">
        <w:trPr>
          <w:trHeight w:val="640"/>
        </w:trPr>
        <w:tc>
          <w:tcPr>
            <w:tcW w:w="1819" w:type="dxa"/>
            <w:vMerge w:val="restart"/>
            <w:tcBorders>
              <w:top w:val="single" w:sz="8" w:space="0" w:color="E6E6E1" w:themeColor="accent5"/>
              <w:bottom w:val="single" w:sz="8" w:space="0" w:color="FFFFFF" w:themeColor="background1"/>
            </w:tcBorders>
            <w:shd w:val="clear" w:color="auto" w:fill="12365A"/>
          </w:tcPr>
          <w:p w14:paraId="5DDE7820" w14:textId="77777777" w:rsidR="00A7646C" w:rsidRPr="00602824" w:rsidRDefault="00A7646C" w:rsidP="00A7646C">
            <w:pPr>
              <w:pStyle w:val="TableNText"/>
              <w:keepNext w:val="0"/>
              <w:keepLines/>
              <w:spacing w:line="240" w:lineRule="auto"/>
              <w:rPr>
                <w:rFonts w:asciiTheme="majorHAnsi" w:hAnsiTheme="majorHAnsi" w:cstheme="majorHAnsi"/>
              </w:rPr>
            </w:pPr>
            <w:r w:rsidRPr="00602824">
              <w:rPr>
                <w:rFonts w:asciiTheme="majorHAnsi" w:hAnsiTheme="majorHAnsi" w:cstheme="majorHAnsi"/>
              </w:rPr>
              <w:t>6. Implement new PL assessment pathways aligned to Health Technology Assessment principles and streamline the application process through simple and robust IT infrastructure</w:t>
            </w:r>
          </w:p>
        </w:tc>
        <w:tc>
          <w:tcPr>
            <w:tcW w:w="1503" w:type="dxa"/>
            <w:tcBorders>
              <w:top w:val="single" w:sz="8" w:space="0" w:color="D9D9D9" w:themeColor="background1" w:themeShade="D9"/>
              <w:bottom w:val="single" w:sz="8" w:space="0" w:color="E6E6E1" w:themeColor="accent5"/>
            </w:tcBorders>
            <w:shd w:val="clear" w:color="auto" w:fill="FFFFFF" w:themeFill="background1"/>
          </w:tcPr>
          <w:p w14:paraId="3AB33A78" w14:textId="77777777" w:rsidR="00A7646C" w:rsidRPr="00602824" w:rsidRDefault="00A7646C" w:rsidP="00A7646C">
            <w:pPr>
              <w:pStyle w:val="TableNText"/>
              <w:keepNext w:val="0"/>
              <w:keepLines/>
              <w:spacing w:line="240" w:lineRule="auto"/>
            </w:pPr>
            <w:r w:rsidRPr="00602824">
              <w:t>No distinct assessment pathways based on complexity.</w:t>
            </w:r>
          </w:p>
          <w:p w14:paraId="08D6D514" w14:textId="77777777" w:rsidR="00A7646C" w:rsidRPr="00602824" w:rsidRDefault="00A7646C" w:rsidP="00A7646C">
            <w:pPr>
              <w:pStyle w:val="TableNText"/>
              <w:keepNext w:val="0"/>
              <w:keepLines/>
              <w:spacing w:line="240" w:lineRule="auto"/>
            </w:pPr>
            <w:r w:rsidRPr="00602824">
              <w:t>Assessment process has mixed alignment with</w:t>
            </w:r>
            <w:r>
              <w:t xml:space="preserve"> </w:t>
            </w:r>
            <w:r w:rsidRPr="00602824">
              <w:t>HTA</w:t>
            </w:r>
            <w:r>
              <w:t xml:space="preserve"> </w:t>
            </w:r>
            <w:r w:rsidRPr="00602824">
              <w:t>principles.</w:t>
            </w:r>
          </w:p>
        </w:tc>
        <w:tc>
          <w:tcPr>
            <w:tcW w:w="1504" w:type="dxa"/>
            <w:tcBorders>
              <w:top w:val="single" w:sz="8" w:space="0" w:color="D9D9D9" w:themeColor="background1" w:themeShade="D9"/>
              <w:bottom w:val="single" w:sz="8" w:space="0" w:color="E6E6E1" w:themeColor="accent5"/>
            </w:tcBorders>
            <w:shd w:val="clear" w:color="auto" w:fill="FFFFFF" w:themeFill="background1"/>
          </w:tcPr>
          <w:p w14:paraId="34B91EAF" w14:textId="77777777" w:rsidR="00A7646C" w:rsidRPr="00602824" w:rsidRDefault="00A7646C" w:rsidP="00A7646C">
            <w:pPr>
              <w:pStyle w:val="TableNText"/>
              <w:keepNext w:val="0"/>
              <w:keepLines/>
              <w:spacing w:line="240" w:lineRule="auto"/>
            </w:pPr>
            <w:r w:rsidRPr="00602824">
              <w:t>Effective and efficient assessment</w:t>
            </w:r>
            <w:r>
              <w:t xml:space="preserve"> is</w:t>
            </w:r>
            <w:r w:rsidRPr="00602824">
              <w:t xml:space="preserve"> crucial to maintain integrity of the PL.</w:t>
            </w:r>
          </w:p>
        </w:tc>
        <w:tc>
          <w:tcPr>
            <w:tcW w:w="1837" w:type="dxa"/>
            <w:tcBorders>
              <w:top w:val="single" w:sz="8" w:space="0" w:color="FFFFFF" w:themeColor="background1"/>
              <w:bottom w:val="single" w:sz="8" w:space="0" w:color="FFFFFF" w:themeColor="background1"/>
            </w:tcBorders>
            <w:shd w:val="clear" w:color="auto" w:fill="F2F2F2" w:themeFill="background1" w:themeFillShade="F2"/>
          </w:tcPr>
          <w:p w14:paraId="3CDADED0" w14:textId="77777777" w:rsidR="00A7646C" w:rsidRPr="006C39B2" w:rsidRDefault="00A7646C" w:rsidP="00A7646C">
            <w:pPr>
              <w:pStyle w:val="TableNText"/>
              <w:keepNext w:val="0"/>
              <w:keepLines/>
              <w:spacing w:line="240" w:lineRule="auto"/>
              <w:rPr>
                <w:rFonts w:asciiTheme="majorHAnsi" w:hAnsiTheme="majorHAnsi" w:cstheme="majorHAnsi"/>
                <w:color w:val="00264D" w:themeColor="background2"/>
              </w:rPr>
            </w:pPr>
            <w:r w:rsidRPr="006C39B2">
              <w:rPr>
                <w:rFonts w:asciiTheme="majorHAnsi" w:hAnsiTheme="majorHAnsi" w:cstheme="majorHAnsi"/>
                <w:color w:val="00264D" w:themeColor="background2"/>
              </w:rPr>
              <w:t>Multi-tiered application process to be established.</w:t>
            </w:r>
          </w:p>
        </w:tc>
        <w:tc>
          <w:tcPr>
            <w:tcW w:w="2835" w:type="dxa"/>
            <w:tcBorders>
              <w:top w:val="single" w:sz="8" w:space="0" w:color="FFFFFF" w:themeColor="background1"/>
              <w:bottom w:val="single" w:sz="8" w:space="0" w:color="FFFFFF" w:themeColor="background1"/>
            </w:tcBorders>
            <w:shd w:val="clear" w:color="auto" w:fill="F2F2F2" w:themeFill="background1" w:themeFillShade="F2"/>
          </w:tcPr>
          <w:p w14:paraId="33A2B717" w14:textId="77777777" w:rsidR="00A7646C" w:rsidRPr="00354B01" w:rsidRDefault="00A7646C" w:rsidP="00354B01">
            <w:pPr>
              <w:pStyle w:val="TableNBullet"/>
            </w:pPr>
            <w:r w:rsidRPr="00354B01">
              <w:t>Tiered assessment pathways were successful implemented alongside the newly introduced Health Products Portal (HPP).</w:t>
            </w:r>
          </w:p>
        </w:tc>
        <w:tc>
          <w:tcPr>
            <w:tcW w:w="4619" w:type="dxa"/>
            <w:tcBorders>
              <w:top w:val="single" w:sz="8" w:space="0" w:color="FFFFFF" w:themeColor="background1"/>
              <w:bottom w:val="single" w:sz="8" w:space="0" w:color="FFFFFF" w:themeColor="background1"/>
            </w:tcBorders>
            <w:shd w:val="clear" w:color="auto" w:fill="E6E6E1" w:themeFill="accent5"/>
          </w:tcPr>
          <w:p w14:paraId="0456CBEB" w14:textId="77777777" w:rsidR="00A7646C" w:rsidRPr="00354B01" w:rsidRDefault="00A7646C" w:rsidP="00354B01">
            <w:pPr>
              <w:pStyle w:val="TableNBullet"/>
            </w:pPr>
            <w:r w:rsidRPr="00354B01">
              <w:t>New tiered assessment pathways align assessment effort with application complexity.</w:t>
            </w:r>
          </w:p>
          <w:p w14:paraId="10D9B2B1" w14:textId="77777777" w:rsidR="00A7646C" w:rsidRPr="00354B01" w:rsidRDefault="00A7646C" w:rsidP="00354B01">
            <w:pPr>
              <w:pStyle w:val="TableNBullet"/>
            </w:pPr>
            <w:r w:rsidRPr="00354B01">
              <w:t>The expected efficiency gains were not realised by the conclusion of the reforms. Key constraints include Department resourcing and the quality and timeliness of sponsor submissions.</w:t>
            </w:r>
          </w:p>
        </w:tc>
      </w:tr>
      <w:tr w:rsidR="00A7646C" w:rsidRPr="004440B3" w14:paraId="6B13582A" w14:textId="77777777" w:rsidTr="00600141">
        <w:trPr>
          <w:trHeight w:val="414"/>
        </w:trPr>
        <w:tc>
          <w:tcPr>
            <w:tcW w:w="1819" w:type="dxa"/>
            <w:vMerge/>
            <w:tcBorders>
              <w:top w:val="single" w:sz="8" w:space="0" w:color="E6E6E1" w:themeColor="accent5"/>
              <w:bottom w:val="single" w:sz="8" w:space="0" w:color="FFFFFF" w:themeColor="background1"/>
            </w:tcBorders>
            <w:shd w:val="clear" w:color="auto" w:fill="12365A"/>
          </w:tcPr>
          <w:p w14:paraId="0D7BEC5B" w14:textId="77777777" w:rsidR="00A7646C" w:rsidRPr="00602824" w:rsidRDefault="00A7646C" w:rsidP="00A7646C">
            <w:pPr>
              <w:pStyle w:val="TableNText"/>
              <w:keepNext w:val="0"/>
              <w:keepLines/>
              <w:spacing w:line="240" w:lineRule="auto"/>
              <w:rPr>
                <w:rFonts w:asciiTheme="majorHAnsi" w:hAnsiTheme="majorHAnsi" w:cstheme="majorHAnsi"/>
              </w:rPr>
            </w:pPr>
          </w:p>
        </w:tc>
        <w:tc>
          <w:tcPr>
            <w:tcW w:w="1503" w:type="dxa"/>
            <w:tcBorders>
              <w:top w:val="single" w:sz="8" w:space="0" w:color="E6E6E1" w:themeColor="accent5"/>
              <w:bottom w:val="single" w:sz="8" w:space="0" w:color="D9D9D9" w:themeColor="background1" w:themeShade="D9"/>
            </w:tcBorders>
            <w:shd w:val="clear" w:color="auto" w:fill="FFFFFF" w:themeFill="background1"/>
          </w:tcPr>
          <w:p w14:paraId="66270CC3" w14:textId="77777777" w:rsidR="00A7646C" w:rsidRPr="00602824" w:rsidRDefault="00A7646C" w:rsidP="00A7646C">
            <w:pPr>
              <w:pStyle w:val="TableNText"/>
              <w:keepNext w:val="0"/>
              <w:keepLines/>
              <w:spacing w:line="240" w:lineRule="auto"/>
            </w:pPr>
            <w:r>
              <w:t>Governance mechanisms not optimal.</w:t>
            </w:r>
          </w:p>
        </w:tc>
        <w:tc>
          <w:tcPr>
            <w:tcW w:w="1504" w:type="dxa"/>
            <w:tcBorders>
              <w:top w:val="single" w:sz="8" w:space="0" w:color="E6E6E1" w:themeColor="accent5"/>
              <w:bottom w:val="single" w:sz="8" w:space="0" w:color="D9D9D9" w:themeColor="background1" w:themeShade="D9"/>
            </w:tcBorders>
            <w:shd w:val="clear" w:color="auto" w:fill="FFFFFF" w:themeFill="background1"/>
          </w:tcPr>
          <w:p w14:paraId="03218D67" w14:textId="77777777" w:rsidR="00A7646C" w:rsidRPr="00602824" w:rsidRDefault="00A7646C" w:rsidP="00A7646C">
            <w:pPr>
              <w:pStyle w:val="TableNText"/>
              <w:keepNext w:val="0"/>
              <w:keepLines/>
              <w:spacing w:line="240" w:lineRule="auto"/>
            </w:pPr>
          </w:p>
        </w:tc>
        <w:tc>
          <w:tcPr>
            <w:tcW w:w="1837" w:type="dxa"/>
            <w:tcBorders>
              <w:top w:val="single" w:sz="8" w:space="0" w:color="FFFFFF" w:themeColor="background1"/>
              <w:bottom w:val="single" w:sz="8" w:space="0" w:color="FFFFFF" w:themeColor="background1"/>
            </w:tcBorders>
            <w:shd w:val="clear" w:color="auto" w:fill="F2F2F2" w:themeFill="background1" w:themeFillShade="F2"/>
          </w:tcPr>
          <w:p w14:paraId="393A65DC" w14:textId="77777777" w:rsidR="00A7646C" w:rsidRPr="006C39B2" w:rsidRDefault="00A7646C" w:rsidP="00A7646C">
            <w:pPr>
              <w:pStyle w:val="TableNText"/>
              <w:keepNext w:val="0"/>
              <w:keepLines/>
              <w:spacing w:line="240" w:lineRule="auto"/>
              <w:rPr>
                <w:rFonts w:asciiTheme="majorHAnsi" w:hAnsiTheme="majorHAnsi" w:cstheme="majorHAnsi"/>
                <w:color w:val="00264D" w:themeColor="background2"/>
              </w:rPr>
            </w:pPr>
            <w:r w:rsidRPr="006C39B2">
              <w:rPr>
                <w:rFonts w:asciiTheme="majorHAnsi" w:hAnsiTheme="majorHAnsi" w:cstheme="majorHAnsi"/>
                <w:color w:val="00264D" w:themeColor="background2"/>
              </w:rPr>
              <w:t xml:space="preserve">Changes to assessment governance </w:t>
            </w:r>
            <w:r>
              <w:rPr>
                <w:rFonts w:asciiTheme="majorHAnsi" w:hAnsiTheme="majorHAnsi" w:cstheme="majorHAnsi"/>
                <w:color w:val="00264D" w:themeColor="background2"/>
              </w:rPr>
              <w:t>arrangements</w:t>
            </w:r>
            <w:r w:rsidRPr="006C39B2">
              <w:rPr>
                <w:rFonts w:asciiTheme="majorHAnsi" w:hAnsiTheme="majorHAnsi" w:cstheme="majorHAnsi"/>
                <w:color w:val="00264D" w:themeColor="background2"/>
              </w:rPr>
              <w:t>.</w:t>
            </w:r>
          </w:p>
        </w:tc>
        <w:tc>
          <w:tcPr>
            <w:tcW w:w="2835" w:type="dxa"/>
            <w:tcBorders>
              <w:top w:val="single" w:sz="8" w:space="0" w:color="FFFFFF" w:themeColor="background1"/>
              <w:bottom w:val="single" w:sz="8" w:space="0" w:color="FFFFFF" w:themeColor="background1"/>
            </w:tcBorders>
            <w:shd w:val="clear" w:color="auto" w:fill="F2F2F2" w:themeFill="background1" w:themeFillShade="F2"/>
          </w:tcPr>
          <w:p w14:paraId="106280AB" w14:textId="77777777" w:rsidR="00A7646C" w:rsidRPr="00354B01" w:rsidRDefault="00A7646C" w:rsidP="00354B01">
            <w:pPr>
              <w:pStyle w:val="TableNBullet"/>
            </w:pPr>
            <w:r w:rsidRPr="00354B01">
              <w:t>MDHTAC and Expert Clinical Advisory Groups (ECAGs) replaced former governance arrangements.</w:t>
            </w:r>
          </w:p>
        </w:tc>
        <w:tc>
          <w:tcPr>
            <w:tcW w:w="4619" w:type="dxa"/>
            <w:tcBorders>
              <w:top w:val="single" w:sz="8" w:space="0" w:color="FFFFFF" w:themeColor="background1"/>
              <w:bottom w:val="single" w:sz="8" w:space="0" w:color="FFFFFF" w:themeColor="background1"/>
            </w:tcBorders>
            <w:shd w:val="clear" w:color="auto" w:fill="E6E6E1" w:themeFill="accent5"/>
          </w:tcPr>
          <w:p w14:paraId="2DEEDF23" w14:textId="77777777" w:rsidR="00A7646C" w:rsidRPr="00354B01" w:rsidRDefault="00A7646C" w:rsidP="00354B01">
            <w:pPr>
              <w:pStyle w:val="TableNBullet"/>
            </w:pPr>
            <w:r w:rsidRPr="00354B01">
              <w:t>The revised model improved efficiency and reduced conflicts of interest by removing direct representation from commercially interested parties.</w:t>
            </w:r>
          </w:p>
          <w:p w14:paraId="3FF31257" w14:textId="77777777" w:rsidR="00A7646C" w:rsidRPr="00354B01" w:rsidRDefault="00A7646C" w:rsidP="00354B01">
            <w:pPr>
              <w:pStyle w:val="TableNBullet"/>
            </w:pPr>
            <w:r w:rsidRPr="00354B01">
              <w:t>Some stakeholders raised concerns about transparency, communication and limited visibility of decision rationales.</w:t>
            </w:r>
          </w:p>
        </w:tc>
      </w:tr>
      <w:tr w:rsidR="00993F6C" w:rsidRPr="004440B3" w14:paraId="15E4994F" w14:textId="77777777" w:rsidTr="00746CDE">
        <w:trPr>
          <w:trHeight w:val="414"/>
        </w:trPr>
        <w:tc>
          <w:tcPr>
            <w:tcW w:w="1819" w:type="dxa"/>
            <w:vMerge w:val="restart"/>
            <w:tcBorders>
              <w:top w:val="single" w:sz="8" w:space="0" w:color="E6E6E1" w:themeColor="accent5"/>
            </w:tcBorders>
            <w:shd w:val="clear" w:color="auto" w:fill="12365A"/>
          </w:tcPr>
          <w:p w14:paraId="1DF151E6" w14:textId="31DAC947" w:rsidR="00993F6C" w:rsidRPr="00602824" w:rsidRDefault="00993F6C" w:rsidP="00F03D6E">
            <w:pPr>
              <w:pStyle w:val="TableNText"/>
              <w:keepNext w:val="0"/>
              <w:keepLines/>
              <w:spacing w:line="240" w:lineRule="auto"/>
              <w:rPr>
                <w:rFonts w:asciiTheme="majorHAnsi" w:hAnsiTheme="majorHAnsi" w:cstheme="majorHAnsi"/>
              </w:rPr>
            </w:pPr>
            <w:r w:rsidRPr="00602824">
              <w:rPr>
                <w:rFonts w:asciiTheme="majorHAnsi" w:hAnsiTheme="majorHAnsi" w:cstheme="majorHAnsi"/>
              </w:rPr>
              <w:t>7. Develop and implement PL listing reviews and PL compliance frameworks to safeguard the PL Reform</w:t>
            </w:r>
          </w:p>
        </w:tc>
        <w:tc>
          <w:tcPr>
            <w:tcW w:w="1503" w:type="dxa"/>
            <w:tcBorders>
              <w:top w:val="single" w:sz="8" w:space="0" w:color="E6E6E1" w:themeColor="accent5"/>
              <w:bottom w:val="single" w:sz="8" w:space="0" w:color="D9D9D9" w:themeColor="background1" w:themeShade="D9"/>
            </w:tcBorders>
            <w:shd w:val="clear" w:color="auto" w:fill="FFFFFF" w:themeFill="background1"/>
          </w:tcPr>
          <w:p w14:paraId="4DDFAE6F" w14:textId="2D880B98" w:rsidR="00993F6C" w:rsidRDefault="00993F6C" w:rsidP="00F03D6E">
            <w:pPr>
              <w:pStyle w:val="TableNText"/>
              <w:keepNext w:val="0"/>
              <w:keepLines/>
              <w:spacing w:line="240" w:lineRule="auto"/>
            </w:pPr>
            <w:r w:rsidRPr="00602824">
              <w:t>No formal compliance strategy.</w:t>
            </w:r>
          </w:p>
        </w:tc>
        <w:tc>
          <w:tcPr>
            <w:tcW w:w="1504" w:type="dxa"/>
            <w:tcBorders>
              <w:top w:val="single" w:sz="8" w:space="0" w:color="E6E6E1" w:themeColor="accent5"/>
              <w:bottom w:val="single" w:sz="8" w:space="0" w:color="D9D9D9" w:themeColor="background1" w:themeShade="D9"/>
            </w:tcBorders>
            <w:shd w:val="clear" w:color="auto" w:fill="FFFFFF" w:themeFill="background1"/>
          </w:tcPr>
          <w:p w14:paraId="1933B5EA" w14:textId="64C9A3E2" w:rsidR="00993F6C" w:rsidRPr="00602824" w:rsidRDefault="00993F6C" w:rsidP="00F03D6E">
            <w:pPr>
              <w:pStyle w:val="TableNText"/>
              <w:keepNext w:val="0"/>
              <w:keepLines/>
              <w:spacing w:line="240" w:lineRule="auto"/>
            </w:pPr>
            <w:r w:rsidRPr="00602824">
              <w:t>Effective compliance crucial to safeguard the PL reform.</w:t>
            </w:r>
          </w:p>
        </w:tc>
        <w:tc>
          <w:tcPr>
            <w:tcW w:w="1837" w:type="dxa"/>
            <w:tcBorders>
              <w:top w:val="single" w:sz="8" w:space="0" w:color="FFFFFF" w:themeColor="background1"/>
              <w:bottom w:val="single" w:sz="8" w:space="0" w:color="FFFFFF" w:themeColor="background1"/>
            </w:tcBorders>
            <w:shd w:val="clear" w:color="auto" w:fill="F2F2F2" w:themeFill="background1" w:themeFillShade="F2"/>
          </w:tcPr>
          <w:p w14:paraId="4D82DE1E" w14:textId="77777777" w:rsidR="00993F6C" w:rsidRPr="006C39B2" w:rsidRDefault="00993F6C" w:rsidP="00F03D6E">
            <w:pPr>
              <w:pStyle w:val="TableNText"/>
              <w:keepLines/>
              <w:spacing w:line="240" w:lineRule="auto"/>
              <w:rPr>
                <w:rFonts w:asciiTheme="majorHAnsi" w:hAnsiTheme="majorHAnsi" w:cstheme="majorHAnsi"/>
                <w:color w:val="00264D" w:themeColor="background2"/>
              </w:rPr>
            </w:pPr>
            <w:r w:rsidRPr="006C39B2">
              <w:rPr>
                <w:rFonts w:asciiTheme="majorHAnsi" w:hAnsiTheme="majorHAnsi" w:cstheme="majorHAnsi"/>
                <w:color w:val="00264D" w:themeColor="background2"/>
              </w:rPr>
              <w:t>Development of formal compliance strategy and associated functions.</w:t>
            </w:r>
          </w:p>
          <w:p w14:paraId="6FD68076" w14:textId="77777777" w:rsidR="00993F6C" w:rsidRPr="006C39B2" w:rsidRDefault="00993F6C" w:rsidP="00F03D6E">
            <w:pPr>
              <w:pStyle w:val="TableNText"/>
              <w:keepNext w:val="0"/>
              <w:keepLines/>
              <w:spacing w:line="240" w:lineRule="auto"/>
              <w:rPr>
                <w:rFonts w:asciiTheme="majorHAnsi" w:hAnsiTheme="majorHAnsi" w:cstheme="majorHAnsi"/>
                <w:color w:val="00264D" w:themeColor="background2"/>
              </w:rPr>
            </w:pPr>
          </w:p>
        </w:tc>
        <w:tc>
          <w:tcPr>
            <w:tcW w:w="2835" w:type="dxa"/>
            <w:tcBorders>
              <w:top w:val="single" w:sz="8" w:space="0" w:color="FFFFFF" w:themeColor="background1"/>
              <w:bottom w:val="single" w:sz="8" w:space="0" w:color="FFFFFF" w:themeColor="background1"/>
            </w:tcBorders>
            <w:shd w:val="clear" w:color="auto" w:fill="F2F2F2" w:themeFill="background1" w:themeFillShade="F2"/>
          </w:tcPr>
          <w:p w14:paraId="30900BA0" w14:textId="77777777" w:rsidR="00993F6C" w:rsidRPr="00354B01" w:rsidRDefault="00993F6C" w:rsidP="00354B01">
            <w:pPr>
              <w:pStyle w:val="TableNBullet"/>
            </w:pPr>
            <w:r w:rsidRPr="00354B01">
              <w:t>A PL Compliance Strategy was developed and updated.</w:t>
            </w:r>
          </w:p>
          <w:p w14:paraId="130B2063" w14:textId="211AD417" w:rsidR="00993F6C" w:rsidRPr="00354B01" w:rsidRDefault="00993F6C" w:rsidP="00354B01">
            <w:pPr>
              <w:pStyle w:val="TableNBullet"/>
            </w:pPr>
            <w:r w:rsidRPr="00354B01">
              <w:t>Planned legislative changes to expand compliance powers were not enacted.</w:t>
            </w:r>
          </w:p>
        </w:tc>
        <w:tc>
          <w:tcPr>
            <w:tcW w:w="4619" w:type="dxa"/>
            <w:tcBorders>
              <w:top w:val="single" w:sz="8" w:space="0" w:color="FFFFFF" w:themeColor="background1"/>
              <w:bottom w:val="single" w:sz="8" w:space="0" w:color="FFFFFF" w:themeColor="background1"/>
            </w:tcBorders>
            <w:shd w:val="clear" w:color="auto" w:fill="E6E6E1" w:themeFill="accent5"/>
          </w:tcPr>
          <w:p w14:paraId="1D473D77" w14:textId="77777777" w:rsidR="00993F6C" w:rsidRPr="00354B01" w:rsidRDefault="00993F6C" w:rsidP="00354B01">
            <w:pPr>
              <w:pStyle w:val="TableNBullet"/>
            </w:pPr>
            <w:r w:rsidRPr="00354B01">
              <w:t>The PL Compliance Strategy provides a clearer basis for monitoring, education and response to compliance risks.</w:t>
            </w:r>
          </w:p>
          <w:p w14:paraId="510DC02B" w14:textId="77777777" w:rsidR="00993F6C" w:rsidRPr="00354B01" w:rsidRDefault="00993F6C" w:rsidP="00354B01">
            <w:pPr>
              <w:pStyle w:val="TableNBullet"/>
            </w:pPr>
            <w:r w:rsidRPr="00354B01">
              <w:t>The approach relies on existing powers and a lighter-touch, risk-based model. The Department remains limited in its ability to compel information or enforce some proposed measures.</w:t>
            </w:r>
          </w:p>
          <w:p w14:paraId="2CE630A3" w14:textId="17920578" w:rsidR="00993F6C" w:rsidRPr="00354B01" w:rsidRDefault="00993F6C" w:rsidP="00354B01">
            <w:pPr>
              <w:pStyle w:val="TableNBullet"/>
            </w:pPr>
            <w:r w:rsidRPr="00354B01">
              <w:t>Stakeholders have concerns about the Department’s capacity to effectively perform compliance and assurance activities.</w:t>
            </w:r>
          </w:p>
        </w:tc>
      </w:tr>
      <w:tr w:rsidR="00993F6C" w:rsidRPr="004440B3" w14:paraId="5E820392" w14:textId="77777777" w:rsidTr="00746CDE">
        <w:trPr>
          <w:trHeight w:val="414"/>
        </w:trPr>
        <w:tc>
          <w:tcPr>
            <w:tcW w:w="1819" w:type="dxa"/>
            <w:vMerge/>
            <w:tcBorders>
              <w:bottom w:val="single" w:sz="8" w:space="0" w:color="FFFFFF" w:themeColor="background1"/>
            </w:tcBorders>
            <w:shd w:val="clear" w:color="auto" w:fill="12365A"/>
          </w:tcPr>
          <w:p w14:paraId="17E438F5" w14:textId="77777777" w:rsidR="00993F6C" w:rsidRPr="00602824" w:rsidRDefault="00993F6C" w:rsidP="00993F6C">
            <w:pPr>
              <w:pStyle w:val="TableNText"/>
              <w:keepNext w:val="0"/>
              <w:keepLines/>
              <w:spacing w:line="240" w:lineRule="auto"/>
              <w:rPr>
                <w:rFonts w:asciiTheme="majorHAnsi" w:hAnsiTheme="majorHAnsi" w:cstheme="majorHAnsi"/>
              </w:rPr>
            </w:pPr>
          </w:p>
        </w:tc>
        <w:tc>
          <w:tcPr>
            <w:tcW w:w="1503" w:type="dxa"/>
            <w:tcBorders>
              <w:top w:val="single" w:sz="8" w:space="0" w:color="E6E6E1" w:themeColor="accent5"/>
              <w:bottom w:val="single" w:sz="8" w:space="0" w:color="D9D9D9" w:themeColor="background1" w:themeShade="D9"/>
            </w:tcBorders>
            <w:shd w:val="clear" w:color="auto" w:fill="FFFFFF" w:themeFill="background1"/>
          </w:tcPr>
          <w:p w14:paraId="2969C062" w14:textId="5731847C" w:rsidR="00993F6C" w:rsidRDefault="00993F6C" w:rsidP="00993F6C">
            <w:pPr>
              <w:pStyle w:val="TableNText"/>
              <w:keepNext w:val="0"/>
              <w:keepLines/>
              <w:spacing w:line="240" w:lineRule="auto"/>
            </w:pPr>
            <w:r w:rsidRPr="00602824">
              <w:t>No formal post-listing review framework.</w:t>
            </w:r>
          </w:p>
        </w:tc>
        <w:tc>
          <w:tcPr>
            <w:tcW w:w="1504" w:type="dxa"/>
            <w:tcBorders>
              <w:top w:val="single" w:sz="8" w:space="0" w:color="E6E6E1" w:themeColor="accent5"/>
              <w:bottom w:val="single" w:sz="8" w:space="0" w:color="D9D9D9" w:themeColor="background1" w:themeShade="D9"/>
            </w:tcBorders>
            <w:shd w:val="clear" w:color="auto" w:fill="FFFFFF" w:themeFill="background1"/>
          </w:tcPr>
          <w:p w14:paraId="59063DFA" w14:textId="26A0FD67" w:rsidR="00993F6C" w:rsidRPr="00602824" w:rsidRDefault="00993F6C" w:rsidP="00993F6C">
            <w:pPr>
              <w:pStyle w:val="TableNText"/>
              <w:keepNext w:val="0"/>
              <w:keepLines/>
              <w:spacing w:line="240" w:lineRule="auto"/>
            </w:pPr>
            <w:r w:rsidRPr="00602824">
              <w:t>Post-listing review mechanisms important to maintaining the integrity of the PL.</w:t>
            </w:r>
          </w:p>
        </w:tc>
        <w:tc>
          <w:tcPr>
            <w:tcW w:w="1837" w:type="dxa"/>
            <w:tcBorders>
              <w:top w:val="single" w:sz="8" w:space="0" w:color="FFFFFF" w:themeColor="background1"/>
              <w:bottom w:val="single" w:sz="8" w:space="0" w:color="FFFFFF" w:themeColor="background1"/>
            </w:tcBorders>
            <w:shd w:val="clear" w:color="auto" w:fill="F2F2F2" w:themeFill="background1" w:themeFillShade="F2"/>
          </w:tcPr>
          <w:p w14:paraId="5F847982" w14:textId="7D9DB42E" w:rsidR="00993F6C" w:rsidRPr="006C39B2" w:rsidRDefault="00993F6C" w:rsidP="00993F6C">
            <w:pPr>
              <w:pStyle w:val="TableNText"/>
              <w:keepNext w:val="0"/>
              <w:keepLines/>
              <w:spacing w:line="240" w:lineRule="auto"/>
              <w:rPr>
                <w:rFonts w:asciiTheme="majorHAnsi" w:hAnsiTheme="majorHAnsi" w:cstheme="majorHAnsi"/>
                <w:color w:val="00264D" w:themeColor="background2"/>
              </w:rPr>
            </w:pPr>
            <w:r w:rsidRPr="006C39B2">
              <w:rPr>
                <w:rFonts w:asciiTheme="majorHAnsi" w:hAnsiTheme="majorHAnsi" w:cstheme="majorHAnsi"/>
                <w:color w:val="00264D" w:themeColor="background2"/>
              </w:rPr>
              <w:t>Development of post-listing review framework and completion of pilots.</w:t>
            </w:r>
          </w:p>
        </w:tc>
        <w:tc>
          <w:tcPr>
            <w:tcW w:w="2835" w:type="dxa"/>
            <w:tcBorders>
              <w:top w:val="single" w:sz="8" w:space="0" w:color="FFFFFF" w:themeColor="background1"/>
              <w:bottom w:val="single" w:sz="8" w:space="0" w:color="FFFFFF" w:themeColor="background1"/>
            </w:tcBorders>
            <w:shd w:val="clear" w:color="auto" w:fill="F2F2F2" w:themeFill="background1" w:themeFillShade="F2"/>
          </w:tcPr>
          <w:p w14:paraId="78365A52" w14:textId="26163655" w:rsidR="00993F6C" w:rsidRPr="00354B01" w:rsidRDefault="00993F6C" w:rsidP="00354B01">
            <w:pPr>
              <w:pStyle w:val="TableNBullet"/>
            </w:pPr>
            <w:r w:rsidRPr="00354B01">
              <w:t>A formal post-listing review framework was developed, tested through pilot reviews, and updated to clarify processes and consultation timeframes.</w:t>
            </w:r>
          </w:p>
        </w:tc>
        <w:tc>
          <w:tcPr>
            <w:tcW w:w="4619" w:type="dxa"/>
            <w:tcBorders>
              <w:top w:val="single" w:sz="8" w:space="0" w:color="FFFFFF" w:themeColor="background1"/>
              <w:bottom w:val="single" w:sz="8" w:space="0" w:color="FFFFFF" w:themeColor="background1"/>
            </w:tcBorders>
            <w:shd w:val="clear" w:color="auto" w:fill="E6E6E1" w:themeFill="accent5"/>
          </w:tcPr>
          <w:p w14:paraId="3D2F2AD4" w14:textId="77777777" w:rsidR="00993F6C" w:rsidRPr="00354B01" w:rsidRDefault="00993F6C" w:rsidP="00354B01">
            <w:pPr>
              <w:pStyle w:val="TableNBullet"/>
            </w:pPr>
            <w:r w:rsidRPr="00354B01">
              <w:t>The framework strengthened the PL by creating a mechanism to reassess whether listed devices remain clinically appropriate, cost-effective and eligible for benefits.</w:t>
            </w:r>
          </w:p>
          <w:p w14:paraId="583403C8" w14:textId="558AD996" w:rsidR="00993F6C" w:rsidRPr="00354B01" w:rsidRDefault="00993F6C" w:rsidP="00354B01">
            <w:pPr>
              <w:pStyle w:val="TableNBullet"/>
            </w:pPr>
            <w:r w:rsidRPr="00354B01">
              <w:t xml:space="preserve">The pilot reviews demonstrated that post-listing reviews under the framework can be lengthy and resource-intensive, with two of the four reviews still ongoing at the conclusion of the reforms. </w:t>
            </w:r>
          </w:p>
        </w:tc>
      </w:tr>
      <w:tr w:rsidR="00993F6C" w:rsidRPr="004440B3" w14:paraId="45649DCB" w14:textId="77777777" w:rsidTr="00600141">
        <w:tc>
          <w:tcPr>
            <w:tcW w:w="1819" w:type="dxa"/>
            <w:tcBorders>
              <w:top w:val="single" w:sz="8" w:space="0" w:color="FFFFFF" w:themeColor="background1"/>
            </w:tcBorders>
            <w:shd w:val="clear" w:color="auto" w:fill="12365A"/>
          </w:tcPr>
          <w:p w14:paraId="67FB555F" w14:textId="77777777" w:rsidR="00993F6C" w:rsidRPr="00602824" w:rsidRDefault="00993F6C" w:rsidP="00993F6C">
            <w:pPr>
              <w:pStyle w:val="TableNText"/>
              <w:keepNext w:val="0"/>
              <w:keepLines/>
              <w:spacing w:line="240" w:lineRule="auto"/>
              <w:rPr>
                <w:rFonts w:asciiTheme="majorHAnsi" w:hAnsiTheme="majorHAnsi" w:cstheme="majorHAnsi"/>
              </w:rPr>
            </w:pPr>
            <w:r w:rsidRPr="00602824">
              <w:rPr>
                <w:rFonts w:asciiTheme="majorHAnsi" w:hAnsiTheme="majorHAnsi" w:cstheme="majorHAnsi"/>
              </w:rPr>
              <w:t>8. Ensure ongoing financial sustainability of PL administration through effective and efficient cost recovery arrangements that are compliant with the Australian Government Charging Framework</w:t>
            </w:r>
          </w:p>
        </w:tc>
        <w:tc>
          <w:tcPr>
            <w:tcW w:w="1503" w:type="dxa"/>
            <w:tcBorders>
              <w:top w:val="single" w:sz="8" w:space="0" w:color="D9D9D9" w:themeColor="background1" w:themeShade="D9"/>
            </w:tcBorders>
            <w:shd w:val="clear" w:color="auto" w:fill="FFFFFF" w:themeFill="background1"/>
          </w:tcPr>
          <w:p w14:paraId="3007030A" w14:textId="77777777" w:rsidR="00993F6C" w:rsidRPr="00602824" w:rsidRDefault="00993F6C" w:rsidP="00993F6C">
            <w:pPr>
              <w:pStyle w:val="TableNText"/>
              <w:keepNext w:val="0"/>
              <w:keepLines/>
              <w:spacing w:line="240" w:lineRule="auto"/>
            </w:pPr>
            <w:r w:rsidRPr="00602824">
              <w:t>Historically established cost recovery arrangements are non-sustainable and misaligned with Australian Government Charging Framework.</w:t>
            </w:r>
          </w:p>
        </w:tc>
        <w:tc>
          <w:tcPr>
            <w:tcW w:w="1504" w:type="dxa"/>
            <w:tcBorders>
              <w:top w:val="single" w:sz="8" w:space="0" w:color="D9D9D9" w:themeColor="background1" w:themeShade="D9"/>
            </w:tcBorders>
            <w:shd w:val="clear" w:color="auto" w:fill="FFFFFF" w:themeFill="background1"/>
          </w:tcPr>
          <w:p w14:paraId="180C7532" w14:textId="77777777" w:rsidR="00993F6C" w:rsidRPr="00602824" w:rsidRDefault="00993F6C" w:rsidP="00993F6C">
            <w:pPr>
              <w:pStyle w:val="TableNText"/>
              <w:keepNext w:val="0"/>
              <w:keepLines/>
              <w:spacing w:line="240" w:lineRule="auto"/>
            </w:pPr>
            <w:r w:rsidRPr="00602824">
              <w:t>PL administration should be cost-neutral to Government.</w:t>
            </w:r>
          </w:p>
        </w:tc>
        <w:tc>
          <w:tcPr>
            <w:tcW w:w="1837" w:type="dxa"/>
            <w:tcBorders>
              <w:top w:val="single" w:sz="8" w:space="0" w:color="FFFFFF" w:themeColor="background1"/>
            </w:tcBorders>
            <w:shd w:val="clear" w:color="auto" w:fill="F2F2F2" w:themeFill="background1" w:themeFillShade="F2"/>
          </w:tcPr>
          <w:p w14:paraId="30F8BB7C" w14:textId="77777777" w:rsidR="00993F6C" w:rsidRPr="00602824" w:rsidRDefault="00993F6C" w:rsidP="00993F6C">
            <w:pPr>
              <w:pStyle w:val="TableNText"/>
              <w:keepLines/>
              <w:spacing w:line="240" w:lineRule="auto"/>
            </w:pPr>
            <w:r>
              <w:rPr>
                <w:rFonts w:asciiTheme="majorHAnsi" w:hAnsiTheme="majorHAnsi" w:cstheme="majorHAnsi"/>
                <w:color w:val="00264D" w:themeColor="background2"/>
              </w:rPr>
              <w:t>Revised c</w:t>
            </w:r>
            <w:r w:rsidRPr="006C39B2">
              <w:rPr>
                <w:rFonts w:asciiTheme="majorHAnsi" w:hAnsiTheme="majorHAnsi" w:cstheme="majorHAnsi"/>
                <w:color w:val="00264D" w:themeColor="background2"/>
              </w:rPr>
              <w:t>ost recovery arrangements</w:t>
            </w:r>
            <w:r>
              <w:rPr>
                <w:rFonts w:asciiTheme="majorHAnsi" w:hAnsiTheme="majorHAnsi" w:cstheme="majorHAnsi"/>
                <w:color w:val="00264D" w:themeColor="background2"/>
              </w:rPr>
              <w:t>.</w:t>
            </w:r>
          </w:p>
        </w:tc>
        <w:tc>
          <w:tcPr>
            <w:tcW w:w="2835" w:type="dxa"/>
            <w:tcBorders>
              <w:top w:val="single" w:sz="8" w:space="0" w:color="FFFFFF" w:themeColor="background1"/>
            </w:tcBorders>
            <w:shd w:val="clear" w:color="auto" w:fill="F2F2F2" w:themeFill="background1" w:themeFillShade="F2"/>
          </w:tcPr>
          <w:p w14:paraId="513D3FFD" w14:textId="77777777" w:rsidR="00993F6C" w:rsidRPr="00354B01" w:rsidRDefault="00993F6C" w:rsidP="00354B01">
            <w:pPr>
              <w:pStyle w:val="TableNBullet"/>
            </w:pPr>
            <w:r w:rsidRPr="00354B01">
              <w:t>The Department implemented revised cost recovery arrangements, including tiered application fees and an annual levy.</w:t>
            </w:r>
          </w:p>
        </w:tc>
        <w:tc>
          <w:tcPr>
            <w:tcW w:w="4619" w:type="dxa"/>
            <w:tcBorders>
              <w:top w:val="single" w:sz="8" w:space="0" w:color="FFFFFF" w:themeColor="background1"/>
            </w:tcBorders>
            <w:shd w:val="clear" w:color="auto" w:fill="E6E6E1" w:themeFill="accent5"/>
          </w:tcPr>
          <w:p w14:paraId="35CCB2BD" w14:textId="77777777" w:rsidR="00993F6C" w:rsidRPr="00354B01" w:rsidRDefault="00993F6C" w:rsidP="00354B01">
            <w:pPr>
              <w:pStyle w:val="TableNBullet"/>
            </w:pPr>
            <w:r w:rsidRPr="00354B01">
              <w:t>The cost recovery arrangements better align PL administration with the Australian Government Charging Framework and the modernised PL operating model.</w:t>
            </w:r>
          </w:p>
          <w:p w14:paraId="08F1D0BC" w14:textId="77777777" w:rsidR="00993F6C" w:rsidRPr="00354B01" w:rsidRDefault="00993F6C" w:rsidP="00354B01">
            <w:pPr>
              <w:pStyle w:val="TableNBullet"/>
            </w:pPr>
            <w:r w:rsidRPr="00354B01">
              <w:t>Stakeholders and Department staff nevertheless continued to raise concerns about whether PL administration is adequately resourced.</w:t>
            </w:r>
          </w:p>
          <w:p w14:paraId="3FE16821" w14:textId="77777777" w:rsidR="00993F6C" w:rsidRPr="00354B01" w:rsidRDefault="00993F6C" w:rsidP="00354B01">
            <w:pPr>
              <w:pStyle w:val="TableNBullet"/>
            </w:pPr>
            <w:r w:rsidRPr="00354B01">
              <w:t>A formal assessment of financial sustainability was outside the evaluation scope.</w:t>
            </w:r>
          </w:p>
        </w:tc>
      </w:tr>
    </w:tbl>
    <w:p w14:paraId="48574BE3" w14:textId="77777777" w:rsidR="00D121A8" w:rsidRPr="00354B01" w:rsidRDefault="00D121A8" w:rsidP="00354B01">
      <w:pPr>
        <w:rPr>
          <w:lang w:eastAsia="en-AU"/>
        </w:rPr>
      </w:pPr>
    </w:p>
    <w:bookmarkEnd w:id="10"/>
    <w:p w14:paraId="7776B2AB" w14:textId="635EFBF9" w:rsidR="006E1F1E" w:rsidRPr="00602824" w:rsidRDefault="006E1F1E" w:rsidP="00580898">
      <w:pPr>
        <w:rPr>
          <w:lang w:eastAsia="en-AU"/>
        </w:rPr>
        <w:sectPr w:rsidR="006E1F1E" w:rsidRPr="00602824" w:rsidSect="002F0197">
          <w:headerReference w:type="default" r:id="rId24"/>
          <w:pgSz w:w="16839" w:h="11907" w:orient="landscape" w:code="9"/>
          <w:pgMar w:top="1134" w:right="1361" w:bottom="1361" w:left="1361" w:header="720" w:footer="720" w:gutter="0"/>
          <w:cols w:space="720"/>
          <w:docGrid w:linePitch="360"/>
        </w:sectPr>
      </w:pPr>
    </w:p>
    <w:p w14:paraId="6EADEAC4" w14:textId="46DF6AA1" w:rsidR="00A048F5" w:rsidRPr="004440B3" w:rsidRDefault="009C67B7" w:rsidP="004440B3">
      <w:pPr>
        <w:pStyle w:val="Heading1"/>
        <w:spacing w:after="600"/>
        <w:rPr>
          <w:color w:val="FFFFFF" w:themeColor="background1"/>
        </w:rPr>
      </w:pPr>
      <w:bookmarkStart w:id="11" w:name="_Toc237002801"/>
      <w:r w:rsidRPr="004440B3">
        <w:rPr>
          <w:color w:val="FFFFFF" w:themeColor="background1"/>
        </w:rPr>
        <w:t xml:space="preserve">About this </w:t>
      </w:r>
      <w:r w:rsidR="004440B3" w:rsidRPr="004440B3">
        <w:rPr>
          <w:noProof/>
          <w:color w:val="FFFFFF" w:themeColor="background1"/>
        </w:rPr>
        <w:drawing>
          <wp:anchor distT="0" distB="0" distL="114300" distR="114300" simplePos="0" relativeHeight="251658246" behindDoc="1" locked="0" layoutInCell="1" allowOverlap="1" wp14:anchorId="3F4B67B8" wp14:editId="279971C9">
            <wp:simplePos x="0" y="0"/>
            <wp:positionH relativeFrom="page">
              <wp:align>left</wp:align>
            </wp:positionH>
            <wp:positionV relativeFrom="page">
              <wp:posOffset>107950</wp:posOffset>
            </wp:positionV>
            <wp:extent cx="7560000" cy="1184400"/>
            <wp:effectExtent l="0" t="0" r="3175" b="0"/>
            <wp:wrapNone/>
            <wp:docPr id="914322983" name="Picture 1" descr="Heading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322983" name="Picture 1" descr="Heading background."/>
                    <pic:cNvPicPr/>
                  </pic:nvPicPr>
                  <pic:blipFill>
                    <a:blip r:embed="rId22">
                      <a:extLst>
                        <a:ext uri="{28A0092B-C50C-407E-A947-70E740481C1C}">
                          <a14:useLocalDpi xmlns:a14="http://schemas.microsoft.com/office/drawing/2010/main" val="0"/>
                        </a:ext>
                      </a:extLst>
                    </a:blip>
                    <a:stretch>
                      <a:fillRect/>
                    </a:stretch>
                  </pic:blipFill>
                  <pic:spPr>
                    <a:xfrm>
                      <a:off x="0" y="0"/>
                      <a:ext cx="7560000" cy="1184400"/>
                    </a:xfrm>
                    <a:prstGeom prst="rect">
                      <a:avLst/>
                    </a:prstGeom>
                  </pic:spPr>
                </pic:pic>
              </a:graphicData>
            </a:graphic>
            <wp14:sizeRelH relativeFrom="margin">
              <wp14:pctWidth>0</wp14:pctWidth>
            </wp14:sizeRelH>
            <wp14:sizeRelV relativeFrom="margin">
              <wp14:pctHeight>0</wp14:pctHeight>
            </wp14:sizeRelV>
          </wp:anchor>
        </w:drawing>
      </w:r>
      <w:r w:rsidR="009675F9">
        <w:rPr>
          <w:color w:val="FFFFFF" w:themeColor="background1"/>
        </w:rPr>
        <w:t>Evaluation</w:t>
      </w:r>
      <w:bookmarkEnd w:id="11"/>
    </w:p>
    <w:p w14:paraId="107318CE" w14:textId="65A6D9EB" w:rsidR="00265CB0" w:rsidRPr="005A1DE6" w:rsidRDefault="00265CB0" w:rsidP="00A048F5">
      <w:pPr>
        <w:rPr>
          <w:lang w:eastAsia="en-AU"/>
        </w:rPr>
      </w:pPr>
      <w:r w:rsidRPr="005A1DE6">
        <w:rPr>
          <w:lang w:eastAsia="en-AU"/>
        </w:rPr>
        <w:t xml:space="preserve">The </w:t>
      </w:r>
      <w:r w:rsidR="00AD7DB3" w:rsidRPr="005A1DE6">
        <w:rPr>
          <w:lang w:eastAsia="en-AU"/>
        </w:rPr>
        <w:t>P</w:t>
      </w:r>
      <w:r w:rsidR="000F464D" w:rsidRPr="005A1DE6">
        <w:rPr>
          <w:lang w:eastAsia="en-AU"/>
        </w:rPr>
        <w:t>rescribed List</w:t>
      </w:r>
      <w:r w:rsidR="00AD7DB3" w:rsidRPr="005A1DE6">
        <w:rPr>
          <w:lang w:eastAsia="en-AU"/>
        </w:rPr>
        <w:t xml:space="preserve"> reforms were </w:t>
      </w:r>
      <w:r w:rsidR="008F5CD9">
        <w:rPr>
          <w:lang w:eastAsia="en-AU"/>
        </w:rPr>
        <w:t xml:space="preserve">implemented by the </w:t>
      </w:r>
      <w:r w:rsidR="002727FF">
        <w:rPr>
          <w:lang w:eastAsia="en-AU"/>
        </w:rPr>
        <w:t xml:space="preserve">Department of </w:t>
      </w:r>
      <w:r w:rsidR="002727FF" w:rsidRPr="005A1DE6">
        <w:rPr>
          <w:lang w:eastAsia="en-AU"/>
        </w:rPr>
        <w:t>Health, Disability and Ageing (the Department) from 1 July 2021 to 30 June 2025</w:t>
      </w:r>
      <w:r w:rsidR="002727FF">
        <w:rPr>
          <w:lang w:eastAsia="en-AU"/>
        </w:rPr>
        <w:t xml:space="preserve">, following their introduction </w:t>
      </w:r>
      <w:r w:rsidR="00FC5F8A" w:rsidRPr="005A1DE6">
        <w:rPr>
          <w:lang w:eastAsia="en-AU"/>
        </w:rPr>
        <w:t xml:space="preserve">in the </w:t>
      </w:r>
      <w:r w:rsidR="00F05286" w:rsidRPr="005A1DE6">
        <w:rPr>
          <w:lang w:eastAsia="en-AU"/>
        </w:rPr>
        <w:t xml:space="preserve">2021-22 </w:t>
      </w:r>
      <w:r w:rsidR="00017E84" w:rsidRPr="005A1DE6">
        <w:rPr>
          <w:lang w:eastAsia="en-AU"/>
        </w:rPr>
        <w:t xml:space="preserve">Australian </w:t>
      </w:r>
      <w:r w:rsidR="00F05286" w:rsidRPr="005A1DE6">
        <w:rPr>
          <w:lang w:eastAsia="en-AU"/>
        </w:rPr>
        <w:t>Federal Budget</w:t>
      </w:r>
      <w:r w:rsidR="00A65366">
        <w:rPr>
          <w:lang w:eastAsia="en-AU"/>
        </w:rPr>
        <w:t>. The aim of the reforms was</w:t>
      </w:r>
      <w:r w:rsidR="00A048F5" w:rsidRPr="005A1DE6">
        <w:rPr>
          <w:lang w:eastAsia="en-AU"/>
        </w:rPr>
        <w:t xml:space="preserve"> to “reduce the cost of medical devices used in the private health sector and streamline access to new medical devices</w:t>
      </w:r>
      <w:r w:rsidR="00901276" w:rsidRPr="005A1DE6">
        <w:rPr>
          <w:lang w:eastAsia="en-AU"/>
        </w:rPr>
        <w:t>”</w:t>
      </w:r>
      <w:r w:rsidR="00DE3D85" w:rsidRPr="005A1DE6">
        <w:rPr>
          <w:lang w:eastAsia="en-AU"/>
        </w:rPr>
        <w:t xml:space="preserve">. </w:t>
      </w:r>
    </w:p>
    <w:p w14:paraId="6F264F38" w14:textId="29DCF3E7" w:rsidR="009675F9" w:rsidRDefault="00EF01DB" w:rsidP="005B2B1D">
      <w:pPr>
        <w:rPr>
          <w:lang w:eastAsia="en-AU"/>
        </w:rPr>
      </w:pPr>
      <w:r w:rsidRPr="0073070A">
        <w:rPr>
          <w:lang w:eastAsia="en-AU"/>
        </w:rPr>
        <w:t>The Department commissioned Nous Group (Nous) to conduct an independent evaluation of the reforms from September 2023 to June 2026, using the Prostheses List Evaluation Framework</w:t>
      </w:r>
      <w:r w:rsidR="00872C80" w:rsidRPr="0073070A">
        <w:rPr>
          <w:lang w:eastAsia="en-AU"/>
        </w:rPr>
        <w:t xml:space="preserve"> (see</w:t>
      </w:r>
      <w:r w:rsidR="00DD5726">
        <w:rPr>
          <w:lang w:eastAsia="en-AU"/>
        </w:rPr>
        <w:t xml:space="preserve"> Appendix</w:t>
      </w:r>
      <w:r w:rsidR="00872C80" w:rsidRPr="0073070A">
        <w:rPr>
          <w:lang w:eastAsia="en-AU"/>
        </w:rPr>
        <w:t xml:space="preserve"> </w:t>
      </w:r>
      <w:r w:rsidR="00DD5726">
        <w:rPr>
          <w:lang w:eastAsia="en-AU"/>
        </w:rPr>
        <w:fldChar w:fldCharType="begin"/>
      </w:r>
      <w:r w:rsidR="00DD5726">
        <w:rPr>
          <w:lang w:eastAsia="en-AU"/>
        </w:rPr>
        <w:instrText xml:space="preserve"> REF _Ref237001349 \r \h </w:instrText>
      </w:r>
      <w:r w:rsidR="00DD5726">
        <w:rPr>
          <w:lang w:eastAsia="en-AU"/>
        </w:rPr>
      </w:r>
      <w:r w:rsidR="00DD5726">
        <w:rPr>
          <w:lang w:eastAsia="en-AU"/>
        </w:rPr>
        <w:fldChar w:fldCharType="separate"/>
      </w:r>
      <w:r w:rsidR="0092693A">
        <w:rPr>
          <w:lang w:eastAsia="en-AU"/>
        </w:rPr>
        <w:t>A.2</w:t>
      </w:r>
      <w:r w:rsidR="00DD5726">
        <w:rPr>
          <w:lang w:eastAsia="en-AU"/>
        </w:rPr>
        <w:fldChar w:fldCharType="end"/>
      </w:r>
      <w:r w:rsidR="009205B1">
        <w:rPr>
          <w:lang w:eastAsia="en-AU"/>
        </w:rPr>
        <w:t>).</w:t>
      </w:r>
      <w:r w:rsidR="00872C80" w:rsidRPr="0073070A">
        <w:rPr>
          <w:lang w:eastAsia="en-AU"/>
        </w:rPr>
        <w:t xml:space="preserve"> </w:t>
      </w:r>
      <w:r w:rsidR="005B2B1D" w:rsidRPr="0073070A">
        <w:rPr>
          <w:lang w:eastAsia="en-AU"/>
        </w:rPr>
        <w:t xml:space="preserve">The evaluation seeks to understand the extent to which reform activities have delivered the objectives of the Prescribed List reforms and </w:t>
      </w:r>
      <w:r w:rsidR="00CD294C" w:rsidRPr="0073070A">
        <w:rPr>
          <w:lang w:eastAsia="en-AU"/>
        </w:rPr>
        <w:t xml:space="preserve">to </w:t>
      </w:r>
      <w:r w:rsidR="005B2B1D" w:rsidRPr="0073070A">
        <w:rPr>
          <w:lang w:eastAsia="en-AU"/>
        </w:rPr>
        <w:t>provide formative insight</w:t>
      </w:r>
      <w:r w:rsidR="00CD294C" w:rsidRPr="0073070A">
        <w:rPr>
          <w:lang w:eastAsia="en-AU"/>
        </w:rPr>
        <w:t>s</w:t>
      </w:r>
      <w:r w:rsidR="005B2B1D" w:rsidRPr="0073070A">
        <w:rPr>
          <w:lang w:eastAsia="en-AU"/>
        </w:rPr>
        <w:t xml:space="preserve"> into implementation. </w:t>
      </w:r>
    </w:p>
    <w:p w14:paraId="4A9979F7" w14:textId="06AB42F9" w:rsidR="00423DEA" w:rsidRPr="00531C99" w:rsidRDefault="00423DEA" w:rsidP="00423DEA">
      <w:pPr>
        <w:spacing w:before="240" w:after="160"/>
        <w:rPr>
          <w:b/>
          <w:bCs/>
          <w:sz w:val="20"/>
          <w:szCs w:val="20"/>
          <w:lang w:eastAsia="en-AU"/>
        </w:rPr>
      </w:pPr>
      <w:r>
        <w:rPr>
          <w:b/>
          <w:bCs/>
          <w:sz w:val="20"/>
          <w:szCs w:val="20"/>
          <w:lang w:eastAsia="en-AU"/>
        </w:rPr>
        <w:t>Evaluation methodology</w:t>
      </w:r>
    </w:p>
    <w:p w14:paraId="58C13DDD" w14:textId="770145F8" w:rsidR="005B2B1D" w:rsidRPr="0073070A" w:rsidRDefault="005B2B1D" w:rsidP="005B2B1D">
      <w:pPr>
        <w:rPr>
          <w:lang w:eastAsia="en-AU"/>
        </w:rPr>
      </w:pPr>
      <w:r w:rsidRPr="0073070A">
        <w:rPr>
          <w:lang w:eastAsia="en-AU"/>
        </w:rPr>
        <w:t>Nous developed an evaluation plan that articulates the program theory of change, defines a set of Key Evaluation Questions (KEQs), and outlines indicators and measures to guide the evaluation.</w:t>
      </w:r>
    </w:p>
    <w:p w14:paraId="6AEE060E" w14:textId="1F99AB91" w:rsidR="007A40B8" w:rsidRDefault="00544655" w:rsidP="00976663">
      <w:pPr>
        <w:rPr>
          <w:lang w:eastAsia="en-AU"/>
        </w:rPr>
      </w:pPr>
      <w:r>
        <w:rPr>
          <w:lang w:eastAsia="en-AU"/>
        </w:rPr>
        <w:t>The evaluation has four</w:t>
      </w:r>
      <w:r w:rsidR="00976663">
        <w:rPr>
          <w:lang w:eastAsia="en-AU"/>
        </w:rPr>
        <w:t xml:space="preserve"> </w:t>
      </w:r>
      <w:r w:rsidR="00B80BC5" w:rsidRPr="00EA273C">
        <w:rPr>
          <w:lang w:eastAsia="en-AU"/>
        </w:rPr>
        <w:t xml:space="preserve">reports: </w:t>
      </w:r>
    </w:p>
    <w:p w14:paraId="0FBA29C4" w14:textId="7FF3E11F" w:rsidR="007A40B8" w:rsidRDefault="00B80BC5" w:rsidP="00C43175">
      <w:pPr>
        <w:pStyle w:val="ListBullet"/>
      </w:pPr>
      <w:r w:rsidRPr="00895F2E">
        <w:t>Baseline Evaluation report</w:t>
      </w:r>
      <w:r w:rsidRPr="00EA273C">
        <w:rPr>
          <w:rStyle w:val="FootnoteReference"/>
        </w:rPr>
        <w:footnoteReference w:id="10"/>
      </w:r>
    </w:p>
    <w:p w14:paraId="1AE80112" w14:textId="0ACBD011" w:rsidR="00253EDE" w:rsidRDefault="00B80BC5" w:rsidP="00C43175">
      <w:pPr>
        <w:pStyle w:val="ListBullet"/>
      </w:pPr>
      <w:r w:rsidRPr="00895F2E">
        <w:rPr>
          <w:i/>
          <w:iCs/>
        </w:rPr>
        <w:t>Interim Evaluation #1 report</w:t>
      </w:r>
      <w:r w:rsidRPr="00EA273C">
        <w:t>,</w:t>
      </w:r>
      <w:r w:rsidR="00397216" w:rsidRPr="00EA273C">
        <w:rPr>
          <w:rStyle w:val="FootnoteReference"/>
        </w:rPr>
        <w:footnoteReference w:id="11"/>
      </w:r>
      <w:r w:rsidRPr="00EA273C">
        <w:t xml:space="preserve"> which covered the period from May 2021 to June 2024</w:t>
      </w:r>
    </w:p>
    <w:p w14:paraId="6F7E9E5F" w14:textId="655798EA" w:rsidR="00A03FB1" w:rsidRDefault="004735F3" w:rsidP="00C43175">
      <w:pPr>
        <w:pStyle w:val="ListBullet"/>
      </w:pPr>
      <w:r w:rsidRPr="00895F2E">
        <w:rPr>
          <w:i/>
        </w:rPr>
        <w:t>Interim Evaluation #2</w:t>
      </w:r>
      <w:r w:rsidR="00397216" w:rsidRPr="00895F2E">
        <w:rPr>
          <w:i/>
        </w:rPr>
        <w:t xml:space="preserve"> report</w:t>
      </w:r>
      <w:r w:rsidR="00397216">
        <w:rPr>
          <w:iCs/>
        </w:rPr>
        <w:t>,</w:t>
      </w:r>
      <w:r>
        <w:rPr>
          <w:rStyle w:val="FootnoteReference"/>
        </w:rPr>
        <w:footnoteReference w:id="12"/>
      </w:r>
      <w:r w:rsidR="00A03FB1" w:rsidRPr="00A03FB1" w:rsidDel="00382CAD">
        <w:t xml:space="preserve"> </w:t>
      </w:r>
      <w:r>
        <w:t xml:space="preserve">which </w:t>
      </w:r>
      <w:r w:rsidR="00544655">
        <w:t>covered the period from</w:t>
      </w:r>
      <w:r w:rsidR="00850343">
        <w:t xml:space="preserve"> July 202</w:t>
      </w:r>
      <w:r w:rsidR="006D4795">
        <w:t>4</w:t>
      </w:r>
      <w:r w:rsidR="00850343">
        <w:t xml:space="preserve"> to</w:t>
      </w:r>
      <w:r w:rsidR="00544655">
        <w:t xml:space="preserve"> the conclusions of the reforms in</w:t>
      </w:r>
      <w:r w:rsidR="00850343">
        <w:t xml:space="preserve"> June </w:t>
      </w:r>
      <w:r w:rsidR="006D4795">
        <w:t>2025</w:t>
      </w:r>
    </w:p>
    <w:p w14:paraId="3F101C54" w14:textId="459035C1" w:rsidR="00544655" w:rsidRDefault="00C62E76" w:rsidP="00C43175">
      <w:pPr>
        <w:pStyle w:val="ListBullet"/>
      </w:pPr>
      <w:r w:rsidRPr="00895F2E">
        <w:rPr>
          <w:i/>
          <w:iCs/>
        </w:rPr>
        <w:t>Final Evaluation report</w:t>
      </w:r>
      <w:r>
        <w:t xml:space="preserve">, which </w:t>
      </w:r>
      <w:r w:rsidR="008324FF">
        <w:t>builds on</w:t>
      </w:r>
      <w:r>
        <w:t xml:space="preserve"> the </w:t>
      </w:r>
      <w:r w:rsidRPr="00895F2E">
        <w:rPr>
          <w:i/>
          <w:iCs/>
        </w:rPr>
        <w:t>Interim Evaluation #2 report</w:t>
      </w:r>
      <w:r>
        <w:t xml:space="preserve"> with </w:t>
      </w:r>
      <w:r w:rsidR="008324FF">
        <w:t>revised figures and targeted amendments to findings and recommendations</w:t>
      </w:r>
      <w:r w:rsidR="009B5E2E">
        <w:t xml:space="preserve"> to reflect impacts realised following program completion.</w:t>
      </w:r>
    </w:p>
    <w:p w14:paraId="28956B30" w14:textId="524FE602" w:rsidR="006B3DB7" w:rsidRDefault="006B3DB7" w:rsidP="00976663">
      <w:pPr>
        <w:rPr>
          <w:lang w:eastAsia="en-AU"/>
        </w:rPr>
      </w:pPr>
      <w:r w:rsidRPr="0073070A">
        <w:rPr>
          <w:lang w:eastAsia="en-AU"/>
        </w:rPr>
        <w:t xml:space="preserve">Further detail on the evaluation methodology is provided in </w:t>
      </w:r>
      <w:r w:rsidRPr="0073070A">
        <w:rPr>
          <w:lang w:eastAsia="en-AU"/>
        </w:rPr>
        <w:fldChar w:fldCharType="begin"/>
      </w:r>
      <w:r w:rsidRPr="0073070A">
        <w:rPr>
          <w:lang w:eastAsia="en-AU"/>
        </w:rPr>
        <w:instrText xml:space="preserve"> REF _Ref202373269 \r \h  \* MERGEFORMAT </w:instrText>
      </w:r>
      <w:r w:rsidRPr="0073070A">
        <w:rPr>
          <w:lang w:eastAsia="en-AU"/>
        </w:rPr>
      </w:r>
      <w:r w:rsidRPr="0073070A">
        <w:rPr>
          <w:lang w:eastAsia="en-AU"/>
        </w:rPr>
        <w:fldChar w:fldCharType="separate"/>
      </w:r>
      <w:r w:rsidR="0092693A">
        <w:rPr>
          <w:lang w:eastAsia="en-AU"/>
        </w:rPr>
        <w:t>Appendix A</w:t>
      </w:r>
      <w:r w:rsidRPr="0073070A">
        <w:rPr>
          <w:lang w:eastAsia="en-AU"/>
        </w:rPr>
        <w:fldChar w:fldCharType="end"/>
      </w:r>
      <w:r w:rsidRPr="0073070A">
        <w:rPr>
          <w:lang w:eastAsia="en-AU"/>
        </w:rPr>
        <w:t>.</w:t>
      </w:r>
    </w:p>
    <w:p w14:paraId="696F1FD4" w14:textId="7839CD08" w:rsidR="00423DEA" w:rsidRPr="00531C99" w:rsidRDefault="00423DEA" w:rsidP="00423DEA">
      <w:pPr>
        <w:spacing w:before="240" w:after="160"/>
        <w:rPr>
          <w:b/>
          <w:bCs/>
          <w:sz w:val="20"/>
          <w:szCs w:val="20"/>
          <w:lang w:eastAsia="en-AU"/>
        </w:rPr>
      </w:pPr>
      <w:r>
        <w:rPr>
          <w:b/>
          <w:bCs/>
          <w:sz w:val="20"/>
          <w:szCs w:val="20"/>
          <w:lang w:eastAsia="en-AU"/>
        </w:rPr>
        <w:t>Consultations</w:t>
      </w:r>
    </w:p>
    <w:p w14:paraId="77A6845A" w14:textId="2BCF95DE" w:rsidR="000A3CA7" w:rsidRDefault="000114FD" w:rsidP="00976663">
      <w:r>
        <w:t>Stakeholder consultations were conducted for the Baseline Evaluation and two Interim Evaluation reports.</w:t>
      </w:r>
      <w:r w:rsidR="00E234C8">
        <w:t xml:space="preserve"> </w:t>
      </w:r>
      <w:r w:rsidR="003B6888">
        <w:t>Those consulted included:</w:t>
      </w:r>
    </w:p>
    <w:p w14:paraId="0443F771" w14:textId="3C6DFE32" w:rsidR="00142ABD" w:rsidRDefault="00142ABD" w:rsidP="00C43175">
      <w:pPr>
        <w:pStyle w:val="ListBullet"/>
      </w:pPr>
      <w:r>
        <w:t xml:space="preserve">private health insurance </w:t>
      </w:r>
      <w:r w:rsidR="00F27279">
        <w:t>representatives</w:t>
      </w:r>
    </w:p>
    <w:p w14:paraId="3EFC0290" w14:textId="1BF3C59D" w:rsidR="00F27279" w:rsidRDefault="00F27279" w:rsidP="00C43175">
      <w:pPr>
        <w:pStyle w:val="ListBullet"/>
      </w:pPr>
      <w:r>
        <w:t>private hospital</w:t>
      </w:r>
      <w:r w:rsidR="00EA24F0">
        <w:t xml:space="preserve"> </w:t>
      </w:r>
      <w:r w:rsidR="00BE53D3">
        <w:t xml:space="preserve">and day hospital </w:t>
      </w:r>
      <w:r w:rsidR="00EA24F0">
        <w:t>representatives</w:t>
      </w:r>
    </w:p>
    <w:p w14:paraId="1FD460A8" w14:textId="4D763EAE" w:rsidR="00F27279" w:rsidRDefault="00F27279" w:rsidP="00C43175">
      <w:pPr>
        <w:pStyle w:val="ListBullet"/>
      </w:pPr>
      <w:r>
        <w:t>the medical technology sector</w:t>
      </w:r>
    </w:p>
    <w:p w14:paraId="67BADBBE" w14:textId="5BBC1DBA" w:rsidR="00913845" w:rsidRDefault="00913845" w:rsidP="00C43175">
      <w:pPr>
        <w:pStyle w:val="ListBullet"/>
      </w:pPr>
      <w:r>
        <w:t>clinician representatives</w:t>
      </w:r>
      <w:r w:rsidR="00713B33">
        <w:t>, including relevant medical advisory committees and governance bodies</w:t>
      </w:r>
    </w:p>
    <w:p w14:paraId="310FDC54" w14:textId="34B30A85" w:rsidR="00EA24F0" w:rsidRDefault="00EA24F0" w:rsidP="00C43175">
      <w:pPr>
        <w:pStyle w:val="ListBullet"/>
      </w:pPr>
      <w:r>
        <w:t>consumer representatives</w:t>
      </w:r>
    </w:p>
    <w:p w14:paraId="136966D3" w14:textId="5DCB67C9" w:rsidR="003A11EA" w:rsidRDefault="003A7054" w:rsidP="00C43175">
      <w:pPr>
        <w:pStyle w:val="ListBullet"/>
      </w:pPr>
      <w:r>
        <w:t>D</w:t>
      </w:r>
      <w:r w:rsidR="00C27968">
        <w:t xml:space="preserve">epartment </w:t>
      </w:r>
      <w:r w:rsidR="00B779C2">
        <w:t>staff</w:t>
      </w:r>
      <w:r w:rsidR="00C27968">
        <w:t xml:space="preserve"> involved in reform implementation and </w:t>
      </w:r>
      <w:r w:rsidR="00B779C2">
        <w:t>related policy areas</w:t>
      </w:r>
      <w:r>
        <w:t>.</w:t>
      </w:r>
    </w:p>
    <w:p w14:paraId="28836B85" w14:textId="60250128" w:rsidR="00440E22" w:rsidRDefault="003A11EA" w:rsidP="00C43175">
      <w:pPr>
        <w:rPr>
          <w:lang w:eastAsia="en-AU"/>
        </w:rPr>
      </w:pPr>
      <w:r>
        <w:rPr>
          <w:lang w:eastAsia="en-AU"/>
        </w:rPr>
        <w:t xml:space="preserve">Stakeholder views provided to this evaluation diverged on the </w:t>
      </w:r>
      <w:r w:rsidRPr="00602824">
        <w:t xml:space="preserve">pace, depth, rationale for and impact of </w:t>
      </w:r>
      <w:r w:rsidR="00FF75C3">
        <w:t>reform activities</w:t>
      </w:r>
      <w:r w:rsidRPr="00602824">
        <w:t xml:space="preserve">. </w:t>
      </w:r>
      <w:r w:rsidR="00FF75C3">
        <w:t>View</w:t>
      </w:r>
      <w:r w:rsidR="006C3A32">
        <w:t xml:space="preserve">s </w:t>
      </w:r>
      <w:r>
        <w:t xml:space="preserve">are summarised in this </w:t>
      </w:r>
      <w:r w:rsidR="00FF75C3">
        <w:t>report</w:t>
      </w:r>
      <w:r>
        <w:t xml:space="preserve"> </w:t>
      </w:r>
      <w:r w:rsidRPr="00602824">
        <w:t xml:space="preserve">for the purpose of clarity and brevity </w:t>
      </w:r>
      <w:r>
        <w:t xml:space="preserve">and are </w:t>
      </w:r>
      <w:r w:rsidRPr="00602824">
        <w:t>set out against each objective of the reforms.</w:t>
      </w:r>
      <w:r w:rsidR="00713B33">
        <w:rPr>
          <w:rStyle w:val="FootnoteReference"/>
        </w:rPr>
        <w:footnoteReference w:id="13"/>
      </w:r>
    </w:p>
    <w:p w14:paraId="59EB6D20" w14:textId="5E35CE1B" w:rsidR="00423DEA" w:rsidRPr="00531C99" w:rsidRDefault="00423DEA" w:rsidP="00423DEA">
      <w:pPr>
        <w:spacing w:before="240" w:after="160"/>
        <w:rPr>
          <w:b/>
          <w:bCs/>
          <w:sz w:val="20"/>
          <w:szCs w:val="20"/>
          <w:lang w:eastAsia="en-AU"/>
        </w:rPr>
      </w:pPr>
      <w:bookmarkStart w:id="12" w:name="_Ref172292503"/>
      <w:bookmarkStart w:id="13" w:name="_Toc181405071"/>
      <w:bookmarkStart w:id="14" w:name="_Ref159095636"/>
      <w:bookmarkStart w:id="15" w:name="_Ref160185071"/>
      <w:bookmarkStart w:id="16" w:name="_Toc164439315"/>
      <w:r>
        <w:rPr>
          <w:b/>
          <w:bCs/>
          <w:sz w:val="20"/>
          <w:szCs w:val="20"/>
          <w:lang w:eastAsia="en-AU"/>
        </w:rPr>
        <w:t>Data analysis</w:t>
      </w:r>
    </w:p>
    <w:p w14:paraId="086C6278" w14:textId="1CF4C11E" w:rsidR="004F7FCE" w:rsidRDefault="004F7FCE" w:rsidP="004F7FCE">
      <w:pPr>
        <w:rPr>
          <w:lang w:eastAsia="en-AU"/>
        </w:rPr>
      </w:pPr>
      <w:r>
        <w:rPr>
          <w:lang w:eastAsia="en-AU"/>
        </w:rPr>
        <w:t>Data analysis was undertaken for the Baseline Evaluation and both Interim Evaluations. For the Final Evaluation, selected figures and charts were updated to capture impacts following program completion.</w:t>
      </w:r>
    </w:p>
    <w:p w14:paraId="1275DDFC" w14:textId="3C16431B" w:rsidR="006521FE" w:rsidRPr="00602824" w:rsidRDefault="004F7FCE" w:rsidP="00184D24">
      <w:pPr>
        <w:rPr>
          <w:lang w:eastAsia="en-AU"/>
        </w:rPr>
      </w:pPr>
      <w:r>
        <w:rPr>
          <w:lang w:eastAsia="en-AU"/>
        </w:rPr>
        <w:t>The analyses draw on a range of data sources with different publication timelines. The date range used for each source is stated in the report</w:t>
      </w:r>
      <w:bookmarkEnd w:id="12"/>
      <w:bookmarkEnd w:id="13"/>
      <w:bookmarkEnd w:id="14"/>
      <w:bookmarkEnd w:id="15"/>
      <w:bookmarkEnd w:id="16"/>
      <w:r w:rsidR="00184D24">
        <w:rPr>
          <w:lang w:eastAsia="en-AU"/>
        </w:rPr>
        <w:t>.</w:t>
      </w:r>
    </w:p>
    <w:p w14:paraId="68DDDB3E" w14:textId="7A4EE3E7" w:rsidR="00ED41DD" w:rsidRPr="004440B3" w:rsidRDefault="009A5576" w:rsidP="004440B3">
      <w:pPr>
        <w:pStyle w:val="Heading1"/>
        <w:spacing w:after="600"/>
        <w:ind w:right="-596"/>
        <w:rPr>
          <w:color w:val="FFFFFF" w:themeColor="background1"/>
        </w:rPr>
      </w:pPr>
      <w:bookmarkStart w:id="17" w:name="_Toc237002802"/>
      <w:r>
        <w:rPr>
          <w:color w:val="FFFFFF" w:themeColor="background1"/>
        </w:rPr>
        <w:t>Achievement of the</w:t>
      </w:r>
      <w:r w:rsidR="002E13B7" w:rsidRPr="004440B3">
        <w:rPr>
          <w:color w:val="FFFFFF" w:themeColor="background1"/>
        </w:rPr>
        <w:t xml:space="preserve"> </w:t>
      </w:r>
      <w:r w:rsidR="00BA27E7" w:rsidRPr="004440B3">
        <w:rPr>
          <w:color w:val="FFFFFF" w:themeColor="background1"/>
        </w:rPr>
        <w:t>reform objectives</w:t>
      </w:r>
      <w:r w:rsidR="004440B3" w:rsidRPr="004440B3">
        <w:rPr>
          <w:noProof/>
          <w:color w:val="FFFFFF" w:themeColor="background1"/>
        </w:rPr>
        <w:drawing>
          <wp:anchor distT="0" distB="0" distL="114300" distR="114300" simplePos="0" relativeHeight="251658247" behindDoc="1" locked="0" layoutInCell="1" allowOverlap="1" wp14:anchorId="61532DBA" wp14:editId="3E1A9616">
            <wp:simplePos x="0" y="0"/>
            <wp:positionH relativeFrom="page">
              <wp:align>left</wp:align>
            </wp:positionH>
            <wp:positionV relativeFrom="page">
              <wp:posOffset>107950</wp:posOffset>
            </wp:positionV>
            <wp:extent cx="7560000" cy="1184400"/>
            <wp:effectExtent l="0" t="0" r="3175" b="0"/>
            <wp:wrapNone/>
            <wp:docPr id="1928106328" name="Picture 1" descr="Heading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106328" name="Picture 1" descr="Heading background."/>
                    <pic:cNvPicPr/>
                  </pic:nvPicPr>
                  <pic:blipFill>
                    <a:blip r:embed="rId22">
                      <a:extLst>
                        <a:ext uri="{28A0092B-C50C-407E-A947-70E740481C1C}">
                          <a14:useLocalDpi xmlns:a14="http://schemas.microsoft.com/office/drawing/2010/main" val="0"/>
                        </a:ext>
                      </a:extLst>
                    </a:blip>
                    <a:stretch>
                      <a:fillRect/>
                    </a:stretch>
                  </pic:blipFill>
                  <pic:spPr>
                    <a:xfrm>
                      <a:off x="0" y="0"/>
                      <a:ext cx="7560000" cy="1184400"/>
                    </a:xfrm>
                    <a:prstGeom prst="rect">
                      <a:avLst/>
                    </a:prstGeom>
                  </pic:spPr>
                </pic:pic>
              </a:graphicData>
            </a:graphic>
            <wp14:sizeRelH relativeFrom="margin">
              <wp14:pctWidth>0</wp14:pctWidth>
            </wp14:sizeRelH>
            <wp14:sizeRelV relativeFrom="margin">
              <wp14:pctHeight>0</wp14:pctHeight>
            </wp14:sizeRelV>
          </wp:anchor>
        </w:drawing>
      </w:r>
      <w:bookmarkEnd w:id="17"/>
    </w:p>
    <w:p w14:paraId="4891058F" w14:textId="7ED46698" w:rsidR="00287A84" w:rsidRPr="00602824" w:rsidRDefault="00287A84" w:rsidP="00287A84">
      <w:pPr>
        <w:pStyle w:val="Heading2"/>
      </w:pPr>
      <w:bookmarkStart w:id="18" w:name="_Toc237002803"/>
      <w:r>
        <w:t xml:space="preserve">Objective 1: </w:t>
      </w:r>
      <w:r w:rsidR="007046F3">
        <w:t>Improve</w:t>
      </w:r>
      <w:r w:rsidRPr="00602824">
        <w:t xml:space="preserve"> the alignment of the scheduled benefits of the PL with the prices paid in more competitive markets</w:t>
      </w:r>
      <w:bookmarkEnd w:id="18"/>
    </w:p>
    <w:p w14:paraId="7E8F08E6" w14:textId="7DEA4CE3" w:rsidR="00287A84" w:rsidRPr="00602824" w:rsidRDefault="00287A84" w:rsidP="00287A84">
      <w:pPr>
        <w:rPr>
          <w:iCs/>
        </w:rPr>
      </w:pPr>
      <w:r w:rsidRPr="00602824">
        <w:rPr>
          <w:i/>
        </w:rPr>
        <w:t xml:space="preserve">This section considers the reduction of benefits and the resulting change in the size of the gap between PL benefits and prices paid in more </w:t>
      </w:r>
      <w:r w:rsidRPr="00602824">
        <w:rPr>
          <w:i/>
          <w:iCs/>
        </w:rPr>
        <w:t>competitive markets</w:t>
      </w:r>
      <w:r w:rsidRPr="00483A11">
        <w:rPr>
          <w:i/>
        </w:rPr>
        <w:t xml:space="preserve">. The estimate of the overall savings associated with benefit reductions and related stakeholder perspectives </w:t>
      </w:r>
      <w:r>
        <w:rPr>
          <w:i/>
        </w:rPr>
        <w:t>is reported in Objective 4</w:t>
      </w:r>
      <w:r w:rsidR="0023328A">
        <w:rPr>
          <w:i/>
        </w:rPr>
        <w:t>.</w:t>
      </w:r>
    </w:p>
    <w:p w14:paraId="50556A79" w14:textId="73E8639C" w:rsidR="00287A84" w:rsidRPr="00602824" w:rsidRDefault="00287A84" w:rsidP="00287A84">
      <w:pPr>
        <w:pStyle w:val="Caption"/>
        <w:rPr>
          <w:lang w:eastAsia="en-AU"/>
        </w:rPr>
      </w:pPr>
      <w:r w:rsidRPr="00602824">
        <w:t xml:space="preserve">Figure </w:t>
      </w:r>
      <w:r>
        <w:fldChar w:fldCharType="begin"/>
      </w:r>
      <w:r>
        <w:instrText xml:space="preserve"> SEQ Figure \* ARABIC </w:instrText>
      </w:r>
      <w:r>
        <w:fldChar w:fldCharType="separate"/>
      </w:r>
      <w:r w:rsidR="0092693A">
        <w:rPr>
          <w:noProof/>
        </w:rPr>
        <w:t>3</w:t>
      </w:r>
      <w:r>
        <w:fldChar w:fldCharType="end"/>
      </w:r>
      <w:r w:rsidRPr="00602824">
        <w:t xml:space="preserve"> | Reform projects related to reform objective 1</w:t>
      </w:r>
    </w:p>
    <w:p w14:paraId="77E274CD" w14:textId="77777777" w:rsidR="00287A84" w:rsidRPr="00602824" w:rsidRDefault="00287A84" w:rsidP="00287A84">
      <w:pPr>
        <w:rPr>
          <w:lang w:eastAsia="en-AU"/>
        </w:rPr>
      </w:pPr>
      <w:r w:rsidRPr="00AC7E3F">
        <w:rPr>
          <w:noProof/>
          <w:lang w:eastAsia="en-AU"/>
        </w:rPr>
        <w:drawing>
          <wp:inline distT="0" distB="0" distL="0" distR="0" wp14:anchorId="2AB47589" wp14:editId="680DD199">
            <wp:extent cx="5739897" cy="1028065"/>
            <wp:effectExtent l="0" t="0" r="0" b="635"/>
            <wp:docPr id="2127102576" name="Picture 1" descr="A figure showing that reform objective 1. Alignment of scheduled benefits is connected to benefit red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102576" name="Picture 1" descr="A figure showing that reform objective 1. Alignment of scheduled benefits is connected to benefit reductions."/>
                    <pic:cNvPicPr/>
                  </pic:nvPicPr>
                  <pic:blipFill>
                    <a:blip r:embed="rId25"/>
                    <a:stretch>
                      <a:fillRect/>
                    </a:stretch>
                  </pic:blipFill>
                  <pic:spPr>
                    <a:xfrm>
                      <a:off x="0" y="0"/>
                      <a:ext cx="5751434" cy="1030131"/>
                    </a:xfrm>
                    <a:prstGeom prst="rect">
                      <a:avLst/>
                    </a:prstGeom>
                  </pic:spPr>
                </pic:pic>
              </a:graphicData>
            </a:graphic>
          </wp:inline>
        </w:drawing>
      </w:r>
      <w:r w:rsidRPr="00602824">
        <w:rPr>
          <w:lang w:eastAsia="en-AU"/>
        </w:rPr>
        <w:t xml:space="preserve"> </w:t>
      </w:r>
    </w:p>
    <w:p w14:paraId="45A7DC4D" w14:textId="5E1F2425" w:rsidR="00287A84" w:rsidRPr="00602824" w:rsidRDefault="00DA6A4B" w:rsidP="00287A84">
      <w:pPr>
        <w:pStyle w:val="Heading3"/>
      </w:pPr>
      <w:r>
        <w:t>Reform project</w:t>
      </w:r>
      <w:r w:rsidR="00287A84" w:rsidRPr="00602824">
        <w:t>: benefit reductions</w:t>
      </w:r>
    </w:p>
    <w:tbl>
      <w:tblPr>
        <w:tblStyle w:val="NOUSSideHeader4"/>
        <w:tblW w:w="5000" w:type="pct"/>
        <w:tblLook w:val="04A0" w:firstRow="1" w:lastRow="0" w:firstColumn="1" w:lastColumn="0" w:noHBand="0" w:noVBand="1"/>
      </w:tblPr>
      <w:tblGrid>
        <w:gridCol w:w="9185"/>
      </w:tblGrid>
      <w:tr w:rsidR="009C0E4F" w:rsidRPr="00602824" w14:paraId="5BB99A5E" w14:textId="77777777">
        <w:trPr>
          <w:cnfStyle w:val="100000000000" w:firstRow="1" w:lastRow="0" w:firstColumn="0" w:lastColumn="0" w:oddVBand="0" w:evenVBand="0" w:oddHBand="0" w:evenHBand="0" w:firstRowFirstColumn="0" w:firstRowLastColumn="0" w:lastRowFirstColumn="0" w:lastRowLastColumn="0"/>
        </w:trPr>
        <w:tc>
          <w:tcPr>
            <w:tcW w:w="9061" w:type="dxa"/>
          </w:tcPr>
          <w:p w14:paraId="53BB4B51" w14:textId="77777777" w:rsidR="00287A84" w:rsidRPr="00602824" w:rsidRDefault="00287A84">
            <w:r w:rsidRPr="00602824">
              <w:t>At baseline, there was a notable gap between PL benefits and prices in the Australian public health system (where compared to IHACPA’s Weighted Average Prices, public benchmarks of PL items</w:t>
            </w:r>
            <w:r w:rsidRPr="00602824">
              <w:rPr>
                <w:rStyle w:val="FootnoteReference"/>
              </w:rPr>
              <w:footnoteReference w:id="14"/>
            </w:r>
            <w:r w:rsidRPr="00602824">
              <w:t xml:space="preserve">) despite a series of benefit reductions between 2018 and 2020. </w:t>
            </w:r>
          </w:p>
          <w:p w14:paraId="534537FE" w14:textId="1F1A507A" w:rsidR="00287A84" w:rsidRPr="00602824" w:rsidRDefault="00287A84">
            <w:pPr>
              <w:rPr>
                <w:lang w:eastAsia="en-AU"/>
              </w:rPr>
            </w:pPr>
            <w:r>
              <w:rPr>
                <w:lang w:eastAsia="en-AU"/>
              </w:rPr>
              <w:t>The</w:t>
            </w:r>
            <w:r w:rsidRPr="00602824">
              <w:rPr>
                <w:lang w:eastAsia="en-AU"/>
              </w:rPr>
              <w:t xml:space="preserve"> Department reduced benefits to Part A of the list according to an agreed schedule of benefit reductions over three years documented in the </w:t>
            </w:r>
            <w:r>
              <w:rPr>
                <w:lang w:eastAsia="en-AU"/>
              </w:rPr>
              <w:t xml:space="preserve">2022 </w:t>
            </w:r>
            <w:r w:rsidRPr="00602824">
              <w:rPr>
                <w:lang w:eastAsia="en-AU"/>
              </w:rPr>
              <w:t>Memorandum of Understanding (MOU) between the then Minister and the Medical Technology Association of Australia (MTAA).</w:t>
            </w:r>
            <w:r w:rsidRPr="00602824">
              <w:rPr>
                <w:rStyle w:val="FootnoteReference"/>
                <w:lang w:eastAsia="en-AU"/>
              </w:rPr>
              <w:footnoteReference w:id="15"/>
            </w:r>
            <w:r w:rsidRPr="00602824">
              <w:rPr>
                <w:lang w:eastAsia="en-AU"/>
              </w:rPr>
              <w:t xml:space="preserve"> </w:t>
            </w:r>
            <w:r w:rsidRPr="00602824">
              <w:rPr>
                <w:lang w:eastAsia="en-AU"/>
              </w:rPr>
              <w:fldChar w:fldCharType="begin"/>
            </w:r>
            <w:r w:rsidRPr="00602824">
              <w:rPr>
                <w:lang w:eastAsia="en-AU"/>
              </w:rPr>
              <w:instrText xml:space="preserve"> REF _Ref199756234 \h </w:instrText>
            </w:r>
            <w:r w:rsidRPr="00602824">
              <w:rPr>
                <w:lang w:eastAsia="en-AU"/>
              </w:rPr>
            </w:r>
            <w:r w:rsidRPr="00602824">
              <w:rPr>
                <w:lang w:eastAsia="en-AU"/>
              </w:rPr>
              <w:fldChar w:fldCharType="separate"/>
            </w:r>
            <w:r w:rsidR="0092693A" w:rsidRPr="00602824">
              <w:t xml:space="preserve">Figure </w:t>
            </w:r>
            <w:r w:rsidR="0092693A">
              <w:rPr>
                <w:noProof/>
              </w:rPr>
              <w:t>4</w:t>
            </w:r>
            <w:r w:rsidRPr="00602824">
              <w:rPr>
                <w:lang w:eastAsia="en-AU"/>
              </w:rPr>
              <w:fldChar w:fldCharType="end"/>
            </w:r>
            <w:r w:rsidRPr="00602824">
              <w:rPr>
                <w:lang w:eastAsia="en-AU"/>
              </w:rPr>
              <w:t xml:space="preserve"> summarises the timeline of benefit reductions. </w:t>
            </w:r>
            <w:r w:rsidR="007E4702" w:rsidRPr="00E609A1">
              <w:rPr>
                <w:lang w:eastAsia="en-AU"/>
              </w:rPr>
              <w:t xml:space="preserve">The reductions methodology was discussed in Section 2.3.4 of the </w:t>
            </w:r>
            <w:r w:rsidR="007E4702" w:rsidRPr="00E609A1">
              <w:rPr>
                <w:i/>
                <w:lang w:eastAsia="en-AU"/>
              </w:rPr>
              <w:t>Interim Evaluation #1 report</w:t>
            </w:r>
            <w:r w:rsidR="007E4702" w:rsidRPr="00E609A1">
              <w:rPr>
                <w:lang w:eastAsia="en-AU"/>
              </w:rPr>
              <w:t>, which includes an overview of stakeholder perspectives at th</w:t>
            </w:r>
            <w:r w:rsidR="007E4702">
              <w:rPr>
                <w:lang w:eastAsia="en-AU"/>
              </w:rPr>
              <w:t>at</w:t>
            </w:r>
            <w:r w:rsidR="007E4702" w:rsidRPr="00E609A1">
              <w:rPr>
                <w:lang w:eastAsia="en-AU"/>
              </w:rPr>
              <w:t xml:space="preserve"> time.</w:t>
            </w:r>
            <w:r w:rsidR="007E4702" w:rsidRPr="00E609A1">
              <w:rPr>
                <w:rStyle w:val="FootnoteReference"/>
                <w:lang w:eastAsia="en-AU"/>
              </w:rPr>
              <w:footnoteReference w:id="16"/>
            </w:r>
          </w:p>
          <w:p w14:paraId="2181F5C0" w14:textId="77777777" w:rsidR="00287A84" w:rsidRDefault="00287A84">
            <w:pPr>
              <w:rPr>
                <w:lang w:eastAsia="en-AU"/>
              </w:rPr>
            </w:pPr>
            <w:r w:rsidRPr="00602824">
              <w:rPr>
                <w:lang w:eastAsia="en-AU"/>
              </w:rPr>
              <w:t>Th</w:t>
            </w:r>
            <w:r>
              <w:rPr>
                <w:lang w:eastAsia="en-AU"/>
              </w:rPr>
              <w:t xml:space="preserve">ree rounds of planned reductions </w:t>
            </w:r>
            <w:r w:rsidRPr="00602824">
              <w:rPr>
                <w:lang w:eastAsia="en-AU"/>
              </w:rPr>
              <w:t>of the gap between the current benefit and the public benchmark</w:t>
            </w:r>
            <w:r>
              <w:rPr>
                <w:lang w:eastAsia="en-AU"/>
              </w:rPr>
              <w:t xml:space="preserve"> were </w:t>
            </w:r>
            <w:r w:rsidRPr="00602824">
              <w:rPr>
                <w:lang w:eastAsia="en-AU"/>
              </w:rPr>
              <w:t>implemented</w:t>
            </w:r>
            <w:r>
              <w:rPr>
                <w:lang w:eastAsia="en-AU"/>
              </w:rPr>
              <w:t xml:space="preserve"> according to schedule</w:t>
            </w:r>
            <w:r w:rsidRPr="00602824">
              <w:rPr>
                <w:lang w:eastAsia="en-AU"/>
              </w:rPr>
              <w:t xml:space="preserve"> in July </w:t>
            </w:r>
            <w:r>
              <w:rPr>
                <w:lang w:eastAsia="en-AU"/>
              </w:rPr>
              <w:t xml:space="preserve">2022 (40%), July 2023 (20%) and July </w:t>
            </w:r>
            <w:r w:rsidRPr="00602824">
              <w:rPr>
                <w:lang w:eastAsia="en-AU"/>
              </w:rPr>
              <w:t>2024</w:t>
            </w:r>
            <w:r>
              <w:rPr>
                <w:lang w:eastAsia="en-AU"/>
              </w:rPr>
              <w:t xml:space="preserve"> (20%). </w:t>
            </w:r>
            <w:r w:rsidRPr="00602824">
              <w:rPr>
                <w:lang w:eastAsia="en-AU"/>
              </w:rPr>
              <w:t xml:space="preserve">This resulted in all eligible benefits being reduced by 80% of the gap. </w:t>
            </w:r>
          </w:p>
          <w:p w14:paraId="2DAAAD5F" w14:textId="77777777" w:rsidR="00287A84" w:rsidRPr="00602824" w:rsidRDefault="00287A84">
            <w:pPr>
              <w:rPr>
                <w:lang w:eastAsia="en-AU"/>
              </w:rPr>
            </w:pPr>
            <w:r w:rsidRPr="00602824">
              <w:rPr>
                <w:lang w:eastAsia="en-AU"/>
              </w:rPr>
              <w:t>The following PL items were subject to an alternative schedule of reductions:</w:t>
            </w:r>
          </w:p>
          <w:p w14:paraId="07C9EA2F" w14:textId="1E01E4C4" w:rsidR="00287A84" w:rsidRPr="00602824" w:rsidRDefault="00287A84" w:rsidP="00C43175">
            <w:pPr>
              <w:pStyle w:val="ListBullet"/>
            </w:pPr>
            <w:r w:rsidRPr="00602824">
              <w:rPr>
                <w:rFonts w:asciiTheme="majorHAnsi" w:hAnsiTheme="majorHAnsi" w:cstheme="majorHAnsi"/>
              </w:rPr>
              <w:t>General Use Items (GUIs)</w:t>
            </w:r>
            <w:r w:rsidRPr="00602824">
              <w:t xml:space="preserve"> –</w:t>
            </w:r>
            <w:r>
              <w:t xml:space="preserve"> In response to an initial delay to the proposal to remove GUIs from the PL, </w:t>
            </w:r>
            <w:r w:rsidRPr="00602824">
              <w:t>GUI benefits</w:t>
            </w:r>
            <w:r>
              <w:t xml:space="preserve"> in Part 4 of the PL</w:t>
            </w:r>
            <w:r w:rsidRPr="00602824">
              <w:t xml:space="preserve"> </w:t>
            </w:r>
            <w:r>
              <w:t xml:space="preserve">were reduced </w:t>
            </w:r>
            <w:r w:rsidRPr="00602824">
              <w:t xml:space="preserve">by 60% of the gap </w:t>
            </w:r>
            <w:r>
              <w:t xml:space="preserve">on 1 July 2022, </w:t>
            </w:r>
            <w:r w:rsidRPr="00602824">
              <w:t>followed by the remaining 40% of the gap</w:t>
            </w:r>
            <w:r>
              <w:t xml:space="preserve"> in March 2023.</w:t>
            </w:r>
            <w:r w:rsidRPr="00602824">
              <w:t xml:space="preserve"> In May 2024, the Minister announced GUIs would not be removed from the PL </w:t>
            </w:r>
            <w:r>
              <w:t>and</w:t>
            </w:r>
            <w:r w:rsidRPr="00602824">
              <w:t xml:space="preserve"> would remain at the reduced benefit levels (see </w:t>
            </w:r>
            <w:r w:rsidRPr="00231645">
              <w:fldChar w:fldCharType="begin"/>
            </w:r>
            <w:r w:rsidRPr="00231645">
              <w:instrText xml:space="preserve"> REF _Ref202469903 \h </w:instrText>
            </w:r>
            <w:r w:rsidR="00401FBF" w:rsidRPr="00231645">
              <w:instrText xml:space="preserve"> \* MERGEFORMAT </w:instrText>
            </w:r>
            <w:r w:rsidRPr="00231645">
              <w:fldChar w:fldCharType="separate"/>
            </w:r>
            <w:r w:rsidR="0092693A" w:rsidRPr="00602824">
              <w:t xml:space="preserve">Figure </w:t>
            </w:r>
            <w:r w:rsidR="0092693A">
              <w:t>23</w:t>
            </w:r>
            <w:r w:rsidRPr="00231645">
              <w:fldChar w:fldCharType="end"/>
            </w:r>
            <w:r w:rsidRPr="00231645">
              <w:t>).</w:t>
            </w:r>
            <w:r w:rsidRPr="00602824">
              <w:t xml:space="preserve"> GUIs are considered in Objective 5.</w:t>
            </w:r>
          </w:p>
          <w:p w14:paraId="6829CA4A" w14:textId="2A3B31FB" w:rsidR="00287A84" w:rsidRPr="00602824" w:rsidRDefault="00287A84" w:rsidP="00C43175">
            <w:pPr>
              <w:pStyle w:val="ListBullet"/>
            </w:pPr>
            <w:r w:rsidRPr="00602824">
              <w:rPr>
                <w:rFonts w:asciiTheme="majorHAnsi" w:hAnsiTheme="majorHAnsi" w:cstheme="majorHAnsi"/>
              </w:rPr>
              <w:t>Cardiac Implantable Electronic Devices (CIEDs)</w:t>
            </w:r>
            <w:r w:rsidRPr="00602824">
              <w:t xml:space="preserve"> – As agreed in the MOU, the Department deferred benefit reductions to CIEDs by one year to allow for further consultation on the value of technical support services. The final benefit reduction for CIEDs (20% of the gap on the device only amount) occurred on 1 July 2025. No benefit reductions on the technical support services component of CIEDs occurred during the reforms. CIEDs are considered separately in</w:t>
            </w:r>
            <w:r w:rsidR="0092693A">
              <w:t xml:space="preserve"> Section </w:t>
            </w:r>
            <w:r w:rsidR="0092693A">
              <w:fldChar w:fldCharType="begin"/>
            </w:r>
            <w:r w:rsidR="0092693A">
              <w:instrText xml:space="preserve"> REF _Ref237002837 \r \h </w:instrText>
            </w:r>
            <w:r w:rsidR="0092693A">
              <w:fldChar w:fldCharType="separate"/>
            </w:r>
            <w:r w:rsidR="0092693A">
              <w:t>2.1.4</w:t>
            </w:r>
            <w:r w:rsidR="0092693A">
              <w:fldChar w:fldCharType="end"/>
            </w:r>
            <w:r w:rsidRPr="00355111">
              <w:t>.</w:t>
            </w:r>
          </w:p>
          <w:p w14:paraId="26426216" w14:textId="1FBD3F89" w:rsidR="00287A84" w:rsidRPr="00602824" w:rsidRDefault="00287A84">
            <w:r w:rsidRPr="00355111">
              <w:t xml:space="preserve">The </w:t>
            </w:r>
            <w:r w:rsidR="00355111" w:rsidRPr="00355111">
              <w:t>estimated</w:t>
            </w:r>
            <w:r w:rsidRPr="00355111">
              <w:t xml:space="preserve"> savings </w:t>
            </w:r>
            <w:r w:rsidR="00355111" w:rsidRPr="00355111">
              <w:t xml:space="preserve">achieved </w:t>
            </w:r>
            <w:r w:rsidRPr="00355111">
              <w:t>from the reductions</w:t>
            </w:r>
            <w:r>
              <w:t xml:space="preserve"> </w:t>
            </w:r>
            <w:r w:rsidRPr="00355111">
              <w:t>is discussed under Objective 4</w:t>
            </w:r>
            <w:r w:rsidR="00355111" w:rsidRPr="00355111">
              <w:t xml:space="preserve"> in Section</w:t>
            </w:r>
            <w:r w:rsidR="00355111">
              <w:t xml:space="preserve"> </w:t>
            </w:r>
            <w:r w:rsidR="00355111">
              <w:fldChar w:fldCharType="begin"/>
            </w:r>
            <w:r w:rsidR="00355111">
              <w:instrText xml:space="preserve"> REF _Ref230011360 \r \h </w:instrText>
            </w:r>
            <w:r w:rsidR="00355111">
              <w:fldChar w:fldCharType="separate"/>
            </w:r>
            <w:r w:rsidR="0092693A">
              <w:t>2.4</w:t>
            </w:r>
            <w:r w:rsidR="00355111">
              <w:fldChar w:fldCharType="end"/>
            </w:r>
            <w:r w:rsidR="00355111">
              <w:t>.</w:t>
            </w:r>
          </w:p>
        </w:tc>
      </w:tr>
    </w:tbl>
    <w:p w14:paraId="7A63E0B6" w14:textId="77777777" w:rsidR="00287A84" w:rsidRPr="00602824" w:rsidRDefault="00287A84" w:rsidP="00287A84">
      <w:pPr>
        <w:rPr>
          <w:lang w:eastAsia="en-AU"/>
        </w:rPr>
      </w:pPr>
    </w:p>
    <w:p w14:paraId="64B09AC7" w14:textId="6ADE42E9" w:rsidR="00287A84" w:rsidRPr="00602824" w:rsidRDefault="00287A84" w:rsidP="00287A84">
      <w:pPr>
        <w:pStyle w:val="Caption"/>
      </w:pPr>
      <w:bookmarkStart w:id="19" w:name="_Ref199756234"/>
      <w:r w:rsidRPr="00602824">
        <w:t xml:space="preserve">Figure </w:t>
      </w:r>
      <w:r>
        <w:fldChar w:fldCharType="begin"/>
      </w:r>
      <w:r>
        <w:instrText xml:space="preserve"> SEQ Figure \* ARABIC </w:instrText>
      </w:r>
      <w:r>
        <w:fldChar w:fldCharType="separate"/>
      </w:r>
      <w:r w:rsidR="0092693A">
        <w:rPr>
          <w:noProof/>
        </w:rPr>
        <w:t>4</w:t>
      </w:r>
      <w:r>
        <w:fldChar w:fldCharType="end"/>
      </w:r>
      <w:bookmarkEnd w:id="19"/>
      <w:r w:rsidRPr="00602824">
        <w:t xml:space="preserve"> | Timeline of benefit reductions</w:t>
      </w:r>
    </w:p>
    <w:p w14:paraId="630486B2" w14:textId="3EF95612" w:rsidR="00287A84" w:rsidRPr="00FB712C" w:rsidRDefault="00525305" w:rsidP="00287A84">
      <w:r w:rsidRPr="00525305">
        <w:rPr>
          <w:noProof/>
        </w:rPr>
        <w:drawing>
          <wp:inline distT="0" distB="0" distL="0" distR="0" wp14:anchorId="7E67C654" wp14:editId="25B5756E">
            <wp:extent cx="5832475" cy="5461000"/>
            <wp:effectExtent l="0" t="0" r="0" b="6350"/>
            <wp:docPr id="2056162131" name="Picture 1" descr="Timeline showing reform activities associated with the benefit reductions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162131" name="Picture 1" descr="Timeline showing reform activities associated with the benefit reductions project."/>
                    <pic:cNvPicPr/>
                  </pic:nvPicPr>
                  <pic:blipFill>
                    <a:blip r:embed="rId26"/>
                    <a:stretch>
                      <a:fillRect/>
                    </a:stretch>
                  </pic:blipFill>
                  <pic:spPr>
                    <a:xfrm>
                      <a:off x="0" y="0"/>
                      <a:ext cx="5832475" cy="5461000"/>
                    </a:xfrm>
                    <a:prstGeom prst="rect">
                      <a:avLst/>
                    </a:prstGeom>
                  </pic:spPr>
                </pic:pic>
              </a:graphicData>
            </a:graphic>
          </wp:inline>
        </w:drawing>
      </w:r>
    </w:p>
    <w:p w14:paraId="2A26D9F8" w14:textId="6894C017" w:rsidR="00287A84" w:rsidRPr="00602824" w:rsidRDefault="00287A84" w:rsidP="00287A84">
      <w:pPr>
        <w:pStyle w:val="Heading3"/>
      </w:pPr>
      <w:r w:rsidRPr="00602824">
        <w:t>The reforms delivered benefit reductions to 51% of PL items</w:t>
      </w:r>
    </w:p>
    <w:p w14:paraId="2F84B5DE" w14:textId="30244D6D" w:rsidR="00287A84" w:rsidRPr="00602824" w:rsidRDefault="00287A84" w:rsidP="00287A84">
      <w:pPr>
        <w:rPr>
          <w:lang w:eastAsia="en-AU"/>
        </w:rPr>
      </w:pPr>
      <w:r w:rsidRPr="00602824">
        <w:rPr>
          <w:lang w:eastAsia="en-AU"/>
        </w:rPr>
        <w:t>51% of items on the PL were subject to benefit reductions during the reforms.</w:t>
      </w:r>
      <w:r w:rsidRPr="00602824">
        <w:rPr>
          <w:rStyle w:val="FootnoteReference"/>
          <w:lang w:eastAsia="en-AU"/>
        </w:rPr>
        <w:footnoteReference w:id="17"/>
      </w:r>
      <w:r w:rsidRPr="00602824">
        <w:rPr>
          <w:lang w:eastAsia="en-AU"/>
        </w:rPr>
        <w:t xml:space="preserve"> These </w:t>
      </w:r>
      <w:r>
        <w:rPr>
          <w:lang w:eastAsia="en-AU"/>
        </w:rPr>
        <w:t xml:space="preserve">5006 </w:t>
      </w:r>
      <w:r w:rsidRPr="00602824">
        <w:rPr>
          <w:lang w:eastAsia="en-AU"/>
        </w:rPr>
        <w:t>items</w:t>
      </w:r>
      <w:r>
        <w:rPr>
          <w:lang w:eastAsia="en-AU"/>
        </w:rPr>
        <w:t xml:space="preserve"> across 13 PL categories</w:t>
      </w:r>
      <w:r w:rsidRPr="00602824">
        <w:rPr>
          <w:lang w:eastAsia="en-AU"/>
        </w:rPr>
        <w:t xml:space="preserve"> had benefits that were at least 7% higher than public sector benchmarks at the commencement of the reforms. Th</w:t>
      </w:r>
      <w:r w:rsidR="008B6684">
        <w:rPr>
          <w:lang w:eastAsia="en-AU"/>
        </w:rPr>
        <w:t>e benefit reductions to these items</w:t>
      </w:r>
      <w:r w:rsidRPr="00602824">
        <w:rPr>
          <w:lang w:eastAsia="en-AU"/>
        </w:rPr>
        <w:t xml:space="preserve"> represents a significant alignment in pricing.</w:t>
      </w:r>
    </w:p>
    <w:p w14:paraId="1141D706" w14:textId="552C644C" w:rsidR="00287A84" w:rsidRPr="00602824" w:rsidRDefault="00287A84" w:rsidP="00287A84">
      <w:pPr>
        <w:rPr>
          <w:lang w:eastAsia="en-AU"/>
        </w:rPr>
      </w:pPr>
      <w:r w:rsidRPr="009637D7">
        <w:rPr>
          <w:lang w:eastAsia="en-AU"/>
        </w:rPr>
        <w:t>Part C</w:t>
      </w:r>
      <w:r w:rsidRPr="00602824">
        <w:rPr>
          <w:lang w:eastAsia="en-AU"/>
        </w:rPr>
        <w:t xml:space="preserve"> was out of scope for reductions (~1% of items), leaving ~48% of items already at or below the 7% price floor established by the MOU, and therefore not subject to reductions.</w:t>
      </w:r>
      <w:r w:rsidRPr="00602824">
        <w:rPr>
          <w:rStyle w:val="FootnoteReference"/>
          <w:lang w:eastAsia="en-AU"/>
        </w:rPr>
        <w:footnoteReference w:id="18"/>
      </w:r>
      <w:r w:rsidRPr="00602824">
        <w:rPr>
          <w:lang w:eastAsia="en-AU"/>
        </w:rPr>
        <w:t xml:space="preserve"> </w:t>
      </w:r>
      <w:r w:rsidRPr="00602824">
        <w:rPr>
          <w:lang w:eastAsia="en-AU"/>
        </w:rPr>
        <w:fldChar w:fldCharType="begin"/>
      </w:r>
      <w:r w:rsidRPr="00602824">
        <w:rPr>
          <w:lang w:eastAsia="en-AU"/>
        </w:rPr>
        <w:instrText xml:space="preserve"> REF _Ref199756905 \h </w:instrText>
      </w:r>
      <w:r w:rsidRPr="00602824">
        <w:rPr>
          <w:lang w:eastAsia="en-AU"/>
        </w:rPr>
      </w:r>
      <w:r w:rsidRPr="00602824">
        <w:rPr>
          <w:lang w:eastAsia="en-AU"/>
        </w:rPr>
        <w:fldChar w:fldCharType="separate"/>
      </w:r>
      <w:r w:rsidR="0092693A" w:rsidRPr="00602824">
        <w:t xml:space="preserve">Figure </w:t>
      </w:r>
      <w:r w:rsidR="0092693A">
        <w:rPr>
          <w:noProof/>
        </w:rPr>
        <w:t>5</w:t>
      </w:r>
      <w:r w:rsidRPr="00602824">
        <w:rPr>
          <w:lang w:eastAsia="en-AU"/>
        </w:rPr>
        <w:fldChar w:fldCharType="end"/>
      </w:r>
      <w:r w:rsidRPr="00602824">
        <w:rPr>
          <w:lang w:eastAsia="en-AU"/>
        </w:rPr>
        <w:t xml:space="preserve"> below shows the breakdown of items subject to reductions by PL category.</w:t>
      </w:r>
    </w:p>
    <w:p w14:paraId="25E2BEB3" w14:textId="33B73D15" w:rsidR="00287A84" w:rsidRPr="00602824" w:rsidRDefault="00287A84" w:rsidP="00287A84">
      <w:pPr>
        <w:pStyle w:val="Caption"/>
      </w:pPr>
      <w:bookmarkStart w:id="20" w:name="_Ref199756905"/>
      <w:r w:rsidRPr="00602824">
        <w:t xml:space="preserve">Figure </w:t>
      </w:r>
      <w:r>
        <w:fldChar w:fldCharType="begin"/>
      </w:r>
      <w:r>
        <w:instrText xml:space="preserve"> SEQ Figure \* ARABIC </w:instrText>
      </w:r>
      <w:r>
        <w:fldChar w:fldCharType="separate"/>
      </w:r>
      <w:r w:rsidR="0092693A">
        <w:rPr>
          <w:noProof/>
        </w:rPr>
        <w:t>5</w:t>
      </w:r>
      <w:r>
        <w:fldChar w:fldCharType="end"/>
      </w:r>
      <w:bookmarkEnd w:id="20"/>
      <w:r w:rsidRPr="00602824">
        <w:t xml:space="preserve"> | PL items subject to reform reductions (Parts A and D, excluding CIED items)</w:t>
      </w:r>
      <w:r w:rsidRPr="00602824">
        <w:rPr>
          <w:rStyle w:val="FootnoteReference"/>
        </w:rPr>
        <w:footnoteReference w:id="19"/>
      </w:r>
    </w:p>
    <w:p w14:paraId="06BA9161" w14:textId="77777777" w:rsidR="00287A84" w:rsidRPr="00602824" w:rsidRDefault="00287A84" w:rsidP="00287A84">
      <w:r w:rsidRPr="00260802">
        <w:rPr>
          <w:noProof/>
        </w:rPr>
        <w:drawing>
          <wp:inline distT="0" distB="0" distL="0" distR="0" wp14:anchorId="61656AC4" wp14:editId="0ABDDB0A">
            <wp:extent cx="5832000" cy="2821811"/>
            <wp:effectExtent l="0" t="0" r="0" b="0"/>
            <wp:docPr id="765669743" name="Picture 1" descr="Bar chart showing proportion of PL items subject to benefit reductions, broken down by categ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669743" name="Picture 1" descr="Bar chart showing proportion of PL items subject to benefit reductions, broken down by category."/>
                    <pic:cNvPicPr/>
                  </pic:nvPicPr>
                  <pic:blipFill>
                    <a:blip r:embed="rId27"/>
                    <a:stretch>
                      <a:fillRect/>
                    </a:stretch>
                  </pic:blipFill>
                  <pic:spPr>
                    <a:xfrm>
                      <a:off x="0" y="0"/>
                      <a:ext cx="5832000" cy="2821811"/>
                    </a:xfrm>
                    <a:prstGeom prst="rect">
                      <a:avLst/>
                    </a:prstGeom>
                  </pic:spPr>
                </pic:pic>
              </a:graphicData>
            </a:graphic>
          </wp:inline>
        </w:drawing>
      </w:r>
    </w:p>
    <w:p w14:paraId="3E67DA21" w14:textId="00DCAD73" w:rsidR="00287A84" w:rsidRPr="00602824" w:rsidRDefault="00287A84" w:rsidP="00287A84">
      <w:pPr>
        <w:spacing w:before="240"/>
      </w:pPr>
      <w:r w:rsidRPr="00602824">
        <w:fldChar w:fldCharType="begin"/>
      </w:r>
      <w:r w:rsidRPr="00602824">
        <w:instrText xml:space="preserve"> REF _Ref202471095 \h </w:instrText>
      </w:r>
      <w:r w:rsidRPr="00602824">
        <w:fldChar w:fldCharType="separate"/>
      </w:r>
      <w:r w:rsidR="0092693A" w:rsidRPr="004A357C">
        <w:t xml:space="preserve">Table </w:t>
      </w:r>
      <w:r w:rsidR="0092693A">
        <w:rPr>
          <w:noProof/>
        </w:rPr>
        <w:t>9</w:t>
      </w:r>
      <w:r w:rsidRPr="00602824">
        <w:fldChar w:fldCharType="end"/>
      </w:r>
      <w:r w:rsidRPr="00602824">
        <w:t xml:space="preserve"> in Appendix </w:t>
      </w:r>
      <w:r w:rsidRPr="00602824">
        <w:fldChar w:fldCharType="begin"/>
      </w:r>
      <w:r w:rsidRPr="00602824">
        <w:instrText xml:space="preserve"> REF _Ref199417547 \r \h  \* MERGEFORMAT </w:instrText>
      </w:r>
      <w:r w:rsidRPr="00602824">
        <w:fldChar w:fldCharType="separate"/>
      </w:r>
      <w:r w:rsidR="0092693A">
        <w:t>C.1</w:t>
      </w:r>
      <w:r w:rsidRPr="00602824">
        <w:fldChar w:fldCharType="end"/>
      </w:r>
      <w:r w:rsidRPr="00602824">
        <w:t xml:space="preserve"> lists the benefit groups and items that were subject to reductions across the 13 PL categories. Over half of the 50</w:t>
      </w:r>
      <w:r>
        <w:t>06</w:t>
      </w:r>
      <w:r w:rsidRPr="00602824">
        <w:t xml:space="preserve"> items subject to reductions were in the Specialist Orthopaedic or Spinal categories. </w:t>
      </w:r>
    </w:p>
    <w:p w14:paraId="3127FE0E" w14:textId="77777777" w:rsidR="00287A84" w:rsidRPr="00602824" w:rsidRDefault="00287A84" w:rsidP="00287A84">
      <w:pPr>
        <w:pStyle w:val="Heading3"/>
        <w:spacing w:before="300"/>
      </w:pPr>
      <w:r w:rsidRPr="00602824">
        <w:t>The benefit reductions reduced the gap between PL benefits and comparable prices</w:t>
      </w:r>
    </w:p>
    <w:p w14:paraId="664A1F4C" w14:textId="77777777" w:rsidR="00287A84" w:rsidRPr="00602824" w:rsidRDefault="00287A84" w:rsidP="00287A84">
      <w:pPr>
        <w:rPr>
          <w:lang w:eastAsia="en-AU"/>
        </w:rPr>
      </w:pPr>
      <w:r w:rsidRPr="00602824">
        <w:rPr>
          <w:lang w:eastAsia="en-AU"/>
        </w:rPr>
        <w:t xml:space="preserve">Objective 1 of the reforms </w:t>
      </w:r>
      <w:r>
        <w:rPr>
          <w:lang w:eastAsia="en-AU"/>
        </w:rPr>
        <w:t>was</w:t>
      </w:r>
      <w:r w:rsidRPr="00602824">
        <w:rPr>
          <w:lang w:eastAsia="en-AU"/>
        </w:rPr>
        <w:t xml:space="preserve"> to “Improve the alignment of the scheduled benefits of the PL with the prices paid </w:t>
      </w:r>
      <w:r w:rsidRPr="00602824">
        <w:rPr>
          <w:i/>
          <w:iCs/>
          <w:lang w:eastAsia="en-AU"/>
        </w:rPr>
        <w:t>in more competitive markets</w:t>
      </w:r>
      <w:r w:rsidRPr="00602824">
        <w:rPr>
          <w:lang w:eastAsia="en-AU"/>
        </w:rPr>
        <w:t xml:space="preserve">”. The evaluation assessed the median gap against Australian public sector benchmark prices as well as limited </w:t>
      </w:r>
      <w:r>
        <w:rPr>
          <w:lang w:eastAsia="en-AU"/>
        </w:rPr>
        <w:t xml:space="preserve">available </w:t>
      </w:r>
      <w:r w:rsidRPr="00602824">
        <w:rPr>
          <w:lang w:eastAsia="en-AU"/>
        </w:rPr>
        <w:t>international comparisons.</w:t>
      </w:r>
    </w:p>
    <w:p w14:paraId="449F9A00" w14:textId="77777777" w:rsidR="00287A84" w:rsidRPr="00602824" w:rsidRDefault="00287A84" w:rsidP="00287A84">
      <w:pPr>
        <w:pStyle w:val="Heading4"/>
      </w:pPr>
      <w:r w:rsidRPr="00602824">
        <w:t>For items subject to reductions, the median gap above Australian public sector prices decreased from $177 to $35</w:t>
      </w:r>
    </w:p>
    <w:p w14:paraId="39E3C15A" w14:textId="0A3DD342" w:rsidR="00287A84" w:rsidRPr="00602824" w:rsidRDefault="00287A84" w:rsidP="00287A84">
      <w:r w:rsidRPr="00602824">
        <w:t xml:space="preserve">The narrowing gap between PL benefits and public sector benchmarks (as reflected in IHACPA’s Weighted Average Prices) suggests that the reforms </w:t>
      </w:r>
      <w:r>
        <w:t>improved</w:t>
      </w:r>
      <w:r w:rsidRPr="00602824">
        <w:t xml:space="preserve"> price alignment with more competitive markets. </w:t>
      </w:r>
      <w:r w:rsidRPr="00602824">
        <w:fldChar w:fldCharType="begin"/>
      </w:r>
      <w:r w:rsidRPr="00602824">
        <w:instrText xml:space="preserve"> REF _Ref202471520 \h  \* MERGEFORMAT </w:instrText>
      </w:r>
      <w:r w:rsidRPr="00602824">
        <w:fldChar w:fldCharType="separate"/>
      </w:r>
      <w:r w:rsidR="0092693A" w:rsidRPr="00602824">
        <w:t xml:space="preserve">Figure </w:t>
      </w:r>
      <w:r w:rsidR="0092693A">
        <w:t>6</w:t>
      </w:r>
      <w:r w:rsidRPr="00602824">
        <w:fldChar w:fldCharType="end"/>
      </w:r>
      <w:r w:rsidRPr="00602824">
        <w:t xml:space="preserve"> shows that, across all items, the median gap fell from $24 to $8 </w:t>
      </w:r>
      <w:r w:rsidRPr="0089130A">
        <w:t>following the three rounds of reductions.</w:t>
      </w:r>
      <w:r w:rsidRPr="00602824">
        <w:t xml:space="preserve"> Among the items specifically targeted for reductions – around half of the PL – the median gap decreased from $177 to $35.</w:t>
      </w:r>
    </w:p>
    <w:p w14:paraId="717D5AE1" w14:textId="1DF2B873" w:rsidR="00287A84" w:rsidRPr="00602824" w:rsidRDefault="00287A84" w:rsidP="00287A84">
      <w:pPr>
        <w:pStyle w:val="Caption"/>
        <w:rPr>
          <w:lang w:eastAsia="en-AU"/>
        </w:rPr>
      </w:pPr>
      <w:bookmarkStart w:id="21" w:name="_Ref202471520"/>
      <w:r w:rsidRPr="00602824">
        <w:t xml:space="preserve">Figure </w:t>
      </w:r>
      <w:r>
        <w:fldChar w:fldCharType="begin"/>
      </w:r>
      <w:r>
        <w:instrText xml:space="preserve"> SEQ Figure \* ARABIC </w:instrText>
      </w:r>
      <w:r>
        <w:fldChar w:fldCharType="separate"/>
      </w:r>
      <w:r w:rsidR="0092693A">
        <w:rPr>
          <w:noProof/>
        </w:rPr>
        <w:t>6</w:t>
      </w:r>
      <w:r>
        <w:fldChar w:fldCharType="end"/>
      </w:r>
      <w:bookmarkEnd w:id="21"/>
      <w:r w:rsidRPr="00602824">
        <w:t xml:space="preserve"> | Median gap with public benchmark prices (Parts A and D, excluding CIEDs)</w:t>
      </w:r>
      <w:r w:rsidRPr="00602824">
        <w:rPr>
          <w:rStyle w:val="FootnoteReference"/>
        </w:rPr>
        <w:footnoteReference w:id="20"/>
      </w:r>
    </w:p>
    <w:p w14:paraId="71146AFD" w14:textId="77777777" w:rsidR="00287A84" w:rsidRPr="00602824" w:rsidRDefault="00287A84" w:rsidP="00287A84">
      <w:pPr>
        <w:rPr>
          <w:lang w:eastAsia="en-AU"/>
        </w:rPr>
      </w:pPr>
      <w:r w:rsidRPr="00AC7E3F">
        <w:rPr>
          <w:noProof/>
          <w:lang w:eastAsia="en-AU"/>
        </w:rPr>
        <w:drawing>
          <wp:inline distT="0" distB="0" distL="0" distR="0" wp14:anchorId="3088CF72" wp14:editId="0B8B26D4">
            <wp:extent cx="5832000" cy="2034962"/>
            <wp:effectExtent l="0" t="0" r="0" b="3810"/>
            <wp:docPr id="758434153" name="Picture 1" descr="Figure showing decline in median price gap between PL benefits and public benchmarks after red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434153" name="Picture 1" descr="Figure showing decline in median price gap between PL benefits and public benchmarks after reductions."/>
                    <pic:cNvPicPr/>
                  </pic:nvPicPr>
                  <pic:blipFill rotWithShape="1">
                    <a:blip r:embed="rId28"/>
                    <a:srcRect b="5150"/>
                    <a:stretch>
                      <a:fillRect/>
                    </a:stretch>
                  </pic:blipFill>
                  <pic:spPr bwMode="auto">
                    <a:xfrm>
                      <a:off x="0" y="0"/>
                      <a:ext cx="5832000" cy="2034962"/>
                    </a:xfrm>
                    <a:prstGeom prst="rect">
                      <a:avLst/>
                    </a:prstGeom>
                    <a:ln>
                      <a:noFill/>
                    </a:ln>
                    <a:extLst>
                      <a:ext uri="{53640926-AAD7-44D8-BBD7-CCE9431645EC}">
                        <a14:shadowObscured xmlns:a14="http://schemas.microsoft.com/office/drawing/2010/main"/>
                      </a:ext>
                    </a:extLst>
                  </pic:spPr>
                </pic:pic>
              </a:graphicData>
            </a:graphic>
          </wp:inline>
        </w:drawing>
      </w:r>
    </w:p>
    <w:p w14:paraId="3759527D" w14:textId="070635ED" w:rsidR="00287A84" w:rsidRPr="00602824" w:rsidRDefault="00287A84" w:rsidP="00287A84">
      <w:pPr>
        <w:spacing w:before="240"/>
      </w:pPr>
      <w:r w:rsidRPr="00602824">
        <w:fldChar w:fldCharType="begin"/>
      </w:r>
      <w:r w:rsidRPr="00602824">
        <w:instrText xml:space="preserve"> REF _Ref202878064 \h </w:instrText>
      </w:r>
      <w:r w:rsidRPr="00602824">
        <w:fldChar w:fldCharType="separate"/>
      </w:r>
      <w:r w:rsidR="0092693A" w:rsidRPr="004A357C">
        <w:t xml:space="preserve">Table </w:t>
      </w:r>
      <w:r w:rsidR="0092693A">
        <w:rPr>
          <w:noProof/>
        </w:rPr>
        <w:t>12</w:t>
      </w:r>
      <w:r w:rsidRPr="00602824">
        <w:fldChar w:fldCharType="end"/>
      </w:r>
      <w:r w:rsidRPr="00602824">
        <w:t xml:space="preserve"> in Appendix </w:t>
      </w:r>
      <w:r w:rsidRPr="00602824">
        <w:fldChar w:fldCharType="begin"/>
      </w:r>
      <w:r w:rsidRPr="00602824">
        <w:instrText xml:space="preserve"> REF _Ref199758364 \r \h </w:instrText>
      </w:r>
      <w:r w:rsidRPr="00602824">
        <w:fldChar w:fldCharType="separate"/>
      </w:r>
      <w:r w:rsidR="0092693A">
        <w:t>C.2</w:t>
      </w:r>
      <w:r w:rsidRPr="00602824">
        <w:fldChar w:fldCharType="end"/>
      </w:r>
      <w:r w:rsidRPr="00602824">
        <w:t xml:space="preserve"> shows the median dollar and percentage gaps across PL categories before and after the reforms. All but one category now has a median gap of less than 1</w:t>
      </w:r>
      <w:r>
        <w:t>2</w:t>
      </w:r>
      <w:r w:rsidRPr="00602824">
        <w:t>% above public benchmark prices. The exception is the Cardiac category (excluding CIEDs),</w:t>
      </w:r>
      <w:r w:rsidRPr="00602824">
        <w:rPr>
          <w:rStyle w:val="FootnoteReference"/>
        </w:rPr>
        <w:footnoteReference w:id="21"/>
      </w:r>
      <w:r w:rsidRPr="00602824">
        <w:t xml:space="preserve"> which, although it had the largest percentage price reduction, </w:t>
      </w:r>
      <w:r w:rsidRPr="00AA0F68">
        <w:t>still has a median gap of 42%.</w:t>
      </w:r>
    </w:p>
    <w:p w14:paraId="78BE5282" w14:textId="5B9DAAB3" w:rsidR="00287A84" w:rsidRPr="00602824" w:rsidRDefault="00287A84" w:rsidP="00287A84">
      <w:r w:rsidRPr="00602824">
        <w:fldChar w:fldCharType="begin"/>
      </w:r>
      <w:r w:rsidRPr="00602824">
        <w:instrText xml:space="preserve"> REF _Ref202472568 \h </w:instrText>
      </w:r>
      <w:r w:rsidRPr="00602824">
        <w:fldChar w:fldCharType="separate"/>
      </w:r>
      <w:r w:rsidR="0092693A" w:rsidRPr="00602824">
        <w:t xml:space="preserve">Figure </w:t>
      </w:r>
      <w:r w:rsidR="0092693A">
        <w:rPr>
          <w:noProof/>
        </w:rPr>
        <w:t>7</w:t>
      </w:r>
      <w:r w:rsidRPr="00602824">
        <w:fldChar w:fldCharType="end"/>
      </w:r>
      <w:r w:rsidRPr="00602824">
        <w:t xml:space="preserve"> shows the distribution of PL items according to their gap above public benchmarks – the orange bar represents the gaps following the July 2024 reductions and the dark blue bars represent the gaps at baseline. The number above each bar is the change in the number of items with that percentage gap. The absence of orange areas on the higher percentage gaps </w:t>
      </w:r>
      <w:r w:rsidR="001F7721" w:rsidRPr="00602824">
        <w:t>demonstrates</w:t>
      </w:r>
      <w:r w:rsidRPr="00602824">
        <w:t xml:space="preserve"> there has been a significant reduction in items with large gaps. Since the baseline, 491 fewer PL items have a gap above 91%, and 2,360 additional items now have a reduced gap of less than 7%.</w:t>
      </w:r>
      <w:r w:rsidRPr="00602824">
        <w:rPr>
          <w:rStyle w:val="FootnoteReference"/>
        </w:rPr>
        <w:footnoteReference w:id="22"/>
      </w:r>
    </w:p>
    <w:p w14:paraId="387041E8" w14:textId="51A8A18D" w:rsidR="00287A84" w:rsidRPr="00602824" w:rsidRDefault="00287A84" w:rsidP="00287A84">
      <w:pPr>
        <w:pStyle w:val="Caption"/>
      </w:pPr>
      <w:bookmarkStart w:id="22" w:name="_Ref202472568"/>
      <w:r w:rsidRPr="00602824">
        <w:t xml:space="preserve">Figure </w:t>
      </w:r>
      <w:r>
        <w:fldChar w:fldCharType="begin"/>
      </w:r>
      <w:r>
        <w:instrText xml:space="preserve"> SEQ Figure \* ARABIC </w:instrText>
      </w:r>
      <w:r>
        <w:fldChar w:fldCharType="separate"/>
      </w:r>
      <w:r w:rsidR="0092693A">
        <w:rPr>
          <w:noProof/>
        </w:rPr>
        <w:t>7</w:t>
      </w:r>
      <w:r>
        <w:fldChar w:fldCharType="end"/>
      </w:r>
      <w:bookmarkEnd w:id="22"/>
      <w:r w:rsidRPr="00602824">
        <w:t xml:space="preserve"> | Percentage gap between PL benefits and public benchmark prices (excluding CIED items)</w:t>
      </w:r>
      <w:r w:rsidRPr="00602824">
        <w:rPr>
          <w:rStyle w:val="FootnoteReference"/>
        </w:rPr>
        <w:footnoteReference w:id="23"/>
      </w:r>
    </w:p>
    <w:p w14:paraId="459D44B6" w14:textId="77777777" w:rsidR="00287A84" w:rsidRPr="00602824" w:rsidRDefault="00287A84" w:rsidP="00287A84">
      <w:r w:rsidRPr="00AC7E3F">
        <w:rPr>
          <w:noProof/>
        </w:rPr>
        <w:drawing>
          <wp:inline distT="0" distB="0" distL="0" distR="0" wp14:anchorId="745D4165" wp14:editId="38A2AA3D">
            <wp:extent cx="5832000" cy="3455768"/>
            <wp:effectExtent l="0" t="0" r="0" b="0"/>
            <wp:docPr id="1818009644" name="Picture 1" descr="Histogram showing distribution of PL items by percentage gap above public benchmarks before and after refo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009644" name="Picture 1" descr="Histogram showing distribution of PL items by percentage gap above public benchmarks before and after reforms."/>
                    <pic:cNvPicPr/>
                  </pic:nvPicPr>
                  <pic:blipFill rotWithShape="1">
                    <a:blip r:embed="rId29"/>
                    <a:srcRect t="1281" b="2114"/>
                    <a:stretch>
                      <a:fillRect/>
                    </a:stretch>
                  </pic:blipFill>
                  <pic:spPr bwMode="auto">
                    <a:xfrm>
                      <a:off x="0" y="0"/>
                      <a:ext cx="5832000" cy="3455768"/>
                    </a:xfrm>
                    <a:prstGeom prst="rect">
                      <a:avLst/>
                    </a:prstGeom>
                    <a:ln>
                      <a:noFill/>
                    </a:ln>
                    <a:extLst>
                      <a:ext uri="{53640926-AAD7-44D8-BBD7-CCE9431645EC}">
                        <a14:shadowObscured xmlns:a14="http://schemas.microsoft.com/office/drawing/2010/main"/>
                      </a:ext>
                    </a:extLst>
                  </pic:spPr>
                </pic:pic>
              </a:graphicData>
            </a:graphic>
          </wp:inline>
        </w:drawing>
      </w:r>
    </w:p>
    <w:p w14:paraId="4B3C6471" w14:textId="77777777" w:rsidR="00287A84" w:rsidRDefault="00287A84" w:rsidP="002C1932">
      <w:pPr>
        <w:pStyle w:val="Heading4"/>
      </w:pPr>
      <w:r>
        <w:t>Feedback from stakeholders in the private health sector reflected the impact of the benefit reductions on their business</w:t>
      </w:r>
    </w:p>
    <w:p w14:paraId="2511A6F3" w14:textId="6779E6A0" w:rsidR="00287A84" w:rsidRPr="004D2D2C" w:rsidRDefault="00287A84" w:rsidP="004D2D2C">
      <w:pPr>
        <w:pStyle w:val="Heading5"/>
      </w:pPr>
      <w:r w:rsidRPr="004D2D2C">
        <w:t>Private hospitals raised concerns that the reductions shifted financial pressure onto the hospital sector</w:t>
      </w:r>
      <w:r w:rsidR="00437726" w:rsidRPr="004D2D2C">
        <w:t xml:space="preserve"> </w:t>
      </w:r>
    </w:p>
    <w:p w14:paraId="313E8694" w14:textId="76CD8BE3" w:rsidR="00287A84" w:rsidRDefault="00287A84" w:rsidP="004D2D2C">
      <w:r w:rsidRPr="00031AA0">
        <w:t xml:space="preserve">Private hospitals raised concerns that the reductions shifted financial pressure onto the hospital sector. They </w:t>
      </w:r>
      <w:r w:rsidRPr="00AC484F">
        <w:t>questioned whether the estimated savings from the reforms adequately accounted for hospital provider costs</w:t>
      </w:r>
      <w:r w:rsidRPr="00031AA0">
        <w:t xml:space="preserve"> and expressed doubt that savings arising from benefit reductions could be realised without adverse impacts on patient care. </w:t>
      </w:r>
      <w:r>
        <w:t>Hospital stakeholder</w:t>
      </w:r>
      <w:r w:rsidRPr="00031AA0">
        <w:t xml:space="preserve"> identified inflation and the absence of mechanisms to adjust benefits over time as ongoing risk factors. In this context, they argued that the 7</w:t>
      </w:r>
      <w:r w:rsidR="00AC484F">
        <w:t>%</w:t>
      </w:r>
      <w:r w:rsidRPr="00031AA0">
        <w:t xml:space="preserve"> margin above public benchmarks </w:t>
      </w:r>
      <w:proofErr w:type="gramStart"/>
      <w:r w:rsidRPr="00031AA0">
        <w:t>is</w:t>
      </w:r>
      <w:proofErr w:type="gramEnd"/>
      <w:r w:rsidRPr="00031AA0">
        <w:t xml:space="preserve"> insufficient to cover private sector costs, particularly for high-cost devices.</w:t>
      </w:r>
    </w:p>
    <w:p w14:paraId="095F46F7" w14:textId="77777777" w:rsidR="00287A84" w:rsidRDefault="00287A84" w:rsidP="004D2D2C">
      <w:pPr>
        <w:pStyle w:val="Heading5"/>
      </w:pPr>
      <w:r>
        <w:t>Inflation and the lack of mechanisms to increase benefits were seen by the MedTech industry as potentially risking innovation and access to new technology</w:t>
      </w:r>
    </w:p>
    <w:p w14:paraId="27321C84" w14:textId="77777777" w:rsidR="00287A84" w:rsidRDefault="00287A84" w:rsidP="00287A84">
      <w:r w:rsidRPr="00602824">
        <w:t xml:space="preserve">Medical technology representatives acknowledged that benefit levels are now better aligned with public pricing but cautioned that </w:t>
      </w:r>
      <w:r>
        <w:t xml:space="preserve">cost </w:t>
      </w:r>
      <w:r w:rsidRPr="00602824">
        <w:t xml:space="preserve">inflation and the lack of mechanisms to increase benefits may undermine </w:t>
      </w:r>
      <w:r>
        <w:t xml:space="preserve">medical device </w:t>
      </w:r>
      <w:r w:rsidRPr="00602824">
        <w:t xml:space="preserve">innovation and </w:t>
      </w:r>
      <w:r>
        <w:t xml:space="preserve">Australian private health </w:t>
      </w:r>
      <w:r w:rsidRPr="00602824">
        <w:t>patient access</w:t>
      </w:r>
      <w:r>
        <w:t xml:space="preserve"> to new technology. </w:t>
      </w:r>
    </w:p>
    <w:p w14:paraId="487CC2ED" w14:textId="77777777" w:rsidR="00287A84" w:rsidRPr="00602824" w:rsidRDefault="00287A84" w:rsidP="00287A84">
      <w:r>
        <w:t>These stakeholders reiterated their position that</w:t>
      </w:r>
      <w:r w:rsidRPr="0098197F">
        <w:t xml:space="preserve"> public markets often achieve lower prices through guaranteed volume</w:t>
      </w:r>
      <w:r>
        <w:t xml:space="preserve"> unlike the private sector where </w:t>
      </w:r>
      <w:r w:rsidRPr="0098197F">
        <w:t>clinician-led choice is critical</w:t>
      </w:r>
      <w:r>
        <w:t xml:space="preserve">, criticising the absence of accounting for this in the treatment of general use items. </w:t>
      </w:r>
      <w:r w:rsidRPr="0098197F">
        <w:t xml:space="preserve"> </w:t>
      </w:r>
    </w:p>
    <w:p w14:paraId="754EE92B" w14:textId="77777777" w:rsidR="00287A84" w:rsidRDefault="00287A84" w:rsidP="00437726">
      <w:pPr>
        <w:pStyle w:val="Heading5"/>
      </w:pPr>
      <w:r w:rsidRPr="009447C8">
        <w:t xml:space="preserve">Private health insurers </w:t>
      </w:r>
      <w:r>
        <w:t>argued that</w:t>
      </w:r>
      <w:r w:rsidRPr="009447C8">
        <w:t xml:space="preserve"> the </w:t>
      </w:r>
      <w:r>
        <w:t xml:space="preserve">reductions were too small and that the </w:t>
      </w:r>
      <w:r w:rsidRPr="009447C8">
        <w:t xml:space="preserve">reforms </w:t>
      </w:r>
      <w:r>
        <w:t xml:space="preserve">delivered </w:t>
      </w:r>
      <w:r w:rsidRPr="009447C8">
        <w:t>insufficient savings</w:t>
      </w:r>
    </w:p>
    <w:p w14:paraId="6F54061D" w14:textId="77777777" w:rsidR="00287A84" w:rsidRPr="00090FE3" w:rsidRDefault="00287A84" w:rsidP="00287A84">
      <w:r w:rsidRPr="00876957">
        <w:t>Private health insurers argued that modest reductions in per</w:t>
      </w:r>
      <w:r w:rsidRPr="00876957">
        <w:noBreakHyphen/>
        <w:t>episode costs generated insufficient savings to materially reduce premiums</w:t>
      </w:r>
      <w:r>
        <w:t xml:space="preserve">. </w:t>
      </w:r>
      <w:r w:rsidRPr="00876957">
        <w:t xml:space="preserve">They criticised the reliance on public sector benchmarking, contending that </w:t>
      </w:r>
      <w:r>
        <w:t>the reduction calculations comprised of</w:t>
      </w:r>
      <w:r w:rsidRPr="00876957">
        <w:t xml:space="preserve"> </w:t>
      </w:r>
      <w:r>
        <w:t>averages that do not</w:t>
      </w:r>
      <w:r w:rsidRPr="004E66A0">
        <w:t xml:space="preserve"> represent the lowest prices encountered in the public sector</w:t>
      </w:r>
      <w:r>
        <w:t>,</w:t>
      </w:r>
      <w:r w:rsidRPr="004E66A0">
        <w:t xml:space="preserve"> </w:t>
      </w:r>
      <w:r>
        <w:t xml:space="preserve">which continues to </w:t>
      </w:r>
      <w:r w:rsidRPr="004E66A0">
        <w:t xml:space="preserve">permit supra-economic gains for medical device companies </w:t>
      </w:r>
      <w:r>
        <w:t>to</w:t>
      </w:r>
      <w:r w:rsidRPr="004E66A0">
        <w:t xml:space="preserve"> the detriment of consumers. </w:t>
      </w:r>
      <w:r w:rsidRPr="00090FE3">
        <w:t xml:space="preserve">They argued that additional savings opportunities were not fully realised, </w:t>
      </w:r>
      <w:r>
        <w:t>claiming</w:t>
      </w:r>
      <w:r w:rsidRPr="00090FE3">
        <w:t xml:space="preserve"> </w:t>
      </w:r>
      <w:r>
        <w:t>device</w:t>
      </w:r>
      <w:r w:rsidRPr="00090FE3">
        <w:t xml:space="preserve"> benefit levels remain </w:t>
      </w:r>
      <w:r>
        <w:t xml:space="preserve">markedly </w:t>
      </w:r>
      <w:r w:rsidRPr="00090FE3">
        <w:t>higher than those observed in comparable international markets.</w:t>
      </w:r>
    </w:p>
    <w:p w14:paraId="057B6B2B" w14:textId="19147AD2" w:rsidR="00287A84" w:rsidRDefault="00287A84" w:rsidP="00287A84">
      <w:r>
        <w:t xml:space="preserve">The private health insurance representatives also </w:t>
      </w:r>
      <w:r w:rsidRPr="00876957">
        <w:t>raised concerns about what they perceived as ongoing gaming of the system</w:t>
      </w:r>
      <w:r w:rsidR="00437726">
        <w:t>.</w:t>
      </w:r>
    </w:p>
    <w:p w14:paraId="6ACB01FF" w14:textId="77777777" w:rsidR="00287A84" w:rsidRDefault="00287A84" w:rsidP="00437726">
      <w:pPr>
        <w:pStyle w:val="Heading5"/>
      </w:pPr>
      <w:r>
        <w:t>Clinicians were broadly supportive of the benefit reduction methods used</w:t>
      </w:r>
    </w:p>
    <w:p w14:paraId="09188861" w14:textId="58F7B971" w:rsidR="00287A84" w:rsidRDefault="00287A84" w:rsidP="00287A84">
      <w:r w:rsidRPr="00437E58">
        <w:t xml:space="preserve">Clinicians, </w:t>
      </w:r>
      <w:r>
        <w:t xml:space="preserve">primarily </w:t>
      </w:r>
      <w:r w:rsidRPr="00437E58">
        <w:t xml:space="preserve">represented by the Australian Medical Association (AMA), considered it appropriate </w:t>
      </w:r>
      <w:r>
        <w:t xml:space="preserve">for PL benefits </w:t>
      </w:r>
      <w:r w:rsidRPr="00437E58">
        <w:t>to be set somewhat above public hospital benchmarks</w:t>
      </w:r>
      <w:r>
        <w:t xml:space="preserve"> with a 7</w:t>
      </w:r>
      <w:r w:rsidR="00AC484F">
        <w:t>%</w:t>
      </w:r>
      <w:r>
        <w:t xml:space="preserve"> floor</w:t>
      </w:r>
      <w:r w:rsidRPr="00437E58">
        <w:t xml:space="preserve">, </w:t>
      </w:r>
      <w:r>
        <w:t xml:space="preserve">noting </w:t>
      </w:r>
      <w:r w:rsidRPr="00437E58">
        <w:t xml:space="preserve">differences between public and private settings. They </w:t>
      </w:r>
      <w:r>
        <w:t>viewed</w:t>
      </w:r>
      <w:r w:rsidRPr="00437E58">
        <w:t xml:space="preserve"> international pricing comparisons as of limited relevance to PL pricing.</w:t>
      </w:r>
      <w:r w:rsidRPr="002A7D84">
        <w:t xml:space="preserve"> </w:t>
      </w:r>
    </w:p>
    <w:p w14:paraId="0D34A4B8" w14:textId="77777777" w:rsidR="00287A84" w:rsidRDefault="00287A84" w:rsidP="00437726">
      <w:pPr>
        <w:pStyle w:val="Heading5"/>
      </w:pPr>
      <w:r>
        <w:t>Consumers were supportive of the reform process</w:t>
      </w:r>
    </w:p>
    <w:p w14:paraId="094DFB90" w14:textId="1D8435D7" w:rsidR="00287A84" w:rsidRDefault="00287A84" w:rsidP="00287A84">
      <w:r>
        <w:t>C</w:t>
      </w:r>
      <w:r w:rsidRPr="00602824">
        <w:t xml:space="preserve">onsumers have limited visibility over the PL and benefit reductions, as these transactions occur at arm’s length from them. </w:t>
      </w:r>
      <w:r>
        <w:t>Consumers’</w:t>
      </w:r>
      <w:r w:rsidRPr="00602824">
        <w:t xml:space="preserve"> primary concerns relate to the cost of private health insurance and the safety and quality of medical devices. Consumer representatives expressed broad support for the PL mechanism – which they believe contributes to these objectives – as well as for the overall reform process.</w:t>
      </w:r>
    </w:p>
    <w:p w14:paraId="4607FB0A" w14:textId="0412E8DE" w:rsidR="00E7563E" w:rsidRPr="00602824" w:rsidRDefault="00E7563E" w:rsidP="00E7563E">
      <w:pPr>
        <w:pStyle w:val="Heading4"/>
      </w:pPr>
      <w:r w:rsidRPr="00602824">
        <w:t>PL benefits are better aligned with some international markets</w:t>
      </w:r>
      <w:r>
        <w:t xml:space="preserve"> but there remains a gap</w:t>
      </w:r>
    </w:p>
    <w:p w14:paraId="648933AB" w14:textId="07550D5C" w:rsidR="00E7563E" w:rsidRPr="00602824" w:rsidRDefault="00E7563E" w:rsidP="00E7563E">
      <w:pPr>
        <w:rPr>
          <w:lang w:eastAsia="en-AU"/>
        </w:rPr>
      </w:pPr>
      <w:r w:rsidRPr="00602824">
        <w:rPr>
          <w:lang w:eastAsia="en-AU"/>
        </w:rPr>
        <w:t xml:space="preserve">An updated case study comparison with New Zealand and France, outlined in Appendix </w:t>
      </w:r>
      <w:r w:rsidRPr="00602824">
        <w:rPr>
          <w:lang w:eastAsia="en-AU"/>
        </w:rPr>
        <w:fldChar w:fldCharType="begin"/>
      </w:r>
      <w:r w:rsidRPr="00602824">
        <w:rPr>
          <w:lang w:eastAsia="en-AU"/>
        </w:rPr>
        <w:instrText xml:space="preserve"> REF _Ref199758364 \r \h </w:instrText>
      </w:r>
      <w:r w:rsidRPr="00602824">
        <w:rPr>
          <w:lang w:eastAsia="en-AU"/>
        </w:rPr>
      </w:r>
      <w:r w:rsidRPr="00602824">
        <w:rPr>
          <w:lang w:eastAsia="en-AU"/>
        </w:rPr>
        <w:fldChar w:fldCharType="separate"/>
      </w:r>
      <w:r w:rsidR="0092693A">
        <w:rPr>
          <w:lang w:eastAsia="en-AU"/>
        </w:rPr>
        <w:t>C.2</w:t>
      </w:r>
      <w:r w:rsidRPr="00602824">
        <w:rPr>
          <w:lang w:eastAsia="en-AU"/>
        </w:rPr>
        <w:fldChar w:fldCharType="end"/>
      </w:r>
      <w:r w:rsidRPr="00602824">
        <w:rPr>
          <w:lang w:eastAsia="en-AU"/>
        </w:rPr>
        <w:t>, shows that prices in those markets have continued to remain stable throughout the reform period, while the Australian PL benefits have declined. This has narrowed the price gap, indicating that the reforms are achieving their goal of improving alignment with prices in more competitive markets.</w:t>
      </w:r>
    </w:p>
    <w:p w14:paraId="342D1201" w14:textId="6C1108BD" w:rsidR="00E7563E" w:rsidRPr="00602824" w:rsidRDefault="00E7563E" w:rsidP="00E7563E">
      <w:pPr>
        <w:rPr>
          <w:lang w:eastAsia="en-AU"/>
        </w:rPr>
      </w:pPr>
      <w:r w:rsidRPr="00602824">
        <w:rPr>
          <w:lang w:eastAsia="en-AU"/>
        </w:rPr>
        <w:t xml:space="preserve">As was discussed in </w:t>
      </w:r>
      <w:r>
        <w:rPr>
          <w:lang w:eastAsia="en-AU"/>
        </w:rPr>
        <w:t>Section</w:t>
      </w:r>
      <w:r w:rsidRPr="00602824">
        <w:rPr>
          <w:lang w:eastAsia="en-AU"/>
        </w:rPr>
        <w:t xml:space="preserve"> 2.3.6 of the </w:t>
      </w:r>
      <w:r w:rsidRPr="00602824">
        <w:rPr>
          <w:i/>
          <w:iCs/>
          <w:lang w:eastAsia="en-AU"/>
        </w:rPr>
        <w:t>Interim Evaluation #1 report</w:t>
      </w:r>
      <w:r w:rsidRPr="00602824">
        <w:rPr>
          <w:lang w:eastAsia="en-AU"/>
        </w:rPr>
        <w:t xml:space="preserve">, the reforms have had mixed success in meaningfully reducing the absolute gap with the French market. While alignment has improved in some areas, the price differential with the French </w:t>
      </w:r>
      <w:proofErr w:type="spellStart"/>
      <w:r w:rsidRPr="00602824">
        <w:rPr>
          <w:i/>
          <w:iCs/>
          <w:lang w:eastAsia="en-AU"/>
        </w:rPr>
        <w:t>Liste</w:t>
      </w:r>
      <w:proofErr w:type="spellEnd"/>
      <w:r w:rsidRPr="00602824">
        <w:rPr>
          <w:i/>
          <w:iCs/>
          <w:lang w:eastAsia="en-AU"/>
        </w:rPr>
        <w:t xml:space="preserve"> des </w:t>
      </w:r>
      <w:proofErr w:type="spellStart"/>
      <w:r w:rsidRPr="00602824">
        <w:rPr>
          <w:i/>
          <w:iCs/>
          <w:lang w:eastAsia="en-AU"/>
        </w:rPr>
        <w:t>Produits</w:t>
      </w:r>
      <w:proofErr w:type="spellEnd"/>
      <w:r w:rsidRPr="00602824">
        <w:rPr>
          <w:i/>
          <w:iCs/>
          <w:lang w:eastAsia="en-AU"/>
        </w:rPr>
        <w:t xml:space="preserve"> et Prestation (LPP) </w:t>
      </w:r>
      <w:r w:rsidRPr="00602824">
        <w:rPr>
          <w:lang w:eastAsia="en-AU"/>
        </w:rPr>
        <w:t>remains substantial in others:</w:t>
      </w:r>
    </w:p>
    <w:p w14:paraId="401879CB" w14:textId="6CD8E8E5" w:rsidR="00E7563E" w:rsidRPr="00602824" w:rsidRDefault="00E7563E" w:rsidP="00C43175">
      <w:pPr>
        <w:pStyle w:val="ListBullet"/>
      </w:pPr>
      <w:r w:rsidRPr="00602824">
        <w:t xml:space="preserve">A case study of knee implants (12.08.01 PL benefit group, see </w:t>
      </w:r>
      <w:r w:rsidRPr="00602824">
        <w:fldChar w:fldCharType="begin"/>
      </w:r>
      <w:r w:rsidRPr="00602824">
        <w:instrText xml:space="preserve"> REF _Ref199754519 \h </w:instrText>
      </w:r>
      <w:r w:rsidRPr="00602824">
        <w:fldChar w:fldCharType="separate"/>
      </w:r>
      <w:r w:rsidR="0092693A" w:rsidRPr="004A357C">
        <w:t xml:space="preserve">Figure </w:t>
      </w:r>
      <w:r w:rsidR="0092693A">
        <w:rPr>
          <w:noProof/>
        </w:rPr>
        <w:t>34</w:t>
      </w:r>
      <w:r w:rsidRPr="00602824">
        <w:fldChar w:fldCharType="end"/>
      </w:r>
      <w:r w:rsidRPr="00602824">
        <w:t xml:space="preserve">) shows a noteworthy improvement in alignment. The gap between the French </w:t>
      </w:r>
      <w:r>
        <w:t xml:space="preserve">price </w:t>
      </w:r>
      <w:r w:rsidRPr="00602824">
        <w:t>and Australian benefi</w:t>
      </w:r>
      <w:r>
        <w:t>t</w:t>
      </w:r>
      <w:r w:rsidRPr="00602824">
        <w:t xml:space="preserve"> decreased from $3</w:t>
      </w:r>
      <w:r>
        <w:t>00</w:t>
      </w:r>
      <w:r w:rsidRPr="00602824">
        <w:t xml:space="preserve"> (a 1</w:t>
      </w:r>
      <w:r>
        <w:t>34</w:t>
      </w:r>
      <w:r w:rsidRPr="00602824">
        <w:t>% difference) in 2021 to $1</w:t>
      </w:r>
      <w:r>
        <w:t>13</w:t>
      </w:r>
      <w:r w:rsidRPr="00602824">
        <w:t xml:space="preserve"> (</w:t>
      </w:r>
      <w:r>
        <w:t>50</w:t>
      </w:r>
      <w:r w:rsidRPr="00602824">
        <w:t>%) in 202</w:t>
      </w:r>
      <w:r>
        <w:t>5</w:t>
      </w:r>
      <w:r w:rsidRPr="00602824">
        <w:t>.</w:t>
      </w:r>
      <w:r w:rsidRPr="00602824">
        <w:rPr>
          <w:rStyle w:val="FootnoteReference"/>
        </w:rPr>
        <w:footnoteReference w:id="24"/>
      </w:r>
    </w:p>
    <w:p w14:paraId="06053AE4" w14:textId="059F4AB2" w:rsidR="00E7563E" w:rsidRPr="00602824" w:rsidRDefault="00E7563E" w:rsidP="00C43175">
      <w:pPr>
        <w:pStyle w:val="ListBullet"/>
      </w:pPr>
      <w:r w:rsidRPr="00602824">
        <w:t xml:space="preserve">In contrast, a case study of spinal fusion cages (13.10.01.02 PL benefit group, see </w:t>
      </w:r>
      <w:r w:rsidRPr="00602824">
        <w:fldChar w:fldCharType="begin"/>
      </w:r>
      <w:r w:rsidRPr="00602824">
        <w:instrText xml:space="preserve"> REF _Ref199754522 \h </w:instrText>
      </w:r>
      <w:r w:rsidRPr="00602824">
        <w:fldChar w:fldCharType="separate"/>
      </w:r>
      <w:r w:rsidR="0092693A" w:rsidRPr="004A357C">
        <w:t xml:space="preserve">Figure </w:t>
      </w:r>
      <w:r w:rsidR="0092693A">
        <w:rPr>
          <w:noProof/>
        </w:rPr>
        <w:t>36</w:t>
      </w:r>
      <w:r w:rsidRPr="00602824">
        <w:fldChar w:fldCharType="end"/>
      </w:r>
      <w:r w:rsidRPr="00602824">
        <w:t xml:space="preserve">) shows limited change. The PL benefit remains </w:t>
      </w:r>
      <w:r>
        <w:t>over</w:t>
      </w:r>
      <w:r w:rsidRPr="00602824">
        <w:t xml:space="preserve"> </w:t>
      </w:r>
      <w:r>
        <w:rPr>
          <w:rFonts w:asciiTheme="majorHAnsi" w:hAnsiTheme="majorHAnsi" w:cstheme="majorHAnsi"/>
        </w:rPr>
        <w:t>five</w:t>
      </w:r>
      <w:r w:rsidRPr="00602824">
        <w:rPr>
          <w:rFonts w:asciiTheme="majorHAnsi" w:hAnsiTheme="majorHAnsi" w:cstheme="majorHAnsi"/>
        </w:rPr>
        <w:t xml:space="preserve"> times higher</w:t>
      </w:r>
      <w:r w:rsidRPr="00602824">
        <w:t xml:space="preserve"> than the French LPP price at the end of reform period.</w:t>
      </w:r>
      <w:r w:rsidRPr="00602824">
        <w:rPr>
          <w:rStyle w:val="FootnoteReference"/>
        </w:rPr>
        <w:footnoteReference w:id="25"/>
      </w:r>
      <w:r w:rsidRPr="00B26F5C">
        <w:rPr>
          <w:vertAlign w:val="superscript"/>
        </w:rPr>
        <w:t>,</w:t>
      </w:r>
      <w:r>
        <w:rPr>
          <w:rStyle w:val="FootnoteReference"/>
        </w:rPr>
        <w:footnoteReference w:id="26"/>
      </w:r>
    </w:p>
    <w:p w14:paraId="3738C98D" w14:textId="39BC5986" w:rsidR="00CB4829" w:rsidRDefault="00E7563E" w:rsidP="00E20BBD">
      <w:r w:rsidRPr="00602824">
        <w:t xml:space="preserve">As reform benefit reductions </w:t>
      </w:r>
      <w:r>
        <w:t>were calculated using</w:t>
      </w:r>
      <w:r w:rsidRPr="00602824">
        <w:t xml:space="preserve"> public sector</w:t>
      </w:r>
      <w:r>
        <w:t xml:space="preserve"> benchmark</w:t>
      </w:r>
      <w:r w:rsidRPr="00602824">
        <w:t xml:space="preserve"> pricing, improved alignment with those benchmarks was expected.</w:t>
      </w:r>
      <w:r w:rsidRPr="00602824">
        <w:rPr>
          <w:rStyle w:val="FootnoteReference"/>
        </w:rPr>
        <w:footnoteReference w:id="27"/>
      </w:r>
      <w:r w:rsidRPr="00602824">
        <w:t xml:space="preserve"> However, </w:t>
      </w:r>
      <w:r w:rsidR="00D81173">
        <w:t>while market conditions vary between conditions, the l</w:t>
      </w:r>
      <w:r w:rsidRPr="00602824">
        <w:t>imited</w:t>
      </w:r>
      <w:r w:rsidR="00875457">
        <w:t xml:space="preserve"> </w:t>
      </w:r>
      <w:r w:rsidRPr="00602824">
        <w:t xml:space="preserve">international </w:t>
      </w:r>
      <w:r w:rsidR="00D81173">
        <w:t>comparisons</w:t>
      </w:r>
      <w:r w:rsidRPr="00602824">
        <w:t xml:space="preserve"> suggest that</w:t>
      </w:r>
      <w:r w:rsidR="00626256">
        <w:t xml:space="preserve"> </w:t>
      </w:r>
      <w:r w:rsidRPr="00602824">
        <w:t>Australian prices remain among the highest globally</w:t>
      </w:r>
      <w:r w:rsidR="00303805">
        <w:t>.</w:t>
      </w:r>
    </w:p>
    <w:p w14:paraId="76B04DE6" w14:textId="77777777" w:rsidR="00820232" w:rsidRDefault="0045333F" w:rsidP="00DD6306">
      <w:r w:rsidRPr="0045333F">
        <w:rPr>
          <w:lang w:eastAsia="en-AU"/>
        </w:rPr>
        <w:t>The evaluation considers public sector benchmarking to have been a practical and appropriate basis for the reform benefit reductions. Stakeholders held mixed views on this approach</w:t>
      </w:r>
      <w:r w:rsidR="00C86DB2" w:rsidRPr="00C86DB2">
        <w:rPr>
          <w:lang w:eastAsia="en-AU"/>
        </w:rPr>
        <w:t>. Many</w:t>
      </w:r>
      <w:r w:rsidR="00E7563E">
        <w:rPr>
          <w:lang w:eastAsia="en-AU"/>
        </w:rPr>
        <w:t xml:space="preserve"> supported the use of a public sector price benchmark</w:t>
      </w:r>
      <w:r w:rsidR="00C86DB2" w:rsidRPr="00C86DB2">
        <w:rPr>
          <w:lang w:eastAsia="en-AU"/>
        </w:rPr>
        <w:t>, reflecting the Australian context for purchasing and funding medical devices. Others, particularly</w:t>
      </w:r>
      <w:r w:rsidR="00E7563E">
        <w:rPr>
          <w:lang w:eastAsia="en-AU"/>
        </w:rPr>
        <w:t xml:space="preserve"> the private health insurance industry, argued that there was </w:t>
      </w:r>
      <w:r w:rsidR="00C86DB2" w:rsidRPr="00C86DB2">
        <w:rPr>
          <w:lang w:eastAsia="en-AU"/>
        </w:rPr>
        <w:t xml:space="preserve">scope for further reductions </w:t>
      </w:r>
      <w:r w:rsidR="00E7563E">
        <w:rPr>
          <w:lang w:eastAsia="en-AU"/>
        </w:rPr>
        <w:t xml:space="preserve">and that international </w:t>
      </w:r>
      <w:r w:rsidR="00C86DB2" w:rsidRPr="008A7508">
        <w:rPr>
          <w:lang w:eastAsia="en-AU"/>
        </w:rPr>
        <w:t xml:space="preserve">prices </w:t>
      </w:r>
      <w:r w:rsidR="00E7563E">
        <w:rPr>
          <w:lang w:eastAsia="en-AU"/>
        </w:rPr>
        <w:t xml:space="preserve">could </w:t>
      </w:r>
      <w:r w:rsidR="008472D2">
        <w:rPr>
          <w:lang w:eastAsia="en-AU"/>
        </w:rPr>
        <w:t>have been</w:t>
      </w:r>
      <w:r w:rsidR="00E7563E">
        <w:rPr>
          <w:lang w:eastAsia="en-AU"/>
        </w:rPr>
        <w:t xml:space="preserve"> used. </w:t>
      </w:r>
      <w:r w:rsidR="00C86DB2" w:rsidRPr="008A7508">
        <w:rPr>
          <w:lang w:eastAsia="en-AU"/>
        </w:rPr>
        <w:t xml:space="preserve">Although contextual differences can cloud direct comparisons, </w:t>
      </w:r>
      <w:r w:rsidR="00C86DB2" w:rsidRPr="008A7508">
        <w:t xml:space="preserve">as outlined in Appendix F of the </w:t>
      </w:r>
      <w:r w:rsidR="00C86DB2" w:rsidRPr="008A7508">
        <w:rPr>
          <w:i/>
          <w:iCs/>
        </w:rPr>
        <w:t>Baseline evaluation of the Prostheses List Reforms report</w:t>
      </w:r>
      <w:r w:rsidR="00C86DB2" w:rsidRPr="008A7508">
        <w:rPr>
          <w:rStyle w:val="FootnoteReference"/>
          <w:i/>
          <w:iCs/>
        </w:rPr>
        <w:footnoteReference w:id="28"/>
      </w:r>
      <w:r w:rsidR="00C86DB2" w:rsidRPr="008A7508">
        <w:rPr>
          <w:lang w:eastAsia="en-AU"/>
        </w:rPr>
        <w:t xml:space="preserve">, Australia’s largely international medical device supply chain means international benchmarking </w:t>
      </w:r>
      <w:r w:rsidR="00CA71FA">
        <w:rPr>
          <w:lang w:eastAsia="en-AU"/>
        </w:rPr>
        <w:t xml:space="preserve">remains a </w:t>
      </w:r>
      <w:r w:rsidR="00C86DB2" w:rsidRPr="008A7508">
        <w:rPr>
          <w:lang w:eastAsia="en-AU"/>
        </w:rPr>
        <w:t xml:space="preserve">useful complementary input to </w:t>
      </w:r>
      <w:r w:rsidR="00EE06FC" w:rsidRPr="008A7508">
        <w:rPr>
          <w:lang w:eastAsia="en-AU"/>
        </w:rPr>
        <w:t xml:space="preserve">benefit setting </w:t>
      </w:r>
      <w:r w:rsidR="00E20BBD" w:rsidRPr="008A7508">
        <w:t>decisions.</w:t>
      </w:r>
    </w:p>
    <w:p w14:paraId="2230FB91" w14:textId="09D2B459" w:rsidR="001F7721" w:rsidRDefault="001F7721" w:rsidP="00DD6306">
      <w:r w:rsidRPr="001F7721">
        <w:t>International price benchmarks should be used selectively as a targeted evidence source in relevant BAU benefit setting decisions and post-listing reviews. For relevant applications or reviews, the Department, MDHTAC or contracted HTA providers could draw on publicly available international prices and, where appropriate, seek input from comparable overseas pricing or reimbursement bodies to help assess whether proposed or existing benefits remain reasonable. The 7% floor applied above public sector benchmarks during the reforms demonstrates that benchmarks can be used with an appropriate premium or buffer, recognising contextual differences without treating them as a barrier to practical comparison.</w:t>
      </w:r>
    </w:p>
    <w:tbl>
      <w:tblPr>
        <w:tblStyle w:val="NousLongformcallout"/>
        <w:tblW w:w="4950" w:type="pct"/>
        <w:tblCellMar>
          <w:top w:w="170" w:type="dxa"/>
          <w:bottom w:w="170" w:type="dxa"/>
        </w:tblCellMar>
        <w:tblLook w:val="04A0" w:firstRow="1" w:lastRow="0" w:firstColumn="1" w:lastColumn="0" w:noHBand="0" w:noVBand="1"/>
      </w:tblPr>
      <w:tblGrid>
        <w:gridCol w:w="9070"/>
      </w:tblGrid>
      <w:tr w:rsidR="00C770BC" w:rsidRPr="00602824" w14:paraId="67961E32" w14:textId="77777777">
        <w:tc>
          <w:tcPr>
            <w:tcW w:w="9070" w:type="dxa"/>
            <w:tcBorders>
              <w:left w:val="single" w:sz="18" w:space="0" w:color="2E368F" w:themeColor="text2"/>
            </w:tcBorders>
            <w:shd w:val="clear" w:color="auto" w:fill="F2F2F2" w:themeFill="background1" w:themeFillShade="F2"/>
          </w:tcPr>
          <w:p w14:paraId="48C924D0" w14:textId="77777777" w:rsidR="00C770BC" w:rsidRPr="00AF5EA3" w:rsidRDefault="00C770BC">
            <w:pPr>
              <w:rPr>
                <w:rFonts w:asciiTheme="majorHAnsi" w:hAnsiTheme="majorHAnsi" w:cstheme="majorHAnsi"/>
              </w:rPr>
            </w:pPr>
            <w:r w:rsidRPr="00602824">
              <w:rPr>
                <w:rFonts w:asciiTheme="majorHAnsi" w:hAnsiTheme="majorHAnsi" w:cstheme="majorHAnsi"/>
                <w:color w:val="2E368F" w:themeColor="text2"/>
              </w:rPr>
              <w:t xml:space="preserve">RECOMMENDATION </w:t>
            </w:r>
            <w:r>
              <w:rPr>
                <w:rFonts w:asciiTheme="majorHAnsi" w:hAnsiTheme="majorHAnsi" w:cstheme="majorHAnsi"/>
                <w:color w:val="2E368F" w:themeColor="text2"/>
              </w:rPr>
              <w:t xml:space="preserve">1: </w:t>
            </w:r>
            <w:r w:rsidRPr="00FF5AFA">
              <w:rPr>
                <w:rFonts w:asciiTheme="majorHAnsi" w:hAnsiTheme="majorHAnsi" w:cstheme="majorHAnsi"/>
              </w:rPr>
              <w:t xml:space="preserve">Use international price benchmarking selectively as a complementary input to </w:t>
            </w:r>
            <w:r w:rsidRPr="007A58DB">
              <w:rPr>
                <w:rFonts w:asciiTheme="majorHAnsi" w:hAnsiTheme="majorHAnsi" w:cstheme="majorHAnsi"/>
              </w:rPr>
              <w:t>relevant</w:t>
            </w:r>
            <w:r w:rsidRPr="00FF5AFA">
              <w:rPr>
                <w:rFonts w:asciiTheme="majorHAnsi" w:hAnsiTheme="majorHAnsi" w:cstheme="majorHAnsi"/>
              </w:rPr>
              <w:t xml:space="preserve"> benefit-setting decisions</w:t>
            </w:r>
            <w:r w:rsidRPr="007A58DB">
              <w:rPr>
                <w:rFonts w:asciiTheme="majorHAnsi" w:hAnsiTheme="majorHAnsi" w:cstheme="majorHAnsi"/>
              </w:rPr>
              <w:t xml:space="preserve"> and post-listing reviews</w:t>
            </w:r>
            <w:r w:rsidRPr="00FF5AFA">
              <w:rPr>
                <w:rFonts w:asciiTheme="majorHAnsi" w:hAnsiTheme="majorHAnsi" w:cstheme="majorHAnsi"/>
              </w:rPr>
              <w:t>.</w:t>
            </w:r>
          </w:p>
        </w:tc>
      </w:tr>
    </w:tbl>
    <w:p w14:paraId="07EA13F9" w14:textId="762B3AA8" w:rsidR="004C53FC" w:rsidRDefault="004C53FC" w:rsidP="004C53FC">
      <w:pPr>
        <w:pStyle w:val="Heading3"/>
      </w:pPr>
      <w:bookmarkStart w:id="23" w:name="_Ref237002837"/>
      <w:r w:rsidRPr="004C53FC">
        <w:t>Reductions to cardiac implantable electronic devices proved complex</w:t>
      </w:r>
      <w:bookmarkEnd w:id="23"/>
    </w:p>
    <w:p w14:paraId="2B70D66D" w14:textId="4EAAC23A" w:rsidR="00287A84" w:rsidRDefault="00287A84" w:rsidP="00287A84">
      <w:r>
        <w:t xml:space="preserve">The funding model that has evolved in </w:t>
      </w:r>
      <w:r w:rsidRPr="00602824">
        <w:t>Australia</w:t>
      </w:r>
      <w:r>
        <w:t xml:space="preserve"> </w:t>
      </w:r>
      <w:r w:rsidRPr="00602824">
        <w:t>for CIEDs</w:t>
      </w:r>
      <w:r>
        <w:t xml:space="preserve"> includes both the</w:t>
      </w:r>
      <w:r w:rsidRPr="00602824">
        <w:t xml:space="preserve"> cost of the device and the ongoing costs of the technical services that come with managing the devices after implantation</w:t>
      </w:r>
      <w:r>
        <w:rPr>
          <w:rStyle w:val="FootnoteReference"/>
        </w:rPr>
        <w:footnoteReference w:id="29"/>
      </w:r>
      <w:r>
        <w:t>, with t</w:t>
      </w:r>
      <w:r w:rsidRPr="00602824">
        <w:t>hese two components not separately identified on the PL</w:t>
      </w:r>
      <w:r>
        <w:t xml:space="preserve">. </w:t>
      </w:r>
      <w:r w:rsidRPr="00602824">
        <w:t xml:space="preserve">CIED benefits </w:t>
      </w:r>
      <w:r>
        <w:t xml:space="preserve">have </w:t>
      </w:r>
      <w:r w:rsidRPr="00602824">
        <w:t>enable</w:t>
      </w:r>
      <w:r>
        <w:t>d</w:t>
      </w:r>
      <w:r w:rsidRPr="00602824">
        <w:t xml:space="preserve"> </w:t>
      </w:r>
      <w:r>
        <w:t xml:space="preserve">the MedTech </w:t>
      </w:r>
      <w:r w:rsidRPr="00602824">
        <w:t>industry</w:t>
      </w:r>
      <w:r>
        <w:t xml:space="preserve"> to </w:t>
      </w:r>
      <w:r w:rsidRPr="00602824">
        <w:t xml:space="preserve">employ cardiac technicians (IECTs) to ensure CIEDs are functioning correctly – and the surplus benefit enables this workforce to review any alerts sent by CIEDs at no additional cost to the consumer. </w:t>
      </w:r>
    </w:p>
    <w:p w14:paraId="22DECE1E" w14:textId="304F0956" w:rsidR="00287A84" w:rsidRDefault="00287A84" w:rsidP="00287A84">
      <w:r>
        <w:t xml:space="preserve">Separation of the two components was further complicated by </w:t>
      </w:r>
      <w:r w:rsidRPr="00602824">
        <w:t>cross-sector subsidisation</w:t>
      </w:r>
      <w:r>
        <w:t>, with s</w:t>
      </w:r>
      <w:r w:rsidRPr="00602824">
        <w:t>ome public cardiac clinics and public hospitals also rely</w:t>
      </w:r>
      <w:r>
        <w:t>ing</w:t>
      </w:r>
      <w:r w:rsidRPr="00602824">
        <w:t xml:space="preserve"> on technical support services (TSS) provided by privately employed IECTs. This mean</w:t>
      </w:r>
      <w:r>
        <w:t>s</w:t>
      </w:r>
      <w:r w:rsidRPr="00602824">
        <w:t xml:space="preserve"> that funding via the PL intended for the private sector is also supporting some services in the public system.</w:t>
      </w:r>
      <w:r w:rsidRPr="007A3A08">
        <w:rPr>
          <w:lang w:eastAsia="en-AU"/>
        </w:rPr>
        <w:t xml:space="preserve"> </w:t>
      </w:r>
      <w:r>
        <w:rPr>
          <w:lang w:eastAsia="en-AU"/>
        </w:rPr>
        <w:t>Industry sources</w:t>
      </w:r>
      <w:r w:rsidRPr="007A3A08">
        <w:rPr>
          <w:lang w:eastAsia="en-AU"/>
        </w:rPr>
        <w:t xml:space="preserve"> estimated that up to 17% of all services provided by private cardiac technicians are performed in a public hospital.</w:t>
      </w:r>
      <w:r w:rsidRPr="007A3A08">
        <w:rPr>
          <w:rFonts w:cstheme="minorHAnsi"/>
          <w:szCs w:val="14"/>
          <w:vertAlign w:val="superscript"/>
          <w:lang w:eastAsia="en-AU"/>
        </w:rPr>
        <w:footnoteReference w:id="30"/>
      </w:r>
      <w:r w:rsidRPr="00602824">
        <w:t xml:space="preserve"> </w:t>
      </w:r>
      <w:r>
        <w:rPr>
          <w:lang w:eastAsia="en-AU"/>
        </w:rPr>
        <w:t xml:space="preserve">Medical device technicians </w:t>
      </w:r>
      <w:r w:rsidRPr="00314BAA">
        <w:rPr>
          <w:lang w:eastAsia="en-AU"/>
        </w:rPr>
        <w:t xml:space="preserve">are not reimbursed for providing </w:t>
      </w:r>
      <w:r>
        <w:rPr>
          <w:lang w:eastAsia="en-AU"/>
        </w:rPr>
        <w:t>CIED technical</w:t>
      </w:r>
      <w:r w:rsidRPr="00314BAA">
        <w:rPr>
          <w:lang w:eastAsia="en-AU"/>
        </w:rPr>
        <w:t xml:space="preserve"> services in the public system and </w:t>
      </w:r>
      <w:r w:rsidR="006B4124">
        <w:rPr>
          <w:lang w:eastAsia="en-AU"/>
        </w:rPr>
        <w:t xml:space="preserve">it was argued that </w:t>
      </w:r>
      <w:r w:rsidRPr="00314BAA">
        <w:rPr>
          <w:lang w:eastAsia="en-AU"/>
        </w:rPr>
        <w:t xml:space="preserve">some public hospitals rely heavily on </w:t>
      </w:r>
      <w:r>
        <w:rPr>
          <w:lang w:eastAsia="en-AU"/>
        </w:rPr>
        <w:t>this support</w:t>
      </w:r>
      <w:r w:rsidRPr="00314BAA">
        <w:rPr>
          <w:lang w:eastAsia="en-AU"/>
        </w:rPr>
        <w:t xml:space="preserve">, especially </w:t>
      </w:r>
      <w:r>
        <w:rPr>
          <w:lang w:eastAsia="en-AU"/>
        </w:rPr>
        <w:t xml:space="preserve">for </w:t>
      </w:r>
      <w:r w:rsidRPr="00314BAA">
        <w:rPr>
          <w:lang w:eastAsia="en-AU"/>
        </w:rPr>
        <w:t>out</w:t>
      </w:r>
      <w:r>
        <w:rPr>
          <w:lang w:eastAsia="en-AU"/>
        </w:rPr>
        <w:t>-</w:t>
      </w:r>
      <w:r w:rsidRPr="00314BAA">
        <w:rPr>
          <w:lang w:eastAsia="en-AU"/>
        </w:rPr>
        <w:t>of</w:t>
      </w:r>
      <w:r>
        <w:rPr>
          <w:lang w:eastAsia="en-AU"/>
        </w:rPr>
        <w:t>-</w:t>
      </w:r>
      <w:r w:rsidRPr="00314BAA">
        <w:rPr>
          <w:lang w:eastAsia="en-AU"/>
        </w:rPr>
        <w:t xml:space="preserve">hours and </w:t>
      </w:r>
      <w:r>
        <w:rPr>
          <w:lang w:eastAsia="en-AU"/>
        </w:rPr>
        <w:t>more</w:t>
      </w:r>
      <w:r w:rsidRPr="00314BAA">
        <w:rPr>
          <w:lang w:eastAsia="en-AU"/>
        </w:rPr>
        <w:t xml:space="preserve"> complex cases.</w:t>
      </w:r>
      <w:r>
        <w:rPr>
          <w:lang w:eastAsia="en-AU"/>
        </w:rPr>
        <w:t xml:space="preserve"> This meant that industry did not believe it was appropriate to benchmark CIED benefits to public prices, as these represent the public hospital market value for the CIED device only, and no associated technical services are reimbursable in the public system. </w:t>
      </w:r>
      <w:r w:rsidRPr="00602824">
        <w:t>Reliance on IECTs is reportedly more common in areas with service gaps such as rural and regional areas of Australia, and for services involving highly complex CIED patients.</w:t>
      </w:r>
      <w:r w:rsidRPr="00602824">
        <w:rPr>
          <w:rStyle w:val="FootnoteReference"/>
        </w:rPr>
        <w:footnoteReference w:id="31"/>
      </w:r>
      <w:r w:rsidRPr="00602824">
        <w:t xml:space="preserve"> </w:t>
      </w:r>
    </w:p>
    <w:p w14:paraId="5896296B" w14:textId="77777777" w:rsidR="00287A84" w:rsidRPr="007C3FE9" w:rsidRDefault="00287A84" w:rsidP="00287A84">
      <w:pPr>
        <w:pStyle w:val="Heading4"/>
      </w:pPr>
      <w:r w:rsidRPr="007C3FE9">
        <w:t>A separate path was agreed and implemented for CIED benefit reductions</w:t>
      </w:r>
    </w:p>
    <w:p w14:paraId="13BFC384" w14:textId="77777777" w:rsidR="00287A84" w:rsidRDefault="00287A84" w:rsidP="00287A84">
      <w:pPr>
        <w:rPr>
          <w:lang w:eastAsia="en-AU"/>
        </w:rPr>
      </w:pPr>
      <w:r>
        <w:rPr>
          <w:lang w:eastAsia="en-AU"/>
        </w:rPr>
        <w:t xml:space="preserve">As a result, there was recognition early in the </w:t>
      </w:r>
      <w:r w:rsidRPr="00602824">
        <w:rPr>
          <w:lang w:eastAsia="en-AU"/>
        </w:rPr>
        <w:t>reform process</w:t>
      </w:r>
      <w:r>
        <w:rPr>
          <w:lang w:eastAsia="en-AU"/>
        </w:rPr>
        <w:t xml:space="preserve"> that </w:t>
      </w:r>
      <w:r w:rsidRPr="00602824">
        <w:rPr>
          <w:lang w:eastAsia="en-AU"/>
        </w:rPr>
        <w:t>CIEDs would need a separate pathway for benefit reductions. The March 2022 MOU between the Minister and MTAA confirmed that CIEDs would follow an alternative schedule to allow Medical Services Advisory Committee (MSAC) to assess the value of associated technical support services.</w:t>
      </w:r>
      <w:r w:rsidRPr="00602824">
        <w:rPr>
          <w:rStyle w:val="FootnoteReference"/>
          <w:lang w:eastAsia="en-AU"/>
        </w:rPr>
        <w:footnoteReference w:id="32"/>
      </w:r>
      <w:r w:rsidRPr="004837DE">
        <w:rPr>
          <w:lang w:eastAsia="en-AU"/>
        </w:rPr>
        <w:t xml:space="preserve"> </w:t>
      </w:r>
      <w:r w:rsidRPr="001E07EC">
        <w:rPr>
          <w:lang w:eastAsia="en-AU"/>
        </w:rPr>
        <w:t xml:space="preserve">The first price </w:t>
      </w:r>
      <w:r w:rsidRPr="005E2AE3">
        <w:t xml:space="preserve">reduction for CIEDs was deferred by 12 months and reductions were </w:t>
      </w:r>
      <w:r w:rsidRPr="001E07EC">
        <w:rPr>
          <w:lang w:eastAsia="en-AU"/>
        </w:rPr>
        <w:t>scheduled to take place on 1 July 2023 (40%), 1 July 2024 (20%) and 1 July 2025 (20%) respectively.</w:t>
      </w:r>
      <w:r w:rsidRPr="001E07EC">
        <w:rPr>
          <w:rFonts w:cstheme="minorHAnsi"/>
          <w:szCs w:val="14"/>
          <w:vertAlign w:val="superscript"/>
          <w:lang w:eastAsia="en-AU"/>
        </w:rPr>
        <w:footnoteReference w:id="33"/>
      </w:r>
      <w:r w:rsidRPr="001E07EC">
        <w:rPr>
          <w:lang w:eastAsia="en-AU"/>
        </w:rPr>
        <w:t xml:space="preserve"> </w:t>
      </w:r>
    </w:p>
    <w:p w14:paraId="3EBC6A08" w14:textId="77777777" w:rsidR="00287A84" w:rsidRDefault="00287A84" w:rsidP="00287A84">
      <w:pPr>
        <w:rPr>
          <w:lang w:eastAsia="en-AU"/>
        </w:rPr>
      </w:pPr>
      <w:r w:rsidRPr="00602824">
        <w:rPr>
          <w:lang w:eastAsia="en-AU"/>
        </w:rPr>
        <w:t>Consultation and an MSAC review confirmed that standard benefit reduction methods would not suit CIEDs</w:t>
      </w:r>
      <w:r>
        <w:rPr>
          <w:lang w:eastAsia="en-AU"/>
        </w:rPr>
        <w:t xml:space="preserve">. </w:t>
      </w:r>
      <w:r w:rsidRPr="00602824">
        <w:rPr>
          <w:lang w:eastAsia="en-AU"/>
        </w:rPr>
        <w:t xml:space="preserve">To avoid disrupting patient care, the </w:t>
      </w:r>
      <w:r>
        <w:rPr>
          <w:lang w:eastAsia="en-AU"/>
        </w:rPr>
        <w:t>Government took</w:t>
      </w:r>
      <w:r w:rsidRPr="00602824">
        <w:rPr>
          <w:lang w:eastAsia="en-AU"/>
        </w:rPr>
        <w:t xml:space="preserve"> a cautious approach</w:t>
      </w:r>
      <w:r>
        <w:rPr>
          <w:lang w:eastAsia="en-AU"/>
        </w:rPr>
        <w:t xml:space="preserve">, adopting </w:t>
      </w:r>
      <w:r w:rsidRPr="00602824">
        <w:rPr>
          <w:lang w:eastAsia="en-AU"/>
        </w:rPr>
        <w:t>the key elements of MSAC’s short-term recommendation</w:t>
      </w:r>
      <w:r>
        <w:rPr>
          <w:lang w:eastAsia="en-AU"/>
        </w:rPr>
        <w:t xml:space="preserve">. </w:t>
      </w:r>
      <w:r w:rsidRPr="007A19CA">
        <w:rPr>
          <w:lang w:eastAsia="en-AU"/>
        </w:rPr>
        <w:t>Th</w:t>
      </w:r>
      <w:r>
        <w:rPr>
          <w:lang w:eastAsia="en-AU"/>
        </w:rPr>
        <w:t>e</w:t>
      </w:r>
      <w:r w:rsidRPr="007A19CA">
        <w:rPr>
          <w:lang w:eastAsia="en-AU"/>
        </w:rPr>
        <w:t xml:space="preserve"> first benefit reduction of 40% of the gap </w:t>
      </w:r>
      <w:r>
        <w:rPr>
          <w:lang w:eastAsia="en-AU"/>
        </w:rPr>
        <w:t xml:space="preserve">on 1 July 2023 </w:t>
      </w:r>
      <w:r w:rsidRPr="007A19CA">
        <w:rPr>
          <w:lang w:eastAsia="en-AU"/>
        </w:rPr>
        <w:t>applied only to an estimate of the amount that corresponded to the actual device component of the benefit, which was estimated as 54%.</w:t>
      </w:r>
      <w:r w:rsidRPr="007A19CA">
        <w:rPr>
          <w:rFonts w:cstheme="minorHAnsi"/>
          <w:szCs w:val="14"/>
          <w:vertAlign w:val="superscript"/>
          <w:lang w:eastAsia="en-AU"/>
        </w:rPr>
        <w:footnoteReference w:id="34"/>
      </w:r>
      <w:r w:rsidRPr="007A19CA">
        <w:rPr>
          <w:lang w:eastAsia="en-AU"/>
        </w:rPr>
        <w:t xml:space="preserve"> The device component of CIEDs was later re-calculated as 56.3% of the total benefit</w:t>
      </w:r>
      <w:r w:rsidRPr="007A19CA">
        <w:rPr>
          <w:rFonts w:cstheme="minorHAnsi"/>
          <w:szCs w:val="14"/>
          <w:vertAlign w:val="superscript"/>
          <w:lang w:eastAsia="en-AU"/>
        </w:rPr>
        <w:footnoteReference w:id="35"/>
      </w:r>
      <w:r w:rsidRPr="007A19CA">
        <w:rPr>
          <w:lang w:eastAsia="en-AU"/>
        </w:rPr>
        <w:t xml:space="preserve"> </w:t>
      </w:r>
      <w:r>
        <w:rPr>
          <w:lang w:eastAsia="en-AU"/>
        </w:rPr>
        <w:t>and t</w:t>
      </w:r>
      <w:r w:rsidRPr="007A19CA">
        <w:rPr>
          <w:lang w:eastAsia="en-AU"/>
        </w:rPr>
        <w:t xml:space="preserve">he updated figure </w:t>
      </w:r>
      <w:r>
        <w:rPr>
          <w:lang w:eastAsia="en-AU"/>
        </w:rPr>
        <w:t xml:space="preserve">was used </w:t>
      </w:r>
      <w:r w:rsidRPr="007A19CA">
        <w:rPr>
          <w:lang w:eastAsia="en-AU"/>
        </w:rPr>
        <w:t>to calculate the second reduction of 20% of the gap on 1 July 2024.</w:t>
      </w:r>
      <w:r w:rsidRPr="007A19CA">
        <w:rPr>
          <w:rFonts w:cstheme="minorHAnsi"/>
          <w:szCs w:val="14"/>
          <w:vertAlign w:val="superscript"/>
          <w:lang w:eastAsia="en-AU"/>
        </w:rPr>
        <w:footnoteReference w:id="36"/>
      </w:r>
    </w:p>
    <w:p w14:paraId="5D3C8EE5" w14:textId="77777777" w:rsidR="00287A84" w:rsidRPr="00F8080F" w:rsidRDefault="00287A84" w:rsidP="007C3FE9">
      <w:pPr>
        <w:pStyle w:val="Heading4"/>
      </w:pPr>
      <w:r w:rsidRPr="00F8080F">
        <w:t xml:space="preserve">Despite consultation and review, no satisfactory resolution was reached </w:t>
      </w:r>
    </w:p>
    <w:p w14:paraId="7742C6CC" w14:textId="680BCEC7" w:rsidR="00287A84" w:rsidRPr="00CC2386" w:rsidRDefault="00287A84" w:rsidP="00287A84">
      <w:pPr>
        <w:rPr>
          <w:lang w:eastAsia="en-AU"/>
        </w:rPr>
      </w:pPr>
      <w:r w:rsidRPr="00CC2386">
        <w:rPr>
          <w:lang w:eastAsia="en-AU"/>
        </w:rPr>
        <w:t>The MSAC advice in July 2023</w:t>
      </w:r>
      <w:r>
        <w:rPr>
          <w:rStyle w:val="FootnoteReference"/>
          <w:lang w:eastAsia="en-AU"/>
        </w:rPr>
        <w:footnoteReference w:id="37"/>
      </w:r>
      <w:r w:rsidRPr="00CC2386">
        <w:rPr>
          <w:lang w:eastAsia="en-AU"/>
        </w:rPr>
        <w:t xml:space="preserve"> </w:t>
      </w:r>
      <w:r>
        <w:rPr>
          <w:lang w:eastAsia="en-AU"/>
        </w:rPr>
        <w:t>was reported in a</w:t>
      </w:r>
      <w:r w:rsidRPr="00CC2386">
        <w:rPr>
          <w:lang w:eastAsia="en-AU"/>
        </w:rPr>
        <w:t xml:space="preserve"> redacted public summary document published online on 16 April 2024.</w:t>
      </w:r>
      <w:r w:rsidRPr="00CC2386">
        <w:rPr>
          <w:rFonts w:cstheme="minorHAnsi"/>
          <w:szCs w:val="14"/>
          <w:vertAlign w:val="superscript"/>
          <w:lang w:eastAsia="en-AU"/>
        </w:rPr>
        <w:footnoteReference w:id="38"/>
      </w:r>
      <w:r w:rsidRPr="00CC2386">
        <w:rPr>
          <w:lang w:eastAsia="en-AU"/>
        </w:rPr>
        <w:t xml:space="preserve"> </w:t>
      </w:r>
      <w:r>
        <w:rPr>
          <w:lang w:eastAsia="en-AU"/>
        </w:rPr>
        <w:t xml:space="preserve">Their </w:t>
      </w:r>
      <w:r w:rsidRPr="00CC2386">
        <w:rPr>
          <w:lang w:eastAsia="en-AU"/>
        </w:rPr>
        <w:t>advice on the reasonable cost of cardiac technical support services noted it may be reasonable to include some services that are provided to public hospital patients until longer-term reform can address how these services are funded. MSAC stated that funding follow-up cardiac support services for public and private patients through the PL results in a lack of transparency in how these services are provided and funded</w:t>
      </w:r>
      <w:r w:rsidRPr="005E2AE3">
        <w:t>. Their advice notes that preferably the benefit should be limited to the cost of the principal CIED and associated implantation costs only. MSAC also noted that further consideration of alternative models of care for patients with CIEDs and how funding of these services can be transitioned out of the PL benefit amount should be pursued.</w:t>
      </w:r>
      <w:r w:rsidRPr="005E2AE3">
        <w:rPr>
          <w:rFonts w:cstheme="minorHAnsi"/>
          <w:szCs w:val="14"/>
          <w:vertAlign w:val="superscript"/>
        </w:rPr>
        <w:footnoteReference w:id="39"/>
      </w:r>
      <w:r w:rsidRPr="005E2AE3">
        <w:t xml:space="preserve"> </w:t>
      </w:r>
      <w:r w:rsidRPr="00CC2386">
        <w:rPr>
          <w:lang w:eastAsia="en-AU"/>
        </w:rPr>
        <w:t xml:space="preserve">The Department subsequently </w:t>
      </w:r>
      <w:r w:rsidR="00976D36">
        <w:rPr>
          <w:lang w:eastAsia="en-AU"/>
        </w:rPr>
        <w:t>conducted</w:t>
      </w:r>
      <w:r w:rsidR="00976D36" w:rsidRPr="00CC2386">
        <w:rPr>
          <w:lang w:eastAsia="en-AU"/>
        </w:rPr>
        <w:t xml:space="preserve"> </w:t>
      </w:r>
      <w:r w:rsidRPr="00CC2386">
        <w:rPr>
          <w:lang w:eastAsia="en-AU"/>
        </w:rPr>
        <w:t>public consultation on how to implement the MSAC advice</w:t>
      </w:r>
      <w:r w:rsidR="005F3E3D">
        <w:rPr>
          <w:lang w:eastAsia="en-AU"/>
        </w:rPr>
        <w:t xml:space="preserve"> on the cost of TSS for CIEDs</w:t>
      </w:r>
      <w:r w:rsidR="009B5280">
        <w:rPr>
          <w:lang w:eastAsia="en-AU"/>
        </w:rPr>
        <w:t xml:space="preserve"> between July and September 2024</w:t>
      </w:r>
      <w:r w:rsidRPr="00CC2386">
        <w:rPr>
          <w:lang w:eastAsia="en-AU"/>
        </w:rPr>
        <w:t>.</w:t>
      </w:r>
      <w:r w:rsidRPr="00CC2386">
        <w:rPr>
          <w:rFonts w:cstheme="minorHAnsi"/>
          <w:szCs w:val="14"/>
          <w:vertAlign w:val="superscript"/>
          <w:lang w:eastAsia="en-AU"/>
        </w:rPr>
        <w:footnoteReference w:id="40"/>
      </w:r>
      <w:r w:rsidR="000970BF">
        <w:rPr>
          <w:lang w:eastAsia="en-AU"/>
        </w:rPr>
        <w:t xml:space="preserve"> </w:t>
      </w:r>
      <w:r w:rsidR="00B30542" w:rsidRPr="00B30542">
        <w:rPr>
          <w:lang w:eastAsia="en-AU"/>
        </w:rPr>
        <w:t>The Department released a high-level summary of submissions in January 2025</w:t>
      </w:r>
      <w:r w:rsidR="00D1785C">
        <w:rPr>
          <w:lang w:eastAsia="en-AU"/>
        </w:rPr>
        <w:t xml:space="preserve">; however, no further </w:t>
      </w:r>
      <w:r w:rsidR="00B2363E">
        <w:rPr>
          <w:lang w:eastAsia="en-AU"/>
        </w:rPr>
        <w:t>implementation was achieved.</w:t>
      </w:r>
    </w:p>
    <w:p w14:paraId="57D1779E" w14:textId="6FFA9D66" w:rsidR="00287A84" w:rsidRPr="00A93672" w:rsidRDefault="00287A84" w:rsidP="00287A84">
      <w:pPr>
        <w:keepNext/>
        <w:spacing w:before="240" w:line="259" w:lineRule="auto"/>
        <w:rPr>
          <w:rFonts w:ascii="Segoe UI Semibold" w:hAnsi="Segoe UI Semibold"/>
          <w:bCs/>
          <w:color w:val="00264D" w:themeColor="background2"/>
          <w:szCs w:val="18"/>
        </w:rPr>
      </w:pPr>
      <w:bookmarkStart w:id="24" w:name="_Ref202478155"/>
      <w:r w:rsidRPr="00602824">
        <w:rPr>
          <w:rFonts w:ascii="Segoe UI Semibold" w:hAnsi="Segoe UI Semibold"/>
          <w:bCs/>
          <w:color w:val="00264D" w:themeColor="background2"/>
          <w:szCs w:val="18"/>
        </w:rPr>
        <w:t xml:space="preserve">Figure </w:t>
      </w:r>
      <w:r>
        <w:rPr>
          <w:rFonts w:ascii="Segoe UI Semibold" w:hAnsi="Segoe UI Semibold"/>
          <w:bCs/>
          <w:color w:val="00264D" w:themeColor="background2"/>
          <w:szCs w:val="18"/>
        </w:rPr>
        <w:fldChar w:fldCharType="begin"/>
      </w:r>
      <w:r>
        <w:rPr>
          <w:rFonts w:ascii="Segoe UI Semibold" w:hAnsi="Segoe UI Semibold"/>
          <w:bCs/>
          <w:color w:val="00264D" w:themeColor="background2"/>
          <w:szCs w:val="18"/>
        </w:rPr>
        <w:instrText xml:space="preserve"> SEQ Figure \* ARABIC </w:instrText>
      </w:r>
      <w:r>
        <w:rPr>
          <w:rFonts w:ascii="Segoe UI Semibold" w:hAnsi="Segoe UI Semibold"/>
          <w:bCs/>
          <w:color w:val="00264D" w:themeColor="background2"/>
          <w:szCs w:val="18"/>
        </w:rPr>
        <w:fldChar w:fldCharType="separate"/>
      </w:r>
      <w:r w:rsidR="0092693A">
        <w:rPr>
          <w:rFonts w:ascii="Segoe UI Semibold" w:hAnsi="Segoe UI Semibold"/>
          <w:bCs/>
          <w:noProof/>
          <w:color w:val="00264D" w:themeColor="background2"/>
          <w:szCs w:val="18"/>
        </w:rPr>
        <w:t>8</w:t>
      </w:r>
      <w:r>
        <w:rPr>
          <w:rFonts w:ascii="Segoe UI Semibold" w:hAnsi="Segoe UI Semibold"/>
          <w:bCs/>
          <w:color w:val="00264D" w:themeColor="background2"/>
          <w:szCs w:val="18"/>
        </w:rPr>
        <w:fldChar w:fldCharType="end"/>
      </w:r>
      <w:bookmarkEnd w:id="24"/>
      <w:r w:rsidRPr="00602824">
        <w:rPr>
          <w:rFonts w:ascii="Segoe UI Semibold" w:hAnsi="Segoe UI Semibold"/>
          <w:bCs/>
          <w:color w:val="00264D" w:themeColor="background2"/>
          <w:szCs w:val="18"/>
        </w:rPr>
        <w:t xml:space="preserve"> | Reform timeline of CIED related activities</w:t>
      </w:r>
    </w:p>
    <w:p w14:paraId="19E6DDD0" w14:textId="2B1790CB" w:rsidR="00287A84" w:rsidRPr="00602824" w:rsidRDefault="00BD066E" w:rsidP="00287A84">
      <w:pPr>
        <w:suppressAutoHyphens/>
        <w:ind w:left="340" w:hanging="340"/>
        <w:rPr>
          <w:rFonts w:eastAsia="Times New Roman" w:cs="Times New Roman"/>
          <w:szCs w:val="19"/>
          <w:lang w:eastAsia="en-AU"/>
        </w:rPr>
      </w:pPr>
      <w:r w:rsidRPr="00BD066E">
        <w:rPr>
          <w:rFonts w:eastAsia="Times New Roman" w:cs="Times New Roman"/>
          <w:noProof/>
          <w:szCs w:val="19"/>
          <w:lang w:eastAsia="en-AU"/>
        </w:rPr>
        <w:drawing>
          <wp:inline distT="0" distB="0" distL="0" distR="0" wp14:anchorId="421A8939" wp14:editId="0D04DFC5">
            <wp:extent cx="5832475" cy="3705225"/>
            <wp:effectExtent l="0" t="0" r="0" b="9525"/>
            <wp:docPr id="1993935283" name="Picture 1" descr="Timeline showing reform activities associated with the CIED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935283" name="Picture 1" descr="Timeline showing reform activities associated with the CIED project."/>
                    <pic:cNvPicPr/>
                  </pic:nvPicPr>
                  <pic:blipFill>
                    <a:blip r:embed="rId30"/>
                    <a:stretch>
                      <a:fillRect/>
                    </a:stretch>
                  </pic:blipFill>
                  <pic:spPr>
                    <a:xfrm>
                      <a:off x="0" y="0"/>
                      <a:ext cx="5832475" cy="3705225"/>
                    </a:xfrm>
                    <a:prstGeom prst="rect">
                      <a:avLst/>
                    </a:prstGeom>
                  </pic:spPr>
                </pic:pic>
              </a:graphicData>
            </a:graphic>
          </wp:inline>
        </w:drawing>
      </w:r>
    </w:p>
    <w:p w14:paraId="48D8403D" w14:textId="77777777" w:rsidR="00287A84" w:rsidRPr="002B4064" w:rsidRDefault="00287A84" w:rsidP="00287A84">
      <w:pPr>
        <w:pStyle w:val="Heading4"/>
      </w:pPr>
      <w:r w:rsidRPr="002B4064">
        <w:t>The current gap between CIED PL benefits and public prices was not available</w:t>
      </w:r>
    </w:p>
    <w:p w14:paraId="2B254F89" w14:textId="7B27F3D5" w:rsidR="00287A84" w:rsidRPr="002B4064" w:rsidRDefault="00287A84" w:rsidP="00287A84">
      <w:pPr>
        <w:rPr>
          <w:lang w:eastAsia="en-AU"/>
        </w:rPr>
      </w:pPr>
      <w:r w:rsidRPr="002B4064">
        <w:rPr>
          <w:lang w:eastAsia="en-AU"/>
        </w:rPr>
        <w:t xml:space="preserve">The evaluation was not provided data showing the gap between PL benefits and public prices for CIED items. CIED items were additionally excluded from aggregated gap analysis provided to Nous for the evaluation (see </w:t>
      </w:r>
      <w:r w:rsidRPr="002B4064">
        <w:rPr>
          <w:lang w:eastAsia="en-AU"/>
        </w:rPr>
        <w:fldChar w:fldCharType="begin"/>
      </w:r>
      <w:r w:rsidRPr="002B4064">
        <w:rPr>
          <w:lang w:eastAsia="en-AU"/>
        </w:rPr>
        <w:instrText xml:space="preserve"> REF _Ref202878064 \h  \* MERGEFORMAT </w:instrText>
      </w:r>
      <w:r w:rsidRPr="002B4064">
        <w:rPr>
          <w:lang w:eastAsia="en-AU"/>
        </w:rPr>
      </w:r>
      <w:r w:rsidRPr="002B4064">
        <w:rPr>
          <w:lang w:eastAsia="en-AU"/>
        </w:rPr>
        <w:fldChar w:fldCharType="separate"/>
      </w:r>
      <w:r w:rsidR="0092693A" w:rsidRPr="004A357C">
        <w:t xml:space="preserve">Table </w:t>
      </w:r>
      <w:r w:rsidR="0092693A">
        <w:t>12</w:t>
      </w:r>
      <w:r w:rsidRPr="002B4064">
        <w:rPr>
          <w:lang w:eastAsia="en-AU"/>
        </w:rPr>
        <w:fldChar w:fldCharType="end"/>
      </w:r>
      <w:r w:rsidRPr="002B4064">
        <w:rPr>
          <w:lang w:eastAsia="en-AU"/>
        </w:rPr>
        <w:t>). As a result, progress towards aligning CIED benefits with more competitive markets cannot be quantified.</w:t>
      </w:r>
    </w:p>
    <w:p w14:paraId="5168F969" w14:textId="10F2C467" w:rsidR="00287A84" w:rsidRPr="00602824" w:rsidRDefault="00287A84" w:rsidP="00287A84">
      <w:pPr>
        <w:rPr>
          <w:lang w:eastAsia="en-AU"/>
        </w:rPr>
      </w:pPr>
      <w:r w:rsidRPr="002B4064">
        <w:rPr>
          <w:lang w:eastAsia="en-AU"/>
        </w:rPr>
        <w:t xml:space="preserve">However, as outlined in Section 2.3.5 of the </w:t>
      </w:r>
      <w:r w:rsidRPr="002B4064">
        <w:rPr>
          <w:i/>
          <w:lang w:eastAsia="en-AU"/>
        </w:rPr>
        <w:t>Interim Evaluation #1 report</w:t>
      </w:r>
      <w:r w:rsidRPr="002B4064">
        <w:rPr>
          <w:lang w:eastAsia="en-AU"/>
        </w:rPr>
        <w:t xml:space="preserve">, the evaluation estimated the median gap of the CIED items (device component only) to be approximately </w:t>
      </w:r>
      <w:r w:rsidRPr="002B4064">
        <w:rPr>
          <w:rFonts w:asciiTheme="majorHAnsi" w:hAnsiTheme="majorHAnsi" w:cstheme="majorHAnsi"/>
          <w:lang w:eastAsia="en-AU"/>
        </w:rPr>
        <w:t>$19,600 (188% gap)</w:t>
      </w:r>
      <w:r w:rsidRPr="002B4064">
        <w:rPr>
          <w:lang w:eastAsia="en-AU"/>
        </w:rPr>
        <w:t xml:space="preserve"> and no less than $17,600 (144% gap) at the commencement of the reforms.</w:t>
      </w:r>
    </w:p>
    <w:p w14:paraId="4335054A" w14:textId="77777777" w:rsidR="00287A84" w:rsidRPr="00567ECF" w:rsidRDefault="00287A84" w:rsidP="007C3FE9">
      <w:pPr>
        <w:pStyle w:val="Heading4"/>
      </w:pPr>
      <w:r>
        <w:t>Feedback from s</w:t>
      </w:r>
      <w:r w:rsidRPr="00567ECF">
        <w:t xml:space="preserve">takeholders on the approach to </w:t>
      </w:r>
      <w:r>
        <w:t xml:space="preserve">CIED </w:t>
      </w:r>
      <w:r w:rsidRPr="00567ECF">
        <w:t>benefit reductions under the reforms</w:t>
      </w:r>
      <w:r>
        <w:t xml:space="preserve"> was aligned with their commercial interests</w:t>
      </w:r>
    </w:p>
    <w:p w14:paraId="6418C10C" w14:textId="77777777" w:rsidR="00287A84" w:rsidRPr="00567ECF" w:rsidRDefault="00287A84" w:rsidP="00287A84">
      <w:r>
        <w:t xml:space="preserve">MedTech </w:t>
      </w:r>
      <w:r w:rsidRPr="0050352B">
        <w:t xml:space="preserve">Industry stakeholders </w:t>
      </w:r>
      <w:r w:rsidRPr="00567ECF">
        <w:t xml:space="preserve">supported the </w:t>
      </w:r>
      <w:r w:rsidRPr="0050352B">
        <w:t>phased reduction</w:t>
      </w:r>
      <w:r w:rsidRPr="00567ECF">
        <w:t xml:space="preserve"> approach</w:t>
      </w:r>
      <w:r w:rsidRPr="0050352B">
        <w:t>, arguing that this was necessary given the scale of previous benefit cuts</w:t>
      </w:r>
      <w:r w:rsidRPr="00567ECF">
        <w:t xml:space="preserve"> to CIEDs</w:t>
      </w:r>
      <w:r w:rsidRPr="0050352B">
        <w:t xml:space="preserve"> and the cumulative impact on staffing, service models and supply chains.</w:t>
      </w:r>
      <w:r w:rsidRPr="00567ECF">
        <w:t xml:space="preserve"> They contended that that inclusion of CIEDs in the broader </w:t>
      </w:r>
      <w:r>
        <w:t>reduction</w:t>
      </w:r>
      <w:r w:rsidRPr="00567ECF">
        <w:t xml:space="preserve"> model created unrealistic expectations of savings, as it failed to account for the embedded service component of CIED benefits. </w:t>
      </w:r>
    </w:p>
    <w:p w14:paraId="24B2C90B" w14:textId="20316414" w:rsidR="00287A84" w:rsidRPr="00567ECF" w:rsidRDefault="00287A84" w:rsidP="00287A84">
      <w:r>
        <w:t>While p</w:t>
      </w:r>
      <w:r w:rsidRPr="00567ECF">
        <w:t>rivate hospitals generally described the decision to apply reductions only to the device component as a considered and pragmatic approach</w:t>
      </w:r>
      <w:r>
        <w:t xml:space="preserve">, </w:t>
      </w:r>
      <w:r w:rsidRPr="00567ECF">
        <w:t xml:space="preserve">some hospital representatives opposed any reduction to CIED benefits, citing risks that even modest percentage cuts </w:t>
      </w:r>
      <w:r>
        <w:t xml:space="preserve">would </w:t>
      </w:r>
      <w:r w:rsidRPr="00567ECF">
        <w:t>translate into large dollar losses per device, potentially making procurement unviable and threatening access, particularly for high-cost devices such as CRT-Ds and ICDs.</w:t>
      </w:r>
    </w:p>
    <w:p w14:paraId="79D7831C" w14:textId="5780F51F" w:rsidR="00287A84" w:rsidRPr="00567ECF" w:rsidRDefault="00287A84" w:rsidP="00287A84">
      <w:pPr>
        <w:rPr>
          <w:lang w:eastAsia="en-AU"/>
        </w:rPr>
      </w:pPr>
      <w:r w:rsidRPr="009719C0">
        <w:rPr>
          <w:lang w:eastAsia="en-AU"/>
        </w:rPr>
        <w:t>In contrast, private health insurers viewed the deferral and scale of reductions as overly conservative, arguing that it materially reduced anticipated savings and delayed benefits to consumers, given the well-documented gap between private and public CIED prices.</w:t>
      </w:r>
      <w:r>
        <w:rPr>
          <w:lang w:eastAsia="en-AU"/>
        </w:rPr>
        <w:t xml:space="preserve"> They argued</w:t>
      </w:r>
      <w:r w:rsidRPr="00567ECF">
        <w:rPr>
          <w:lang w:eastAsia="en-AU"/>
        </w:rPr>
        <w:t xml:space="preserve"> that </w:t>
      </w:r>
      <w:r>
        <w:rPr>
          <w:lang w:eastAsia="en-AU"/>
        </w:rPr>
        <w:t>the deferral</w:t>
      </w:r>
      <w:r w:rsidRPr="00567ECF">
        <w:rPr>
          <w:lang w:eastAsia="en-AU"/>
        </w:rPr>
        <w:t xml:space="preserve"> materially reduced expected savings under the </w:t>
      </w:r>
      <w:r w:rsidR="003477DE">
        <w:rPr>
          <w:lang w:eastAsia="en-AU"/>
        </w:rPr>
        <w:t>MOU</w:t>
      </w:r>
      <w:r w:rsidRPr="00567ECF">
        <w:rPr>
          <w:lang w:eastAsia="en-AU"/>
        </w:rPr>
        <w:t xml:space="preserve"> and delayed consumer benefit. They consistently framed the phased approach as unnecessary, pointing to evidence from Senate inquiries and IHACPA data that CIED prices in the private system significantly exceeded public and international benchmarks</w:t>
      </w:r>
      <w:r w:rsidRPr="00963B68">
        <w:rPr>
          <w:lang w:eastAsia="en-AU"/>
        </w:rPr>
        <w:t>. Insurers</w:t>
      </w:r>
      <w:r w:rsidRPr="00963B68" w:rsidDel="00365534">
        <w:rPr>
          <w:lang w:eastAsia="en-AU"/>
        </w:rPr>
        <w:t xml:space="preserve"> </w:t>
      </w:r>
      <w:r w:rsidR="00365534" w:rsidRPr="00963B68">
        <w:rPr>
          <w:lang w:eastAsia="en-AU"/>
        </w:rPr>
        <w:t xml:space="preserve">noted the </w:t>
      </w:r>
      <w:r w:rsidRPr="00963B68">
        <w:rPr>
          <w:lang w:eastAsia="en-AU"/>
        </w:rPr>
        <w:t xml:space="preserve">deferral of reductions resulted in </w:t>
      </w:r>
      <w:r w:rsidR="00963B68" w:rsidRPr="00963B68">
        <w:rPr>
          <w:lang w:eastAsia="en-AU"/>
        </w:rPr>
        <w:t>significant</w:t>
      </w:r>
      <w:r w:rsidRPr="00963B68">
        <w:rPr>
          <w:lang w:eastAsia="en-AU"/>
        </w:rPr>
        <w:t xml:space="preserve"> foregone savings and argued that each additional delay continued to impose costs on consumers and taxpayers.</w:t>
      </w:r>
    </w:p>
    <w:p w14:paraId="5BCDBA63" w14:textId="77777777" w:rsidR="00287A84" w:rsidRPr="00E00963" w:rsidRDefault="00287A84" w:rsidP="00036B3F">
      <w:pPr>
        <w:pStyle w:val="Heading5"/>
      </w:pPr>
      <w:r w:rsidRPr="00E00963">
        <w:t xml:space="preserve">There was </w:t>
      </w:r>
      <w:r>
        <w:t>similar</w:t>
      </w:r>
      <w:r w:rsidRPr="00E00963">
        <w:t xml:space="preserve"> disagreement on whether technical support services should remain bund</w:t>
      </w:r>
      <w:r>
        <w:t>l</w:t>
      </w:r>
      <w:r w:rsidRPr="00E00963">
        <w:t>ed within CIED device benefits</w:t>
      </w:r>
    </w:p>
    <w:p w14:paraId="7E74537C" w14:textId="77777777" w:rsidR="00287A84" w:rsidRDefault="00287A84" w:rsidP="00287A84">
      <w:r w:rsidRPr="00FF3EF8">
        <w:t xml:space="preserve">The most significant divergence in views concerned whether to fund technical support services through the </w:t>
      </w:r>
      <w:r>
        <w:t>PL</w:t>
      </w:r>
      <w:r w:rsidRPr="00FF3EF8">
        <w:t>. Insurers argued these services should be excluded because costs lack transparency, service quality varies across patients, and available evidence suggests actual costs are materially lower than the amounts embedded in device benefits. They noted that bundling services within device prices is inconsistent with other implantable devices and obscures accountability for value and outcomes.</w:t>
      </w:r>
    </w:p>
    <w:p w14:paraId="4FB3AEFC" w14:textId="77777777" w:rsidR="00287A84" w:rsidRPr="00BE77E9" w:rsidRDefault="00287A84" w:rsidP="00287A84">
      <w:r>
        <w:t>The MedTech sector</w:t>
      </w:r>
      <w:r w:rsidRPr="00BE77E9">
        <w:t xml:space="preserve"> opposed unbundling. They argued the current model reflects the specific care pathway for CIED patients and enables reliable service coverage, including in regional and remote areas. They challenged the cost estimates used to justify reform and warned that splitting funding streams could threaten service viability and increase patient costs.</w:t>
      </w:r>
    </w:p>
    <w:p w14:paraId="3B4CEBF7" w14:textId="77777777" w:rsidR="00287A84" w:rsidRPr="00BE77E9" w:rsidRDefault="00287A84" w:rsidP="00287A84">
      <w:r w:rsidRPr="00BE77E9">
        <w:t xml:space="preserve">Private hospitals and clinicians </w:t>
      </w:r>
      <w:r>
        <w:t>were primarily concerned about maintenance of a funding stream for the technical services</w:t>
      </w:r>
      <w:r w:rsidRPr="00BE77E9">
        <w:t xml:space="preserve">. </w:t>
      </w:r>
      <w:r>
        <w:t>Some were</w:t>
      </w:r>
      <w:r w:rsidRPr="00BE77E9">
        <w:t xml:space="preserve"> opposed </w:t>
      </w:r>
      <w:r>
        <w:t xml:space="preserve">to </w:t>
      </w:r>
      <w:r w:rsidRPr="00BE77E9">
        <w:t>unbundling without a replacement funding mechanism, citing risks to access, continuity of care and administrative burden. Others supported unbundling only if a clear and sustainable funding model-maintained access to technical support and avoided higher out</w:t>
      </w:r>
      <w:r w:rsidRPr="00BE77E9">
        <w:noBreakHyphen/>
        <w:t>of</w:t>
      </w:r>
      <w:r w:rsidRPr="00BE77E9">
        <w:noBreakHyphen/>
        <w:t>pocket costs.</w:t>
      </w:r>
    </w:p>
    <w:p w14:paraId="11052439" w14:textId="77777777" w:rsidR="00287A84" w:rsidRPr="00FF3EF8" w:rsidRDefault="00287A84" w:rsidP="00287A84">
      <w:r w:rsidRPr="00BE77E9">
        <w:t xml:space="preserve">Clinicians consistently emphasised that technical support services are integral to safe and effective CIED care at implantation and throughout device life. They </w:t>
      </w:r>
      <w:r>
        <w:t>advocated for</w:t>
      </w:r>
      <w:r w:rsidRPr="00BE77E9">
        <w:t xml:space="preserve"> continued funding through the </w:t>
      </w:r>
      <w:r>
        <w:t>PL</w:t>
      </w:r>
      <w:r w:rsidRPr="00BE77E9">
        <w:t xml:space="preserve"> until an alternative model is established.</w:t>
      </w:r>
    </w:p>
    <w:p w14:paraId="0D4B48BF" w14:textId="5A051B2B" w:rsidR="00287A84" w:rsidRDefault="00287A84" w:rsidP="00036B3F">
      <w:pPr>
        <w:pStyle w:val="Heading5"/>
      </w:pPr>
      <w:r>
        <w:t>Stakeholders</w:t>
      </w:r>
      <w:r w:rsidRPr="00602824">
        <w:t xml:space="preserve"> identified the lack of a sustainable funding model for technical support services as a major risk</w:t>
      </w:r>
    </w:p>
    <w:p w14:paraId="1C32770B" w14:textId="77777777" w:rsidR="00287A84" w:rsidRPr="00582CEB" w:rsidRDefault="00287A84" w:rsidP="00287A84">
      <w:pPr>
        <w:rPr>
          <w:lang w:eastAsia="en-AU"/>
        </w:rPr>
      </w:pPr>
      <w:r w:rsidRPr="00602824">
        <w:rPr>
          <w:lang w:eastAsia="en-AU"/>
        </w:rPr>
        <w:t>While the PL does not separately reimburse technical support services, there is a widely acknowledged need to maintain these services to ensure safe and timely care.</w:t>
      </w:r>
      <w:r w:rsidRPr="00602824">
        <w:t xml:space="preserve"> </w:t>
      </w:r>
      <w:r>
        <w:t>A</w:t>
      </w:r>
      <w:r w:rsidRPr="00582CEB">
        <w:rPr>
          <w:lang w:eastAsia="en-AU"/>
        </w:rPr>
        <w:t>cross stakeholder groups, there was strong agreement that the lack of a clearly defined and sustainable alternative funding model for technical support services presents a significant risk</w:t>
      </w:r>
      <w:r>
        <w:rPr>
          <w:lang w:eastAsia="en-AU"/>
        </w:rPr>
        <w:t xml:space="preserve"> to further reform</w:t>
      </w:r>
      <w:r w:rsidRPr="00582CEB">
        <w:rPr>
          <w:lang w:eastAsia="en-AU"/>
        </w:rPr>
        <w:t>.</w:t>
      </w:r>
    </w:p>
    <w:p w14:paraId="570DA88D" w14:textId="19201B48" w:rsidR="00287A84" w:rsidRPr="008A2E67" w:rsidRDefault="00287A84" w:rsidP="00287A84">
      <w:pPr>
        <w:rPr>
          <w:lang w:eastAsia="en-AU"/>
        </w:rPr>
      </w:pPr>
      <w:r w:rsidRPr="008A2E67">
        <w:rPr>
          <w:lang w:eastAsia="en-AU"/>
        </w:rPr>
        <w:t xml:space="preserve">Private hospitals noted that removing embedded TSS funding without an agreed replacement mechanism would shift costs to hospitals or patients, undermine service planning, and place additional pressure on smaller and regional providers that rely heavily on external technical expertise. </w:t>
      </w:r>
      <w:r>
        <w:rPr>
          <w:lang w:eastAsia="en-AU"/>
        </w:rPr>
        <w:t>Similarly, c</w:t>
      </w:r>
      <w:r w:rsidRPr="008A2E67">
        <w:rPr>
          <w:lang w:eastAsia="en-AU"/>
        </w:rPr>
        <w:t xml:space="preserve">linicians emphasised that technical support services are essential to safe and effective CIED care across the life of the device. They argued that any transition away from the current model must be staged, adequately funded, and informed by improved data </w:t>
      </w:r>
      <w:r w:rsidR="003D3BFB">
        <w:rPr>
          <w:lang w:eastAsia="en-AU"/>
        </w:rPr>
        <w:t>–</w:t>
      </w:r>
      <w:r w:rsidRPr="008A2E67">
        <w:rPr>
          <w:lang w:eastAsia="en-AU"/>
        </w:rPr>
        <w:t xml:space="preserve"> including a national CIED register </w:t>
      </w:r>
      <w:r w:rsidR="003D3BFB">
        <w:rPr>
          <w:lang w:eastAsia="en-AU"/>
        </w:rPr>
        <w:t>–</w:t>
      </w:r>
      <w:r w:rsidRPr="008A2E67">
        <w:rPr>
          <w:lang w:eastAsia="en-AU"/>
        </w:rPr>
        <w:t xml:space="preserve"> to avoid disruptions to care or new out</w:t>
      </w:r>
      <w:r w:rsidRPr="008A2E67">
        <w:rPr>
          <w:lang w:eastAsia="en-AU"/>
        </w:rPr>
        <w:noBreakHyphen/>
        <w:t>of</w:t>
      </w:r>
      <w:r w:rsidRPr="008A2E67">
        <w:rPr>
          <w:lang w:eastAsia="en-AU"/>
        </w:rPr>
        <w:noBreakHyphen/>
        <w:t>pocket costs for patients.</w:t>
      </w:r>
    </w:p>
    <w:p w14:paraId="420814F8" w14:textId="77777777" w:rsidR="00287A84" w:rsidRDefault="00287A84" w:rsidP="00287A84">
      <w:pPr>
        <w:rPr>
          <w:lang w:eastAsia="en-AU"/>
        </w:rPr>
      </w:pPr>
      <w:r w:rsidRPr="008A2E67">
        <w:rPr>
          <w:lang w:eastAsia="en-AU"/>
        </w:rPr>
        <w:t>Private health insurers acknowledged the importance of TSS but expressed frustration that reform has stalled without addressing long</w:t>
      </w:r>
      <w:r w:rsidRPr="008A2E67">
        <w:rPr>
          <w:lang w:eastAsia="en-AU"/>
        </w:rPr>
        <w:noBreakHyphen/>
        <w:t>standing concerns about transparency, accountability and cost control. They argued that the absence of a future funding model should not justify maintaining what they consider an inefficient status quo.</w:t>
      </w:r>
    </w:p>
    <w:p w14:paraId="4B194F93" w14:textId="77777777" w:rsidR="00287A84" w:rsidRDefault="00287A84" w:rsidP="00036B3F">
      <w:pPr>
        <w:rPr>
          <w:rFonts w:ascii="Segoe UI Semibold" w:eastAsia="Times New Roman" w:hAnsi="Segoe UI Semibold" w:cs="Times New Roman"/>
          <w:color w:val="00264D" w:themeColor="background2"/>
          <w:sz w:val="22"/>
          <w:szCs w:val="19"/>
          <w:lang w:eastAsia="en-AU"/>
        </w:rPr>
      </w:pPr>
      <w:r w:rsidRPr="00614B6D">
        <w:rPr>
          <w:lang w:eastAsia="en-AU"/>
        </w:rPr>
        <w:t>In contrast, medical device companies framed the lack of an alternative model as a reason to retain existing arrangements indefinitely. They emphasised the absence of a replacement workforce, long transition timelines, and risks to service continuity. Unlike other stakeholders, their position focused less on interim system design and more on preserving current commercial and service delivery models until a future solution is fully developed.</w:t>
      </w:r>
      <w:r w:rsidRPr="00E00532">
        <w:rPr>
          <w:rFonts w:ascii="Segoe UI Semibold" w:eastAsia="Times New Roman" w:hAnsi="Segoe UI Semibold" w:cs="Times New Roman"/>
          <w:color w:val="00264D" w:themeColor="background2"/>
          <w:sz w:val="22"/>
          <w:szCs w:val="19"/>
          <w:lang w:eastAsia="en-AU"/>
        </w:rPr>
        <w:t xml:space="preserve"> </w:t>
      </w:r>
    </w:p>
    <w:p w14:paraId="250EA04F" w14:textId="77777777" w:rsidR="00287A84" w:rsidRPr="00602824" w:rsidRDefault="00287A84" w:rsidP="00036B3F">
      <w:pPr>
        <w:pStyle w:val="Heading5"/>
      </w:pPr>
      <w:r w:rsidRPr="00602824">
        <w:t>Concerns remain that CIED benefit reductions have had unintended consequences on patient care</w:t>
      </w:r>
    </w:p>
    <w:p w14:paraId="3D28AB60" w14:textId="77777777" w:rsidR="00287A84" w:rsidRPr="00602824" w:rsidRDefault="00287A84" w:rsidP="00287A84">
      <w:pPr>
        <w:rPr>
          <w:lang w:eastAsia="en-AU"/>
        </w:rPr>
      </w:pPr>
      <w:r w:rsidRPr="00602824">
        <w:t>The Cardiac Society of Australia and New Zealand (CSANZ) raised concerns about emerging service gaps, particularly in regional, rural and remote areas. They note</w:t>
      </w:r>
      <w:r>
        <w:t>d</w:t>
      </w:r>
      <w:r w:rsidRPr="00602824">
        <w:t xml:space="preserve"> that while the public system does employ cardiac technicians, the workforce is limited and often relies on industry support for complex procedures and broad geographic coverage. </w:t>
      </w:r>
      <w:r w:rsidRPr="00602824">
        <w:rPr>
          <w:lang w:eastAsia="en-AU"/>
        </w:rPr>
        <w:t xml:space="preserve">Some </w:t>
      </w:r>
      <w:r>
        <w:rPr>
          <w:lang w:eastAsia="en-AU"/>
        </w:rPr>
        <w:t xml:space="preserve">device </w:t>
      </w:r>
      <w:r w:rsidRPr="00602824">
        <w:rPr>
          <w:lang w:eastAsia="en-AU"/>
        </w:rPr>
        <w:t>sponsors have reported reducing their IECT workforce or scaling back services in response to CIED benefit reductions, citing financial viability pressures.</w:t>
      </w:r>
      <w:r w:rsidRPr="00602824">
        <w:rPr>
          <w:rStyle w:val="FootnoteReference"/>
          <w:lang w:eastAsia="en-AU"/>
        </w:rPr>
        <w:footnoteReference w:id="41"/>
      </w:r>
      <w:r w:rsidRPr="00602824">
        <w:rPr>
          <w:lang w:eastAsia="en-AU"/>
        </w:rPr>
        <w:t xml:space="preserve"> </w:t>
      </w:r>
    </w:p>
    <w:p w14:paraId="5C434FF3" w14:textId="77777777" w:rsidR="00287A84" w:rsidRPr="00602824" w:rsidRDefault="00287A84" w:rsidP="00287A84">
      <w:r w:rsidRPr="00602824">
        <w:t>These unintended consequences risk reducing access to essential CIED support services across both private and public settings</w:t>
      </w:r>
      <w:r>
        <w:t>. Given the growth in use of CIEDs, the impact on patient care is likely to be significant.</w:t>
      </w:r>
    </w:p>
    <w:p w14:paraId="1D5F0175" w14:textId="77777777" w:rsidR="00287A84" w:rsidRPr="00602824" w:rsidRDefault="00287A84" w:rsidP="008A5103">
      <w:pPr>
        <w:pStyle w:val="Heading4"/>
      </w:pPr>
      <w:r w:rsidRPr="00602824">
        <w:t>The model for funding CIEDs requires further reform</w:t>
      </w:r>
    </w:p>
    <w:p w14:paraId="60C7B9B9" w14:textId="792AC423" w:rsidR="00287A84" w:rsidRPr="003F4C78" w:rsidRDefault="00287A84" w:rsidP="00287A84">
      <w:pPr>
        <w:pStyle w:val="TableNBullet"/>
        <w:numPr>
          <w:ilvl w:val="0"/>
          <w:numId w:val="0"/>
        </w:numPr>
        <w:rPr>
          <w:sz w:val="19"/>
        </w:rPr>
      </w:pPr>
      <w:r w:rsidRPr="003F4C78">
        <w:rPr>
          <w:sz w:val="19"/>
        </w:rPr>
        <w:t xml:space="preserve">The compromise adopted during the reforms </w:t>
      </w:r>
      <w:r>
        <w:rPr>
          <w:sz w:val="19"/>
        </w:rPr>
        <w:t>of t</w:t>
      </w:r>
      <w:r w:rsidRPr="003F4C78">
        <w:rPr>
          <w:sz w:val="19"/>
        </w:rPr>
        <w:t xml:space="preserve">emporarily shielding </w:t>
      </w:r>
      <w:r w:rsidR="00621699">
        <w:rPr>
          <w:sz w:val="19"/>
        </w:rPr>
        <w:t>TSS</w:t>
      </w:r>
      <w:r w:rsidRPr="003F4C78">
        <w:rPr>
          <w:sz w:val="19"/>
        </w:rPr>
        <w:t xml:space="preserve"> from staged benefit reductions has helped protect patient care and avoided sudden out-of-pocket costs for people with CIEDs. </w:t>
      </w:r>
      <w:r>
        <w:rPr>
          <w:sz w:val="19"/>
        </w:rPr>
        <w:t>However</w:t>
      </w:r>
      <w:r w:rsidR="003D3BFB">
        <w:rPr>
          <w:sz w:val="19"/>
        </w:rPr>
        <w:t>,</w:t>
      </w:r>
      <w:r>
        <w:rPr>
          <w:sz w:val="19"/>
        </w:rPr>
        <w:t xml:space="preserve"> it is not a sustainable way forward. </w:t>
      </w:r>
    </w:p>
    <w:p w14:paraId="692CCE56" w14:textId="77777777" w:rsidR="00287A84" w:rsidRPr="00E40F40" w:rsidRDefault="00287A84" w:rsidP="00287A84">
      <w:pPr>
        <w:suppressAutoHyphens/>
        <w:spacing w:before="60" w:after="60"/>
        <w:rPr>
          <w:rFonts w:eastAsia="Times New Roman" w:cs="Times New Roman"/>
          <w:szCs w:val="19"/>
          <w:lang w:eastAsia="en-AU"/>
        </w:rPr>
      </w:pPr>
      <w:r>
        <w:rPr>
          <w:rFonts w:eastAsia="Times New Roman" w:cs="Times New Roman"/>
          <w:szCs w:val="19"/>
          <w:lang w:eastAsia="en-AU"/>
        </w:rPr>
        <w:t xml:space="preserve">Clinicians consulted during the evaluation were considered in their approach to a future solution. Ideas included the </w:t>
      </w:r>
      <w:r w:rsidRPr="00E40F40">
        <w:rPr>
          <w:rFonts w:eastAsia="Times New Roman" w:cs="Times New Roman"/>
          <w:szCs w:val="19"/>
          <w:lang w:eastAsia="en-AU"/>
        </w:rPr>
        <w:t>establish</w:t>
      </w:r>
      <w:r>
        <w:rPr>
          <w:rFonts w:eastAsia="Times New Roman" w:cs="Times New Roman"/>
          <w:szCs w:val="19"/>
          <w:lang w:eastAsia="en-AU"/>
        </w:rPr>
        <w:t>ment of</w:t>
      </w:r>
      <w:r w:rsidRPr="00E40F40">
        <w:rPr>
          <w:rFonts w:eastAsia="Times New Roman" w:cs="Times New Roman"/>
          <w:szCs w:val="19"/>
          <w:lang w:eastAsia="en-AU"/>
        </w:rPr>
        <w:t xml:space="preserve"> a national CIED register as a first step to improve understanding of service delivery models and to inform more accurate costings of TSS currently provided by industry.</w:t>
      </w:r>
    </w:p>
    <w:p w14:paraId="76F4BB2A" w14:textId="2B5335B0" w:rsidR="00287A84" w:rsidRDefault="00287A84" w:rsidP="00287A84">
      <w:pPr>
        <w:rPr>
          <w:lang w:eastAsia="en-AU"/>
        </w:rPr>
      </w:pPr>
      <w:r w:rsidRPr="00E40F40">
        <w:t>One clinician group advocated for developing a workforce of fully trained independent cardiac physiologists to deliver TSS currently performed by device companies. They stressed the need to design such a model in a way that ensures continuity of services for patients during any transition.</w:t>
      </w:r>
    </w:p>
    <w:p w14:paraId="46D7A72A" w14:textId="5FCBED6C" w:rsidR="0000196A" w:rsidRDefault="00813CCA" w:rsidP="00287A84">
      <w:pPr>
        <w:rPr>
          <w:lang w:eastAsia="en-AU"/>
        </w:rPr>
      </w:pPr>
      <w:r w:rsidRPr="00813CCA">
        <w:rPr>
          <w:lang w:eastAsia="en-AU"/>
        </w:rPr>
        <w:t>Remote monitoring was also identified as an area of technological change that may affect how CIED follow-up services are delivered</w:t>
      </w:r>
      <w:r w:rsidR="00B55C4C">
        <w:rPr>
          <w:lang w:eastAsia="en-AU"/>
        </w:rPr>
        <w:t xml:space="preserve"> and funded</w:t>
      </w:r>
      <w:r w:rsidRPr="00813CCA">
        <w:rPr>
          <w:lang w:eastAsia="en-AU"/>
        </w:rPr>
        <w:t>. Its increasing use may have implications for the volume and type of in-person follow-up required, as well as the mix of clinical, technical and administrative support involved in ongoing CIED care</w:t>
      </w:r>
      <w:r w:rsidR="0000196A" w:rsidRPr="0000196A">
        <w:rPr>
          <w:lang w:eastAsia="en-AU"/>
        </w:rPr>
        <w:t>.</w:t>
      </w:r>
    </w:p>
    <w:p w14:paraId="56A9FF5C" w14:textId="1CF5CE4F" w:rsidR="00287A84" w:rsidRDefault="00B55C4C" w:rsidP="00287A84">
      <w:pPr>
        <w:spacing w:after="240"/>
      </w:pPr>
      <w:r>
        <w:t>Further</w:t>
      </w:r>
      <w:r w:rsidR="00287A84" w:rsidRPr="00602824">
        <w:t xml:space="preserve"> reform </w:t>
      </w:r>
      <w:r w:rsidR="00287A84">
        <w:t>is required to ensure this growing area of medicine is efficiently managed and appropriately funded for the benefit of</w:t>
      </w:r>
      <w:r w:rsidR="004D3421">
        <w:t xml:space="preserve"> private and public</w:t>
      </w:r>
      <w:r w:rsidR="00287A84">
        <w:t xml:space="preserve"> patients into the future. </w:t>
      </w:r>
      <w:r w:rsidR="000E5651">
        <w:t xml:space="preserve">It will be important to understand how TSS may have evolved since the issue was considered during the reforms. </w:t>
      </w:r>
      <w:r w:rsidR="0092383F">
        <w:t>An</w:t>
      </w:r>
      <w:r w:rsidR="002740B9">
        <w:t>y</w:t>
      </w:r>
      <w:r w:rsidR="0092383F">
        <w:t xml:space="preserve"> changes </w:t>
      </w:r>
      <w:r w:rsidR="00287A84">
        <w:t>must be well considered,</w:t>
      </w:r>
      <w:r w:rsidR="00287A84" w:rsidRPr="00602824">
        <w:t xml:space="preserve"> staged, data-informed and focused on preserving patient outcomes. Without </w:t>
      </w:r>
      <w:r w:rsidR="00287A84">
        <w:t>this</w:t>
      </w:r>
      <w:r w:rsidR="00287A84" w:rsidRPr="00602824">
        <w:t>, further change could reduce access and increase costs for patients.</w:t>
      </w:r>
    </w:p>
    <w:tbl>
      <w:tblPr>
        <w:tblStyle w:val="NousLongformcallout"/>
        <w:tblW w:w="4950" w:type="pct"/>
        <w:tblCellMar>
          <w:top w:w="170" w:type="dxa"/>
          <w:bottom w:w="170" w:type="dxa"/>
        </w:tblCellMar>
        <w:tblLook w:val="04A0" w:firstRow="1" w:lastRow="0" w:firstColumn="1" w:lastColumn="0" w:noHBand="0" w:noVBand="1"/>
      </w:tblPr>
      <w:tblGrid>
        <w:gridCol w:w="9070"/>
      </w:tblGrid>
      <w:tr w:rsidR="004B6008" w:rsidRPr="00602824" w14:paraId="582058C9" w14:textId="77777777" w:rsidTr="004B6008">
        <w:tc>
          <w:tcPr>
            <w:tcW w:w="9070" w:type="dxa"/>
            <w:tcBorders>
              <w:left w:val="single" w:sz="18" w:space="0" w:color="2E368F" w:themeColor="text2"/>
            </w:tcBorders>
            <w:shd w:val="clear" w:color="auto" w:fill="F2F2F2" w:themeFill="background1" w:themeFillShade="F2"/>
          </w:tcPr>
          <w:p w14:paraId="7F220B81" w14:textId="312D384B" w:rsidR="004B6008" w:rsidRPr="00194DA6" w:rsidRDefault="004B6008" w:rsidP="000A054C">
            <w:pPr>
              <w:pStyle w:val="Longformcallout"/>
              <w:spacing w:before="0" w:after="120"/>
              <w:rPr>
                <w:rFonts w:asciiTheme="majorHAnsi" w:hAnsiTheme="majorHAnsi" w:cstheme="majorHAnsi"/>
                <w:color w:val="2E368F" w:themeColor="text2"/>
              </w:rPr>
            </w:pPr>
            <w:r w:rsidRPr="00602824">
              <w:rPr>
                <w:rFonts w:asciiTheme="majorHAnsi" w:hAnsiTheme="majorHAnsi" w:cstheme="majorHAnsi"/>
                <w:color w:val="2E368F" w:themeColor="text2"/>
              </w:rPr>
              <w:t xml:space="preserve">RECOMMENDATION </w:t>
            </w:r>
            <w:r>
              <w:rPr>
                <w:rFonts w:asciiTheme="majorHAnsi" w:hAnsiTheme="majorHAnsi" w:cstheme="majorHAnsi"/>
                <w:color w:val="2E368F" w:themeColor="text2"/>
              </w:rPr>
              <w:t xml:space="preserve">2: </w:t>
            </w:r>
            <w:r w:rsidRPr="007A58DB">
              <w:rPr>
                <w:rFonts w:asciiTheme="majorHAnsi" w:hAnsiTheme="majorHAnsi" w:cstheme="majorHAnsi"/>
              </w:rPr>
              <w:t>Use the work undertaken through the reforms to inform further cross-portfolio consideration of alternative service and funding models that allow the separation of CIED device and service costs in both the public and private sectors</w:t>
            </w:r>
            <w:r w:rsidRPr="00AF5EA3">
              <w:rPr>
                <w:rFonts w:asciiTheme="majorHAnsi" w:hAnsiTheme="majorHAnsi" w:cstheme="majorHAnsi"/>
              </w:rPr>
              <w:t>.</w:t>
            </w:r>
          </w:p>
        </w:tc>
      </w:tr>
    </w:tbl>
    <w:p w14:paraId="623A5AE7" w14:textId="3E95868D" w:rsidR="00145265" w:rsidRPr="00602824" w:rsidRDefault="00145265" w:rsidP="00145265">
      <w:pPr>
        <w:pStyle w:val="Heading2"/>
      </w:pPr>
      <w:bookmarkStart w:id="25" w:name="_Toc181405078"/>
      <w:bookmarkStart w:id="26" w:name="_Toc237002804"/>
      <w:r w:rsidRPr="00602824">
        <w:t>Objective 2: Maintain no additional out-of-pocket costs associated with the PL devices for consumers</w:t>
      </w:r>
      <w:bookmarkEnd w:id="25"/>
      <w:bookmarkEnd w:id="26"/>
    </w:p>
    <w:p w14:paraId="73BE2F4D" w14:textId="77777777" w:rsidR="00145265" w:rsidRPr="00602824" w:rsidRDefault="00145265" w:rsidP="00145265">
      <w:pPr>
        <w:rPr>
          <w:i/>
          <w:iCs/>
        </w:rPr>
      </w:pPr>
      <w:r w:rsidRPr="00602824">
        <w:rPr>
          <w:i/>
          <w:iCs/>
        </w:rPr>
        <w:t>This section considers any change in out-of-pocket costs related to PL items. It examines the prevalence of a gap payment for PL items and the average gap payment for PL-listed items.</w:t>
      </w:r>
    </w:p>
    <w:p w14:paraId="62297F94" w14:textId="58A4581D" w:rsidR="00145265" w:rsidRPr="00FB712C" w:rsidRDefault="00145265" w:rsidP="00B50EE7">
      <w:pPr>
        <w:pStyle w:val="Caption"/>
      </w:pPr>
      <w:r w:rsidRPr="00B50EE7">
        <w:t xml:space="preserve">Figure </w:t>
      </w:r>
      <w:r w:rsidR="005539DD">
        <w:fldChar w:fldCharType="begin"/>
      </w:r>
      <w:r w:rsidR="005539DD">
        <w:instrText xml:space="preserve"> SEQ Figure \* ARABIC </w:instrText>
      </w:r>
      <w:r w:rsidR="005539DD">
        <w:fldChar w:fldCharType="separate"/>
      </w:r>
      <w:r w:rsidR="0092693A">
        <w:rPr>
          <w:noProof/>
        </w:rPr>
        <w:t>9</w:t>
      </w:r>
      <w:r w:rsidR="005539DD">
        <w:fldChar w:fldCharType="end"/>
      </w:r>
      <w:r w:rsidRPr="00B50EE7">
        <w:t xml:space="preserve"> | Reform projects related to reform objective 2</w:t>
      </w:r>
    </w:p>
    <w:p w14:paraId="6D102C1A" w14:textId="77777777" w:rsidR="00145265" w:rsidRPr="00602824" w:rsidRDefault="00145265" w:rsidP="00145265">
      <w:pPr>
        <w:rPr>
          <w:lang w:eastAsia="en-AU"/>
        </w:rPr>
      </w:pPr>
      <w:r w:rsidRPr="00AC7E3F">
        <w:rPr>
          <w:noProof/>
          <w:lang w:eastAsia="en-AU"/>
        </w:rPr>
        <w:drawing>
          <wp:inline distT="0" distB="0" distL="0" distR="0" wp14:anchorId="2078CB65" wp14:editId="66B45E65">
            <wp:extent cx="5832000" cy="1494899"/>
            <wp:effectExtent l="0" t="0" r="0" b="0"/>
            <wp:docPr id="813561773" name="Picture 1" descr="A figure showing reform objective 2. Maintain no additional out-of-pocket costs is maintained through guardrails on benefit reductions. Objective 2 is also connected with a dotted line to benefit red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561773" name="Picture 1" descr="A figure showing reform objective 2. Maintain no additional out-of-pocket costs is maintained through guardrails on benefit reductions. Objective 2 is also connected with a dotted line to benefit reductions."/>
                    <pic:cNvPicPr/>
                  </pic:nvPicPr>
                  <pic:blipFill>
                    <a:blip r:embed="rId31"/>
                    <a:stretch>
                      <a:fillRect/>
                    </a:stretch>
                  </pic:blipFill>
                  <pic:spPr>
                    <a:xfrm>
                      <a:off x="0" y="0"/>
                      <a:ext cx="5832000" cy="1494899"/>
                    </a:xfrm>
                    <a:prstGeom prst="rect">
                      <a:avLst/>
                    </a:prstGeom>
                  </pic:spPr>
                </pic:pic>
              </a:graphicData>
            </a:graphic>
          </wp:inline>
        </w:drawing>
      </w:r>
    </w:p>
    <w:p w14:paraId="7C21B352" w14:textId="73392E14" w:rsidR="00BA60EC" w:rsidRDefault="00BC6AA4" w:rsidP="00EB0B57">
      <w:pPr>
        <w:pStyle w:val="Heading3"/>
      </w:pPr>
      <w:r>
        <w:t>Reform</w:t>
      </w:r>
      <w:r w:rsidR="00590C34" w:rsidRPr="00602824">
        <w:t xml:space="preserve"> </w:t>
      </w:r>
      <w:r w:rsidR="00C572C9">
        <w:t>project</w:t>
      </w:r>
      <w:r w:rsidR="009E39DE" w:rsidRPr="00602824">
        <w:t xml:space="preserve">: </w:t>
      </w:r>
      <w:r w:rsidR="00592B9F" w:rsidRPr="00602824">
        <w:t>o</w:t>
      </w:r>
      <w:r w:rsidR="009E39DE" w:rsidRPr="00602824">
        <w:t>ut</w:t>
      </w:r>
      <w:r w:rsidR="0003205A" w:rsidRPr="00602824">
        <w:t>-</w:t>
      </w:r>
      <w:r w:rsidR="009E39DE" w:rsidRPr="00602824">
        <w:t>of</w:t>
      </w:r>
      <w:r w:rsidR="0003205A" w:rsidRPr="00602824">
        <w:t>-</w:t>
      </w:r>
      <w:r w:rsidR="009E39DE" w:rsidRPr="00602824">
        <w:t>pocket costs</w:t>
      </w:r>
    </w:p>
    <w:tbl>
      <w:tblPr>
        <w:tblStyle w:val="NOUSSideHeader42"/>
        <w:tblW w:w="0" w:type="auto"/>
        <w:tblLook w:val="04A0" w:firstRow="1" w:lastRow="0" w:firstColumn="1" w:lastColumn="0" w:noHBand="0" w:noVBand="1"/>
      </w:tblPr>
      <w:tblGrid>
        <w:gridCol w:w="9061"/>
      </w:tblGrid>
      <w:tr w:rsidR="009C0E4F" w:rsidRPr="00602824" w14:paraId="4ABF30D7" w14:textId="77777777" w:rsidTr="002D08FF">
        <w:trPr>
          <w:cnfStyle w:val="100000000000" w:firstRow="1" w:lastRow="0" w:firstColumn="0" w:lastColumn="0" w:oddVBand="0" w:evenVBand="0" w:oddHBand="0" w:evenHBand="0" w:firstRowFirstColumn="0" w:firstRowLastColumn="0" w:lastRowFirstColumn="0" w:lastRowLastColumn="0"/>
        </w:trPr>
        <w:tc>
          <w:tcPr>
            <w:tcW w:w="9061" w:type="dxa"/>
          </w:tcPr>
          <w:p w14:paraId="78A771A1" w14:textId="6AB8FE2D" w:rsidR="00EC230C" w:rsidRPr="00602824" w:rsidRDefault="00EC230C">
            <w:pPr>
              <w:spacing w:before="120"/>
            </w:pPr>
            <w:r w:rsidRPr="00602824">
              <w:rPr>
                <w:lang w:eastAsia="en-AU"/>
              </w:rPr>
              <w:t xml:space="preserve">There were no specific activities associated with the maintenance of out-of-pocket costs during </w:t>
            </w:r>
            <w:r w:rsidR="00E5694F">
              <w:rPr>
                <w:lang w:eastAsia="en-AU"/>
              </w:rPr>
              <w:t>the reforms</w:t>
            </w:r>
            <w:r w:rsidRPr="00602824">
              <w:rPr>
                <w:lang w:eastAsia="en-AU"/>
              </w:rPr>
              <w:t xml:space="preserve">. The findings remain similar to those in the </w:t>
            </w:r>
            <w:r w:rsidRPr="00602824">
              <w:rPr>
                <w:i/>
                <w:lang w:eastAsia="en-AU"/>
              </w:rPr>
              <w:t xml:space="preserve">Interim </w:t>
            </w:r>
            <w:r w:rsidRPr="00602824">
              <w:rPr>
                <w:i/>
                <w:iCs/>
                <w:lang w:eastAsia="en-AU"/>
              </w:rPr>
              <w:t xml:space="preserve">Evaluation #1 </w:t>
            </w:r>
            <w:r w:rsidRPr="00086717">
              <w:rPr>
                <w:lang w:eastAsia="en-AU"/>
              </w:rPr>
              <w:t>and</w:t>
            </w:r>
            <w:r w:rsidR="00086717">
              <w:rPr>
                <w:i/>
                <w:iCs/>
                <w:lang w:eastAsia="en-AU"/>
              </w:rPr>
              <w:t xml:space="preserve"> Interim Evaluation</w:t>
            </w:r>
            <w:r>
              <w:rPr>
                <w:i/>
                <w:iCs/>
                <w:lang w:eastAsia="en-AU"/>
              </w:rPr>
              <w:t xml:space="preserve"> #2</w:t>
            </w:r>
            <w:r w:rsidR="00086717">
              <w:rPr>
                <w:i/>
                <w:iCs/>
                <w:lang w:eastAsia="en-AU"/>
              </w:rPr>
              <w:t xml:space="preserve"> </w:t>
            </w:r>
            <w:r w:rsidR="00086717">
              <w:rPr>
                <w:lang w:eastAsia="en-AU"/>
              </w:rPr>
              <w:t>reports</w:t>
            </w:r>
            <w:r w:rsidR="00E5694F">
              <w:rPr>
                <w:i/>
                <w:iCs/>
                <w:lang w:eastAsia="en-AU"/>
              </w:rPr>
              <w:t>.</w:t>
            </w:r>
          </w:p>
        </w:tc>
      </w:tr>
    </w:tbl>
    <w:p w14:paraId="678D5F3E" w14:textId="0E151C90" w:rsidR="00EB0B57" w:rsidRPr="00602824" w:rsidRDefault="00572096" w:rsidP="00EB0B57">
      <w:pPr>
        <w:pStyle w:val="Heading3"/>
      </w:pPr>
      <w:bookmarkStart w:id="27" w:name="_Ref202812206"/>
      <w:r w:rsidRPr="00602824">
        <w:t xml:space="preserve">The reforms </w:t>
      </w:r>
      <w:r w:rsidR="00E268BF">
        <w:t xml:space="preserve">appear to have </w:t>
      </w:r>
      <w:r w:rsidRPr="00602824">
        <w:t>maintain</w:t>
      </w:r>
      <w:r w:rsidR="008F7389">
        <w:t>ed</w:t>
      </w:r>
      <w:r w:rsidR="00D1548F">
        <w:t xml:space="preserve"> </w:t>
      </w:r>
      <w:r w:rsidRPr="00602824" w:rsidDel="00D1548F">
        <w:t xml:space="preserve">minimal </w:t>
      </w:r>
      <w:r w:rsidRPr="00602824">
        <w:t>out-of-pocket costs for PL items</w:t>
      </w:r>
      <w:bookmarkEnd w:id="27"/>
    </w:p>
    <w:p w14:paraId="7D6EC429" w14:textId="6E25236D" w:rsidR="00FC26B6" w:rsidRPr="00602824" w:rsidRDefault="006D7502" w:rsidP="00C97795">
      <w:pPr>
        <w:rPr>
          <w:lang w:eastAsia="en-AU"/>
        </w:rPr>
      </w:pPr>
      <w:r w:rsidRPr="00602824">
        <w:rPr>
          <w:lang w:eastAsia="en-AU"/>
        </w:rPr>
        <w:t xml:space="preserve">The </w:t>
      </w:r>
      <w:r w:rsidR="006E7FD8" w:rsidRPr="006E7FD8">
        <w:rPr>
          <w:lang w:eastAsia="en-AU"/>
        </w:rPr>
        <w:t xml:space="preserve">evaluation did not find evidence that the </w:t>
      </w:r>
      <w:r w:rsidRPr="00602824">
        <w:rPr>
          <w:lang w:eastAsia="en-AU"/>
        </w:rPr>
        <w:t xml:space="preserve">PL reforms </w:t>
      </w:r>
      <w:r w:rsidR="006E7FD8" w:rsidRPr="006E7FD8">
        <w:rPr>
          <w:lang w:eastAsia="en-AU"/>
        </w:rPr>
        <w:t>affected</w:t>
      </w:r>
      <w:r w:rsidRPr="00602824">
        <w:rPr>
          <w:lang w:eastAsia="en-AU"/>
        </w:rPr>
        <w:t xml:space="preserve"> out-of-pocket costs for </w:t>
      </w:r>
      <w:r w:rsidR="00D76EAC">
        <w:rPr>
          <w:lang w:eastAsia="en-AU"/>
        </w:rPr>
        <w:t>PL items at an aggregate level</w:t>
      </w:r>
      <w:r w:rsidRPr="00602824">
        <w:rPr>
          <w:lang w:eastAsia="en-AU"/>
        </w:rPr>
        <w:t xml:space="preserve">. Health </w:t>
      </w:r>
      <w:proofErr w:type="spellStart"/>
      <w:r w:rsidRPr="00602824">
        <w:rPr>
          <w:lang w:eastAsia="en-AU"/>
        </w:rPr>
        <w:t>Casemix</w:t>
      </w:r>
      <w:proofErr w:type="spellEnd"/>
      <w:r w:rsidRPr="00602824">
        <w:rPr>
          <w:lang w:eastAsia="en-AU"/>
        </w:rPr>
        <w:t xml:space="preserve"> Protocol (HCP) data </w:t>
      </w:r>
      <w:r w:rsidR="00B9732D">
        <w:rPr>
          <w:lang w:eastAsia="en-AU"/>
        </w:rPr>
        <w:t xml:space="preserve">from 2025 </w:t>
      </w:r>
      <w:r w:rsidRPr="00602824">
        <w:rPr>
          <w:lang w:eastAsia="en-AU"/>
        </w:rPr>
        <w:t>shows that direct gap payments for prostheses remain rare.</w:t>
      </w:r>
      <w:r w:rsidR="008F4F42" w:rsidRPr="00602824">
        <w:rPr>
          <w:rStyle w:val="FootnoteReference"/>
          <w:lang w:eastAsia="en-AU"/>
        </w:rPr>
        <w:footnoteReference w:id="42"/>
      </w:r>
      <w:r w:rsidR="008F4F42" w:rsidRPr="00602824">
        <w:rPr>
          <w:vertAlign w:val="superscript"/>
          <w:lang w:eastAsia="en-AU"/>
        </w:rPr>
        <w:t>,</w:t>
      </w:r>
      <w:r w:rsidR="00FF4B47" w:rsidRPr="00602824">
        <w:rPr>
          <w:rStyle w:val="FootnoteReference"/>
          <w:lang w:eastAsia="en-AU"/>
        </w:rPr>
        <w:footnoteReference w:id="43"/>
      </w:r>
      <w:r w:rsidRPr="00602824">
        <w:rPr>
          <w:lang w:eastAsia="en-AU"/>
        </w:rPr>
        <w:t xml:space="preserve"> However, stakeholders reported occasional cases where consumers were financially worse off</w:t>
      </w:r>
      <w:r w:rsidR="002D136B">
        <w:rPr>
          <w:lang w:eastAsia="en-AU"/>
        </w:rPr>
        <w:t xml:space="preserve"> overall</w:t>
      </w:r>
      <w:r w:rsidRPr="00602824">
        <w:rPr>
          <w:lang w:eastAsia="en-AU"/>
        </w:rPr>
        <w:t>, and there remains a risk of increas</w:t>
      </w:r>
      <w:r w:rsidR="00CF547E" w:rsidRPr="00602824">
        <w:rPr>
          <w:lang w:eastAsia="en-AU"/>
        </w:rPr>
        <w:t>ed</w:t>
      </w:r>
      <w:r w:rsidRPr="00602824">
        <w:rPr>
          <w:lang w:eastAsia="en-AU"/>
        </w:rPr>
        <w:t xml:space="preserve"> cost-shifting behaviour</w:t>
      </w:r>
      <w:r w:rsidR="00D76EAC">
        <w:rPr>
          <w:lang w:eastAsia="en-AU"/>
        </w:rPr>
        <w:t xml:space="preserve"> outside the PL item benefit</w:t>
      </w:r>
      <w:r w:rsidR="000A48F9" w:rsidRPr="00602824">
        <w:rPr>
          <w:lang w:eastAsia="en-AU"/>
        </w:rPr>
        <w:t>.</w:t>
      </w:r>
    </w:p>
    <w:p w14:paraId="43B0EDF9" w14:textId="67FD8D66" w:rsidR="00FC26B6" w:rsidRPr="00602824" w:rsidRDefault="00FC26B6" w:rsidP="00FC26B6">
      <w:pPr>
        <w:pStyle w:val="Heading4"/>
      </w:pPr>
      <w:r w:rsidRPr="00602824">
        <w:t>Gap payments for PL items remain</w:t>
      </w:r>
      <w:r w:rsidR="00572096" w:rsidRPr="00602824">
        <w:t xml:space="preserve"> consistently rare</w:t>
      </w:r>
    </w:p>
    <w:p w14:paraId="2736C7D1" w14:textId="00A15778" w:rsidR="00DF5225" w:rsidRPr="00602824" w:rsidRDefault="003726BA" w:rsidP="00DF5225">
      <w:pPr>
        <w:rPr>
          <w:lang w:eastAsia="en-AU"/>
        </w:rPr>
      </w:pPr>
      <w:r w:rsidRPr="00602824">
        <w:rPr>
          <w:lang w:eastAsia="en-AU"/>
        </w:rPr>
        <w:fldChar w:fldCharType="begin"/>
      </w:r>
      <w:r w:rsidRPr="00602824">
        <w:rPr>
          <w:lang w:eastAsia="en-AU"/>
        </w:rPr>
        <w:instrText xml:space="preserve"> REF _Ref202353700 \h </w:instrText>
      </w:r>
      <w:r w:rsidRPr="00602824">
        <w:rPr>
          <w:lang w:eastAsia="en-AU"/>
        </w:rPr>
      </w:r>
      <w:r w:rsidRPr="00602824">
        <w:rPr>
          <w:lang w:eastAsia="en-AU"/>
        </w:rPr>
        <w:fldChar w:fldCharType="separate"/>
      </w:r>
      <w:r w:rsidR="0092693A" w:rsidRPr="00602824">
        <w:t xml:space="preserve">Figure </w:t>
      </w:r>
      <w:r w:rsidR="0092693A">
        <w:rPr>
          <w:noProof/>
        </w:rPr>
        <w:t>10</w:t>
      </w:r>
      <w:r w:rsidRPr="00602824">
        <w:rPr>
          <w:lang w:eastAsia="en-AU"/>
        </w:rPr>
        <w:fldChar w:fldCharType="end"/>
      </w:r>
      <w:r w:rsidRPr="00602824">
        <w:rPr>
          <w:lang w:eastAsia="en-AU"/>
        </w:rPr>
        <w:t xml:space="preserve"> </w:t>
      </w:r>
      <w:r w:rsidR="00105D7D" w:rsidRPr="00602824">
        <w:rPr>
          <w:lang w:eastAsia="en-AU"/>
        </w:rPr>
        <w:t>shows that gap payments are uncommon across the PL, with only 0.24% of PL items used in FY24 incurring a gap payment over $1.</w:t>
      </w:r>
      <w:r w:rsidR="001A0002" w:rsidRPr="00602824">
        <w:rPr>
          <w:lang w:eastAsia="en-AU"/>
        </w:rPr>
        <w:t xml:space="preserve"> </w:t>
      </w:r>
      <w:r w:rsidR="001A0002" w:rsidRPr="00602824">
        <w:rPr>
          <w:lang w:eastAsia="en-AU"/>
        </w:rPr>
        <w:fldChar w:fldCharType="begin"/>
      </w:r>
      <w:r w:rsidR="001A0002" w:rsidRPr="00602824">
        <w:rPr>
          <w:lang w:eastAsia="en-AU"/>
        </w:rPr>
        <w:instrText xml:space="preserve"> REF _Ref202353844 \h </w:instrText>
      </w:r>
      <w:r w:rsidR="001A0002" w:rsidRPr="00602824">
        <w:rPr>
          <w:lang w:eastAsia="en-AU"/>
        </w:rPr>
      </w:r>
      <w:r w:rsidR="001A0002" w:rsidRPr="00602824">
        <w:rPr>
          <w:lang w:eastAsia="en-AU"/>
        </w:rPr>
        <w:fldChar w:fldCharType="separate"/>
      </w:r>
      <w:r w:rsidR="0092693A" w:rsidRPr="004A357C">
        <w:t xml:space="preserve">Table </w:t>
      </w:r>
      <w:r w:rsidR="0092693A">
        <w:rPr>
          <w:noProof/>
        </w:rPr>
        <w:t>13</w:t>
      </w:r>
      <w:r w:rsidR="001A0002" w:rsidRPr="00602824">
        <w:rPr>
          <w:lang w:eastAsia="en-AU"/>
        </w:rPr>
        <w:fldChar w:fldCharType="end"/>
      </w:r>
      <w:r w:rsidR="001A0002" w:rsidRPr="00602824">
        <w:rPr>
          <w:lang w:eastAsia="en-AU"/>
        </w:rPr>
        <w:t xml:space="preserve"> (</w:t>
      </w:r>
      <w:r w:rsidR="006852B0" w:rsidRPr="00602824">
        <w:rPr>
          <w:lang w:eastAsia="en-AU"/>
        </w:rPr>
        <w:t xml:space="preserve">Appendix </w:t>
      </w:r>
      <w:r w:rsidR="006852B0" w:rsidRPr="00602824">
        <w:rPr>
          <w:lang w:eastAsia="en-AU"/>
        </w:rPr>
        <w:fldChar w:fldCharType="begin"/>
      </w:r>
      <w:r w:rsidR="006852B0" w:rsidRPr="00602824">
        <w:rPr>
          <w:lang w:eastAsia="en-AU"/>
        </w:rPr>
        <w:instrText xml:space="preserve"> REF _Ref202353872 \r \h </w:instrText>
      </w:r>
      <w:r w:rsidR="006852B0" w:rsidRPr="00602824">
        <w:rPr>
          <w:lang w:eastAsia="en-AU"/>
        </w:rPr>
      </w:r>
      <w:r w:rsidR="006852B0" w:rsidRPr="00602824">
        <w:rPr>
          <w:lang w:eastAsia="en-AU"/>
        </w:rPr>
        <w:fldChar w:fldCharType="separate"/>
      </w:r>
      <w:r w:rsidR="0092693A">
        <w:rPr>
          <w:lang w:eastAsia="en-AU"/>
        </w:rPr>
        <w:t>C.3</w:t>
      </w:r>
      <w:r w:rsidR="006852B0" w:rsidRPr="00602824">
        <w:rPr>
          <w:lang w:eastAsia="en-AU"/>
        </w:rPr>
        <w:fldChar w:fldCharType="end"/>
      </w:r>
      <w:r w:rsidR="006852B0" w:rsidRPr="00602824">
        <w:rPr>
          <w:lang w:eastAsia="en-AU"/>
        </w:rPr>
        <w:t xml:space="preserve">) </w:t>
      </w:r>
      <w:r w:rsidR="00506856" w:rsidRPr="00602824">
        <w:rPr>
          <w:lang w:eastAsia="en-AU"/>
        </w:rPr>
        <w:t xml:space="preserve">shows the prevalence of gap payments is around 1% or lower across all Part A categories, except for </w:t>
      </w:r>
      <w:r w:rsidR="00FD648A" w:rsidRPr="00602824">
        <w:rPr>
          <w:lang w:eastAsia="en-AU"/>
        </w:rPr>
        <w:t>c</w:t>
      </w:r>
      <w:r w:rsidR="00506856" w:rsidRPr="00602824">
        <w:rPr>
          <w:lang w:eastAsia="en-AU"/>
        </w:rPr>
        <w:t>ardiothoracic items, which have a slightly higher rate of 2.</w:t>
      </w:r>
      <w:r w:rsidR="000F4156">
        <w:rPr>
          <w:lang w:eastAsia="en-AU"/>
        </w:rPr>
        <w:t>63</w:t>
      </w:r>
      <w:r w:rsidR="00506856" w:rsidRPr="00602824">
        <w:rPr>
          <w:lang w:eastAsia="en-AU"/>
        </w:rPr>
        <w:t>%.</w:t>
      </w:r>
      <w:r w:rsidR="00B46891" w:rsidRPr="00602824">
        <w:rPr>
          <w:lang w:eastAsia="en-AU"/>
        </w:rPr>
        <w:t xml:space="preserve"> </w:t>
      </w:r>
      <w:r w:rsidR="00506856" w:rsidRPr="00602824">
        <w:rPr>
          <w:lang w:eastAsia="en-AU"/>
        </w:rPr>
        <w:t xml:space="preserve">These consistently low rates – </w:t>
      </w:r>
      <w:proofErr w:type="gramStart"/>
      <w:r w:rsidR="00506856" w:rsidRPr="00602824">
        <w:rPr>
          <w:lang w:eastAsia="en-AU"/>
        </w:rPr>
        <w:t>similar to</w:t>
      </w:r>
      <w:proofErr w:type="gramEnd"/>
      <w:r w:rsidR="00506856" w:rsidRPr="00602824">
        <w:rPr>
          <w:lang w:eastAsia="en-AU"/>
        </w:rPr>
        <w:t xml:space="preserve"> pre-reform levels – suggest the reforms are largely meeting their goal of minimising consumer out-of-pocket costs.</w:t>
      </w:r>
      <w:r w:rsidR="00425A2B" w:rsidRPr="00602824">
        <w:rPr>
          <w:lang w:eastAsia="en-AU"/>
        </w:rPr>
        <w:t xml:space="preserve"> </w:t>
      </w:r>
    </w:p>
    <w:p w14:paraId="6B52605D" w14:textId="00DF89DC" w:rsidR="0027668A" w:rsidRPr="00602824" w:rsidRDefault="00A90D43" w:rsidP="00B50EE7">
      <w:pPr>
        <w:pStyle w:val="Caption"/>
        <w:rPr>
          <w:lang w:eastAsia="en-AU"/>
        </w:rPr>
      </w:pPr>
      <w:bookmarkStart w:id="28" w:name="_Ref202353700"/>
      <w:r w:rsidRPr="00602824">
        <w:t xml:space="preserve">Figure </w:t>
      </w:r>
      <w:r w:rsidR="005539DD">
        <w:fldChar w:fldCharType="begin"/>
      </w:r>
      <w:r w:rsidR="005539DD">
        <w:instrText xml:space="preserve"> SEQ Figure \* ARABIC </w:instrText>
      </w:r>
      <w:r w:rsidR="005539DD">
        <w:fldChar w:fldCharType="separate"/>
      </w:r>
      <w:r w:rsidR="0092693A">
        <w:rPr>
          <w:noProof/>
        </w:rPr>
        <w:t>10</w:t>
      </w:r>
      <w:r w:rsidR="005539DD">
        <w:fldChar w:fldCharType="end"/>
      </w:r>
      <w:bookmarkEnd w:id="28"/>
      <w:r w:rsidRPr="00602824">
        <w:t xml:space="preserve"> | </w:t>
      </w:r>
      <w:r w:rsidR="00D8424B" w:rsidRPr="00602824">
        <w:t>Prevalence of gap payments greater than $1</w:t>
      </w:r>
    </w:p>
    <w:p w14:paraId="24769787" w14:textId="49F67FD5" w:rsidR="0027668A" w:rsidRPr="00602824" w:rsidRDefault="00D8424B" w:rsidP="004440B3">
      <w:pPr>
        <w:spacing w:after="240"/>
        <w:rPr>
          <w:lang w:eastAsia="en-AU"/>
        </w:rPr>
      </w:pPr>
      <w:r w:rsidRPr="00AC7E3F">
        <w:rPr>
          <w:noProof/>
          <w:lang w:eastAsia="en-AU"/>
        </w:rPr>
        <w:drawing>
          <wp:inline distT="0" distB="0" distL="0" distR="0" wp14:anchorId="1092FA6E" wp14:editId="190D9068">
            <wp:extent cx="5832000" cy="2643720"/>
            <wp:effectExtent l="0" t="0" r="0" b="4445"/>
            <wp:docPr id="866948650" name="Picture 1" descr="Chart showing low prevalence (&lt;1%) of PL items with consumer gap payments ove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948650" name="Picture 1" descr="Chart showing low prevalence (&lt;1%) of PL items with consumer gap payments over $1."/>
                    <pic:cNvPicPr/>
                  </pic:nvPicPr>
                  <pic:blipFill>
                    <a:blip r:embed="rId32"/>
                    <a:stretch>
                      <a:fillRect/>
                    </a:stretch>
                  </pic:blipFill>
                  <pic:spPr>
                    <a:xfrm>
                      <a:off x="0" y="0"/>
                      <a:ext cx="5832000" cy="2643720"/>
                    </a:xfrm>
                    <a:prstGeom prst="rect">
                      <a:avLst/>
                    </a:prstGeom>
                  </pic:spPr>
                </pic:pic>
              </a:graphicData>
            </a:graphic>
          </wp:inline>
        </w:drawing>
      </w:r>
    </w:p>
    <w:p w14:paraId="7D43C140" w14:textId="4375A20E" w:rsidR="00A351ED" w:rsidRPr="00602824" w:rsidRDefault="00A351ED" w:rsidP="00FB712C">
      <w:pPr>
        <w:spacing w:before="240"/>
        <w:rPr>
          <w:lang w:eastAsia="en-AU"/>
        </w:rPr>
      </w:pPr>
      <w:r w:rsidRPr="00602824">
        <w:rPr>
          <w:lang w:eastAsia="en-AU"/>
        </w:rPr>
        <w:t xml:space="preserve">Feedback from consumer representatives and clinicians did not raise any concerns about increased out-of-pocket costs. The evaluation also sought input from the </w:t>
      </w:r>
      <w:r w:rsidR="000E6439" w:rsidRPr="00602824">
        <w:rPr>
          <w:lang w:eastAsia="en-AU"/>
        </w:rPr>
        <w:t>Office of the</w:t>
      </w:r>
      <w:r w:rsidRPr="00602824">
        <w:rPr>
          <w:lang w:eastAsia="en-AU"/>
        </w:rPr>
        <w:t xml:space="preserve"> Commonwealth Ombudsman, who confirmed it had not observed any systemic trends of concern. Between July 2022 and May 2024, the Ombudsman received 35 complaints related to </w:t>
      </w:r>
      <w:r w:rsidR="0048319C" w:rsidRPr="00602824">
        <w:rPr>
          <w:lang w:eastAsia="en-AU"/>
        </w:rPr>
        <w:t xml:space="preserve">PL items </w:t>
      </w:r>
      <w:r w:rsidRPr="00602824">
        <w:rPr>
          <w:lang w:eastAsia="en-AU"/>
        </w:rPr>
        <w:t>– accounting for less than 1% of all PHI-related complaints</w:t>
      </w:r>
      <w:r w:rsidR="0016688B" w:rsidRPr="00602824">
        <w:rPr>
          <w:lang w:eastAsia="en-AU"/>
        </w:rPr>
        <w:t xml:space="preserve"> received in this period</w:t>
      </w:r>
      <w:r w:rsidRPr="00602824">
        <w:rPr>
          <w:lang w:eastAsia="en-AU"/>
        </w:rPr>
        <w:t>. These complaints mostly involved unexpected costs incurred by private hospitals or privately insured consumers. Common issues included:</w:t>
      </w:r>
    </w:p>
    <w:p w14:paraId="2B611868" w14:textId="63062B2B" w:rsidR="00A351ED" w:rsidRPr="00602824" w:rsidRDefault="00A351ED" w:rsidP="00C43175">
      <w:pPr>
        <w:pStyle w:val="ListBullet"/>
      </w:pPr>
      <w:r w:rsidRPr="00602824">
        <w:t xml:space="preserve">Insulin pumps with manufacturer warranties (typically </w:t>
      </w:r>
      <w:r w:rsidR="005B41CA">
        <w:t>four</w:t>
      </w:r>
      <w:r w:rsidR="005B41CA" w:rsidRPr="00602824">
        <w:t xml:space="preserve"> </w:t>
      </w:r>
      <w:r w:rsidRPr="00602824">
        <w:t xml:space="preserve">years) shorter than the insurance replacement cycle (typically </w:t>
      </w:r>
      <w:r w:rsidR="00066079">
        <w:t>five</w:t>
      </w:r>
      <w:r w:rsidRPr="00602824">
        <w:t xml:space="preserve"> years)</w:t>
      </w:r>
    </w:p>
    <w:p w14:paraId="50998AF2" w14:textId="3448630C" w:rsidR="00A351ED" w:rsidRPr="00602824" w:rsidRDefault="00A351ED" w:rsidP="00C43175">
      <w:pPr>
        <w:pStyle w:val="ListBullet"/>
      </w:pPr>
      <w:r w:rsidRPr="00602824">
        <w:t>Partial coverage of custom-made prostheses</w:t>
      </w:r>
    </w:p>
    <w:p w14:paraId="3CB87298" w14:textId="12D6CA61" w:rsidR="00A351ED" w:rsidRPr="00602824" w:rsidRDefault="00A351ED" w:rsidP="00C43175">
      <w:pPr>
        <w:pStyle w:val="ListBullet"/>
      </w:pPr>
      <w:r w:rsidRPr="00602824">
        <w:t xml:space="preserve">Claim rejections for items with newly introduced conditions on use (e.g. surgical guides or </w:t>
      </w:r>
      <w:proofErr w:type="spellStart"/>
      <w:r w:rsidR="00163D22">
        <w:t>biomodels</w:t>
      </w:r>
      <w:proofErr w:type="spellEnd"/>
      <w:r w:rsidRPr="00602824">
        <w:t>).</w:t>
      </w:r>
    </w:p>
    <w:p w14:paraId="041DCE52" w14:textId="437B8644" w:rsidR="002E5322" w:rsidRPr="00602824" w:rsidRDefault="00D33C60" w:rsidP="002E5322">
      <w:pPr>
        <w:pStyle w:val="Heading4"/>
      </w:pPr>
      <w:r w:rsidRPr="00602824">
        <w:t>Gap payments average $2</w:t>
      </w:r>
      <w:r w:rsidR="00AD524E">
        <w:t>12</w:t>
      </w:r>
      <w:r w:rsidRPr="00602824">
        <w:t xml:space="preserve"> when they occur</w:t>
      </w:r>
    </w:p>
    <w:p w14:paraId="1C5389C2" w14:textId="4D2103D9" w:rsidR="004E2B6F" w:rsidRPr="00602824" w:rsidRDefault="002531F0" w:rsidP="002E5322">
      <w:pPr>
        <w:rPr>
          <w:lang w:eastAsia="en-AU"/>
        </w:rPr>
      </w:pPr>
      <w:r w:rsidRPr="00602824">
        <w:rPr>
          <w:lang w:eastAsia="en-AU"/>
        </w:rPr>
        <w:fldChar w:fldCharType="begin"/>
      </w:r>
      <w:r w:rsidRPr="00602824">
        <w:rPr>
          <w:lang w:eastAsia="en-AU"/>
        </w:rPr>
        <w:instrText xml:space="preserve"> REF _Ref202354415 \h </w:instrText>
      </w:r>
      <w:r w:rsidRPr="00602824">
        <w:rPr>
          <w:lang w:eastAsia="en-AU"/>
        </w:rPr>
      </w:r>
      <w:r w:rsidRPr="00602824">
        <w:rPr>
          <w:lang w:eastAsia="en-AU"/>
        </w:rPr>
        <w:fldChar w:fldCharType="separate"/>
      </w:r>
      <w:r w:rsidR="0092693A" w:rsidRPr="00602824">
        <w:t xml:space="preserve">Figure </w:t>
      </w:r>
      <w:r w:rsidR="0092693A">
        <w:rPr>
          <w:noProof/>
        </w:rPr>
        <w:t>11</w:t>
      </w:r>
      <w:r w:rsidRPr="00602824">
        <w:rPr>
          <w:lang w:eastAsia="en-AU"/>
        </w:rPr>
        <w:fldChar w:fldCharType="end"/>
      </w:r>
      <w:r w:rsidR="006E21B2" w:rsidRPr="00602824">
        <w:t xml:space="preserve"> </w:t>
      </w:r>
      <w:r w:rsidR="006E21B2" w:rsidRPr="00602824">
        <w:rPr>
          <w:lang w:eastAsia="en-AU"/>
        </w:rPr>
        <w:t xml:space="preserve">shows </w:t>
      </w:r>
      <w:r w:rsidR="00190892" w:rsidRPr="00602824">
        <w:rPr>
          <w:lang w:eastAsia="en-AU"/>
        </w:rPr>
        <w:t xml:space="preserve">that </w:t>
      </w:r>
      <w:r w:rsidR="004E2B6F" w:rsidRPr="00602824">
        <w:rPr>
          <w:lang w:eastAsia="en-AU"/>
        </w:rPr>
        <w:t xml:space="preserve">while gap payments remain rare, they are </w:t>
      </w:r>
      <w:r w:rsidR="0088535D" w:rsidRPr="00602824">
        <w:rPr>
          <w:lang w:eastAsia="en-AU"/>
        </w:rPr>
        <w:t>significant</w:t>
      </w:r>
      <w:r w:rsidR="004E2B6F" w:rsidRPr="00602824">
        <w:rPr>
          <w:lang w:eastAsia="en-AU"/>
        </w:rPr>
        <w:t xml:space="preserve"> in size when they do occur. In FY24, the average gap payment (where one is charged) was $2</w:t>
      </w:r>
      <w:r w:rsidR="00AD524E">
        <w:rPr>
          <w:lang w:eastAsia="en-AU"/>
        </w:rPr>
        <w:t>12</w:t>
      </w:r>
      <w:r w:rsidR="004E2B6F" w:rsidRPr="00602824">
        <w:rPr>
          <w:lang w:eastAsia="en-AU"/>
        </w:rPr>
        <w:t xml:space="preserve"> – equivalent to around 3</w:t>
      </w:r>
      <w:r w:rsidR="00E06C75">
        <w:rPr>
          <w:lang w:eastAsia="en-AU"/>
        </w:rPr>
        <w:t>3</w:t>
      </w:r>
      <w:r w:rsidR="004E2B6F" w:rsidRPr="00602824">
        <w:rPr>
          <w:lang w:eastAsia="en-AU"/>
        </w:rPr>
        <w:t>% of the item’s benefit.</w:t>
      </w:r>
      <w:r w:rsidR="00073ACD" w:rsidRPr="00602824">
        <w:rPr>
          <w:rStyle w:val="FootnoteReference"/>
          <w:lang w:eastAsia="en-AU"/>
        </w:rPr>
        <w:footnoteReference w:id="44"/>
      </w:r>
      <w:r w:rsidR="00073ACD" w:rsidRPr="00602824">
        <w:rPr>
          <w:lang w:eastAsia="en-AU"/>
        </w:rPr>
        <w:t xml:space="preserve"> </w:t>
      </w:r>
      <w:r w:rsidR="00073ACD" w:rsidRPr="00602824">
        <w:rPr>
          <w:lang w:eastAsia="en-AU"/>
        </w:rPr>
        <w:fldChar w:fldCharType="begin"/>
      </w:r>
      <w:r w:rsidR="00073ACD" w:rsidRPr="00602824">
        <w:rPr>
          <w:lang w:eastAsia="en-AU"/>
        </w:rPr>
        <w:instrText xml:space="preserve"> REF _Ref202360874 \h </w:instrText>
      </w:r>
      <w:r w:rsidR="00073ACD" w:rsidRPr="00602824">
        <w:rPr>
          <w:lang w:eastAsia="en-AU"/>
        </w:rPr>
      </w:r>
      <w:r w:rsidR="00073ACD" w:rsidRPr="00602824">
        <w:rPr>
          <w:lang w:eastAsia="en-AU"/>
        </w:rPr>
        <w:fldChar w:fldCharType="separate"/>
      </w:r>
      <w:r w:rsidR="0092693A" w:rsidRPr="004A357C">
        <w:t xml:space="preserve">Table </w:t>
      </w:r>
      <w:r w:rsidR="0092693A">
        <w:rPr>
          <w:noProof/>
        </w:rPr>
        <w:t>14</w:t>
      </w:r>
      <w:r w:rsidR="00073ACD" w:rsidRPr="00602824">
        <w:rPr>
          <w:lang w:eastAsia="en-AU"/>
        </w:rPr>
        <w:fldChar w:fldCharType="end"/>
      </w:r>
      <w:r w:rsidR="00073ACD" w:rsidRPr="00602824">
        <w:rPr>
          <w:lang w:eastAsia="en-AU"/>
        </w:rPr>
        <w:t xml:space="preserve"> (Appendix </w:t>
      </w:r>
      <w:r w:rsidR="00073ACD" w:rsidRPr="00602824">
        <w:rPr>
          <w:lang w:eastAsia="en-AU"/>
        </w:rPr>
        <w:fldChar w:fldCharType="begin"/>
      </w:r>
      <w:r w:rsidR="00073ACD" w:rsidRPr="00602824">
        <w:rPr>
          <w:lang w:eastAsia="en-AU"/>
        </w:rPr>
        <w:instrText xml:space="preserve"> REF _Ref202353872 \r \h </w:instrText>
      </w:r>
      <w:r w:rsidR="00073ACD" w:rsidRPr="00602824">
        <w:rPr>
          <w:lang w:eastAsia="en-AU"/>
        </w:rPr>
      </w:r>
      <w:r w:rsidR="00073ACD" w:rsidRPr="00602824">
        <w:rPr>
          <w:lang w:eastAsia="en-AU"/>
        </w:rPr>
        <w:fldChar w:fldCharType="separate"/>
      </w:r>
      <w:r w:rsidR="0092693A">
        <w:rPr>
          <w:lang w:eastAsia="en-AU"/>
        </w:rPr>
        <w:t>C.3</w:t>
      </w:r>
      <w:r w:rsidR="00073ACD" w:rsidRPr="00602824">
        <w:rPr>
          <w:lang w:eastAsia="en-AU"/>
        </w:rPr>
        <w:fldChar w:fldCharType="end"/>
      </w:r>
      <w:r w:rsidR="00073ACD" w:rsidRPr="00602824">
        <w:rPr>
          <w:lang w:eastAsia="en-AU"/>
        </w:rPr>
        <w:t xml:space="preserve">) </w:t>
      </w:r>
      <w:r w:rsidR="003216BC" w:rsidRPr="00602824">
        <w:rPr>
          <w:lang w:eastAsia="en-AU"/>
        </w:rPr>
        <w:t>shows significant variability across Part A categories. For example, in the Plastic and Reconstructive category, the average gap payment exceeds 200% of the associated PL benefit.</w:t>
      </w:r>
      <w:r w:rsidR="0088535D" w:rsidRPr="00602824">
        <w:rPr>
          <w:lang w:eastAsia="en-AU"/>
        </w:rPr>
        <w:t xml:space="preserve"> </w:t>
      </w:r>
    </w:p>
    <w:p w14:paraId="690D747A" w14:textId="5988EB0A" w:rsidR="00B7478D" w:rsidRPr="00602824" w:rsidRDefault="00493CF4" w:rsidP="002E5322">
      <w:pPr>
        <w:rPr>
          <w:lang w:eastAsia="en-AU"/>
        </w:rPr>
      </w:pPr>
      <w:r w:rsidRPr="00602824">
        <w:rPr>
          <w:lang w:eastAsia="en-AU"/>
        </w:rPr>
        <w:t>The FY24</w:t>
      </w:r>
      <w:r w:rsidR="00A81451" w:rsidRPr="00602824">
        <w:rPr>
          <w:lang w:eastAsia="en-AU"/>
        </w:rPr>
        <w:t xml:space="preserve"> </w:t>
      </w:r>
      <w:r w:rsidR="00F31761" w:rsidRPr="00602824">
        <w:rPr>
          <w:lang w:eastAsia="en-AU"/>
        </w:rPr>
        <w:t>average</w:t>
      </w:r>
      <w:r w:rsidR="00A81451" w:rsidRPr="00602824">
        <w:rPr>
          <w:lang w:eastAsia="en-AU"/>
        </w:rPr>
        <w:t xml:space="preserve"> </w:t>
      </w:r>
      <w:r w:rsidR="004B454C" w:rsidRPr="00602824">
        <w:rPr>
          <w:lang w:eastAsia="en-AU"/>
        </w:rPr>
        <w:t>represents a sharp</w:t>
      </w:r>
      <w:r w:rsidR="00D23301" w:rsidRPr="00602824">
        <w:rPr>
          <w:lang w:eastAsia="en-AU"/>
        </w:rPr>
        <w:t xml:space="preserve"> increase from FY23</w:t>
      </w:r>
      <w:r w:rsidR="004B454C" w:rsidRPr="00602824">
        <w:rPr>
          <w:lang w:eastAsia="en-AU"/>
        </w:rPr>
        <w:t>, though it is</w:t>
      </w:r>
      <w:r w:rsidR="00402BB0">
        <w:rPr>
          <w:lang w:eastAsia="en-AU"/>
        </w:rPr>
        <w:t xml:space="preserve"> lower than F</w:t>
      </w:r>
      <w:r w:rsidR="00F40959">
        <w:rPr>
          <w:lang w:eastAsia="en-AU"/>
        </w:rPr>
        <w:t>Y21 and FY22 and</w:t>
      </w:r>
      <w:r w:rsidR="004B454C" w:rsidRPr="00602824">
        <w:rPr>
          <w:lang w:eastAsia="en-AU"/>
        </w:rPr>
        <w:t xml:space="preserve"> broadly in line with</w:t>
      </w:r>
      <w:r w:rsidR="001C52C8" w:rsidRPr="00602824">
        <w:rPr>
          <w:lang w:eastAsia="en-AU"/>
        </w:rPr>
        <w:t xml:space="preserve"> </w:t>
      </w:r>
      <w:r w:rsidR="00A716FA" w:rsidRPr="00602824">
        <w:rPr>
          <w:lang w:eastAsia="en-AU"/>
        </w:rPr>
        <w:t>historical norms</w:t>
      </w:r>
      <w:r w:rsidR="004B454C" w:rsidRPr="00602824">
        <w:rPr>
          <w:lang w:eastAsia="en-AU"/>
        </w:rPr>
        <w:t xml:space="preserve">. </w:t>
      </w:r>
      <w:r w:rsidR="00F40959">
        <w:rPr>
          <w:lang w:eastAsia="en-AU"/>
        </w:rPr>
        <w:t>Moreove</w:t>
      </w:r>
      <w:r w:rsidR="004B454C" w:rsidRPr="00602824">
        <w:rPr>
          <w:lang w:eastAsia="en-AU"/>
        </w:rPr>
        <w:t xml:space="preserve">r, </w:t>
      </w:r>
      <w:r w:rsidR="00E228DA" w:rsidRPr="00602824">
        <w:rPr>
          <w:lang w:eastAsia="en-AU"/>
        </w:rPr>
        <w:t xml:space="preserve">given the </w:t>
      </w:r>
      <w:r w:rsidR="004B454C" w:rsidRPr="00602824">
        <w:rPr>
          <w:lang w:eastAsia="en-AU"/>
        </w:rPr>
        <w:t>very low</w:t>
      </w:r>
      <w:r w:rsidR="00E228DA" w:rsidRPr="00602824">
        <w:rPr>
          <w:lang w:eastAsia="en-AU"/>
        </w:rPr>
        <w:t xml:space="preserve"> incidence of gap payments </w:t>
      </w:r>
      <w:r w:rsidR="004B454C" w:rsidRPr="00602824">
        <w:rPr>
          <w:lang w:eastAsia="en-AU"/>
        </w:rPr>
        <w:t xml:space="preserve">over </w:t>
      </w:r>
      <w:r w:rsidR="00E228DA" w:rsidRPr="00602824">
        <w:rPr>
          <w:lang w:eastAsia="en-AU"/>
        </w:rPr>
        <w:t xml:space="preserve">$1, a high degree of </w:t>
      </w:r>
      <w:r w:rsidR="004B454C" w:rsidRPr="00602824">
        <w:rPr>
          <w:lang w:eastAsia="en-AU"/>
        </w:rPr>
        <w:t xml:space="preserve">year-to-year </w:t>
      </w:r>
      <w:r w:rsidR="00E228DA" w:rsidRPr="00602824">
        <w:rPr>
          <w:lang w:eastAsia="en-AU"/>
        </w:rPr>
        <w:t>variability is expected.</w:t>
      </w:r>
      <w:r w:rsidR="00760B42" w:rsidRPr="00602824">
        <w:rPr>
          <w:lang w:eastAsia="en-AU"/>
        </w:rPr>
        <w:t xml:space="preserve"> As outlined in </w:t>
      </w:r>
      <w:r w:rsidR="000377F0">
        <w:rPr>
          <w:lang w:eastAsia="en-AU"/>
        </w:rPr>
        <w:t>Section</w:t>
      </w:r>
      <w:r w:rsidR="000377F0" w:rsidRPr="00602824">
        <w:rPr>
          <w:lang w:eastAsia="en-AU"/>
        </w:rPr>
        <w:t xml:space="preserve"> </w:t>
      </w:r>
      <w:r w:rsidR="00760B42" w:rsidRPr="00602824">
        <w:rPr>
          <w:lang w:eastAsia="en-AU"/>
        </w:rPr>
        <w:t xml:space="preserve">2.4.1 of the </w:t>
      </w:r>
      <w:r w:rsidR="00760B42" w:rsidRPr="00602824">
        <w:rPr>
          <w:i/>
          <w:iCs/>
          <w:lang w:eastAsia="en-AU"/>
        </w:rPr>
        <w:t>Interim Evaluation #1 report</w:t>
      </w:r>
      <w:r w:rsidR="00760B42" w:rsidRPr="00602824">
        <w:rPr>
          <w:lang w:eastAsia="en-AU"/>
        </w:rPr>
        <w:t>, there is no clear evidence that links these changes to the PL reforms.</w:t>
      </w:r>
    </w:p>
    <w:p w14:paraId="031945E2" w14:textId="61B52C27" w:rsidR="00601D24" w:rsidRPr="00602824" w:rsidRDefault="00175D0B" w:rsidP="00B50EE7">
      <w:pPr>
        <w:pStyle w:val="Caption"/>
      </w:pPr>
      <w:bookmarkStart w:id="29" w:name="_Ref202354415"/>
      <w:r w:rsidRPr="00602824">
        <w:t xml:space="preserve">Figure </w:t>
      </w:r>
      <w:r w:rsidR="005539DD">
        <w:fldChar w:fldCharType="begin"/>
      </w:r>
      <w:r w:rsidR="005539DD">
        <w:instrText xml:space="preserve"> SEQ Figure \* ARABIC </w:instrText>
      </w:r>
      <w:r w:rsidR="005539DD">
        <w:fldChar w:fldCharType="separate"/>
      </w:r>
      <w:r w:rsidR="0092693A">
        <w:rPr>
          <w:noProof/>
        </w:rPr>
        <w:t>11</w:t>
      </w:r>
      <w:r w:rsidR="005539DD">
        <w:fldChar w:fldCharType="end"/>
      </w:r>
      <w:bookmarkEnd w:id="29"/>
      <w:r w:rsidRPr="00602824">
        <w:t xml:space="preserve"> | Average gap payment when gap payment is greater than $1</w:t>
      </w:r>
    </w:p>
    <w:p w14:paraId="25E97909" w14:textId="27EBCE4A" w:rsidR="00175D0B" w:rsidRPr="00602824" w:rsidRDefault="005766F7" w:rsidP="00175D0B">
      <w:r w:rsidRPr="005766F7">
        <w:rPr>
          <w:noProof/>
        </w:rPr>
        <w:drawing>
          <wp:inline distT="0" distB="0" distL="0" distR="0" wp14:anchorId="1C55BEEF" wp14:editId="70D5D5D3">
            <wp:extent cx="5832000" cy="2636648"/>
            <wp:effectExtent l="0" t="0" r="0" b="0"/>
            <wp:docPr id="763673085" name="Picture 1" descr="Chart showing average consumer gap payment when it occurs, with average of $212 in FY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673085" name="Picture 1" descr="Chart showing average consumer gap payment when it occurs, with average of $212 in FY24."/>
                    <pic:cNvPicPr/>
                  </pic:nvPicPr>
                  <pic:blipFill>
                    <a:blip r:embed="rId33"/>
                    <a:stretch>
                      <a:fillRect/>
                    </a:stretch>
                  </pic:blipFill>
                  <pic:spPr>
                    <a:xfrm>
                      <a:off x="0" y="0"/>
                      <a:ext cx="5832000" cy="2636648"/>
                    </a:xfrm>
                    <a:prstGeom prst="rect">
                      <a:avLst/>
                    </a:prstGeom>
                  </pic:spPr>
                </pic:pic>
              </a:graphicData>
            </a:graphic>
          </wp:inline>
        </w:drawing>
      </w:r>
    </w:p>
    <w:p w14:paraId="175B5987" w14:textId="77777777" w:rsidR="00AA73D6" w:rsidRDefault="00691AE5" w:rsidP="00E6272B">
      <w:pPr>
        <w:pStyle w:val="Heading4"/>
      </w:pPr>
      <w:r>
        <w:t xml:space="preserve">Feedback from stakeholders </w:t>
      </w:r>
      <w:r w:rsidR="00AA73D6">
        <w:t>did not point to significant impact on patient out-of-pocket costs</w:t>
      </w:r>
    </w:p>
    <w:p w14:paraId="74A35F85" w14:textId="77777777" w:rsidR="0046266C" w:rsidRPr="00A96177" w:rsidRDefault="00915F32" w:rsidP="0046266C">
      <w:pPr>
        <w:rPr>
          <w:lang w:eastAsia="en-AU"/>
        </w:rPr>
      </w:pPr>
      <w:r>
        <w:rPr>
          <w:lang w:eastAsia="en-AU"/>
        </w:rPr>
        <w:t xml:space="preserve">There was a broad consensus among stakeholders that the reforms had not </w:t>
      </w:r>
      <w:r w:rsidR="008D6B60">
        <w:rPr>
          <w:lang w:eastAsia="en-AU"/>
        </w:rPr>
        <w:t xml:space="preserve">directly led to increased out-of-pocket costs to consumers. </w:t>
      </w:r>
      <w:r w:rsidR="0064057D">
        <w:rPr>
          <w:lang w:eastAsia="en-AU"/>
        </w:rPr>
        <w:t>C</w:t>
      </w:r>
      <w:r w:rsidR="0064057D" w:rsidRPr="00A96177">
        <w:rPr>
          <w:lang w:eastAsia="en-AU"/>
        </w:rPr>
        <w:t>linicians generally reported no awareness of widespread increases in patient out</w:t>
      </w:r>
      <w:r w:rsidR="0064057D" w:rsidRPr="00A96177">
        <w:rPr>
          <w:lang w:eastAsia="en-AU"/>
        </w:rPr>
        <w:noBreakHyphen/>
        <w:t>of</w:t>
      </w:r>
      <w:r w:rsidR="0064057D" w:rsidRPr="00A96177">
        <w:rPr>
          <w:lang w:eastAsia="en-AU"/>
        </w:rPr>
        <w:noBreakHyphen/>
        <w:t>pocket costs or changes in clinical outcomes, although some observed reduced access to ancillary supports (e.g. free customised models).</w:t>
      </w:r>
      <w:r>
        <w:rPr>
          <w:lang w:eastAsia="en-AU"/>
        </w:rPr>
        <w:t xml:space="preserve"> </w:t>
      </w:r>
      <w:r w:rsidR="0046266C" w:rsidRPr="00A96177">
        <w:rPr>
          <w:lang w:eastAsia="en-AU"/>
        </w:rPr>
        <w:t>Some hospital stakeholders reported higher patient gap payments, particularly for high</w:t>
      </w:r>
      <w:r w:rsidR="0046266C" w:rsidRPr="00A96177">
        <w:rPr>
          <w:lang w:eastAsia="en-AU"/>
        </w:rPr>
        <w:noBreakHyphen/>
        <w:t xml:space="preserve">cost devices such as cochlear implants and neurostimulators, which they viewed as undermining affordability. </w:t>
      </w:r>
    </w:p>
    <w:p w14:paraId="596599D8" w14:textId="3A945E1D" w:rsidR="00AB2536" w:rsidRPr="00A96177" w:rsidRDefault="00AD060F" w:rsidP="00AB2536">
      <w:pPr>
        <w:rPr>
          <w:lang w:eastAsia="en-AU"/>
        </w:rPr>
      </w:pPr>
      <w:r>
        <w:rPr>
          <w:lang w:eastAsia="en-AU"/>
        </w:rPr>
        <w:t>MedTech rep</w:t>
      </w:r>
      <w:r w:rsidR="00AB2536">
        <w:rPr>
          <w:lang w:eastAsia="en-AU"/>
        </w:rPr>
        <w:t xml:space="preserve">resentatives were of the view </w:t>
      </w:r>
      <w:r w:rsidR="00AB2536" w:rsidRPr="00A96177">
        <w:rPr>
          <w:lang w:eastAsia="en-AU"/>
        </w:rPr>
        <w:t xml:space="preserve">that benefit reductions alone </w:t>
      </w:r>
      <w:r w:rsidR="00AB2536">
        <w:rPr>
          <w:lang w:eastAsia="en-AU"/>
        </w:rPr>
        <w:t>did</w:t>
      </w:r>
      <w:r w:rsidR="00AB2536" w:rsidRPr="00A96177">
        <w:rPr>
          <w:lang w:eastAsia="en-AU"/>
        </w:rPr>
        <w:t xml:space="preserve"> not </w:t>
      </w:r>
      <w:r w:rsidR="0064057D">
        <w:rPr>
          <w:lang w:eastAsia="en-AU"/>
        </w:rPr>
        <w:t>have</w:t>
      </w:r>
      <w:r w:rsidR="00AB2536" w:rsidRPr="00A96177">
        <w:rPr>
          <w:lang w:eastAsia="en-AU"/>
        </w:rPr>
        <w:t xml:space="preserve"> a material impact on out</w:t>
      </w:r>
      <w:r w:rsidR="00AB2536" w:rsidRPr="00A96177">
        <w:rPr>
          <w:lang w:eastAsia="en-AU"/>
        </w:rPr>
        <w:noBreakHyphen/>
        <w:t>of</w:t>
      </w:r>
      <w:r w:rsidR="00AB2536" w:rsidRPr="00A96177">
        <w:rPr>
          <w:lang w:eastAsia="en-AU"/>
        </w:rPr>
        <w:noBreakHyphen/>
        <w:t xml:space="preserve">pocket costs for existing products, and that there </w:t>
      </w:r>
      <w:r w:rsidR="008D6B60">
        <w:rPr>
          <w:lang w:eastAsia="en-AU"/>
        </w:rPr>
        <w:t>was</w:t>
      </w:r>
      <w:r w:rsidR="00AB2536" w:rsidRPr="00A96177">
        <w:rPr>
          <w:lang w:eastAsia="en-AU"/>
        </w:rPr>
        <w:t xml:space="preserve"> no systematic evidence of increased consumer charges attributable directly to the reforms. </w:t>
      </w:r>
    </w:p>
    <w:p w14:paraId="44F4568C" w14:textId="6984AF13" w:rsidR="00BF53CA" w:rsidRDefault="004C5CC4" w:rsidP="001F416D">
      <w:pPr>
        <w:pStyle w:val="Heading4"/>
      </w:pPr>
      <w:r>
        <w:t xml:space="preserve">Some </w:t>
      </w:r>
      <w:r w:rsidR="00BF53CA">
        <w:t xml:space="preserve">stakeholders </w:t>
      </w:r>
      <w:r w:rsidR="00497466">
        <w:t>expressed concerns</w:t>
      </w:r>
      <w:r w:rsidR="00DF0852">
        <w:t xml:space="preserve"> that the</w:t>
      </w:r>
      <w:r w:rsidR="004032C5">
        <w:t xml:space="preserve"> reforms have</w:t>
      </w:r>
      <w:r w:rsidR="00CC47D5">
        <w:t xml:space="preserve"> </w:t>
      </w:r>
      <w:r w:rsidR="008B2958">
        <w:t>inadvertently</w:t>
      </w:r>
      <w:r w:rsidR="004032C5">
        <w:t xml:space="preserve"> led, or may lead, to indirect out-of-pocket costs for consumers</w:t>
      </w:r>
    </w:p>
    <w:p w14:paraId="228CC565" w14:textId="769475F7" w:rsidR="00C40DAE" w:rsidRDefault="009A1CDD" w:rsidP="00C40DAE">
      <w:pPr>
        <w:rPr>
          <w:lang w:eastAsia="en-AU"/>
        </w:rPr>
      </w:pPr>
      <w:r w:rsidRPr="009A1CDD">
        <w:t xml:space="preserve">Hospitals and some clinicians raised concerns </w:t>
      </w:r>
      <w:r w:rsidR="00356B05">
        <w:t>that</w:t>
      </w:r>
      <w:r w:rsidRPr="009A1CDD">
        <w:t xml:space="preserve"> price </w:t>
      </w:r>
      <w:r w:rsidR="00356B05">
        <w:t>‘</w:t>
      </w:r>
      <w:r w:rsidRPr="009A1CDD">
        <w:t>misalignment</w:t>
      </w:r>
      <w:r w:rsidR="00356B05">
        <w:t>’</w:t>
      </w:r>
      <w:r w:rsidRPr="009A1CDD">
        <w:t xml:space="preserve"> and emerging cost</w:t>
      </w:r>
      <w:r w:rsidRPr="009A1CDD">
        <w:noBreakHyphen/>
        <w:t xml:space="preserve">shifting </w:t>
      </w:r>
      <w:r w:rsidR="00502EDF">
        <w:t xml:space="preserve">creates financial pressure and </w:t>
      </w:r>
      <w:r w:rsidR="00E756A3">
        <w:t xml:space="preserve">may </w:t>
      </w:r>
      <w:r w:rsidR="000A6056">
        <w:t xml:space="preserve">indirectly </w:t>
      </w:r>
      <w:r w:rsidR="000F2538">
        <w:t xml:space="preserve">lead to </w:t>
      </w:r>
      <w:r w:rsidR="00502EDF">
        <w:t xml:space="preserve">impacts on patients. </w:t>
      </w:r>
      <w:r w:rsidR="00C40DAE" w:rsidRPr="00C40DAE">
        <w:rPr>
          <w:lang w:eastAsia="en-AU"/>
        </w:rPr>
        <w:t xml:space="preserve">Private hospital </w:t>
      </w:r>
      <w:r w:rsidR="00404ADB">
        <w:rPr>
          <w:lang w:eastAsia="en-AU"/>
        </w:rPr>
        <w:t>representatives</w:t>
      </w:r>
      <w:r w:rsidR="00C40DAE" w:rsidRPr="00C40DAE">
        <w:rPr>
          <w:lang w:eastAsia="en-AU"/>
        </w:rPr>
        <w:t xml:space="preserve"> reported instances where </w:t>
      </w:r>
      <w:r w:rsidR="00404ADB">
        <w:rPr>
          <w:lang w:eastAsia="en-AU"/>
        </w:rPr>
        <w:t xml:space="preserve">the prices charged by device </w:t>
      </w:r>
      <w:r w:rsidR="00E15CDF">
        <w:rPr>
          <w:lang w:eastAsia="en-AU"/>
        </w:rPr>
        <w:t>suppliers</w:t>
      </w:r>
      <w:r w:rsidR="00C40DAE" w:rsidRPr="00C40DAE">
        <w:rPr>
          <w:lang w:eastAsia="en-AU"/>
        </w:rPr>
        <w:t xml:space="preserve"> exceeded PL benefits by approximately $2,000–$3,000, creating funding gaps not reimbursed by insurers. </w:t>
      </w:r>
      <w:r w:rsidR="00E15CDF">
        <w:rPr>
          <w:lang w:eastAsia="en-AU"/>
        </w:rPr>
        <w:t xml:space="preserve">As noted in Objective 1, </w:t>
      </w:r>
      <w:r w:rsidR="005A3776">
        <w:rPr>
          <w:lang w:eastAsia="en-AU"/>
        </w:rPr>
        <w:t>device suppliers are not mandated to charge the PL price</w:t>
      </w:r>
      <w:r w:rsidR="00423FAD">
        <w:rPr>
          <w:lang w:eastAsia="en-AU"/>
        </w:rPr>
        <w:t xml:space="preserve">. </w:t>
      </w:r>
      <w:r w:rsidR="00C40DAE" w:rsidRPr="00C40DAE">
        <w:rPr>
          <w:lang w:eastAsia="en-AU"/>
        </w:rPr>
        <w:t xml:space="preserve">Hospitals argued that absorbing these gaps is financially unsustainable, while passing them on to patients risks higher gap payments and undermines affordability of private health insurance. </w:t>
      </w:r>
    </w:p>
    <w:p w14:paraId="40F8709C" w14:textId="31D86178" w:rsidR="002F6B8F" w:rsidRPr="002F6B8F" w:rsidRDefault="00D02FF9" w:rsidP="002F6B8F">
      <w:pPr>
        <w:rPr>
          <w:lang w:eastAsia="en-AU"/>
        </w:rPr>
      </w:pPr>
      <w:r>
        <w:rPr>
          <w:lang w:eastAsia="en-AU"/>
        </w:rPr>
        <w:t>MedTech</w:t>
      </w:r>
      <w:r w:rsidR="002F6B8F" w:rsidRPr="002F6B8F">
        <w:rPr>
          <w:lang w:eastAsia="en-AU"/>
        </w:rPr>
        <w:t xml:space="preserve"> representatives </w:t>
      </w:r>
      <w:r w:rsidR="002F6B8F">
        <w:rPr>
          <w:lang w:eastAsia="en-AU"/>
        </w:rPr>
        <w:t>stated</w:t>
      </w:r>
      <w:r w:rsidR="002F6B8F" w:rsidRPr="002F6B8F">
        <w:rPr>
          <w:lang w:eastAsia="en-AU"/>
        </w:rPr>
        <w:t xml:space="preserve"> that invoicing above </w:t>
      </w:r>
      <w:r w:rsidR="00E24617">
        <w:rPr>
          <w:lang w:eastAsia="en-AU"/>
        </w:rPr>
        <w:t xml:space="preserve">the </w:t>
      </w:r>
      <w:r w:rsidR="002F6B8F" w:rsidRPr="002F6B8F">
        <w:rPr>
          <w:lang w:eastAsia="en-AU"/>
        </w:rPr>
        <w:t xml:space="preserve">PL benefits </w:t>
      </w:r>
      <w:r w:rsidR="00AD677F">
        <w:rPr>
          <w:lang w:eastAsia="en-AU"/>
        </w:rPr>
        <w:t>‘</w:t>
      </w:r>
      <w:r w:rsidR="002F6B8F" w:rsidRPr="002F6B8F">
        <w:rPr>
          <w:lang w:eastAsia="en-AU"/>
        </w:rPr>
        <w:t>reflects a structural mismatch</w:t>
      </w:r>
      <w:r w:rsidR="00AD677F">
        <w:rPr>
          <w:lang w:eastAsia="en-AU"/>
        </w:rPr>
        <w:t>’</w:t>
      </w:r>
      <w:r w:rsidR="002F6B8F" w:rsidRPr="002F6B8F">
        <w:rPr>
          <w:lang w:eastAsia="en-AU"/>
        </w:rPr>
        <w:t xml:space="preserve"> between </w:t>
      </w:r>
      <w:r w:rsidR="002F6B8F">
        <w:rPr>
          <w:lang w:eastAsia="en-AU"/>
        </w:rPr>
        <w:t xml:space="preserve">the PL </w:t>
      </w:r>
      <w:r w:rsidR="002F6B8F" w:rsidRPr="002F6B8F">
        <w:rPr>
          <w:lang w:eastAsia="en-AU"/>
        </w:rPr>
        <w:t xml:space="preserve">reimbursement and the genuine costs of supplying devices and associated services in the private sector, </w:t>
      </w:r>
      <w:r w:rsidR="00CB4204" w:rsidRPr="00CB4204">
        <w:rPr>
          <w:lang w:eastAsia="en-AU"/>
        </w:rPr>
        <w:t>such as higher per</w:t>
      </w:r>
      <w:r w:rsidR="00CB4204" w:rsidRPr="00CB4204">
        <w:rPr>
          <w:lang w:eastAsia="en-AU"/>
        </w:rPr>
        <w:noBreakHyphen/>
        <w:t>unit costs associated with lower and less predictable volumes</w:t>
      </w:r>
      <w:r w:rsidR="00E01A37">
        <w:rPr>
          <w:lang w:eastAsia="en-AU"/>
        </w:rPr>
        <w:t xml:space="preserve"> than in the public sector</w:t>
      </w:r>
      <w:r w:rsidR="00CB4204" w:rsidRPr="00CB4204">
        <w:rPr>
          <w:lang w:eastAsia="en-AU"/>
        </w:rPr>
        <w:t xml:space="preserve">. </w:t>
      </w:r>
      <w:r w:rsidR="002F6B8F" w:rsidRPr="002F6B8F">
        <w:rPr>
          <w:lang w:eastAsia="en-AU"/>
        </w:rPr>
        <w:t xml:space="preserve">Hospital stakeholders </w:t>
      </w:r>
      <w:r w:rsidR="00CB4204" w:rsidRPr="00CB4204">
        <w:rPr>
          <w:lang w:eastAsia="en-AU"/>
        </w:rPr>
        <w:t>cautioned</w:t>
      </w:r>
      <w:r w:rsidR="002F6B8F" w:rsidRPr="002F6B8F">
        <w:rPr>
          <w:lang w:eastAsia="en-AU"/>
        </w:rPr>
        <w:t xml:space="preserve"> that this </w:t>
      </w:r>
      <w:r w:rsidR="00FF4334">
        <w:rPr>
          <w:lang w:eastAsia="en-AU"/>
        </w:rPr>
        <w:t>‘</w:t>
      </w:r>
      <w:r w:rsidR="002F6B8F" w:rsidRPr="002F6B8F">
        <w:rPr>
          <w:lang w:eastAsia="en-AU"/>
        </w:rPr>
        <w:t>misalignment</w:t>
      </w:r>
      <w:r w:rsidR="00FF4334">
        <w:rPr>
          <w:lang w:eastAsia="en-AU"/>
        </w:rPr>
        <w:t>’</w:t>
      </w:r>
      <w:r w:rsidR="002F6B8F" w:rsidRPr="002F6B8F">
        <w:rPr>
          <w:lang w:eastAsia="en-AU"/>
        </w:rPr>
        <w:t xml:space="preserve"> shifts financial risk onto </w:t>
      </w:r>
      <w:r w:rsidR="00CB4204" w:rsidRPr="00CB4204">
        <w:rPr>
          <w:lang w:eastAsia="en-AU"/>
        </w:rPr>
        <w:t xml:space="preserve">health care </w:t>
      </w:r>
      <w:r w:rsidR="002F6B8F" w:rsidRPr="002F6B8F">
        <w:rPr>
          <w:lang w:eastAsia="en-AU"/>
        </w:rPr>
        <w:t>providers and creates a downstream risk to patients where hospitals cannot continue to absorb the resulting funding gap.</w:t>
      </w:r>
    </w:p>
    <w:p w14:paraId="1DB5C49B" w14:textId="223D6E0E" w:rsidR="008509F6" w:rsidRDefault="008509F6" w:rsidP="008509F6">
      <w:pPr>
        <w:pStyle w:val="Heading4"/>
      </w:pPr>
      <w:r w:rsidRPr="008509F6">
        <w:t>Hospitals and clinicians have identified emerging cost</w:t>
      </w:r>
      <w:r w:rsidRPr="008509F6">
        <w:noBreakHyphen/>
        <w:t>shifting behaviours</w:t>
      </w:r>
    </w:p>
    <w:p w14:paraId="113E0FB8" w14:textId="485F9D67" w:rsidR="007A6747" w:rsidRPr="00A53C36" w:rsidRDefault="007A6747" w:rsidP="00A53C36">
      <w:pPr>
        <w:rPr>
          <w:lang w:eastAsia="en-AU"/>
        </w:rPr>
      </w:pPr>
      <w:r w:rsidRPr="00A53C36">
        <w:rPr>
          <w:lang w:eastAsia="en-AU"/>
        </w:rPr>
        <w:t xml:space="preserve">Hospital stakeholders reported that some </w:t>
      </w:r>
      <w:r w:rsidR="00097031">
        <w:rPr>
          <w:lang w:eastAsia="en-AU"/>
        </w:rPr>
        <w:t>device sponsors</w:t>
      </w:r>
      <w:r w:rsidRPr="00A53C36">
        <w:rPr>
          <w:lang w:eastAsia="en-AU"/>
        </w:rPr>
        <w:t xml:space="preserve"> have begun unbundling services and consumables that were previously included with devices, resulting in additional charges to hospitals. Examples cited include separate fees for planning services, consumables, or customised items that were previously supplied at no cost. Hospitals and clinicians also noted reduced sponsor willingness to provide individualised items (e.g. 3D</w:t>
      </w:r>
      <w:r w:rsidRPr="00A53C36">
        <w:rPr>
          <w:lang w:eastAsia="en-AU"/>
        </w:rPr>
        <w:noBreakHyphen/>
        <w:t xml:space="preserve">printed models) free of charge, which they attributed to tighter margins following benefit reductions. </w:t>
      </w:r>
    </w:p>
    <w:p w14:paraId="3D1B8043" w14:textId="30075985" w:rsidR="00A53C36" w:rsidRPr="00A53C36" w:rsidRDefault="007A6747" w:rsidP="00A53C36">
      <w:pPr>
        <w:rPr>
          <w:lang w:eastAsia="en-AU"/>
        </w:rPr>
      </w:pPr>
      <w:r w:rsidRPr="00A53C36">
        <w:rPr>
          <w:lang w:eastAsia="en-AU"/>
        </w:rPr>
        <w:t xml:space="preserve">Medical technology representatives did not characterise these changes as cost shifting, instead describing them as commercial responses to sustained benefit reductions, increased costs of supply, and the absence of mechanisms to adjust benefits upward where costs rise. </w:t>
      </w:r>
    </w:p>
    <w:p w14:paraId="13FF4DAB" w14:textId="65D11DF9" w:rsidR="007A6747" w:rsidRPr="00A53C36" w:rsidRDefault="007A6747" w:rsidP="00A53C36">
      <w:pPr>
        <w:rPr>
          <w:lang w:eastAsia="en-AU"/>
        </w:rPr>
      </w:pPr>
      <w:r w:rsidRPr="00A53C36">
        <w:rPr>
          <w:lang w:eastAsia="en-AU"/>
        </w:rPr>
        <w:t>Hospitals also raised concerns about delayed insurer payments and reimbursement disputes, which exacerbate cash</w:t>
      </w:r>
      <w:r w:rsidRPr="00A53C36">
        <w:rPr>
          <w:lang w:eastAsia="en-AU"/>
        </w:rPr>
        <w:noBreakHyphen/>
        <w:t>flow pressures and may increase incentives for providers to seek alternative cost recovery approaches.</w:t>
      </w:r>
      <w:r w:rsidR="009241AE">
        <w:rPr>
          <w:lang w:eastAsia="en-AU"/>
        </w:rPr>
        <w:t xml:space="preserve"> </w:t>
      </w:r>
      <w:r w:rsidR="00073759">
        <w:t xml:space="preserve">MedTech </w:t>
      </w:r>
      <w:r w:rsidR="00D26978" w:rsidRPr="009A1CDD">
        <w:t>representatives generally argued that benefit reductions have not materially increased consumer costs for existing products, attributing pressures instead to broader system and insurer dynamics.</w:t>
      </w:r>
    </w:p>
    <w:p w14:paraId="6CD0E4A4" w14:textId="27AC4D54" w:rsidR="00A96177" w:rsidRDefault="00A96177" w:rsidP="00A96177">
      <w:pPr>
        <w:rPr>
          <w:lang w:eastAsia="en-AU"/>
        </w:rPr>
      </w:pPr>
      <w:r w:rsidRPr="00A96177">
        <w:rPr>
          <w:lang w:eastAsia="en-AU"/>
        </w:rPr>
        <w:t>While the evaluation has not identified clear evidence of widespread hospital</w:t>
      </w:r>
      <w:r w:rsidRPr="00A96177">
        <w:rPr>
          <w:lang w:eastAsia="en-AU"/>
        </w:rPr>
        <w:noBreakHyphen/>
        <w:t>driven cost shifting to patients, stakeholders across groups acknowledged that sustained margin pressure could present a future risk if unresolved.</w:t>
      </w:r>
    </w:p>
    <w:p w14:paraId="011BABC1" w14:textId="77777777" w:rsidR="006D4D32" w:rsidRPr="00602824" w:rsidRDefault="006D4D32" w:rsidP="006D4D32">
      <w:pPr>
        <w:pStyle w:val="Heading2"/>
      </w:pPr>
      <w:bookmarkStart w:id="30" w:name="_Ref159168037"/>
      <w:bookmarkStart w:id="31" w:name="_Toc164439317"/>
      <w:bookmarkStart w:id="32" w:name="_Toc181405080"/>
      <w:bookmarkStart w:id="33" w:name="_Toc237002805"/>
      <w:r w:rsidRPr="00602824">
        <w:t>Objective 3: Maintain clinician choice of appropriate prostheses for their patients</w:t>
      </w:r>
      <w:bookmarkEnd w:id="30"/>
      <w:bookmarkEnd w:id="31"/>
      <w:bookmarkEnd w:id="32"/>
      <w:bookmarkEnd w:id="33"/>
    </w:p>
    <w:p w14:paraId="1D98AEB5" w14:textId="7F7142D5" w:rsidR="006D4D32" w:rsidRPr="00602824" w:rsidRDefault="006D4D32" w:rsidP="006D4D32">
      <w:pPr>
        <w:rPr>
          <w:i/>
          <w:iCs/>
          <w:lang w:eastAsia="en-AU"/>
        </w:rPr>
      </w:pPr>
      <w:r w:rsidRPr="00602824">
        <w:rPr>
          <w:i/>
          <w:iCs/>
          <w:lang w:eastAsia="en-AU"/>
        </w:rPr>
        <w:t xml:space="preserve">This section focuses on examining any change in clinicians’ experience of </w:t>
      </w:r>
      <w:r w:rsidR="008A29A5" w:rsidRPr="00602824">
        <w:rPr>
          <w:i/>
          <w:iCs/>
          <w:lang w:eastAsia="en-AU"/>
        </w:rPr>
        <w:t xml:space="preserve">being able to </w:t>
      </w:r>
      <w:r w:rsidR="00866548" w:rsidRPr="00602824">
        <w:rPr>
          <w:i/>
          <w:iCs/>
          <w:lang w:eastAsia="en-AU"/>
        </w:rPr>
        <w:t>choose</w:t>
      </w:r>
      <w:r w:rsidR="00BA5F59" w:rsidRPr="00602824">
        <w:rPr>
          <w:i/>
          <w:iCs/>
          <w:lang w:eastAsia="en-AU"/>
        </w:rPr>
        <w:t xml:space="preserve"> </w:t>
      </w:r>
      <w:r w:rsidR="00EF6820" w:rsidRPr="00602824">
        <w:rPr>
          <w:i/>
          <w:iCs/>
          <w:lang w:eastAsia="en-AU"/>
        </w:rPr>
        <w:t>the</w:t>
      </w:r>
      <w:r w:rsidRPr="00602824">
        <w:rPr>
          <w:i/>
          <w:iCs/>
          <w:lang w:eastAsia="en-AU"/>
        </w:rPr>
        <w:t xml:space="preserve"> prostheses</w:t>
      </w:r>
      <w:r w:rsidR="00EF6820" w:rsidRPr="00602824">
        <w:rPr>
          <w:i/>
          <w:iCs/>
          <w:lang w:eastAsia="en-AU"/>
        </w:rPr>
        <w:t xml:space="preserve"> they wish to use</w:t>
      </w:r>
      <w:r w:rsidR="00F768B7" w:rsidRPr="00602824">
        <w:rPr>
          <w:i/>
          <w:iCs/>
          <w:lang w:eastAsia="en-AU"/>
        </w:rPr>
        <w:t>.</w:t>
      </w:r>
      <w:r w:rsidRPr="00602824">
        <w:rPr>
          <w:i/>
          <w:iCs/>
          <w:lang w:eastAsia="en-AU"/>
        </w:rPr>
        <w:t xml:space="preserve"> </w:t>
      </w:r>
      <w:r w:rsidRPr="00602824">
        <w:rPr>
          <w:i/>
          <w:lang w:eastAsia="en-AU"/>
        </w:rPr>
        <w:t xml:space="preserve">It also considers changes in the utilisation of PL items as a potential indicator for changes in clinician choice and </w:t>
      </w:r>
      <w:r w:rsidRPr="00602824">
        <w:rPr>
          <w:i/>
          <w:iCs/>
          <w:lang w:eastAsia="en-AU"/>
        </w:rPr>
        <w:t>consumer access.</w:t>
      </w:r>
    </w:p>
    <w:p w14:paraId="057313F3" w14:textId="460C9805" w:rsidR="006D4D32" w:rsidRPr="00602824" w:rsidRDefault="006D4D32" w:rsidP="00B50EE7">
      <w:pPr>
        <w:pStyle w:val="Caption"/>
        <w:rPr>
          <w:lang w:eastAsia="en-AU"/>
        </w:rPr>
      </w:pPr>
      <w:r w:rsidRPr="00602824">
        <w:t xml:space="preserve">Figure </w:t>
      </w:r>
      <w:r w:rsidR="005539DD">
        <w:fldChar w:fldCharType="begin"/>
      </w:r>
      <w:r w:rsidR="005539DD">
        <w:instrText xml:space="preserve"> SEQ Figure \* ARABIC </w:instrText>
      </w:r>
      <w:r w:rsidR="005539DD">
        <w:fldChar w:fldCharType="separate"/>
      </w:r>
      <w:r w:rsidR="0092693A">
        <w:rPr>
          <w:noProof/>
        </w:rPr>
        <w:t>12</w:t>
      </w:r>
      <w:r w:rsidR="005539DD">
        <w:fldChar w:fldCharType="end"/>
      </w:r>
      <w:r w:rsidRPr="00602824">
        <w:t xml:space="preserve"> | Reform projects related to reform objective 3</w:t>
      </w:r>
    </w:p>
    <w:p w14:paraId="4801BB7D" w14:textId="698382B9" w:rsidR="00CE163A" w:rsidRPr="00602824" w:rsidRDefault="001761AD" w:rsidP="00AC2A73">
      <w:pPr>
        <w:rPr>
          <w:lang w:eastAsia="en-AU"/>
        </w:rPr>
      </w:pPr>
      <w:r w:rsidRPr="00AC7E3F">
        <w:rPr>
          <w:noProof/>
          <w:lang w:eastAsia="en-AU"/>
        </w:rPr>
        <w:drawing>
          <wp:inline distT="0" distB="0" distL="0" distR="0" wp14:anchorId="753ADA3B" wp14:editId="1092132B">
            <wp:extent cx="5832000" cy="1471291"/>
            <wp:effectExtent l="0" t="0" r="0" b="0"/>
            <wp:docPr id="2044549995" name="Picture 1" descr="A figure showing reform objective 3. Maintain clinician choice is maintain baseline policy position. Objective 3 is also connected with a dotted line to benefit red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549995" name="Picture 1" descr="A figure showing reform objective 3. Maintain clinician choice is maintain baseline policy position. Objective 3 is also connected with a dotted line to benefit reductions."/>
                    <pic:cNvPicPr/>
                  </pic:nvPicPr>
                  <pic:blipFill>
                    <a:blip r:embed="rId34"/>
                    <a:stretch>
                      <a:fillRect/>
                    </a:stretch>
                  </pic:blipFill>
                  <pic:spPr>
                    <a:xfrm>
                      <a:off x="0" y="0"/>
                      <a:ext cx="5832000" cy="1471291"/>
                    </a:xfrm>
                    <a:prstGeom prst="rect">
                      <a:avLst/>
                    </a:prstGeom>
                  </pic:spPr>
                </pic:pic>
              </a:graphicData>
            </a:graphic>
          </wp:inline>
        </w:drawing>
      </w:r>
    </w:p>
    <w:p w14:paraId="5FED782C" w14:textId="7739F7C2" w:rsidR="00870604" w:rsidRPr="00602824" w:rsidRDefault="00BC6AA4" w:rsidP="009A6E3C">
      <w:pPr>
        <w:pStyle w:val="Heading3"/>
      </w:pPr>
      <w:r>
        <w:t>Reform</w:t>
      </w:r>
      <w:r w:rsidR="009B1E46">
        <w:t xml:space="preserve"> </w:t>
      </w:r>
      <w:r w:rsidR="00C572C9">
        <w:t>project</w:t>
      </w:r>
      <w:r w:rsidR="00592B9F" w:rsidRPr="00602824">
        <w:t>: clinician choice</w:t>
      </w:r>
    </w:p>
    <w:tbl>
      <w:tblPr>
        <w:tblStyle w:val="NOUSSideHeader4"/>
        <w:tblW w:w="5000" w:type="pct"/>
        <w:tblLook w:val="04A0" w:firstRow="1" w:lastRow="0" w:firstColumn="1" w:lastColumn="0" w:noHBand="0" w:noVBand="1"/>
      </w:tblPr>
      <w:tblGrid>
        <w:gridCol w:w="9185"/>
      </w:tblGrid>
      <w:tr w:rsidR="009C0E4F" w:rsidRPr="00602824" w14:paraId="69C7B455" w14:textId="77777777" w:rsidTr="006648D8">
        <w:trPr>
          <w:cnfStyle w:val="100000000000" w:firstRow="1" w:lastRow="0" w:firstColumn="0" w:lastColumn="0" w:oddVBand="0" w:evenVBand="0" w:oddHBand="0" w:evenHBand="0" w:firstRowFirstColumn="0" w:firstRowLastColumn="0" w:lastRowFirstColumn="0" w:lastRowLastColumn="0"/>
        </w:trPr>
        <w:tc>
          <w:tcPr>
            <w:tcW w:w="9185" w:type="dxa"/>
          </w:tcPr>
          <w:p w14:paraId="70E4F1E4" w14:textId="08E8ACC6" w:rsidR="00B87E3E" w:rsidRDefault="009E39DE" w:rsidP="00B87E3E">
            <w:pPr>
              <w:spacing w:before="120"/>
            </w:pPr>
            <w:r w:rsidRPr="00602824">
              <w:rPr>
                <w:lang w:eastAsia="en-AU"/>
              </w:rPr>
              <w:t xml:space="preserve">No specific activities in relation to clinician choice were implemented during </w:t>
            </w:r>
            <w:r w:rsidR="00A13925">
              <w:rPr>
                <w:lang w:eastAsia="en-AU"/>
              </w:rPr>
              <w:t>the reforms</w:t>
            </w:r>
            <w:r w:rsidRPr="00602824">
              <w:rPr>
                <w:lang w:eastAsia="en-AU"/>
              </w:rPr>
              <w:t>.</w:t>
            </w:r>
            <w:r w:rsidR="007D468F" w:rsidRPr="00602824">
              <w:rPr>
                <w:lang w:eastAsia="en-AU"/>
              </w:rPr>
              <w:t xml:space="preserve"> </w:t>
            </w:r>
            <w:r w:rsidR="00B87E3E" w:rsidRPr="00B87E3E">
              <w:t xml:space="preserve"> </w:t>
            </w:r>
          </w:p>
          <w:p w14:paraId="09BF6CAB" w14:textId="2F0BB305" w:rsidR="00B87E3E" w:rsidRPr="00B87E3E" w:rsidRDefault="00B87E3E" w:rsidP="00B87E3E">
            <w:pPr>
              <w:spacing w:before="120"/>
              <w:rPr>
                <w:lang w:eastAsia="en-AU"/>
              </w:rPr>
            </w:pPr>
            <w:r w:rsidRPr="00B87E3E">
              <w:rPr>
                <w:lang w:eastAsia="en-AU"/>
              </w:rPr>
              <w:t xml:space="preserve">The PL was established to ensure that privately insured Australians can access the medical devices that are the most appropriate for their needs. For this to be </w:t>
            </w:r>
            <w:r w:rsidR="00CB3579" w:rsidRPr="00CB3579">
              <w:rPr>
                <w:lang w:eastAsia="en-AU"/>
              </w:rPr>
              <w:t>effective,</w:t>
            </w:r>
            <w:r w:rsidRPr="00B87E3E">
              <w:rPr>
                <w:lang w:eastAsia="en-AU"/>
              </w:rPr>
              <w:t xml:space="preserve"> clinicians </w:t>
            </w:r>
            <w:r w:rsidR="00CB3579" w:rsidRPr="00CB3579">
              <w:rPr>
                <w:lang w:eastAsia="en-AU"/>
              </w:rPr>
              <w:t>need reasonable</w:t>
            </w:r>
            <w:r w:rsidRPr="00B87E3E">
              <w:rPr>
                <w:lang w:eastAsia="en-AU"/>
              </w:rPr>
              <w:t xml:space="preserve"> freedom to select the device they </w:t>
            </w:r>
            <w:r w:rsidR="00CB3579" w:rsidRPr="00CB3579">
              <w:rPr>
                <w:lang w:eastAsia="en-AU"/>
              </w:rPr>
              <w:t>consider</w:t>
            </w:r>
            <w:r w:rsidRPr="00B87E3E">
              <w:rPr>
                <w:lang w:eastAsia="en-AU"/>
              </w:rPr>
              <w:t xml:space="preserve"> clinically indicated. The PL provides clinicians with this freedom of choice by:</w:t>
            </w:r>
          </w:p>
          <w:p w14:paraId="24847BD8" w14:textId="77777777" w:rsidR="001F3175" w:rsidRDefault="001F3175" w:rsidP="00C43175">
            <w:pPr>
              <w:pStyle w:val="ListBullet"/>
            </w:pPr>
            <w:r w:rsidRPr="001F3175">
              <w:t>listing devices that meet the relevant safety, efficacy and performance requirements, and</w:t>
            </w:r>
          </w:p>
          <w:p w14:paraId="36AC9B2E" w14:textId="71E35A46" w:rsidR="001F3175" w:rsidRDefault="0020122E" w:rsidP="00C43175">
            <w:pPr>
              <w:pStyle w:val="ListBullet"/>
            </w:pPr>
            <w:r w:rsidRPr="0020122E">
              <w:t>requiring private health insurers to pay a minimum benefit for listed devices when they are provided as part of an insured episode of care</w:t>
            </w:r>
            <w:r w:rsidRPr="00B87E3E">
              <w:t>.</w:t>
            </w:r>
          </w:p>
          <w:p w14:paraId="2FF20F23" w14:textId="4D4C9925" w:rsidR="00B87E3E" w:rsidRPr="00B87E3E" w:rsidRDefault="005E5C29" w:rsidP="00B87E3E">
            <w:pPr>
              <w:spacing w:before="120"/>
              <w:rPr>
                <w:lang w:eastAsia="en-AU"/>
              </w:rPr>
            </w:pPr>
            <w:r>
              <w:rPr>
                <w:lang w:eastAsia="en-AU"/>
              </w:rPr>
              <w:t>C</w:t>
            </w:r>
            <w:r w:rsidR="00B87E3E" w:rsidRPr="00B87E3E">
              <w:rPr>
                <w:lang w:eastAsia="en-AU"/>
              </w:rPr>
              <w:t>linicians' selection of devices</w:t>
            </w:r>
            <w:r>
              <w:rPr>
                <w:lang w:eastAsia="en-AU"/>
              </w:rPr>
              <w:t xml:space="preserve"> is also </w:t>
            </w:r>
            <w:r w:rsidR="00851F27">
              <w:rPr>
                <w:lang w:eastAsia="en-AU"/>
              </w:rPr>
              <w:t>affected</w:t>
            </w:r>
            <w:r>
              <w:rPr>
                <w:lang w:eastAsia="en-AU"/>
              </w:rPr>
              <w:t xml:space="preserve"> by other factors</w:t>
            </w:r>
            <w:r w:rsidR="00B87E3E" w:rsidRPr="00B87E3E">
              <w:rPr>
                <w:lang w:eastAsia="en-AU"/>
              </w:rPr>
              <w:t xml:space="preserve">. Private hospitals, often in consultation with clinicians, enter supply arrangements with select </w:t>
            </w:r>
            <w:r w:rsidR="00CB0363">
              <w:rPr>
                <w:lang w:eastAsia="en-AU"/>
              </w:rPr>
              <w:t xml:space="preserve">device </w:t>
            </w:r>
            <w:r w:rsidR="00B87E3E" w:rsidRPr="00B87E3E">
              <w:rPr>
                <w:lang w:eastAsia="en-AU"/>
              </w:rPr>
              <w:t>sponsors, effectively making a subset of PL items available for clinicians to choose from. Consignment arrangements are commonplace in private hospitals</w:t>
            </w:r>
            <w:r w:rsidR="00D454B2">
              <w:rPr>
                <w:lang w:eastAsia="en-AU"/>
              </w:rPr>
              <w:t>.</w:t>
            </w:r>
            <w:r w:rsidR="00B87E3E" w:rsidRPr="00B87E3E">
              <w:rPr>
                <w:lang w:eastAsia="en-AU"/>
              </w:rPr>
              <w:t xml:space="preserve"> </w:t>
            </w:r>
          </w:p>
          <w:p w14:paraId="60DF18CF" w14:textId="5A5D507E" w:rsidR="009E39DE" w:rsidRPr="00602824" w:rsidRDefault="0048100D" w:rsidP="00FB712C">
            <w:pPr>
              <w:spacing w:before="120"/>
              <w:rPr>
                <w:lang w:eastAsia="en-AU"/>
              </w:rPr>
            </w:pPr>
            <w:r w:rsidRPr="0048100D">
              <w:rPr>
                <w:lang w:eastAsia="en-AU"/>
              </w:rPr>
              <w:t>The PL is intended to support clinician choice by ensuring that patients are not directly exposed to the cost of PL-listed devices. However, financial considerations can still influence which devices are procured, stocked and made available for clinicians to choose from, including through negotiations between private hospitals and clinics, device suppliers and, in some cases, clinicians</w:t>
            </w:r>
            <w:r w:rsidR="00C25F30">
              <w:rPr>
                <w:lang w:eastAsia="en-AU"/>
              </w:rPr>
              <w:t>.</w:t>
            </w:r>
          </w:p>
        </w:tc>
      </w:tr>
    </w:tbl>
    <w:p w14:paraId="6755C99C" w14:textId="4842E6DB" w:rsidR="006648D8" w:rsidRDefault="006648D8" w:rsidP="006648D8">
      <w:pPr>
        <w:pStyle w:val="Heading3"/>
        <w:spacing w:line="240" w:lineRule="auto"/>
        <w:ind w:left="720" w:hanging="720"/>
      </w:pPr>
      <w:bookmarkStart w:id="34" w:name="_Toc181405081"/>
      <w:r>
        <w:t xml:space="preserve">Clinicians </w:t>
      </w:r>
      <w:r w:rsidRPr="00987591">
        <w:t>continue to have</w:t>
      </w:r>
      <w:r>
        <w:t xml:space="preserve"> choice of medical devices and human tissue products</w:t>
      </w:r>
      <w:bookmarkEnd w:id="34"/>
      <w:r w:rsidR="006E2FFD">
        <w:t xml:space="preserve"> </w:t>
      </w:r>
    </w:p>
    <w:p w14:paraId="61245144" w14:textId="77777777" w:rsidR="006648D8" w:rsidRDefault="006648D8" w:rsidP="006648D8">
      <w:pPr>
        <w:pStyle w:val="Heading4"/>
      </w:pPr>
      <w:r w:rsidRPr="00987591">
        <w:t>The policy setting supporting clinician choice ha</w:t>
      </w:r>
      <w:r>
        <w:t xml:space="preserve">s </w:t>
      </w:r>
      <w:r w:rsidRPr="00987591">
        <w:t>remained constant</w:t>
      </w:r>
    </w:p>
    <w:p w14:paraId="494E979C" w14:textId="0A76B17F" w:rsidR="006648D8" w:rsidRDefault="006648D8" w:rsidP="00FB0D85">
      <w:r>
        <w:t xml:space="preserve">One of the principles underpinning the reforms </w:t>
      </w:r>
      <w:r w:rsidR="009D5893">
        <w:t>wa</w:t>
      </w:r>
      <w:r>
        <w:t>s the maintenance of clinician choice. The ability for clinicians to have uninhibited choice of device is a key principle of the PL in providing privately insured Australians guaranteed access to appropriate medical devices and human tissue products.</w:t>
      </w:r>
      <w:r w:rsidRPr="0BCC15EA">
        <w:rPr>
          <w:rStyle w:val="FootnoteReference"/>
        </w:rPr>
        <w:footnoteReference w:id="45"/>
      </w:r>
      <w:r>
        <w:t xml:space="preserve"> This principle is expressed in the application requirements for the PL where any item on the list is available for clinicians to access for a procedure in a private hospital, subject to it satisfying the tests outlined in the PL Guide.</w:t>
      </w:r>
      <w:r>
        <w:rPr>
          <w:rStyle w:val="FootnoteReference"/>
        </w:rPr>
        <w:footnoteReference w:id="46"/>
      </w:r>
    </w:p>
    <w:p w14:paraId="0A895712" w14:textId="29F27EB1" w:rsidR="005B54AA" w:rsidRPr="00602824" w:rsidRDefault="006648D8" w:rsidP="00FB0D85">
      <w:pPr>
        <w:rPr>
          <w:lang w:eastAsia="en-AU"/>
        </w:rPr>
      </w:pPr>
      <w:r>
        <w:t>Throughout the reforms, the policy setting supporting clinician choice has not changed.</w:t>
      </w:r>
      <w:r w:rsidR="00963E08">
        <w:t xml:space="preserve"> </w:t>
      </w:r>
      <w:r w:rsidR="00D800CA" w:rsidRPr="00602824">
        <w:rPr>
          <w:lang w:eastAsia="en-AU"/>
        </w:rPr>
        <w:t xml:space="preserve">There is no strong evidence that the reforms significantly constrained device choice. </w:t>
      </w:r>
    </w:p>
    <w:p w14:paraId="45423BCB" w14:textId="22CFF590" w:rsidR="00F9021E" w:rsidRPr="00602824" w:rsidRDefault="00F9021E" w:rsidP="00F9021E">
      <w:pPr>
        <w:pStyle w:val="Heading4"/>
      </w:pPr>
      <w:bookmarkStart w:id="35" w:name="_Hlk202352388"/>
      <w:r w:rsidRPr="00602824">
        <w:t>There has been a slight decrease in the number of items on the PL over time</w:t>
      </w:r>
    </w:p>
    <w:bookmarkEnd w:id="35"/>
    <w:p w14:paraId="22833D25" w14:textId="645E0218" w:rsidR="00813A73" w:rsidRPr="00602824" w:rsidRDefault="00244A96" w:rsidP="00FB0D85">
      <w:pPr>
        <w:rPr>
          <w:lang w:eastAsia="en-AU"/>
        </w:rPr>
      </w:pPr>
      <w:r w:rsidRPr="00AE7F22">
        <w:rPr>
          <w:lang w:eastAsia="en-AU"/>
        </w:rPr>
        <w:t xml:space="preserve">The number of items listed on the PL has declined by </w:t>
      </w:r>
      <w:r w:rsidR="00B60A18" w:rsidRPr="00AE7F22">
        <w:rPr>
          <w:lang w:eastAsia="en-AU"/>
        </w:rPr>
        <w:t>6.9</w:t>
      </w:r>
      <w:r w:rsidRPr="00AE7F22">
        <w:rPr>
          <w:lang w:eastAsia="en-AU"/>
        </w:rPr>
        <w:t>% over the four years since baseline (</w:t>
      </w:r>
      <w:r w:rsidR="003D03CB" w:rsidRPr="00AE7F22">
        <w:rPr>
          <w:lang w:eastAsia="en-AU"/>
        </w:rPr>
        <w:t>s</w:t>
      </w:r>
      <w:r w:rsidR="00E316BE" w:rsidRPr="00AE7F22">
        <w:rPr>
          <w:lang w:eastAsia="en-AU"/>
        </w:rPr>
        <w:t>ee</w:t>
      </w:r>
      <w:r w:rsidR="000E3A8A" w:rsidRPr="00AE7F22">
        <w:rPr>
          <w:lang w:eastAsia="en-AU"/>
        </w:rPr>
        <w:t xml:space="preserve"> </w:t>
      </w:r>
      <w:r w:rsidR="008B1449" w:rsidRPr="00AE7F22">
        <w:rPr>
          <w:lang w:eastAsia="en-AU"/>
        </w:rPr>
        <w:fldChar w:fldCharType="begin"/>
      </w:r>
      <w:r w:rsidR="008B1449" w:rsidRPr="00AE7F22">
        <w:rPr>
          <w:lang w:eastAsia="en-AU"/>
        </w:rPr>
        <w:instrText xml:space="preserve"> REF _Ref199404735 \h </w:instrText>
      </w:r>
      <w:r w:rsidR="00542693" w:rsidRPr="00AE7F22">
        <w:rPr>
          <w:lang w:eastAsia="en-AU"/>
        </w:rPr>
        <w:instrText xml:space="preserve"> \* MERGEFORMAT </w:instrText>
      </w:r>
      <w:r w:rsidR="008B1449" w:rsidRPr="00AE7F22">
        <w:rPr>
          <w:lang w:eastAsia="en-AU"/>
        </w:rPr>
      </w:r>
      <w:r w:rsidR="008B1449" w:rsidRPr="00AE7F22">
        <w:rPr>
          <w:lang w:eastAsia="en-AU"/>
        </w:rPr>
        <w:fldChar w:fldCharType="separate"/>
      </w:r>
      <w:r w:rsidR="0092693A" w:rsidRPr="004A357C">
        <w:t xml:space="preserve">Figure </w:t>
      </w:r>
      <w:r w:rsidR="0092693A">
        <w:rPr>
          <w:noProof/>
        </w:rPr>
        <w:t>39</w:t>
      </w:r>
      <w:r w:rsidR="008B1449" w:rsidRPr="00AE7F22">
        <w:rPr>
          <w:lang w:eastAsia="en-AU"/>
        </w:rPr>
        <w:fldChar w:fldCharType="end"/>
      </w:r>
      <w:r w:rsidR="008B1449" w:rsidRPr="00AE7F22">
        <w:rPr>
          <w:lang w:eastAsia="en-AU"/>
        </w:rPr>
        <w:t xml:space="preserve"> in </w:t>
      </w:r>
      <w:r w:rsidR="000E3A8A" w:rsidRPr="00AE7F22">
        <w:rPr>
          <w:lang w:eastAsia="en-AU"/>
        </w:rPr>
        <w:t xml:space="preserve">Appendix </w:t>
      </w:r>
      <w:r w:rsidR="003D03CB" w:rsidRPr="00AE7F22">
        <w:rPr>
          <w:lang w:eastAsia="en-AU"/>
        </w:rPr>
        <w:fldChar w:fldCharType="begin"/>
      </w:r>
      <w:r w:rsidR="003D03CB" w:rsidRPr="00AE7F22">
        <w:rPr>
          <w:lang w:eastAsia="en-AU"/>
        </w:rPr>
        <w:instrText xml:space="preserve"> REF _Ref202884080 \r \h </w:instrText>
      </w:r>
      <w:r w:rsidR="00542693" w:rsidRPr="00AE7F22">
        <w:rPr>
          <w:lang w:eastAsia="en-AU"/>
        </w:rPr>
        <w:instrText xml:space="preserve"> \* MERGEFORMAT </w:instrText>
      </w:r>
      <w:r w:rsidR="003D03CB" w:rsidRPr="00AE7F22">
        <w:rPr>
          <w:lang w:eastAsia="en-AU"/>
        </w:rPr>
      </w:r>
      <w:r w:rsidR="003D03CB" w:rsidRPr="00AE7F22">
        <w:rPr>
          <w:lang w:eastAsia="en-AU"/>
        </w:rPr>
        <w:fldChar w:fldCharType="separate"/>
      </w:r>
      <w:r w:rsidR="0092693A">
        <w:rPr>
          <w:lang w:eastAsia="en-AU"/>
        </w:rPr>
        <w:t>C.6</w:t>
      </w:r>
      <w:r w:rsidR="003D03CB" w:rsidRPr="00AE7F22">
        <w:rPr>
          <w:lang w:eastAsia="en-AU"/>
        </w:rPr>
        <w:fldChar w:fldCharType="end"/>
      </w:r>
      <w:r w:rsidR="00E316BE" w:rsidRPr="00AE7F22">
        <w:rPr>
          <w:lang w:eastAsia="en-AU"/>
        </w:rPr>
        <w:t>)</w:t>
      </w:r>
      <w:r w:rsidR="00813A73" w:rsidRPr="00AE7F22">
        <w:rPr>
          <w:lang w:eastAsia="en-AU"/>
        </w:rPr>
        <w:t>.</w:t>
      </w:r>
      <w:r w:rsidR="000E3A8A" w:rsidRPr="00AE7F22">
        <w:rPr>
          <w:lang w:eastAsia="en-AU"/>
        </w:rPr>
        <w:t xml:space="preserve"> </w:t>
      </w:r>
      <w:r w:rsidR="00813A73" w:rsidRPr="00AE7F22">
        <w:rPr>
          <w:lang w:eastAsia="en-AU"/>
        </w:rPr>
        <w:t xml:space="preserve">Between </w:t>
      </w:r>
      <w:r w:rsidR="002728B6" w:rsidRPr="00AE7F22">
        <w:rPr>
          <w:lang w:eastAsia="en-AU"/>
        </w:rPr>
        <w:t>August 2024</w:t>
      </w:r>
      <w:r w:rsidR="00813A73" w:rsidRPr="00AE7F22">
        <w:rPr>
          <w:lang w:eastAsia="en-AU"/>
        </w:rPr>
        <w:t xml:space="preserve"> and </w:t>
      </w:r>
      <w:r w:rsidR="002728B6" w:rsidRPr="00AE7F22">
        <w:rPr>
          <w:lang w:eastAsia="en-AU"/>
        </w:rPr>
        <w:t>July 2025</w:t>
      </w:r>
      <w:r w:rsidR="00813A73" w:rsidRPr="00AE7F22">
        <w:rPr>
          <w:lang w:eastAsia="en-AU"/>
        </w:rPr>
        <w:t>, the</w:t>
      </w:r>
      <w:r w:rsidRPr="00AE7F22">
        <w:rPr>
          <w:lang w:eastAsia="en-AU"/>
        </w:rPr>
        <w:t xml:space="preserve"> reduction </w:t>
      </w:r>
      <w:r w:rsidR="00813A73" w:rsidRPr="00AE7F22">
        <w:rPr>
          <w:lang w:eastAsia="en-AU"/>
        </w:rPr>
        <w:t xml:space="preserve">was a </w:t>
      </w:r>
      <w:r w:rsidR="00AE7F22" w:rsidRPr="00AE7F22">
        <w:rPr>
          <w:lang w:eastAsia="en-AU"/>
        </w:rPr>
        <w:t>1.3</w:t>
      </w:r>
      <w:r w:rsidR="00813A73" w:rsidRPr="00AE7F22">
        <w:rPr>
          <w:lang w:eastAsia="en-AU"/>
        </w:rPr>
        <w:t xml:space="preserve">% reduction </w:t>
      </w:r>
      <w:r w:rsidRPr="00AE7F22">
        <w:rPr>
          <w:lang w:eastAsia="en-AU"/>
        </w:rPr>
        <w:t xml:space="preserve">across </w:t>
      </w:r>
      <w:r w:rsidR="00813A73" w:rsidRPr="00AE7F22">
        <w:rPr>
          <w:lang w:eastAsia="en-AU"/>
        </w:rPr>
        <w:t>Part A, C</w:t>
      </w:r>
      <w:r w:rsidR="001B111B" w:rsidRPr="00AE7F22">
        <w:rPr>
          <w:lang w:eastAsia="en-AU"/>
        </w:rPr>
        <w:t xml:space="preserve"> and</w:t>
      </w:r>
      <w:r w:rsidR="00813A73" w:rsidRPr="00AE7F22">
        <w:rPr>
          <w:lang w:eastAsia="en-AU"/>
        </w:rPr>
        <w:t xml:space="preserve"> D</w:t>
      </w:r>
      <w:r w:rsidR="001B111B" w:rsidRPr="00AE7F22">
        <w:rPr>
          <w:lang w:eastAsia="en-AU"/>
        </w:rPr>
        <w:t>.</w:t>
      </w:r>
      <w:r w:rsidR="008B1449" w:rsidRPr="00AE7F22">
        <w:rPr>
          <w:rStyle w:val="FootnoteReference"/>
          <w:lang w:eastAsia="en-AU"/>
        </w:rPr>
        <w:footnoteReference w:id="47"/>
      </w:r>
      <w:r w:rsidR="004C5174" w:rsidRPr="00602824">
        <w:rPr>
          <w:lang w:eastAsia="en-AU"/>
        </w:rPr>
        <w:t xml:space="preserve"> </w:t>
      </w:r>
    </w:p>
    <w:p w14:paraId="627B5454" w14:textId="25283D76" w:rsidR="008943E3" w:rsidRPr="00602824" w:rsidRDefault="0072334D" w:rsidP="00FB0D85">
      <w:pPr>
        <w:rPr>
          <w:lang w:eastAsia="en-AU"/>
        </w:rPr>
      </w:pPr>
      <w:r w:rsidRPr="00602824">
        <w:rPr>
          <w:lang w:eastAsia="en-AU"/>
        </w:rPr>
        <w:t xml:space="preserve">Industry </w:t>
      </w:r>
      <w:r w:rsidR="004E56C0" w:rsidRPr="00602824">
        <w:rPr>
          <w:lang w:eastAsia="en-AU"/>
        </w:rPr>
        <w:t>s</w:t>
      </w:r>
      <w:r w:rsidR="00053A83" w:rsidRPr="00602824">
        <w:rPr>
          <w:lang w:eastAsia="en-AU"/>
        </w:rPr>
        <w:t>takeholders</w:t>
      </w:r>
      <w:r w:rsidR="00C74ACA" w:rsidRPr="00602824">
        <w:rPr>
          <w:lang w:eastAsia="en-AU"/>
        </w:rPr>
        <w:t xml:space="preserve"> have suggested that reduced benefits have </w:t>
      </w:r>
      <w:r w:rsidR="008C05E7" w:rsidRPr="00602824">
        <w:rPr>
          <w:lang w:eastAsia="en-AU"/>
        </w:rPr>
        <w:t>placed pressure on sponsors to maintain listings amid rising supply costs</w:t>
      </w:r>
      <w:r w:rsidR="00AF75E5" w:rsidRPr="00602824">
        <w:rPr>
          <w:lang w:eastAsia="en-AU"/>
        </w:rPr>
        <w:t>.</w:t>
      </w:r>
      <w:r w:rsidR="00AF75E5" w:rsidRPr="00602824">
        <w:rPr>
          <w:rStyle w:val="FootnoteReference"/>
          <w:lang w:eastAsia="en-AU"/>
        </w:rPr>
        <w:footnoteReference w:id="48"/>
      </w:r>
      <w:r w:rsidR="00AF75E5" w:rsidRPr="00602824">
        <w:rPr>
          <w:lang w:eastAsia="en-AU"/>
        </w:rPr>
        <w:t xml:space="preserve"> </w:t>
      </w:r>
      <w:r w:rsidR="00C473C9" w:rsidRPr="00602824">
        <w:rPr>
          <w:lang w:eastAsia="en-AU"/>
        </w:rPr>
        <w:t>Some removals may also be linked to the introduction of the cost recovery levy, with clinician stakeholders noting that sponsors may be rationalising less frequently used items – a trend they expect to continue</w:t>
      </w:r>
      <w:r w:rsidR="00231A55" w:rsidRPr="00602824">
        <w:rPr>
          <w:lang w:eastAsia="en-AU"/>
        </w:rPr>
        <w:t>.</w:t>
      </w:r>
      <w:r w:rsidR="00513E95" w:rsidRPr="00602824">
        <w:rPr>
          <w:rStyle w:val="FootnoteReference"/>
          <w:lang w:eastAsia="en-AU"/>
        </w:rPr>
        <w:footnoteReference w:id="49"/>
      </w:r>
    </w:p>
    <w:p w14:paraId="7E65378C" w14:textId="02FD7D62" w:rsidR="00E316BE" w:rsidRPr="00602824" w:rsidRDefault="009E1B20" w:rsidP="00FB0D85">
      <w:pPr>
        <w:rPr>
          <w:lang w:eastAsia="en-AU"/>
        </w:rPr>
      </w:pPr>
      <w:r w:rsidRPr="00602824">
        <w:rPr>
          <w:lang w:eastAsia="en-AU"/>
        </w:rPr>
        <w:t>While these factors may be contributing, the modest reduction in items does not appear to have materially affected clinician choice. Evaluation analysis of recently removed items showed a typical distribution of utilisation, with delisted items including both high- and low-use devices.</w:t>
      </w:r>
      <w:r w:rsidR="00313AB5" w:rsidRPr="00602824">
        <w:rPr>
          <w:rStyle w:val="FootnoteReference"/>
          <w:lang w:eastAsia="en-AU"/>
        </w:rPr>
        <w:footnoteReference w:id="50"/>
      </w:r>
      <w:r w:rsidR="00313AB5" w:rsidRPr="00602824">
        <w:rPr>
          <w:lang w:eastAsia="en-AU"/>
        </w:rPr>
        <w:t xml:space="preserve"> Items are removed for various reasons, and the scale and pattern of removals do not raise concern.</w:t>
      </w:r>
    </w:p>
    <w:p w14:paraId="7C99996D" w14:textId="497127B6" w:rsidR="005D3056" w:rsidRDefault="005D3056" w:rsidP="005D3056">
      <w:pPr>
        <w:pStyle w:val="Heading4"/>
      </w:pPr>
      <w:r>
        <w:t xml:space="preserve">Insurers and clinicians reported that clinician choice has </w:t>
      </w:r>
      <w:r w:rsidR="00E436B5">
        <w:t xml:space="preserve">generally </w:t>
      </w:r>
      <w:r>
        <w:t xml:space="preserve">been maintained </w:t>
      </w:r>
    </w:p>
    <w:p w14:paraId="2B9FD586" w14:textId="77777777" w:rsidR="005D3056" w:rsidRDefault="005D3056" w:rsidP="00FB0D85">
      <w:r w:rsidRPr="00AB6735">
        <w:t>Private health insurer</w:t>
      </w:r>
      <w:r>
        <w:t xml:space="preserve">s </w:t>
      </w:r>
      <w:r w:rsidRPr="00AB6735">
        <w:t>consistently stated that clinician choice has been maintained under the reforms, emphasising the breadth of devices still listed on the PL and the continued high volume of applications across each four</w:t>
      </w:r>
      <w:r w:rsidRPr="00AB6735">
        <w:noBreakHyphen/>
        <w:t>month cycle.</w:t>
      </w:r>
      <w:r>
        <w:t xml:space="preserve"> They noted that </w:t>
      </w:r>
      <w:r w:rsidRPr="008950FB">
        <w:t>most device categories</w:t>
      </w:r>
      <w:r>
        <w:t xml:space="preserve"> on the PL</w:t>
      </w:r>
      <w:r w:rsidRPr="008950FB">
        <w:t xml:space="preserve"> continue to have wide representation and ongoing listing activity.</w:t>
      </w:r>
    </w:p>
    <w:p w14:paraId="2DCF30F3" w14:textId="22CDBEBC" w:rsidR="005D3056" w:rsidRPr="00AB6735" w:rsidRDefault="005D3056" w:rsidP="00FB0D85">
      <w:r w:rsidRPr="00FE5109">
        <w:t xml:space="preserve">Clinician representatives (including medical and orthopaedic bodies) reported that, in their experience, the reforms have not materially affected device choice, and that appropriate access to </w:t>
      </w:r>
      <w:r>
        <w:t>devices</w:t>
      </w:r>
      <w:r w:rsidRPr="00FE5109">
        <w:t xml:space="preserve"> has been maintained.</w:t>
      </w:r>
      <w:r>
        <w:t xml:space="preserve"> </w:t>
      </w:r>
      <w:r w:rsidRPr="00FE5109">
        <w:t>Some clinicians observed rationalisation of low</w:t>
      </w:r>
      <w:r w:rsidRPr="00FE5109">
        <w:noBreakHyphen/>
        <w:t>volume or less commonly used items but did not consider this to have compromised overall clinical care or outcomes.</w:t>
      </w:r>
      <w:r w:rsidR="00A76F64">
        <w:t xml:space="preserve"> Specific </w:t>
      </w:r>
      <w:r w:rsidR="00FC1802">
        <w:t>concerns</w:t>
      </w:r>
      <w:r w:rsidR="00A76F64">
        <w:t xml:space="preserve"> </w:t>
      </w:r>
      <w:r w:rsidR="00FC1802">
        <w:t xml:space="preserve">arose </w:t>
      </w:r>
      <w:r w:rsidR="00A76F64">
        <w:t xml:space="preserve">with some </w:t>
      </w:r>
      <w:r w:rsidR="00D8497F">
        <w:t>high</w:t>
      </w:r>
      <w:r w:rsidR="00681B97">
        <w:t>-</w:t>
      </w:r>
      <w:r w:rsidR="00D8497F">
        <w:t xml:space="preserve">cost </w:t>
      </w:r>
      <w:r w:rsidR="00A76F64">
        <w:t xml:space="preserve">devices </w:t>
      </w:r>
      <w:r w:rsidR="00FC1802">
        <w:t xml:space="preserve">– as discussed </w:t>
      </w:r>
      <w:r w:rsidR="00367F5F">
        <w:t>later in this section</w:t>
      </w:r>
      <w:r w:rsidR="00FC1802">
        <w:t>.</w:t>
      </w:r>
    </w:p>
    <w:p w14:paraId="04A85266" w14:textId="21A170CD" w:rsidR="00DA2DFD" w:rsidRDefault="00DA2DFD" w:rsidP="00FB0D85">
      <w:pPr>
        <w:pStyle w:val="Heading4"/>
      </w:pPr>
      <w:r>
        <w:t xml:space="preserve">Hospitals and medical device companies perceived constraints on clinician choice due to pricing and reimbursement </w:t>
      </w:r>
      <w:r w:rsidRPr="00FB0D85">
        <w:t>pressures</w:t>
      </w:r>
      <w:r>
        <w:t xml:space="preserve"> </w:t>
      </w:r>
    </w:p>
    <w:p w14:paraId="486DD90A" w14:textId="77777777" w:rsidR="00DA2DFD" w:rsidRPr="00F63C56" w:rsidRDefault="00DA2DFD" w:rsidP="00FB0D85">
      <w:r>
        <w:t>P</w:t>
      </w:r>
      <w:r w:rsidRPr="00AA1DCC">
        <w:t>rivate hospital representatives reported that benefit reductions have led hospitals to reconsider product selection, particularly where supplier prices exceed PL benefits, resulting in some devices being removed from preferred use lists based on reimbursement concerns rather than clinical considerations. Hospitals noted difficulty sourcing newer or advanced devices (e.g. CIEDs and some spinal implants), attributing this to pricing constraints following PL benefit reductions.</w:t>
      </w:r>
      <w:r>
        <w:t xml:space="preserve"> One hospital reported</w:t>
      </w:r>
      <w:r w:rsidRPr="00F63C56">
        <w:t xml:space="preserve"> that clinicians are increasingly cautious in device selection due to uncertainty about insurer reimbursement, even for PL</w:t>
      </w:r>
      <w:r w:rsidRPr="00F63C56">
        <w:noBreakHyphen/>
        <w:t>listed items, which may indirectly restrict clinical autonomy.</w:t>
      </w:r>
    </w:p>
    <w:p w14:paraId="6EFB1BB6" w14:textId="58DCA64A" w:rsidR="00FC70D4" w:rsidRPr="00602824" w:rsidRDefault="00120D51" w:rsidP="00273E8D">
      <w:pPr>
        <w:keepNext/>
        <w:spacing w:before="240" w:after="60" w:line="259" w:lineRule="auto"/>
        <w:outlineLvl w:val="3"/>
        <w:rPr>
          <w:rFonts w:ascii="Segoe UI Semibold" w:eastAsia="Times New Roman" w:hAnsi="Segoe UI Semibold" w:cs="Times New Roman"/>
          <w:color w:val="00264D" w:themeColor="background2"/>
          <w:sz w:val="22"/>
          <w:szCs w:val="19"/>
          <w:lang w:eastAsia="en-AU"/>
        </w:rPr>
      </w:pPr>
      <w:r>
        <w:rPr>
          <w:rFonts w:ascii="Segoe UI Semibold" w:eastAsia="Times New Roman" w:hAnsi="Segoe UI Semibold" w:cs="Times New Roman"/>
          <w:color w:val="00264D" w:themeColor="background2"/>
          <w:sz w:val="22"/>
          <w:szCs w:val="19"/>
          <w:lang w:eastAsia="en-AU"/>
        </w:rPr>
        <w:t>Some clinicians and p</w:t>
      </w:r>
      <w:r w:rsidR="007152DB" w:rsidRPr="00602824">
        <w:rPr>
          <w:rFonts w:ascii="Segoe UI Semibold" w:eastAsia="Times New Roman" w:hAnsi="Segoe UI Semibold" w:cs="Times New Roman"/>
          <w:color w:val="00264D" w:themeColor="background2"/>
          <w:sz w:val="22"/>
          <w:szCs w:val="19"/>
          <w:lang w:eastAsia="en-AU"/>
        </w:rPr>
        <w:t xml:space="preserve">rivate hospital representatives </w:t>
      </w:r>
      <w:r w:rsidR="002E5B00">
        <w:rPr>
          <w:rFonts w:ascii="Segoe UI Semibold" w:eastAsia="Times New Roman" w:hAnsi="Segoe UI Semibold" w:cs="Times New Roman"/>
          <w:color w:val="00264D" w:themeColor="background2"/>
          <w:sz w:val="22"/>
          <w:szCs w:val="19"/>
          <w:lang w:eastAsia="en-AU"/>
        </w:rPr>
        <w:t xml:space="preserve">see a </w:t>
      </w:r>
      <w:r w:rsidR="00F14BD5" w:rsidRPr="00602824">
        <w:rPr>
          <w:rFonts w:ascii="Segoe UI Semibold" w:eastAsia="Times New Roman" w:hAnsi="Segoe UI Semibold" w:cs="Times New Roman"/>
          <w:color w:val="00264D" w:themeColor="background2"/>
          <w:sz w:val="22"/>
          <w:szCs w:val="19"/>
          <w:lang w:eastAsia="en-AU"/>
        </w:rPr>
        <w:t xml:space="preserve">risk that </w:t>
      </w:r>
      <w:r w:rsidR="000C3D99" w:rsidRPr="00602824">
        <w:rPr>
          <w:rFonts w:ascii="Segoe UI Semibold" w:eastAsia="Times New Roman" w:hAnsi="Segoe UI Semibold" w:cs="Times New Roman"/>
          <w:color w:val="00264D" w:themeColor="background2"/>
          <w:sz w:val="22"/>
          <w:szCs w:val="19"/>
          <w:lang w:eastAsia="en-AU"/>
        </w:rPr>
        <w:t xml:space="preserve">clinician choice </w:t>
      </w:r>
      <w:r w:rsidR="00C71560">
        <w:rPr>
          <w:rFonts w:ascii="Segoe UI Semibold" w:eastAsia="Times New Roman" w:hAnsi="Segoe UI Semibold" w:cs="Times New Roman"/>
          <w:color w:val="00264D" w:themeColor="background2"/>
          <w:sz w:val="22"/>
          <w:szCs w:val="19"/>
          <w:lang w:eastAsia="en-AU"/>
        </w:rPr>
        <w:t>may be</w:t>
      </w:r>
      <w:r w:rsidR="000C3D99" w:rsidRPr="00602824">
        <w:rPr>
          <w:rFonts w:ascii="Segoe UI Semibold" w:eastAsia="Times New Roman" w:hAnsi="Segoe UI Semibold" w:cs="Times New Roman"/>
          <w:color w:val="00264D" w:themeColor="background2"/>
          <w:sz w:val="22"/>
          <w:szCs w:val="19"/>
          <w:lang w:eastAsia="en-AU"/>
        </w:rPr>
        <w:t xml:space="preserve"> compromised f</w:t>
      </w:r>
      <w:r w:rsidR="002D2D0F" w:rsidRPr="00602824">
        <w:rPr>
          <w:rFonts w:ascii="Segoe UI Semibold" w:eastAsia="Times New Roman" w:hAnsi="Segoe UI Semibold" w:cs="Times New Roman"/>
          <w:color w:val="00264D" w:themeColor="background2"/>
          <w:sz w:val="22"/>
          <w:szCs w:val="19"/>
          <w:lang w:eastAsia="en-AU"/>
        </w:rPr>
        <w:t xml:space="preserve">or </w:t>
      </w:r>
      <w:r w:rsidR="00353479" w:rsidRPr="00602824">
        <w:rPr>
          <w:rFonts w:ascii="Segoe UI Semibold" w:eastAsia="Times New Roman" w:hAnsi="Segoe UI Semibold" w:cs="Times New Roman"/>
          <w:color w:val="00264D" w:themeColor="background2"/>
          <w:sz w:val="22"/>
          <w:szCs w:val="19"/>
          <w:lang w:eastAsia="en-AU"/>
        </w:rPr>
        <w:t>high-cost</w:t>
      </w:r>
      <w:r w:rsidR="00C00AD7" w:rsidRPr="00602824">
        <w:rPr>
          <w:rFonts w:ascii="Segoe UI Semibold" w:eastAsia="Times New Roman" w:hAnsi="Segoe UI Semibold" w:cs="Times New Roman"/>
          <w:color w:val="00264D" w:themeColor="background2"/>
          <w:sz w:val="22"/>
          <w:szCs w:val="19"/>
          <w:lang w:eastAsia="en-AU"/>
        </w:rPr>
        <w:t xml:space="preserve"> more advanced devices</w:t>
      </w:r>
      <w:r w:rsidR="006C583A" w:rsidRPr="00602824">
        <w:rPr>
          <w:rFonts w:ascii="Segoe UI Semibold" w:eastAsia="Times New Roman" w:hAnsi="Segoe UI Semibold" w:cs="Times New Roman"/>
          <w:color w:val="00264D" w:themeColor="background2"/>
          <w:sz w:val="22"/>
          <w:szCs w:val="19"/>
          <w:lang w:eastAsia="en-AU"/>
        </w:rPr>
        <w:t xml:space="preserve"> </w:t>
      </w:r>
    </w:p>
    <w:p w14:paraId="37CB8C45" w14:textId="0F5296EC" w:rsidR="003E6BDE" w:rsidRPr="00602824" w:rsidRDefault="005D0D2D" w:rsidP="00FB0D85">
      <w:pPr>
        <w:rPr>
          <w:lang w:eastAsia="en-AU"/>
        </w:rPr>
      </w:pPr>
      <w:r w:rsidRPr="00602824">
        <w:rPr>
          <w:lang w:eastAsia="en-AU"/>
        </w:rPr>
        <w:t>P</w:t>
      </w:r>
      <w:r w:rsidR="003E6BDE" w:rsidRPr="00602824">
        <w:rPr>
          <w:lang w:eastAsia="en-AU"/>
        </w:rPr>
        <w:t>rivate hospital sector</w:t>
      </w:r>
      <w:r w:rsidR="00D902AC" w:rsidRPr="00602824">
        <w:rPr>
          <w:lang w:eastAsia="en-AU"/>
        </w:rPr>
        <w:t xml:space="preserve"> representatives</w:t>
      </w:r>
      <w:r w:rsidR="003E6BDE" w:rsidRPr="00602824">
        <w:rPr>
          <w:lang w:eastAsia="en-AU"/>
        </w:rPr>
        <w:t xml:space="preserve"> reported that in their view clinician choice has been compromised in relation to certain advanced devices, particularly for CIED and spinal implants. </w:t>
      </w:r>
      <w:r w:rsidR="004357A0">
        <w:rPr>
          <w:lang w:eastAsia="en-AU"/>
        </w:rPr>
        <w:t>Some clinicians were concerned that</w:t>
      </w:r>
      <w:r w:rsidR="00CB789E">
        <w:rPr>
          <w:lang w:eastAsia="en-AU"/>
        </w:rPr>
        <w:t>,</w:t>
      </w:r>
      <w:r w:rsidR="004357A0">
        <w:rPr>
          <w:lang w:eastAsia="en-AU"/>
        </w:rPr>
        <w:t xml:space="preserve"> in some cases</w:t>
      </w:r>
      <w:r w:rsidR="00CB789E">
        <w:rPr>
          <w:lang w:eastAsia="en-AU"/>
        </w:rPr>
        <w:t>,</w:t>
      </w:r>
      <w:r w:rsidR="004357A0" w:rsidRPr="00602824">
        <w:rPr>
          <w:lang w:eastAsia="en-AU"/>
        </w:rPr>
        <w:t xml:space="preserve"> </w:t>
      </w:r>
      <w:r w:rsidR="003E6BDE" w:rsidRPr="00602824">
        <w:rPr>
          <w:lang w:eastAsia="en-AU"/>
        </w:rPr>
        <w:t xml:space="preserve">hospitals </w:t>
      </w:r>
      <w:r w:rsidR="004357A0">
        <w:rPr>
          <w:lang w:eastAsia="en-AU"/>
        </w:rPr>
        <w:t xml:space="preserve">had limited </w:t>
      </w:r>
      <w:r w:rsidR="003E6BDE" w:rsidRPr="00602824">
        <w:rPr>
          <w:lang w:eastAsia="en-AU"/>
        </w:rPr>
        <w:t>access to these advanced devices due to reimbursement uncertainty and pricing constraints.</w:t>
      </w:r>
      <w:r w:rsidR="00540D90">
        <w:rPr>
          <w:lang w:eastAsia="en-AU"/>
        </w:rPr>
        <w:t xml:space="preserve"> While some private hospitals </w:t>
      </w:r>
      <w:r w:rsidR="000E480E">
        <w:rPr>
          <w:lang w:eastAsia="en-AU"/>
        </w:rPr>
        <w:t xml:space="preserve">acknowledged that uncertainty was restricting clinician autonomy, others rejected any suggestion that private hospitals were restricting access. </w:t>
      </w:r>
    </w:p>
    <w:p w14:paraId="33D8C7ED" w14:textId="0E690088" w:rsidR="00FC70D4" w:rsidRPr="00602824" w:rsidRDefault="003D298A" w:rsidP="00FB0D85">
      <w:pPr>
        <w:rPr>
          <w:lang w:eastAsia="en-AU"/>
        </w:rPr>
      </w:pPr>
      <w:r w:rsidRPr="00602824">
        <w:rPr>
          <w:lang w:eastAsia="en-AU"/>
        </w:rPr>
        <w:t>The</w:t>
      </w:r>
      <w:r w:rsidR="00D902AC" w:rsidRPr="00602824">
        <w:rPr>
          <w:lang w:eastAsia="en-AU"/>
        </w:rPr>
        <w:t xml:space="preserve">y argue </w:t>
      </w:r>
      <w:r w:rsidRPr="00602824">
        <w:rPr>
          <w:lang w:eastAsia="en-AU"/>
        </w:rPr>
        <w:t xml:space="preserve">that while percentage reductions for CIEDs appear small, the absolute </w:t>
      </w:r>
      <w:r w:rsidR="00DF318C" w:rsidRPr="00602824">
        <w:rPr>
          <w:lang w:eastAsia="en-AU"/>
        </w:rPr>
        <w:t>monetary</w:t>
      </w:r>
      <w:r w:rsidRPr="00602824">
        <w:rPr>
          <w:lang w:eastAsia="en-AU"/>
        </w:rPr>
        <w:t xml:space="preserve"> </w:t>
      </w:r>
      <w:r w:rsidR="00DF318C" w:rsidRPr="00602824">
        <w:rPr>
          <w:lang w:eastAsia="en-AU"/>
        </w:rPr>
        <w:t>reductions</w:t>
      </w:r>
      <w:r w:rsidRPr="00602824">
        <w:rPr>
          <w:lang w:eastAsia="en-AU"/>
        </w:rPr>
        <w:t xml:space="preserve"> are </w:t>
      </w:r>
      <w:r w:rsidR="00DF318C" w:rsidRPr="00602824">
        <w:rPr>
          <w:lang w:eastAsia="en-AU"/>
        </w:rPr>
        <w:t>significant</w:t>
      </w:r>
      <w:r w:rsidRPr="00602824">
        <w:rPr>
          <w:lang w:eastAsia="en-AU"/>
        </w:rPr>
        <w:t xml:space="preserve"> enough to threaten p</w:t>
      </w:r>
      <w:r w:rsidR="00DF318C" w:rsidRPr="00602824">
        <w:rPr>
          <w:lang w:eastAsia="en-AU"/>
        </w:rPr>
        <w:t>rocurement, leading to potential device shortages</w:t>
      </w:r>
      <w:r w:rsidR="00D46A90" w:rsidRPr="00602824">
        <w:rPr>
          <w:lang w:eastAsia="en-AU"/>
        </w:rPr>
        <w:t xml:space="preserve">. They explained that if private hospitals are unable to procure devices at a viable price, leading suppliers </w:t>
      </w:r>
      <w:r w:rsidR="00671666" w:rsidRPr="00602824">
        <w:rPr>
          <w:lang w:eastAsia="en-AU"/>
        </w:rPr>
        <w:t>may</w:t>
      </w:r>
      <w:r w:rsidR="00D46A90" w:rsidRPr="00602824">
        <w:rPr>
          <w:lang w:eastAsia="en-AU"/>
        </w:rPr>
        <w:t xml:space="preserve"> withdraw </w:t>
      </w:r>
      <w:r w:rsidR="00671666" w:rsidRPr="00602824">
        <w:rPr>
          <w:lang w:eastAsia="en-AU"/>
        </w:rPr>
        <w:t xml:space="preserve">some </w:t>
      </w:r>
      <w:r w:rsidR="00D46A90" w:rsidRPr="00602824">
        <w:rPr>
          <w:lang w:eastAsia="en-AU"/>
        </w:rPr>
        <w:t xml:space="preserve">products from the market </w:t>
      </w:r>
      <w:r w:rsidR="00DF318C" w:rsidRPr="00602824">
        <w:rPr>
          <w:lang w:eastAsia="en-AU"/>
        </w:rPr>
        <w:t xml:space="preserve">thereby restricting clinician choice of device. </w:t>
      </w:r>
      <w:r w:rsidR="00D902AC" w:rsidRPr="00602824">
        <w:rPr>
          <w:lang w:eastAsia="en-AU"/>
        </w:rPr>
        <w:t>While th</w:t>
      </w:r>
      <w:r w:rsidR="00EF1090" w:rsidRPr="00602824">
        <w:rPr>
          <w:lang w:eastAsia="en-AU"/>
        </w:rPr>
        <w:t>e</w:t>
      </w:r>
      <w:r w:rsidR="00D80FC6" w:rsidRPr="00602824">
        <w:rPr>
          <w:lang w:eastAsia="en-AU"/>
        </w:rPr>
        <w:t xml:space="preserve"> evaluation has not cited any </w:t>
      </w:r>
      <w:r w:rsidR="00EF1090" w:rsidRPr="00602824">
        <w:rPr>
          <w:lang w:eastAsia="en-AU"/>
        </w:rPr>
        <w:t xml:space="preserve">evidence that this has been occurring, </w:t>
      </w:r>
      <w:r w:rsidR="00D80FC6" w:rsidRPr="00602824">
        <w:rPr>
          <w:lang w:eastAsia="en-AU"/>
        </w:rPr>
        <w:t>the risk should continue to be monitored.</w:t>
      </w:r>
    </w:p>
    <w:p w14:paraId="549CF84D" w14:textId="22453CBF" w:rsidR="0069487A" w:rsidRPr="00602824" w:rsidRDefault="0069487A" w:rsidP="0069487A">
      <w:pPr>
        <w:pStyle w:val="Heading4"/>
      </w:pPr>
      <w:proofErr w:type="gramStart"/>
      <w:r>
        <w:t>Particular concerns</w:t>
      </w:r>
      <w:proofErr w:type="gramEnd"/>
      <w:r>
        <w:t xml:space="preserve"> were </w:t>
      </w:r>
      <w:r w:rsidR="009E489A">
        <w:t xml:space="preserve">raised by clinicians over access </w:t>
      </w:r>
      <w:r w:rsidR="00AD4D8A">
        <w:t>to</w:t>
      </w:r>
      <w:r w:rsidRPr="00602824">
        <w:t xml:space="preserve"> surgical guides and </w:t>
      </w:r>
      <w:proofErr w:type="spellStart"/>
      <w:r>
        <w:t>biomodels</w:t>
      </w:r>
      <w:proofErr w:type="spellEnd"/>
      <w:r w:rsidRPr="00602824">
        <w:t xml:space="preserve"> due to the post-listing review process</w:t>
      </w:r>
    </w:p>
    <w:p w14:paraId="24EE8E3F" w14:textId="19813FE0" w:rsidR="0069487A" w:rsidRPr="00602824" w:rsidRDefault="0069487A" w:rsidP="00FB0D85">
      <w:pPr>
        <w:rPr>
          <w:lang w:eastAsia="en-AU"/>
        </w:rPr>
      </w:pPr>
      <w:r w:rsidRPr="00602824">
        <w:rPr>
          <w:lang w:eastAsia="en-AU"/>
        </w:rPr>
        <w:t xml:space="preserve">Oral and maxillofacial surgeons expressed concern about the impact on patient care of the new conditions applied to surgical guides and </w:t>
      </w:r>
      <w:proofErr w:type="spellStart"/>
      <w:r>
        <w:rPr>
          <w:lang w:eastAsia="en-AU"/>
        </w:rPr>
        <w:t>biomodels</w:t>
      </w:r>
      <w:proofErr w:type="spellEnd"/>
      <w:r w:rsidRPr="00602824">
        <w:rPr>
          <w:lang w:eastAsia="en-AU"/>
        </w:rPr>
        <w:t xml:space="preserve"> following stage one of the post-listing review (see </w:t>
      </w:r>
      <w:r w:rsidRPr="00136D15">
        <w:rPr>
          <w:lang w:eastAsia="en-AU"/>
        </w:rPr>
        <w:t xml:space="preserve">Section </w:t>
      </w:r>
      <w:r w:rsidRPr="00136D15">
        <w:rPr>
          <w:lang w:eastAsia="en-AU"/>
        </w:rPr>
        <w:fldChar w:fldCharType="begin"/>
      </w:r>
      <w:r w:rsidRPr="00843A52">
        <w:rPr>
          <w:highlight w:val="yellow"/>
          <w:lang w:eastAsia="en-AU"/>
        </w:rPr>
        <w:instrText xml:space="preserve"> REF _Ref202376441 \r \h </w:instrText>
      </w:r>
      <w:r w:rsidR="00843A52">
        <w:rPr>
          <w:highlight w:val="yellow"/>
          <w:lang w:eastAsia="en-AU"/>
        </w:rPr>
        <w:instrText xml:space="preserve"> \* MERGEFORMAT </w:instrText>
      </w:r>
      <w:r w:rsidRPr="00136D15">
        <w:rPr>
          <w:lang w:eastAsia="en-AU"/>
        </w:rPr>
      </w:r>
      <w:r w:rsidRPr="00136D15">
        <w:rPr>
          <w:lang w:eastAsia="en-AU"/>
        </w:rPr>
        <w:fldChar w:fldCharType="separate"/>
      </w:r>
      <w:r w:rsidR="0092693A" w:rsidRPr="0092693A">
        <w:rPr>
          <w:lang w:eastAsia="en-AU"/>
        </w:rPr>
        <w:t>2.7</w:t>
      </w:r>
      <w:r w:rsidRPr="00136D15">
        <w:rPr>
          <w:lang w:eastAsia="en-AU"/>
        </w:rPr>
        <w:fldChar w:fldCharType="end"/>
      </w:r>
      <w:r w:rsidRPr="00136D15">
        <w:rPr>
          <w:lang w:eastAsia="en-AU"/>
        </w:rPr>
        <w:t>).</w:t>
      </w:r>
      <w:r w:rsidRPr="00602824">
        <w:rPr>
          <w:lang w:eastAsia="en-AU"/>
        </w:rPr>
        <w:t xml:space="preserve"> While these devices remain on the PL, reimbursement was restricted following the review to use in certain procedures and capped at a maximum number of billing codes. </w:t>
      </w:r>
    </w:p>
    <w:p w14:paraId="6ED3CC6B" w14:textId="77777777" w:rsidR="0069487A" w:rsidRPr="00602824" w:rsidRDefault="0069487A" w:rsidP="00FB0D85">
      <w:pPr>
        <w:rPr>
          <w:lang w:eastAsia="en-AU"/>
        </w:rPr>
      </w:pPr>
      <w:r w:rsidRPr="00602824">
        <w:rPr>
          <w:lang w:eastAsia="en-AU"/>
        </w:rPr>
        <w:t xml:space="preserve">Clinicians reported that these restrictions have made it more difficult to perform major surgeries in a single session. Instead, they are sometimes required to stage procedures across multiple occasions to access the necessary surgical guides and </w:t>
      </w:r>
      <w:proofErr w:type="spellStart"/>
      <w:r>
        <w:rPr>
          <w:lang w:eastAsia="en-AU"/>
        </w:rPr>
        <w:t>biomodels</w:t>
      </w:r>
      <w:proofErr w:type="spellEnd"/>
      <w:r w:rsidRPr="00602824">
        <w:rPr>
          <w:lang w:eastAsia="en-AU"/>
        </w:rPr>
        <w:t>. This has increased the treatment burden for patients and delayed recovery times.</w:t>
      </w:r>
      <w:r w:rsidRPr="00602824">
        <w:rPr>
          <w:rStyle w:val="FootnoteReference"/>
          <w:lang w:eastAsia="en-AU"/>
        </w:rPr>
        <w:footnoteReference w:id="51"/>
      </w:r>
    </w:p>
    <w:p w14:paraId="4E56144A" w14:textId="77777777" w:rsidR="0069487A" w:rsidRPr="00602824" w:rsidRDefault="0069487A" w:rsidP="00FB0D85">
      <w:pPr>
        <w:rPr>
          <w:lang w:eastAsia="en-AU"/>
        </w:rPr>
      </w:pPr>
      <w:r w:rsidRPr="00602824">
        <w:rPr>
          <w:lang w:eastAsia="en-AU"/>
        </w:rPr>
        <w:t>Although the conditions apply to the private sector through the PL, some clinicians noted a flow-on effect in the public system. They reported that public hospitals – which had not previously imposed restrictions on these items and typically left decisions to clinician discretion – have become more cautious, with access now subject to additional scrutiny and high-level approvals.</w:t>
      </w:r>
    </w:p>
    <w:p w14:paraId="5755389E" w14:textId="77777777" w:rsidR="0069487A" w:rsidRDefault="0069487A" w:rsidP="00FB0D85">
      <w:pPr>
        <w:rPr>
          <w:lang w:eastAsia="en-AU"/>
        </w:rPr>
      </w:pPr>
      <w:r w:rsidRPr="00602824">
        <w:rPr>
          <w:lang w:eastAsia="en-AU"/>
        </w:rPr>
        <w:t>These developments suggest that the conditions may have had unintended consequences for a subset of surgeons, potentially limiting clinician choice and access to necessary devices.</w:t>
      </w:r>
      <w:r w:rsidRPr="00721472">
        <w:rPr>
          <w:lang w:eastAsia="en-AU"/>
        </w:rPr>
        <w:t xml:space="preserve"> </w:t>
      </w:r>
    </w:p>
    <w:p w14:paraId="5D4ECA4C" w14:textId="77777777" w:rsidR="00721472" w:rsidRPr="000D697E" w:rsidRDefault="00721472" w:rsidP="00721472">
      <w:pPr>
        <w:pStyle w:val="Heading4"/>
      </w:pPr>
      <w:r>
        <w:t xml:space="preserve">Industry raised concerns over the impact on clinician choice in the long term.  </w:t>
      </w:r>
    </w:p>
    <w:p w14:paraId="32B39F73" w14:textId="77777777" w:rsidR="00721472" w:rsidRDefault="00721472" w:rsidP="00FB0D85">
      <w:r w:rsidRPr="00AC1F8D">
        <w:t>Medical technology stakeholders argued that reduced PL benefits may discourage sponsors from launching new or innovative products in Australia, particularly for high</w:t>
      </w:r>
      <w:r w:rsidRPr="00AC1F8D">
        <w:noBreakHyphen/>
        <w:t>cost, low</w:t>
      </w:r>
      <w:r w:rsidRPr="00AC1F8D">
        <w:noBreakHyphen/>
        <w:t>volume technologies</w:t>
      </w:r>
      <w:r>
        <w:t xml:space="preserve">, </w:t>
      </w:r>
      <w:r w:rsidRPr="00AC1F8D">
        <w:t>potentially leading to technologies being unavailable</w:t>
      </w:r>
      <w:r>
        <w:t xml:space="preserve">, thereby limiting choice for clinicians working in the private hospital system. </w:t>
      </w:r>
    </w:p>
    <w:p w14:paraId="36AED605" w14:textId="77777777" w:rsidR="00CD5AAF" w:rsidRDefault="00CD5AAF" w:rsidP="00FB0D85">
      <w:pPr>
        <w:rPr>
          <w:lang w:eastAsia="en-AU"/>
        </w:rPr>
      </w:pPr>
      <w:r w:rsidRPr="00602824">
        <w:rPr>
          <w:lang w:eastAsia="en-AU"/>
        </w:rPr>
        <w:t xml:space="preserve">This risk was endorsed by consultation with the MTAA Cardiac Forum who stated that benefit reductions have, and in the event of more reductions will continue, to make it less attractive for cardiac device sponsors to bring new CIED technology available to the Australian market on the PL.  </w:t>
      </w:r>
    </w:p>
    <w:p w14:paraId="2FF8D073" w14:textId="64985A67" w:rsidR="00721472" w:rsidRDefault="00721472" w:rsidP="00FB0D85">
      <w:r>
        <w:t xml:space="preserve">Other examples raised by medical device stakeholders included </w:t>
      </w:r>
      <w:r w:rsidRPr="00356B87">
        <w:t>restrictions on adding new product groups (e.g. GUIs under Part D and new Part C products) limit</w:t>
      </w:r>
      <w:r w:rsidR="00CA2D4D">
        <w:t>ing</w:t>
      </w:r>
      <w:r w:rsidRPr="00356B87">
        <w:t xml:space="preserve"> the ability of the PL to accommodate innovation, potentially leading to technologies being unavailable in the private system.</w:t>
      </w:r>
    </w:p>
    <w:p w14:paraId="74B1F200" w14:textId="392F2008" w:rsidR="003510C7" w:rsidRDefault="00CA2D4D" w:rsidP="00FB0D85">
      <w:r>
        <w:t>T</w:t>
      </w:r>
      <w:r w:rsidR="00721472" w:rsidRPr="00CD298E">
        <w:t xml:space="preserve">hey warned that </w:t>
      </w:r>
      <w:r w:rsidR="007F4D93" w:rsidRPr="00602824">
        <w:rPr>
          <w:lang w:eastAsia="en-AU"/>
        </w:rPr>
        <w:t xml:space="preserve">benefit reductions have placed pressure on the industry sponsors </w:t>
      </w:r>
      <w:r w:rsidR="007F4D93">
        <w:rPr>
          <w:lang w:eastAsia="en-AU"/>
        </w:rPr>
        <w:t xml:space="preserve">and that the </w:t>
      </w:r>
      <w:r w:rsidR="00721472" w:rsidRPr="00CD298E">
        <w:t>cumulative effects could become more significant for patient access and clinical outcomes over time.</w:t>
      </w:r>
      <w:r w:rsidR="00212E68">
        <w:t xml:space="preserve"> They argued </w:t>
      </w:r>
      <w:r w:rsidR="004F79AA">
        <w:t>strongly that</w:t>
      </w:r>
      <w:r w:rsidR="004F79AA" w:rsidRPr="00F1233A">
        <w:t xml:space="preserve"> cumulative pricing pressures could lead to delisting of products, </w:t>
      </w:r>
      <w:r w:rsidR="007F4D93" w:rsidRPr="00602824">
        <w:rPr>
          <w:lang w:eastAsia="en-AU"/>
        </w:rPr>
        <w:t>or withholding new product launches, especially for innovative or low-volume devices on the PL</w:t>
      </w:r>
      <w:r w:rsidR="007F4D93">
        <w:rPr>
          <w:lang w:eastAsia="en-AU"/>
        </w:rPr>
        <w:t xml:space="preserve">, </w:t>
      </w:r>
      <w:r w:rsidR="004F79AA" w:rsidRPr="00F1233A">
        <w:t>narrowing the range of options available to clinicians over time.</w:t>
      </w:r>
      <w:r w:rsidR="009D502F">
        <w:t xml:space="preserve"> </w:t>
      </w:r>
    </w:p>
    <w:p w14:paraId="05ED08A0" w14:textId="57D4BD2B" w:rsidR="004033A7" w:rsidRPr="00602824" w:rsidRDefault="003F72B2" w:rsidP="004033A7">
      <w:pPr>
        <w:pStyle w:val="Heading2"/>
      </w:pPr>
      <w:bookmarkStart w:id="36" w:name="_Toc204695301"/>
      <w:bookmarkStart w:id="37" w:name="_Toc204767286"/>
      <w:bookmarkStart w:id="38" w:name="_Ref159872912"/>
      <w:bookmarkStart w:id="39" w:name="_Toc164439318"/>
      <w:bookmarkStart w:id="40" w:name="_Toc181405082"/>
      <w:bookmarkStart w:id="41" w:name="_Ref230011360"/>
      <w:bookmarkStart w:id="42" w:name="_Toc237002806"/>
      <w:bookmarkEnd w:id="36"/>
      <w:bookmarkEnd w:id="37"/>
      <w:r w:rsidRPr="00602824">
        <w:t>Objective 4: Improve the affordability and value of PHI for privately insured Australians</w:t>
      </w:r>
      <w:bookmarkEnd w:id="38"/>
      <w:bookmarkEnd w:id="39"/>
      <w:bookmarkEnd w:id="40"/>
      <w:bookmarkEnd w:id="41"/>
      <w:bookmarkEnd w:id="42"/>
    </w:p>
    <w:p w14:paraId="4553BA2B" w14:textId="2261B83D" w:rsidR="003F72B2" w:rsidRPr="00947974" w:rsidRDefault="003F72B2" w:rsidP="004B79E6">
      <w:pPr>
        <w:rPr>
          <w:i/>
          <w:iCs/>
        </w:rPr>
      </w:pPr>
      <w:r w:rsidRPr="00947974">
        <w:rPr>
          <w:i/>
          <w:iCs/>
        </w:rPr>
        <w:t xml:space="preserve">This section </w:t>
      </w:r>
      <w:r w:rsidR="008D2364" w:rsidRPr="00947974">
        <w:rPr>
          <w:i/>
          <w:iCs/>
        </w:rPr>
        <w:t xml:space="preserve">examines the estimated savings from the reforms and </w:t>
      </w:r>
      <w:r w:rsidRPr="00947974">
        <w:rPr>
          <w:i/>
          <w:iCs/>
        </w:rPr>
        <w:t>considers changes in PHI premium increases to examine the affordability of PHI. It looks at premium price changes over time and any changes in PHI premiums that can be related to PL expenditure. This section also considers changes in PHI coverage and for whom to examine the value of PHI.</w:t>
      </w:r>
    </w:p>
    <w:p w14:paraId="3819ECAC" w14:textId="0D43F82C" w:rsidR="003F72B2" w:rsidRPr="00602824" w:rsidRDefault="003F72B2" w:rsidP="00B50EE7">
      <w:pPr>
        <w:pStyle w:val="Caption"/>
        <w:rPr>
          <w:lang w:eastAsia="en-AU"/>
        </w:rPr>
      </w:pPr>
      <w:r w:rsidRPr="00602824">
        <w:t xml:space="preserve">Figure </w:t>
      </w:r>
      <w:r w:rsidR="005539DD">
        <w:fldChar w:fldCharType="begin"/>
      </w:r>
      <w:r w:rsidR="005539DD">
        <w:instrText xml:space="preserve"> SEQ Figure \* ARABIC </w:instrText>
      </w:r>
      <w:r w:rsidR="005539DD">
        <w:fldChar w:fldCharType="separate"/>
      </w:r>
      <w:r w:rsidR="0092693A">
        <w:rPr>
          <w:noProof/>
        </w:rPr>
        <w:t>13</w:t>
      </w:r>
      <w:r w:rsidR="005539DD">
        <w:fldChar w:fldCharType="end"/>
      </w:r>
      <w:r w:rsidRPr="00602824">
        <w:t xml:space="preserve"> | Reform projects related to reform objective 4</w:t>
      </w:r>
    </w:p>
    <w:p w14:paraId="55994F49" w14:textId="77777777" w:rsidR="003F72B2" w:rsidRPr="00602824" w:rsidRDefault="003F72B2" w:rsidP="003F72B2">
      <w:pPr>
        <w:rPr>
          <w:lang w:eastAsia="en-AU"/>
        </w:rPr>
      </w:pPr>
      <w:r w:rsidRPr="00AC7E3F">
        <w:rPr>
          <w:noProof/>
          <w:lang w:eastAsia="en-AU"/>
        </w:rPr>
        <w:drawing>
          <wp:inline distT="0" distB="0" distL="0" distR="0" wp14:anchorId="75838453" wp14:editId="3D1C7A76">
            <wp:extent cx="5832000" cy="1524402"/>
            <wp:effectExtent l="0" t="0" r="0" b="0"/>
            <wp:docPr id="110633269" name="Picture 1" descr="A figure showing reform objective 4. Affordability and value of PHI is achieved through objectives 1, 2 and 3. Objective 4 is also connected with a dotted line to benefit red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33269" name="Picture 1" descr="A figure showing reform objective 4. Affordability and value of PHI is achieved through objectives 1, 2 and 3. Objective 4 is also connected with a dotted line to benefit reductions."/>
                    <pic:cNvPicPr/>
                  </pic:nvPicPr>
                  <pic:blipFill>
                    <a:blip r:embed="rId35"/>
                    <a:stretch>
                      <a:fillRect/>
                    </a:stretch>
                  </pic:blipFill>
                  <pic:spPr>
                    <a:xfrm>
                      <a:off x="0" y="0"/>
                      <a:ext cx="5832000" cy="1524402"/>
                    </a:xfrm>
                    <a:prstGeom prst="rect">
                      <a:avLst/>
                    </a:prstGeom>
                  </pic:spPr>
                </pic:pic>
              </a:graphicData>
            </a:graphic>
          </wp:inline>
        </w:drawing>
      </w:r>
    </w:p>
    <w:p w14:paraId="62B04DEB" w14:textId="439DD0C5" w:rsidR="00796D48" w:rsidRPr="00602824" w:rsidRDefault="00D43D0C" w:rsidP="00796D48">
      <w:pPr>
        <w:pStyle w:val="Heading3"/>
      </w:pPr>
      <w:r>
        <w:t>Reform</w:t>
      </w:r>
      <w:r w:rsidR="00796D48" w:rsidRPr="00602824">
        <w:t xml:space="preserve"> </w:t>
      </w:r>
      <w:r w:rsidR="00C572C9">
        <w:t>project</w:t>
      </w:r>
      <w:r w:rsidR="00796D48" w:rsidRPr="00602824">
        <w:t xml:space="preserve">: </w:t>
      </w:r>
      <w:r w:rsidR="00576711" w:rsidRPr="00602824">
        <w:t>a</w:t>
      </w:r>
      <w:r w:rsidR="00796D48" w:rsidRPr="00602824">
        <w:t>ffordability of PHI</w:t>
      </w:r>
    </w:p>
    <w:tbl>
      <w:tblPr>
        <w:tblStyle w:val="NOUSSideHeader4"/>
        <w:tblW w:w="5000" w:type="pct"/>
        <w:tblLook w:val="04A0" w:firstRow="1" w:lastRow="0" w:firstColumn="1" w:lastColumn="0" w:noHBand="0" w:noVBand="1"/>
      </w:tblPr>
      <w:tblGrid>
        <w:gridCol w:w="9185"/>
      </w:tblGrid>
      <w:tr w:rsidR="009C0E4F" w:rsidRPr="00602824" w14:paraId="3A72E68B" w14:textId="77777777" w:rsidTr="004440B3">
        <w:trPr>
          <w:cnfStyle w:val="100000000000" w:firstRow="1" w:lastRow="0" w:firstColumn="0" w:lastColumn="0" w:oddVBand="0" w:evenVBand="0" w:oddHBand="0" w:evenHBand="0" w:firstRowFirstColumn="0" w:firstRowLastColumn="0" w:lastRowFirstColumn="0" w:lastRowLastColumn="0"/>
        </w:trPr>
        <w:tc>
          <w:tcPr>
            <w:tcW w:w="9061" w:type="dxa"/>
          </w:tcPr>
          <w:p w14:paraId="58D9E6AA" w14:textId="2AADE33E" w:rsidR="00796D48" w:rsidRPr="00602824" w:rsidRDefault="00FF621F" w:rsidP="004440B3">
            <w:pPr>
              <w:spacing w:before="60"/>
            </w:pPr>
            <w:r w:rsidRPr="00602824">
              <w:rPr>
                <w:lang w:eastAsia="en-AU"/>
              </w:rPr>
              <w:t xml:space="preserve">The benefit reductions </w:t>
            </w:r>
            <w:r w:rsidR="00CF305C" w:rsidRPr="00602824">
              <w:rPr>
                <w:lang w:eastAsia="en-AU"/>
              </w:rPr>
              <w:t xml:space="preserve">which aim to improve the affordability of private health insurance </w:t>
            </w:r>
            <w:r w:rsidRPr="00602824">
              <w:rPr>
                <w:lang w:eastAsia="en-AU"/>
              </w:rPr>
              <w:t>are outlined in Objective 1.</w:t>
            </w:r>
            <w:r w:rsidR="00796D48" w:rsidRPr="00602824">
              <w:rPr>
                <w:lang w:eastAsia="en-AU"/>
              </w:rPr>
              <w:t xml:space="preserve"> </w:t>
            </w:r>
          </w:p>
        </w:tc>
      </w:tr>
    </w:tbl>
    <w:p w14:paraId="1FABBB7B" w14:textId="49BC1064" w:rsidR="0054049B" w:rsidRPr="00602824" w:rsidRDefault="00241B77" w:rsidP="0054049B">
      <w:pPr>
        <w:pStyle w:val="Heading3"/>
      </w:pPr>
      <w:r w:rsidRPr="00FB712C">
        <w:t xml:space="preserve">The reforms </w:t>
      </w:r>
      <w:r w:rsidR="0077289B">
        <w:t xml:space="preserve">are expected to achieve </w:t>
      </w:r>
      <w:r w:rsidR="00516432">
        <w:t xml:space="preserve">$1 billion of </w:t>
      </w:r>
      <w:r w:rsidR="0077289B">
        <w:t>savings</w:t>
      </w:r>
      <w:r w:rsidR="0035415B">
        <w:t xml:space="preserve"> resulting from benefit reductions</w:t>
      </w:r>
      <w:r w:rsidR="006864DF">
        <w:t xml:space="preserve"> </w:t>
      </w:r>
      <w:r w:rsidR="0077289B">
        <w:t>by</w:t>
      </w:r>
      <w:r w:rsidR="006864DF">
        <w:t xml:space="preserve"> 2027</w:t>
      </w:r>
    </w:p>
    <w:p w14:paraId="741FDAF6" w14:textId="410D1A1B" w:rsidR="004764B2" w:rsidRDefault="00D06961" w:rsidP="0054049B">
      <w:pPr>
        <w:rPr>
          <w:lang w:eastAsia="en-AU"/>
        </w:rPr>
      </w:pPr>
      <w:r w:rsidRPr="00602824">
        <w:rPr>
          <w:lang w:eastAsia="en-AU"/>
        </w:rPr>
        <w:t>According to IHACPA</w:t>
      </w:r>
      <w:r w:rsidR="00CF6A9E" w:rsidRPr="00602824">
        <w:rPr>
          <w:lang w:eastAsia="en-AU"/>
        </w:rPr>
        <w:t xml:space="preserve"> </w:t>
      </w:r>
      <w:r w:rsidR="00357CBF">
        <w:rPr>
          <w:lang w:eastAsia="en-AU"/>
        </w:rPr>
        <w:t>estimates</w:t>
      </w:r>
      <w:r w:rsidRPr="00602824">
        <w:rPr>
          <w:lang w:eastAsia="en-AU"/>
        </w:rPr>
        <w:t xml:space="preserve">, </w:t>
      </w:r>
      <w:r w:rsidR="002C4BF3" w:rsidRPr="00602824">
        <w:rPr>
          <w:lang w:eastAsia="en-AU"/>
        </w:rPr>
        <w:t>the PL reforms generated $</w:t>
      </w:r>
      <w:r w:rsidR="007B4E55">
        <w:rPr>
          <w:lang w:eastAsia="en-AU"/>
        </w:rPr>
        <w:t>540</w:t>
      </w:r>
      <w:r w:rsidR="002C4BF3" w:rsidRPr="00602824">
        <w:rPr>
          <w:lang w:eastAsia="en-AU"/>
        </w:rPr>
        <w:t xml:space="preserve"> million</w:t>
      </w:r>
      <w:r w:rsidR="00357CBF">
        <w:rPr>
          <w:lang w:eastAsia="en-AU"/>
        </w:rPr>
        <w:t xml:space="preserve"> </w:t>
      </w:r>
      <w:r w:rsidR="002C4BF3" w:rsidRPr="00602824">
        <w:rPr>
          <w:lang w:eastAsia="en-AU"/>
        </w:rPr>
        <w:t>in</w:t>
      </w:r>
      <w:r w:rsidR="00D06488">
        <w:rPr>
          <w:lang w:eastAsia="en-AU"/>
        </w:rPr>
        <w:t xml:space="preserve"> benefit reduction</w:t>
      </w:r>
      <w:r w:rsidR="002C4BF3" w:rsidRPr="00602824">
        <w:rPr>
          <w:lang w:eastAsia="en-AU"/>
        </w:rPr>
        <w:t xml:space="preserve"> savings </w:t>
      </w:r>
      <w:r w:rsidR="004764B2">
        <w:rPr>
          <w:lang w:eastAsia="en-AU"/>
        </w:rPr>
        <w:t xml:space="preserve">over </w:t>
      </w:r>
      <w:r w:rsidR="00357CBF">
        <w:rPr>
          <w:lang w:eastAsia="en-AU"/>
        </w:rPr>
        <w:t xml:space="preserve">the </w:t>
      </w:r>
      <w:r w:rsidR="007B4E55">
        <w:rPr>
          <w:lang w:eastAsia="en-AU"/>
        </w:rPr>
        <w:t>three</w:t>
      </w:r>
      <w:r w:rsidR="00357CBF">
        <w:rPr>
          <w:lang w:eastAsia="en-AU"/>
        </w:rPr>
        <w:t xml:space="preserve"> years from </w:t>
      </w:r>
      <w:r w:rsidR="002C4BF3" w:rsidRPr="00602824">
        <w:rPr>
          <w:lang w:eastAsia="en-AU"/>
        </w:rPr>
        <w:t xml:space="preserve">July 2022 </w:t>
      </w:r>
      <w:r w:rsidR="00981C65">
        <w:rPr>
          <w:lang w:eastAsia="en-AU"/>
        </w:rPr>
        <w:t>to</w:t>
      </w:r>
      <w:r w:rsidR="002C4BF3" w:rsidRPr="00602824">
        <w:rPr>
          <w:lang w:eastAsia="en-AU"/>
        </w:rPr>
        <w:t xml:space="preserve"> June 202</w:t>
      </w:r>
      <w:r w:rsidR="007B4E55">
        <w:rPr>
          <w:lang w:eastAsia="en-AU"/>
        </w:rPr>
        <w:t>5</w:t>
      </w:r>
      <w:r w:rsidR="0054049B" w:rsidRPr="00602824">
        <w:rPr>
          <w:lang w:eastAsia="en-AU"/>
        </w:rPr>
        <w:t>.</w:t>
      </w:r>
      <w:r w:rsidR="000658AC" w:rsidRPr="00602824">
        <w:rPr>
          <w:rStyle w:val="FootnoteReference"/>
          <w:lang w:eastAsia="en-AU"/>
        </w:rPr>
        <w:footnoteReference w:id="52"/>
      </w:r>
      <w:r w:rsidR="00D13688">
        <w:rPr>
          <w:lang w:eastAsia="en-AU"/>
        </w:rPr>
        <w:t xml:space="preserve"> </w:t>
      </w:r>
      <w:r w:rsidR="004764B2">
        <w:rPr>
          <w:lang w:eastAsia="en-AU"/>
        </w:rPr>
        <w:t xml:space="preserve">Savings increased </w:t>
      </w:r>
      <w:r w:rsidR="00BB7F91">
        <w:rPr>
          <w:lang w:eastAsia="en-AU"/>
        </w:rPr>
        <w:t xml:space="preserve">each year </w:t>
      </w:r>
      <w:r w:rsidR="004764B2">
        <w:rPr>
          <w:lang w:eastAsia="en-AU"/>
        </w:rPr>
        <w:t>over this period as benefit reductions were progressively implemented</w:t>
      </w:r>
      <w:r w:rsidR="00B129A9">
        <w:rPr>
          <w:lang w:eastAsia="en-AU"/>
        </w:rPr>
        <w:t>, reaching $239 million in FY25 once the reductions had been fully applied.</w:t>
      </w:r>
    </w:p>
    <w:p w14:paraId="3E8FB09D" w14:textId="799E7F6A" w:rsidR="003B6E57" w:rsidRDefault="003B6E57" w:rsidP="0054049B">
      <w:pPr>
        <w:rPr>
          <w:lang w:eastAsia="en-AU"/>
        </w:rPr>
      </w:pPr>
      <w:r>
        <w:rPr>
          <w:lang w:eastAsia="en-AU"/>
        </w:rPr>
        <w:t>The FY25 saving provides the clearest indication of the reforms’ ongoing financial effect. Subject to future changes in device volumes, benefit settings and utilisation patterns, savings of a similar annual order are expected to continue in future years compared with the counterfactual where the reforms had not been implemented.</w:t>
      </w:r>
    </w:p>
    <w:p w14:paraId="6F77EFFF" w14:textId="3957CD7C" w:rsidR="007C5064" w:rsidRPr="00602824" w:rsidRDefault="00536E5D" w:rsidP="0054049B">
      <w:pPr>
        <w:rPr>
          <w:lang w:eastAsia="en-AU"/>
        </w:rPr>
      </w:pPr>
      <w:r>
        <w:rPr>
          <w:lang w:eastAsia="en-AU"/>
        </w:rPr>
        <w:t xml:space="preserve">Based on projections made in </w:t>
      </w:r>
      <w:r w:rsidR="005E497E">
        <w:rPr>
          <w:lang w:eastAsia="en-AU"/>
        </w:rPr>
        <w:t>November 2023</w:t>
      </w:r>
      <w:r w:rsidR="007C5064" w:rsidRPr="00602824">
        <w:rPr>
          <w:lang w:eastAsia="en-AU"/>
        </w:rPr>
        <w:t xml:space="preserve">, IHACPA estimates that the reforms will generate </w:t>
      </w:r>
      <w:r w:rsidR="004F6EE1">
        <w:rPr>
          <w:lang w:eastAsia="en-AU"/>
        </w:rPr>
        <w:t>over $1 billion</w:t>
      </w:r>
      <w:r w:rsidR="007C5064" w:rsidRPr="00602824">
        <w:rPr>
          <w:lang w:eastAsia="en-AU"/>
        </w:rPr>
        <w:t xml:space="preserve"> in total savings over the five years from July 2022 to June 2027.</w:t>
      </w:r>
      <w:r w:rsidR="007C5064" w:rsidRPr="00602824">
        <w:rPr>
          <w:rStyle w:val="FootnoteReference"/>
          <w:lang w:eastAsia="en-AU"/>
        </w:rPr>
        <w:footnoteReference w:id="53"/>
      </w:r>
    </w:p>
    <w:p w14:paraId="1FBC25E1" w14:textId="4FE03EE6" w:rsidR="0050060E" w:rsidRPr="00602824" w:rsidRDefault="00095F90" w:rsidP="00292AD5">
      <w:pPr>
        <w:rPr>
          <w:lang w:eastAsia="en-AU"/>
        </w:rPr>
      </w:pPr>
      <w:r>
        <w:rPr>
          <w:lang w:eastAsia="en-AU"/>
        </w:rPr>
        <w:t>This means t</w:t>
      </w:r>
      <w:r w:rsidR="00B063E0" w:rsidRPr="00602824">
        <w:rPr>
          <w:lang w:eastAsia="en-AU"/>
        </w:rPr>
        <w:t>he reforms are achieving their intended effect of sustaining lower benefit levels across the PL. These lower benefits reduce the insurance payments made for medical devices used in private hospitals, placing downward pressure on PHI premiums.</w:t>
      </w:r>
    </w:p>
    <w:p w14:paraId="447553C3" w14:textId="77777777" w:rsidR="0054049B" w:rsidRPr="00602824" w:rsidRDefault="0054049B" w:rsidP="0054049B">
      <w:pPr>
        <w:pStyle w:val="Heading4"/>
      </w:pPr>
      <w:r w:rsidRPr="00602824">
        <w:t>Savings have been limited by several factors</w:t>
      </w:r>
    </w:p>
    <w:p w14:paraId="4AE666DB" w14:textId="1491704F" w:rsidR="006429DC" w:rsidRPr="00602824" w:rsidRDefault="003C6680" w:rsidP="0054049B">
      <w:pPr>
        <w:rPr>
          <w:lang w:eastAsia="en-AU"/>
        </w:rPr>
      </w:pPr>
      <w:r w:rsidRPr="00602824">
        <w:rPr>
          <w:lang w:eastAsia="en-AU"/>
        </w:rPr>
        <w:t>T</w:t>
      </w:r>
      <w:r w:rsidR="00846B50" w:rsidRPr="00602824">
        <w:rPr>
          <w:lang w:eastAsia="en-AU"/>
        </w:rPr>
        <w:t xml:space="preserve">he extent of savings achieved through the PL reforms has been limited by </w:t>
      </w:r>
      <w:r w:rsidR="004977FB" w:rsidRPr="00602824">
        <w:rPr>
          <w:lang w:eastAsia="en-AU"/>
        </w:rPr>
        <w:t xml:space="preserve">structural and </w:t>
      </w:r>
      <w:r w:rsidR="00846B50" w:rsidRPr="00602824">
        <w:rPr>
          <w:lang w:eastAsia="en-AU"/>
        </w:rPr>
        <w:t>policy</w:t>
      </w:r>
      <w:r w:rsidR="005B76C7" w:rsidRPr="00602824">
        <w:rPr>
          <w:lang w:eastAsia="en-AU"/>
        </w:rPr>
        <w:t xml:space="preserve"> parameters</w:t>
      </w:r>
      <w:r w:rsidR="00C40622" w:rsidRPr="00602824">
        <w:rPr>
          <w:lang w:eastAsia="en-AU"/>
        </w:rPr>
        <w:t>.</w:t>
      </w:r>
      <w:r w:rsidR="001618F2" w:rsidRPr="00602824">
        <w:rPr>
          <w:lang w:eastAsia="en-AU"/>
        </w:rPr>
        <w:t xml:space="preserve"> Notably, </w:t>
      </w:r>
      <w:r w:rsidR="005235C1" w:rsidRPr="00602824">
        <w:rPr>
          <w:lang w:eastAsia="en-AU"/>
        </w:rPr>
        <w:t xml:space="preserve">benefit reductions </w:t>
      </w:r>
      <w:r w:rsidR="001618F2" w:rsidRPr="00602824">
        <w:rPr>
          <w:lang w:eastAsia="en-AU"/>
        </w:rPr>
        <w:t>were determined under the M</w:t>
      </w:r>
      <w:r w:rsidR="00B063E0" w:rsidRPr="00602824">
        <w:rPr>
          <w:lang w:eastAsia="en-AU"/>
        </w:rPr>
        <w:t>O</w:t>
      </w:r>
      <w:r w:rsidR="001618F2" w:rsidRPr="00602824">
        <w:rPr>
          <w:lang w:eastAsia="en-AU"/>
        </w:rPr>
        <w:t xml:space="preserve">U </w:t>
      </w:r>
      <w:r w:rsidR="00B97410" w:rsidRPr="00602824">
        <w:rPr>
          <w:lang w:eastAsia="en-AU"/>
        </w:rPr>
        <w:t xml:space="preserve">between the </w:t>
      </w:r>
      <w:r w:rsidR="0018313B" w:rsidRPr="00602824">
        <w:rPr>
          <w:lang w:eastAsia="en-AU"/>
        </w:rPr>
        <w:t xml:space="preserve">then </w:t>
      </w:r>
      <w:r w:rsidR="00B97410" w:rsidRPr="00602824">
        <w:rPr>
          <w:lang w:eastAsia="en-AU"/>
        </w:rPr>
        <w:t>Australian Government and the MTAA</w:t>
      </w:r>
      <w:r w:rsidR="00356198" w:rsidRPr="00602824">
        <w:rPr>
          <w:lang w:eastAsia="en-AU"/>
        </w:rPr>
        <w:t xml:space="preserve"> to reference public sector pricing only, rather than broader </w:t>
      </w:r>
      <w:r w:rsidR="00700C7B" w:rsidRPr="00602824">
        <w:rPr>
          <w:lang w:eastAsia="en-AU"/>
        </w:rPr>
        <w:t xml:space="preserve">market </w:t>
      </w:r>
      <w:r w:rsidR="00356198" w:rsidRPr="00602824">
        <w:rPr>
          <w:lang w:eastAsia="en-AU"/>
        </w:rPr>
        <w:t>benchmarks.</w:t>
      </w:r>
      <w:r w:rsidR="003C233D" w:rsidRPr="00602824">
        <w:rPr>
          <w:rStyle w:val="FootnoteReference"/>
          <w:lang w:eastAsia="en-AU"/>
        </w:rPr>
        <w:footnoteReference w:id="54"/>
      </w:r>
      <w:r w:rsidR="0018313B" w:rsidRPr="00602824">
        <w:rPr>
          <w:lang w:eastAsia="en-AU"/>
        </w:rPr>
        <w:t xml:space="preserve"> Under these arrangements</w:t>
      </w:r>
      <w:r w:rsidR="006A6887" w:rsidRPr="00602824">
        <w:rPr>
          <w:lang w:eastAsia="en-AU"/>
        </w:rPr>
        <w:t>, benefit reductions were capped at a maximum of 80% of the gap between the PL benefit and public reference prices, with a 7% price floor above public prices applied.</w:t>
      </w:r>
      <w:r w:rsidR="00DF3D97" w:rsidRPr="00602824">
        <w:rPr>
          <w:lang w:eastAsia="en-AU"/>
        </w:rPr>
        <w:t xml:space="preserve"> </w:t>
      </w:r>
    </w:p>
    <w:p w14:paraId="7A287679" w14:textId="16730F7F" w:rsidR="00DB02A6" w:rsidRPr="00602824" w:rsidRDefault="00A44086" w:rsidP="0054049B">
      <w:r w:rsidRPr="00602824">
        <w:rPr>
          <w:lang w:eastAsia="en-AU"/>
        </w:rPr>
        <w:t xml:space="preserve">Stakeholders have </w:t>
      </w:r>
      <w:r w:rsidR="003A1101" w:rsidRPr="00602824">
        <w:rPr>
          <w:lang w:eastAsia="en-AU"/>
        </w:rPr>
        <w:t xml:space="preserve">expressed varied </w:t>
      </w:r>
      <w:r w:rsidRPr="00602824">
        <w:rPr>
          <w:lang w:eastAsia="en-AU"/>
        </w:rPr>
        <w:t xml:space="preserve">perspectives about the validity of these </w:t>
      </w:r>
      <w:r w:rsidR="00AE1B1C" w:rsidRPr="00602824">
        <w:rPr>
          <w:lang w:eastAsia="en-AU"/>
        </w:rPr>
        <w:t>parameter</w:t>
      </w:r>
      <w:r w:rsidR="00470D50" w:rsidRPr="00602824">
        <w:rPr>
          <w:lang w:eastAsia="en-AU"/>
        </w:rPr>
        <w:t>s</w:t>
      </w:r>
      <w:r w:rsidR="008D1D21" w:rsidRPr="00602824">
        <w:rPr>
          <w:lang w:eastAsia="en-AU"/>
        </w:rPr>
        <w:t xml:space="preserve">, as outlined in </w:t>
      </w:r>
      <w:r w:rsidR="000377F0">
        <w:rPr>
          <w:lang w:eastAsia="en-AU"/>
        </w:rPr>
        <w:t>Section</w:t>
      </w:r>
      <w:r w:rsidR="000377F0" w:rsidRPr="00602824">
        <w:rPr>
          <w:lang w:eastAsia="en-AU"/>
        </w:rPr>
        <w:t xml:space="preserve"> </w:t>
      </w:r>
      <w:r w:rsidR="008D1D21" w:rsidRPr="00602824">
        <w:rPr>
          <w:lang w:eastAsia="en-AU"/>
        </w:rPr>
        <w:t xml:space="preserve">2.3.3 (page 14) of the </w:t>
      </w:r>
      <w:r w:rsidR="008D1D21" w:rsidRPr="00602824">
        <w:rPr>
          <w:i/>
        </w:rPr>
        <w:t>Interim Evaluation #1 report</w:t>
      </w:r>
      <w:r w:rsidR="008D1D21" w:rsidRPr="00602824">
        <w:t>.</w:t>
      </w:r>
      <w:r w:rsidR="008D1D21" w:rsidRPr="00602824">
        <w:rPr>
          <w:rStyle w:val="FootnoteReference"/>
        </w:rPr>
        <w:footnoteReference w:id="55"/>
      </w:r>
      <w:r w:rsidR="000D4696" w:rsidRPr="00602824">
        <w:t xml:space="preserve"> </w:t>
      </w:r>
      <w:r w:rsidR="00FE45C1" w:rsidRPr="00602824">
        <w:t>In particular, s</w:t>
      </w:r>
      <w:r w:rsidR="00A8483C" w:rsidRPr="00602824">
        <w:t xml:space="preserve">ome consider the 80% cap and </w:t>
      </w:r>
      <w:r w:rsidR="00025ED4" w:rsidRPr="00602824">
        <w:t>7</w:t>
      </w:r>
      <w:r w:rsidR="00A8483C" w:rsidRPr="00602824">
        <w:t xml:space="preserve">% price floor to </w:t>
      </w:r>
      <w:r w:rsidR="005D2E20" w:rsidRPr="00602824">
        <w:t>limit the extent of achievable savings, while others</w:t>
      </w:r>
      <w:r w:rsidR="00E63BE4" w:rsidRPr="00602824">
        <w:t xml:space="preserve"> view these conditions as</w:t>
      </w:r>
      <w:r w:rsidR="00AA3A3E" w:rsidRPr="00602824">
        <w:t xml:space="preserve"> protections to account for differences between </w:t>
      </w:r>
      <w:r w:rsidR="004D2A7E" w:rsidRPr="00602824">
        <w:t>public and private hospital pricing.</w:t>
      </w:r>
    </w:p>
    <w:p w14:paraId="3F4E49FC" w14:textId="73367E58" w:rsidR="00CD0F1D" w:rsidRPr="00602824" w:rsidRDefault="00D52338" w:rsidP="00292AD5">
      <w:r w:rsidRPr="00602824">
        <w:rPr>
          <w:lang w:eastAsia="en-AU"/>
        </w:rPr>
        <w:t>In addition, the</w:t>
      </w:r>
      <w:r w:rsidR="0074556B" w:rsidRPr="00602824">
        <w:rPr>
          <w:lang w:eastAsia="en-AU"/>
        </w:rPr>
        <w:t xml:space="preserve"> </w:t>
      </w:r>
      <w:r w:rsidR="00862A56" w:rsidRPr="00602824">
        <w:rPr>
          <w:lang w:eastAsia="en-AU"/>
        </w:rPr>
        <w:t xml:space="preserve">delayed </w:t>
      </w:r>
      <w:r w:rsidR="00CD483E" w:rsidRPr="00602824">
        <w:rPr>
          <w:lang w:eastAsia="en-AU"/>
        </w:rPr>
        <w:t>implementation of benefit reductions</w:t>
      </w:r>
      <w:r w:rsidR="00155D1B" w:rsidRPr="00602824">
        <w:rPr>
          <w:lang w:eastAsia="en-AU"/>
        </w:rPr>
        <w:t xml:space="preserve"> for certain items</w:t>
      </w:r>
      <w:r w:rsidR="00CD483E" w:rsidRPr="00602824">
        <w:rPr>
          <w:lang w:eastAsia="en-AU"/>
        </w:rPr>
        <w:t xml:space="preserve"> </w:t>
      </w:r>
      <w:r w:rsidR="00CA151D" w:rsidRPr="00602824">
        <w:rPr>
          <w:lang w:eastAsia="en-AU"/>
        </w:rPr>
        <w:t xml:space="preserve">has </w:t>
      </w:r>
      <w:r w:rsidR="00FE3F2A" w:rsidRPr="00602824">
        <w:rPr>
          <w:lang w:eastAsia="en-AU"/>
        </w:rPr>
        <w:t>l</w:t>
      </w:r>
      <w:r w:rsidR="0074556B" w:rsidRPr="00602824">
        <w:rPr>
          <w:lang w:eastAsia="en-AU"/>
        </w:rPr>
        <w:t xml:space="preserve">imited savings. </w:t>
      </w:r>
      <w:r w:rsidR="00CA151D" w:rsidRPr="00602824">
        <w:t>IHACPA estimated that the</w:t>
      </w:r>
      <w:r w:rsidR="0054049B" w:rsidRPr="00602824">
        <w:t xml:space="preserve"> decision to de</w:t>
      </w:r>
      <w:r w:rsidR="00FE3F2A" w:rsidRPr="00602824">
        <w:t>f</w:t>
      </w:r>
      <w:r w:rsidR="0054049B" w:rsidRPr="00602824">
        <w:t xml:space="preserve">er benefit reductions of CIEDs by one year </w:t>
      </w:r>
      <w:r w:rsidR="00CA151D" w:rsidRPr="00602824">
        <w:t xml:space="preserve">would </w:t>
      </w:r>
      <w:r w:rsidR="00EF0CA9" w:rsidRPr="00602824">
        <w:t>result in</w:t>
      </w:r>
      <w:r w:rsidR="0054049B" w:rsidRPr="00602824">
        <w:t xml:space="preserve"> $94 million in foregone savings over the five-year period from July 2022 to June 2027</w:t>
      </w:r>
      <w:r w:rsidR="00CD0F1D" w:rsidRPr="00602824">
        <w:t>.</w:t>
      </w:r>
      <w:r w:rsidR="003733AE" w:rsidRPr="00602824">
        <w:rPr>
          <w:rStyle w:val="FootnoteReference"/>
        </w:rPr>
        <w:footnoteReference w:id="56"/>
      </w:r>
      <w:r w:rsidR="001A5B43" w:rsidRPr="00602824">
        <w:t xml:space="preserve"> </w:t>
      </w:r>
      <w:r w:rsidR="0054049B" w:rsidRPr="00602824">
        <w:t>The</w:t>
      </w:r>
      <w:r w:rsidR="001A5B43" w:rsidRPr="00602824">
        <w:t xml:space="preserve"> implications of this</w:t>
      </w:r>
      <w:r w:rsidR="0054049B" w:rsidRPr="00602824">
        <w:t xml:space="preserve"> delay</w:t>
      </w:r>
      <w:r w:rsidR="001A5B43" w:rsidRPr="00602824">
        <w:t xml:space="preserve">, as well as other factors impacting the timing and scope of benefit reductions, </w:t>
      </w:r>
      <w:r w:rsidR="0054049B" w:rsidRPr="00602824">
        <w:t xml:space="preserve">are discussed further in </w:t>
      </w:r>
      <w:r w:rsidR="000377F0">
        <w:t>Section</w:t>
      </w:r>
      <w:r w:rsidR="000377F0" w:rsidRPr="00602824">
        <w:t xml:space="preserve"> </w:t>
      </w:r>
      <w:r w:rsidR="0054049B" w:rsidRPr="00602824">
        <w:t xml:space="preserve">2.3.2 of the </w:t>
      </w:r>
      <w:r w:rsidR="0054049B" w:rsidRPr="00602824">
        <w:rPr>
          <w:i/>
        </w:rPr>
        <w:t>Interim Evaluation #1 report</w:t>
      </w:r>
      <w:r w:rsidR="0054049B" w:rsidRPr="00602824">
        <w:t>.</w:t>
      </w:r>
      <w:r w:rsidR="0054049B" w:rsidRPr="00602824">
        <w:rPr>
          <w:rStyle w:val="FootnoteReference"/>
        </w:rPr>
        <w:footnoteReference w:id="57"/>
      </w:r>
    </w:p>
    <w:p w14:paraId="499106DB" w14:textId="5E6908AD" w:rsidR="00ED5514" w:rsidRPr="00602824" w:rsidRDefault="0030213B" w:rsidP="00FB712C">
      <w:pPr>
        <w:pStyle w:val="Heading3"/>
        <w:spacing w:before="300"/>
      </w:pPr>
      <w:bookmarkStart w:id="43" w:name="_Ref202192176"/>
      <w:r w:rsidRPr="00602824">
        <w:t>T</w:t>
      </w:r>
      <w:r w:rsidR="00CF122C" w:rsidRPr="00602824">
        <w:t>he benefit reduction savings</w:t>
      </w:r>
      <w:r w:rsidR="00FA6F24" w:rsidRPr="00602824">
        <w:t xml:space="preserve"> have contributed to </w:t>
      </w:r>
      <w:r w:rsidR="00E5665F" w:rsidRPr="00602824">
        <w:t xml:space="preserve">PHI </w:t>
      </w:r>
      <w:r w:rsidR="00FA6F24" w:rsidRPr="00602824">
        <w:t xml:space="preserve">affordability </w:t>
      </w:r>
      <w:bookmarkEnd w:id="43"/>
    </w:p>
    <w:p w14:paraId="5704D670" w14:textId="2AF246B2" w:rsidR="00B11548" w:rsidRPr="00602824" w:rsidRDefault="00ED5514" w:rsidP="00EC24B4">
      <w:r w:rsidRPr="00602824">
        <w:t xml:space="preserve">All else being equal, lower PL benefit levels </w:t>
      </w:r>
      <w:r w:rsidR="00EC24B4" w:rsidRPr="00602824">
        <w:t xml:space="preserve">have undoubtedly </w:t>
      </w:r>
      <w:r w:rsidRPr="00602824">
        <w:t>result</w:t>
      </w:r>
      <w:r w:rsidR="00EC24B4" w:rsidRPr="00602824">
        <w:t>ed</w:t>
      </w:r>
      <w:r w:rsidRPr="00602824">
        <w:t xml:space="preserve"> in reduced</w:t>
      </w:r>
      <w:r w:rsidR="009531AD" w:rsidRPr="00602824">
        <w:t xml:space="preserve"> benefits paid </w:t>
      </w:r>
      <w:r w:rsidRPr="00602824">
        <w:t xml:space="preserve">out </w:t>
      </w:r>
      <w:r w:rsidR="009531AD" w:rsidRPr="00602824">
        <w:t>by insurers</w:t>
      </w:r>
      <w:r w:rsidR="00EC24B4" w:rsidRPr="00602824">
        <w:t xml:space="preserve">. </w:t>
      </w:r>
      <w:r w:rsidR="0055393B" w:rsidRPr="00602824">
        <w:fldChar w:fldCharType="begin"/>
      </w:r>
      <w:r w:rsidR="0055393B" w:rsidRPr="00602824">
        <w:instrText xml:space="preserve"> REF _Ref202358392 \h </w:instrText>
      </w:r>
      <w:r w:rsidR="0055393B" w:rsidRPr="00602824">
        <w:fldChar w:fldCharType="separate"/>
      </w:r>
      <w:r w:rsidR="0092693A" w:rsidRPr="00602824">
        <w:t xml:space="preserve">Figure </w:t>
      </w:r>
      <w:r w:rsidR="0092693A">
        <w:rPr>
          <w:noProof/>
        </w:rPr>
        <w:t>14</w:t>
      </w:r>
      <w:r w:rsidR="0055393B" w:rsidRPr="00602824">
        <w:fldChar w:fldCharType="end"/>
      </w:r>
      <w:r w:rsidR="0055393B" w:rsidRPr="00602824">
        <w:t xml:space="preserve"> illustrates the impact o</w:t>
      </w:r>
      <w:r w:rsidR="00923273" w:rsidRPr="00602824">
        <w:t>f these saving</w:t>
      </w:r>
      <w:r w:rsidR="0076387F" w:rsidRPr="00602824">
        <w:t>s</w:t>
      </w:r>
      <w:r w:rsidR="00B11548" w:rsidRPr="00602824">
        <w:t>.</w:t>
      </w:r>
    </w:p>
    <w:p w14:paraId="641FBB77" w14:textId="530553B3" w:rsidR="00766006" w:rsidRPr="00602824" w:rsidRDefault="000E6080" w:rsidP="00766006">
      <w:r w:rsidRPr="001C77C7">
        <w:t>As</w:t>
      </w:r>
      <w:r w:rsidR="0019145E" w:rsidRPr="001C77C7">
        <w:t xml:space="preserve"> 8</w:t>
      </w:r>
      <w:r w:rsidR="00256DA0" w:rsidRPr="001C77C7">
        <w:t>0-85</w:t>
      </w:r>
      <w:r w:rsidR="0019145E" w:rsidRPr="001C77C7">
        <w:t xml:space="preserve">% of premium revenue is </w:t>
      </w:r>
      <w:r w:rsidR="00EF79B7" w:rsidRPr="001C77C7">
        <w:t xml:space="preserve">typically returned to consumers in the form </w:t>
      </w:r>
      <w:r w:rsidR="00A84D9D" w:rsidRPr="001C77C7">
        <w:t>of</w:t>
      </w:r>
      <w:r w:rsidR="0019145E" w:rsidRPr="001C77C7">
        <w:t xml:space="preserve"> </w:t>
      </w:r>
      <w:r w:rsidR="00F93AF6" w:rsidRPr="001C77C7">
        <w:t xml:space="preserve">insurance benefits, </w:t>
      </w:r>
      <w:r w:rsidR="00A84D9D" w:rsidRPr="001C77C7">
        <w:t>even modest reductions in benefit outlays can meaningfully improve insurer cost structures.</w:t>
      </w:r>
      <w:r w:rsidR="00816B6F" w:rsidRPr="001C77C7">
        <w:rPr>
          <w:rStyle w:val="FootnoteReference"/>
        </w:rPr>
        <w:footnoteReference w:id="58"/>
      </w:r>
      <w:r w:rsidR="008A7CB4" w:rsidRPr="001C77C7">
        <w:t xml:space="preserve"> This</w:t>
      </w:r>
      <w:r w:rsidR="008A7CB4" w:rsidRPr="00602824">
        <w:t>, in turn, supports downward pressure on premiums</w:t>
      </w:r>
      <w:r w:rsidR="0081576A" w:rsidRPr="00602824">
        <w:t xml:space="preserve"> and </w:t>
      </w:r>
      <w:r w:rsidR="00B37434" w:rsidRPr="00602824">
        <w:t>improves</w:t>
      </w:r>
      <w:r w:rsidR="0010469F" w:rsidRPr="00602824">
        <w:t xml:space="preserve"> </w:t>
      </w:r>
      <w:r w:rsidR="00766006" w:rsidRPr="00602824">
        <w:t>PHI affordability</w:t>
      </w:r>
      <w:r w:rsidR="00D457B1">
        <w:t xml:space="preserve">, one of the key objectives of the </w:t>
      </w:r>
      <w:r w:rsidR="00734507">
        <w:t>reforms</w:t>
      </w:r>
      <w:r w:rsidR="00B37434" w:rsidRPr="00602824">
        <w:t>.</w:t>
      </w:r>
      <w:r w:rsidR="00F655B8">
        <w:t xml:space="preserve"> The evaluation notes that some private hospital representatives expressed a strong view that the </w:t>
      </w:r>
      <w:r w:rsidR="008A146C">
        <w:t xml:space="preserve">reforms should be less concerned with PHI costs and instead be </w:t>
      </w:r>
      <w:r w:rsidR="00CB3690">
        <w:t xml:space="preserve">targeting better equilibrium between providers and payers through an improved flow of funds to the hospital sector. </w:t>
      </w:r>
    </w:p>
    <w:p w14:paraId="774F7E2E" w14:textId="24B00237" w:rsidR="00FA6F24" w:rsidRPr="00602824" w:rsidRDefault="00FA6F24" w:rsidP="00B50EE7">
      <w:pPr>
        <w:pStyle w:val="Caption"/>
      </w:pPr>
      <w:bookmarkStart w:id="44" w:name="_Ref202358392"/>
      <w:r w:rsidRPr="00602824">
        <w:t xml:space="preserve">Figure </w:t>
      </w:r>
      <w:r w:rsidR="005539DD">
        <w:fldChar w:fldCharType="begin"/>
      </w:r>
      <w:r w:rsidR="005539DD">
        <w:instrText xml:space="preserve"> SEQ Figure \* ARABIC </w:instrText>
      </w:r>
      <w:r w:rsidR="005539DD">
        <w:fldChar w:fldCharType="separate"/>
      </w:r>
      <w:r w:rsidR="0092693A">
        <w:rPr>
          <w:noProof/>
        </w:rPr>
        <w:t>14</w:t>
      </w:r>
      <w:r w:rsidR="005539DD">
        <w:fldChar w:fldCharType="end"/>
      </w:r>
      <w:bookmarkEnd w:id="44"/>
      <w:r w:rsidRPr="00602824">
        <w:t xml:space="preserve"> | Estimated </w:t>
      </w:r>
      <w:r w:rsidR="00486A47" w:rsidRPr="00602824">
        <w:t>insurer benefit outlays</w:t>
      </w:r>
      <w:r w:rsidRPr="00602824">
        <w:t xml:space="preserve"> with and without reform savings </w:t>
      </w:r>
      <w:r w:rsidR="00486A47" w:rsidRPr="00602824">
        <w:t>(</w:t>
      </w:r>
      <w:r w:rsidR="00E051ED" w:rsidRPr="00602824">
        <w:t>$</w:t>
      </w:r>
      <w:r w:rsidR="008B1B24" w:rsidRPr="00602824">
        <w:t>M</w:t>
      </w:r>
      <w:r w:rsidR="00E051ED" w:rsidRPr="00602824">
        <w:t xml:space="preserve">, </w:t>
      </w:r>
      <w:r w:rsidRPr="00602824">
        <w:t xml:space="preserve">based on </w:t>
      </w:r>
      <w:r w:rsidR="00010853">
        <w:t>5</w:t>
      </w:r>
      <w:r w:rsidRPr="00602824">
        <w:t xml:space="preserve">% </w:t>
      </w:r>
      <w:r w:rsidR="00486A47" w:rsidRPr="00602824">
        <w:t>annual</w:t>
      </w:r>
      <w:r w:rsidRPr="00602824">
        <w:t xml:space="preserve"> growth)</w:t>
      </w:r>
      <w:r w:rsidRPr="00602824">
        <w:rPr>
          <w:rStyle w:val="FootnoteReference"/>
        </w:rPr>
        <w:footnoteReference w:id="59"/>
      </w:r>
      <w:r w:rsidRPr="00602824">
        <w:rPr>
          <w:vertAlign w:val="superscript"/>
        </w:rPr>
        <w:t>,</w:t>
      </w:r>
      <w:r w:rsidRPr="00602824">
        <w:rPr>
          <w:rStyle w:val="FootnoteReference"/>
        </w:rPr>
        <w:footnoteReference w:id="60"/>
      </w:r>
    </w:p>
    <w:p w14:paraId="5ED76FA3" w14:textId="56038CC1" w:rsidR="00FA6F24" w:rsidRPr="00602824" w:rsidRDefault="00010853" w:rsidP="00FA6F24">
      <w:pPr>
        <w:rPr>
          <w:lang w:eastAsia="en-AU"/>
        </w:rPr>
      </w:pPr>
      <w:r w:rsidRPr="00010853">
        <w:rPr>
          <w:noProof/>
          <w:lang w:eastAsia="en-AU"/>
        </w:rPr>
        <w:drawing>
          <wp:inline distT="0" distB="0" distL="0" distR="0" wp14:anchorId="613BB475" wp14:editId="1CCA4667">
            <wp:extent cx="5832000" cy="2997330"/>
            <wp:effectExtent l="0" t="0" r="0" b="0"/>
            <wp:docPr id="606187595" name="Picture 1" descr="Modelled projection of insurer benefit outlays with and without reform-related sav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187595" name="Picture 1" descr="Modelled projection of insurer benefit outlays with and without reform-related savings."/>
                    <pic:cNvPicPr/>
                  </pic:nvPicPr>
                  <pic:blipFill>
                    <a:blip r:embed="rId36"/>
                    <a:stretch>
                      <a:fillRect/>
                    </a:stretch>
                  </pic:blipFill>
                  <pic:spPr>
                    <a:xfrm>
                      <a:off x="0" y="0"/>
                      <a:ext cx="5832000" cy="2997330"/>
                    </a:xfrm>
                    <a:prstGeom prst="rect">
                      <a:avLst/>
                    </a:prstGeom>
                  </pic:spPr>
                </pic:pic>
              </a:graphicData>
            </a:graphic>
          </wp:inline>
        </w:drawing>
      </w:r>
    </w:p>
    <w:p w14:paraId="5F170F8E" w14:textId="55EAC038" w:rsidR="0030213B" w:rsidRPr="00602824" w:rsidRDefault="00887AC2" w:rsidP="0030213B">
      <w:pPr>
        <w:pStyle w:val="Heading3"/>
      </w:pPr>
      <w:bookmarkStart w:id="45" w:name="_Ref202890124"/>
      <w:bookmarkStart w:id="46" w:name="_Ref202890798"/>
      <w:r w:rsidRPr="00602824">
        <w:t>G</w:t>
      </w:r>
      <w:r w:rsidR="0030213B" w:rsidRPr="00602824">
        <w:t xml:space="preserve">rowth in </w:t>
      </w:r>
      <w:r w:rsidRPr="00602824">
        <w:t xml:space="preserve">the </w:t>
      </w:r>
      <w:r w:rsidR="0030213B" w:rsidRPr="00602824">
        <w:t>use of</w:t>
      </w:r>
      <w:r w:rsidR="00772D48">
        <w:t xml:space="preserve"> devices</w:t>
      </w:r>
      <w:r w:rsidR="0030213B" w:rsidRPr="00602824">
        <w:t xml:space="preserve"> cloud</w:t>
      </w:r>
      <w:r w:rsidRPr="00602824">
        <w:t>s</w:t>
      </w:r>
      <w:r w:rsidR="0030213B" w:rsidRPr="00602824">
        <w:t xml:space="preserve"> </w:t>
      </w:r>
      <w:r w:rsidR="002A7514" w:rsidRPr="00602824">
        <w:t>the direct impact of</w:t>
      </w:r>
      <w:r w:rsidR="0030213B" w:rsidRPr="00602824">
        <w:t xml:space="preserve"> </w:t>
      </w:r>
      <w:r w:rsidR="00294C80" w:rsidRPr="00602824">
        <w:t>the benefit reductions</w:t>
      </w:r>
      <w:r w:rsidR="0030213B" w:rsidRPr="00602824">
        <w:t xml:space="preserve"> on premiums</w:t>
      </w:r>
      <w:bookmarkEnd w:id="45"/>
      <w:bookmarkEnd w:id="46"/>
    </w:p>
    <w:p w14:paraId="26DB2777" w14:textId="6BEA179F" w:rsidR="006A521B" w:rsidRPr="00602824" w:rsidRDefault="006C27F1" w:rsidP="000464F5">
      <w:r w:rsidRPr="00602824">
        <w:t xml:space="preserve">While the benefits </w:t>
      </w:r>
      <w:r w:rsidR="00595ACE" w:rsidRPr="00602824">
        <w:t xml:space="preserve">paid for </w:t>
      </w:r>
      <w:r w:rsidR="00654E1C" w:rsidRPr="00602824">
        <w:t xml:space="preserve">items on the PL </w:t>
      </w:r>
      <w:r w:rsidR="00860EA3" w:rsidRPr="00602824">
        <w:t xml:space="preserve">have been </w:t>
      </w:r>
      <w:r w:rsidR="007F0D66" w:rsidRPr="00602824">
        <w:t>reducing</w:t>
      </w:r>
      <w:r w:rsidR="00654E1C" w:rsidRPr="00602824">
        <w:t>,</w:t>
      </w:r>
      <w:r w:rsidR="007F0D66" w:rsidRPr="00602824">
        <w:t xml:space="preserve"> prostheses utilisation</w:t>
      </w:r>
      <w:r w:rsidR="00B163BA" w:rsidRPr="00602824">
        <w:t xml:space="preserve"> has</w:t>
      </w:r>
      <w:r w:rsidR="008D5DD2" w:rsidRPr="00602824">
        <w:t xml:space="preserve"> been</w:t>
      </w:r>
      <w:r w:rsidR="00B163BA" w:rsidRPr="00602824">
        <w:t xml:space="preserve"> </w:t>
      </w:r>
      <w:r w:rsidR="008D5DD2" w:rsidRPr="00602824">
        <w:t xml:space="preserve">increasing across PL categories (see </w:t>
      </w:r>
      <w:r w:rsidR="008D5DD2" w:rsidRPr="00602824">
        <w:fldChar w:fldCharType="begin"/>
      </w:r>
      <w:r w:rsidR="008D5DD2" w:rsidRPr="00602824">
        <w:instrText xml:space="preserve"> REF _Ref202189122 \h </w:instrText>
      </w:r>
      <w:r w:rsidR="008D5DD2" w:rsidRPr="00602824">
        <w:fldChar w:fldCharType="separate"/>
      </w:r>
      <w:r w:rsidR="0092693A" w:rsidRPr="00602824">
        <w:t xml:space="preserve">Figure </w:t>
      </w:r>
      <w:r w:rsidR="0092693A">
        <w:rPr>
          <w:noProof/>
        </w:rPr>
        <w:t>15</w:t>
      </w:r>
      <w:r w:rsidR="008D5DD2" w:rsidRPr="00602824">
        <w:fldChar w:fldCharType="end"/>
      </w:r>
      <w:r w:rsidR="008D5DD2" w:rsidRPr="00602824">
        <w:t>)</w:t>
      </w:r>
      <w:r w:rsidR="00983F2B" w:rsidRPr="00602824">
        <w:t>.</w:t>
      </w:r>
    </w:p>
    <w:p w14:paraId="5094B68C" w14:textId="7D6BD3C6" w:rsidR="00B01D77" w:rsidRPr="00602824" w:rsidRDefault="00B01D77" w:rsidP="00B50EE7">
      <w:pPr>
        <w:pStyle w:val="Caption"/>
      </w:pPr>
      <w:bookmarkStart w:id="47" w:name="_Ref202189122"/>
      <w:r w:rsidRPr="00602824">
        <w:t xml:space="preserve">Figure </w:t>
      </w:r>
      <w:r w:rsidR="005539DD">
        <w:fldChar w:fldCharType="begin"/>
      </w:r>
      <w:r w:rsidR="005539DD">
        <w:instrText xml:space="preserve"> SEQ Figure \* ARABIC </w:instrText>
      </w:r>
      <w:r w:rsidR="005539DD">
        <w:fldChar w:fldCharType="separate"/>
      </w:r>
      <w:r w:rsidR="0092693A">
        <w:rPr>
          <w:noProof/>
        </w:rPr>
        <w:t>15</w:t>
      </w:r>
      <w:r w:rsidR="005539DD">
        <w:fldChar w:fldCharType="end"/>
      </w:r>
      <w:bookmarkEnd w:id="47"/>
      <w:r w:rsidRPr="00602824">
        <w:t xml:space="preserve"> | Prostheses utilisation per 1000 HT PHI members by PL category</w:t>
      </w:r>
      <w:r w:rsidRPr="00602824">
        <w:rPr>
          <w:rStyle w:val="FootnoteReference"/>
        </w:rPr>
        <w:footnoteReference w:id="61"/>
      </w:r>
    </w:p>
    <w:p w14:paraId="742BEAC1" w14:textId="6307E85F" w:rsidR="00B01D77" w:rsidRPr="00602824" w:rsidRDefault="00035A42" w:rsidP="00B01D77">
      <w:r w:rsidRPr="00035A42">
        <w:rPr>
          <w:noProof/>
        </w:rPr>
        <w:drawing>
          <wp:inline distT="0" distB="0" distL="0" distR="0" wp14:anchorId="416A6E63" wp14:editId="45D5BE69">
            <wp:extent cx="5832475" cy="3324860"/>
            <wp:effectExtent l="0" t="0" r="0" b="8890"/>
            <wp:docPr id="844506881" name="Picture 1" descr="Chart showing prostheses utilisation rates per 1,000 insured members, by PL categ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506881" name="Picture 1" descr="Chart showing prostheses utilisation rates per 1,000 insured members, by PL category."/>
                    <pic:cNvPicPr/>
                  </pic:nvPicPr>
                  <pic:blipFill>
                    <a:blip r:embed="rId37"/>
                    <a:stretch>
                      <a:fillRect/>
                    </a:stretch>
                  </pic:blipFill>
                  <pic:spPr>
                    <a:xfrm>
                      <a:off x="0" y="0"/>
                      <a:ext cx="5832475" cy="3324860"/>
                    </a:xfrm>
                    <a:prstGeom prst="rect">
                      <a:avLst/>
                    </a:prstGeom>
                  </pic:spPr>
                </pic:pic>
              </a:graphicData>
            </a:graphic>
          </wp:inline>
        </w:drawing>
      </w:r>
    </w:p>
    <w:p w14:paraId="74F75C16" w14:textId="74DBC50A" w:rsidR="00B01D77" w:rsidRPr="00602824" w:rsidRDefault="009E6C6E" w:rsidP="00FB712C">
      <w:pPr>
        <w:spacing w:before="240"/>
      </w:pPr>
      <w:r w:rsidRPr="00602824">
        <w:t xml:space="preserve">This growth in utilisation cannot be solely attributed to an ageing population. </w:t>
      </w:r>
      <w:r w:rsidRPr="00602824">
        <w:fldChar w:fldCharType="begin"/>
      </w:r>
      <w:r w:rsidRPr="00602824">
        <w:instrText xml:space="preserve"> REF _Ref202188951 \h </w:instrText>
      </w:r>
      <w:r w:rsidRPr="00602824">
        <w:fldChar w:fldCharType="separate"/>
      </w:r>
      <w:r w:rsidR="0092693A" w:rsidRPr="004A357C">
        <w:t xml:space="preserve">Figure </w:t>
      </w:r>
      <w:r w:rsidR="0092693A">
        <w:rPr>
          <w:noProof/>
        </w:rPr>
        <w:t>38</w:t>
      </w:r>
      <w:r w:rsidRPr="00602824">
        <w:fldChar w:fldCharType="end"/>
      </w:r>
      <w:r w:rsidRPr="00602824">
        <w:t xml:space="preserve"> in Appendix </w:t>
      </w:r>
      <w:r w:rsidRPr="00602824">
        <w:fldChar w:fldCharType="begin"/>
      </w:r>
      <w:r w:rsidRPr="00602824">
        <w:instrText xml:space="preserve"> REF _Ref202192358 \r \h </w:instrText>
      </w:r>
      <w:r w:rsidRPr="00602824">
        <w:fldChar w:fldCharType="separate"/>
      </w:r>
      <w:r w:rsidR="0092693A">
        <w:t>C.5</w:t>
      </w:r>
      <w:r w:rsidRPr="00602824">
        <w:fldChar w:fldCharType="end"/>
      </w:r>
      <w:r w:rsidRPr="00602824">
        <w:t xml:space="preserve"> shows that – </w:t>
      </w:r>
      <w:r w:rsidR="00E5385C" w:rsidRPr="00602824">
        <w:t>except for</w:t>
      </w:r>
      <w:r w:rsidRPr="00602824">
        <w:t xml:space="preserve"> 35</w:t>
      </w:r>
      <w:r w:rsidR="00C40AE3" w:rsidRPr="00602824">
        <w:t>-</w:t>
      </w:r>
      <w:r w:rsidRPr="00602824">
        <w:t xml:space="preserve">49-year-olds – all age groups are using prostheses more. Some of this growth is likely driven by advances in technology and a higher standard of care. However, this view is not shared by private health insurers, who </w:t>
      </w:r>
      <w:r w:rsidR="00224594">
        <w:t>hold a view</w:t>
      </w:r>
      <w:r w:rsidR="00224594" w:rsidRPr="00602824">
        <w:t xml:space="preserve"> </w:t>
      </w:r>
      <w:r w:rsidRPr="00602824">
        <w:t xml:space="preserve">that more items </w:t>
      </w:r>
      <w:r w:rsidR="00B61028">
        <w:t xml:space="preserve">are being used </w:t>
      </w:r>
      <w:r w:rsidRPr="00602824">
        <w:t>than clinically necessary</w:t>
      </w:r>
      <w:r w:rsidR="00224594">
        <w:t xml:space="preserve"> in hospitals</w:t>
      </w:r>
      <w:r w:rsidRPr="00602824">
        <w:t>.</w:t>
      </w:r>
      <w:r w:rsidR="00224594">
        <w:t xml:space="preserve"> Given that clinicians select and use the items, this assertion cannot be substantiated. </w:t>
      </w:r>
    </w:p>
    <w:p w14:paraId="697EACBA" w14:textId="77777777" w:rsidR="0081244B" w:rsidRPr="00602824" w:rsidRDefault="00B94799" w:rsidP="000464F5">
      <w:r w:rsidRPr="00602824">
        <w:t>This growth in utilisation partially offsets the savings achieved through lower PL benefits.</w:t>
      </w:r>
    </w:p>
    <w:p w14:paraId="1F8CBF8A" w14:textId="4D2BDF20" w:rsidR="009D1C51" w:rsidRPr="00602824" w:rsidRDefault="009D1C51" w:rsidP="00B50EE7">
      <w:pPr>
        <w:pStyle w:val="Caption"/>
      </w:pPr>
      <w:bookmarkStart w:id="48" w:name="_Ref202887524"/>
      <w:r w:rsidRPr="00602824">
        <w:t xml:space="preserve">Figure </w:t>
      </w:r>
      <w:r w:rsidR="005539DD">
        <w:fldChar w:fldCharType="begin"/>
      </w:r>
      <w:r w:rsidR="005539DD">
        <w:instrText xml:space="preserve"> SEQ Figure \* ARABIC </w:instrText>
      </w:r>
      <w:r w:rsidR="005539DD">
        <w:fldChar w:fldCharType="separate"/>
      </w:r>
      <w:r w:rsidR="0092693A">
        <w:rPr>
          <w:noProof/>
        </w:rPr>
        <w:t>16</w:t>
      </w:r>
      <w:r w:rsidR="005539DD">
        <w:fldChar w:fldCharType="end"/>
      </w:r>
      <w:bookmarkEnd w:id="48"/>
      <w:r w:rsidRPr="00602824">
        <w:t xml:space="preserve"> | Total prostheses benefits paid ($’000)</w:t>
      </w:r>
      <w:r w:rsidRPr="00602824">
        <w:rPr>
          <w:rStyle w:val="FootnoteReference"/>
        </w:rPr>
        <w:footnoteReference w:id="62"/>
      </w:r>
    </w:p>
    <w:p w14:paraId="759CD191" w14:textId="05D087ED" w:rsidR="009D1C51" w:rsidRPr="00602824" w:rsidRDefault="0005576D" w:rsidP="009D1C51">
      <w:r w:rsidRPr="0005576D">
        <w:rPr>
          <w:noProof/>
        </w:rPr>
        <w:drawing>
          <wp:inline distT="0" distB="0" distL="0" distR="0" wp14:anchorId="2BFB4E30" wp14:editId="02375B2A">
            <wp:extent cx="5832475" cy="2629535"/>
            <wp:effectExtent l="0" t="0" r="0" b="0"/>
            <wp:docPr id="240345610" name="Picture 1" descr="Chart showing total prostheses benefits paid ($’000) from FY21 to FY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345610" name="Picture 1" descr="Chart showing total prostheses benefits paid ($’000) from FY21 to FY25."/>
                    <pic:cNvPicPr/>
                  </pic:nvPicPr>
                  <pic:blipFill>
                    <a:blip r:embed="rId38"/>
                    <a:stretch>
                      <a:fillRect/>
                    </a:stretch>
                  </pic:blipFill>
                  <pic:spPr>
                    <a:xfrm>
                      <a:off x="0" y="0"/>
                      <a:ext cx="5832475" cy="2629535"/>
                    </a:xfrm>
                    <a:prstGeom prst="rect">
                      <a:avLst/>
                    </a:prstGeom>
                  </pic:spPr>
                </pic:pic>
              </a:graphicData>
            </a:graphic>
          </wp:inline>
        </w:drawing>
      </w:r>
    </w:p>
    <w:p w14:paraId="5C54E799" w14:textId="3332CE07" w:rsidR="004E77BA" w:rsidRPr="00602824" w:rsidRDefault="004766E7" w:rsidP="007B3AE8">
      <w:pPr>
        <w:spacing w:before="240"/>
      </w:pPr>
      <w:r w:rsidRPr="00602824">
        <w:fldChar w:fldCharType="begin"/>
      </w:r>
      <w:r w:rsidRPr="00602824">
        <w:instrText xml:space="preserve"> REF _Ref202887524 \h </w:instrText>
      </w:r>
      <w:r w:rsidRPr="00602824">
        <w:fldChar w:fldCharType="separate"/>
      </w:r>
      <w:r w:rsidR="0092693A" w:rsidRPr="00602824">
        <w:t xml:space="preserve">Figure </w:t>
      </w:r>
      <w:r w:rsidR="0092693A">
        <w:rPr>
          <w:noProof/>
        </w:rPr>
        <w:t>16</w:t>
      </w:r>
      <w:r w:rsidRPr="00602824">
        <w:fldChar w:fldCharType="end"/>
      </w:r>
      <w:r w:rsidR="009D1C51" w:rsidRPr="00602824">
        <w:t xml:space="preserve"> </w:t>
      </w:r>
      <w:r w:rsidR="00A16B15" w:rsidRPr="00A16B15">
        <w:t>shows that total prostheses benefits paid grew by 8.5% from FY21 to FY25, at an average annual rate of 2.1</w:t>
      </w:r>
      <w:r w:rsidR="00A16B15" w:rsidRPr="00E2217A">
        <w:t>%</w:t>
      </w:r>
      <w:r w:rsidRPr="00E2217A">
        <w:t>.</w:t>
      </w:r>
      <w:r w:rsidR="00B544FD" w:rsidRPr="00E2217A">
        <w:t xml:space="preserve"> </w:t>
      </w:r>
      <w:r w:rsidR="004E77BA" w:rsidRPr="00E2217A">
        <w:t>However, over the same period, total HT benefits paid by insurers grew by 1</w:t>
      </w:r>
      <w:r w:rsidR="00D076D1" w:rsidRPr="00E2217A">
        <w:t>9</w:t>
      </w:r>
      <w:r w:rsidR="004E77BA" w:rsidRPr="00E2217A">
        <w:t>.</w:t>
      </w:r>
      <w:r w:rsidR="00D076D1" w:rsidRPr="00E2217A">
        <w:t>5</w:t>
      </w:r>
      <w:r w:rsidR="004E77BA" w:rsidRPr="00E2217A">
        <w:t>%.</w:t>
      </w:r>
      <w:r w:rsidR="00745776" w:rsidRPr="00E2217A">
        <w:rPr>
          <w:rStyle w:val="FootnoteReference"/>
        </w:rPr>
        <w:footnoteReference w:id="63"/>
      </w:r>
      <w:r w:rsidR="004E77BA" w:rsidRPr="00E2217A">
        <w:t xml:space="preserve"> </w:t>
      </w:r>
      <w:r w:rsidR="00B544FD" w:rsidRPr="00E2217A">
        <w:t>In</w:t>
      </w:r>
      <w:r w:rsidR="00B544FD" w:rsidRPr="00602824">
        <w:t xml:space="preserve"> </w:t>
      </w:r>
      <w:r w:rsidR="008D7FAB" w:rsidRPr="00602824">
        <w:t>relative terms, prostheses benefit growth has been</w:t>
      </w:r>
      <w:r w:rsidR="00005104">
        <w:t xml:space="preserve"> </w:t>
      </w:r>
      <w:r w:rsidR="00D076D1">
        <w:t xml:space="preserve">far </w:t>
      </w:r>
      <w:r w:rsidR="008D7FAB" w:rsidRPr="00602824">
        <w:t>more moderate than overall HT benefit growth</w:t>
      </w:r>
      <w:r w:rsidR="004E77BA" w:rsidRPr="00602824">
        <w:t>.</w:t>
      </w:r>
    </w:p>
    <w:p w14:paraId="1AD6F2B4" w14:textId="3210161D" w:rsidR="0070500F" w:rsidRPr="00602824" w:rsidRDefault="00D75390" w:rsidP="00C01AE1">
      <w:r w:rsidRPr="00FC27B1">
        <w:t xml:space="preserve">Consistent with this, </w:t>
      </w:r>
      <w:r w:rsidRPr="00FC27B1">
        <w:fldChar w:fldCharType="begin"/>
      </w:r>
      <w:r w:rsidRPr="00FC27B1">
        <w:instrText xml:space="preserve"> REF _Ref202887149 \h </w:instrText>
      </w:r>
      <w:r w:rsidR="00052E46" w:rsidRPr="00FC27B1">
        <w:instrText xml:space="preserve"> \* MERGEFORMAT </w:instrText>
      </w:r>
      <w:r w:rsidRPr="00FC27B1">
        <w:fldChar w:fldCharType="separate"/>
      </w:r>
      <w:r w:rsidR="0092693A" w:rsidRPr="00602824">
        <w:t xml:space="preserve">Figure </w:t>
      </w:r>
      <w:r w:rsidR="0092693A">
        <w:rPr>
          <w:noProof/>
        </w:rPr>
        <w:t>17</w:t>
      </w:r>
      <w:r w:rsidRPr="00FC27B1">
        <w:fldChar w:fldCharType="end"/>
      </w:r>
      <w:r w:rsidRPr="00FC27B1">
        <w:t xml:space="preserve"> (below) shows that the share of total HT benefits accounted for by prostheses has declined modestly – from 14.1% in FY21 to </w:t>
      </w:r>
      <w:r w:rsidR="00FC27B1" w:rsidRPr="00FC27B1">
        <w:t>12</w:t>
      </w:r>
      <w:r w:rsidRPr="00FC27B1">
        <w:t>.</w:t>
      </w:r>
      <w:r w:rsidR="00FC27B1" w:rsidRPr="00FC27B1">
        <w:t>8</w:t>
      </w:r>
      <w:r w:rsidRPr="00FC27B1">
        <w:t>% in FY2</w:t>
      </w:r>
      <w:r w:rsidR="00FC27B1" w:rsidRPr="00FC27B1">
        <w:t>5</w:t>
      </w:r>
      <w:r w:rsidRPr="00FC27B1">
        <w:t>.</w:t>
      </w:r>
      <w:r w:rsidR="008C5BC6" w:rsidRPr="00FC27B1">
        <w:rPr>
          <w:rStyle w:val="FootnoteReference"/>
        </w:rPr>
        <w:footnoteReference w:id="64"/>
      </w:r>
    </w:p>
    <w:p w14:paraId="2DB77488" w14:textId="140DE05B" w:rsidR="0008230D" w:rsidRPr="00602824" w:rsidRDefault="0008230D" w:rsidP="00B50EE7">
      <w:pPr>
        <w:pStyle w:val="Caption"/>
      </w:pPr>
      <w:bookmarkStart w:id="49" w:name="_Ref202887149"/>
      <w:r w:rsidRPr="00602824">
        <w:t xml:space="preserve">Figure </w:t>
      </w:r>
      <w:r w:rsidR="005539DD">
        <w:fldChar w:fldCharType="begin"/>
      </w:r>
      <w:r w:rsidR="005539DD">
        <w:instrText xml:space="preserve"> SEQ Figure \* ARABIC </w:instrText>
      </w:r>
      <w:r w:rsidR="005539DD">
        <w:fldChar w:fldCharType="separate"/>
      </w:r>
      <w:r w:rsidR="0092693A">
        <w:rPr>
          <w:noProof/>
        </w:rPr>
        <w:t>17</w:t>
      </w:r>
      <w:r w:rsidR="005539DD">
        <w:fldChar w:fldCharType="end"/>
      </w:r>
      <w:bookmarkEnd w:id="49"/>
      <w:r w:rsidRPr="00602824">
        <w:t xml:space="preserve"> | Prostheses benefits paid as a percentage of total HT benefits</w:t>
      </w:r>
      <w:r w:rsidRPr="00602824">
        <w:rPr>
          <w:rStyle w:val="FootnoteReference"/>
        </w:rPr>
        <w:footnoteReference w:id="65"/>
      </w:r>
    </w:p>
    <w:p w14:paraId="71FE5DBE" w14:textId="6561BC3A" w:rsidR="0008230D" w:rsidRPr="00602824" w:rsidRDefault="00286CB3" w:rsidP="0008230D">
      <w:r w:rsidRPr="00286CB3">
        <w:rPr>
          <w:noProof/>
        </w:rPr>
        <w:drawing>
          <wp:inline distT="0" distB="0" distL="0" distR="0" wp14:anchorId="717EDFD3" wp14:editId="0DA13450">
            <wp:extent cx="5832475" cy="2672715"/>
            <wp:effectExtent l="0" t="0" r="0" b="0"/>
            <wp:docPr id="1133779111" name="Picture 1" descr="Chart showing prostheses benefits as a percentage of total hospital treatment benef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779111" name="Picture 1" descr="Chart showing prostheses benefits as a percentage of total hospital treatment benefits."/>
                    <pic:cNvPicPr/>
                  </pic:nvPicPr>
                  <pic:blipFill>
                    <a:blip r:embed="rId39"/>
                    <a:stretch>
                      <a:fillRect/>
                    </a:stretch>
                  </pic:blipFill>
                  <pic:spPr>
                    <a:xfrm>
                      <a:off x="0" y="0"/>
                      <a:ext cx="5832475" cy="2672715"/>
                    </a:xfrm>
                    <a:prstGeom prst="rect">
                      <a:avLst/>
                    </a:prstGeom>
                  </pic:spPr>
                </pic:pic>
              </a:graphicData>
            </a:graphic>
          </wp:inline>
        </w:drawing>
      </w:r>
    </w:p>
    <w:p w14:paraId="5F3EADB5" w14:textId="3D3F552A" w:rsidR="0008230D" w:rsidRPr="00602824" w:rsidRDefault="0008230D" w:rsidP="00347954">
      <w:pPr>
        <w:pStyle w:val="Heading4"/>
      </w:pPr>
      <w:r w:rsidRPr="00602824">
        <w:t xml:space="preserve">The PL reforms </w:t>
      </w:r>
      <w:r w:rsidR="00653443" w:rsidRPr="00602824">
        <w:t>did not aim to address</w:t>
      </w:r>
      <w:r w:rsidRPr="00602824">
        <w:t xml:space="preserve"> the volume of items used</w:t>
      </w:r>
    </w:p>
    <w:p w14:paraId="2EA0537A" w14:textId="302D53F2" w:rsidR="0061031A" w:rsidRPr="00602824" w:rsidRDefault="0061031A" w:rsidP="00851F55">
      <w:r w:rsidRPr="00602824">
        <w:t xml:space="preserve">While the PL reforms were deliberately designed to reduce benefit levels, they did not seek to limit </w:t>
      </w:r>
      <w:r w:rsidR="004812DF" w:rsidRPr="00602824">
        <w:t>the v</w:t>
      </w:r>
      <w:r w:rsidRPr="00602824">
        <w:t>olume of items used.</w:t>
      </w:r>
    </w:p>
    <w:p w14:paraId="46ED5185" w14:textId="60F29614" w:rsidR="00176501" w:rsidRPr="00602824" w:rsidRDefault="00176501" w:rsidP="00176501">
      <w:r w:rsidRPr="00602824">
        <w:t xml:space="preserve">Managing growth in utilisation would require strategies beyond pricing. Experience to date shows that even when restrictions are based on clear clinical or economic evidence, they can be contentious. For example, the introduction of conditions on surgical guides and </w:t>
      </w:r>
      <w:proofErr w:type="spellStart"/>
      <w:r w:rsidR="00163D22">
        <w:t>biomodels</w:t>
      </w:r>
      <w:proofErr w:type="spellEnd"/>
      <w:r w:rsidRPr="00602824">
        <w:t xml:space="preserve"> prompted strong feedback from some clinicians, including reports of unintended impacts extending into the public system.</w:t>
      </w:r>
      <w:r w:rsidR="00AA2430" w:rsidRPr="00602824">
        <w:rPr>
          <w:rStyle w:val="FootnoteReference"/>
        </w:rPr>
        <w:footnoteReference w:id="66"/>
      </w:r>
    </w:p>
    <w:p w14:paraId="0AE4A2D0" w14:textId="44EE10E5" w:rsidR="00ED5514" w:rsidRPr="00602824" w:rsidRDefault="00ED5514" w:rsidP="00FB712C">
      <w:pPr>
        <w:pStyle w:val="Heading3"/>
        <w:spacing w:before="300"/>
      </w:pPr>
      <w:r w:rsidRPr="00602824">
        <w:t xml:space="preserve">PHI premiums </w:t>
      </w:r>
      <w:r w:rsidR="00D9672A" w:rsidRPr="00602824">
        <w:t>continue to rise</w:t>
      </w:r>
    </w:p>
    <w:p w14:paraId="3BDB5441" w14:textId="5175CCE2" w:rsidR="00EF716A" w:rsidRPr="00602824" w:rsidRDefault="001F2E64" w:rsidP="00EF716A">
      <w:pPr>
        <w:rPr>
          <w:lang w:eastAsia="en-AU"/>
        </w:rPr>
      </w:pPr>
      <w:r w:rsidRPr="00602824">
        <w:rPr>
          <w:lang w:eastAsia="en-AU"/>
        </w:rPr>
        <w:t xml:space="preserve">Despite efforts to contain costs through the PL reforms, PHI premiums have continued to increase. As shown in </w:t>
      </w:r>
      <w:r w:rsidRPr="00602824">
        <w:rPr>
          <w:lang w:eastAsia="en-AU"/>
        </w:rPr>
        <w:fldChar w:fldCharType="begin"/>
      </w:r>
      <w:r w:rsidRPr="00602824">
        <w:rPr>
          <w:lang w:eastAsia="en-AU"/>
        </w:rPr>
        <w:instrText xml:space="preserve"> REF _Ref202889781 \h </w:instrText>
      </w:r>
      <w:r w:rsidRPr="00602824">
        <w:rPr>
          <w:lang w:eastAsia="en-AU"/>
        </w:rPr>
      </w:r>
      <w:r w:rsidRPr="00602824">
        <w:rPr>
          <w:lang w:eastAsia="en-AU"/>
        </w:rPr>
        <w:fldChar w:fldCharType="separate"/>
      </w:r>
      <w:r w:rsidR="0092693A" w:rsidRPr="00602824">
        <w:t xml:space="preserve">Figure </w:t>
      </w:r>
      <w:r w:rsidR="0092693A">
        <w:rPr>
          <w:noProof/>
        </w:rPr>
        <w:t>18</w:t>
      </w:r>
      <w:r w:rsidRPr="00602824">
        <w:rPr>
          <w:lang w:eastAsia="en-AU"/>
        </w:rPr>
        <w:fldChar w:fldCharType="end"/>
      </w:r>
      <w:r w:rsidRPr="00602824">
        <w:rPr>
          <w:lang w:eastAsia="en-AU"/>
        </w:rPr>
        <w:t xml:space="preserve"> below, average premium growth declined in the years leading up to the reforms, reaching a low of 2.7% in FY21 and FY22. Since then, the rate of increase has edged upward – reaching 3.</w:t>
      </w:r>
      <w:r w:rsidR="003D719B">
        <w:rPr>
          <w:lang w:eastAsia="en-AU"/>
        </w:rPr>
        <w:t>7</w:t>
      </w:r>
      <w:r w:rsidRPr="00602824">
        <w:rPr>
          <w:lang w:eastAsia="en-AU"/>
        </w:rPr>
        <w:t>% in FY2</w:t>
      </w:r>
      <w:r w:rsidR="003D719B">
        <w:rPr>
          <w:lang w:eastAsia="en-AU"/>
        </w:rPr>
        <w:t>5</w:t>
      </w:r>
      <w:r w:rsidRPr="00602824">
        <w:rPr>
          <w:lang w:eastAsia="en-AU"/>
        </w:rPr>
        <w:t>.</w:t>
      </w:r>
    </w:p>
    <w:p w14:paraId="1954171D" w14:textId="0914A7C8" w:rsidR="007E56CA" w:rsidRPr="00602824" w:rsidRDefault="009C26C2" w:rsidP="00B50EE7">
      <w:pPr>
        <w:pStyle w:val="Caption"/>
      </w:pPr>
      <w:bookmarkStart w:id="50" w:name="_Ref202889781"/>
      <w:r w:rsidRPr="00602824">
        <w:t xml:space="preserve">Figure </w:t>
      </w:r>
      <w:r w:rsidR="005539DD">
        <w:fldChar w:fldCharType="begin"/>
      </w:r>
      <w:r w:rsidR="005539DD">
        <w:instrText xml:space="preserve"> SEQ Figure \* ARABIC </w:instrText>
      </w:r>
      <w:r w:rsidR="005539DD">
        <w:fldChar w:fldCharType="separate"/>
      </w:r>
      <w:r w:rsidR="0092693A">
        <w:rPr>
          <w:noProof/>
        </w:rPr>
        <w:t>18</w:t>
      </w:r>
      <w:r w:rsidR="005539DD">
        <w:fldChar w:fldCharType="end"/>
      </w:r>
      <w:bookmarkEnd w:id="50"/>
      <w:r w:rsidRPr="00602824">
        <w:t xml:space="preserve"> | Average year-on-year insurance premium price changes (as % of prior year premiums)</w:t>
      </w:r>
      <w:r w:rsidR="0054628B" w:rsidRPr="00602824">
        <w:rPr>
          <w:rStyle w:val="FootnoteReference"/>
          <w:rFonts w:cstheme="minorBidi"/>
          <w:szCs w:val="18"/>
        </w:rPr>
        <w:footnoteReference w:id="67"/>
      </w:r>
    </w:p>
    <w:p w14:paraId="1DA8263F" w14:textId="101AF3DE" w:rsidR="009C26C2" w:rsidRPr="00602824" w:rsidRDefault="003D719B" w:rsidP="009C26C2">
      <w:r w:rsidRPr="003D719B">
        <w:rPr>
          <w:noProof/>
        </w:rPr>
        <w:drawing>
          <wp:inline distT="0" distB="0" distL="0" distR="0" wp14:anchorId="750A505B" wp14:editId="2CABF818">
            <wp:extent cx="5832475" cy="2476500"/>
            <wp:effectExtent l="0" t="0" r="0" b="0"/>
            <wp:docPr id="722983109" name="Picture 1" descr="Line graph showing year-on-year PHI premium growth percentages FY18–FY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983109" name="Picture 1" descr="Line graph showing year-on-year PHI premium growth percentages FY18–FY25."/>
                    <pic:cNvPicPr/>
                  </pic:nvPicPr>
                  <pic:blipFill>
                    <a:blip r:embed="rId40"/>
                    <a:stretch>
                      <a:fillRect/>
                    </a:stretch>
                  </pic:blipFill>
                  <pic:spPr>
                    <a:xfrm>
                      <a:off x="0" y="0"/>
                      <a:ext cx="5832475" cy="2476500"/>
                    </a:xfrm>
                    <a:prstGeom prst="rect">
                      <a:avLst/>
                    </a:prstGeom>
                  </pic:spPr>
                </pic:pic>
              </a:graphicData>
            </a:graphic>
          </wp:inline>
        </w:drawing>
      </w:r>
    </w:p>
    <w:p w14:paraId="55E42F99" w14:textId="3D92647F" w:rsidR="005647D3" w:rsidRDefault="00C253A3" w:rsidP="00267F9F">
      <w:r w:rsidRPr="004A06A1">
        <w:t xml:space="preserve">Stakeholders have pointed to several contributors to these upward pressures. Hospitals and medical device representatives have </w:t>
      </w:r>
      <w:r w:rsidR="009F21F7">
        <w:t>claimed</w:t>
      </w:r>
      <w:r w:rsidRPr="004A06A1">
        <w:t xml:space="preserve"> that growing PHI management fees and profits are absorbing savings that could otherwise be passed on to consumers.</w:t>
      </w:r>
      <w:r w:rsidRPr="004A06A1">
        <w:rPr>
          <w:rStyle w:val="FootnoteReference"/>
        </w:rPr>
        <w:footnoteReference w:id="68"/>
      </w:r>
    </w:p>
    <w:p w14:paraId="6D4D0BCE" w14:textId="34DD3BEE" w:rsidR="00D30CF7" w:rsidRDefault="005647D3" w:rsidP="005647D3">
      <w:r w:rsidRPr="005647D3">
        <w:t xml:space="preserve">There is some </w:t>
      </w:r>
      <w:r w:rsidR="002A51CF">
        <w:t>evidence to support</w:t>
      </w:r>
      <w:r w:rsidR="005A6AF2">
        <w:t xml:space="preserve"> </w:t>
      </w:r>
      <w:r w:rsidRPr="005647D3">
        <w:t>these claims. While PHI profits fluctuate</w:t>
      </w:r>
      <w:r w:rsidR="00D30CF7">
        <w:t xml:space="preserve"> year to year</w:t>
      </w:r>
      <w:r w:rsidRPr="005647D3">
        <w:t xml:space="preserve"> – and have decreased </w:t>
      </w:r>
      <w:r w:rsidR="00C541F1">
        <w:t xml:space="preserve">since FY21 </w:t>
      </w:r>
      <w:r w:rsidRPr="005647D3">
        <w:t>– business expenses as a percentage of premium revenue ha</w:t>
      </w:r>
      <w:r w:rsidR="00C541F1">
        <w:t>ve</w:t>
      </w:r>
      <w:r w:rsidRPr="005647D3">
        <w:t xml:space="preserve"> increased modestly over the past five years </w:t>
      </w:r>
      <w:r w:rsidR="00000B7A">
        <w:t>(</w:t>
      </w:r>
      <w:r w:rsidR="00000B7A">
        <w:fldChar w:fldCharType="begin"/>
      </w:r>
      <w:r w:rsidR="00000B7A">
        <w:instrText xml:space="preserve"> REF _Ref202889943 \h </w:instrText>
      </w:r>
      <w:r w:rsidR="00000B7A">
        <w:fldChar w:fldCharType="separate"/>
      </w:r>
      <w:r w:rsidR="0092693A" w:rsidRPr="00602824">
        <w:t xml:space="preserve">Figure </w:t>
      </w:r>
      <w:r w:rsidR="0092693A">
        <w:rPr>
          <w:noProof/>
        </w:rPr>
        <w:t>19</w:t>
      </w:r>
      <w:r w:rsidR="00000B7A">
        <w:fldChar w:fldCharType="end"/>
      </w:r>
      <w:r w:rsidR="00000B7A">
        <w:t>).</w:t>
      </w:r>
    </w:p>
    <w:p w14:paraId="1C05113E" w14:textId="4338D7F9" w:rsidR="00455391" w:rsidRDefault="00455391" w:rsidP="009D33EC">
      <w:pPr>
        <w:pStyle w:val="Caption"/>
      </w:pPr>
      <w:bookmarkStart w:id="51" w:name="_Ref202889943"/>
      <w:bookmarkStart w:id="52" w:name="_Ref231847503"/>
      <w:r w:rsidRPr="00602824">
        <w:t xml:space="preserve">Figure </w:t>
      </w:r>
      <w:r>
        <w:fldChar w:fldCharType="begin"/>
      </w:r>
      <w:r>
        <w:instrText xml:space="preserve"> SEQ Figure \* ARABIC </w:instrText>
      </w:r>
      <w:r>
        <w:fldChar w:fldCharType="separate"/>
      </w:r>
      <w:r w:rsidR="0092693A">
        <w:rPr>
          <w:noProof/>
        </w:rPr>
        <w:t>19</w:t>
      </w:r>
      <w:r>
        <w:fldChar w:fldCharType="end"/>
      </w:r>
      <w:bookmarkEnd w:id="51"/>
      <w:r w:rsidRPr="00602824">
        <w:t xml:space="preserve"> | Prostheses benefits as a % of premium revenue</w:t>
      </w:r>
      <w:r w:rsidRPr="00602824">
        <w:rPr>
          <w:rStyle w:val="FootnoteReference"/>
        </w:rPr>
        <w:footnoteReference w:id="69"/>
      </w:r>
      <w:bookmarkEnd w:id="52"/>
    </w:p>
    <w:p w14:paraId="529260C6" w14:textId="050EBB8E" w:rsidR="009D33EC" w:rsidRPr="00602824" w:rsidRDefault="00D103F9" w:rsidP="00455391">
      <w:r w:rsidRPr="00D103F9">
        <w:rPr>
          <w:noProof/>
        </w:rPr>
        <w:drawing>
          <wp:inline distT="0" distB="0" distL="0" distR="0" wp14:anchorId="213DE006" wp14:editId="069F877F">
            <wp:extent cx="5832475" cy="3328035"/>
            <wp:effectExtent l="0" t="0" r="0" b="5715"/>
            <wp:docPr id="1878684611" name="Picture 1" descr="Stacked bar chart showing prostheses benefits declining as a percentage of premium revenue between financial year 2021 and financial year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684611" name="Picture 1" descr="Stacked bar chart showing prostheses benefits declining as a percentage of premium revenue between financial year 2021 and financial year 2025."/>
                    <pic:cNvPicPr/>
                  </pic:nvPicPr>
                  <pic:blipFill>
                    <a:blip r:embed="rId41"/>
                    <a:stretch>
                      <a:fillRect/>
                    </a:stretch>
                  </pic:blipFill>
                  <pic:spPr>
                    <a:xfrm>
                      <a:off x="0" y="0"/>
                      <a:ext cx="5832475" cy="3328035"/>
                    </a:xfrm>
                    <a:prstGeom prst="rect">
                      <a:avLst/>
                    </a:prstGeom>
                  </pic:spPr>
                </pic:pic>
              </a:graphicData>
            </a:graphic>
          </wp:inline>
        </w:drawing>
      </w:r>
    </w:p>
    <w:p w14:paraId="09733F29" w14:textId="297347B8" w:rsidR="00455391" w:rsidRPr="0075369B" w:rsidRDefault="00455391" w:rsidP="007A7669">
      <w:r w:rsidRPr="0075369B">
        <w:t>As shown in</w:t>
      </w:r>
      <w:r w:rsidR="0075369B" w:rsidRPr="0075369B">
        <w:t xml:space="preserve"> </w:t>
      </w:r>
      <w:r w:rsidR="0075369B">
        <w:fldChar w:fldCharType="begin"/>
      </w:r>
      <w:r w:rsidR="0075369B">
        <w:instrText xml:space="preserve"> REF _Ref202889943 \h </w:instrText>
      </w:r>
      <w:r w:rsidR="007A7669">
        <w:instrText xml:space="preserve"> \* MERGEFORMAT </w:instrText>
      </w:r>
      <w:r w:rsidR="0075369B">
        <w:fldChar w:fldCharType="separate"/>
      </w:r>
      <w:r w:rsidR="0092693A" w:rsidRPr="00602824">
        <w:t xml:space="preserve">Figure </w:t>
      </w:r>
      <w:r w:rsidR="0092693A">
        <w:rPr>
          <w:noProof/>
        </w:rPr>
        <w:t>19</w:t>
      </w:r>
      <w:r w:rsidR="0075369B">
        <w:fldChar w:fldCharType="end"/>
      </w:r>
      <w:r w:rsidRPr="0075369B">
        <w:t xml:space="preserve">, the share of premium revenue </w:t>
      </w:r>
      <w:r w:rsidR="00F64047">
        <w:t>paid as</w:t>
      </w:r>
      <w:r w:rsidRPr="0075369B">
        <w:t xml:space="preserve"> prostheses benefits </w:t>
      </w:r>
      <w:r w:rsidR="00C073BB">
        <w:t xml:space="preserve">declined modestly </w:t>
      </w:r>
      <w:r w:rsidR="005F5873">
        <w:t>from 8.7% in FY21 to 7.8% in FY25.</w:t>
      </w:r>
      <w:r w:rsidRPr="0075369B">
        <w:t xml:space="preserve"> </w:t>
      </w:r>
      <w:r w:rsidR="00485492">
        <w:t xml:space="preserve">Over </w:t>
      </w:r>
      <w:r w:rsidR="003A3476" w:rsidRPr="00186955">
        <w:t xml:space="preserve">the </w:t>
      </w:r>
      <w:r w:rsidR="00485492">
        <w:t>same period</w:t>
      </w:r>
      <w:r w:rsidRPr="00186955">
        <w:t xml:space="preserve">, business expenses for health insurance activities rose </w:t>
      </w:r>
      <w:r w:rsidR="00BB4128" w:rsidRPr="00186955">
        <w:t>modestly</w:t>
      </w:r>
      <w:r w:rsidR="00940200" w:rsidRPr="00186955">
        <w:t xml:space="preserve">, from 9.5% </w:t>
      </w:r>
      <w:r w:rsidR="00485492">
        <w:t xml:space="preserve">to </w:t>
      </w:r>
      <w:r w:rsidR="00940200" w:rsidRPr="00186955">
        <w:t>10.9%</w:t>
      </w:r>
      <w:r w:rsidRPr="00186955">
        <w:t xml:space="preserve">, while profits from insurance operations declined </w:t>
      </w:r>
      <w:r w:rsidR="00BB4128" w:rsidRPr="00186955">
        <w:t xml:space="preserve">slightly </w:t>
      </w:r>
      <w:r w:rsidRPr="00186955">
        <w:t>from</w:t>
      </w:r>
      <w:r w:rsidR="00940200" w:rsidRPr="00186955">
        <w:t xml:space="preserve"> 5.1%</w:t>
      </w:r>
      <w:r w:rsidR="00BB4128" w:rsidRPr="00186955">
        <w:t xml:space="preserve"> to 4.6%.</w:t>
      </w:r>
      <w:r w:rsidRPr="0075369B">
        <w:t xml:space="preserve"> </w:t>
      </w:r>
    </w:p>
    <w:p w14:paraId="30363A5F" w14:textId="17143A09" w:rsidR="009068C1" w:rsidRPr="00E43C92" w:rsidRDefault="00810D52" w:rsidP="007A7669">
      <w:r>
        <w:t>Additionally,</w:t>
      </w:r>
      <w:r w:rsidR="009068C1" w:rsidRPr="00810D52">
        <w:t xml:space="preserve"> </w:t>
      </w:r>
      <w:r w:rsidR="007A7669">
        <w:t>growth</w:t>
      </w:r>
      <w:r w:rsidR="009068C1" w:rsidRPr="00E43C92">
        <w:t xml:space="preserve"> </w:t>
      </w:r>
      <w:r w:rsidR="004B2A17">
        <w:t xml:space="preserve">in </w:t>
      </w:r>
      <w:r w:rsidR="009068C1" w:rsidRPr="00E43C92">
        <w:t xml:space="preserve">hospital treatment benefits, as explored in Section </w:t>
      </w:r>
      <w:r w:rsidR="009068C1" w:rsidRPr="00E43C92">
        <w:fldChar w:fldCharType="begin"/>
      </w:r>
      <w:r w:rsidR="009068C1" w:rsidRPr="00E43C92">
        <w:instrText xml:space="preserve"> REF _Ref202890124 \r \h  \* MERGEFORMAT </w:instrText>
      </w:r>
      <w:r w:rsidR="009068C1" w:rsidRPr="00E43C92">
        <w:fldChar w:fldCharType="separate"/>
      </w:r>
      <w:r w:rsidR="0092693A">
        <w:t>2.4.4</w:t>
      </w:r>
      <w:r w:rsidR="009068C1" w:rsidRPr="00E43C92">
        <w:fldChar w:fldCharType="end"/>
      </w:r>
      <w:r w:rsidR="009068C1" w:rsidRPr="00E43C92">
        <w:t>, are a driver of rising premiums</w:t>
      </w:r>
      <w:r w:rsidR="002D08CC">
        <w:t>.</w:t>
      </w:r>
      <w:r w:rsidR="009068C1" w:rsidRPr="00E43C92">
        <w:t xml:space="preserve"> This reinforces the broader point that while the PL reforms are moderating device-related benefits, further system-wide strategies may be needed to manage overall health insurance cost growth.</w:t>
      </w:r>
    </w:p>
    <w:p w14:paraId="314D3DF4" w14:textId="3A777718" w:rsidR="005A62D1" w:rsidRPr="00602824" w:rsidRDefault="005A62D1" w:rsidP="005A2742">
      <w:pPr>
        <w:pStyle w:val="Heading4"/>
      </w:pPr>
      <w:r w:rsidRPr="00602824">
        <w:t>PHI coverage has remained stable despite rising premiums</w:t>
      </w:r>
    </w:p>
    <w:p w14:paraId="578199D7" w14:textId="28BAC007" w:rsidR="00FD6455" w:rsidRPr="00602824" w:rsidRDefault="009D7681" w:rsidP="009D7681">
      <w:pPr>
        <w:rPr>
          <w:lang w:eastAsia="en-AU"/>
        </w:rPr>
      </w:pPr>
      <w:r w:rsidRPr="00602824">
        <w:rPr>
          <w:lang w:eastAsia="en-AU"/>
        </w:rPr>
        <w:t xml:space="preserve">Despite ongoing increases in premiums, PHI coverage for hospital treatment has </w:t>
      </w:r>
      <w:r w:rsidR="00475D16">
        <w:rPr>
          <w:lang w:eastAsia="en-AU"/>
        </w:rPr>
        <w:t>increased slightly</w:t>
      </w:r>
      <w:r w:rsidRPr="00602824">
        <w:rPr>
          <w:lang w:eastAsia="en-AU"/>
        </w:rPr>
        <w:t xml:space="preserve">. As shown in </w:t>
      </w:r>
      <w:r w:rsidRPr="00602824">
        <w:rPr>
          <w:lang w:eastAsia="en-AU"/>
        </w:rPr>
        <w:fldChar w:fldCharType="begin"/>
      </w:r>
      <w:r w:rsidRPr="00602824">
        <w:rPr>
          <w:lang w:eastAsia="en-AU"/>
        </w:rPr>
        <w:instrText xml:space="preserve"> REF _Ref202890351 \h </w:instrText>
      </w:r>
      <w:r w:rsidRPr="00602824">
        <w:rPr>
          <w:lang w:eastAsia="en-AU"/>
        </w:rPr>
      </w:r>
      <w:r w:rsidRPr="00602824">
        <w:rPr>
          <w:lang w:eastAsia="en-AU"/>
        </w:rPr>
        <w:fldChar w:fldCharType="separate"/>
      </w:r>
      <w:r w:rsidR="0092693A" w:rsidRPr="00602824">
        <w:t xml:space="preserve">Figure </w:t>
      </w:r>
      <w:r w:rsidR="0092693A">
        <w:rPr>
          <w:noProof/>
        </w:rPr>
        <w:t>20</w:t>
      </w:r>
      <w:r w:rsidRPr="00602824">
        <w:rPr>
          <w:lang w:eastAsia="en-AU"/>
        </w:rPr>
        <w:fldChar w:fldCharType="end"/>
      </w:r>
      <w:r w:rsidRPr="00602824">
        <w:rPr>
          <w:lang w:eastAsia="en-AU"/>
        </w:rPr>
        <w:t xml:space="preserve"> below, the proportion of the Australian population with hospital treatment PHI increased from 44.6% in June 2021 to 45.</w:t>
      </w:r>
      <w:r w:rsidR="00846DFC">
        <w:rPr>
          <w:lang w:eastAsia="en-AU"/>
        </w:rPr>
        <w:t>8</w:t>
      </w:r>
      <w:r w:rsidRPr="00602824">
        <w:rPr>
          <w:lang w:eastAsia="en-AU"/>
        </w:rPr>
        <w:t>% in June 202</w:t>
      </w:r>
      <w:r w:rsidR="00846DFC">
        <w:rPr>
          <w:lang w:eastAsia="en-AU"/>
        </w:rPr>
        <w:t>5</w:t>
      </w:r>
      <w:r w:rsidRPr="00602824">
        <w:rPr>
          <w:lang w:eastAsia="en-AU"/>
        </w:rPr>
        <w:t>.</w:t>
      </w:r>
    </w:p>
    <w:p w14:paraId="5258446E" w14:textId="7F0318DF" w:rsidR="00652D38" w:rsidRPr="00602824" w:rsidRDefault="009D7681" w:rsidP="009D7681">
      <w:pPr>
        <w:rPr>
          <w:lang w:eastAsia="en-AU"/>
        </w:rPr>
      </w:pPr>
      <w:r w:rsidRPr="00602824">
        <w:rPr>
          <w:lang w:eastAsia="en-AU"/>
        </w:rPr>
        <w:t>This suggests that recent cost pressures have not significantly affected overall participation in private health insurance.</w:t>
      </w:r>
      <w:r w:rsidR="008D75D9" w:rsidRPr="00602824">
        <w:rPr>
          <w:lang w:eastAsia="en-AU"/>
        </w:rPr>
        <w:t xml:space="preserve"> Stakeholders suggested </w:t>
      </w:r>
      <w:r w:rsidR="004A1EB9" w:rsidRPr="00602824">
        <w:rPr>
          <w:lang w:eastAsia="en-AU"/>
        </w:rPr>
        <w:t xml:space="preserve">that COVID-19 stabilised </w:t>
      </w:r>
      <w:r w:rsidR="00B636D7" w:rsidRPr="00602824">
        <w:rPr>
          <w:lang w:eastAsia="en-AU"/>
        </w:rPr>
        <w:t>PHI coverage after years of decline</w:t>
      </w:r>
      <w:r w:rsidR="00F32B50" w:rsidRPr="00602824">
        <w:rPr>
          <w:lang w:eastAsia="en-AU"/>
        </w:rPr>
        <w:t xml:space="preserve"> – perhaps </w:t>
      </w:r>
      <w:r w:rsidR="00EE3E7B" w:rsidRPr="00602824">
        <w:rPr>
          <w:lang w:eastAsia="en-AU"/>
        </w:rPr>
        <w:t xml:space="preserve">due to concern about public hospital access – </w:t>
      </w:r>
      <w:r w:rsidR="00FE0259" w:rsidRPr="00602824">
        <w:rPr>
          <w:lang w:eastAsia="en-AU"/>
        </w:rPr>
        <w:t>and that</w:t>
      </w:r>
      <w:r w:rsidR="001C1891" w:rsidRPr="00602824">
        <w:rPr>
          <w:lang w:eastAsia="en-AU"/>
        </w:rPr>
        <w:t xml:space="preserve"> in recent years,</w:t>
      </w:r>
      <w:r w:rsidR="00FE0259" w:rsidRPr="00602824">
        <w:rPr>
          <w:lang w:eastAsia="en-AU"/>
        </w:rPr>
        <w:t xml:space="preserve"> </w:t>
      </w:r>
      <w:r w:rsidR="00A76158">
        <w:rPr>
          <w:lang w:eastAsia="en-AU"/>
        </w:rPr>
        <w:t xml:space="preserve">consumers are </w:t>
      </w:r>
      <w:r w:rsidR="00FE0259" w:rsidRPr="00602824">
        <w:rPr>
          <w:lang w:eastAsia="en-AU"/>
        </w:rPr>
        <w:t>maintain</w:t>
      </w:r>
      <w:r w:rsidR="00A76158">
        <w:rPr>
          <w:lang w:eastAsia="en-AU"/>
        </w:rPr>
        <w:t>ing</w:t>
      </w:r>
      <w:r w:rsidR="00FE0259" w:rsidRPr="00602824">
        <w:rPr>
          <w:lang w:eastAsia="en-AU"/>
        </w:rPr>
        <w:t xml:space="preserve"> their cover.</w:t>
      </w:r>
      <w:r w:rsidR="001C1891" w:rsidRPr="00602824">
        <w:rPr>
          <w:rStyle w:val="FootnoteReference"/>
          <w:lang w:eastAsia="en-AU"/>
        </w:rPr>
        <w:footnoteReference w:id="70"/>
      </w:r>
    </w:p>
    <w:p w14:paraId="31F48A35" w14:textId="5361E933" w:rsidR="001655DB" w:rsidRDefault="001655DB" w:rsidP="00846DFC">
      <w:pPr>
        <w:pStyle w:val="Caption"/>
      </w:pPr>
      <w:bookmarkStart w:id="53" w:name="_Ref202890351"/>
      <w:r w:rsidRPr="00602824">
        <w:t xml:space="preserve">Figure </w:t>
      </w:r>
      <w:r w:rsidR="005539DD">
        <w:fldChar w:fldCharType="begin"/>
      </w:r>
      <w:r w:rsidR="005539DD">
        <w:instrText xml:space="preserve"> SEQ Figure \* ARABIC </w:instrText>
      </w:r>
      <w:r w:rsidR="005539DD">
        <w:fldChar w:fldCharType="separate"/>
      </w:r>
      <w:r w:rsidR="0092693A">
        <w:rPr>
          <w:noProof/>
        </w:rPr>
        <w:t>20</w:t>
      </w:r>
      <w:r w:rsidR="005539DD">
        <w:fldChar w:fldCharType="end"/>
      </w:r>
      <w:bookmarkEnd w:id="53"/>
      <w:r w:rsidRPr="00602824">
        <w:t xml:space="preserve"> | Percentage of Australian population with Hospital Treatment PHI</w:t>
      </w:r>
      <w:r w:rsidRPr="00602824">
        <w:rPr>
          <w:rStyle w:val="FootnoteReference"/>
        </w:rPr>
        <w:footnoteReference w:id="71"/>
      </w:r>
    </w:p>
    <w:p w14:paraId="22BB19F7" w14:textId="43019D7F" w:rsidR="00846DFC" w:rsidRPr="00602824" w:rsidRDefault="00846DFC" w:rsidP="001655DB">
      <w:r w:rsidRPr="00846DFC">
        <w:rPr>
          <w:noProof/>
        </w:rPr>
        <w:drawing>
          <wp:inline distT="0" distB="0" distL="0" distR="0" wp14:anchorId="3003EB5A" wp14:editId="4DAD9D0F">
            <wp:extent cx="5832475" cy="2947670"/>
            <wp:effectExtent l="0" t="0" r="0" b="5080"/>
            <wp:docPr id="366632753" name="Picture 1" descr="Line graph showing PHI hospital treatment coverage rate as % of Australian population, 2021–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632753" name="Picture 1" descr="Line graph showing PHI hospital treatment coverage rate as % of Australian population, 2021–2025."/>
                    <pic:cNvPicPr/>
                  </pic:nvPicPr>
                  <pic:blipFill>
                    <a:blip r:embed="rId42"/>
                    <a:stretch>
                      <a:fillRect/>
                    </a:stretch>
                  </pic:blipFill>
                  <pic:spPr>
                    <a:xfrm>
                      <a:off x="0" y="0"/>
                      <a:ext cx="5832475" cy="2947670"/>
                    </a:xfrm>
                    <a:prstGeom prst="rect">
                      <a:avLst/>
                    </a:prstGeom>
                  </pic:spPr>
                </pic:pic>
              </a:graphicData>
            </a:graphic>
          </wp:inline>
        </w:drawing>
      </w:r>
    </w:p>
    <w:p w14:paraId="5190CE87" w14:textId="301844CA" w:rsidR="00585F4F" w:rsidRDefault="00585F4F" w:rsidP="00173933">
      <w:pPr>
        <w:pStyle w:val="Heading3"/>
      </w:pPr>
      <w:r w:rsidRPr="00B67F6C">
        <w:t>Stakeholders</w:t>
      </w:r>
      <w:r>
        <w:t xml:space="preserve"> </w:t>
      </w:r>
      <w:r w:rsidR="00C3232F">
        <w:t xml:space="preserve">were </w:t>
      </w:r>
      <w:r>
        <w:t>broadly</w:t>
      </w:r>
      <w:r w:rsidRPr="00B67F6C">
        <w:t xml:space="preserve"> </w:t>
      </w:r>
      <w:r w:rsidR="00C3232F">
        <w:t>of the view</w:t>
      </w:r>
      <w:r w:rsidRPr="00B67F6C">
        <w:t xml:space="preserve"> that </w:t>
      </w:r>
      <w:r>
        <w:t xml:space="preserve">it is difficult to isolate the effects of the </w:t>
      </w:r>
      <w:r w:rsidRPr="00B67F6C">
        <w:t>PL reforms on PHI premiums</w:t>
      </w:r>
    </w:p>
    <w:p w14:paraId="72CFD4AC" w14:textId="47DCC970" w:rsidR="00A66968" w:rsidRDefault="00A66968" w:rsidP="00A66968">
      <w:pPr>
        <w:rPr>
          <w:lang w:eastAsia="en-AU"/>
        </w:rPr>
      </w:pPr>
      <w:r w:rsidRPr="00602824">
        <w:rPr>
          <w:lang w:eastAsia="en-AU"/>
        </w:rPr>
        <w:t>Stakeholders expressed mixed views on whether the PL reforms have improved the affordability or value of private health insurance. There is broad agreement, however, that the impact of the reforms on premiums is hard to separate from other cost drivers.</w:t>
      </w:r>
      <w:r w:rsidR="00246517">
        <w:rPr>
          <w:lang w:eastAsia="en-AU"/>
        </w:rPr>
        <w:t xml:space="preserve"> </w:t>
      </w:r>
    </w:p>
    <w:p w14:paraId="0C2BF564" w14:textId="798ECC3E" w:rsidR="00617F76" w:rsidRPr="00617F76" w:rsidRDefault="009A4D03" w:rsidP="00617F76">
      <w:pPr>
        <w:rPr>
          <w:lang w:eastAsia="en-AU"/>
        </w:rPr>
      </w:pPr>
      <w:r>
        <w:rPr>
          <w:lang w:eastAsia="en-AU"/>
        </w:rPr>
        <w:t>Sta</w:t>
      </w:r>
      <w:r w:rsidR="00183EE6">
        <w:rPr>
          <w:lang w:eastAsia="en-AU"/>
        </w:rPr>
        <w:t>keholders were generally of the view</w:t>
      </w:r>
      <w:r w:rsidR="00F5386A" w:rsidRPr="00F5386A">
        <w:rPr>
          <w:lang w:eastAsia="en-AU"/>
        </w:rPr>
        <w:t xml:space="preserve"> that changes in PHI premiums cannot be clearly attributed to PL reforms alone, given concurrent drivers such as rising utilisation, insurer operating costs, and broader health system pressures. Private hospitals, clinicians, and medical technology representatives all point to continued year</w:t>
      </w:r>
      <w:r w:rsidR="00F5386A" w:rsidRPr="00F5386A">
        <w:rPr>
          <w:lang w:eastAsia="en-AU"/>
        </w:rPr>
        <w:noBreakHyphen/>
        <w:t>on</w:t>
      </w:r>
      <w:r w:rsidR="00F5386A" w:rsidRPr="00F5386A">
        <w:rPr>
          <w:lang w:eastAsia="en-AU"/>
        </w:rPr>
        <w:noBreakHyphen/>
        <w:t xml:space="preserve">year premium increases, suggesting that any PL-related savings have only marginally slowed, rather than reversed, premium growth. </w:t>
      </w:r>
    </w:p>
    <w:p w14:paraId="75404B85" w14:textId="21C6D3D7" w:rsidR="007A76E7" w:rsidRDefault="00C55976" w:rsidP="007A76E7">
      <w:pPr>
        <w:pStyle w:val="Heading4"/>
      </w:pPr>
      <w:bookmarkStart w:id="54" w:name="_Toc164439319"/>
      <w:bookmarkStart w:id="55" w:name="_Toc181405086"/>
      <w:r>
        <w:t xml:space="preserve">Stakeholder groups </w:t>
      </w:r>
      <w:r w:rsidR="007A76E7">
        <w:t>had different perspectives</w:t>
      </w:r>
      <w:r w:rsidR="00FB327D">
        <w:t xml:space="preserve"> on </w:t>
      </w:r>
      <w:r w:rsidR="008B7D28">
        <w:t>the relationship between the reforms and PHI premiums</w:t>
      </w:r>
      <w:r w:rsidR="00241288">
        <w:t xml:space="preserve"> </w:t>
      </w:r>
    </w:p>
    <w:p w14:paraId="452AF574" w14:textId="50C01DB3" w:rsidR="00D91CFB" w:rsidRDefault="006571A2" w:rsidP="006571A2">
      <w:pPr>
        <w:rPr>
          <w:lang w:eastAsia="en-AU"/>
        </w:rPr>
      </w:pPr>
      <w:r w:rsidRPr="006571A2">
        <w:rPr>
          <w:lang w:eastAsia="en-AU"/>
        </w:rPr>
        <w:t>Private hospitals and medical technology representatives question whether insurers have meaningfully passed PL savings on to consumers, citing ongoing premium increases and concerns about value for money.</w:t>
      </w:r>
      <w:r>
        <w:rPr>
          <w:lang w:eastAsia="en-AU"/>
        </w:rPr>
        <w:t xml:space="preserve"> </w:t>
      </w:r>
      <w:r w:rsidRPr="006571A2">
        <w:rPr>
          <w:lang w:eastAsia="en-AU"/>
        </w:rPr>
        <w:t xml:space="preserve">Clinicians </w:t>
      </w:r>
      <w:r w:rsidR="00591A9F">
        <w:rPr>
          <w:lang w:eastAsia="en-AU"/>
        </w:rPr>
        <w:t>reinforce</w:t>
      </w:r>
      <w:r w:rsidR="006908E3">
        <w:rPr>
          <w:lang w:eastAsia="en-AU"/>
        </w:rPr>
        <w:t>d</w:t>
      </w:r>
      <w:r w:rsidR="00591A9F">
        <w:rPr>
          <w:lang w:eastAsia="en-AU"/>
        </w:rPr>
        <w:t xml:space="preserve"> this perspective</w:t>
      </w:r>
      <w:r w:rsidRPr="006571A2">
        <w:rPr>
          <w:lang w:eastAsia="en-AU"/>
        </w:rPr>
        <w:t>, noting that although device costs per service have declined, these savings have not translated into visibly lower premiums</w:t>
      </w:r>
      <w:r>
        <w:rPr>
          <w:lang w:eastAsia="en-AU"/>
        </w:rPr>
        <w:t xml:space="preserve"> for consumers</w:t>
      </w:r>
      <w:r w:rsidRPr="006571A2">
        <w:rPr>
          <w:lang w:eastAsia="en-AU"/>
        </w:rPr>
        <w:t xml:space="preserve">. </w:t>
      </w:r>
    </w:p>
    <w:p w14:paraId="1584E7AE" w14:textId="4F0567D6" w:rsidR="006571A2" w:rsidRPr="006571A2" w:rsidRDefault="00D91CFB" w:rsidP="006571A2">
      <w:pPr>
        <w:rPr>
          <w:lang w:eastAsia="en-AU"/>
        </w:rPr>
      </w:pPr>
      <w:r w:rsidRPr="00F5386A">
        <w:rPr>
          <w:lang w:eastAsia="en-AU"/>
        </w:rPr>
        <w:t>Insurers argue</w:t>
      </w:r>
      <w:r>
        <w:rPr>
          <w:lang w:eastAsia="en-AU"/>
        </w:rPr>
        <w:t>d</w:t>
      </w:r>
      <w:r w:rsidRPr="00F5386A">
        <w:rPr>
          <w:lang w:eastAsia="en-AU"/>
        </w:rPr>
        <w:t xml:space="preserve"> that increased volumes of medical devices have offset unit price reductions, diluting any observable premium impact.</w:t>
      </w:r>
      <w:r>
        <w:rPr>
          <w:lang w:eastAsia="en-AU"/>
        </w:rPr>
        <w:t xml:space="preserve"> They</w:t>
      </w:r>
      <w:r w:rsidR="006571A2" w:rsidRPr="006571A2">
        <w:rPr>
          <w:lang w:eastAsia="en-AU"/>
        </w:rPr>
        <w:t xml:space="preserve"> report</w:t>
      </w:r>
      <w:r>
        <w:rPr>
          <w:lang w:eastAsia="en-AU"/>
        </w:rPr>
        <w:t>ed</w:t>
      </w:r>
      <w:r w:rsidR="006571A2" w:rsidRPr="006571A2">
        <w:rPr>
          <w:lang w:eastAsia="en-AU"/>
        </w:rPr>
        <w:t xml:space="preserve"> that some savings</w:t>
      </w:r>
      <w:r w:rsidR="002F3F8C">
        <w:rPr>
          <w:lang w:eastAsia="en-AU"/>
        </w:rPr>
        <w:t xml:space="preserve"> </w:t>
      </w:r>
      <w:r w:rsidR="006571A2" w:rsidRPr="006571A2">
        <w:rPr>
          <w:lang w:eastAsia="en-AU"/>
        </w:rPr>
        <w:t>have been reflected in premium adjustments, though they acknowledge the scale is modest relative to total</w:t>
      </w:r>
      <w:r w:rsidR="002F3F8C">
        <w:rPr>
          <w:lang w:eastAsia="en-AU"/>
        </w:rPr>
        <w:t xml:space="preserve"> insurance</w:t>
      </w:r>
      <w:r w:rsidR="006571A2" w:rsidRPr="006571A2">
        <w:rPr>
          <w:lang w:eastAsia="en-AU"/>
        </w:rPr>
        <w:t xml:space="preserve"> costs.</w:t>
      </w:r>
      <w:r w:rsidR="001C6FB7" w:rsidRPr="001C6FB7">
        <w:rPr>
          <w:lang w:eastAsia="en-AU"/>
        </w:rPr>
        <w:t xml:space="preserve"> </w:t>
      </w:r>
      <w:r w:rsidR="001C6FB7" w:rsidRPr="00CC7A1E">
        <w:rPr>
          <w:lang w:eastAsia="en-AU"/>
        </w:rPr>
        <w:t>Insurers frame PL reforms as necessary but insufficient, emphasising that medical devices comprise a small share of total PHI expenditure and arguing for further reform to manage future cost pressures and reduce the risk of declining coverage.</w:t>
      </w:r>
    </w:p>
    <w:p w14:paraId="38210F09" w14:textId="5DC2A787" w:rsidR="00CC7A1E" w:rsidRPr="00CC7A1E" w:rsidRDefault="00371E1D" w:rsidP="00CC7A1E">
      <w:pPr>
        <w:rPr>
          <w:lang w:eastAsia="en-AU"/>
        </w:rPr>
      </w:pPr>
      <w:r w:rsidRPr="00371E1D">
        <w:rPr>
          <w:lang w:eastAsia="en-AU"/>
        </w:rPr>
        <w:t xml:space="preserve">Medical </w:t>
      </w:r>
      <w:r w:rsidR="00A23CF6">
        <w:rPr>
          <w:lang w:eastAsia="en-AU"/>
        </w:rPr>
        <w:t>device</w:t>
      </w:r>
      <w:r w:rsidRPr="00371E1D">
        <w:rPr>
          <w:lang w:eastAsia="en-AU"/>
        </w:rPr>
        <w:t xml:space="preserve"> representatives contend that PL benefit reductions have been one of the few sources of downward pressure on premiums in recent years, helping stabilise PHI participation during periods of broader affordability stress.</w:t>
      </w:r>
      <w:r>
        <w:rPr>
          <w:lang w:eastAsia="en-AU"/>
        </w:rPr>
        <w:t xml:space="preserve"> </w:t>
      </w:r>
      <w:r w:rsidRPr="00371E1D">
        <w:rPr>
          <w:lang w:eastAsia="en-AU"/>
        </w:rPr>
        <w:t xml:space="preserve">Clinicians and </w:t>
      </w:r>
      <w:r w:rsidR="00A23CF6">
        <w:rPr>
          <w:lang w:eastAsia="en-AU"/>
        </w:rPr>
        <w:t>medical device</w:t>
      </w:r>
      <w:r w:rsidRPr="00371E1D">
        <w:rPr>
          <w:lang w:eastAsia="en-AU"/>
        </w:rPr>
        <w:t xml:space="preserve"> stakeholders generally attribute recent stabilisation or growth in PHI coverage more to consumer concerns about access to public hospitals than to improved affordability or perceived value arising from PL reforms.</w:t>
      </w:r>
    </w:p>
    <w:p w14:paraId="22DD650D" w14:textId="4BEF0D49" w:rsidR="00770EE4" w:rsidRPr="00602824" w:rsidRDefault="00770EE4" w:rsidP="00770EE4">
      <w:pPr>
        <w:pStyle w:val="Heading2"/>
      </w:pPr>
      <w:bookmarkStart w:id="56" w:name="_Toc237002807"/>
      <w:r w:rsidRPr="00602824">
        <w:t>Objective 5: Clarify the purpose, definition and scope of the PL in legislation</w:t>
      </w:r>
      <w:bookmarkEnd w:id="54"/>
      <w:bookmarkEnd w:id="55"/>
      <w:bookmarkEnd w:id="56"/>
    </w:p>
    <w:p w14:paraId="227A7399" w14:textId="679EA2B3" w:rsidR="00770EE4" w:rsidRPr="00602824" w:rsidRDefault="00770EE4" w:rsidP="00770EE4">
      <w:pPr>
        <w:rPr>
          <w:i/>
          <w:iCs/>
          <w:lang w:eastAsia="en-AU"/>
        </w:rPr>
      </w:pPr>
      <w:r w:rsidRPr="00602824">
        <w:rPr>
          <w:i/>
          <w:iCs/>
          <w:lang w:eastAsia="en-AU"/>
        </w:rPr>
        <w:t xml:space="preserve">This section considers legislative changes in support of the PL’s defined purpose and scope, implementation of </w:t>
      </w:r>
      <w:r w:rsidR="008B665E" w:rsidRPr="00602824">
        <w:rPr>
          <w:i/>
          <w:iCs/>
          <w:lang w:eastAsia="en-AU"/>
        </w:rPr>
        <w:t xml:space="preserve">a </w:t>
      </w:r>
      <w:r w:rsidRPr="00602824">
        <w:rPr>
          <w:i/>
          <w:iCs/>
          <w:lang w:eastAsia="en-AU"/>
        </w:rPr>
        <w:t xml:space="preserve">new grouping structure and implementation of </w:t>
      </w:r>
      <w:r w:rsidR="00467A9D" w:rsidRPr="00602824">
        <w:rPr>
          <w:i/>
          <w:iCs/>
          <w:lang w:eastAsia="en-AU"/>
        </w:rPr>
        <w:t>alternative funding arrangements</w:t>
      </w:r>
      <w:r w:rsidRPr="00602824">
        <w:rPr>
          <w:i/>
          <w:iCs/>
          <w:lang w:eastAsia="en-AU"/>
        </w:rPr>
        <w:t xml:space="preserve"> </w:t>
      </w:r>
      <w:r w:rsidR="00467A9D" w:rsidRPr="00602824">
        <w:rPr>
          <w:i/>
          <w:iCs/>
          <w:lang w:eastAsia="en-AU"/>
        </w:rPr>
        <w:t>for</w:t>
      </w:r>
      <w:r w:rsidRPr="00602824">
        <w:rPr>
          <w:i/>
          <w:iCs/>
          <w:lang w:eastAsia="en-AU"/>
        </w:rPr>
        <w:t xml:space="preserve"> GUIs. </w:t>
      </w:r>
    </w:p>
    <w:p w14:paraId="4EB1802F" w14:textId="1C2F04F4" w:rsidR="00770EE4" w:rsidRPr="00602824" w:rsidRDefault="00770EE4" w:rsidP="00B50EE7">
      <w:pPr>
        <w:pStyle w:val="Caption"/>
        <w:rPr>
          <w:lang w:eastAsia="en-AU"/>
        </w:rPr>
      </w:pPr>
      <w:r w:rsidRPr="00602824">
        <w:t xml:space="preserve">Figure </w:t>
      </w:r>
      <w:r w:rsidR="005539DD">
        <w:fldChar w:fldCharType="begin"/>
      </w:r>
      <w:r w:rsidR="005539DD">
        <w:instrText xml:space="preserve"> SEQ Figure \* ARABIC </w:instrText>
      </w:r>
      <w:r w:rsidR="005539DD">
        <w:fldChar w:fldCharType="separate"/>
      </w:r>
      <w:r w:rsidR="0092693A">
        <w:rPr>
          <w:noProof/>
        </w:rPr>
        <w:t>21</w:t>
      </w:r>
      <w:r w:rsidR="005539DD">
        <w:fldChar w:fldCharType="end"/>
      </w:r>
      <w:r w:rsidRPr="00602824">
        <w:t xml:space="preserve"> | Reform projects related to reform objective 5</w:t>
      </w:r>
    </w:p>
    <w:p w14:paraId="0A8F6F7B" w14:textId="77777777" w:rsidR="00770EE4" w:rsidRPr="00602824" w:rsidRDefault="00770EE4" w:rsidP="00770EE4">
      <w:pPr>
        <w:rPr>
          <w:lang w:eastAsia="en-AU"/>
        </w:rPr>
      </w:pPr>
      <w:r w:rsidRPr="00AC7E3F">
        <w:rPr>
          <w:noProof/>
        </w:rPr>
        <w:drawing>
          <wp:inline distT="0" distB="0" distL="0" distR="0" wp14:anchorId="1749DD30" wp14:editId="031C6C5A">
            <wp:extent cx="5868000" cy="1071091"/>
            <wp:effectExtent l="0" t="0" r="0" b="0"/>
            <wp:docPr id="468360584" name="Picture 1" descr="A figure showing Objective 5. Purpose, definition and scope of the PL connected to three reform projects. The projects are clarifying the scope and definition in legislation, regrouping of the PL, and review general use i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360584" name="Picture 1" descr="A figure showing Objective 5. Purpose, definition and scope of the PL connected to three reform projects. The projects are clarifying the scope and definition in legislation, regrouping of the PL, and review general use items."/>
                    <pic:cNvPicPr/>
                  </pic:nvPicPr>
                  <pic:blipFill>
                    <a:blip r:embed="rId43">
                      <a:extLst>
                        <a:ext uri="{28A0092B-C50C-407E-A947-70E740481C1C}">
                          <a14:useLocalDpi xmlns:a14="http://schemas.microsoft.com/office/drawing/2010/main" val="0"/>
                        </a:ext>
                      </a:extLst>
                    </a:blip>
                    <a:stretch>
                      <a:fillRect/>
                    </a:stretch>
                  </pic:blipFill>
                  <pic:spPr>
                    <a:xfrm>
                      <a:off x="0" y="0"/>
                      <a:ext cx="5868000" cy="1071091"/>
                    </a:xfrm>
                    <a:prstGeom prst="rect">
                      <a:avLst/>
                    </a:prstGeom>
                  </pic:spPr>
                </pic:pic>
              </a:graphicData>
            </a:graphic>
          </wp:inline>
        </w:drawing>
      </w:r>
    </w:p>
    <w:p w14:paraId="7EECAB56" w14:textId="2584AC73" w:rsidR="00817097" w:rsidRPr="00817097" w:rsidRDefault="005F511A" w:rsidP="00817097">
      <w:pPr>
        <w:pStyle w:val="Heading3"/>
        <w:spacing w:before="300"/>
      </w:pPr>
      <w:r>
        <w:t xml:space="preserve">Reform project </w:t>
      </w:r>
      <w:r w:rsidR="00DB0F0A">
        <w:t>(a)</w:t>
      </w:r>
      <w:r>
        <w:t>:</w:t>
      </w:r>
      <w:r w:rsidR="00DB0F0A">
        <w:t xml:space="preserve"> </w:t>
      </w:r>
      <w:r>
        <w:t>c</w:t>
      </w:r>
      <w:r w:rsidR="0051654C" w:rsidRPr="00602824">
        <w:t>larifying scope and definition in legislation</w:t>
      </w:r>
    </w:p>
    <w:tbl>
      <w:tblPr>
        <w:tblStyle w:val="NOUSSideHeader5"/>
        <w:tblW w:w="5000" w:type="pct"/>
        <w:tblLook w:val="04A0" w:firstRow="1" w:lastRow="0" w:firstColumn="1" w:lastColumn="0" w:noHBand="0" w:noVBand="1"/>
      </w:tblPr>
      <w:tblGrid>
        <w:gridCol w:w="9185"/>
      </w:tblGrid>
      <w:tr w:rsidR="005A1DA9" w:rsidRPr="00602824" w14:paraId="43EBC2E1" w14:textId="77777777" w:rsidTr="004440B3">
        <w:trPr>
          <w:cnfStyle w:val="100000000000" w:firstRow="1" w:lastRow="0" w:firstColumn="0" w:lastColumn="0" w:oddVBand="0" w:evenVBand="0" w:oddHBand="0" w:evenHBand="0" w:firstRowFirstColumn="0" w:firstRowLastColumn="0" w:lastRowFirstColumn="0" w:lastRowLastColumn="0"/>
        </w:trPr>
        <w:tc>
          <w:tcPr>
            <w:tcW w:w="9041" w:type="dxa"/>
          </w:tcPr>
          <w:p w14:paraId="1978CAF8" w14:textId="705CAD20" w:rsidR="00453007" w:rsidRPr="00602824" w:rsidRDefault="0051654C" w:rsidP="00453007">
            <w:bookmarkStart w:id="57" w:name="_Hlk201652854"/>
            <w:r w:rsidRPr="00602824">
              <w:t>At baseline, the PL lacked clear scope and a legislative definition of ‘prostheses’, allowing items</w:t>
            </w:r>
            <w:r w:rsidR="00D95F9D" w:rsidRPr="00602824">
              <w:t xml:space="preserve"> </w:t>
            </w:r>
            <w:r w:rsidR="001A7D46" w:rsidRPr="00602824">
              <w:t xml:space="preserve">that </w:t>
            </w:r>
            <w:r w:rsidR="00D95F9D" w:rsidRPr="00602824">
              <w:t>may be</w:t>
            </w:r>
            <w:r w:rsidRPr="00602824">
              <w:t xml:space="preserve"> better suited to other funding mechanisms to be listed.</w:t>
            </w:r>
            <w:r w:rsidR="00D95F9D" w:rsidRPr="00602824">
              <w:t xml:space="preserve"> As outlined in</w:t>
            </w:r>
            <w:r w:rsidR="00B0280E" w:rsidRPr="00602824">
              <w:t xml:space="preserve"> </w:t>
            </w:r>
            <w:r w:rsidR="00B0280E" w:rsidRPr="00602824">
              <w:rPr>
                <w:rFonts w:asciiTheme="minorHAnsi" w:hAnsiTheme="minorHAnsi" w:cstheme="minorHAnsi"/>
                <w:i/>
                <w:iCs/>
              </w:rPr>
              <w:t>the</w:t>
            </w:r>
            <w:r w:rsidR="00D95F9D" w:rsidRPr="00602824">
              <w:rPr>
                <w:rFonts w:asciiTheme="minorHAnsi" w:hAnsiTheme="minorHAnsi" w:cstheme="minorHAnsi"/>
                <w:i/>
              </w:rPr>
              <w:t xml:space="preserve"> Interim Evaluation </w:t>
            </w:r>
            <w:r w:rsidR="00B0280E" w:rsidRPr="00602824">
              <w:rPr>
                <w:rFonts w:asciiTheme="minorHAnsi" w:hAnsiTheme="minorHAnsi" w:cstheme="minorHAnsi"/>
                <w:i/>
                <w:iCs/>
              </w:rPr>
              <w:t>#</w:t>
            </w:r>
            <w:r w:rsidR="00D95F9D" w:rsidRPr="00602824">
              <w:rPr>
                <w:rFonts w:asciiTheme="minorHAnsi" w:hAnsiTheme="minorHAnsi" w:cstheme="minorHAnsi"/>
                <w:i/>
              </w:rPr>
              <w:t>1</w:t>
            </w:r>
            <w:r w:rsidR="00B0280E" w:rsidRPr="00602824">
              <w:rPr>
                <w:rFonts w:asciiTheme="minorHAnsi" w:hAnsiTheme="minorHAnsi" w:cstheme="minorHAnsi"/>
                <w:i/>
                <w:iCs/>
              </w:rPr>
              <w:t xml:space="preserve"> report</w:t>
            </w:r>
            <w:r w:rsidR="00D95F9D" w:rsidRPr="00602824">
              <w:rPr>
                <w:rFonts w:asciiTheme="minorHAnsi" w:hAnsiTheme="minorHAnsi" w:cstheme="minorHAnsi"/>
              </w:rPr>
              <w:t xml:space="preserve">, </w:t>
            </w:r>
            <w:r w:rsidR="001A7D46" w:rsidRPr="00602824">
              <w:rPr>
                <w:rFonts w:asciiTheme="minorHAnsi" w:hAnsiTheme="minorHAnsi" w:cstheme="minorHAnsi"/>
              </w:rPr>
              <w:t xml:space="preserve">amendments were made to the PHI Act in 2023. This included renaming the list, replacing the use of ‘prostheses’ with ‘medical devices’, </w:t>
            </w:r>
            <w:r w:rsidR="003F1964" w:rsidRPr="00602824">
              <w:rPr>
                <w:rFonts w:asciiTheme="minorHAnsi" w:hAnsiTheme="minorHAnsi" w:cstheme="minorHAnsi"/>
              </w:rPr>
              <w:t>inserting</w:t>
            </w:r>
            <w:r w:rsidR="001A7D46" w:rsidRPr="00602824">
              <w:rPr>
                <w:rFonts w:asciiTheme="minorHAnsi" w:hAnsiTheme="minorHAnsi" w:cstheme="minorHAnsi"/>
              </w:rPr>
              <w:t xml:space="preserve"> definitions and </w:t>
            </w:r>
            <w:r w:rsidR="003F1964" w:rsidRPr="00602824">
              <w:rPr>
                <w:rFonts w:asciiTheme="minorHAnsi" w:hAnsiTheme="minorHAnsi" w:cstheme="minorHAnsi"/>
              </w:rPr>
              <w:t>revising the device</w:t>
            </w:r>
            <w:r w:rsidR="001A7D46" w:rsidRPr="00602824">
              <w:rPr>
                <w:rFonts w:asciiTheme="minorHAnsi" w:hAnsiTheme="minorHAnsi" w:cstheme="minorHAnsi"/>
              </w:rPr>
              <w:t xml:space="preserve"> listing criteria to clarify product eligibility. </w:t>
            </w:r>
            <w:r w:rsidR="00D95F9D" w:rsidRPr="00602824">
              <w:t xml:space="preserve"> </w:t>
            </w:r>
          </w:p>
          <w:p w14:paraId="69F2FCA2" w14:textId="58F76111" w:rsidR="00014E11" w:rsidRPr="00602824" w:rsidRDefault="00014E11" w:rsidP="00014E11">
            <w:r w:rsidRPr="00602824">
              <w:t>The Private Health Insurance (Medical Devices and Human Tissue Products) Rules have since been updated to accommodate the retention of GUIs on the PL.</w:t>
            </w:r>
            <w:r w:rsidRPr="00602824">
              <w:rPr>
                <w:rStyle w:val="FootnoteReference"/>
              </w:rPr>
              <w:footnoteReference w:id="72"/>
            </w:r>
            <w:r w:rsidRPr="00602824">
              <w:t xml:space="preserve"> The new rules, which came into effect on 1 November 2024 omitted the provision that would repeal Part D (GUIs) of the list and new listing criteria for devices in Part D were added with the intent of maintaining the existing scope of the Part D grouping scheme.</w:t>
            </w:r>
            <w:r w:rsidRPr="00602824">
              <w:rPr>
                <w:rStyle w:val="FootnoteReference"/>
              </w:rPr>
              <w:footnoteReference w:id="73"/>
            </w:r>
            <w:r w:rsidR="00AA0A58" w:rsidRPr="00602824">
              <w:rPr>
                <w:vertAlign w:val="superscript"/>
              </w:rPr>
              <w:t>,</w:t>
            </w:r>
            <w:r w:rsidRPr="00602824">
              <w:rPr>
                <w:rStyle w:val="FootnoteReference"/>
              </w:rPr>
              <w:footnoteReference w:id="74"/>
            </w:r>
            <w:r w:rsidRPr="00602824">
              <w:t xml:space="preserve"> Specifically: </w:t>
            </w:r>
          </w:p>
          <w:p w14:paraId="29D2D381" w14:textId="4094981B" w:rsidR="00014E11" w:rsidRPr="00602824" w:rsidRDefault="00014E11" w:rsidP="00C43175">
            <w:pPr>
              <w:pStyle w:val="ListBullet"/>
            </w:pPr>
            <w:r w:rsidRPr="00602824">
              <w:t xml:space="preserve">New listings for GUIs on the PL must have a comparative GUI already listed in Part D. </w:t>
            </w:r>
          </w:p>
          <w:p w14:paraId="1DBF033B" w14:textId="4842E6D2" w:rsidR="004B443A" w:rsidRPr="00602824" w:rsidRDefault="00014E11" w:rsidP="00C43175">
            <w:pPr>
              <w:pStyle w:val="ListBullet"/>
            </w:pPr>
            <w:r w:rsidRPr="00602824">
              <w:t>No new categories, subcategories, groups, subgroups or suffixes will be added to Part D.</w:t>
            </w:r>
          </w:p>
        </w:tc>
      </w:tr>
    </w:tbl>
    <w:bookmarkEnd w:id="57"/>
    <w:p w14:paraId="5A23C273" w14:textId="2240024B" w:rsidR="005C0409" w:rsidRPr="00602824" w:rsidRDefault="00EC2FF0" w:rsidP="00D413EB">
      <w:pPr>
        <w:spacing w:before="240"/>
        <w:rPr>
          <w:lang w:eastAsia="en-AU"/>
        </w:rPr>
      </w:pPr>
      <w:r w:rsidRPr="00602824">
        <w:rPr>
          <w:lang w:eastAsia="en-AU"/>
        </w:rPr>
        <w:t>As discussed in</w:t>
      </w:r>
      <w:r w:rsidR="00253C24" w:rsidRPr="00602824">
        <w:rPr>
          <w:lang w:eastAsia="en-AU"/>
        </w:rPr>
        <w:t xml:space="preserve"> the</w:t>
      </w:r>
      <w:r w:rsidRPr="00602824">
        <w:rPr>
          <w:lang w:eastAsia="en-AU"/>
        </w:rPr>
        <w:t xml:space="preserve"> </w:t>
      </w:r>
      <w:r w:rsidR="00B1724B" w:rsidRPr="00602824">
        <w:rPr>
          <w:i/>
          <w:lang w:eastAsia="en-AU"/>
        </w:rPr>
        <w:t xml:space="preserve">Interim </w:t>
      </w:r>
      <w:r w:rsidR="002D4A5D" w:rsidRPr="00602824">
        <w:rPr>
          <w:i/>
          <w:lang w:eastAsia="en-AU"/>
        </w:rPr>
        <w:t xml:space="preserve">Evaluation </w:t>
      </w:r>
      <w:r w:rsidR="00B1724B" w:rsidRPr="00602824">
        <w:rPr>
          <w:i/>
          <w:iCs/>
          <w:lang w:eastAsia="en-AU"/>
        </w:rPr>
        <w:t>#1</w:t>
      </w:r>
      <w:r w:rsidR="00B0280E" w:rsidRPr="00602824">
        <w:rPr>
          <w:i/>
          <w:iCs/>
          <w:lang w:eastAsia="en-AU"/>
        </w:rPr>
        <w:t xml:space="preserve"> report</w:t>
      </w:r>
      <w:r w:rsidR="00B1724B" w:rsidRPr="00602824">
        <w:rPr>
          <w:lang w:eastAsia="en-AU"/>
        </w:rPr>
        <w:t>, the inclusion of definitions in the legislation further defined the scope of the PL</w:t>
      </w:r>
      <w:r w:rsidR="0048690B" w:rsidRPr="00602824">
        <w:rPr>
          <w:lang w:eastAsia="en-AU"/>
        </w:rPr>
        <w:t xml:space="preserve">. </w:t>
      </w:r>
      <w:r w:rsidR="00292123" w:rsidRPr="00602824">
        <w:rPr>
          <w:lang w:eastAsia="en-AU"/>
        </w:rPr>
        <w:t>New</w:t>
      </w:r>
      <w:r w:rsidR="0048690B" w:rsidRPr="00602824">
        <w:rPr>
          <w:lang w:eastAsia="en-AU"/>
        </w:rPr>
        <w:t xml:space="preserve"> definitions </w:t>
      </w:r>
      <w:r w:rsidR="00292123" w:rsidRPr="00602824">
        <w:rPr>
          <w:lang w:eastAsia="en-AU"/>
        </w:rPr>
        <w:t xml:space="preserve">were </w:t>
      </w:r>
      <w:r w:rsidR="00770FBD" w:rsidRPr="00602824">
        <w:rPr>
          <w:lang w:eastAsia="en-AU"/>
        </w:rPr>
        <w:t>inserted,</w:t>
      </w:r>
      <w:r w:rsidR="00292123" w:rsidRPr="00602824">
        <w:rPr>
          <w:lang w:eastAsia="en-AU"/>
        </w:rPr>
        <w:t xml:space="preserve"> and </w:t>
      </w:r>
      <w:r w:rsidR="0048690B" w:rsidRPr="00602824">
        <w:rPr>
          <w:lang w:eastAsia="en-AU"/>
        </w:rPr>
        <w:t xml:space="preserve">listing criteria </w:t>
      </w:r>
      <w:r w:rsidR="00770FBD" w:rsidRPr="00602824">
        <w:rPr>
          <w:lang w:eastAsia="en-AU"/>
        </w:rPr>
        <w:t>was</w:t>
      </w:r>
      <w:r w:rsidR="00292123" w:rsidRPr="00602824">
        <w:rPr>
          <w:lang w:eastAsia="en-AU"/>
        </w:rPr>
        <w:t xml:space="preserve"> updated </w:t>
      </w:r>
      <w:r w:rsidR="0048690B" w:rsidRPr="00602824">
        <w:rPr>
          <w:lang w:eastAsia="en-AU"/>
        </w:rPr>
        <w:t xml:space="preserve">in the Act as parameters </w:t>
      </w:r>
      <w:r w:rsidR="00AA1C38" w:rsidRPr="00602824">
        <w:rPr>
          <w:lang w:eastAsia="en-AU"/>
        </w:rPr>
        <w:t>to</w:t>
      </w:r>
      <w:r w:rsidR="0048690B" w:rsidRPr="00602824">
        <w:rPr>
          <w:lang w:eastAsia="en-AU"/>
        </w:rPr>
        <w:t xml:space="preserve"> provide better clarity around what products are eligible for inclusion on the PL</w:t>
      </w:r>
      <w:r w:rsidR="005C0409" w:rsidRPr="00602824">
        <w:rPr>
          <w:lang w:eastAsia="en-AU"/>
        </w:rPr>
        <w:t xml:space="preserve">. </w:t>
      </w:r>
      <w:r w:rsidR="003F6847" w:rsidRPr="00602824">
        <w:rPr>
          <w:lang w:eastAsia="en-AU"/>
        </w:rPr>
        <w:t>The updated</w:t>
      </w:r>
      <w:r w:rsidR="003F6847" w:rsidRPr="00602824">
        <w:t xml:space="preserve"> </w:t>
      </w:r>
      <w:r w:rsidR="003F6847" w:rsidRPr="00602824">
        <w:rPr>
          <w:lang w:eastAsia="en-AU"/>
        </w:rPr>
        <w:t xml:space="preserve">legislation precluded items that were previously </w:t>
      </w:r>
      <w:r w:rsidR="002B1007" w:rsidRPr="00602824">
        <w:rPr>
          <w:lang w:eastAsia="en-AU"/>
        </w:rPr>
        <w:t xml:space="preserve">listed </w:t>
      </w:r>
      <w:r w:rsidR="003F6847" w:rsidRPr="00602824">
        <w:rPr>
          <w:lang w:eastAsia="en-AU"/>
        </w:rPr>
        <w:t>on the PL, such as GUIs and medicines</w:t>
      </w:r>
      <w:r w:rsidR="008E5F25" w:rsidRPr="00602824">
        <w:rPr>
          <w:lang w:eastAsia="en-AU"/>
        </w:rPr>
        <w:t xml:space="preserve">, </w:t>
      </w:r>
      <w:r w:rsidR="003F6847" w:rsidRPr="00602824">
        <w:rPr>
          <w:lang w:eastAsia="en-AU"/>
        </w:rPr>
        <w:t xml:space="preserve">from </w:t>
      </w:r>
      <w:r w:rsidR="00372F8C" w:rsidRPr="00602824">
        <w:rPr>
          <w:lang w:eastAsia="en-AU"/>
        </w:rPr>
        <w:t xml:space="preserve">being listed on </w:t>
      </w:r>
      <w:r w:rsidR="003F6847" w:rsidRPr="00602824">
        <w:rPr>
          <w:lang w:eastAsia="en-AU"/>
        </w:rPr>
        <w:t>the PL</w:t>
      </w:r>
      <w:r w:rsidR="00AA1C38" w:rsidRPr="00602824">
        <w:rPr>
          <w:lang w:eastAsia="en-AU"/>
        </w:rPr>
        <w:t>, however</w:t>
      </w:r>
      <w:r w:rsidR="0054179F" w:rsidRPr="00602824">
        <w:rPr>
          <w:lang w:eastAsia="en-AU"/>
        </w:rPr>
        <w:t xml:space="preserve"> the removal of GUIs</w:t>
      </w:r>
      <w:r w:rsidR="00AA1C38" w:rsidRPr="00602824">
        <w:rPr>
          <w:lang w:eastAsia="en-AU"/>
        </w:rPr>
        <w:t xml:space="preserve"> was reversed </w:t>
      </w:r>
      <w:r w:rsidR="00232E53" w:rsidRPr="00602824">
        <w:rPr>
          <w:lang w:eastAsia="en-AU"/>
        </w:rPr>
        <w:t xml:space="preserve">by the November 2024 rules, </w:t>
      </w:r>
      <w:r w:rsidR="009C1CE8" w:rsidRPr="00602824">
        <w:rPr>
          <w:lang w:eastAsia="en-AU"/>
        </w:rPr>
        <w:t xml:space="preserve">noted above. </w:t>
      </w:r>
      <w:r w:rsidR="002D4A5D" w:rsidRPr="00602824">
        <w:rPr>
          <w:lang w:eastAsia="en-AU"/>
        </w:rPr>
        <w:t>The GUI reform project</w:t>
      </w:r>
      <w:r w:rsidR="009C1CE8" w:rsidRPr="00602824">
        <w:rPr>
          <w:lang w:eastAsia="en-AU"/>
        </w:rPr>
        <w:t xml:space="preserve"> is discussed further </w:t>
      </w:r>
      <w:r w:rsidR="009C1CE8" w:rsidRPr="00BC3B9D">
        <w:rPr>
          <w:lang w:eastAsia="en-AU"/>
        </w:rPr>
        <w:t>in</w:t>
      </w:r>
      <w:r w:rsidR="003F17B5" w:rsidRPr="00BC3B9D">
        <w:rPr>
          <w:lang w:eastAsia="en-AU"/>
        </w:rPr>
        <w:t xml:space="preserve"> </w:t>
      </w:r>
      <w:r w:rsidR="000377F0" w:rsidRPr="00BC3B9D">
        <w:rPr>
          <w:lang w:eastAsia="en-AU"/>
        </w:rPr>
        <w:t>Section</w:t>
      </w:r>
      <w:r w:rsidR="009C1CE8" w:rsidRPr="00BC3B9D">
        <w:rPr>
          <w:lang w:eastAsia="en-AU"/>
        </w:rPr>
        <w:t xml:space="preserve"> </w:t>
      </w:r>
      <w:r w:rsidR="003F17B5" w:rsidRPr="00BC3B9D">
        <w:rPr>
          <w:lang w:eastAsia="en-AU"/>
        </w:rPr>
        <w:fldChar w:fldCharType="begin"/>
      </w:r>
      <w:r w:rsidR="003F17B5" w:rsidRPr="0072063F">
        <w:rPr>
          <w:highlight w:val="yellow"/>
          <w:lang w:eastAsia="en-AU"/>
        </w:rPr>
        <w:instrText xml:space="preserve"> REF _Ref204589228 \n \h </w:instrText>
      </w:r>
      <w:r w:rsidR="0072063F">
        <w:rPr>
          <w:highlight w:val="yellow"/>
          <w:lang w:eastAsia="en-AU"/>
        </w:rPr>
        <w:instrText xml:space="preserve"> \* MERGEFORMAT </w:instrText>
      </w:r>
      <w:r w:rsidR="003F17B5" w:rsidRPr="00BC3B9D">
        <w:rPr>
          <w:lang w:eastAsia="en-AU"/>
        </w:rPr>
      </w:r>
      <w:r w:rsidR="003F17B5" w:rsidRPr="00BC3B9D">
        <w:rPr>
          <w:lang w:eastAsia="en-AU"/>
        </w:rPr>
        <w:fldChar w:fldCharType="separate"/>
      </w:r>
      <w:r w:rsidR="0092693A" w:rsidRPr="0092693A">
        <w:rPr>
          <w:lang w:eastAsia="en-AU"/>
        </w:rPr>
        <w:t>2.5.6</w:t>
      </w:r>
      <w:r w:rsidR="003F17B5" w:rsidRPr="00BC3B9D">
        <w:rPr>
          <w:lang w:eastAsia="en-AU"/>
        </w:rPr>
        <w:fldChar w:fldCharType="end"/>
      </w:r>
      <w:r w:rsidR="003F17B5" w:rsidRPr="00BC3B9D">
        <w:rPr>
          <w:lang w:eastAsia="en-AU"/>
        </w:rPr>
        <w:t>.</w:t>
      </w:r>
      <w:r w:rsidR="003F17B5" w:rsidRPr="00602824">
        <w:rPr>
          <w:lang w:eastAsia="en-AU"/>
        </w:rPr>
        <w:t xml:space="preserve"> </w:t>
      </w:r>
    </w:p>
    <w:p w14:paraId="2142856F" w14:textId="35DC445D" w:rsidR="00EC2FF0" w:rsidRPr="00602824" w:rsidRDefault="009C1CE8" w:rsidP="00303189">
      <w:pPr>
        <w:rPr>
          <w:lang w:eastAsia="en-AU"/>
        </w:rPr>
      </w:pPr>
      <w:r w:rsidRPr="00602824">
        <w:rPr>
          <w:i/>
          <w:lang w:eastAsia="en-AU"/>
        </w:rPr>
        <w:t>Interim</w:t>
      </w:r>
      <w:r w:rsidR="002D4A5D" w:rsidRPr="00602824">
        <w:rPr>
          <w:i/>
          <w:lang w:eastAsia="en-AU"/>
        </w:rPr>
        <w:t xml:space="preserve"> Evaluation</w:t>
      </w:r>
      <w:r w:rsidRPr="00602824">
        <w:rPr>
          <w:i/>
          <w:lang w:eastAsia="en-AU"/>
        </w:rPr>
        <w:t xml:space="preserve"> </w:t>
      </w:r>
      <w:r w:rsidRPr="00602824">
        <w:rPr>
          <w:i/>
          <w:iCs/>
          <w:lang w:eastAsia="en-AU"/>
        </w:rPr>
        <w:t xml:space="preserve">#1 </w:t>
      </w:r>
      <w:r w:rsidR="00B0280E" w:rsidRPr="00602824">
        <w:rPr>
          <w:i/>
          <w:iCs/>
          <w:lang w:eastAsia="en-AU"/>
        </w:rPr>
        <w:t>report</w:t>
      </w:r>
      <w:r w:rsidRPr="00602824">
        <w:rPr>
          <w:lang w:eastAsia="en-AU"/>
        </w:rPr>
        <w:t xml:space="preserve"> also </w:t>
      </w:r>
      <w:r w:rsidR="00F31BE4" w:rsidRPr="00602824">
        <w:rPr>
          <w:lang w:eastAsia="en-AU"/>
        </w:rPr>
        <w:t xml:space="preserve">identified that some </w:t>
      </w:r>
      <w:r w:rsidR="005C0409" w:rsidRPr="00602824">
        <w:rPr>
          <w:lang w:eastAsia="en-AU"/>
        </w:rPr>
        <w:t>ambiguity on boundary products remained</w:t>
      </w:r>
      <w:r w:rsidR="00F31BE4" w:rsidRPr="00602824">
        <w:rPr>
          <w:lang w:eastAsia="en-AU"/>
        </w:rPr>
        <w:t xml:space="preserve"> in the legislation</w:t>
      </w:r>
      <w:r w:rsidR="005C0409" w:rsidRPr="00602824">
        <w:rPr>
          <w:lang w:eastAsia="en-AU"/>
        </w:rPr>
        <w:t>.</w:t>
      </w:r>
      <w:r w:rsidR="00814FCB" w:rsidRPr="00602824">
        <w:rPr>
          <w:lang w:eastAsia="en-AU"/>
        </w:rPr>
        <w:t xml:space="preserve"> </w:t>
      </w:r>
      <w:r w:rsidR="00797ADC" w:rsidRPr="00602824">
        <w:rPr>
          <w:lang w:eastAsia="en-AU"/>
        </w:rPr>
        <w:t>‘B</w:t>
      </w:r>
      <w:r w:rsidR="00814FCB" w:rsidRPr="00602824">
        <w:rPr>
          <w:lang w:eastAsia="en-AU"/>
        </w:rPr>
        <w:t>oundary products’</w:t>
      </w:r>
      <w:r w:rsidR="00797ADC" w:rsidRPr="00602824">
        <w:rPr>
          <w:lang w:eastAsia="en-AU"/>
        </w:rPr>
        <w:t xml:space="preserve"> </w:t>
      </w:r>
      <w:r w:rsidR="00814FCB" w:rsidRPr="00602824">
        <w:rPr>
          <w:lang w:eastAsia="en-AU"/>
        </w:rPr>
        <w:t>are defined as therapeutic goods with attributes that make it challenging to determine whether they belong to the category of medical device or medicine, or both.</w:t>
      </w:r>
      <w:r w:rsidR="00814FCB" w:rsidRPr="00602824">
        <w:rPr>
          <w:rStyle w:val="FootnoteReference"/>
          <w:lang w:eastAsia="en-AU"/>
        </w:rPr>
        <w:footnoteReference w:id="75"/>
      </w:r>
    </w:p>
    <w:p w14:paraId="1DC0672A" w14:textId="1C3B4363" w:rsidR="00416B88" w:rsidRPr="00602824" w:rsidRDefault="005F511A" w:rsidP="00FB712C">
      <w:pPr>
        <w:pStyle w:val="Heading3"/>
        <w:spacing w:before="120"/>
      </w:pPr>
      <w:r>
        <w:t xml:space="preserve">Reform project </w:t>
      </w:r>
      <w:r w:rsidR="00DB0F0A">
        <w:t>(b)</w:t>
      </w:r>
      <w:r>
        <w:t>:</w:t>
      </w:r>
      <w:r w:rsidR="00DB0F0A">
        <w:t xml:space="preserve"> </w:t>
      </w:r>
      <w:r>
        <w:t>r</w:t>
      </w:r>
      <w:r w:rsidR="00855BA4">
        <w:t>egrouping of the PL</w:t>
      </w:r>
    </w:p>
    <w:tbl>
      <w:tblPr>
        <w:tblStyle w:val="NOUSSideHeader5"/>
        <w:tblW w:w="5000" w:type="pct"/>
        <w:tblLook w:val="04A0" w:firstRow="1" w:lastRow="0" w:firstColumn="1" w:lastColumn="0" w:noHBand="0" w:noVBand="1"/>
      </w:tblPr>
      <w:tblGrid>
        <w:gridCol w:w="9185"/>
      </w:tblGrid>
      <w:tr w:rsidR="005A1DA9" w:rsidRPr="00602824" w14:paraId="6AB44177" w14:textId="77777777" w:rsidTr="008C0E64">
        <w:trPr>
          <w:cnfStyle w:val="100000000000" w:firstRow="1" w:lastRow="0" w:firstColumn="0" w:lastColumn="0" w:oddVBand="0" w:evenVBand="0" w:oddHBand="0" w:evenHBand="0" w:firstRowFirstColumn="0" w:firstRowLastColumn="0" w:lastRowFirstColumn="0" w:lastRowLastColumn="0"/>
        </w:trPr>
        <w:tc>
          <w:tcPr>
            <w:tcW w:w="9041" w:type="dxa"/>
          </w:tcPr>
          <w:p w14:paraId="199E5875" w14:textId="445FB794" w:rsidR="002C7C53" w:rsidRPr="00602824" w:rsidRDefault="00AD0805" w:rsidP="004440B3">
            <w:pPr>
              <w:spacing w:before="60"/>
            </w:pPr>
            <w:r>
              <w:t xml:space="preserve">The PL consists of </w:t>
            </w:r>
            <w:r w:rsidR="0015025D">
              <w:t>13 categories</w:t>
            </w:r>
            <w:r w:rsidR="00CF221D">
              <w:t xml:space="preserve"> and multiple sub-categories and groupings </w:t>
            </w:r>
            <w:r w:rsidR="005C6EB0">
              <w:t xml:space="preserve">that are </w:t>
            </w:r>
            <w:r w:rsidR="004639D4" w:rsidRPr="004639D4">
              <w:t>grouped according to similar characteristics, functionality, clinical features and effectiveness.</w:t>
            </w:r>
            <w:r w:rsidR="005C6EB0">
              <w:t xml:space="preserve"> </w:t>
            </w:r>
            <w:r w:rsidR="003564ED" w:rsidRPr="00602824">
              <w:t xml:space="preserve">At baseline, PL groupings and benefit levels were based on device characteristics and clinical benefits. The PL reforms aimed to align groupings with clinical use, simplifying navigation for insurers and hospitals. An external consultant report </w:t>
            </w:r>
            <w:r w:rsidR="00C235E7">
              <w:t xml:space="preserve">(by </w:t>
            </w:r>
            <w:proofErr w:type="spellStart"/>
            <w:r w:rsidR="00C235E7">
              <w:t>Hereco</w:t>
            </w:r>
            <w:proofErr w:type="spellEnd"/>
            <w:r w:rsidR="00C235E7">
              <w:t xml:space="preserve">) </w:t>
            </w:r>
            <w:r w:rsidR="003564ED" w:rsidRPr="00602824">
              <w:t xml:space="preserve">was delivered to the Department in 2022 however concerns arose with the multitude of products considered to comprise a “mixed benefit group” in the proposed new structure, which added significant complexity to regrouping. The requirement in the MOU with the MTAA which required that regrouping not result in additional savings was a complicating issue. As a result, the </w:t>
            </w:r>
            <w:r w:rsidR="00695CEA">
              <w:t>recommended</w:t>
            </w:r>
            <w:r w:rsidR="003564ED" w:rsidRPr="00602824">
              <w:t xml:space="preserve"> regrouped PL structure was not finalised and as discussed in the </w:t>
            </w:r>
            <w:r w:rsidR="003564ED" w:rsidRPr="00602824">
              <w:rPr>
                <w:i/>
                <w:iCs/>
              </w:rPr>
              <w:t>Interim Evaluation #1 report</w:t>
            </w:r>
            <w:r w:rsidR="003564ED" w:rsidRPr="00602824">
              <w:t xml:space="preserve">, the regrouping project was paused. The regrouping project </w:t>
            </w:r>
            <w:r w:rsidR="00AD3450">
              <w:t>was subsequently</w:t>
            </w:r>
            <w:r w:rsidR="003564ED" w:rsidRPr="00602824">
              <w:t xml:space="preserve"> discontinued</w:t>
            </w:r>
            <w:r w:rsidR="00932B19">
              <w:t>: o</w:t>
            </w:r>
            <w:r w:rsidR="003564ED" w:rsidRPr="00602824">
              <w:t>n 12 May 2025, the Department announced to stakeholders that the regrouping of Part A of the PL would not be continued as a reform measure.</w:t>
            </w:r>
            <w:r w:rsidR="003564ED" w:rsidRPr="00602824">
              <w:rPr>
                <w:rStyle w:val="FootnoteReference"/>
              </w:rPr>
              <w:footnoteReference w:id="76"/>
            </w:r>
          </w:p>
        </w:tc>
      </w:tr>
    </w:tbl>
    <w:p w14:paraId="4D678F2F" w14:textId="6076CD15" w:rsidR="00416B88" w:rsidRPr="00602824" w:rsidRDefault="00416B88" w:rsidP="00B50EE7">
      <w:pPr>
        <w:pStyle w:val="Caption"/>
      </w:pPr>
      <w:r w:rsidRPr="00602824">
        <w:t xml:space="preserve">Figure </w:t>
      </w:r>
      <w:r w:rsidR="005539DD">
        <w:fldChar w:fldCharType="begin"/>
      </w:r>
      <w:r w:rsidR="005539DD">
        <w:instrText xml:space="preserve"> SEQ Figure \* ARABIC </w:instrText>
      </w:r>
      <w:r w:rsidR="005539DD">
        <w:fldChar w:fldCharType="separate"/>
      </w:r>
      <w:r w:rsidR="0092693A">
        <w:rPr>
          <w:noProof/>
        </w:rPr>
        <w:t>22</w:t>
      </w:r>
      <w:r w:rsidR="005539DD">
        <w:fldChar w:fldCharType="end"/>
      </w:r>
      <w:r w:rsidRPr="00602824">
        <w:t xml:space="preserve"> | Timeline of PL regrouping reform project</w:t>
      </w:r>
    </w:p>
    <w:p w14:paraId="18ECE4F4" w14:textId="1E1C38F0" w:rsidR="00416B88" w:rsidRPr="00602824" w:rsidRDefault="00B849F2" w:rsidP="00416B88">
      <w:pPr>
        <w:suppressAutoHyphens/>
        <w:ind w:left="340" w:hanging="340"/>
        <w:rPr>
          <w:rFonts w:eastAsia="Times New Roman" w:cs="Times New Roman"/>
          <w:szCs w:val="19"/>
          <w:lang w:eastAsia="en-AU"/>
        </w:rPr>
      </w:pPr>
      <w:r w:rsidRPr="00AC7E3F">
        <w:rPr>
          <w:rFonts w:eastAsia="Times New Roman" w:cs="Times New Roman"/>
          <w:noProof/>
          <w:szCs w:val="19"/>
          <w:lang w:eastAsia="en-AU"/>
        </w:rPr>
        <w:drawing>
          <wp:inline distT="0" distB="0" distL="0" distR="0" wp14:anchorId="3BC10D3B" wp14:editId="2CACB7ED">
            <wp:extent cx="5832820" cy="5328510"/>
            <wp:effectExtent l="0" t="0" r="0" b="5715"/>
            <wp:docPr id="1046350486" name="Picture 29" descr="Timeline showing reform activities associated with the regrouping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350486" name="Picture 29" descr="Timeline showing reform activities associated with the regrouping project."/>
                    <pic:cNvPicPr/>
                  </pic:nvPicPr>
                  <pic:blipFill>
                    <a:blip r:embed="rId44" cstate="print">
                      <a:extLst>
                        <a:ext uri="{28A0092B-C50C-407E-A947-70E740481C1C}">
                          <a14:useLocalDpi xmlns:a14="http://schemas.microsoft.com/office/drawing/2010/main" val="0"/>
                        </a:ext>
                      </a:extLst>
                    </a:blip>
                    <a:stretch>
                      <a:fillRect/>
                    </a:stretch>
                  </pic:blipFill>
                  <pic:spPr bwMode="auto">
                    <a:xfrm>
                      <a:off x="0" y="0"/>
                      <a:ext cx="5832820" cy="5328510"/>
                    </a:xfrm>
                    <a:prstGeom prst="rect">
                      <a:avLst/>
                    </a:prstGeom>
                    <a:extLst>
                      <a:ext uri="{53640926-AAD7-44D8-BBD7-CCE9431645EC}">
                        <a14:shadowObscured xmlns:a14="http://schemas.microsoft.com/office/drawing/2010/main"/>
                      </a:ext>
                    </a:extLst>
                  </pic:spPr>
                </pic:pic>
              </a:graphicData>
            </a:graphic>
          </wp:inline>
        </w:drawing>
      </w:r>
    </w:p>
    <w:p w14:paraId="3177C51E" w14:textId="5EE54A22" w:rsidR="00FE78BA" w:rsidRPr="00602824" w:rsidRDefault="00FE78BA" w:rsidP="007819A9">
      <w:pPr>
        <w:pStyle w:val="Heading4"/>
      </w:pPr>
      <w:r w:rsidRPr="00602824">
        <w:t xml:space="preserve">The regrouping aimed to </w:t>
      </w:r>
      <w:r w:rsidR="00A1734D" w:rsidRPr="00602824">
        <w:t>provide transparency and simplicity</w:t>
      </w:r>
    </w:p>
    <w:p w14:paraId="7E2B0759" w14:textId="612DEAB7" w:rsidR="00B5127B" w:rsidRPr="00B5127B" w:rsidRDefault="00FE78BA" w:rsidP="00B5127B">
      <w:pPr>
        <w:rPr>
          <w:szCs w:val="19"/>
          <w:lang w:eastAsia="en-AU"/>
        </w:rPr>
      </w:pPr>
      <w:r w:rsidRPr="00602824">
        <w:t>Regrouping of the PL was intended to provide transparency around PL items and increase the PL’s ease of use.</w:t>
      </w:r>
      <w:r w:rsidRPr="00602824">
        <w:rPr>
          <w:rStyle w:val="FootnoteReference"/>
        </w:rPr>
        <w:footnoteReference w:id="77"/>
      </w:r>
      <w:r w:rsidRPr="00602824">
        <w:t xml:space="preserve"> </w:t>
      </w:r>
      <w:r w:rsidRPr="00602824">
        <w:rPr>
          <w:lang w:eastAsia="en-AU"/>
        </w:rPr>
        <w:t>This was in response to the PL being considered unwieldy, alongside a notion that this made the PL more difficult to administer, driving cost and unnecessary complexity</w:t>
      </w:r>
      <w:r w:rsidRPr="00602824">
        <w:t>. As of 2021, the PL contained 11,600 billing codes and 1,700 unique groupings.</w:t>
      </w:r>
      <w:r w:rsidRPr="00602824">
        <w:rPr>
          <w:rStyle w:val="FootnoteReference"/>
        </w:rPr>
        <w:footnoteReference w:id="78"/>
      </w:r>
      <w:r w:rsidRPr="00602824">
        <w:rPr>
          <w:lang w:eastAsia="en-AU"/>
        </w:rPr>
        <w:t xml:space="preserve"> </w:t>
      </w:r>
      <w:r w:rsidR="00B5127B" w:rsidRPr="00B5127B">
        <w:rPr>
          <w:szCs w:val="19"/>
          <w:lang w:eastAsia="en-AU"/>
        </w:rPr>
        <w:t>Th</w:t>
      </w:r>
      <w:r w:rsidR="00B5127B">
        <w:rPr>
          <w:szCs w:val="19"/>
          <w:lang w:eastAsia="en-AU"/>
        </w:rPr>
        <w:t>e</w:t>
      </w:r>
      <w:r w:rsidR="00B5127B" w:rsidRPr="00B5127B">
        <w:rPr>
          <w:szCs w:val="19"/>
          <w:lang w:eastAsia="en-AU"/>
        </w:rPr>
        <w:t xml:space="preserve"> regrouping aim</w:t>
      </w:r>
      <w:r w:rsidR="00B5127B">
        <w:rPr>
          <w:szCs w:val="19"/>
          <w:lang w:eastAsia="en-AU"/>
        </w:rPr>
        <w:t>ed</w:t>
      </w:r>
      <w:r w:rsidR="00B5127B" w:rsidRPr="00B5127B">
        <w:rPr>
          <w:szCs w:val="19"/>
          <w:lang w:eastAsia="en-AU"/>
        </w:rPr>
        <w:t xml:space="preserve"> to align the structure of the PL directly with clinical use of the device groups, to streamline the list and make it simpler to navigate for insurers and hospitals.</w:t>
      </w:r>
    </w:p>
    <w:p w14:paraId="53C5E415" w14:textId="4038B6A8" w:rsidR="00B5127B" w:rsidRPr="00B5127B" w:rsidRDefault="00345EA6" w:rsidP="00B5127B">
      <w:pPr>
        <w:rPr>
          <w:lang w:eastAsia="en-AU"/>
        </w:rPr>
      </w:pPr>
      <w:r>
        <w:rPr>
          <w:lang w:eastAsia="en-AU"/>
        </w:rPr>
        <w:t>T</w:t>
      </w:r>
      <w:r w:rsidR="00B5127B" w:rsidRPr="00B5127B">
        <w:rPr>
          <w:lang w:eastAsia="en-AU"/>
        </w:rPr>
        <w:t xml:space="preserve">he </w:t>
      </w:r>
      <w:r w:rsidR="003477DE">
        <w:rPr>
          <w:lang w:eastAsia="en-AU"/>
        </w:rPr>
        <w:t>MOU</w:t>
      </w:r>
      <w:r w:rsidR="00B5127B" w:rsidRPr="00B5127B">
        <w:rPr>
          <w:lang w:eastAsia="en-AU"/>
        </w:rPr>
        <w:t xml:space="preserve"> between the Minister and the MTAA </w:t>
      </w:r>
      <w:r>
        <w:rPr>
          <w:lang w:eastAsia="en-AU"/>
        </w:rPr>
        <w:t xml:space="preserve">contained an important caveat </w:t>
      </w:r>
      <w:r w:rsidR="002146C3">
        <w:rPr>
          <w:lang w:eastAsia="en-AU"/>
        </w:rPr>
        <w:t xml:space="preserve">to the process. It </w:t>
      </w:r>
      <w:r w:rsidR="00B5127B" w:rsidRPr="00B5127B">
        <w:rPr>
          <w:lang w:eastAsia="en-AU"/>
        </w:rPr>
        <w:t>stipulate</w:t>
      </w:r>
      <w:r w:rsidR="002146C3">
        <w:rPr>
          <w:lang w:eastAsia="en-AU"/>
        </w:rPr>
        <w:t>d</w:t>
      </w:r>
      <w:r w:rsidR="00B5127B" w:rsidRPr="00B5127B">
        <w:rPr>
          <w:lang w:eastAsia="en-AU"/>
        </w:rPr>
        <w:t xml:space="preserve"> that the regrouping shall not be designed in a way that further reduces benefit levels for devices beyond the specific benefit reductions planned through other projects of the reforms.</w:t>
      </w:r>
      <w:r w:rsidR="00B5127B" w:rsidRPr="00B5127B">
        <w:rPr>
          <w:rFonts w:asciiTheme="minorHAnsi" w:hAnsiTheme="minorHAnsi" w:cs="Segoe UI"/>
          <w:color w:val="313131"/>
          <w:sz w:val="14"/>
          <w:szCs w:val="14"/>
          <w:shd w:val="clear" w:color="auto" w:fill="FFFFFF"/>
          <w:vertAlign w:val="superscript"/>
        </w:rPr>
        <w:footnoteReference w:id="79"/>
      </w:r>
    </w:p>
    <w:p w14:paraId="7CE22FB4" w14:textId="62058E51" w:rsidR="0066337C" w:rsidRDefault="00704430" w:rsidP="0066337C">
      <w:pPr>
        <w:pStyle w:val="Heading4"/>
      </w:pPr>
      <w:r>
        <w:t xml:space="preserve">There was also a view that regrouping would </w:t>
      </w:r>
      <w:r w:rsidR="0066337C">
        <w:t xml:space="preserve">reduce </w:t>
      </w:r>
      <w:r w:rsidR="0086231B">
        <w:t xml:space="preserve">inconsistencies and </w:t>
      </w:r>
      <w:r w:rsidR="0066337C">
        <w:t>overpricing</w:t>
      </w:r>
    </w:p>
    <w:p w14:paraId="05D3E3EA" w14:textId="43BE76D9" w:rsidR="00FE78BA" w:rsidRPr="00602824" w:rsidRDefault="00FE78BA" w:rsidP="00FE78BA">
      <w:r w:rsidRPr="00602824">
        <w:t>Some stakeholders believe the current PL item groupings contribute to a variety of issues that result in some PL items being overpriced, such as:</w:t>
      </w:r>
    </w:p>
    <w:p w14:paraId="2CDB3471" w14:textId="4F819B64" w:rsidR="00FE78BA" w:rsidRPr="00602824" w:rsidRDefault="00FE78BA" w:rsidP="00C43175">
      <w:pPr>
        <w:pStyle w:val="ListBullet"/>
      </w:pPr>
      <w:r w:rsidRPr="00602824">
        <w:t>Inclusion of items in sections of the PL inconsistent with their actual or intended use</w:t>
      </w:r>
      <w:r w:rsidR="00531C08">
        <w:t>.</w:t>
      </w:r>
    </w:p>
    <w:p w14:paraId="7077A1DF" w14:textId="7B952F2E" w:rsidR="00FE78BA" w:rsidRPr="00602824" w:rsidRDefault="00FE78BA" w:rsidP="00C43175">
      <w:pPr>
        <w:pStyle w:val="ListBullet"/>
      </w:pPr>
      <w:r w:rsidRPr="00602824">
        <w:t>Differences in benefit amounts that are not explainable by clinically relevant product differences</w:t>
      </w:r>
      <w:r w:rsidR="00531C08">
        <w:t>.</w:t>
      </w:r>
    </w:p>
    <w:p w14:paraId="3889EB83" w14:textId="77777777" w:rsidR="00FE78BA" w:rsidRPr="00602824" w:rsidRDefault="00FE78BA" w:rsidP="00C43175">
      <w:pPr>
        <w:pStyle w:val="ListBullet"/>
      </w:pPr>
      <w:r w:rsidRPr="00602824">
        <w:t>The use of inappropriate comparator products, or reclassification of existing products into higher benefit subgroups or suffix groupings, which is viewed to be evidence of gaming.</w:t>
      </w:r>
      <w:r w:rsidRPr="00602824">
        <w:rPr>
          <w:rStyle w:val="FootnoteReference"/>
          <w:color w:val="00264D" w:themeColor="background2"/>
        </w:rPr>
        <w:footnoteReference w:id="80"/>
      </w:r>
    </w:p>
    <w:p w14:paraId="5AA8D560" w14:textId="60E466DE" w:rsidR="00432E4C" w:rsidRPr="00602824" w:rsidRDefault="00432E4C" w:rsidP="00432E4C">
      <w:r w:rsidRPr="00602824">
        <w:t xml:space="preserve">Stakeholders who supported this change believed it would </w:t>
      </w:r>
      <w:r w:rsidR="00930FD3" w:rsidRPr="00602824">
        <w:t xml:space="preserve">potentially </w:t>
      </w:r>
      <w:r w:rsidRPr="00602824">
        <w:t xml:space="preserve">reduce ‘gaming’ </w:t>
      </w:r>
      <w:r w:rsidR="004A3D61" w:rsidRPr="00602824">
        <w:t>–</w:t>
      </w:r>
      <w:r w:rsidRPr="00602824">
        <w:t xml:space="preserve"> where</w:t>
      </w:r>
      <w:r w:rsidR="008774F0" w:rsidRPr="00602824">
        <w:t>by</w:t>
      </w:r>
      <w:r w:rsidRPr="00602824">
        <w:t xml:space="preserve"> sponsors might list devices with minor changes to gain higher benefits without added clinical value.</w:t>
      </w:r>
    </w:p>
    <w:p w14:paraId="6434C460" w14:textId="73FD79B4" w:rsidR="001B74B1" w:rsidRDefault="00F5553A" w:rsidP="001B74B1">
      <w:pPr>
        <w:pStyle w:val="Heading3"/>
      </w:pPr>
      <w:r>
        <w:t xml:space="preserve">Achieving a pure clinical use-based regrouping was challenging and </w:t>
      </w:r>
      <w:r w:rsidR="009B0C7C">
        <w:t>the project</w:t>
      </w:r>
      <w:r w:rsidR="0004381C">
        <w:t xml:space="preserve"> was discontinued</w:t>
      </w:r>
    </w:p>
    <w:p w14:paraId="47DA3B89" w14:textId="35FC2BB6" w:rsidR="00A81DE5" w:rsidRDefault="00E36776" w:rsidP="00681B97">
      <w:r>
        <w:rPr>
          <w:lang w:eastAsia="en-AU"/>
        </w:rPr>
        <w:t xml:space="preserve">The Department made the decision to cease work on the regrouping project when </w:t>
      </w:r>
      <w:r w:rsidRPr="00602824">
        <w:t>“it was evident that implementing the proposed PL grouping structure would require re-assessing all mixed benefit groups in line with a full health technology assessment”.</w:t>
      </w:r>
      <w:r w:rsidRPr="00602824">
        <w:rPr>
          <w:rFonts w:cstheme="minorHAnsi"/>
          <w:szCs w:val="14"/>
          <w:vertAlign w:val="superscript"/>
        </w:rPr>
        <w:footnoteReference w:id="81"/>
      </w:r>
      <w:r w:rsidR="007771BF">
        <w:t xml:space="preserve"> </w:t>
      </w:r>
      <w:r w:rsidR="00467621">
        <w:t>The decision was made on the balance that</w:t>
      </w:r>
      <w:r w:rsidR="004D44F0">
        <w:t xml:space="preserve"> the</w:t>
      </w:r>
      <w:r w:rsidR="00467621">
        <w:t xml:space="preserve"> cost</w:t>
      </w:r>
      <w:r w:rsidR="004D44F0">
        <w:t>s</w:t>
      </w:r>
      <w:r w:rsidR="00467621">
        <w:t xml:space="preserve"> involve</w:t>
      </w:r>
      <w:r w:rsidR="004D44F0">
        <w:t>d would outweigh any potential gains of efficiency and clarity.</w:t>
      </w:r>
    </w:p>
    <w:p w14:paraId="4301FA26" w14:textId="0D5D1ACF" w:rsidR="0067217F" w:rsidRPr="00602824" w:rsidRDefault="00DB674F" w:rsidP="00681B97">
      <w:pPr>
        <w:rPr>
          <w:lang w:eastAsia="en-AU"/>
        </w:rPr>
      </w:pPr>
      <w:r w:rsidRPr="00602824">
        <w:rPr>
          <w:lang w:eastAsia="en-AU"/>
        </w:rPr>
        <w:t>The context that led to th</w:t>
      </w:r>
      <w:r w:rsidR="002817CF">
        <w:rPr>
          <w:lang w:eastAsia="en-AU"/>
        </w:rPr>
        <w:t>is</w:t>
      </w:r>
      <w:r w:rsidRPr="00602824">
        <w:rPr>
          <w:lang w:eastAsia="en-AU"/>
        </w:rPr>
        <w:t xml:space="preserve"> decision </w:t>
      </w:r>
      <w:r w:rsidR="00647B4E">
        <w:rPr>
          <w:lang w:eastAsia="en-AU"/>
        </w:rPr>
        <w:t>was explored</w:t>
      </w:r>
      <w:r w:rsidRPr="00602824">
        <w:rPr>
          <w:lang w:eastAsia="en-AU"/>
        </w:rPr>
        <w:t xml:space="preserve"> in</w:t>
      </w:r>
      <w:r w:rsidR="002817CF">
        <w:rPr>
          <w:lang w:eastAsia="en-AU"/>
        </w:rPr>
        <w:t xml:space="preserve"> the</w:t>
      </w:r>
      <w:r w:rsidRPr="00602824">
        <w:rPr>
          <w:lang w:eastAsia="en-AU"/>
        </w:rPr>
        <w:t xml:space="preserve"> </w:t>
      </w:r>
      <w:r w:rsidRPr="00602824">
        <w:rPr>
          <w:i/>
          <w:lang w:eastAsia="en-AU"/>
        </w:rPr>
        <w:t xml:space="preserve">Interim </w:t>
      </w:r>
      <w:r w:rsidR="0067217F" w:rsidRPr="00602824">
        <w:rPr>
          <w:i/>
          <w:lang w:eastAsia="en-AU"/>
        </w:rPr>
        <w:t>Evaluation</w:t>
      </w:r>
      <w:r w:rsidRPr="00602824">
        <w:rPr>
          <w:i/>
          <w:lang w:eastAsia="en-AU"/>
        </w:rPr>
        <w:t xml:space="preserve"> </w:t>
      </w:r>
      <w:r w:rsidR="00E46892" w:rsidRPr="00602824">
        <w:rPr>
          <w:i/>
          <w:iCs/>
          <w:lang w:eastAsia="en-AU"/>
        </w:rPr>
        <w:t>#</w:t>
      </w:r>
      <w:r w:rsidR="0067217F" w:rsidRPr="00602824">
        <w:rPr>
          <w:i/>
          <w:lang w:eastAsia="en-AU"/>
        </w:rPr>
        <w:t>1</w:t>
      </w:r>
      <w:r w:rsidR="00E46892" w:rsidRPr="00602824">
        <w:rPr>
          <w:i/>
          <w:iCs/>
          <w:lang w:eastAsia="en-AU"/>
        </w:rPr>
        <w:t xml:space="preserve"> report</w:t>
      </w:r>
      <w:r w:rsidR="0067217F" w:rsidRPr="00ED3C25">
        <w:rPr>
          <w:rFonts w:asciiTheme="minorHAnsi" w:hAnsiTheme="minorHAnsi" w:cstheme="minorHAnsi"/>
          <w:lang w:eastAsia="en-AU"/>
        </w:rPr>
        <w:t>.</w:t>
      </w:r>
    </w:p>
    <w:p w14:paraId="74A106F5" w14:textId="6067849B" w:rsidR="00750663" w:rsidRDefault="00AD61F0" w:rsidP="004D44F0">
      <w:pPr>
        <w:pStyle w:val="Heading4"/>
      </w:pPr>
      <w:r>
        <w:t xml:space="preserve">The prohibition in the MOU on using regrouping to make </w:t>
      </w:r>
      <w:r w:rsidR="00750663">
        <w:t xml:space="preserve">further reduction savings </w:t>
      </w:r>
      <w:r w:rsidR="00F262C3">
        <w:t>compounded the challenge</w:t>
      </w:r>
    </w:p>
    <w:p w14:paraId="36366DA4" w14:textId="25E9A0E7" w:rsidR="00B25B42" w:rsidRPr="00602824" w:rsidRDefault="00F262C3" w:rsidP="001F677F">
      <w:r>
        <w:t>T</w:t>
      </w:r>
      <w:r w:rsidRPr="00602824">
        <w:t xml:space="preserve">he </w:t>
      </w:r>
      <w:r w:rsidR="00A60E00">
        <w:t xml:space="preserve">2022 </w:t>
      </w:r>
      <w:r w:rsidRPr="00602824">
        <w:t>MOU with the MTAA prohibit</w:t>
      </w:r>
      <w:r w:rsidR="00A60E00">
        <w:t>ed</w:t>
      </w:r>
      <w:r w:rsidRPr="00602824">
        <w:t xml:space="preserve"> using regrouping to make further reduction savings on benefits beyond those already specified in the agreed reform benefit reduction schedule.</w:t>
      </w:r>
      <w:r w:rsidRPr="00602824">
        <w:rPr>
          <w:rStyle w:val="FootnoteReference"/>
        </w:rPr>
        <w:footnoteReference w:id="82"/>
      </w:r>
      <w:r w:rsidR="00260BBC" w:rsidRPr="00602824">
        <w:t xml:space="preserve"> </w:t>
      </w:r>
      <w:r w:rsidR="00B25B42" w:rsidRPr="00602824">
        <w:t xml:space="preserve">The </w:t>
      </w:r>
      <w:r w:rsidR="00F6716D" w:rsidRPr="00602824">
        <w:t>plan</w:t>
      </w:r>
      <w:r w:rsidR="003A1251" w:rsidRPr="00602824">
        <w:t xml:space="preserve"> </w:t>
      </w:r>
      <w:r w:rsidR="00F6716D" w:rsidRPr="00602824">
        <w:t>to implement</w:t>
      </w:r>
      <w:r w:rsidR="00B25B42" w:rsidRPr="00602824">
        <w:t xml:space="preserve"> the  external consultant’s proposed grouping structure</w:t>
      </w:r>
      <w:r w:rsidR="001568A5">
        <w:t xml:space="preserve">, </w:t>
      </w:r>
      <w:r w:rsidR="00B25B42" w:rsidRPr="00602824">
        <w:t>based on clinical outcomes and independent of device benefits</w:t>
      </w:r>
      <w:r w:rsidR="001568A5">
        <w:t>,</w:t>
      </w:r>
      <w:r w:rsidR="0000189F">
        <w:t xml:space="preserve"> </w:t>
      </w:r>
      <w:r w:rsidR="00B25B42" w:rsidRPr="00602824">
        <w:t>resulted in some groupings containing a wide range of benefits.</w:t>
      </w:r>
      <w:r w:rsidR="003528E1" w:rsidRPr="00602824">
        <w:rPr>
          <w:rStyle w:val="FootnoteReference"/>
        </w:rPr>
        <w:footnoteReference w:id="83"/>
      </w:r>
      <w:r w:rsidR="00B25B42" w:rsidRPr="00602824">
        <w:t xml:space="preserve"> Regrouping those into single-benefit groups became unworkable </w:t>
      </w:r>
      <w:r w:rsidR="0000189F">
        <w:t>in light of the MOU</w:t>
      </w:r>
      <w:r w:rsidR="006E6F1D">
        <w:t xml:space="preserve"> agreement on no further savings.</w:t>
      </w:r>
    </w:p>
    <w:p w14:paraId="1F1F0754" w14:textId="20C9707C" w:rsidR="00DC72FC" w:rsidRDefault="00DC72FC" w:rsidP="00CE1BBB">
      <w:pPr>
        <w:pStyle w:val="Heading3"/>
      </w:pPr>
      <w:r w:rsidRPr="00DC72FC">
        <w:t xml:space="preserve">Regrouping was widely seen </w:t>
      </w:r>
      <w:r>
        <w:t>by stakeholders as</w:t>
      </w:r>
      <w:r w:rsidRPr="00DC72FC">
        <w:t xml:space="preserve"> conceptually sound but operationally complex and poorly executed</w:t>
      </w:r>
    </w:p>
    <w:p w14:paraId="202BB7A9" w14:textId="1F34655F" w:rsidR="00683ACA" w:rsidRPr="00F953CF" w:rsidRDefault="00683ACA" w:rsidP="00683ACA">
      <w:pPr>
        <w:rPr>
          <w:lang w:eastAsia="en-AU"/>
        </w:rPr>
      </w:pPr>
      <w:r w:rsidRPr="00D85537">
        <w:rPr>
          <w:lang w:eastAsia="en-AU"/>
        </w:rPr>
        <w:t>While there was broad conceptual support for simplifying and rationalising the PL, stakeholders disagreed on the feasibility, risks, governance, and intent of regrouping, particularly where it intersected with pricing, innovation, and reimbursement outcomes</w:t>
      </w:r>
      <w:r w:rsidR="00217CDE">
        <w:rPr>
          <w:lang w:eastAsia="en-AU"/>
        </w:rPr>
        <w:t>.</w:t>
      </w:r>
    </w:p>
    <w:p w14:paraId="2F96991D" w14:textId="71D38F6A" w:rsidR="00EF6433" w:rsidRPr="00EF6433" w:rsidRDefault="00EF6433" w:rsidP="00EF6433">
      <w:r w:rsidRPr="00EF6433">
        <w:t xml:space="preserve">Hospital, </w:t>
      </w:r>
      <w:r>
        <w:t>medical device</w:t>
      </w:r>
      <w:r w:rsidRPr="00EF6433">
        <w:t xml:space="preserve">, and clinician stakeholders consistently highlighted poor governance, unrealistic timelines, and limited resourcing as contributing to the project stalling. Several stakeholders characterised the Department’s approach as </w:t>
      </w:r>
      <w:r w:rsidRPr="00070D62">
        <w:t>“all</w:t>
      </w:r>
      <w:r w:rsidRPr="00070D62">
        <w:noBreakHyphen/>
        <w:t>or</w:t>
      </w:r>
      <w:r w:rsidRPr="00070D62">
        <w:noBreakHyphen/>
        <w:t>nothing”</w:t>
      </w:r>
      <w:r w:rsidRPr="00EF6433">
        <w:t xml:space="preserve">, particularly in its treatment of consultant recommendations, arguing that this rigidity prevented incremental progress even where consensus existed. </w:t>
      </w:r>
    </w:p>
    <w:p w14:paraId="31A0380C" w14:textId="06855111" w:rsidR="00EF6433" w:rsidRPr="005201AA" w:rsidRDefault="00070D62" w:rsidP="00EF6433">
      <w:r>
        <w:t>Medical device</w:t>
      </w:r>
      <w:r w:rsidR="00EF6433" w:rsidRPr="00EF6433">
        <w:t xml:space="preserve"> groups expressed frustration </w:t>
      </w:r>
      <w:r w:rsidR="00EF6433" w:rsidRPr="005201AA">
        <w:t>that alternative regrouping models</w:t>
      </w:r>
      <w:r w:rsidR="00CA6D65">
        <w:t xml:space="preserve"> – </w:t>
      </w:r>
      <w:r w:rsidR="00EF6433" w:rsidRPr="005201AA">
        <w:t>which they argued would have simplified the PL without breaching the MOU</w:t>
      </w:r>
      <w:r w:rsidR="00CA6D65">
        <w:t xml:space="preserve"> – </w:t>
      </w:r>
      <w:r w:rsidR="00EF6433" w:rsidRPr="005201AA">
        <w:t>were not progressed. Insurers and hospitals criticised what they perceived as opaque decision</w:t>
      </w:r>
      <w:r w:rsidR="00EF6433" w:rsidRPr="005201AA">
        <w:noBreakHyphen/>
        <w:t xml:space="preserve">making around the cancellation of the project, including limited transparency about why other practical options were not pursued. </w:t>
      </w:r>
    </w:p>
    <w:p w14:paraId="6A92F4E8" w14:textId="54719CCB" w:rsidR="00EF6433" w:rsidRPr="005201AA" w:rsidRDefault="00070D62" w:rsidP="00EF6433">
      <w:r w:rsidRPr="005201AA">
        <w:t>Some</w:t>
      </w:r>
      <w:r w:rsidR="00EF6433" w:rsidRPr="005201AA">
        <w:t xml:space="preserve"> stakeholders emphasised that written consultation alone was insufficient for such a complex reform, and that the lack of face</w:t>
      </w:r>
      <w:r w:rsidR="00EF6433" w:rsidRPr="005201AA">
        <w:noBreakHyphen/>
        <w:t>to</w:t>
      </w:r>
      <w:r w:rsidR="00EF6433" w:rsidRPr="005201AA">
        <w:noBreakHyphen/>
        <w:t>face dialogue with technical experts contributed to misunderstanding</w:t>
      </w:r>
      <w:r w:rsidRPr="005201AA">
        <w:t xml:space="preserve"> and mistrust. </w:t>
      </w:r>
    </w:p>
    <w:p w14:paraId="59FFAC1C" w14:textId="1BEC8ACB" w:rsidR="00C5128E" w:rsidRPr="00C5128E" w:rsidRDefault="001A13B4" w:rsidP="00C5128E">
      <w:pPr>
        <w:pStyle w:val="Heading4"/>
      </w:pPr>
      <w:r>
        <w:t xml:space="preserve">Stakeholders highlighted the </w:t>
      </w:r>
      <w:r w:rsidR="00E0723D">
        <w:t>unresolved tension between the ambitions of the reforms</w:t>
      </w:r>
    </w:p>
    <w:p w14:paraId="0030E477" w14:textId="77777777" w:rsidR="00E3468F" w:rsidRDefault="0097632D" w:rsidP="00B11D2B">
      <w:pPr>
        <w:rPr>
          <w:rFonts w:asciiTheme="minorHAnsi" w:hAnsiTheme="minorHAnsi" w:cstheme="minorHAnsi"/>
        </w:rPr>
      </w:pPr>
      <w:r>
        <w:t>S</w:t>
      </w:r>
      <w:r w:rsidRPr="0097632D">
        <w:t>takeholders recognised that regrouping sat at the inte</w:t>
      </w:r>
      <w:r w:rsidRPr="0097632D">
        <w:rPr>
          <w:rFonts w:asciiTheme="minorHAnsi" w:hAnsiTheme="minorHAnsi" w:cstheme="minorHAnsi"/>
        </w:rPr>
        <w:t xml:space="preserve">rsection of competing objectives: administrative simplification, transparency, and accountability, versus protection of clinical discretion, innovation, and commercial </w:t>
      </w:r>
      <w:r>
        <w:rPr>
          <w:rFonts w:asciiTheme="minorHAnsi" w:hAnsiTheme="minorHAnsi" w:cstheme="minorHAnsi"/>
        </w:rPr>
        <w:t>viability</w:t>
      </w:r>
      <w:r w:rsidRPr="0097632D">
        <w:rPr>
          <w:rFonts w:asciiTheme="minorHAnsi" w:hAnsiTheme="minorHAnsi" w:cstheme="minorHAnsi"/>
        </w:rPr>
        <w:t>.</w:t>
      </w:r>
      <w:r w:rsidR="00CF1923">
        <w:rPr>
          <w:rFonts w:asciiTheme="minorHAnsi" w:hAnsiTheme="minorHAnsi" w:cstheme="minorHAnsi"/>
        </w:rPr>
        <w:t xml:space="preserve"> </w:t>
      </w:r>
    </w:p>
    <w:p w14:paraId="462E6C98" w14:textId="7E064C0E" w:rsidR="00B11D2B" w:rsidRPr="002363DD" w:rsidRDefault="00C320A7" w:rsidP="00B11D2B">
      <w:pPr>
        <w:rPr>
          <w:rFonts w:asciiTheme="minorHAnsi" w:hAnsiTheme="minorHAnsi" w:cstheme="minorHAnsi"/>
        </w:rPr>
      </w:pPr>
      <w:r>
        <w:rPr>
          <w:rFonts w:asciiTheme="minorHAnsi" w:hAnsiTheme="minorHAnsi" w:cstheme="minorHAnsi"/>
        </w:rPr>
        <w:t>M</w:t>
      </w:r>
      <w:r w:rsidR="00B11D2B" w:rsidRPr="00B11D2B">
        <w:rPr>
          <w:rFonts w:asciiTheme="minorHAnsi" w:hAnsiTheme="minorHAnsi" w:cstheme="minorHAnsi"/>
        </w:rPr>
        <w:t>edical technology, private hospitals, and some clinicians argued that proceeding without stronger governance, consultation, and pricing safeguards risked unintended consequences, including increased claims disputes, reduced access to devices, and weakened incentives to supply or innovate.</w:t>
      </w:r>
      <w:r w:rsidR="00531073">
        <w:rPr>
          <w:rFonts w:asciiTheme="minorHAnsi" w:hAnsiTheme="minorHAnsi" w:cstheme="minorHAnsi"/>
        </w:rPr>
        <w:t xml:space="preserve"> </w:t>
      </w:r>
      <w:r w:rsidR="00531073" w:rsidRPr="00531073">
        <w:rPr>
          <w:rFonts w:asciiTheme="minorHAnsi" w:hAnsiTheme="minorHAnsi" w:cstheme="minorHAnsi"/>
        </w:rPr>
        <w:t>For these stakeholders, the decision not to proceed was framed as a pragmatic risk‑management choice, given MOU constraints, fiscal limits, the cost and feasibility of undertaking multiple HTAs, and concerns that regrouping could be perceived as a proxy for price reduction.</w:t>
      </w:r>
    </w:p>
    <w:p w14:paraId="720754C4" w14:textId="2B630225" w:rsidR="003B1118" w:rsidRPr="00602824" w:rsidRDefault="003B1118" w:rsidP="003B1118">
      <w:pPr>
        <w:pStyle w:val="Heading4"/>
      </w:pPr>
      <w:r w:rsidRPr="00602824">
        <w:t xml:space="preserve">The decision to discontinue work on regrouping </w:t>
      </w:r>
      <w:r>
        <w:t>left core structural issues unresolved</w:t>
      </w:r>
      <w:r w:rsidRPr="00602824">
        <w:t xml:space="preserve"> </w:t>
      </w:r>
    </w:p>
    <w:p w14:paraId="674A01FE" w14:textId="77777777" w:rsidR="00D54827" w:rsidRDefault="00D54827" w:rsidP="00D54827">
      <w:pPr>
        <w:rPr>
          <w:rFonts w:asciiTheme="minorHAnsi" w:hAnsiTheme="minorHAnsi" w:cstheme="minorHAnsi"/>
        </w:rPr>
      </w:pPr>
      <w:r w:rsidRPr="002363DD">
        <w:rPr>
          <w:rFonts w:asciiTheme="minorHAnsi" w:hAnsiTheme="minorHAnsi" w:cstheme="minorHAnsi"/>
        </w:rPr>
        <w:t>S</w:t>
      </w:r>
      <w:r w:rsidRPr="001C0035">
        <w:rPr>
          <w:rFonts w:asciiTheme="minorHAnsi" w:hAnsiTheme="minorHAnsi" w:cstheme="minorHAnsi"/>
        </w:rPr>
        <w:t>takeholders across groups acknowledged that stalling regrouping leaves core structural issues unresolved, including legacy groupings, ambiguous boundaries, and ongoing uncertainty around benefit eligibility when devices are used outside defined groups.</w:t>
      </w:r>
      <w:r>
        <w:rPr>
          <w:rFonts w:asciiTheme="minorHAnsi" w:hAnsiTheme="minorHAnsi" w:cstheme="minorHAnsi"/>
        </w:rPr>
        <w:t xml:space="preserve"> </w:t>
      </w:r>
      <w:r w:rsidRPr="001C0035">
        <w:rPr>
          <w:rFonts w:asciiTheme="minorHAnsi" w:hAnsiTheme="minorHAnsi" w:cstheme="minorHAnsi"/>
        </w:rPr>
        <w:t xml:space="preserve">Several stakeholders (including hospitals, insurers, and MDHTAC representatives) noted that, in the absence of regrouping, the PL continues to evolve incrementally, risking further entrenchment of inconsistencies and diminishing the value of work undertaken </w:t>
      </w:r>
      <w:r>
        <w:rPr>
          <w:rFonts w:asciiTheme="minorHAnsi" w:hAnsiTheme="minorHAnsi" w:cstheme="minorHAnsi"/>
        </w:rPr>
        <w:t>for the reform project</w:t>
      </w:r>
      <w:r w:rsidRPr="001C0035">
        <w:rPr>
          <w:rFonts w:asciiTheme="minorHAnsi" w:hAnsiTheme="minorHAnsi" w:cstheme="minorHAnsi"/>
        </w:rPr>
        <w:t>.</w:t>
      </w:r>
    </w:p>
    <w:p w14:paraId="136FA57E" w14:textId="36C44E86" w:rsidR="00F41137" w:rsidRDefault="00F41137" w:rsidP="00F41137">
      <w:pPr>
        <w:rPr>
          <w:rFonts w:asciiTheme="minorHAnsi" w:hAnsiTheme="minorHAnsi" w:cstheme="minorHAnsi"/>
        </w:rPr>
      </w:pPr>
      <w:r w:rsidRPr="00CF1923">
        <w:rPr>
          <w:rFonts w:asciiTheme="minorHAnsi" w:hAnsiTheme="minorHAnsi" w:cstheme="minorHAnsi"/>
        </w:rPr>
        <w:t xml:space="preserve">Insurers </w:t>
      </w:r>
      <w:r>
        <w:rPr>
          <w:rFonts w:asciiTheme="minorHAnsi" w:hAnsiTheme="minorHAnsi" w:cstheme="minorHAnsi"/>
        </w:rPr>
        <w:t>and some M</w:t>
      </w:r>
      <w:r w:rsidR="004E6ED8">
        <w:rPr>
          <w:rFonts w:asciiTheme="minorHAnsi" w:hAnsiTheme="minorHAnsi" w:cstheme="minorHAnsi"/>
        </w:rPr>
        <w:t>D</w:t>
      </w:r>
      <w:r>
        <w:rPr>
          <w:rFonts w:asciiTheme="minorHAnsi" w:hAnsiTheme="minorHAnsi" w:cstheme="minorHAnsi"/>
        </w:rPr>
        <w:t>HTAC advisory members viewed</w:t>
      </w:r>
      <w:r w:rsidRPr="00CF1923">
        <w:rPr>
          <w:rFonts w:asciiTheme="minorHAnsi" w:hAnsiTheme="minorHAnsi" w:cstheme="minorHAnsi"/>
        </w:rPr>
        <w:t xml:space="preserve"> the lack of progress as a missed opportunity to resolve long‑standing inconsistencies in PL structure and strengthen alignment between device groupings, clinical use, and benefit settings.</w:t>
      </w:r>
      <w:r>
        <w:rPr>
          <w:rFonts w:asciiTheme="minorHAnsi" w:hAnsiTheme="minorHAnsi" w:cstheme="minorHAnsi"/>
        </w:rPr>
        <w:t xml:space="preserve"> </w:t>
      </w:r>
    </w:p>
    <w:p w14:paraId="68D1B6BD" w14:textId="262C88E3" w:rsidR="00E80215" w:rsidRDefault="00BE5F42" w:rsidP="00CA6D65">
      <w:pPr>
        <w:pStyle w:val="Heading3"/>
      </w:pPr>
      <w:r>
        <w:t xml:space="preserve">The regrouping </w:t>
      </w:r>
      <w:r w:rsidR="00A64817">
        <w:t>work remains a useful basis for targeted improvement to the PL</w:t>
      </w:r>
      <w:r w:rsidR="00ED5900">
        <w:t xml:space="preserve"> </w:t>
      </w:r>
    </w:p>
    <w:p w14:paraId="4AEA9E38" w14:textId="2C10356C" w:rsidR="00BA55A1" w:rsidRDefault="00BA55A1" w:rsidP="006C1247">
      <w:pPr>
        <w:rPr>
          <w:lang w:eastAsia="en-AU"/>
        </w:rPr>
      </w:pPr>
      <w:r w:rsidRPr="00BA55A1">
        <w:rPr>
          <w:lang w:eastAsia="en-AU"/>
        </w:rPr>
        <w:t>The original ambition to regroup the PL along clinical lines was not fully realised. While detailed work was undertaken with clinical input, the proposed structure encountered significant practical and stakeholder challenges. These challenges were largely driven by the existence of mixed-benefit PL groupings and the MOU ban on achieving further savings. This meant that options for a more flexible or clinically meaningful restructuring were constrained, particularly where regrouping would have required benefit changes or created perceived winners and losers. The decision to cease the regrouping work in May 2025 was sound in the context of these constraints.</w:t>
      </w:r>
    </w:p>
    <w:p w14:paraId="494F7418" w14:textId="0F4AF29E" w:rsidR="001D18C9" w:rsidRDefault="00C86AB9" w:rsidP="00901865">
      <w:pPr>
        <w:spacing w:after="240"/>
        <w:rPr>
          <w:lang w:eastAsia="en-AU"/>
        </w:rPr>
      </w:pPr>
      <w:r w:rsidRPr="00C86AB9">
        <w:rPr>
          <w:lang w:eastAsia="en-AU"/>
        </w:rPr>
        <w:t>However, the work undertaken remains valuable. It identified historical inconsistencies, pricing anomalies and areas where the grouping structure could be made more transparent and practical for users of the PL. The Department has indicated that this work will continue to inform post-listing reviews and assurance activities, providing a basis for future consideration of PL structure and category logic.</w:t>
      </w:r>
      <w:r w:rsidRPr="00602824">
        <w:rPr>
          <w:rFonts w:cstheme="minorHAnsi"/>
          <w:szCs w:val="14"/>
          <w:vertAlign w:val="superscript"/>
        </w:rPr>
        <w:footnoteReference w:id="84"/>
      </w:r>
    </w:p>
    <w:p w14:paraId="2E128B8F" w14:textId="156756B5" w:rsidR="00901865" w:rsidRPr="00602824" w:rsidRDefault="00C86AB9" w:rsidP="00901865">
      <w:pPr>
        <w:spacing w:after="240"/>
        <w:rPr>
          <w:lang w:eastAsia="en-AU"/>
        </w:rPr>
      </w:pPr>
      <w:r w:rsidRPr="00C86AB9">
        <w:rPr>
          <w:lang w:eastAsia="en-AU"/>
        </w:rPr>
        <w:t>With the MOU having concluded on 30 June 2026, there is now greater scope to revisit these issues over time. Rather than recommencing a wholesale regrouping of the PL, the Department should use the previous regrouping work to inform targeted improvements to PL groupings where clear issues are identified.</w:t>
      </w:r>
    </w:p>
    <w:tbl>
      <w:tblPr>
        <w:tblStyle w:val="NousLongformcallout"/>
        <w:tblW w:w="4950" w:type="pct"/>
        <w:tblCellMar>
          <w:top w:w="170" w:type="dxa"/>
          <w:bottom w:w="170" w:type="dxa"/>
        </w:tblCellMar>
        <w:tblLook w:val="04A0" w:firstRow="1" w:lastRow="0" w:firstColumn="1" w:lastColumn="0" w:noHBand="0" w:noVBand="1"/>
      </w:tblPr>
      <w:tblGrid>
        <w:gridCol w:w="9070"/>
      </w:tblGrid>
      <w:tr w:rsidR="00901865" w:rsidRPr="00602824" w14:paraId="1CBF02EE" w14:textId="77777777" w:rsidTr="000A08B2">
        <w:tc>
          <w:tcPr>
            <w:tcW w:w="9070" w:type="dxa"/>
            <w:tcBorders>
              <w:left w:val="single" w:sz="18" w:space="0" w:color="2E368F" w:themeColor="text2"/>
            </w:tcBorders>
            <w:shd w:val="clear" w:color="auto" w:fill="F2F2F2" w:themeFill="background1" w:themeFillShade="F2"/>
          </w:tcPr>
          <w:p w14:paraId="1880B57C" w14:textId="16772356" w:rsidR="00901865" w:rsidRPr="00194DA6" w:rsidRDefault="00901865" w:rsidP="000A08B2">
            <w:pPr>
              <w:pStyle w:val="Longformcallout"/>
              <w:spacing w:before="0" w:after="120"/>
              <w:rPr>
                <w:rFonts w:asciiTheme="majorHAnsi" w:hAnsiTheme="majorHAnsi" w:cstheme="majorHAnsi"/>
                <w:color w:val="2E368F" w:themeColor="text2"/>
              </w:rPr>
            </w:pPr>
            <w:r w:rsidRPr="00602824">
              <w:rPr>
                <w:rFonts w:asciiTheme="majorHAnsi" w:hAnsiTheme="majorHAnsi" w:cstheme="majorHAnsi"/>
                <w:color w:val="2E368F" w:themeColor="text2"/>
              </w:rPr>
              <w:t xml:space="preserve">RECOMMENDATION </w:t>
            </w:r>
            <w:r>
              <w:rPr>
                <w:rFonts w:asciiTheme="majorHAnsi" w:hAnsiTheme="majorHAnsi" w:cstheme="majorHAnsi"/>
                <w:color w:val="2E368F" w:themeColor="text2"/>
              </w:rPr>
              <w:t xml:space="preserve">3: </w:t>
            </w:r>
            <w:r w:rsidRPr="00AF5EA3">
              <w:rPr>
                <w:rFonts w:asciiTheme="majorHAnsi" w:hAnsiTheme="majorHAnsi" w:cstheme="majorHAnsi"/>
              </w:rPr>
              <w:t xml:space="preserve">Build on the work undertaken during the reforms to identify and resolve historical inconsistencies and pricing anomalies in </w:t>
            </w:r>
            <w:r w:rsidR="005617DF">
              <w:rPr>
                <w:rFonts w:asciiTheme="majorHAnsi" w:hAnsiTheme="majorHAnsi" w:cstheme="majorHAnsi"/>
              </w:rPr>
              <w:t>PL</w:t>
            </w:r>
            <w:r w:rsidRPr="00AF5EA3">
              <w:rPr>
                <w:rFonts w:asciiTheme="majorHAnsi" w:hAnsiTheme="majorHAnsi" w:cstheme="majorHAnsi"/>
              </w:rPr>
              <w:t xml:space="preserve"> groupings. Rather than </w:t>
            </w:r>
            <w:r w:rsidR="005617DF">
              <w:rPr>
                <w:rFonts w:asciiTheme="majorHAnsi" w:hAnsiTheme="majorHAnsi" w:cstheme="majorHAnsi"/>
              </w:rPr>
              <w:t>pursuing a</w:t>
            </w:r>
            <w:r w:rsidRPr="00AF5EA3">
              <w:rPr>
                <w:rFonts w:asciiTheme="majorHAnsi" w:hAnsiTheme="majorHAnsi" w:cstheme="majorHAnsi"/>
              </w:rPr>
              <w:t xml:space="preserve"> wholesale </w:t>
            </w:r>
            <w:r w:rsidR="005617DF">
              <w:rPr>
                <w:rFonts w:asciiTheme="majorHAnsi" w:hAnsiTheme="majorHAnsi" w:cstheme="majorHAnsi"/>
              </w:rPr>
              <w:t xml:space="preserve">restructure of the </w:t>
            </w:r>
            <w:r>
              <w:rPr>
                <w:rFonts w:asciiTheme="majorHAnsi" w:hAnsiTheme="majorHAnsi" w:cstheme="majorHAnsi"/>
              </w:rPr>
              <w:t>PL</w:t>
            </w:r>
            <w:r w:rsidRPr="00AF5EA3">
              <w:rPr>
                <w:rFonts w:asciiTheme="majorHAnsi" w:hAnsiTheme="majorHAnsi" w:cstheme="majorHAnsi"/>
              </w:rPr>
              <w:t xml:space="preserve">, this </w:t>
            </w:r>
            <w:r w:rsidR="005617DF">
              <w:rPr>
                <w:rFonts w:asciiTheme="majorHAnsi" w:hAnsiTheme="majorHAnsi" w:cstheme="majorHAnsi"/>
              </w:rPr>
              <w:t>should b</w:t>
            </w:r>
            <w:r w:rsidRPr="00AF5EA3">
              <w:rPr>
                <w:rFonts w:asciiTheme="majorHAnsi" w:hAnsiTheme="majorHAnsi" w:cstheme="majorHAnsi"/>
              </w:rPr>
              <w:t xml:space="preserve">e done in </w:t>
            </w:r>
            <w:r w:rsidR="00D956D3">
              <w:rPr>
                <w:rFonts w:asciiTheme="majorHAnsi" w:hAnsiTheme="majorHAnsi" w:cstheme="majorHAnsi"/>
              </w:rPr>
              <w:t>a targeted and</w:t>
            </w:r>
            <w:r w:rsidRPr="00AF5EA3">
              <w:rPr>
                <w:rFonts w:asciiTheme="majorHAnsi" w:hAnsiTheme="majorHAnsi" w:cstheme="majorHAnsi"/>
              </w:rPr>
              <w:t xml:space="preserve"> ad hoc manner, as issues are identified</w:t>
            </w:r>
            <w:r w:rsidRPr="00194DA6">
              <w:rPr>
                <w:rFonts w:asciiTheme="majorHAnsi" w:hAnsiTheme="majorHAnsi" w:cstheme="majorHAnsi"/>
              </w:rPr>
              <w:t>.</w:t>
            </w:r>
          </w:p>
        </w:tc>
      </w:tr>
    </w:tbl>
    <w:p w14:paraId="0467EAB9" w14:textId="3B3D88B9" w:rsidR="000B1919" w:rsidRPr="004E4453" w:rsidRDefault="00AF603D" w:rsidP="00267E1F">
      <w:pPr>
        <w:pStyle w:val="Heading3"/>
      </w:pPr>
      <w:bookmarkStart w:id="58" w:name="_Ref204589228"/>
      <w:r>
        <w:t xml:space="preserve">Reform </w:t>
      </w:r>
      <w:r w:rsidRPr="004E4453">
        <w:t xml:space="preserve">project </w:t>
      </w:r>
      <w:r w:rsidR="00C42CD9" w:rsidRPr="004E4453">
        <w:t>(c)</w:t>
      </w:r>
      <w:r w:rsidRPr="004E4453">
        <w:t xml:space="preserve">: </w:t>
      </w:r>
      <w:r w:rsidR="009602AC" w:rsidRPr="004E4453">
        <w:t>r</w:t>
      </w:r>
      <w:r w:rsidR="007B7C78" w:rsidRPr="004E4453">
        <w:t xml:space="preserve">eview </w:t>
      </w:r>
      <w:r w:rsidR="004E4453" w:rsidRPr="004E4453">
        <w:t xml:space="preserve">general </w:t>
      </w:r>
      <w:r w:rsidR="004E4453">
        <w:t>use</w:t>
      </w:r>
      <w:r w:rsidR="00710C94" w:rsidRPr="004E4453">
        <w:t xml:space="preserve"> </w:t>
      </w:r>
      <w:r w:rsidR="004E4453" w:rsidRPr="004E4453">
        <w:t>item</w:t>
      </w:r>
      <w:r w:rsidR="00AB45F2" w:rsidRPr="004E4453">
        <w:t>s</w:t>
      </w:r>
      <w:r w:rsidR="00710C94" w:rsidRPr="004E4453">
        <w:t xml:space="preserve"> </w:t>
      </w:r>
      <w:bookmarkEnd w:id="58"/>
    </w:p>
    <w:tbl>
      <w:tblPr>
        <w:tblStyle w:val="NOUSSideHeader5"/>
        <w:tblW w:w="5000" w:type="pct"/>
        <w:tblLook w:val="04A0" w:firstRow="1" w:lastRow="0" w:firstColumn="1" w:lastColumn="0" w:noHBand="0" w:noVBand="1"/>
      </w:tblPr>
      <w:tblGrid>
        <w:gridCol w:w="9185"/>
      </w:tblGrid>
      <w:tr w:rsidR="005A1DA9" w:rsidRPr="00602824" w14:paraId="59173B89" w14:textId="77777777" w:rsidTr="008C0E64">
        <w:trPr>
          <w:cnfStyle w:val="100000000000" w:firstRow="1" w:lastRow="0" w:firstColumn="0" w:lastColumn="0" w:oddVBand="0" w:evenVBand="0" w:oddHBand="0" w:evenHBand="0" w:firstRowFirstColumn="0" w:firstRowLastColumn="0" w:lastRowFirstColumn="0" w:lastRowLastColumn="0"/>
        </w:trPr>
        <w:tc>
          <w:tcPr>
            <w:tcW w:w="9041" w:type="dxa"/>
          </w:tcPr>
          <w:p w14:paraId="4C5D94E1" w14:textId="67D759C0" w:rsidR="00030A2D" w:rsidRPr="00030A2D" w:rsidRDefault="00CE3FE9" w:rsidP="00030A2D">
            <w:r>
              <w:rPr>
                <w:szCs w:val="19"/>
                <w:lang w:eastAsia="en-AU"/>
              </w:rPr>
              <w:t>At baseline, the PL included general use items (GUIs), which are items used in a broad range of surgeries, not necessarily only surgeries involving prostheses.</w:t>
            </w:r>
            <w:r w:rsidR="00030A2D">
              <w:rPr>
                <w:szCs w:val="19"/>
                <w:lang w:eastAsia="en-AU"/>
              </w:rPr>
              <w:t xml:space="preserve"> </w:t>
            </w:r>
            <w:r w:rsidR="00846A81">
              <w:rPr>
                <w:szCs w:val="19"/>
                <w:lang w:eastAsia="en-AU"/>
              </w:rPr>
              <w:t xml:space="preserve">GUI items such as </w:t>
            </w:r>
            <w:r w:rsidR="00030A2D" w:rsidRPr="00030A2D">
              <w:t>staples and sutures are procured in groups rather than individually for a specific operation</w:t>
            </w:r>
            <w:r w:rsidR="00846A81">
              <w:t xml:space="preserve"> and i</w:t>
            </w:r>
            <w:r w:rsidR="00030A2D" w:rsidRPr="00030A2D">
              <w:t xml:space="preserve">t </w:t>
            </w:r>
            <w:r w:rsidR="005A67BF">
              <w:t>was</w:t>
            </w:r>
            <w:r w:rsidR="00030A2D" w:rsidRPr="00030A2D">
              <w:t xml:space="preserve"> argued that these are not suitable for funding via a mechanism like the PL, which associates a benefit to be paid with a specific episode of care.</w:t>
            </w:r>
            <w:r w:rsidR="00030A2D" w:rsidRPr="00030A2D">
              <w:rPr>
                <w:rFonts w:asciiTheme="minorHAnsi" w:hAnsiTheme="minorHAnsi" w:cstheme="minorHAnsi"/>
                <w:sz w:val="14"/>
                <w:szCs w:val="14"/>
                <w:vertAlign w:val="superscript"/>
              </w:rPr>
              <w:footnoteReference w:id="85"/>
            </w:r>
            <w:r w:rsidR="00861972">
              <w:t xml:space="preserve"> </w:t>
            </w:r>
            <w:r w:rsidR="00861972" w:rsidRPr="00861972">
              <w:t>An external review of the General Miscellaneous category on the PL was conducted in 2020</w:t>
            </w:r>
            <w:r w:rsidR="00861972" w:rsidRPr="00861972">
              <w:rPr>
                <w:vertAlign w:val="superscript"/>
              </w:rPr>
              <w:footnoteReference w:id="86"/>
            </w:r>
            <w:r w:rsidR="00861972" w:rsidRPr="00861972">
              <w:t>, resulting in several recommendations, including tightening listing criteria and removing some miscellaneous items to be funded by an alternate mechanism.</w:t>
            </w:r>
          </w:p>
          <w:p w14:paraId="062CC3CF" w14:textId="75957705" w:rsidR="003564ED" w:rsidRPr="00602824" w:rsidRDefault="00B60741" w:rsidP="008C0E64">
            <w:r>
              <w:t xml:space="preserve">Under the reforms, GUIs </w:t>
            </w:r>
            <w:r w:rsidR="00035A36" w:rsidRPr="00035A36">
              <w:t>were originally set to be removed completely from 1 March 2022; however, this process was delayed to provide time for the Clinical Implementation Reference Group (CIRG) to review the potential impacts of the removal of these items.</w:t>
            </w:r>
            <w:r w:rsidR="00035A36" w:rsidRPr="00035A36">
              <w:rPr>
                <w:rFonts w:asciiTheme="minorHAnsi" w:hAnsiTheme="minorHAnsi" w:cstheme="minorHAnsi"/>
                <w:sz w:val="14"/>
                <w:szCs w:val="14"/>
                <w:vertAlign w:val="superscript"/>
              </w:rPr>
              <w:footnoteReference w:id="87"/>
            </w:r>
            <w:r w:rsidR="002F4C0E">
              <w:t xml:space="preserve"> </w:t>
            </w:r>
            <w:r w:rsidR="00035A36" w:rsidRPr="00035A36">
              <w:rPr>
                <w:szCs w:val="19"/>
              </w:rPr>
              <w:t>In the interim, a gradual reduction of the difference between the benefit and the public weighted average price was put in place</w:t>
            </w:r>
            <w:r w:rsidR="00F408EC">
              <w:rPr>
                <w:szCs w:val="19"/>
              </w:rPr>
              <w:t xml:space="preserve"> (a </w:t>
            </w:r>
            <w:r w:rsidR="00035A36" w:rsidRPr="00035A36">
              <w:rPr>
                <w:rFonts w:eastAsia="Times New Roman" w:cs="Times New Roman"/>
                <w:szCs w:val="19"/>
                <w:lang w:eastAsia="en-AU"/>
              </w:rPr>
              <w:t>reduction of 60% of the difference from 1 July 2022</w:t>
            </w:r>
            <w:r w:rsidR="00F408EC">
              <w:rPr>
                <w:rFonts w:eastAsia="Times New Roman" w:cs="Times New Roman"/>
                <w:szCs w:val="19"/>
                <w:lang w:eastAsia="en-AU"/>
              </w:rPr>
              <w:t xml:space="preserve"> and a further </w:t>
            </w:r>
            <w:r w:rsidR="00035A36" w:rsidRPr="00035A36">
              <w:rPr>
                <w:rFonts w:eastAsia="Times New Roman" w:cs="Times New Roman"/>
                <w:szCs w:val="19"/>
                <w:lang w:eastAsia="en-AU"/>
              </w:rPr>
              <w:t>reduction of 40% of the difference</w:t>
            </w:r>
            <w:r w:rsidR="00F408EC">
              <w:rPr>
                <w:rFonts w:eastAsia="Times New Roman" w:cs="Times New Roman"/>
                <w:szCs w:val="19"/>
                <w:lang w:eastAsia="en-AU"/>
              </w:rPr>
              <w:t xml:space="preserve"> </w:t>
            </w:r>
            <w:r w:rsidR="00035A36" w:rsidRPr="00035A36">
              <w:rPr>
                <w:rFonts w:eastAsia="Times New Roman" w:cs="Times New Roman"/>
                <w:szCs w:val="19"/>
                <w:lang w:eastAsia="en-AU"/>
              </w:rPr>
              <w:t>from 1 March 2023</w:t>
            </w:r>
            <w:r w:rsidR="00F408EC">
              <w:rPr>
                <w:rFonts w:eastAsia="Times New Roman" w:cs="Times New Roman"/>
                <w:szCs w:val="19"/>
                <w:lang w:eastAsia="en-AU"/>
              </w:rPr>
              <w:t xml:space="preserve">). </w:t>
            </w:r>
            <w:r w:rsidR="006723B8">
              <w:rPr>
                <w:rFonts w:eastAsia="Times New Roman" w:cs="Times New Roman"/>
                <w:szCs w:val="19"/>
                <w:lang w:eastAsia="en-AU"/>
              </w:rPr>
              <w:t xml:space="preserve">Removal of the items was delayed </w:t>
            </w:r>
            <w:r w:rsidR="00691C8C">
              <w:rPr>
                <w:rFonts w:eastAsia="Times New Roman" w:cs="Times New Roman"/>
                <w:szCs w:val="19"/>
                <w:lang w:eastAsia="en-AU"/>
              </w:rPr>
              <w:t>until</w:t>
            </w:r>
            <w:r w:rsidR="006723B8">
              <w:rPr>
                <w:rFonts w:eastAsia="Times New Roman" w:cs="Times New Roman"/>
                <w:szCs w:val="19"/>
                <w:lang w:eastAsia="en-AU"/>
              </w:rPr>
              <w:t xml:space="preserve"> March 2022, then </w:t>
            </w:r>
            <w:r w:rsidR="0011109E">
              <w:rPr>
                <w:rFonts w:eastAsia="Times New Roman" w:cs="Times New Roman"/>
                <w:szCs w:val="19"/>
                <w:lang w:eastAsia="en-AU"/>
              </w:rPr>
              <w:t>o</w:t>
            </w:r>
            <w:r w:rsidR="003564ED" w:rsidRPr="00602824">
              <w:t xml:space="preserve">n 1 May 2024 </w:t>
            </w:r>
            <w:r w:rsidR="0011109E">
              <w:t xml:space="preserve">the Government confirmed </w:t>
            </w:r>
            <w:r w:rsidR="003564ED" w:rsidRPr="00602824">
              <w:t>that GUIs would remain on the PL after 1 July 2024. The announcement cited stakeholder concerns and increased financial pressures on private hospitals affecting their viability as key factors in this decision.</w:t>
            </w:r>
            <w:r w:rsidR="003564ED" w:rsidRPr="00602824">
              <w:rPr>
                <w:rStyle w:val="FootnoteReference"/>
              </w:rPr>
              <w:footnoteReference w:id="88"/>
            </w:r>
          </w:p>
          <w:p w14:paraId="124E18B9" w14:textId="5878F9DB" w:rsidR="003564ED" w:rsidRPr="00602824" w:rsidRDefault="003564ED" w:rsidP="00FB712C">
            <w:pPr>
              <w:spacing w:before="120"/>
            </w:pPr>
            <w:r w:rsidRPr="00602824">
              <w:t>While GUIs have been retained in Part D of the PL, 26 specific billing codes were removed on 1 November 2024 as they are regulated by the Therapeutic Goods Administration as medicines and accessories to medicines and therefore do not meet the PL eligibility requirements.</w:t>
            </w:r>
            <w:r w:rsidRPr="00602824">
              <w:rPr>
                <w:rStyle w:val="FootnoteReference"/>
              </w:rPr>
              <w:footnoteReference w:id="89"/>
            </w:r>
          </w:p>
        </w:tc>
      </w:tr>
    </w:tbl>
    <w:p w14:paraId="6D6C232A" w14:textId="6819E1F9" w:rsidR="00311C07" w:rsidRPr="00602824" w:rsidRDefault="00311C07" w:rsidP="00B50EE7">
      <w:pPr>
        <w:pStyle w:val="Caption"/>
      </w:pPr>
      <w:bookmarkStart w:id="59" w:name="_Ref202469903"/>
      <w:r w:rsidRPr="00602824">
        <w:t xml:space="preserve">Figure </w:t>
      </w:r>
      <w:r w:rsidR="005539DD">
        <w:fldChar w:fldCharType="begin"/>
      </w:r>
      <w:r w:rsidR="005539DD">
        <w:instrText xml:space="preserve"> SEQ Figure \* ARABIC </w:instrText>
      </w:r>
      <w:r w:rsidR="005539DD">
        <w:fldChar w:fldCharType="separate"/>
      </w:r>
      <w:r w:rsidR="0092693A">
        <w:rPr>
          <w:noProof/>
        </w:rPr>
        <w:t>23</w:t>
      </w:r>
      <w:r w:rsidR="005539DD">
        <w:fldChar w:fldCharType="end"/>
      </w:r>
      <w:bookmarkEnd w:id="59"/>
      <w:r w:rsidRPr="00602824">
        <w:t xml:space="preserve"> | Timeline of general use items (GUIs) reform project</w:t>
      </w:r>
    </w:p>
    <w:p w14:paraId="7E8D2723" w14:textId="77777777" w:rsidR="003564ED" w:rsidRPr="00602824" w:rsidRDefault="003564ED" w:rsidP="00A54C83">
      <w:pPr>
        <w:spacing w:after="160" w:line="259" w:lineRule="auto"/>
      </w:pPr>
      <w:r w:rsidRPr="00AC7E3F">
        <w:rPr>
          <w:noProof/>
          <w:lang w:eastAsia="en-AU"/>
        </w:rPr>
        <w:drawing>
          <wp:inline distT="0" distB="0" distL="0" distR="0" wp14:anchorId="08235B03" wp14:editId="0CEAF459">
            <wp:extent cx="5832000" cy="6153386"/>
            <wp:effectExtent l="0" t="0" r="0" b="0"/>
            <wp:docPr id="1435988431" name="Picture 14" descr="Timeline showing reform activities associated with the GUI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988431" name="Picture 14" descr="Timeline showing reform activities associated with the GUI project."/>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832000" cy="6153386"/>
                    </a:xfrm>
                    <a:prstGeom prst="rect">
                      <a:avLst/>
                    </a:prstGeom>
                  </pic:spPr>
                </pic:pic>
              </a:graphicData>
            </a:graphic>
          </wp:inline>
        </w:drawing>
      </w:r>
    </w:p>
    <w:p w14:paraId="6C6A095B" w14:textId="01777592" w:rsidR="007E3960" w:rsidRPr="00602824" w:rsidRDefault="00D413EB" w:rsidP="00833952">
      <w:pPr>
        <w:pStyle w:val="Heading3"/>
      </w:pPr>
      <w:bookmarkStart w:id="60" w:name="_Hlk201653635"/>
      <w:r w:rsidRPr="00AC7E3F">
        <w:rPr>
          <w:noProof/>
        </w:rPr>
        <mc:AlternateContent>
          <mc:Choice Requires="wps">
            <w:drawing>
              <wp:anchor distT="0" distB="0" distL="114300" distR="114300" simplePos="0" relativeHeight="251658244" behindDoc="0" locked="0" layoutInCell="1" allowOverlap="1" wp14:anchorId="242496C7" wp14:editId="2559E391">
                <wp:simplePos x="0" y="0"/>
                <wp:positionH relativeFrom="margin">
                  <wp:align>right</wp:align>
                </wp:positionH>
                <wp:positionV relativeFrom="paragraph">
                  <wp:posOffset>595630</wp:posOffset>
                </wp:positionV>
                <wp:extent cx="1905000" cy="1490345"/>
                <wp:effectExtent l="0" t="0" r="0" b="0"/>
                <wp:wrapSquare wrapText="bothSides"/>
                <wp:docPr id="849019528" name="Text Box 849019528"/>
                <wp:cNvGraphicFramePr/>
                <a:graphic xmlns:a="http://schemas.openxmlformats.org/drawingml/2006/main">
                  <a:graphicData uri="http://schemas.microsoft.com/office/word/2010/wordprocessingShape">
                    <wps:wsp>
                      <wps:cNvSpPr txBox="1"/>
                      <wps:spPr>
                        <a:xfrm>
                          <a:off x="0" y="0"/>
                          <a:ext cx="1905000" cy="1490345"/>
                        </a:xfrm>
                        <a:prstGeom prst="rect">
                          <a:avLst/>
                        </a:prstGeom>
                        <a:solidFill>
                          <a:sysClr val="window" lastClr="FFFFFF"/>
                        </a:solidFill>
                        <a:ln w="6350">
                          <a:noFill/>
                        </a:ln>
                        <a:effectLst/>
                      </wps:spPr>
                      <wps:txbx>
                        <w:txbxContent>
                          <w:p w14:paraId="78AEB56E" w14:textId="77777777" w:rsidR="00311C07" w:rsidRPr="009E1C23" w:rsidRDefault="00311C07" w:rsidP="00311C07">
                            <w:pPr>
                              <w:pStyle w:val="Callout"/>
                              <w:jc w:val="right"/>
                              <w:rPr>
                                <w:i/>
                                <w:iCs/>
                                <w:color w:val="F25E21" w:themeColor="accent2"/>
                                <w:sz w:val="20"/>
                                <w:szCs w:val="20"/>
                              </w:rPr>
                            </w:pPr>
                            <w:r w:rsidRPr="009E1C23">
                              <w:rPr>
                                <w:i/>
                                <w:iCs/>
                                <w:color w:val="F25E21" w:themeColor="accent2"/>
                                <w:sz w:val="20"/>
                                <w:szCs w:val="20"/>
                              </w:rPr>
                              <w:t xml:space="preserve">“The Government has listened to the concerns about the pressure removing general use items would have caused and decided that this achieves the best outcome for patients” </w:t>
                            </w:r>
                          </w:p>
                          <w:p w14:paraId="61733A77" w14:textId="77777777" w:rsidR="00311C07" w:rsidRPr="004A357C" w:rsidRDefault="00311C07" w:rsidP="00311C07">
                            <w:pPr>
                              <w:pStyle w:val="Callout"/>
                              <w:jc w:val="right"/>
                              <w:rPr>
                                <w:rFonts w:asciiTheme="minorHAnsi" w:hAnsiTheme="minorHAnsi" w:cstheme="minorHAnsi"/>
                                <w:b/>
                                <w:bCs/>
                                <w:color w:val="00264D" w:themeColor="background2"/>
                                <w:sz w:val="14"/>
                                <w:szCs w:val="14"/>
                              </w:rPr>
                            </w:pPr>
                            <w:r w:rsidRPr="004A357C">
                              <w:rPr>
                                <w:rFonts w:asciiTheme="minorHAnsi" w:hAnsiTheme="minorHAnsi" w:cstheme="minorHAnsi"/>
                                <w:b/>
                                <w:bCs/>
                                <w:color w:val="00264D" w:themeColor="background2"/>
                                <w:sz w:val="14"/>
                                <w:szCs w:val="14"/>
                              </w:rPr>
                              <w:t>Minister Mark Butler, 1 May 2024</w:t>
                            </w:r>
                          </w:p>
                          <w:p w14:paraId="1C96CAAA" w14:textId="77777777" w:rsidR="00311C07" w:rsidRPr="004A357C" w:rsidRDefault="00311C07" w:rsidP="00311C07">
                            <w:pPr>
                              <w:pStyle w:val="Callout"/>
                              <w:jc w:val="right"/>
                              <w:rPr>
                                <w:i/>
                                <w:iCs/>
                                <w:color w:val="F25E21" w:themeColor="accent2"/>
                                <w:sz w:val="20"/>
                                <w:szCs w:val="20"/>
                              </w:rPr>
                            </w:pPr>
                            <w:r w:rsidRPr="004A357C">
                              <w:rPr>
                                <w:i/>
                                <w:iCs/>
                                <w:color w:val="F25E21" w:themeColor="accent2"/>
                                <w:sz w:val="20"/>
                                <w:szCs w:val="20"/>
                              </w:rPr>
                              <w:t xml:space="preserve"> </w:t>
                            </w:r>
                          </w:p>
                          <w:p w14:paraId="5FE990A8" w14:textId="77777777" w:rsidR="00311C07" w:rsidRPr="004A357C" w:rsidRDefault="00311C07" w:rsidP="00311C07">
                            <w:pPr>
                              <w:pStyle w:val="Callout"/>
                              <w:jc w:val="right"/>
                              <w:rPr>
                                <w:rFonts w:asciiTheme="minorHAnsi" w:hAnsiTheme="minorHAnsi" w:cstheme="minorHAnsi"/>
                                <w:b/>
                                <w:bCs/>
                                <w:color w:val="00264D" w:themeColor="background2"/>
                                <w:sz w:val="14"/>
                                <w:szCs w:val="14"/>
                              </w:rPr>
                            </w:pPr>
                            <w:r w:rsidRPr="004A357C">
                              <w:rPr>
                                <w:rFonts w:asciiTheme="minorHAnsi" w:hAnsiTheme="minorHAnsi" w:cstheme="minorHAnsi"/>
                                <w:b/>
                                <w:bCs/>
                                <w:color w:val="00264D" w:themeColor="background2"/>
                                <w:sz w:val="14"/>
                                <w:szCs w:val="14"/>
                              </w:rPr>
                              <w:t>MTAA, 2017 Senate Submission</w:t>
                            </w:r>
                          </w:p>
                          <w:p w14:paraId="1E5F6004" w14:textId="77777777" w:rsidR="00311C07" w:rsidRPr="004A357C" w:rsidRDefault="00311C07" w:rsidP="00311C07">
                            <w:pPr>
                              <w:pStyle w:val="Callout"/>
                              <w:rPr>
                                <w:color w:val="F25E21" w:themeColor="accent2"/>
                              </w:rPr>
                            </w:pPr>
                          </w:p>
                          <w:p w14:paraId="4BF32AE8" w14:textId="77777777" w:rsidR="00311C07" w:rsidRPr="004A357C" w:rsidRDefault="00311C07" w:rsidP="00311C07">
                            <w:pPr>
                              <w:pStyle w:val="Callout"/>
                              <w:rPr>
                                <w:color w:val="F25E21" w:themeColor="accent2"/>
                              </w:rPr>
                            </w:pPr>
                          </w:p>
                        </w:txbxContent>
                      </wps:txbx>
                      <wps:bodyPr rot="0" spcFirstLastPara="0" vertOverflow="overflow" horzOverflow="overflow" vert="horz" wrap="square" lIns="0" tIns="45720" rIns="3600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42496C7" id="Text Box 849019528" o:spid="_x0000_s1027" type="#_x0000_t202" style="position:absolute;left:0;text-align:left;margin-left:98.8pt;margin-top:46.9pt;width:150pt;height:117.35pt;z-index:2516582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" fillcolor="window" stroked="f" strokeweight=".5pt">
                <v:textbox inset="0,,1mm">
                  <w:txbxContent>
                    <w:p w14:paraId="78AEB56E" w14:textId="77777777" w:rsidR="00311C07" w:rsidRPr="009E1C23" w:rsidRDefault="00311C07" w:rsidP="00311C07">
                      <w:pPr>
                        <w:pStyle w:val="Callout"/>
                        <w:jc w:val="right"/>
                        <w:rPr>
                          <w:i/>
                          <w:iCs/>
                          <w:color w:val="F25E21" w:themeColor="accent2"/>
                          <w:sz w:val="20"/>
                          <w:szCs w:val="20"/>
                        </w:rPr>
                      </w:pPr>
                      <w:r w:rsidRPr="009E1C23">
                        <w:rPr>
                          <w:i/>
                          <w:iCs/>
                          <w:color w:val="F25E21" w:themeColor="accent2"/>
                          <w:sz w:val="20"/>
                          <w:szCs w:val="20"/>
                        </w:rPr>
                        <w:t xml:space="preserve">“The Government has listened to the concerns about the pressure removing general use items would have caused and decided that this achieves the best outcome for patients” </w:t>
                      </w:r>
                    </w:p>
                    <w:p w14:paraId="61733A77" w14:textId="77777777" w:rsidR="00311C07" w:rsidRPr="004A357C" w:rsidRDefault="00311C07" w:rsidP="00311C07">
                      <w:pPr>
                        <w:pStyle w:val="Callout"/>
                        <w:jc w:val="right"/>
                        <w:rPr>
                          <w:rFonts w:asciiTheme="minorHAnsi" w:hAnsiTheme="minorHAnsi" w:cstheme="minorHAnsi"/>
                          <w:b/>
                          <w:bCs/>
                          <w:color w:val="00264D" w:themeColor="background2"/>
                          <w:sz w:val="14"/>
                          <w:szCs w:val="14"/>
                        </w:rPr>
                      </w:pPr>
                      <w:r w:rsidRPr="004A357C">
                        <w:rPr>
                          <w:rFonts w:asciiTheme="minorHAnsi" w:hAnsiTheme="minorHAnsi" w:cstheme="minorHAnsi"/>
                          <w:b/>
                          <w:bCs/>
                          <w:color w:val="00264D" w:themeColor="background2"/>
                          <w:sz w:val="14"/>
                          <w:szCs w:val="14"/>
                        </w:rPr>
                        <w:t>Minister Mark Butler, 1 May 2024</w:t>
                      </w:r>
                    </w:p>
                    <w:p w14:paraId="1C96CAAA" w14:textId="77777777" w:rsidR="00311C07" w:rsidRPr="004A357C" w:rsidRDefault="00311C07" w:rsidP="00311C07">
                      <w:pPr>
                        <w:pStyle w:val="Callout"/>
                        <w:jc w:val="right"/>
                        <w:rPr>
                          <w:i/>
                          <w:iCs/>
                          <w:color w:val="F25E21" w:themeColor="accent2"/>
                          <w:sz w:val="20"/>
                          <w:szCs w:val="20"/>
                        </w:rPr>
                      </w:pPr>
                      <w:r w:rsidRPr="004A357C">
                        <w:rPr>
                          <w:i/>
                          <w:iCs/>
                          <w:color w:val="F25E21" w:themeColor="accent2"/>
                          <w:sz w:val="20"/>
                          <w:szCs w:val="20"/>
                        </w:rPr>
                        <w:t xml:space="preserve"> </w:t>
                      </w:r>
                    </w:p>
                    <w:p w14:paraId="5FE990A8" w14:textId="77777777" w:rsidR="00311C07" w:rsidRPr="004A357C" w:rsidRDefault="00311C07" w:rsidP="00311C07">
                      <w:pPr>
                        <w:pStyle w:val="Callout"/>
                        <w:jc w:val="right"/>
                        <w:rPr>
                          <w:rFonts w:asciiTheme="minorHAnsi" w:hAnsiTheme="minorHAnsi" w:cstheme="minorHAnsi"/>
                          <w:b/>
                          <w:bCs/>
                          <w:color w:val="00264D" w:themeColor="background2"/>
                          <w:sz w:val="14"/>
                          <w:szCs w:val="14"/>
                        </w:rPr>
                      </w:pPr>
                      <w:r w:rsidRPr="004A357C">
                        <w:rPr>
                          <w:rFonts w:asciiTheme="minorHAnsi" w:hAnsiTheme="minorHAnsi" w:cstheme="minorHAnsi"/>
                          <w:b/>
                          <w:bCs/>
                          <w:color w:val="00264D" w:themeColor="background2"/>
                          <w:sz w:val="14"/>
                          <w:szCs w:val="14"/>
                        </w:rPr>
                        <w:t>MTAA, 2017 Senate Submission</w:t>
                      </w:r>
                    </w:p>
                    <w:p w14:paraId="1E5F6004" w14:textId="77777777" w:rsidR="00311C07" w:rsidRPr="004A357C" w:rsidRDefault="00311C07" w:rsidP="00311C07">
                      <w:pPr>
                        <w:pStyle w:val="Callout"/>
                        <w:rPr>
                          <w:color w:val="F25E21" w:themeColor="accent2"/>
                        </w:rPr>
                      </w:pPr>
                    </w:p>
                    <w:p w14:paraId="4BF32AE8" w14:textId="77777777" w:rsidR="00311C07" w:rsidRPr="004A357C" w:rsidRDefault="00311C07" w:rsidP="00311C07">
                      <w:pPr>
                        <w:pStyle w:val="Callout"/>
                        <w:rPr>
                          <w:color w:val="F25E21" w:themeColor="accent2"/>
                        </w:rPr>
                      </w:pPr>
                    </w:p>
                  </w:txbxContent>
                </v:textbox>
                <w10:wrap type="square" anchorx="margin"/>
              </v:shape>
            </w:pict>
          </mc:Fallback>
        </mc:AlternateContent>
      </w:r>
      <w:r w:rsidR="00934F8B" w:rsidRPr="00602824">
        <w:t>Th</w:t>
      </w:r>
      <w:r w:rsidR="00827E74" w:rsidRPr="00602824">
        <w:t xml:space="preserve">e </w:t>
      </w:r>
      <w:r w:rsidR="00B763A3" w:rsidRPr="00602824">
        <w:t>objective to move GUIs to an alternative more appropriate funding mechanism was not realised</w:t>
      </w:r>
    </w:p>
    <w:p w14:paraId="794C9580" w14:textId="760B9BFA" w:rsidR="00306FB1" w:rsidRPr="00602824" w:rsidRDefault="0022552E" w:rsidP="00C90997">
      <w:pPr>
        <w:rPr>
          <w:lang w:eastAsia="en-AU"/>
        </w:rPr>
      </w:pPr>
      <w:r w:rsidRPr="00602824">
        <w:rPr>
          <w:lang w:eastAsia="en-AU"/>
        </w:rPr>
        <w:t xml:space="preserve">The </w:t>
      </w:r>
      <w:r w:rsidR="001967E7">
        <w:rPr>
          <w:lang w:eastAsia="en-AU"/>
        </w:rPr>
        <w:t xml:space="preserve">original intention of </w:t>
      </w:r>
      <w:r w:rsidR="002364A6" w:rsidRPr="00602824">
        <w:rPr>
          <w:lang w:eastAsia="en-AU"/>
        </w:rPr>
        <w:t>remov</w:t>
      </w:r>
      <w:r w:rsidR="001967E7">
        <w:rPr>
          <w:lang w:eastAsia="en-AU"/>
        </w:rPr>
        <w:t xml:space="preserve">ing </w:t>
      </w:r>
      <w:r w:rsidRPr="00602824">
        <w:rPr>
          <w:lang w:eastAsia="en-AU"/>
        </w:rPr>
        <w:t>GUIs from the PL by 1 March 2022</w:t>
      </w:r>
      <w:r w:rsidR="00236C91" w:rsidRPr="00602824">
        <w:rPr>
          <w:lang w:eastAsia="en-AU"/>
        </w:rPr>
        <w:t xml:space="preserve">, </w:t>
      </w:r>
      <w:r w:rsidR="006C2BA6">
        <w:rPr>
          <w:lang w:eastAsia="en-AU"/>
        </w:rPr>
        <w:t>aimed to</w:t>
      </w:r>
      <w:r w:rsidR="00DF51CF" w:rsidRPr="00602824">
        <w:rPr>
          <w:lang w:eastAsia="en-AU"/>
        </w:rPr>
        <w:t xml:space="preserve"> address ongoing concerns about the high utilisation of certain groups of products in the General Miscellaneous category of PL and elsewhere</w:t>
      </w:r>
      <w:r w:rsidR="00675700">
        <w:rPr>
          <w:lang w:eastAsia="en-AU"/>
        </w:rPr>
        <w:t xml:space="preserve">, </w:t>
      </w:r>
      <w:r w:rsidR="00675700" w:rsidRPr="00602824">
        <w:rPr>
          <w:lang w:eastAsia="en-AU"/>
        </w:rPr>
        <w:t>and whether these items met the PL list criteria.</w:t>
      </w:r>
      <w:r w:rsidR="00675700" w:rsidRPr="00602824">
        <w:rPr>
          <w:rStyle w:val="FootnoteReference"/>
          <w:lang w:eastAsia="en-AU"/>
        </w:rPr>
        <w:footnoteReference w:id="90"/>
      </w:r>
      <w:r w:rsidR="00675700" w:rsidRPr="00602824">
        <w:rPr>
          <w:lang w:eastAsia="en-AU"/>
        </w:rPr>
        <w:t xml:space="preserve"> </w:t>
      </w:r>
      <w:r w:rsidR="00675700">
        <w:rPr>
          <w:lang w:eastAsia="en-AU"/>
        </w:rPr>
        <w:t xml:space="preserve">It also aimed to </w:t>
      </w:r>
      <w:r w:rsidR="006C2BA6">
        <w:rPr>
          <w:lang w:eastAsia="en-AU"/>
        </w:rPr>
        <w:t>reduce administration costs</w:t>
      </w:r>
      <w:r w:rsidR="00675700">
        <w:rPr>
          <w:lang w:eastAsia="en-AU"/>
        </w:rPr>
        <w:t xml:space="preserve">. </w:t>
      </w:r>
      <w:r w:rsidR="008420F7">
        <w:rPr>
          <w:lang w:eastAsia="en-AU"/>
        </w:rPr>
        <w:t>However</w:t>
      </w:r>
      <w:r w:rsidR="00052123">
        <w:rPr>
          <w:lang w:eastAsia="en-AU"/>
        </w:rPr>
        <w:t>,</w:t>
      </w:r>
      <w:r w:rsidR="008420F7">
        <w:rPr>
          <w:lang w:eastAsia="en-AU"/>
        </w:rPr>
        <w:t xml:space="preserve"> i</w:t>
      </w:r>
      <w:r w:rsidR="00675700">
        <w:rPr>
          <w:lang w:eastAsia="en-AU"/>
        </w:rPr>
        <w:t xml:space="preserve">ts success </w:t>
      </w:r>
      <w:r w:rsidR="0044011D">
        <w:rPr>
          <w:lang w:eastAsia="en-AU"/>
        </w:rPr>
        <w:t xml:space="preserve">was highly dependent on </w:t>
      </w:r>
      <w:r w:rsidR="00DF51CF">
        <w:rPr>
          <w:lang w:eastAsia="en-AU"/>
        </w:rPr>
        <w:t xml:space="preserve">an </w:t>
      </w:r>
      <w:r w:rsidR="0044011D">
        <w:rPr>
          <w:lang w:eastAsia="en-AU"/>
        </w:rPr>
        <w:t xml:space="preserve">alternative </w:t>
      </w:r>
      <w:r w:rsidR="00263136" w:rsidRPr="00602824">
        <w:rPr>
          <w:lang w:eastAsia="en-AU"/>
        </w:rPr>
        <w:t xml:space="preserve">funding </w:t>
      </w:r>
      <w:r w:rsidR="0044011D">
        <w:rPr>
          <w:lang w:eastAsia="en-AU"/>
        </w:rPr>
        <w:t xml:space="preserve">mechanism being </w:t>
      </w:r>
      <w:r w:rsidR="00DF51CF">
        <w:rPr>
          <w:lang w:eastAsia="en-AU"/>
        </w:rPr>
        <w:t>put in place</w:t>
      </w:r>
      <w:r w:rsidR="00AC239C" w:rsidRPr="00602824">
        <w:rPr>
          <w:lang w:eastAsia="en-AU"/>
        </w:rPr>
        <w:t xml:space="preserve">. </w:t>
      </w:r>
    </w:p>
    <w:p w14:paraId="4FEBF4A1" w14:textId="1E4149AF" w:rsidR="00C90997" w:rsidRPr="00602824" w:rsidRDefault="00C90997" w:rsidP="00C90997">
      <w:r w:rsidRPr="00602824">
        <w:rPr>
          <w:lang w:eastAsia="en-AU"/>
        </w:rPr>
        <w:t xml:space="preserve">The Department identified a group of over 500 general use and consumable products </w:t>
      </w:r>
      <w:r w:rsidR="00D349BE" w:rsidRPr="00602824">
        <w:rPr>
          <w:lang w:eastAsia="en-AU"/>
        </w:rPr>
        <w:t xml:space="preserve">that </w:t>
      </w:r>
      <w:r w:rsidR="00D349BE" w:rsidRPr="00602824">
        <w:t xml:space="preserve">either </w:t>
      </w:r>
      <w:r w:rsidR="00236C91" w:rsidRPr="00602824">
        <w:t>failed to</w:t>
      </w:r>
      <w:r w:rsidR="00D349BE" w:rsidRPr="00602824">
        <w:t xml:space="preserve"> meet the pre-reform </w:t>
      </w:r>
      <w:r w:rsidR="00236C91" w:rsidRPr="00602824">
        <w:t xml:space="preserve">listing </w:t>
      </w:r>
      <w:r w:rsidR="00D349BE" w:rsidRPr="00602824">
        <w:t xml:space="preserve">criteria or would not </w:t>
      </w:r>
      <w:r w:rsidR="00236C91" w:rsidRPr="00602824">
        <w:t xml:space="preserve">qualify under the </w:t>
      </w:r>
      <w:r w:rsidR="00D349BE" w:rsidRPr="00602824">
        <w:t xml:space="preserve">new </w:t>
      </w:r>
      <w:r w:rsidR="00236C91" w:rsidRPr="00602824">
        <w:t>definitions</w:t>
      </w:r>
      <w:r w:rsidR="00D349BE" w:rsidRPr="00602824">
        <w:t xml:space="preserve"> agreed </w:t>
      </w:r>
      <w:r w:rsidR="00236C91" w:rsidRPr="00602824">
        <w:t>during the reform process</w:t>
      </w:r>
      <w:r w:rsidR="004B28A8" w:rsidRPr="00602824">
        <w:t>.</w:t>
      </w:r>
      <w:r w:rsidR="00420698" w:rsidRPr="00602824">
        <w:t xml:space="preserve"> Their removal would have </w:t>
      </w:r>
      <w:r w:rsidR="00C43276" w:rsidRPr="00602824">
        <w:t xml:space="preserve">streamlined the </w:t>
      </w:r>
      <w:r w:rsidRPr="00602824">
        <w:rPr>
          <w:lang w:eastAsia="en-AU"/>
        </w:rPr>
        <w:t xml:space="preserve">PL’s scope and range of products and put </w:t>
      </w:r>
      <w:r w:rsidR="000C490D" w:rsidRPr="00602824">
        <w:rPr>
          <w:lang w:eastAsia="en-AU"/>
        </w:rPr>
        <w:t xml:space="preserve">further </w:t>
      </w:r>
      <w:r w:rsidRPr="00602824">
        <w:rPr>
          <w:lang w:eastAsia="en-AU"/>
        </w:rPr>
        <w:t xml:space="preserve">downward pressure on </w:t>
      </w:r>
      <w:r w:rsidR="003F49E1" w:rsidRPr="00602824">
        <w:rPr>
          <w:lang w:eastAsia="en-AU"/>
        </w:rPr>
        <w:t>private health insurance</w:t>
      </w:r>
      <w:r w:rsidRPr="00602824">
        <w:rPr>
          <w:lang w:eastAsia="en-AU"/>
        </w:rPr>
        <w:t xml:space="preserve"> by taking cost out of the system. </w:t>
      </w:r>
      <w:r w:rsidR="001E5ADC" w:rsidRPr="00602824">
        <w:rPr>
          <w:lang w:eastAsia="en-AU"/>
        </w:rPr>
        <w:t xml:space="preserve">Advice from the </w:t>
      </w:r>
      <w:r w:rsidRPr="00602824">
        <w:t xml:space="preserve">then Clinical Implementation Reference Group (CIRG) </w:t>
      </w:r>
      <w:r w:rsidR="00E664B6" w:rsidRPr="00602824">
        <w:t>was that</w:t>
      </w:r>
      <w:r w:rsidRPr="00602824">
        <w:t xml:space="preserve"> products could be removed from the PL with no clinical implications or adverse outcomes </w:t>
      </w:r>
      <w:r w:rsidR="003F49E1" w:rsidRPr="00602824">
        <w:t>so long as</w:t>
      </w:r>
      <w:r w:rsidRPr="00602824">
        <w:t xml:space="preserve"> the products </w:t>
      </w:r>
      <w:r w:rsidR="00E664B6" w:rsidRPr="00602824">
        <w:t>were</w:t>
      </w:r>
      <w:r w:rsidRPr="00602824">
        <w:t xml:space="preserve"> still available for use by </w:t>
      </w:r>
      <w:r w:rsidR="003F49E1" w:rsidRPr="00602824">
        <w:t>clinicians</w:t>
      </w:r>
      <w:r w:rsidRPr="00602824">
        <w:t xml:space="preserve"> under an alternative funding agreement.</w:t>
      </w:r>
      <w:r w:rsidRPr="00602824">
        <w:rPr>
          <w:rStyle w:val="FootnoteReference"/>
        </w:rPr>
        <w:footnoteReference w:id="91"/>
      </w:r>
      <w:r w:rsidRPr="00602824">
        <w:t xml:space="preserve"> </w:t>
      </w:r>
    </w:p>
    <w:p w14:paraId="687FDA29" w14:textId="678C8BD4" w:rsidR="000C6820" w:rsidRDefault="003D6F77" w:rsidP="000C6820">
      <w:pPr>
        <w:pStyle w:val="Heading4"/>
      </w:pPr>
      <w:r>
        <w:t xml:space="preserve">The failure to remove GUIs resulted from </w:t>
      </w:r>
      <w:r w:rsidR="00AA1981">
        <w:t>unsuccessful attempts</w:t>
      </w:r>
      <w:r w:rsidR="0022355F" w:rsidRPr="00602824">
        <w:t xml:space="preserve"> to negotiate a bundled funding arrangement</w:t>
      </w:r>
      <w:r w:rsidR="00896900" w:rsidRPr="00602824">
        <w:t xml:space="preserve"> between insurers and hospitals</w:t>
      </w:r>
    </w:p>
    <w:p w14:paraId="50A174A8" w14:textId="028057B2" w:rsidR="00734F3A" w:rsidRDefault="00D91262" w:rsidP="00D43EB3">
      <w:r>
        <w:rPr>
          <w:lang w:eastAsia="en-AU"/>
        </w:rPr>
        <w:t xml:space="preserve">Development of options </w:t>
      </w:r>
      <w:r w:rsidR="0025026F">
        <w:rPr>
          <w:lang w:eastAsia="en-AU"/>
        </w:rPr>
        <w:t>for a bundled funding arrangement were</w:t>
      </w:r>
      <w:r w:rsidR="00896900" w:rsidRPr="00602824">
        <w:rPr>
          <w:lang w:eastAsia="en-AU"/>
        </w:rPr>
        <w:t xml:space="preserve"> </w:t>
      </w:r>
      <w:r w:rsidR="003F49E1" w:rsidRPr="00602824">
        <w:rPr>
          <w:lang w:eastAsia="en-AU"/>
        </w:rPr>
        <w:t>aided</w:t>
      </w:r>
      <w:r w:rsidR="00896900" w:rsidRPr="00602824">
        <w:rPr>
          <w:lang w:eastAsia="en-AU"/>
        </w:rPr>
        <w:t xml:space="preserve"> by </w:t>
      </w:r>
      <w:r w:rsidR="005B6816" w:rsidRPr="00602824">
        <w:rPr>
          <w:lang w:eastAsia="en-AU"/>
        </w:rPr>
        <w:t>advice from</w:t>
      </w:r>
      <w:r w:rsidR="00896900" w:rsidRPr="00602824">
        <w:rPr>
          <w:lang w:eastAsia="en-AU"/>
        </w:rPr>
        <w:t xml:space="preserve"> IHACPA, with a consultation paper and final report on potential bunding arrangements delivered in late 2022.</w:t>
      </w:r>
      <w:r w:rsidR="00E863C1" w:rsidRPr="00602824">
        <w:rPr>
          <w:lang w:eastAsia="en-AU"/>
        </w:rPr>
        <w:t xml:space="preserve"> </w:t>
      </w:r>
      <w:r w:rsidR="00A97F82" w:rsidRPr="00602824">
        <w:rPr>
          <w:lang w:eastAsia="en-AU"/>
        </w:rPr>
        <w:t xml:space="preserve">While private health insurers committed </w:t>
      </w:r>
      <w:r w:rsidR="009F4E6D" w:rsidRPr="00602824">
        <w:rPr>
          <w:lang w:eastAsia="en-AU"/>
        </w:rPr>
        <w:t>to the alternative funding arrangement</w:t>
      </w:r>
      <w:r w:rsidR="00B315BF" w:rsidRPr="00602824">
        <w:rPr>
          <w:lang w:eastAsia="en-AU"/>
        </w:rPr>
        <w:t>, concerns were raised</w:t>
      </w:r>
      <w:r w:rsidR="00666025" w:rsidRPr="00602824">
        <w:rPr>
          <w:lang w:eastAsia="en-AU"/>
        </w:rPr>
        <w:t xml:space="preserve"> by private hospitals about potential negative clinical implications or adverse outcomes for patients as well as the compatibility of the proposed funding arrangements with existing data systems</w:t>
      </w:r>
      <w:r w:rsidR="00106F67" w:rsidRPr="00602824">
        <w:rPr>
          <w:lang w:eastAsia="en-AU"/>
        </w:rPr>
        <w:t xml:space="preserve">. </w:t>
      </w:r>
      <w:r w:rsidR="0054544A">
        <w:rPr>
          <w:lang w:eastAsia="en-AU"/>
        </w:rPr>
        <w:t>Most stakeholders, except insurers, saw retention of GUIs as necessary in the absence of agreement on an alternative funding model.</w:t>
      </w:r>
      <w:r w:rsidR="008463ED">
        <w:rPr>
          <w:lang w:eastAsia="en-AU"/>
        </w:rPr>
        <w:t xml:space="preserve"> </w:t>
      </w:r>
      <w:r w:rsidR="00AC1A12" w:rsidRPr="00602824">
        <w:rPr>
          <w:lang w:eastAsia="en-AU"/>
        </w:rPr>
        <w:t xml:space="preserve">A fundamental concern remained that private hospitals </w:t>
      </w:r>
      <w:r w:rsidR="00D81ADA" w:rsidRPr="00602824">
        <w:rPr>
          <w:lang w:eastAsia="en-AU"/>
        </w:rPr>
        <w:t>might</w:t>
      </w:r>
      <w:r w:rsidR="00666025" w:rsidRPr="00602824">
        <w:rPr>
          <w:lang w:eastAsia="en-AU"/>
        </w:rPr>
        <w:t xml:space="preserve"> be financially worse off under </w:t>
      </w:r>
      <w:r w:rsidR="00D81ADA" w:rsidRPr="00602824">
        <w:rPr>
          <w:lang w:eastAsia="en-AU"/>
        </w:rPr>
        <w:t xml:space="preserve">the </w:t>
      </w:r>
      <w:r w:rsidR="00666025" w:rsidRPr="00602824">
        <w:rPr>
          <w:lang w:eastAsia="en-AU"/>
        </w:rPr>
        <w:t>new arrangements</w:t>
      </w:r>
      <w:r w:rsidR="00D81ADA" w:rsidRPr="00602824">
        <w:rPr>
          <w:lang w:eastAsia="en-AU"/>
        </w:rPr>
        <w:t xml:space="preserve">. </w:t>
      </w:r>
      <w:r w:rsidR="00AC239C" w:rsidRPr="00602824">
        <w:rPr>
          <w:i/>
          <w:lang w:eastAsia="en-AU"/>
        </w:rPr>
        <w:t xml:space="preserve">Interim Evaluation </w:t>
      </w:r>
      <w:r w:rsidR="00E46892" w:rsidRPr="00602824">
        <w:rPr>
          <w:i/>
          <w:iCs/>
          <w:lang w:eastAsia="en-AU"/>
        </w:rPr>
        <w:t>#</w:t>
      </w:r>
      <w:r w:rsidR="00AC239C" w:rsidRPr="00602824">
        <w:rPr>
          <w:i/>
          <w:lang w:eastAsia="en-AU"/>
        </w:rPr>
        <w:t>1</w:t>
      </w:r>
      <w:r w:rsidR="00E46892" w:rsidRPr="00602824">
        <w:rPr>
          <w:i/>
          <w:iCs/>
          <w:lang w:eastAsia="en-AU"/>
        </w:rPr>
        <w:t xml:space="preserve"> report</w:t>
      </w:r>
      <w:r w:rsidR="007B756B" w:rsidRPr="00602824">
        <w:rPr>
          <w:lang w:eastAsia="en-AU"/>
        </w:rPr>
        <w:t xml:space="preserve"> provides a full description of the </w:t>
      </w:r>
      <w:r w:rsidR="00E863C1" w:rsidRPr="00602824">
        <w:rPr>
          <w:lang w:eastAsia="en-AU"/>
        </w:rPr>
        <w:t xml:space="preserve">failure of the negotiation </w:t>
      </w:r>
      <w:r w:rsidR="00B05B63" w:rsidRPr="00602824">
        <w:rPr>
          <w:lang w:eastAsia="en-AU"/>
        </w:rPr>
        <w:t>process</w:t>
      </w:r>
      <w:r w:rsidR="00E863C1" w:rsidRPr="00602824">
        <w:rPr>
          <w:lang w:eastAsia="en-AU"/>
        </w:rPr>
        <w:t xml:space="preserve"> and the resultant </w:t>
      </w:r>
      <w:r w:rsidR="00F04D0F" w:rsidRPr="00602824">
        <w:rPr>
          <w:lang w:eastAsia="en-AU"/>
        </w:rPr>
        <w:t>decision</w:t>
      </w:r>
      <w:r w:rsidR="00B637C1" w:rsidRPr="00602824">
        <w:rPr>
          <w:lang w:eastAsia="en-AU"/>
        </w:rPr>
        <w:t xml:space="preserve">, taken in May 2024, to </w:t>
      </w:r>
      <w:r w:rsidR="0082734B" w:rsidRPr="00602824">
        <w:rPr>
          <w:lang w:eastAsia="en-AU"/>
        </w:rPr>
        <w:t>no longer proceed with the removal of GUIs from the PL</w:t>
      </w:r>
      <w:r w:rsidR="00111E87" w:rsidRPr="00602824">
        <w:rPr>
          <w:lang w:eastAsia="en-AU"/>
        </w:rPr>
        <w:t>.</w:t>
      </w:r>
      <w:r w:rsidR="008D4223" w:rsidRPr="00602824">
        <w:rPr>
          <w:lang w:eastAsia="en-AU"/>
        </w:rPr>
        <w:t xml:space="preserve"> </w:t>
      </w:r>
      <w:r w:rsidR="00EE51E6">
        <w:t>In announcing the decision,</w:t>
      </w:r>
      <w:r w:rsidR="00CF066C" w:rsidRPr="00602824">
        <w:t xml:space="preserve"> the Minister</w:t>
      </w:r>
      <w:r w:rsidR="00A30A8A">
        <w:t xml:space="preserve"> stated that it </w:t>
      </w:r>
      <w:r w:rsidR="00CF066C" w:rsidRPr="00602824">
        <w:t xml:space="preserve">was </w:t>
      </w:r>
      <w:r w:rsidR="000E6E81" w:rsidRPr="00602824">
        <w:t>based on the</w:t>
      </w:r>
      <w:r w:rsidR="00CF066C" w:rsidRPr="00602824">
        <w:t xml:space="preserve"> need to balance patient safety and hospital viability with savings and reform commitments</w:t>
      </w:r>
      <w:r w:rsidR="001411CF" w:rsidRPr="00602824">
        <w:t>.</w:t>
      </w:r>
    </w:p>
    <w:p w14:paraId="02FB525B" w14:textId="4CB99301" w:rsidR="00973751" w:rsidRDefault="002900BB" w:rsidP="00480A2E">
      <w:pPr>
        <w:pStyle w:val="Heading4"/>
      </w:pPr>
      <w:r>
        <w:t xml:space="preserve">The extent of </w:t>
      </w:r>
      <w:r w:rsidR="00875B69">
        <w:t xml:space="preserve">stakeholder </w:t>
      </w:r>
      <w:r w:rsidR="004B7C69">
        <w:t xml:space="preserve">angst </w:t>
      </w:r>
      <w:r w:rsidR="00480A2E">
        <w:t>about the removal of GUIs</w:t>
      </w:r>
      <w:r w:rsidR="00480A2E" w:rsidRPr="00DC061C">
        <w:t xml:space="preserve"> largely reflect</w:t>
      </w:r>
      <w:r w:rsidR="00480A2E">
        <w:t>ed</w:t>
      </w:r>
      <w:r w:rsidR="00480A2E" w:rsidRPr="00DC061C">
        <w:t xml:space="preserve"> their financial exposure to the decision</w:t>
      </w:r>
    </w:p>
    <w:p w14:paraId="66AB7E14" w14:textId="4051FC4A" w:rsidR="00480A2E" w:rsidRDefault="004F1187" w:rsidP="00480A2E">
      <w:pPr>
        <w:rPr>
          <w:lang w:eastAsia="en-AU"/>
        </w:rPr>
      </w:pPr>
      <w:r>
        <w:rPr>
          <w:lang w:eastAsia="en-AU"/>
        </w:rPr>
        <w:t>Stakeholders</w:t>
      </w:r>
      <w:r w:rsidR="00C746B9">
        <w:rPr>
          <w:lang w:eastAsia="en-AU"/>
        </w:rPr>
        <w:t xml:space="preserve"> held stron</w:t>
      </w:r>
      <w:r w:rsidR="00E05B85">
        <w:rPr>
          <w:lang w:eastAsia="en-AU"/>
        </w:rPr>
        <w:t xml:space="preserve">gly expressed views about the </w:t>
      </w:r>
      <w:r>
        <w:rPr>
          <w:lang w:eastAsia="en-AU"/>
        </w:rPr>
        <w:t xml:space="preserve">GUI issue. </w:t>
      </w:r>
      <w:r w:rsidR="00D26715">
        <w:rPr>
          <w:lang w:eastAsia="en-AU"/>
        </w:rPr>
        <w:t xml:space="preserve">Private hospitals, clinicians, and medical technology representatives </w:t>
      </w:r>
      <w:r w:rsidR="00403983">
        <w:rPr>
          <w:lang w:eastAsia="en-AU"/>
        </w:rPr>
        <w:t>advocated strongly for</w:t>
      </w:r>
      <w:r w:rsidR="00D26715">
        <w:rPr>
          <w:lang w:eastAsia="en-AU"/>
        </w:rPr>
        <w:t xml:space="preserve"> retaining GUIs on the PL, emphasising that GUIs remain integral to contemporary surgical care. These stakeholders argued that, without a viable alternative funding mechanism, removal of GUIs would have substantially risked service disruption, reduced access, and increased financial instability for private hospitals. Clinicians and hospitals consistently noted that GUI reform is not feasible unless accompanied by broader PHI system reform or a replacement funding model that protects hospitals from financial harm.</w:t>
      </w:r>
    </w:p>
    <w:p w14:paraId="1B6511A6" w14:textId="77777777" w:rsidR="006E66C4" w:rsidRDefault="006E66C4" w:rsidP="006E66C4">
      <w:pPr>
        <w:rPr>
          <w:rFonts w:ascii="Segoe UI Semibold" w:eastAsia="Times New Roman" w:hAnsi="Segoe UI Semibold" w:cs="Times New Roman"/>
          <w:color w:val="00264D" w:themeColor="background2"/>
          <w:sz w:val="22"/>
          <w:szCs w:val="19"/>
          <w:lang w:eastAsia="en-AU"/>
        </w:rPr>
      </w:pPr>
      <w:r w:rsidRPr="002553B2">
        <w:rPr>
          <w:rFonts w:ascii="Segoe UI Semibold" w:eastAsia="Times New Roman" w:hAnsi="Segoe UI Semibold" w:cs="Times New Roman"/>
          <w:color w:val="00264D" w:themeColor="background2"/>
          <w:sz w:val="22"/>
          <w:szCs w:val="19"/>
          <w:lang w:eastAsia="en-AU"/>
        </w:rPr>
        <w:t xml:space="preserve">Insurer opposition was driven by </w:t>
      </w:r>
      <w:r>
        <w:rPr>
          <w:rFonts w:ascii="Segoe UI Semibold" w:eastAsia="Times New Roman" w:hAnsi="Segoe UI Semibold" w:cs="Times New Roman"/>
          <w:color w:val="00264D" w:themeColor="background2"/>
          <w:sz w:val="22"/>
          <w:szCs w:val="19"/>
          <w:lang w:eastAsia="en-AU"/>
        </w:rPr>
        <w:t>reported</w:t>
      </w:r>
      <w:r w:rsidRPr="002553B2">
        <w:rPr>
          <w:rFonts w:ascii="Segoe UI Semibold" w:eastAsia="Times New Roman" w:hAnsi="Segoe UI Semibold" w:cs="Times New Roman"/>
          <w:color w:val="00264D" w:themeColor="background2"/>
          <w:sz w:val="22"/>
          <w:szCs w:val="19"/>
          <w:lang w:eastAsia="en-AU"/>
        </w:rPr>
        <w:t xml:space="preserve"> GUI misuse and cost containment</w:t>
      </w:r>
    </w:p>
    <w:p w14:paraId="0F62D7B6" w14:textId="77777777" w:rsidR="006E66C4" w:rsidRDefault="006E66C4" w:rsidP="006E66C4">
      <w:pPr>
        <w:rPr>
          <w:lang w:eastAsia="en-AU"/>
        </w:rPr>
      </w:pPr>
      <w:r w:rsidRPr="00C01050">
        <w:rPr>
          <w:lang w:eastAsia="en-AU"/>
        </w:rPr>
        <w:t>Private health insurers opposed the retention of GUIs on the PL, arguing that</w:t>
      </w:r>
      <w:r>
        <w:rPr>
          <w:lang w:eastAsia="en-AU"/>
        </w:rPr>
        <w:t xml:space="preserve"> it results in</w:t>
      </w:r>
      <w:r w:rsidRPr="00C01050">
        <w:rPr>
          <w:lang w:eastAsia="en-AU"/>
        </w:rPr>
        <w:t xml:space="preserve"> weak quantity control</w:t>
      </w:r>
      <w:r>
        <w:rPr>
          <w:lang w:eastAsia="en-AU"/>
        </w:rPr>
        <w:t xml:space="preserve">, </w:t>
      </w:r>
      <w:r w:rsidRPr="00C01050">
        <w:rPr>
          <w:lang w:eastAsia="en-AU"/>
        </w:rPr>
        <w:t>enabl</w:t>
      </w:r>
      <w:r>
        <w:rPr>
          <w:lang w:eastAsia="en-AU"/>
        </w:rPr>
        <w:t>ing</w:t>
      </w:r>
      <w:r w:rsidRPr="00C01050">
        <w:rPr>
          <w:lang w:eastAsia="en-AU"/>
        </w:rPr>
        <w:t xml:space="preserve"> overuse and hospital profit-taking. Insurers stated that removal of GUIs would allow prices and utilisation to be constrained through contract negotiations, delivering system savings. They advocated for a shift to case-based or DRG-style funding aligned with public sector models and characterised GUI retention as inconsistent with earlier reform advice, citing limited progress on consumer protection measures.</w:t>
      </w:r>
    </w:p>
    <w:p w14:paraId="3B027CAB" w14:textId="77777777" w:rsidR="00100EC1" w:rsidRDefault="00100EC1" w:rsidP="00100EC1">
      <w:pPr>
        <w:pStyle w:val="Heading4"/>
      </w:pPr>
      <w:r>
        <w:t>Stakeholders</w:t>
      </w:r>
      <w:r w:rsidRPr="00991902">
        <w:t xml:space="preserve"> raised </w:t>
      </w:r>
      <w:r>
        <w:t xml:space="preserve">concerns over the moving of GUIs to Part D </w:t>
      </w:r>
    </w:p>
    <w:p w14:paraId="697575EC" w14:textId="77777777" w:rsidR="00100EC1" w:rsidRDefault="00100EC1" w:rsidP="00100EC1">
      <w:pPr>
        <w:rPr>
          <w:lang w:eastAsia="en-AU"/>
        </w:rPr>
      </w:pPr>
      <w:r w:rsidRPr="007F3910">
        <w:rPr>
          <w:lang w:eastAsia="en-AU"/>
        </w:rPr>
        <w:t>Medical technology stakeholders criticised the effective “freezing” of GUI listings</w:t>
      </w:r>
      <w:r>
        <w:rPr>
          <w:lang w:eastAsia="en-AU"/>
        </w:rPr>
        <w:t xml:space="preserve"> as </w:t>
      </w:r>
      <w:r w:rsidRPr="007F3910">
        <w:rPr>
          <w:lang w:eastAsia="en-AU"/>
        </w:rPr>
        <w:t xml:space="preserve">narrowing </w:t>
      </w:r>
      <w:r>
        <w:rPr>
          <w:lang w:eastAsia="en-AU"/>
        </w:rPr>
        <w:t xml:space="preserve">the </w:t>
      </w:r>
      <w:r w:rsidRPr="007F3910">
        <w:rPr>
          <w:lang w:eastAsia="en-AU"/>
        </w:rPr>
        <w:t>scope of the PL, arguing this undermines innovation</w:t>
      </w:r>
      <w:r>
        <w:rPr>
          <w:lang w:eastAsia="en-AU"/>
        </w:rPr>
        <w:t xml:space="preserve">. </w:t>
      </w:r>
      <w:r w:rsidRPr="007F3910">
        <w:rPr>
          <w:lang w:eastAsia="en-AU"/>
        </w:rPr>
        <w:t xml:space="preserve">They highlighted that GUIs were subject to full price convergence between public and private systems, unlike Part A devices, and that </w:t>
      </w:r>
      <w:r>
        <w:rPr>
          <w:lang w:eastAsia="en-AU"/>
        </w:rPr>
        <w:t>the decision to contain Part D to “like-devices” does not</w:t>
      </w:r>
      <w:r w:rsidRPr="007F3910">
        <w:rPr>
          <w:lang w:eastAsia="en-AU"/>
        </w:rPr>
        <w:t xml:space="preserve"> reflect </w:t>
      </w:r>
      <w:r>
        <w:rPr>
          <w:lang w:eastAsia="en-AU"/>
        </w:rPr>
        <w:t>the PL’s</w:t>
      </w:r>
      <w:r w:rsidRPr="007F3910">
        <w:rPr>
          <w:lang w:eastAsia="en-AU"/>
        </w:rPr>
        <w:t xml:space="preserve"> original intent to support access to innovative technologies</w:t>
      </w:r>
      <w:r>
        <w:rPr>
          <w:lang w:eastAsia="en-AU"/>
        </w:rPr>
        <w:t>.</w:t>
      </w:r>
    </w:p>
    <w:p w14:paraId="6C9C15F0" w14:textId="6369F915" w:rsidR="00100EC1" w:rsidRDefault="00100EC1" w:rsidP="006E66C4">
      <w:pPr>
        <w:rPr>
          <w:lang w:eastAsia="en-AU"/>
        </w:rPr>
      </w:pPr>
      <w:r w:rsidRPr="00C3199D">
        <w:rPr>
          <w:lang w:eastAsia="en-AU"/>
        </w:rPr>
        <w:t>Hospitals similarly raised concerns about scope definitions</w:t>
      </w:r>
      <w:r>
        <w:rPr>
          <w:lang w:eastAsia="en-AU"/>
        </w:rPr>
        <w:t xml:space="preserve"> creating uncertainty</w:t>
      </w:r>
      <w:r w:rsidRPr="00C3199D">
        <w:rPr>
          <w:lang w:eastAsia="en-AU"/>
        </w:rPr>
        <w:t>,</w:t>
      </w:r>
      <w:r>
        <w:rPr>
          <w:lang w:eastAsia="en-AU"/>
        </w:rPr>
        <w:t xml:space="preserve"> particularly </w:t>
      </w:r>
      <w:r w:rsidRPr="00C3199D">
        <w:rPr>
          <w:lang w:eastAsia="en-AU"/>
        </w:rPr>
        <w:t xml:space="preserve">for </w:t>
      </w:r>
      <w:r>
        <w:rPr>
          <w:lang w:eastAsia="en-AU"/>
        </w:rPr>
        <w:t>‘</w:t>
      </w:r>
      <w:r w:rsidRPr="00C3199D">
        <w:rPr>
          <w:lang w:eastAsia="en-AU"/>
        </w:rPr>
        <w:t>high-cost disposable items essential to modern care</w:t>
      </w:r>
      <w:r>
        <w:rPr>
          <w:lang w:eastAsia="en-AU"/>
        </w:rPr>
        <w:t xml:space="preserve">.’ </w:t>
      </w:r>
      <w:r w:rsidRPr="00602824">
        <w:t>Hospitals reported increased administrative burden due to the need to justify GUI use on a case-by-case basis.</w:t>
      </w:r>
    </w:p>
    <w:p w14:paraId="691BF5CB" w14:textId="2DAFDD59" w:rsidR="00F25714" w:rsidRPr="00602824" w:rsidRDefault="00987202" w:rsidP="000640B9">
      <w:pPr>
        <w:pStyle w:val="Heading3"/>
      </w:pPr>
      <w:r w:rsidRPr="00602824">
        <w:t xml:space="preserve">Despite the failure to remove GUIs, </w:t>
      </w:r>
      <w:bookmarkEnd w:id="60"/>
      <w:r w:rsidR="00F25714" w:rsidRPr="00602824">
        <w:t xml:space="preserve">benefit reductions resulted in </w:t>
      </w:r>
      <w:r w:rsidR="0009355A" w:rsidRPr="00602824">
        <w:t>reduced overall</w:t>
      </w:r>
      <w:r w:rsidR="00F25714" w:rsidRPr="00602824">
        <w:t xml:space="preserve"> expenditure on GUIs</w:t>
      </w:r>
    </w:p>
    <w:p w14:paraId="2114CC2E" w14:textId="1E709D2C" w:rsidR="00040D6C" w:rsidRPr="00602824" w:rsidRDefault="00301946" w:rsidP="00853F77">
      <w:r w:rsidRPr="00602824">
        <w:t>Although</w:t>
      </w:r>
      <w:r w:rsidR="00040D6C" w:rsidRPr="00602824">
        <w:t xml:space="preserve"> GUIs were not removed </w:t>
      </w:r>
      <w:r w:rsidRPr="00602824">
        <w:t>from the PL</w:t>
      </w:r>
      <w:r w:rsidR="00040D6C" w:rsidRPr="00602824">
        <w:t xml:space="preserve"> planned, benefit reductions </w:t>
      </w:r>
      <w:r w:rsidRPr="00602824">
        <w:t>to these items occurred</w:t>
      </w:r>
      <w:r w:rsidR="00040D6C" w:rsidRPr="00602824">
        <w:t xml:space="preserve"> during the </w:t>
      </w:r>
      <w:r w:rsidR="00E635A7" w:rsidRPr="00602824">
        <w:t>reform</w:t>
      </w:r>
      <w:r w:rsidR="00040D6C" w:rsidRPr="00602824">
        <w:t xml:space="preserve"> period:</w:t>
      </w:r>
    </w:p>
    <w:p w14:paraId="7A341BED" w14:textId="77777777" w:rsidR="00E635A7" w:rsidRPr="00602824" w:rsidRDefault="00E635A7" w:rsidP="00C43175">
      <w:pPr>
        <w:pStyle w:val="ListBullet"/>
      </w:pPr>
      <w:r w:rsidRPr="00602824">
        <w:t>From 1 July 2022: a 60% reduction of the gap between the PL benefit and the weighted average price.</w:t>
      </w:r>
    </w:p>
    <w:p w14:paraId="3C203CD2" w14:textId="77777777" w:rsidR="00E635A7" w:rsidRPr="00602824" w:rsidRDefault="00E635A7" w:rsidP="00C43175">
      <w:pPr>
        <w:pStyle w:val="ListBullet"/>
      </w:pPr>
      <w:r w:rsidRPr="00602824">
        <w:t>From 1 March 2023: a further 40% reduction of the remaining gap.</w:t>
      </w:r>
    </w:p>
    <w:p w14:paraId="230B8700" w14:textId="5BF6FB37" w:rsidR="003F7C51" w:rsidRPr="00602824" w:rsidRDefault="00F327CD" w:rsidP="00903578">
      <w:r w:rsidRPr="00602824">
        <w:t xml:space="preserve">While GUI utilisation has remained constant throughout the reforms, benefit reductions have resulted in </w:t>
      </w:r>
      <w:r w:rsidR="00967F98" w:rsidRPr="00602824">
        <w:t>reduced</w:t>
      </w:r>
      <w:r w:rsidRPr="00602824">
        <w:t xml:space="preserve"> expenditure on GUIs overall. This can be seen in </w:t>
      </w:r>
      <w:r w:rsidR="003F7C51" w:rsidRPr="00602824">
        <w:fldChar w:fldCharType="begin"/>
      </w:r>
      <w:r w:rsidR="003F7C51" w:rsidRPr="00602824">
        <w:instrText xml:space="preserve"> REF _Ref202384189 \h </w:instrText>
      </w:r>
      <w:r w:rsidR="003F7C51" w:rsidRPr="00602824">
        <w:fldChar w:fldCharType="separate"/>
      </w:r>
      <w:r w:rsidR="0092693A" w:rsidRPr="00602824">
        <w:t xml:space="preserve">Table </w:t>
      </w:r>
      <w:r w:rsidR="0092693A">
        <w:rPr>
          <w:noProof/>
        </w:rPr>
        <w:t>2</w:t>
      </w:r>
      <w:r w:rsidR="003F7C51" w:rsidRPr="00602824">
        <w:fldChar w:fldCharType="end"/>
      </w:r>
      <w:r w:rsidR="003F7C51" w:rsidRPr="00602824">
        <w:t xml:space="preserve"> below. </w:t>
      </w:r>
      <w:r w:rsidRPr="00602824">
        <w:t xml:space="preserve"> </w:t>
      </w:r>
    </w:p>
    <w:p w14:paraId="413D54D0" w14:textId="6DA1780B" w:rsidR="003F7C51" w:rsidRPr="00602824" w:rsidRDefault="003F7C51" w:rsidP="001F37C8">
      <w:pPr>
        <w:pStyle w:val="Caption"/>
        <w:spacing w:before="120"/>
        <w:rPr>
          <w:vertAlign w:val="superscript"/>
        </w:rPr>
      </w:pPr>
      <w:bookmarkStart w:id="61" w:name="_Ref202384189"/>
      <w:r w:rsidRPr="00602824">
        <w:t xml:space="preserve">Table </w:t>
      </w:r>
      <w:r w:rsidR="002604D0">
        <w:fldChar w:fldCharType="begin"/>
      </w:r>
      <w:r w:rsidR="002604D0">
        <w:instrText xml:space="preserve"> SEQ Table \* ARABIC </w:instrText>
      </w:r>
      <w:r w:rsidR="002604D0">
        <w:fldChar w:fldCharType="separate"/>
      </w:r>
      <w:r w:rsidR="0092693A">
        <w:rPr>
          <w:noProof/>
        </w:rPr>
        <w:t>2</w:t>
      </w:r>
      <w:r w:rsidR="002604D0">
        <w:fldChar w:fldCharType="end"/>
      </w:r>
      <w:bookmarkEnd w:id="61"/>
      <w:r w:rsidRPr="00602824">
        <w:t xml:space="preserve"> | Utilisation and value of GUIs between FY21 and FY24</w:t>
      </w:r>
      <w:r w:rsidR="00DC6A53" w:rsidRPr="00602824">
        <w:rPr>
          <w:rStyle w:val="FootnoteReference"/>
        </w:rPr>
        <w:footnoteReference w:id="92"/>
      </w:r>
      <w:r w:rsidR="00DC6A53" w:rsidRPr="00602824">
        <w:rPr>
          <w:vertAlign w:val="superscript"/>
        </w:rPr>
        <w:t>,</w:t>
      </w:r>
      <w:r w:rsidR="00DC6A53" w:rsidRPr="00602824">
        <w:rPr>
          <w:rStyle w:val="FootnoteReference"/>
        </w:rPr>
        <w:footnoteReference w:id="93"/>
      </w:r>
    </w:p>
    <w:tbl>
      <w:tblPr>
        <w:tblStyle w:val="NOUS1"/>
        <w:tblW w:w="5000" w:type="pct"/>
        <w:tblLook w:val="04A0" w:firstRow="1" w:lastRow="0" w:firstColumn="1" w:lastColumn="0" w:noHBand="0" w:noVBand="1"/>
      </w:tblPr>
      <w:tblGrid>
        <w:gridCol w:w="1836"/>
        <w:gridCol w:w="1837"/>
        <w:gridCol w:w="1837"/>
        <w:gridCol w:w="1837"/>
        <w:gridCol w:w="1838"/>
      </w:tblGrid>
      <w:tr w:rsidR="004026B4" w:rsidRPr="00602824" w14:paraId="5DF35D5B" w14:textId="77777777" w:rsidTr="004440B3">
        <w:trPr>
          <w:cnfStyle w:val="100000000000" w:firstRow="1" w:lastRow="0" w:firstColumn="0" w:lastColumn="0" w:oddVBand="0" w:evenVBand="0" w:oddHBand="0" w:evenHBand="0" w:firstRowFirstColumn="0" w:firstRowLastColumn="0" w:lastRowFirstColumn="0" w:lastRowLastColumn="0"/>
        </w:trPr>
        <w:tc>
          <w:tcPr>
            <w:tcW w:w="1812" w:type="dxa"/>
          </w:tcPr>
          <w:p w14:paraId="584CCF27" w14:textId="77777777" w:rsidR="007341E3" w:rsidRPr="00602824" w:rsidRDefault="007341E3" w:rsidP="00FB712C">
            <w:pPr>
              <w:pStyle w:val="TableNheader"/>
              <w:spacing w:before="60" w:after="60" w:line="240" w:lineRule="auto"/>
            </w:pPr>
          </w:p>
        </w:tc>
        <w:tc>
          <w:tcPr>
            <w:tcW w:w="1812" w:type="dxa"/>
          </w:tcPr>
          <w:p w14:paraId="15B3F5DE" w14:textId="4563FB37" w:rsidR="007341E3" w:rsidRPr="00602824" w:rsidRDefault="007341E3" w:rsidP="003D2312">
            <w:pPr>
              <w:pStyle w:val="TableNheader"/>
              <w:spacing w:before="60" w:after="60" w:line="240" w:lineRule="auto"/>
              <w:jc w:val="center"/>
            </w:pPr>
            <w:r w:rsidRPr="00602824">
              <w:t>FY21</w:t>
            </w:r>
          </w:p>
        </w:tc>
        <w:tc>
          <w:tcPr>
            <w:tcW w:w="1812" w:type="dxa"/>
          </w:tcPr>
          <w:p w14:paraId="33EC124D" w14:textId="27A94C97" w:rsidR="007341E3" w:rsidRPr="00602824" w:rsidRDefault="007341E3" w:rsidP="003D2312">
            <w:pPr>
              <w:pStyle w:val="TableNheader"/>
              <w:spacing w:before="60" w:after="60" w:line="240" w:lineRule="auto"/>
              <w:jc w:val="center"/>
            </w:pPr>
            <w:r w:rsidRPr="00602824">
              <w:t>FY22</w:t>
            </w:r>
          </w:p>
        </w:tc>
        <w:tc>
          <w:tcPr>
            <w:tcW w:w="1812" w:type="dxa"/>
          </w:tcPr>
          <w:p w14:paraId="0286E6D9" w14:textId="24EC0E01" w:rsidR="007341E3" w:rsidRPr="00602824" w:rsidRDefault="007341E3" w:rsidP="003D2312">
            <w:pPr>
              <w:pStyle w:val="TableNheader"/>
              <w:spacing w:before="60" w:after="60" w:line="240" w:lineRule="auto"/>
              <w:jc w:val="center"/>
            </w:pPr>
            <w:r w:rsidRPr="00602824">
              <w:t>FY23</w:t>
            </w:r>
          </w:p>
        </w:tc>
        <w:tc>
          <w:tcPr>
            <w:tcW w:w="1813" w:type="dxa"/>
          </w:tcPr>
          <w:p w14:paraId="0C52C244" w14:textId="0EE20B57" w:rsidR="007341E3" w:rsidRPr="00602824" w:rsidRDefault="007341E3" w:rsidP="003D2312">
            <w:pPr>
              <w:pStyle w:val="TableNheader"/>
              <w:spacing w:before="60" w:after="60" w:line="240" w:lineRule="auto"/>
              <w:jc w:val="center"/>
            </w:pPr>
            <w:r w:rsidRPr="00602824">
              <w:t>FY24</w:t>
            </w:r>
          </w:p>
        </w:tc>
      </w:tr>
      <w:tr w:rsidR="004026B4" w:rsidRPr="00602824" w14:paraId="68377C30" w14:textId="77777777" w:rsidTr="004440B3">
        <w:tc>
          <w:tcPr>
            <w:tcW w:w="1812" w:type="dxa"/>
            <w:vAlign w:val="center"/>
          </w:tcPr>
          <w:p w14:paraId="5C5154CC" w14:textId="10D9CD51" w:rsidR="00035D7F" w:rsidRPr="00602824" w:rsidRDefault="00035D7F" w:rsidP="00035D7F">
            <w:pPr>
              <w:pStyle w:val="TableNheader"/>
              <w:spacing w:before="60" w:after="60" w:line="240" w:lineRule="auto"/>
            </w:pPr>
            <w:r w:rsidRPr="00602824">
              <w:t xml:space="preserve">Total utilisation </w:t>
            </w:r>
          </w:p>
        </w:tc>
        <w:tc>
          <w:tcPr>
            <w:tcW w:w="1812" w:type="dxa"/>
            <w:vAlign w:val="center"/>
          </w:tcPr>
          <w:p w14:paraId="372F047B" w14:textId="1C8F86D1" w:rsidR="00035D7F" w:rsidRPr="005E058C" w:rsidRDefault="00035D7F" w:rsidP="00035D7F">
            <w:pPr>
              <w:pStyle w:val="TableNText"/>
              <w:spacing w:before="60" w:after="60" w:line="240" w:lineRule="auto"/>
              <w:jc w:val="center"/>
            </w:pPr>
            <w:r>
              <w:t>1,020,932</w:t>
            </w:r>
          </w:p>
        </w:tc>
        <w:tc>
          <w:tcPr>
            <w:tcW w:w="1812" w:type="dxa"/>
            <w:vAlign w:val="center"/>
          </w:tcPr>
          <w:p w14:paraId="21CBAB84" w14:textId="4933D3FF" w:rsidR="00035D7F" w:rsidRPr="00602824" w:rsidRDefault="00035D7F" w:rsidP="00035D7F">
            <w:pPr>
              <w:pStyle w:val="TableNText"/>
              <w:spacing w:before="60" w:after="60" w:line="240" w:lineRule="auto"/>
              <w:jc w:val="center"/>
            </w:pPr>
            <w:r>
              <w:t>990,720</w:t>
            </w:r>
          </w:p>
        </w:tc>
        <w:tc>
          <w:tcPr>
            <w:tcW w:w="1812" w:type="dxa"/>
            <w:vAlign w:val="center"/>
          </w:tcPr>
          <w:p w14:paraId="1D7FAFB6" w14:textId="6458AFD5" w:rsidR="00035D7F" w:rsidRPr="00602824" w:rsidRDefault="00035D7F" w:rsidP="00035D7F">
            <w:pPr>
              <w:pStyle w:val="TableNText"/>
              <w:spacing w:before="60" w:after="60" w:line="240" w:lineRule="auto"/>
              <w:jc w:val="center"/>
            </w:pPr>
            <w:r>
              <w:t>1,023,011</w:t>
            </w:r>
          </w:p>
        </w:tc>
        <w:tc>
          <w:tcPr>
            <w:tcW w:w="1813" w:type="dxa"/>
            <w:vAlign w:val="center"/>
          </w:tcPr>
          <w:p w14:paraId="46849AE7" w14:textId="395E622F" w:rsidR="00035D7F" w:rsidRPr="00602824" w:rsidRDefault="00035D7F" w:rsidP="00035D7F">
            <w:pPr>
              <w:pStyle w:val="TableNText"/>
              <w:spacing w:before="60" w:after="60" w:line="240" w:lineRule="auto"/>
              <w:jc w:val="center"/>
            </w:pPr>
            <w:r>
              <w:t>1,019,798</w:t>
            </w:r>
          </w:p>
        </w:tc>
      </w:tr>
      <w:tr w:rsidR="004026B4" w:rsidRPr="00602824" w14:paraId="2EE4A230" w14:textId="77777777" w:rsidTr="004440B3">
        <w:tc>
          <w:tcPr>
            <w:tcW w:w="1812" w:type="dxa"/>
            <w:vAlign w:val="center"/>
          </w:tcPr>
          <w:p w14:paraId="33A42956" w14:textId="14349CEE" w:rsidR="00035D7F" w:rsidRPr="00602824" w:rsidRDefault="00035D7F" w:rsidP="00035D7F">
            <w:pPr>
              <w:pStyle w:val="TableNheader"/>
              <w:spacing w:before="60" w:after="60" w:line="240" w:lineRule="auto"/>
            </w:pPr>
            <w:r w:rsidRPr="00602824">
              <w:t>Total value</w:t>
            </w:r>
          </w:p>
        </w:tc>
        <w:tc>
          <w:tcPr>
            <w:tcW w:w="1812" w:type="dxa"/>
            <w:vAlign w:val="center"/>
          </w:tcPr>
          <w:p w14:paraId="3BD2914C" w14:textId="74E97CD0" w:rsidR="00035D7F" w:rsidRPr="00602824" w:rsidRDefault="00035D7F" w:rsidP="00035D7F">
            <w:pPr>
              <w:pStyle w:val="TableNText"/>
              <w:spacing w:before="60" w:after="60" w:line="240" w:lineRule="auto"/>
              <w:jc w:val="center"/>
            </w:pPr>
            <w:r>
              <w:t>$216,888,306</w:t>
            </w:r>
          </w:p>
        </w:tc>
        <w:tc>
          <w:tcPr>
            <w:tcW w:w="1812" w:type="dxa"/>
            <w:vAlign w:val="center"/>
          </w:tcPr>
          <w:p w14:paraId="181CEE46" w14:textId="3C662C4D" w:rsidR="00035D7F" w:rsidRPr="00602824" w:rsidRDefault="00035D7F" w:rsidP="00035D7F">
            <w:pPr>
              <w:pStyle w:val="TableNText"/>
              <w:spacing w:before="60" w:after="60" w:line="240" w:lineRule="auto"/>
              <w:jc w:val="center"/>
            </w:pPr>
            <w:r>
              <w:t>$206,887,692</w:t>
            </w:r>
          </w:p>
        </w:tc>
        <w:tc>
          <w:tcPr>
            <w:tcW w:w="1812" w:type="dxa"/>
            <w:vAlign w:val="center"/>
          </w:tcPr>
          <w:p w14:paraId="28EDA8DB" w14:textId="36BE5FD0" w:rsidR="00035D7F" w:rsidRPr="00602824" w:rsidRDefault="00035D7F" w:rsidP="00035D7F">
            <w:pPr>
              <w:pStyle w:val="TableNText"/>
              <w:spacing w:before="60" w:after="60" w:line="240" w:lineRule="auto"/>
              <w:jc w:val="center"/>
            </w:pPr>
            <w:r>
              <w:t>$192,765,478</w:t>
            </w:r>
          </w:p>
        </w:tc>
        <w:tc>
          <w:tcPr>
            <w:tcW w:w="1813" w:type="dxa"/>
            <w:vAlign w:val="center"/>
          </w:tcPr>
          <w:p w14:paraId="4073A097" w14:textId="406E803C" w:rsidR="00035D7F" w:rsidRPr="00602824" w:rsidRDefault="00035D7F" w:rsidP="00035D7F">
            <w:pPr>
              <w:pStyle w:val="TableNText"/>
              <w:spacing w:before="60" w:after="60" w:line="240" w:lineRule="auto"/>
              <w:jc w:val="center"/>
            </w:pPr>
            <w:r>
              <w:t>$174,392,258</w:t>
            </w:r>
          </w:p>
        </w:tc>
      </w:tr>
      <w:tr w:rsidR="004026B4" w:rsidRPr="00602824" w14:paraId="486EB2F2" w14:textId="77777777" w:rsidTr="004440B3">
        <w:tc>
          <w:tcPr>
            <w:tcW w:w="1812" w:type="dxa"/>
            <w:vAlign w:val="center"/>
          </w:tcPr>
          <w:p w14:paraId="142EE368" w14:textId="5B1355DC" w:rsidR="00035D7F" w:rsidRPr="00602824" w:rsidRDefault="00035D7F" w:rsidP="00035D7F">
            <w:pPr>
              <w:pStyle w:val="TableNheader"/>
              <w:spacing w:before="60" w:after="60" w:line="240" w:lineRule="auto"/>
            </w:pPr>
            <w:r w:rsidRPr="00602824">
              <w:t>Weighted average benefit</w:t>
            </w:r>
          </w:p>
        </w:tc>
        <w:tc>
          <w:tcPr>
            <w:tcW w:w="1812" w:type="dxa"/>
            <w:vAlign w:val="center"/>
          </w:tcPr>
          <w:p w14:paraId="65D6C9B2" w14:textId="6A3A572F" w:rsidR="00035D7F" w:rsidRPr="00602824" w:rsidRDefault="00035D7F" w:rsidP="00035D7F">
            <w:pPr>
              <w:pStyle w:val="TableNText"/>
              <w:spacing w:before="60" w:after="60" w:line="240" w:lineRule="auto"/>
              <w:jc w:val="center"/>
            </w:pPr>
            <w:r>
              <w:t>$212</w:t>
            </w:r>
          </w:p>
        </w:tc>
        <w:tc>
          <w:tcPr>
            <w:tcW w:w="1812" w:type="dxa"/>
            <w:vAlign w:val="center"/>
          </w:tcPr>
          <w:p w14:paraId="7C04A55A" w14:textId="5B2F9AA9" w:rsidR="00035D7F" w:rsidRPr="00602824" w:rsidRDefault="00035D7F" w:rsidP="00035D7F">
            <w:pPr>
              <w:pStyle w:val="TableNText"/>
              <w:spacing w:before="60" w:after="60" w:line="240" w:lineRule="auto"/>
              <w:jc w:val="center"/>
            </w:pPr>
            <w:r>
              <w:t>$209</w:t>
            </w:r>
          </w:p>
        </w:tc>
        <w:tc>
          <w:tcPr>
            <w:tcW w:w="1812" w:type="dxa"/>
            <w:vAlign w:val="center"/>
          </w:tcPr>
          <w:p w14:paraId="594858EB" w14:textId="4C4D3783" w:rsidR="00035D7F" w:rsidRPr="00602824" w:rsidRDefault="00035D7F" w:rsidP="00035D7F">
            <w:pPr>
              <w:pStyle w:val="TableNText"/>
              <w:spacing w:before="60" w:after="60" w:line="240" w:lineRule="auto"/>
              <w:jc w:val="center"/>
            </w:pPr>
            <w:r>
              <w:t>$188</w:t>
            </w:r>
          </w:p>
        </w:tc>
        <w:tc>
          <w:tcPr>
            <w:tcW w:w="1813" w:type="dxa"/>
            <w:vAlign w:val="center"/>
          </w:tcPr>
          <w:p w14:paraId="47880683" w14:textId="49576891" w:rsidR="00035D7F" w:rsidRPr="00602824" w:rsidRDefault="00035D7F" w:rsidP="00035D7F">
            <w:pPr>
              <w:pStyle w:val="TableNText"/>
              <w:spacing w:before="60" w:after="60" w:line="240" w:lineRule="auto"/>
              <w:jc w:val="center"/>
            </w:pPr>
            <w:r>
              <w:t>$171</w:t>
            </w:r>
          </w:p>
        </w:tc>
      </w:tr>
    </w:tbl>
    <w:p w14:paraId="017ADA62" w14:textId="7D89B102" w:rsidR="003D4C28" w:rsidRPr="00602824" w:rsidRDefault="00835DF9" w:rsidP="00FB712C">
      <w:pPr>
        <w:spacing w:before="240"/>
      </w:pPr>
      <w:r w:rsidRPr="00602824">
        <w:t xml:space="preserve">Annual utilisation of GUIs remained relatively stable between FY21 and FY24. Despite this, overall expenditure declined by </w:t>
      </w:r>
      <w:r w:rsidR="00231F1A">
        <w:t>20</w:t>
      </w:r>
      <w:r w:rsidRPr="00602824">
        <w:t xml:space="preserve">% over the period, </w:t>
      </w:r>
      <w:r w:rsidR="00264556" w:rsidRPr="00602824">
        <w:t xml:space="preserve">alongside a </w:t>
      </w:r>
      <w:r w:rsidRPr="00602824">
        <w:t>steady reduction in the weighted average benefit</w:t>
      </w:r>
      <w:r w:rsidR="00A479BC" w:rsidRPr="00602824">
        <w:t xml:space="preserve"> – </w:t>
      </w:r>
      <w:r w:rsidRPr="00602824">
        <w:t>from $</w:t>
      </w:r>
      <w:r w:rsidR="00035D7F">
        <w:t>212</w:t>
      </w:r>
      <w:r w:rsidRPr="00602824">
        <w:rPr>
          <w:color w:val="F25E21" w:themeColor="accent2"/>
        </w:rPr>
        <w:t xml:space="preserve"> </w:t>
      </w:r>
      <w:r w:rsidRPr="00602824">
        <w:t>in FY21 to $</w:t>
      </w:r>
      <w:r w:rsidR="00035D7F">
        <w:t>171</w:t>
      </w:r>
      <w:r w:rsidRPr="00602824">
        <w:rPr>
          <w:color w:val="F25E21" w:themeColor="accent2"/>
        </w:rPr>
        <w:t xml:space="preserve"> </w:t>
      </w:r>
      <w:r w:rsidRPr="00602824">
        <w:t>in FY24. This suggests that lower benefits</w:t>
      </w:r>
      <w:r w:rsidR="007341E3" w:rsidRPr="00602824">
        <w:t xml:space="preserve"> </w:t>
      </w:r>
      <w:r w:rsidRPr="00602824">
        <w:t>were the primary driver of reduced total value.</w:t>
      </w:r>
    </w:p>
    <w:p w14:paraId="2B213A0D" w14:textId="54A512A8" w:rsidR="00403BC3" w:rsidRPr="00602824" w:rsidRDefault="00F968A9" w:rsidP="0027431B">
      <w:pPr>
        <w:pStyle w:val="Heading3"/>
      </w:pPr>
      <w:r>
        <w:t>The</w:t>
      </w:r>
      <w:r w:rsidR="00A162AB" w:rsidRPr="00602824">
        <w:t xml:space="preserve"> </w:t>
      </w:r>
      <w:r w:rsidR="00D332DD" w:rsidRPr="00602824">
        <w:t xml:space="preserve">investment in </w:t>
      </w:r>
      <w:r w:rsidR="00A162AB" w:rsidRPr="00602824">
        <w:t xml:space="preserve">GUI </w:t>
      </w:r>
      <w:r w:rsidR="00D332DD" w:rsidRPr="00602824">
        <w:t xml:space="preserve">funding models </w:t>
      </w:r>
      <w:r w:rsidR="00D672C3">
        <w:t>underpins</w:t>
      </w:r>
      <w:r w:rsidR="007E4E43">
        <w:t xml:space="preserve"> a future pathway for reform</w:t>
      </w:r>
    </w:p>
    <w:p w14:paraId="2FDB2BC8" w14:textId="2282A336" w:rsidR="005016E7" w:rsidRPr="00602824" w:rsidRDefault="005016E7" w:rsidP="0027431B">
      <w:pPr>
        <w:rPr>
          <w:lang w:eastAsia="en-AU"/>
        </w:rPr>
      </w:pPr>
      <w:r w:rsidRPr="00602824">
        <w:rPr>
          <w:lang w:eastAsia="en-AU"/>
        </w:rPr>
        <w:t xml:space="preserve">Although the proposed removal of GUIs from the PL did not proceed, the reform process generated substantial design work and sector engagement that remains relevant. </w:t>
      </w:r>
      <w:r w:rsidR="00D249EC">
        <w:rPr>
          <w:lang w:eastAsia="en-AU"/>
        </w:rPr>
        <w:t>The</w:t>
      </w:r>
      <w:r w:rsidRPr="00602824">
        <w:rPr>
          <w:lang w:eastAsia="en-AU"/>
        </w:rPr>
        <w:t xml:space="preserve"> Department, IHACPA and </w:t>
      </w:r>
      <w:r w:rsidR="00D249EC">
        <w:rPr>
          <w:lang w:eastAsia="en-AU"/>
        </w:rPr>
        <w:t>industry stakeholders</w:t>
      </w:r>
      <w:r w:rsidRPr="00602824">
        <w:rPr>
          <w:lang w:eastAsia="en-AU"/>
        </w:rPr>
        <w:t xml:space="preserve"> invested time and resources into exploring alternative bundling models, with one insurer estimating over $250,000 in unrecoverable development costs.</w:t>
      </w:r>
      <w:r w:rsidRPr="00602824">
        <w:rPr>
          <w:rStyle w:val="FootnoteReference"/>
        </w:rPr>
        <w:footnoteReference w:id="94"/>
      </w:r>
    </w:p>
    <w:p w14:paraId="62823A16" w14:textId="1218DA25" w:rsidR="00A5035C" w:rsidRDefault="003E5930" w:rsidP="0027431B">
      <w:pPr>
        <w:rPr>
          <w:lang w:eastAsia="en-AU"/>
        </w:rPr>
      </w:pPr>
      <w:r w:rsidRPr="003E5930">
        <w:rPr>
          <w:lang w:eastAsia="en-AU"/>
        </w:rPr>
        <w:t>GUIs remain an anomaly within the PL. They do not align neatly with the original purpose of the PL, as they are not implantable medical devices used for a specific therapy and are used across a broad range of procedures. Their retention means that the scope of the PL remains less clear than intended and that the administrative burden associated with listing, billing and managing these items continues.</w:t>
      </w:r>
    </w:p>
    <w:p w14:paraId="4473ED18" w14:textId="02A9801F" w:rsidR="00BF790E" w:rsidRDefault="003E5930" w:rsidP="0027431B">
      <w:pPr>
        <w:rPr>
          <w:lang w:eastAsia="en-AU"/>
        </w:rPr>
      </w:pPr>
      <w:r w:rsidRPr="003E5930">
        <w:rPr>
          <w:lang w:eastAsia="en-AU"/>
        </w:rPr>
        <w:t>The key barrier to removing GUIs from the PL is the absence of an agreed alternative funding mechanism. Private hospitals require a form of reimbursement or funding to support the purchase of these everyday items, and stakeholders raised concerns that poorly designed arrangements could create adverse impacts, particularly given financial pressures in the private hospital sector. The reform experience suggests that any future approach will need to be carefully designed, clinically appropriate and financially sustainable.</w:t>
      </w:r>
    </w:p>
    <w:p w14:paraId="3DED9E67" w14:textId="3EBF7BF1" w:rsidR="009F6707" w:rsidRDefault="009F6707" w:rsidP="0027431B">
      <w:pPr>
        <w:rPr>
          <w:lang w:eastAsia="en-AU"/>
        </w:rPr>
      </w:pPr>
      <w:r w:rsidRPr="009F6707">
        <w:rPr>
          <w:lang w:eastAsia="en-AU"/>
        </w:rPr>
        <w:t>However, the objective of removing GUIs from the PL remains valid. The work undertaken during the reforms should be leveraged to support further consideration of sustainable funding options outside the PL</w:t>
      </w:r>
      <w:r w:rsidR="004177A1">
        <w:rPr>
          <w:lang w:eastAsia="en-AU"/>
        </w:rPr>
        <w:t xml:space="preserve">, </w:t>
      </w:r>
      <w:r w:rsidR="004177A1" w:rsidRPr="004177A1">
        <w:rPr>
          <w:lang w:eastAsia="en-AU"/>
        </w:rPr>
        <w:t>including options that better align funding with the clinical context in which GUIs are appropriately used</w:t>
      </w:r>
      <w:r w:rsidRPr="009F6707">
        <w:rPr>
          <w:lang w:eastAsia="en-AU"/>
        </w:rPr>
        <w:t>. This would allow the Department to build on the investment already made, rather than recommencing design work from first principles, while continuing to pursue the broader policy objective of streamlining the PL’s scope and reducing unnecessary system costs.</w:t>
      </w:r>
    </w:p>
    <w:tbl>
      <w:tblPr>
        <w:tblStyle w:val="NousLongformcallout"/>
        <w:tblW w:w="4950" w:type="pct"/>
        <w:tblCellMar>
          <w:top w:w="170" w:type="dxa"/>
          <w:bottom w:w="170" w:type="dxa"/>
        </w:tblCellMar>
        <w:tblLook w:val="04A0" w:firstRow="1" w:lastRow="0" w:firstColumn="1" w:lastColumn="0" w:noHBand="0" w:noVBand="1"/>
      </w:tblPr>
      <w:tblGrid>
        <w:gridCol w:w="9070"/>
      </w:tblGrid>
      <w:tr w:rsidR="00BF790E" w:rsidRPr="00602824" w14:paraId="0AE8A8E6" w14:textId="77777777" w:rsidTr="000A08B2">
        <w:tc>
          <w:tcPr>
            <w:tcW w:w="9070" w:type="dxa"/>
            <w:tcBorders>
              <w:left w:val="single" w:sz="18" w:space="0" w:color="2E368F" w:themeColor="text2"/>
            </w:tcBorders>
            <w:shd w:val="clear" w:color="auto" w:fill="F2F2F2" w:themeFill="background1" w:themeFillShade="F2"/>
          </w:tcPr>
          <w:p w14:paraId="2E5B9826" w14:textId="77777777" w:rsidR="00BF790E" w:rsidRPr="00194DA6" w:rsidRDefault="00BF790E" w:rsidP="000A08B2">
            <w:pPr>
              <w:pStyle w:val="Longformcallout"/>
              <w:spacing w:before="0" w:after="120"/>
              <w:rPr>
                <w:rFonts w:asciiTheme="majorHAnsi" w:hAnsiTheme="majorHAnsi" w:cstheme="majorHAnsi"/>
                <w:color w:val="2E368F" w:themeColor="text2"/>
              </w:rPr>
            </w:pPr>
            <w:r w:rsidRPr="00602824">
              <w:rPr>
                <w:rFonts w:asciiTheme="majorHAnsi" w:hAnsiTheme="majorHAnsi" w:cstheme="majorHAnsi"/>
                <w:color w:val="2E368F" w:themeColor="text2"/>
              </w:rPr>
              <w:t xml:space="preserve">RECOMMENDATION </w:t>
            </w:r>
            <w:r>
              <w:rPr>
                <w:rFonts w:asciiTheme="majorHAnsi" w:hAnsiTheme="majorHAnsi" w:cstheme="majorHAnsi"/>
                <w:color w:val="2E368F" w:themeColor="text2"/>
              </w:rPr>
              <w:t xml:space="preserve">4: </w:t>
            </w:r>
            <w:r w:rsidRPr="00374E7D">
              <w:rPr>
                <w:rFonts w:asciiTheme="majorHAnsi" w:hAnsiTheme="majorHAnsi" w:cstheme="majorHAnsi"/>
              </w:rPr>
              <w:t>Use the work and lessons from the reforms to inform further Department consideration of sustainable funding options for GUIs outside the PL</w:t>
            </w:r>
            <w:r w:rsidRPr="00AF5EA3">
              <w:rPr>
                <w:rFonts w:asciiTheme="majorHAnsi" w:hAnsiTheme="majorHAnsi" w:cstheme="majorHAnsi"/>
              </w:rPr>
              <w:t>.</w:t>
            </w:r>
          </w:p>
        </w:tc>
      </w:tr>
    </w:tbl>
    <w:p w14:paraId="42B5FA6D" w14:textId="77777777" w:rsidR="00C46AE0" w:rsidRPr="00602824" w:rsidRDefault="00C46AE0" w:rsidP="00C46AE0">
      <w:pPr>
        <w:pStyle w:val="Heading2"/>
        <w:keepLines/>
      </w:pPr>
      <w:bookmarkStart w:id="62" w:name="_Toc181405091"/>
      <w:bookmarkStart w:id="63" w:name="_Toc237002808"/>
      <w:r w:rsidRPr="00602824">
        <w:t xml:space="preserve">Objective 6: </w:t>
      </w:r>
      <w:bookmarkStart w:id="64" w:name="_Hlk158888764"/>
      <w:r w:rsidRPr="00602824">
        <w:t>Implement new PL assessment pathways aligned to Health Technology Assessment principles and streamline the application process through simple and robust IT infrastructure</w:t>
      </w:r>
      <w:bookmarkEnd w:id="62"/>
      <w:bookmarkEnd w:id="63"/>
      <w:bookmarkEnd w:id="64"/>
    </w:p>
    <w:p w14:paraId="5A54F991" w14:textId="202EECF1" w:rsidR="00C46AE0" w:rsidRPr="00602824" w:rsidRDefault="00C46AE0" w:rsidP="00C46AE0">
      <w:pPr>
        <w:rPr>
          <w:i/>
          <w:iCs/>
          <w:lang w:eastAsia="en-AU"/>
        </w:rPr>
      </w:pPr>
      <w:r w:rsidRPr="00602824">
        <w:rPr>
          <w:i/>
          <w:iCs/>
          <w:lang w:eastAsia="en-AU"/>
        </w:rPr>
        <w:t xml:space="preserve">This section considers the implementation of new applications pathways and </w:t>
      </w:r>
      <w:r w:rsidR="00571DA8" w:rsidRPr="00602824">
        <w:rPr>
          <w:i/>
          <w:iCs/>
          <w:lang w:eastAsia="en-AU"/>
        </w:rPr>
        <w:t xml:space="preserve">the </w:t>
      </w:r>
      <w:r w:rsidRPr="00602824">
        <w:rPr>
          <w:i/>
          <w:iCs/>
          <w:lang w:eastAsia="en-AU"/>
        </w:rPr>
        <w:t xml:space="preserve">governance processes involved in their assessment. It documents the volume of PL application by tier and </w:t>
      </w:r>
      <w:r w:rsidR="00571DA8" w:rsidRPr="00602824">
        <w:rPr>
          <w:i/>
          <w:iCs/>
          <w:lang w:eastAsia="en-AU"/>
        </w:rPr>
        <w:t>considers</w:t>
      </w:r>
      <w:r w:rsidRPr="00602824">
        <w:rPr>
          <w:i/>
          <w:iCs/>
          <w:lang w:eastAsia="en-AU"/>
        </w:rPr>
        <w:t xml:space="preserve"> stakeholder perspectives on the assessment pathways and listing processes.</w:t>
      </w:r>
      <w:r w:rsidR="006A6E2C" w:rsidRPr="00602824">
        <w:rPr>
          <w:i/>
          <w:iCs/>
          <w:lang w:eastAsia="en-AU"/>
        </w:rPr>
        <w:t xml:space="preserve"> </w:t>
      </w:r>
    </w:p>
    <w:p w14:paraId="08F724F1" w14:textId="0BFB2B54" w:rsidR="00C46AE0" w:rsidRPr="00602824" w:rsidRDefault="00C46AE0" w:rsidP="00B50EE7">
      <w:pPr>
        <w:pStyle w:val="Caption"/>
        <w:rPr>
          <w:lang w:eastAsia="en-AU"/>
        </w:rPr>
      </w:pPr>
      <w:r w:rsidRPr="00602824">
        <w:t xml:space="preserve">Figure </w:t>
      </w:r>
      <w:r w:rsidR="005539DD">
        <w:fldChar w:fldCharType="begin"/>
      </w:r>
      <w:r w:rsidR="005539DD">
        <w:instrText xml:space="preserve"> SEQ Figure \* ARABIC </w:instrText>
      </w:r>
      <w:r w:rsidR="005539DD">
        <w:fldChar w:fldCharType="separate"/>
      </w:r>
      <w:r w:rsidR="0092693A">
        <w:rPr>
          <w:noProof/>
        </w:rPr>
        <w:t>24</w:t>
      </w:r>
      <w:r w:rsidR="005539DD">
        <w:fldChar w:fldCharType="end"/>
      </w:r>
      <w:r w:rsidRPr="00602824">
        <w:t xml:space="preserve"> | Reform projects related to reform objective 6</w:t>
      </w:r>
    </w:p>
    <w:p w14:paraId="0C50EF4C" w14:textId="77777777" w:rsidR="00C46AE0" w:rsidRPr="00602824" w:rsidRDefault="00C46AE0" w:rsidP="00C46AE0">
      <w:pPr>
        <w:rPr>
          <w:lang w:eastAsia="en-AU"/>
        </w:rPr>
      </w:pPr>
      <w:r w:rsidRPr="00AC7E3F">
        <w:rPr>
          <w:noProof/>
          <w:lang w:eastAsia="en-AU"/>
        </w:rPr>
        <w:drawing>
          <wp:inline distT="0" distB="0" distL="0" distR="0" wp14:anchorId="17F8DD80" wp14:editId="268E8B62">
            <wp:extent cx="5832000" cy="1081114"/>
            <wp:effectExtent l="0" t="0" r="0" b="5080"/>
            <wp:docPr id="1856583631" name="Picture 1" descr="A figure showing Objective 6. PL assessment pathways connected to two reform projects. The projects are modernised pathways and governance arrang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583631" name="Picture 1" descr="A figure showing Objective 6. PL assessment pathways connected to two reform projects. The projects are modernised pathways and governance arrangements."/>
                    <pic:cNvPicPr/>
                  </pic:nvPicPr>
                  <pic:blipFill>
                    <a:blip r:embed="rId46"/>
                    <a:stretch>
                      <a:fillRect/>
                    </a:stretch>
                  </pic:blipFill>
                  <pic:spPr>
                    <a:xfrm>
                      <a:off x="0" y="0"/>
                      <a:ext cx="5832000" cy="1081114"/>
                    </a:xfrm>
                    <a:prstGeom prst="rect">
                      <a:avLst/>
                    </a:prstGeom>
                  </pic:spPr>
                </pic:pic>
              </a:graphicData>
            </a:graphic>
          </wp:inline>
        </w:drawing>
      </w:r>
    </w:p>
    <w:p w14:paraId="5C1C305F" w14:textId="4855F971" w:rsidR="00D32466" w:rsidRPr="00602824" w:rsidRDefault="00F15705" w:rsidP="00267E1F">
      <w:pPr>
        <w:pStyle w:val="Heading3"/>
      </w:pPr>
      <w:r>
        <w:t>Reform project (a): m</w:t>
      </w:r>
      <w:r w:rsidR="004760D2" w:rsidRPr="00602824">
        <w:t>odernised pathways</w:t>
      </w:r>
    </w:p>
    <w:tbl>
      <w:tblPr>
        <w:tblStyle w:val="NOUSSideHeader4"/>
        <w:tblW w:w="5000" w:type="pct"/>
        <w:tblLook w:val="04A0" w:firstRow="1" w:lastRow="0" w:firstColumn="1" w:lastColumn="0" w:noHBand="0" w:noVBand="1"/>
      </w:tblPr>
      <w:tblGrid>
        <w:gridCol w:w="9185"/>
      </w:tblGrid>
      <w:tr w:rsidR="005A1DA9" w:rsidRPr="00602824" w14:paraId="6D8CFC6C" w14:textId="77777777" w:rsidTr="004440B3">
        <w:trPr>
          <w:cnfStyle w:val="100000000000" w:firstRow="1" w:lastRow="0" w:firstColumn="0" w:lastColumn="0" w:oddVBand="0" w:evenVBand="0" w:oddHBand="0" w:evenHBand="0" w:firstRowFirstColumn="0" w:firstRowLastColumn="0" w:lastRowFirstColumn="0" w:lastRowLastColumn="0"/>
        </w:trPr>
        <w:tc>
          <w:tcPr>
            <w:tcW w:w="9061" w:type="dxa"/>
          </w:tcPr>
          <w:p w14:paraId="407898DC" w14:textId="72E78DE5" w:rsidR="00565565" w:rsidRPr="00602824" w:rsidRDefault="001B3E67" w:rsidP="005944A9">
            <w:pPr>
              <w:spacing w:before="60"/>
            </w:pPr>
            <w:bookmarkStart w:id="65" w:name="_Hlk202191357"/>
            <w:r w:rsidRPr="00602824">
              <w:t>Prior to the reforms</w:t>
            </w:r>
            <w:r w:rsidR="000D7780" w:rsidRPr="00602824">
              <w:t>,</w:t>
            </w:r>
            <w:r w:rsidRPr="00602824">
              <w:t xml:space="preserve"> applications </w:t>
            </w:r>
            <w:r w:rsidR="008F0CA1" w:rsidRPr="00602824">
              <w:t xml:space="preserve">for listing items on the </w:t>
            </w:r>
            <w:r w:rsidRPr="00602824">
              <w:t xml:space="preserve">PL </w:t>
            </w:r>
            <w:r w:rsidR="005A57CE" w:rsidRPr="00602824">
              <w:t xml:space="preserve">followed a single assessment pathway. As outlined in </w:t>
            </w:r>
            <w:r w:rsidR="005A57CE" w:rsidRPr="00602824">
              <w:rPr>
                <w:i/>
              </w:rPr>
              <w:t>Interim</w:t>
            </w:r>
            <w:r w:rsidR="002B3465" w:rsidRPr="00602824">
              <w:rPr>
                <w:i/>
              </w:rPr>
              <w:t xml:space="preserve"> Evaluation</w:t>
            </w:r>
            <w:r w:rsidR="005A57CE" w:rsidRPr="00602824">
              <w:rPr>
                <w:i/>
              </w:rPr>
              <w:t xml:space="preserve"> </w:t>
            </w:r>
            <w:r w:rsidR="00E46892" w:rsidRPr="00602824">
              <w:rPr>
                <w:i/>
                <w:iCs/>
              </w:rPr>
              <w:t>#</w:t>
            </w:r>
            <w:r w:rsidR="002B3465" w:rsidRPr="00602824">
              <w:rPr>
                <w:i/>
              </w:rPr>
              <w:t>1</w:t>
            </w:r>
            <w:r w:rsidR="00E46892" w:rsidRPr="00602824">
              <w:rPr>
                <w:i/>
                <w:iCs/>
              </w:rPr>
              <w:t xml:space="preserve"> report</w:t>
            </w:r>
            <w:r w:rsidR="002B3465" w:rsidRPr="00602824">
              <w:t xml:space="preserve">, </w:t>
            </w:r>
            <w:r w:rsidR="00066F56" w:rsidRPr="00602824">
              <w:t>multiple</w:t>
            </w:r>
            <w:r w:rsidR="00850D3D" w:rsidRPr="00602824">
              <w:t xml:space="preserve"> assessment </w:t>
            </w:r>
            <w:r w:rsidR="00066F56" w:rsidRPr="00602824">
              <w:t xml:space="preserve">“tiers” </w:t>
            </w:r>
            <w:r w:rsidR="0026636F" w:rsidRPr="00602824">
              <w:t xml:space="preserve">for PL devices </w:t>
            </w:r>
            <w:r w:rsidR="00850D3D" w:rsidRPr="00602824">
              <w:t>were established</w:t>
            </w:r>
            <w:r w:rsidR="000D7780" w:rsidRPr="00602824">
              <w:t xml:space="preserve"> under the reforms</w:t>
            </w:r>
            <w:r w:rsidR="00850D3D" w:rsidRPr="00602824">
              <w:t xml:space="preserve"> </w:t>
            </w:r>
            <w:r w:rsidR="00726F8F" w:rsidRPr="00602824">
              <w:t>(Tier 1, 2a, 2b and 3)</w:t>
            </w:r>
            <w:r w:rsidR="00D92D1E">
              <w:t>. Th</w:t>
            </w:r>
            <w:r w:rsidR="004E372D">
              <w:t>e</w:t>
            </w:r>
            <w:r w:rsidR="00726F8F" w:rsidRPr="00602824">
              <w:t xml:space="preserve"> aim</w:t>
            </w:r>
            <w:r w:rsidR="004E372D">
              <w:t xml:space="preserve"> was </w:t>
            </w:r>
            <w:r w:rsidR="00726F8F" w:rsidRPr="00602824">
              <w:t xml:space="preserve">to </w:t>
            </w:r>
            <w:r w:rsidR="00D007E8" w:rsidRPr="00602824">
              <w:t xml:space="preserve">increase the efficiency of the assessment process by distributing resources across applications according to their relative </w:t>
            </w:r>
            <w:r w:rsidR="00066F56" w:rsidRPr="00602824">
              <w:t xml:space="preserve">complexity. </w:t>
            </w:r>
          </w:p>
        </w:tc>
      </w:tr>
    </w:tbl>
    <w:bookmarkEnd w:id="65"/>
    <w:p w14:paraId="2849A1F9" w14:textId="254219C2" w:rsidR="00C94983" w:rsidRPr="00602824" w:rsidRDefault="001A772E" w:rsidP="001A772E">
      <w:pPr>
        <w:pStyle w:val="Heading3"/>
      </w:pPr>
      <w:r>
        <w:t xml:space="preserve">Assessment pathways were </w:t>
      </w:r>
      <w:r w:rsidR="00AD0207">
        <w:t>structured into three tiers, each with tailored evidence requirements</w:t>
      </w:r>
    </w:p>
    <w:p w14:paraId="42FD78C8" w14:textId="77777777" w:rsidR="00D92D1E" w:rsidRDefault="00EB0BC0" w:rsidP="00C81A00">
      <w:r>
        <w:t>The Department introduced new assessment pathways on 1 July 2023.</w:t>
      </w:r>
      <w:r w:rsidR="005944A9">
        <w:t xml:space="preserve"> </w:t>
      </w:r>
      <w:r w:rsidR="0045248B" w:rsidRPr="00602824">
        <w:t>The</w:t>
      </w:r>
      <w:r w:rsidR="00AD0207">
        <w:t xml:space="preserve"> </w:t>
      </w:r>
      <w:r w:rsidR="005944A9">
        <w:t>three-tier system</w:t>
      </w:r>
      <w:r w:rsidR="0045248B" w:rsidRPr="00602824">
        <w:t xml:space="preserve"> </w:t>
      </w:r>
      <w:r w:rsidR="001114BA">
        <w:t>w</w:t>
      </w:r>
      <w:r w:rsidR="005944A9">
        <w:t>as</w:t>
      </w:r>
      <w:r w:rsidR="0045248B" w:rsidRPr="00602824">
        <w:t xml:space="preserve"> designed to accommodate applications of varying complexity, ensuring that simpler and more complex submissions are processed through appropriate channels.</w:t>
      </w:r>
      <w:r w:rsidR="0003052B" w:rsidRPr="00602824">
        <w:rPr>
          <w:rStyle w:val="FootnoteReference"/>
        </w:rPr>
        <w:footnoteReference w:id="95"/>
      </w:r>
      <w:r w:rsidR="0047765A" w:rsidRPr="00602824">
        <w:t xml:space="preserve"> </w:t>
      </w:r>
      <w:r w:rsidR="0045248B" w:rsidRPr="00602824">
        <w:t>The</w:t>
      </w:r>
      <w:r w:rsidR="005944A9">
        <w:t xml:space="preserve"> tiers</w:t>
      </w:r>
      <w:r w:rsidR="0045248B" w:rsidRPr="00602824">
        <w:t xml:space="preserve"> apply to a range of application types, including new listings, amendments, compressions, and expansions.</w:t>
      </w:r>
    </w:p>
    <w:p w14:paraId="6286DD0C" w14:textId="7C806FAB" w:rsidR="003A46EB" w:rsidRPr="00602824" w:rsidRDefault="005F689E" w:rsidP="00C81A00">
      <w:r w:rsidRPr="00602824">
        <w:t>The</w:t>
      </w:r>
      <w:r w:rsidR="003A46EB" w:rsidRPr="00602824">
        <w:t xml:space="preserve"> </w:t>
      </w:r>
      <w:r w:rsidR="001F704D" w:rsidRPr="00602824">
        <w:t>t</w:t>
      </w:r>
      <w:r w:rsidR="003A46EB" w:rsidRPr="00602824">
        <w:t>hree tiers are</w:t>
      </w:r>
      <w:r w:rsidRPr="00602824">
        <w:t xml:space="preserve"> set out in </w:t>
      </w:r>
      <w:r w:rsidR="0045248B" w:rsidRPr="00602824">
        <w:fldChar w:fldCharType="begin"/>
      </w:r>
      <w:r w:rsidR="0045248B" w:rsidRPr="00602824">
        <w:instrText xml:space="preserve"> REF _Ref202435110 \h </w:instrText>
      </w:r>
      <w:r w:rsidR="0045248B" w:rsidRPr="00602824">
        <w:fldChar w:fldCharType="separate"/>
      </w:r>
      <w:r w:rsidR="0092693A" w:rsidRPr="00602824">
        <w:t xml:space="preserve">Table </w:t>
      </w:r>
      <w:r w:rsidR="0092693A">
        <w:rPr>
          <w:noProof/>
        </w:rPr>
        <w:t>3</w:t>
      </w:r>
      <w:r w:rsidR="0045248B" w:rsidRPr="00602824">
        <w:fldChar w:fldCharType="end"/>
      </w:r>
      <w:r w:rsidR="0045248B" w:rsidRPr="00602824">
        <w:t xml:space="preserve"> below</w:t>
      </w:r>
      <w:r w:rsidRPr="00602824">
        <w:t>.</w:t>
      </w:r>
    </w:p>
    <w:p w14:paraId="6998820E" w14:textId="15E7C655" w:rsidR="0045248B" w:rsidRPr="00602824" w:rsidRDefault="0045248B" w:rsidP="00B50EE7">
      <w:pPr>
        <w:pStyle w:val="Caption"/>
      </w:pPr>
      <w:bookmarkStart w:id="66" w:name="_Ref202435110"/>
      <w:r w:rsidRPr="00602824">
        <w:t xml:space="preserve">Table </w:t>
      </w:r>
      <w:r w:rsidR="002604D0">
        <w:fldChar w:fldCharType="begin"/>
      </w:r>
      <w:r w:rsidR="002604D0">
        <w:instrText xml:space="preserve"> SEQ Table \* ARABIC </w:instrText>
      </w:r>
      <w:r w:rsidR="002604D0">
        <w:fldChar w:fldCharType="separate"/>
      </w:r>
      <w:r w:rsidR="0092693A">
        <w:rPr>
          <w:noProof/>
        </w:rPr>
        <w:t>3</w:t>
      </w:r>
      <w:r w:rsidR="002604D0">
        <w:fldChar w:fldCharType="end"/>
      </w:r>
      <w:bookmarkEnd w:id="66"/>
      <w:r w:rsidRPr="00602824">
        <w:t xml:space="preserve"> | PL assessment pathways</w:t>
      </w:r>
      <w:r w:rsidR="00574305" w:rsidRPr="00602824">
        <w:rPr>
          <w:rStyle w:val="FootnoteReference"/>
        </w:rPr>
        <w:footnoteReference w:id="96"/>
      </w:r>
    </w:p>
    <w:tbl>
      <w:tblPr>
        <w:tblStyle w:val="NousTableTopandside"/>
        <w:tblW w:w="5000" w:type="pct"/>
        <w:tblLook w:val="04A0" w:firstRow="1" w:lastRow="0" w:firstColumn="1" w:lastColumn="0" w:noHBand="0" w:noVBand="1"/>
      </w:tblPr>
      <w:tblGrid>
        <w:gridCol w:w="1006"/>
        <w:gridCol w:w="1865"/>
        <w:gridCol w:w="6314"/>
      </w:tblGrid>
      <w:tr w:rsidR="002E6683" w:rsidRPr="00602824" w14:paraId="52BED89A" w14:textId="77777777" w:rsidTr="004440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14:paraId="1C4536AE" w14:textId="2572FD94" w:rsidR="002D7603" w:rsidRPr="00602824" w:rsidRDefault="002D7603" w:rsidP="00FB712C">
            <w:pPr>
              <w:pStyle w:val="TableNheader"/>
              <w:spacing w:before="60" w:after="60" w:line="240" w:lineRule="auto"/>
              <w:rPr>
                <w:sz w:val="17"/>
                <w:szCs w:val="17"/>
              </w:rPr>
            </w:pPr>
            <w:r w:rsidRPr="00602824">
              <w:t xml:space="preserve">Pathway </w:t>
            </w:r>
          </w:p>
        </w:tc>
        <w:tc>
          <w:tcPr>
            <w:tcW w:w="1842" w:type="dxa"/>
          </w:tcPr>
          <w:p w14:paraId="5FE79E35" w14:textId="62B9EAE8" w:rsidR="002D7603" w:rsidRPr="00602824" w:rsidRDefault="002D7603" w:rsidP="00FB712C">
            <w:pPr>
              <w:pStyle w:val="TableNheader"/>
              <w:spacing w:before="60" w:after="60" w:line="240" w:lineRule="auto"/>
              <w:cnfStyle w:val="100000000000" w:firstRow="1" w:lastRow="0" w:firstColumn="0" w:lastColumn="0" w:oddVBand="0" w:evenVBand="0" w:oddHBand="0" w:evenHBand="0" w:firstRowFirstColumn="0" w:firstRowLastColumn="0" w:lastRowFirstColumn="0" w:lastRowLastColumn="0"/>
              <w:rPr>
                <w:szCs w:val="16"/>
              </w:rPr>
            </w:pPr>
            <w:r w:rsidRPr="00602824">
              <w:t>Description</w:t>
            </w:r>
            <w:r w:rsidRPr="00602824">
              <w:rPr>
                <w:szCs w:val="16"/>
              </w:rPr>
              <w:t xml:space="preserve"> </w:t>
            </w:r>
          </w:p>
        </w:tc>
        <w:tc>
          <w:tcPr>
            <w:tcW w:w="6236" w:type="dxa"/>
          </w:tcPr>
          <w:p w14:paraId="264F7EC3" w14:textId="719C1836" w:rsidR="002D7603" w:rsidRPr="00602824" w:rsidRDefault="00246C2F" w:rsidP="00FB712C">
            <w:pPr>
              <w:pStyle w:val="TableNheader"/>
              <w:spacing w:before="60" w:after="60" w:line="240" w:lineRule="auto"/>
              <w:cnfStyle w:val="100000000000" w:firstRow="1" w:lastRow="0" w:firstColumn="0" w:lastColumn="0" w:oddVBand="0" w:evenVBand="0" w:oddHBand="0" w:evenHBand="0" w:firstRowFirstColumn="0" w:firstRowLastColumn="0" w:lastRowFirstColumn="0" w:lastRowLastColumn="0"/>
              <w:rPr>
                <w:sz w:val="17"/>
                <w:szCs w:val="17"/>
              </w:rPr>
            </w:pPr>
            <w:r w:rsidRPr="00602824">
              <w:t>Appropriate for the following applications</w:t>
            </w:r>
            <w:r w:rsidRPr="00602824">
              <w:rPr>
                <w:sz w:val="17"/>
                <w:szCs w:val="17"/>
              </w:rPr>
              <w:t>:</w:t>
            </w:r>
          </w:p>
        </w:tc>
      </w:tr>
      <w:tr w:rsidR="002E6683" w:rsidRPr="00602824" w14:paraId="192BBE0F" w14:textId="77777777" w:rsidTr="004440B3">
        <w:tc>
          <w:tcPr>
            <w:cnfStyle w:val="001000000000" w:firstRow="0" w:lastRow="0" w:firstColumn="1" w:lastColumn="0" w:oddVBand="0" w:evenVBand="0" w:oddHBand="0" w:evenHBand="0" w:firstRowFirstColumn="0" w:firstRowLastColumn="0" w:lastRowFirstColumn="0" w:lastRowLastColumn="0"/>
            <w:tcW w:w="993" w:type="dxa"/>
            <w:shd w:val="clear" w:color="auto" w:fill="F2F2F2" w:themeFill="background1" w:themeFillShade="F2"/>
          </w:tcPr>
          <w:p w14:paraId="1D7E251B" w14:textId="53BACF93" w:rsidR="003A46EB" w:rsidRPr="00602824" w:rsidRDefault="002D7603" w:rsidP="00FB712C">
            <w:pPr>
              <w:pStyle w:val="TableNheader"/>
              <w:spacing w:before="60" w:after="60" w:line="240" w:lineRule="auto"/>
              <w:rPr>
                <w:sz w:val="17"/>
                <w:szCs w:val="17"/>
              </w:rPr>
            </w:pPr>
            <w:r w:rsidRPr="00602824">
              <w:t xml:space="preserve">Tier 1 </w:t>
            </w:r>
          </w:p>
        </w:tc>
        <w:tc>
          <w:tcPr>
            <w:tcW w:w="1842" w:type="dxa"/>
          </w:tcPr>
          <w:p w14:paraId="78B4AA99" w14:textId="559BC3FE" w:rsidR="002D7603" w:rsidRPr="004304D3" w:rsidRDefault="002D7603" w:rsidP="00FB712C">
            <w:pPr>
              <w:pStyle w:val="TableNText"/>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sidRPr="004304D3">
              <w:rPr>
                <w:rFonts w:asciiTheme="majorHAnsi" w:hAnsiTheme="majorHAnsi" w:cstheme="majorHAnsi"/>
                <w:sz w:val="16"/>
                <w:szCs w:val="16"/>
              </w:rPr>
              <w:t>Department assessment pathway</w:t>
            </w:r>
          </w:p>
        </w:tc>
        <w:tc>
          <w:tcPr>
            <w:tcW w:w="6236" w:type="dxa"/>
          </w:tcPr>
          <w:p w14:paraId="790B9299" w14:textId="7C178DC4" w:rsidR="00B154E4" w:rsidRDefault="00024817" w:rsidP="00B154E4">
            <w:pPr>
              <w:pStyle w:val="TableNBullet"/>
              <w:cnfStyle w:val="000000000000" w:firstRow="0" w:lastRow="0" w:firstColumn="0" w:lastColumn="0" w:oddVBand="0" w:evenVBand="0" w:oddHBand="0" w:evenHBand="0" w:firstRowFirstColumn="0" w:firstRowLastColumn="0" w:lastRowFirstColumn="0" w:lastRowLastColumn="0"/>
            </w:pPr>
            <w:r w:rsidRPr="00602824">
              <w:t xml:space="preserve">Part A applications </w:t>
            </w:r>
            <w:r>
              <w:t>that will be assessed</w:t>
            </w:r>
            <w:r w:rsidR="00041483">
              <w:t xml:space="preserve"> </w:t>
            </w:r>
            <w:r w:rsidR="00041483" w:rsidRPr="007949B7">
              <w:t xml:space="preserve">only by the Department and are not expected to be presented to MDHTAC for consideration. </w:t>
            </w:r>
          </w:p>
          <w:p w14:paraId="206A1001" w14:textId="61A40B5B" w:rsidR="003A46EB" w:rsidRPr="007949B7" w:rsidRDefault="00CC710B" w:rsidP="00B154E4">
            <w:pPr>
              <w:pStyle w:val="TableNBullet"/>
              <w:cnfStyle w:val="000000000000" w:firstRow="0" w:lastRow="0" w:firstColumn="0" w:lastColumn="0" w:oddVBand="0" w:evenVBand="0" w:oddHBand="0" w:evenHBand="0" w:firstRowFirstColumn="0" w:firstRowLastColumn="0" w:lastRowFirstColumn="0" w:lastRowLastColumn="0"/>
            </w:pPr>
            <w:r>
              <w:t>Applications for d</w:t>
            </w:r>
            <w:r w:rsidR="00041483" w:rsidRPr="007949B7">
              <w:t xml:space="preserve">evices </w:t>
            </w:r>
            <w:r w:rsidR="00024817">
              <w:t>that are</w:t>
            </w:r>
            <w:r w:rsidR="00041483" w:rsidRPr="007949B7">
              <w:t xml:space="preserve"> classified by the TGA as Class IIb or lower, and </w:t>
            </w:r>
            <w:r w:rsidR="00024817">
              <w:t>d</w:t>
            </w:r>
            <w:r w:rsidR="00041483" w:rsidRPr="007949B7">
              <w:t>evices with established technology (</w:t>
            </w:r>
            <w:r w:rsidR="00B154E4">
              <w:t>“</w:t>
            </w:r>
            <w:r w:rsidR="00041483" w:rsidRPr="007949B7">
              <w:t>relatively simple, well-understood and stable designs and limited variations, and with proven records of satisfactory safety and performance</w:t>
            </w:r>
            <w:r w:rsidR="00B154E4">
              <w:t>”)</w:t>
            </w:r>
            <w:r w:rsidR="00041483" w:rsidRPr="007949B7">
              <w:t>.</w:t>
            </w:r>
          </w:p>
          <w:p w14:paraId="18B24C6D" w14:textId="1D0359AA" w:rsidR="000073F3" w:rsidRDefault="000073F3" w:rsidP="000073F3">
            <w:pPr>
              <w:pStyle w:val="TableNBullet"/>
              <w:cnfStyle w:val="000000000000" w:firstRow="0" w:lastRow="0" w:firstColumn="0" w:lastColumn="0" w:oddVBand="0" w:evenVBand="0" w:oddHBand="0" w:evenHBand="0" w:firstRowFirstColumn="0" w:firstRowLastColumn="0" w:lastRowFirstColumn="0" w:lastRowLastColumn="0"/>
            </w:pPr>
            <w:r>
              <w:t>New a</w:t>
            </w:r>
            <w:r w:rsidR="00B154E4">
              <w:t xml:space="preserve">pplications </w:t>
            </w:r>
            <w:r>
              <w:t>to</w:t>
            </w:r>
            <w:r w:rsidR="00383A19" w:rsidRPr="007949B7">
              <w:t xml:space="preserve"> </w:t>
            </w:r>
            <w:r>
              <w:t xml:space="preserve">list a </w:t>
            </w:r>
            <w:r w:rsidR="00383A19" w:rsidRPr="007949B7">
              <w:t xml:space="preserve">device </w:t>
            </w:r>
            <w:r>
              <w:t>within an</w:t>
            </w:r>
            <w:r w:rsidR="00383A19" w:rsidRPr="007949B7">
              <w:t xml:space="preserve"> existing PL grouping</w:t>
            </w:r>
            <w:r>
              <w:t>.</w:t>
            </w:r>
            <w:r w:rsidR="00383A19" w:rsidRPr="007949B7">
              <w:t xml:space="preserve"> </w:t>
            </w:r>
          </w:p>
          <w:p w14:paraId="52DA3B8F" w14:textId="43C3F2B9" w:rsidR="00383A19" w:rsidRPr="00602824" w:rsidRDefault="000073F3" w:rsidP="007949B7">
            <w:pPr>
              <w:pStyle w:val="TableNBullet"/>
              <w:cnfStyle w:val="000000000000" w:firstRow="0" w:lastRow="0" w:firstColumn="0" w:lastColumn="0" w:oddVBand="0" w:evenVBand="0" w:oddHBand="0" w:evenHBand="0" w:firstRowFirstColumn="0" w:firstRowLastColumn="0" w:lastRowFirstColumn="0" w:lastRowLastColumn="0"/>
            </w:pPr>
            <w:r>
              <w:t xml:space="preserve">Amendment applications that </w:t>
            </w:r>
            <w:r w:rsidR="00383A19" w:rsidRPr="007949B7">
              <w:t xml:space="preserve">do </w:t>
            </w:r>
            <w:r>
              <w:t>not request a</w:t>
            </w:r>
            <w:r w:rsidR="00383A19" w:rsidRPr="007949B7">
              <w:t xml:space="preserve"> change</w:t>
            </w:r>
            <w:r>
              <w:t>d</w:t>
            </w:r>
            <w:r w:rsidR="00383A19" w:rsidRPr="007949B7">
              <w:t xml:space="preserve"> </w:t>
            </w:r>
            <w:r>
              <w:t>PL</w:t>
            </w:r>
            <w:r w:rsidR="00383A19" w:rsidRPr="007949B7">
              <w:t xml:space="preserve"> grouping</w:t>
            </w:r>
            <w:r>
              <w:t xml:space="preserve">. </w:t>
            </w:r>
          </w:p>
        </w:tc>
      </w:tr>
      <w:tr w:rsidR="002E6683" w:rsidRPr="00602824" w14:paraId="37DB4255" w14:textId="77777777" w:rsidTr="004440B3">
        <w:tc>
          <w:tcPr>
            <w:cnfStyle w:val="001000000000" w:firstRow="0" w:lastRow="0" w:firstColumn="1" w:lastColumn="0" w:oddVBand="0" w:evenVBand="0" w:oddHBand="0" w:evenHBand="0" w:firstRowFirstColumn="0" w:firstRowLastColumn="0" w:lastRowFirstColumn="0" w:lastRowLastColumn="0"/>
            <w:tcW w:w="993" w:type="dxa"/>
            <w:shd w:val="clear" w:color="auto" w:fill="F2F2F2" w:themeFill="background1" w:themeFillShade="F2"/>
          </w:tcPr>
          <w:p w14:paraId="7A7E52DE" w14:textId="2EE43173" w:rsidR="003A46EB" w:rsidRPr="00602824" w:rsidRDefault="002D7603" w:rsidP="00FB712C">
            <w:pPr>
              <w:pStyle w:val="TableNheader"/>
              <w:spacing w:before="60" w:after="60" w:line="240" w:lineRule="auto"/>
              <w:rPr>
                <w:sz w:val="17"/>
                <w:szCs w:val="17"/>
              </w:rPr>
            </w:pPr>
            <w:r w:rsidRPr="00602824">
              <w:t>Tier 2</w:t>
            </w:r>
          </w:p>
          <w:p w14:paraId="74C16A7A" w14:textId="31FBA34C" w:rsidR="003A46EB" w:rsidRPr="00602824" w:rsidRDefault="002D7603" w:rsidP="00FB712C">
            <w:pPr>
              <w:pStyle w:val="TableNheader"/>
              <w:spacing w:before="60" w:after="60" w:line="240" w:lineRule="auto"/>
              <w:rPr>
                <w:sz w:val="17"/>
                <w:szCs w:val="17"/>
              </w:rPr>
            </w:pPr>
            <w:r w:rsidRPr="00602824">
              <w:t xml:space="preserve"> </w:t>
            </w:r>
          </w:p>
        </w:tc>
        <w:tc>
          <w:tcPr>
            <w:tcW w:w="1842" w:type="dxa"/>
          </w:tcPr>
          <w:p w14:paraId="3127CEC5" w14:textId="6C803DDC" w:rsidR="002D7603" w:rsidRPr="004304D3" w:rsidRDefault="002D7603" w:rsidP="00FB712C">
            <w:pPr>
              <w:pStyle w:val="TableNText"/>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sidRPr="004304D3">
              <w:rPr>
                <w:rFonts w:asciiTheme="majorHAnsi" w:hAnsiTheme="majorHAnsi" w:cstheme="majorHAnsi"/>
                <w:sz w:val="16"/>
                <w:szCs w:val="16"/>
              </w:rPr>
              <w:t>Clinical / focused HTA assessment pathways</w:t>
            </w:r>
          </w:p>
          <w:p w14:paraId="31B92F8B" w14:textId="60C1E056" w:rsidR="002D7603" w:rsidRPr="004304D3" w:rsidRDefault="002D7603" w:rsidP="00FB712C">
            <w:pPr>
              <w:pStyle w:val="TableNText"/>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sidRPr="004304D3">
              <w:rPr>
                <w:rFonts w:asciiTheme="majorHAnsi" w:hAnsiTheme="majorHAnsi" w:cstheme="majorHAnsi"/>
                <w:sz w:val="16"/>
                <w:szCs w:val="16"/>
              </w:rPr>
              <w:t xml:space="preserve">(2a: clinical assessment only, 2b: clinical and economic assessment) </w:t>
            </w:r>
          </w:p>
        </w:tc>
        <w:tc>
          <w:tcPr>
            <w:tcW w:w="6236" w:type="dxa"/>
          </w:tcPr>
          <w:p w14:paraId="25B13AD9" w14:textId="686109E9" w:rsidR="003A46EB" w:rsidRPr="00602824" w:rsidRDefault="003A46EB" w:rsidP="00FB712C">
            <w:pPr>
              <w:pStyle w:val="TableNBullet"/>
              <w:spacing w:before="60" w:after="60"/>
              <w:cnfStyle w:val="000000000000" w:firstRow="0" w:lastRow="0" w:firstColumn="0" w:lastColumn="0" w:oddVBand="0" w:evenVBand="0" w:oddHBand="0" w:evenHBand="0" w:firstRowFirstColumn="0" w:firstRowLastColumn="0" w:lastRowFirstColumn="0" w:lastRowLastColumn="0"/>
            </w:pPr>
            <w:r w:rsidRPr="00602824">
              <w:t xml:space="preserve">Part A applications </w:t>
            </w:r>
            <w:r w:rsidR="00E13CEC" w:rsidRPr="00602824">
              <w:t xml:space="preserve">involving </w:t>
            </w:r>
            <w:r w:rsidR="002D7603" w:rsidRPr="00602824">
              <w:t>technology</w:t>
            </w:r>
            <w:r w:rsidR="005B39E1" w:rsidRPr="00602824">
              <w:t xml:space="preserve"> that is</w:t>
            </w:r>
            <w:r w:rsidRPr="00602824">
              <w:t xml:space="preserve"> not well</w:t>
            </w:r>
            <w:r w:rsidR="005B39E1" w:rsidRPr="00602824">
              <w:t xml:space="preserve"> </w:t>
            </w:r>
            <w:r w:rsidRPr="00602824">
              <w:t>established</w:t>
            </w:r>
            <w:r w:rsidR="005B39E1" w:rsidRPr="00602824">
              <w:t>;</w:t>
            </w:r>
            <w:r w:rsidR="002D7603" w:rsidRPr="00602824">
              <w:t xml:space="preserve"> </w:t>
            </w:r>
            <w:r w:rsidRPr="00602824">
              <w:t>and/or have high variability in design and characteristics</w:t>
            </w:r>
            <w:r w:rsidR="005B39E1" w:rsidRPr="00602824">
              <w:t>;</w:t>
            </w:r>
            <w:r w:rsidRPr="00602824">
              <w:t xml:space="preserve"> and/or claims novel features, characteristics and functionality</w:t>
            </w:r>
            <w:r w:rsidR="00531C08">
              <w:t>.</w:t>
            </w:r>
          </w:p>
          <w:p w14:paraId="2C71FF30" w14:textId="0CF638A6" w:rsidR="001568DE" w:rsidRPr="00602824" w:rsidRDefault="00CC710B" w:rsidP="00FB712C">
            <w:pPr>
              <w:pStyle w:val="TableNBullet"/>
              <w:spacing w:before="60" w:after="60"/>
              <w:cnfStyle w:val="000000000000" w:firstRow="0" w:lastRow="0" w:firstColumn="0" w:lastColumn="0" w:oddVBand="0" w:evenVBand="0" w:oddHBand="0" w:evenHBand="0" w:firstRowFirstColumn="0" w:firstRowLastColumn="0" w:lastRowFirstColumn="0" w:lastRowLastColumn="0"/>
            </w:pPr>
            <w:r>
              <w:t>Applications for</w:t>
            </w:r>
            <w:r w:rsidR="001F25B1">
              <w:t xml:space="preserve"> </w:t>
            </w:r>
            <w:r w:rsidR="001F25B1" w:rsidRPr="001F25B1">
              <w:t>devices classified by the TGA as Class III, or any Part C applications</w:t>
            </w:r>
            <w:r w:rsidR="001F25B1">
              <w:t>.</w:t>
            </w:r>
          </w:p>
          <w:p w14:paraId="2FBB2B2E" w14:textId="177AD80D" w:rsidR="001568DE" w:rsidRPr="00602824" w:rsidRDefault="002D7603" w:rsidP="00FB712C">
            <w:pPr>
              <w:pStyle w:val="TableNBullet"/>
              <w:spacing w:before="60" w:after="60"/>
              <w:cnfStyle w:val="000000000000" w:firstRow="0" w:lastRow="0" w:firstColumn="0" w:lastColumn="0" w:oddVBand="0" w:evenVBand="0" w:oddHBand="0" w:evenHBand="0" w:firstRowFirstColumn="0" w:firstRowLastColumn="0" w:lastRowFirstColumn="0" w:lastRowLastColumn="0"/>
            </w:pPr>
            <w:r w:rsidRPr="00602824">
              <w:t>Applications that require</w:t>
            </w:r>
            <w:r w:rsidR="001568DE" w:rsidRPr="00602824">
              <w:t xml:space="preserve"> a</w:t>
            </w:r>
            <w:r w:rsidRPr="00602824">
              <w:t xml:space="preserve"> new grouping</w:t>
            </w:r>
            <w:r w:rsidR="00531C08">
              <w:t>.</w:t>
            </w:r>
          </w:p>
          <w:p w14:paraId="68D11338" w14:textId="48CCAD81" w:rsidR="003A46EB" w:rsidRPr="00602824" w:rsidRDefault="001568DE" w:rsidP="00FB712C">
            <w:pPr>
              <w:pStyle w:val="TableNBullet"/>
              <w:spacing w:before="60" w:after="60"/>
              <w:cnfStyle w:val="000000000000" w:firstRow="0" w:lastRow="0" w:firstColumn="0" w:lastColumn="0" w:oddVBand="0" w:evenVBand="0" w:oddHBand="0" w:evenHBand="0" w:firstRowFirstColumn="0" w:firstRowLastColumn="0" w:lastRowFirstColumn="0" w:lastRowLastColumn="0"/>
            </w:pPr>
            <w:r w:rsidRPr="00602824">
              <w:t>A</w:t>
            </w:r>
            <w:r w:rsidR="002D7603" w:rsidRPr="00602824">
              <w:t xml:space="preserve">mendment applications that request </w:t>
            </w:r>
            <w:r w:rsidRPr="00602824">
              <w:t>a</w:t>
            </w:r>
            <w:r w:rsidR="002D7603" w:rsidRPr="00602824">
              <w:t xml:space="preserve"> change</w:t>
            </w:r>
            <w:r w:rsidRPr="00602824">
              <w:t>d</w:t>
            </w:r>
            <w:r w:rsidR="002D7603" w:rsidRPr="00602824">
              <w:t xml:space="preserve"> grouping</w:t>
            </w:r>
            <w:r w:rsidR="00531C08">
              <w:t>.</w:t>
            </w:r>
            <w:r w:rsidR="002D7603" w:rsidRPr="00602824">
              <w:t xml:space="preserve"> </w:t>
            </w:r>
          </w:p>
        </w:tc>
      </w:tr>
      <w:tr w:rsidR="002E6683" w:rsidRPr="00602824" w14:paraId="01013612" w14:textId="77777777" w:rsidTr="004440B3">
        <w:tc>
          <w:tcPr>
            <w:cnfStyle w:val="001000000000" w:firstRow="0" w:lastRow="0" w:firstColumn="1" w:lastColumn="0" w:oddVBand="0" w:evenVBand="0" w:oddHBand="0" w:evenHBand="0" w:firstRowFirstColumn="0" w:firstRowLastColumn="0" w:lastRowFirstColumn="0" w:lastRowLastColumn="0"/>
            <w:tcW w:w="993" w:type="dxa"/>
            <w:shd w:val="clear" w:color="auto" w:fill="F2F2F2" w:themeFill="background1" w:themeFillShade="F2"/>
          </w:tcPr>
          <w:p w14:paraId="718C7B70" w14:textId="5B58910F" w:rsidR="003A46EB" w:rsidRPr="00602824" w:rsidRDefault="002D7603" w:rsidP="00FB712C">
            <w:pPr>
              <w:pStyle w:val="TableNheader"/>
              <w:spacing w:before="60" w:after="60" w:line="240" w:lineRule="auto"/>
              <w:rPr>
                <w:sz w:val="17"/>
                <w:szCs w:val="17"/>
              </w:rPr>
            </w:pPr>
            <w:r w:rsidRPr="00602824">
              <w:t xml:space="preserve">Tier 3 </w:t>
            </w:r>
          </w:p>
        </w:tc>
        <w:tc>
          <w:tcPr>
            <w:tcW w:w="1842" w:type="dxa"/>
          </w:tcPr>
          <w:p w14:paraId="549D620A" w14:textId="45940A36" w:rsidR="002D7603" w:rsidRPr="004304D3" w:rsidRDefault="002D7603" w:rsidP="00FB712C">
            <w:pPr>
              <w:pStyle w:val="TableNText"/>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sidRPr="004304D3">
              <w:rPr>
                <w:rFonts w:asciiTheme="majorHAnsi" w:hAnsiTheme="majorHAnsi" w:cstheme="majorHAnsi"/>
                <w:sz w:val="16"/>
                <w:szCs w:val="16"/>
              </w:rPr>
              <w:t xml:space="preserve">Full HTA assessment pathway (MSAC assessment) </w:t>
            </w:r>
          </w:p>
        </w:tc>
        <w:tc>
          <w:tcPr>
            <w:tcW w:w="6236" w:type="dxa"/>
          </w:tcPr>
          <w:p w14:paraId="7F348C8A" w14:textId="478C91FE" w:rsidR="003A46EB" w:rsidRPr="00602824" w:rsidRDefault="000E7347" w:rsidP="00FB712C">
            <w:pPr>
              <w:pStyle w:val="TableNBullet"/>
              <w:spacing w:before="60" w:after="60"/>
              <w:cnfStyle w:val="000000000000" w:firstRow="0" w:lastRow="0" w:firstColumn="0" w:lastColumn="0" w:oddVBand="0" w:evenVBand="0" w:oddHBand="0" w:evenHBand="0" w:firstRowFirstColumn="0" w:firstRowLastColumn="0" w:lastRowFirstColumn="0" w:lastRowLastColumn="0"/>
            </w:pPr>
            <w:r>
              <w:t xml:space="preserve">Applications for </w:t>
            </w:r>
            <w:r w:rsidR="00916948">
              <w:t>d</w:t>
            </w:r>
            <w:r w:rsidR="002D7603" w:rsidRPr="00602824">
              <w:t>evice</w:t>
            </w:r>
            <w:r>
              <w:t>s</w:t>
            </w:r>
            <w:r w:rsidR="003A46EB" w:rsidRPr="00602824">
              <w:t xml:space="preserve"> </w:t>
            </w:r>
            <w:r>
              <w:t>that are</w:t>
            </w:r>
            <w:r w:rsidR="003A46EB" w:rsidRPr="00602824">
              <w:t xml:space="preserve"> novel or first-in-class technology</w:t>
            </w:r>
            <w:r w:rsidR="00176276" w:rsidRPr="00602824">
              <w:t>;</w:t>
            </w:r>
            <w:r w:rsidR="003A46EB" w:rsidRPr="00602824">
              <w:t xml:space="preserve"> and/or there are no appropriate comparators on the PL</w:t>
            </w:r>
            <w:r w:rsidR="00531C08">
              <w:t>.</w:t>
            </w:r>
          </w:p>
          <w:p w14:paraId="1E00955A" w14:textId="33240A85" w:rsidR="003A46EB" w:rsidRPr="00602824" w:rsidRDefault="00916948" w:rsidP="00FB712C">
            <w:pPr>
              <w:pStyle w:val="TableNBullet"/>
              <w:spacing w:before="60" w:after="60"/>
              <w:cnfStyle w:val="000000000000" w:firstRow="0" w:lastRow="0" w:firstColumn="0" w:lastColumn="0" w:oddVBand="0" w:evenVBand="0" w:oddHBand="0" w:evenHBand="0" w:firstRowFirstColumn="0" w:firstRowLastColumn="0" w:lastRowFirstColumn="0" w:lastRowLastColumn="0"/>
            </w:pPr>
            <w:r>
              <w:t>Applications where there</w:t>
            </w:r>
            <w:r w:rsidR="003A46EB" w:rsidRPr="00602824">
              <w:t xml:space="preserve"> is no relevant MBS item associated with the use of the device, requiring a new MBS item or an MBS descriptor to be modified</w:t>
            </w:r>
            <w:r w:rsidR="00531C08">
              <w:t>.</w:t>
            </w:r>
          </w:p>
          <w:p w14:paraId="176E640E" w14:textId="7B28D90C" w:rsidR="003A46EB" w:rsidRPr="00602824" w:rsidRDefault="00916948" w:rsidP="00FB712C">
            <w:pPr>
              <w:pStyle w:val="TableNBullet"/>
              <w:spacing w:before="60" w:after="60"/>
              <w:cnfStyle w:val="000000000000" w:firstRow="0" w:lastRow="0" w:firstColumn="0" w:lastColumn="0" w:oddVBand="0" w:evenVBand="0" w:oddHBand="0" w:evenHBand="0" w:firstRowFirstColumn="0" w:firstRowLastColumn="0" w:lastRowFirstColumn="0" w:lastRowLastColumn="0"/>
            </w:pPr>
            <w:r>
              <w:t>Applications where</w:t>
            </w:r>
            <w:r w:rsidR="003A46EB" w:rsidRPr="00602824">
              <w:t xml:space="preserve"> listing the device will cause significant financial impact on overall PL expenditure and therefore </w:t>
            </w:r>
            <w:r w:rsidR="00AA00A1" w:rsidRPr="00602824">
              <w:t>requires</w:t>
            </w:r>
            <w:r w:rsidR="003A46EB" w:rsidRPr="00602824">
              <w:t xml:space="preserve"> detailed financial assessment</w:t>
            </w:r>
            <w:r w:rsidR="00531C08">
              <w:t>.</w:t>
            </w:r>
          </w:p>
        </w:tc>
      </w:tr>
    </w:tbl>
    <w:p w14:paraId="7684F02C" w14:textId="430655F4" w:rsidR="00166044" w:rsidRPr="00602824" w:rsidRDefault="00527E16" w:rsidP="008624C5">
      <w:pPr>
        <w:pStyle w:val="Heading3"/>
      </w:pPr>
      <w:r>
        <w:t xml:space="preserve">The proportion of </w:t>
      </w:r>
      <w:r w:rsidR="00007A3E" w:rsidRPr="00602824">
        <w:t>Tier 2 applications ha</w:t>
      </w:r>
      <w:r>
        <w:t>s</w:t>
      </w:r>
      <w:r w:rsidR="00007A3E" w:rsidRPr="00602824">
        <w:t xml:space="preserve"> increased over </w:t>
      </w:r>
      <w:r>
        <w:t>time</w:t>
      </w:r>
    </w:p>
    <w:p w14:paraId="1EF45BB7" w14:textId="554EA213" w:rsidR="00BD6983" w:rsidRPr="00602824" w:rsidRDefault="008B562A" w:rsidP="00F06518">
      <w:pPr>
        <w:rPr>
          <w:lang w:eastAsia="en-AU"/>
        </w:rPr>
      </w:pPr>
      <w:r w:rsidRPr="00602824">
        <w:rPr>
          <w:lang w:eastAsia="en-AU"/>
        </w:rPr>
        <w:fldChar w:fldCharType="begin"/>
      </w:r>
      <w:r w:rsidRPr="00602824">
        <w:rPr>
          <w:lang w:eastAsia="en-AU"/>
        </w:rPr>
        <w:instrText xml:space="preserve"> REF _Ref202436990 \h </w:instrText>
      </w:r>
      <w:r w:rsidRPr="00602824">
        <w:rPr>
          <w:lang w:eastAsia="en-AU"/>
        </w:rPr>
      </w:r>
      <w:r w:rsidRPr="00602824">
        <w:rPr>
          <w:lang w:eastAsia="en-AU"/>
        </w:rPr>
        <w:fldChar w:fldCharType="separate"/>
      </w:r>
      <w:r w:rsidR="0092693A" w:rsidRPr="00602824">
        <w:t xml:space="preserve">Table </w:t>
      </w:r>
      <w:r w:rsidR="0092693A">
        <w:rPr>
          <w:noProof/>
        </w:rPr>
        <w:t>4</w:t>
      </w:r>
      <w:r w:rsidRPr="00602824">
        <w:rPr>
          <w:lang w:eastAsia="en-AU"/>
        </w:rPr>
        <w:fldChar w:fldCharType="end"/>
      </w:r>
      <w:r w:rsidR="00070CA2" w:rsidRPr="00602824">
        <w:rPr>
          <w:lang w:eastAsia="en-AU"/>
        </w:rPr>
        <w:t xml:space="preserve"> and </w:t>
      </w:r>
      <w:r w:rsidRPr="00602824">
        <w:rPr>
          <w:lang w:eastAsia="en-AU"/>
        </w:rPr>
        <w:fldChar w:fldCharType="begin"/>
      </w:r>
      <w:r w:rsidRPr="00602824">
        <w:rPr>
          <w:lang w:eastAsia="en-AU"/>
        </w:rPr>
        <w:instrText xml:space="preserve"> REF _Ref202437001 \h </w:instrText>
      </w:r>
      <w:r w:rsidRPr="00602824">
        <w:rPr>
          <w:lang w:eastAsia="en-AU"/>
        </w:rPr>
      </w:r>
      <w:r w:rsidRPr="00602824">
        <w:rPr>
          <w:lang w:eastAsia="en-AU"/>
        </w:rPr>
        <w:fldChar w:fldCharType="separate"/>
      </w:r>
      <w:r w:rsidR="0092693A" w:rsidRPr="00602824">
        <w:t xml:space="preserve">Table </w:t>
      </w:r>
      <w:r w:rsidR="0092693A">
        <w:rPr>
          <w:noProof/>
        </w:rPr>
        <w:t>5</w:t>
      </w:r>
      <w:r w:rsidRPr="00602824">
        <w:rPr>
          <w:lang w:eastAsia="en-AU"/>
        </w:rPr>
        <w:fldChar w:fldCharType="end"/>
      </w:r>
      <w:r w:rsidR="00070CA2" w:rsidRPr="00602824">
        <w:rPr>
          <w:lang w:eastAsia="en-AU"/>
        </w:rPr>
        <w:t xml:space="preserve"> show the number of applications for </w:t>
      </w:r>
      <w:r w:rsidR="005B4E3D" w:rsidRPr="00602824">
        <w:rPr>
          <w:lang w:eastAsia="en-AU"/>
        </w:rPr>
        <w:t xml:space="preserve">Parts A and C and GUIs </w:t>
      </w:r>
      <w:r w:rsidR="00070CA2" w:rsidRPr="00602824">
        <w:rPr>
          <w:lang w:eastAsia="en-AU"/>
        </w:rPr>
        <w:t xml:space="preserve">in each of the tiers </w:t>
      </w:r>
      <w:r w:rsidR="00CA59BD">
        <w:rPr>
          <w:lang w:eastAsia="en-AU"/>
        </w:rPr>
        <w:t xml:space="preserve">since the modernised pathways were introduced. </w:t>
      </w:r>
      <w:r w:rsidR="00BD6983" w:rsidRPr="00602824">
        <w:rPr>
          <w:lang w:eastAsia="en-AU"/>
        </w:rPr>
        <w:t xml:space="preserve">The data below includes </w:t>
      </w:r>
      <w:r w:rsidR="003B19CE">
        <w:rPr>
          <w:lang w:eastAsia="en-AU"/>
        </w:rPr>
        <w:t>four</w:t>
      </w:r>
      <w:r w:rsidR="00BD6983" w:rsidRPr="00602824">
        <w:rPr>
          <w:lang w:eastAsia="en-AU"/>
        </w:rPr>
        <w:t xml:space="preserve"> types of applications:</w:t>
      </w:r>
      <w:r w:rsidR="0053131F" w:rsidRPr="0053131F">
        <w:rPr>
          <w:rStyle w:val="FootnoteReference"/>
          <w:rFonts w:asciiTheme="minorHAnsi" w:hAnsiTheme="minorHAnsi"/>
        </w:rPr>
        <w:t xml:space="preserve"> </w:t>
      </w:r>
      <w:r w:rsidR="0053131F" w:rsidRPr="00DD29ED">
        <w:rPr>
          <w:rStyle w:val="FootnoteReference"/>
          <w:rFonts w:asciiTheme="minorHAnsi" w:hAnsiTheme="minorHAnsi"/>
        </w:rPr>
        <w:footnoteReference w:id="97"/>
      </w:r>
      <w:r w:rsidR="00BD6983" w:rsidRPr="00602824">
        <w:rPr>
          <w:lang w:eastAsia="en-AU"/>
        </w:rPr>
        <w:t xml:space="preserve"> </w:t>
      </w:r>
    </w:p>
    <w:p w14:paraId="4401FDDD" w14:textId="6F29145D" w:rsidR="00BD6983" w:rsidRPr="00602824" w:rsidRDefault="00BD6983" w:rsidP="00C43175">
      <w:pPr>
        <w:pStyle w:val="ListBullet"/>
      </w:pPr>
      <w:r w:rsidRPr="00C43175">
        <w:rPr>
          <w:rStyle w:val="Strong"/>
        </w:rPr>
        <w:t>New applications</w:t>
      </w:r>
      <w:r w:rsidR="00531C08">
        <w:t>.</w:t>
      </w:r>
    </w:p>
    <w:p w14:paraId="59D8CF01" w14:textId="538C1F25" w:rsidR="00BD6983" w:rsidRPr="00602824" w:rsidRDefault="00BD6983" w:rsidP="00C43175">
      <w:pPr>
        <w:pStyle w:val="ListBullet"/>
      </w:pPr>
      <w:r w:rsidRPr="00C43175">
        <w:rPr>
          <w:rStyle w:val="Strong"/>
        </w:rPr>
        <w:t>Amendment applications</w:t>
      </w:r>
      <w:r w:rsidRPr="00602824">
        <w:t xml:space="preserve">: For changing the details of the existing billing code, </w:t>
      </w:r>
      <w:proofErr w:type="gramStart"/>
      <w:r w:rsidRPr="00602824">
        <w:t>including:</w:t>
      </w:r>
      <w:proofErr w:type="gramEnd"/>
      <w:r w:rsidRPr="00602824">
        <w:t xml:space="preserve"> deletion/addition of catalogue numbers, amending product name, description or size stated for billing code, addition or replacement of ARTG entries, changing the grouping the billing code is listed in. Amendment applications do not delete or create any existing billing c</w:t>
      </w:r>
      <w:r w:rsidRPr="00DD29ED">
        <w:rPr>
          <w:rFonts w:asciiTheme="minorHAnsi" w:hAnsiTheme="minorHAnsi" w:cstheme="minorHAnsi"/>
        </w:rPr>
        <w:t>odes.</w:t>
      </w:r>
    </w:p>
    <w:p w14:paraId="16EC9B01" w14:textId="1241D686" w:rsidR="00BD6983" w:rsidRPr="0053131F" w:rsidRDefault="00BD6983" w:rsidP="00C43175">
      <w:pPr>
        <w:pStyle w:val="ListBullet"/>
      </w:pPr>
      <w:r w:rsidRPr="00C43175">
        <w:rPr>
          <w:rStyle w:val="Strong"/>
        </w:rPr>
        <w:t>Expansion applications</w:t>
      </w:r>
      <w:r w:rsidRPr="00602824">
        <w:t xml:space="preserve">: </w:t>
      </w:r>
      <w:r w:rsidR="00002BC7" w:rsidRPr="00602824">
        <w:t>For expanding the billing code covering multiple devices into two or more new billing c</w:t>
      </w:r>
      <w:r w:rsidR="00002BC7" w:rsidRPr="00DD29ED">
        <w:rPr>
          <w:rFonts w:asciiTheme="minorHAnsi" w:hAnsiTheme="minorHAnsi" w:cstheme="minorHAnsi"/>
        </w:rPr>
        <w:t>odes.</w:t>
      </w:r>
    </w:p>
    <w:p w14:paraId="719658F4" w14:textId="53DB2A1A" w:rsidR="0053131F" w:rsidRPr="00602824" w:rsidRDefault="0053131F" w:rsidP="00C43175">
      <w:pPr>
        <w:pStyle w:val="ListBullet"/>
      </w:pPr>
      <w:r w:rsidRPr="00C43175">
        <w:rPr>
          <w:rStyle w:val="Strong"/>
        </w:rPr>
        <w:t>Compression applications</w:t>
      </w:r>
      <w:r w:rsidRPr="009951A3">
        <w:t>:</w:t>
      </w:r>
      <w:r>
        <w:rPr>
          <w:rFonts w:asciiTheme="minorHAnsi" w:hAnsiTheme="minorHAnsi"/>
        </w:rPr>
        <w:t xml:space="preserve"> For </w:t>
      </w:r>
      <w:r w:rsidR="00E8095D">
        <w:rPr>
          <w:rFonts w:asciiTheme="minorHAnsi" w:hAnsiTheme="minorHAnsi"/>
        </w:rPr>
        <w:t xml:space="preserve">compressing two or more billing codes into one </w:t>
      </w:r>
      <w:r w:rsidR="009951A3">
        <w:rPr>
          <w:rFonts w:asciiTheme="minorHAnsi" w:hAnsiTheme="minorHAnsi"/>
        </w:rPr>
        <w:t>billing code.</w:t>
      </w:r>
    </w:p>
    <w:p w14:paraId="201681AB" w14:textId="55E3FC2E" w:rsidR="00BD6983" w:rsidRPr="00602824" w:rsidRDefault="00002BC7" w:rsidP="00F06518">
      <w:pPr>
        <w:rPr>
          <w:lang w:eastAsia="en-AU"/>
        </w:rPr>
      </w:pPr>
      <w:r w:rsidRPr="00602824">
        <w:rPr>
          <w:lang w:eastAsia="en-AU"/>
        </w:rPr>
        <w:t>Other application types (applications to delist</w:t>
      </w:r>
      <w:r w:rsidR="0053131F">
        <w:rPr>
          <w:lang w:eastAsia="en-AU"/>
        </w:rPr>
        <w:t xml:space="preserve"> </w:t>
      </w:r>
      <w:r w:rsidRPr="00602824">
        <w:rPr>
          <w:lang w:eastAsia="en-AU"/>
        </w:rPr>
        <w:t xml:space="preserve">or transfer) have not been included in this analysis. </w:t>
      </w:r>
    </w:p>
    <w:p w14:paraId="442CD236" w14:textId="7483BACF" w:rsidR="00F06518" w:rsidRPr="00E83413" w:rsidRDefault="00F06518" w:rsidP="00F06518">
      <w:pPr>
        <w:rPr>
          <w:lang w:eastAsia="en-AU"/>
        </w:rPr>
      </w:pPr>
      <w:r w:rsidRPr="00D547BD">
        <w:rPr>
          <w:lang w:eastAsia="en-AU"/>
        </w:rPr>
        <w:t xml:space="preserve">For Parts A and C of the list, </w:t>
      </w:r>
      <w:r w:rsidR="00D547BD">
        <w:rPr>
          <w:lang w:eastAsia="en-AU"/>
        </w:rPr>
        <w:t>64</w:t>
      </w:r>
      <w:r w:rsidR="00680DB2" w:rsidRPr="00D547BD">
        <w:rPr>
          <w:lang w:eastAsia="en-AU"/>
        </w:rPr>
        <w:t xml:space="preserve">% </w:t>
      </w:r>
      <w:r w:rsidRPr="00D547BD">
        <w:rPr>
          <w:lang w:eastAsia="en-AU"/>
        </w:rPr>
        <w:t xml:space="preserve">of </w:t>
      </w:r>
      <w:r w:rsidRPr="00E83413">
        <w:rPr>
          <w:lang w:eastAsia="en-AU"/>
        </w:rPr>
        <w:t xml:space="preserve">applications are new applications to list. Tier 2 is the most utilised pathway for new applications, closely followed by Tier 1. Tier 3 is very rarely used. </w:t>
      </w:r>
      <w:r w:rsidR="00ED3746" w:rsidRPr="00E83413">
        <w:rPr>
          <w:lang w:eastAsia="en-AU"/>
        </w:rPr>
        <w:t xml:space="preserve">The </w:t>
      </w:r>
      <w:r w:rsidR="00E83413" w:rsidRPr="00E83413">
        <w:rPr>
          <w:lang w:eastAsia="en-AU"/>
        </w:rPr>
        <w:t xml:space="preserve">makeup of </w:t>
      </w:r>
      <w:r w:rsidRPr="00E83413">
        <w:rPr>
          <w:lang w:eastAsia="en-AU"/>
        </w:rPr>
        <w:t>Part D (GUIs)</w:t>
      </w:r>
      <w:r w:rsidR="00E83413" w:rsidRPr="00E83413">
        <w:rPr>
          <w:lang w:eastAsia="en-AU"/>
        </w:rPr>
        <w:t xml:space="preserve"> applications </w:t>
      </w:r>
      <w:r w:rsidR="00981FBA" w:rsidRPr="00E83413">
        <w:rPr>
          <w:lang w:eastAsia="en-AU"/>
        </w:rPr>
        <w:t>is</w:t>
      </w:r>
      <w:r w:rsidR="00E83413" w:rsidRPr="00E83413">
        <w:rPr>
          <w:lang w:eastAsia="en-AU"/>
        </w:rPr>
        <w:t xml:space="preserve"> broadly similar to the rest of the list.</w:t>
      </w:r>
      <w:r w:rsidRPr="00E83413">
        <w:rPr>
          <w:lang w:eastAsia="en-AU"/>
        </w:rPr>
        <w:t xml:space="preserve"> </w:t>
      </w:r>
    </w:p>
    <w:p w14:paraId="589C4F2F" w14:textId="09160425" w:rsidR="004762FE" w:rsidRPr="00602824" w:rsidRDefault="00D77DA1" w:rsidP="004762FE">
      <w:pPr>
        <w:rPr>
          <w:lang w:eastAsia="en-AU"/>
        </w:rPr>
      </w:pPr>
      <w:r w:rsidRPr="00E83413">
        <w:rPr>
          <w:lang w:eastAsia="en-AU"/>
        </w:rPr>
        <w:fldChar w:fldCharType="begin"/>
      </w:r>
      <w:r w:rsidRPr="00E83413">
        <w:rPr>
          <w:lang w:eastAsia="en-AU"/>
        </w:rPr>
        <w:instrText xml:space="preserve"> REF _Ref202900691 \h </w:instrText>
      </w:r>
      <w:r w:rsidR="00E83413">
        <w:rPr>
          <w:lang w:eastAsia="en-AU"/>
        </w:rPr>
        <w:instrText xml:space="preserve"> \* MERGEFORMAT </w:instrText>
      </w:r>
      <w:r w:rsidRPr="00E83413">
        <w:rPr>
          <w:lang w:eastAsia="en-AU"/>
        </w:rPr>
      </w:r>
      <w:r w:rsidRPr="00E83413">
        <w:rPr>
          <w:lang w:eastAsia="en-AU"/>
        </w:rPr>
        <w:fldChar w:fldCharType="separate"/>
      </w:r>
      <w:r w:rsidR="0092693A" w:rsidRPr="00602824">
        <w:t xml:space="preserve">Figure </w:t>
      </w:r>
      <w:r w:rsidR="0092693A">
        <w:rPr>
          <w:noProof/>
        </w:rPr>
        <w:t>25</w:t>
      </w:r>
      <w:r w:rsidRPr="00E83413">
        <w:rPr>
          <w:lang w:eastAsia="en-AU"/>
        </w:rPr>
        <w:fldChar w:fldCharType="end"/>
      </w:r>
      <w:r w:rsidRPr="00E83413">
        <w:rPr>
          <w:lang w:eastAsia="en-AU"/>
        </w:rPr>
        <w:t xml:space="preserve"> </w:t>
      </w:r>
      <w:r w:rsidR="009245C0" w:rsidRPr="00E83413">
        <w:rPr>
          <w:lang w:eastAsia="en-AU"/>
        </w:rPr>
        <w:t xml:space="preserve">shows the </w:t>
      </w:r>
      <w:r w:rsidR="00842F08" w:rsidRPr="00E83413">
        <w:rPr>
          <w:lang w:eastAsia="en-AU"/>
        </w:rPr>
        <w:t xml:space="preserve">change in </w:t>
      </w:r>
      <w:r w:rsidR="00E45217" w:rsidRPr="00E83413">
        <w:rPr>
          <w:lang w:eastAsia="en-AU"/>
        </w:rPr>
        <w:t xml:space="preserve">number of applications in each </w:t>
      </w:r>
      <w:r w:rsidR="00842F08" w:rsidRPr="00E83413">
        <w:rPr>
          <w:lang w:eastAsia="en-AU"/>
        </w:rPr>
        <w:t>pathway</w:t>
      </w:r>
      <w:r w:rsidR="00E45217" w:rsidRPr="00602824">
        <w:rPr>
          <w:lang w:eastAsia="en-AU"/>
        </w:rPr>
        <w:t xml:space="preserve"> </w:t>
      </w:r>
      <w:r w:rsidR="00842F08" w:rsidRPr="00602824">
        <w:rPr>
          <w:lang w:eastAsia="en-AU"/>
        </w:rPr>
        <w:t xml:space="preserve">over </w:t>
      </w:r>
      <w:r w:rsidR="004437E9" w:rsidRPr="00602824">
        <w:rPr>
          <w:lang w:eastAsia="en-AU"/>
        </w:rPr>
        <w:t xml:space="preserve">the </w:t>
      </w:r>
      <w:r w:rsidR="00E45217" w:rsidRPr="00602824">
        <w:rPr>
          <w:lang w:eastAsia="en-AU"/>
        </w:rPr>
        <w:t xml:space="preserve">same </w:t>
      </w:r>
      <w:r w:rsidR="004437E9" w:rsidRPr="00602824">
        <w:rPr>
          <w:lang w:eastAsia="en-AU"/>
        </w:rPr>
        <w:t>period</w:t>
      </w:r>
      <w:r w:rsidR="00842F08" w:rsidRPr="00602824">
        <w:rPr>
          <w:lang w:eastAsia="en-AU"/>
        </w:rPr>
        <w:t>.</w:t>
      </w:r>
    </w:p>
    <w:p w14:paraId="27A9D6FB" w14:textId="3B3B4E55" w:rsidR="008B562A" w:rsidRDefault="008B562A" w:rsidP="00B50EE7">
      <w:pPr>
        <w:pStyle w:val="Caption"/>
      </w:pPr>
      <w:bookmarkStart w:id="67" w:name="_Ref202436990"/>
      <w:r w:rsidRPr="00602824">
        <w:t xml:space="preserve">Table </w:t>
      </w:r>
      <w:r w:rsidR="002604D0">
        <w:fldChar w:fldCharType="begin"/>
      </w:r>
      <w:r w:rsidR="002604D0">
        <w:instrText xml:space="preserve"> SEQ Table \* ARABIC </w:instrText>
      </w:r>
      <w:r w:rsidR="002604D0">
        <w:fldChar w:fldCharType="separate"/>
      </w:r>
      <w:r w:rsidR="0092693A">
        <w:rPr>
          <w:noProof/>
        </w:rPr>
        <w:t>4</w:t>
      </w:r>
      <w:r w:rsidR="002604D0">
        <w:fldChar w:fldCharType="end"/>
      </w:r>
      <w:bookmarkEnd w:id="67"/>
      <w:r w:rsidRPr="00602824">
        <w:t xml:space="preserve"> | Part A and C applications by tier and assessment pathway – September 2023 to </w:t>
      </w:r>
      <w:r w:rsidR="00E165CB">
        <w:t>April</w:t>
      </w:r>
      <w:r w:rsidRPr="00602824">
        <w:t xml:space="preserve"> 202</w:t>
      </w:r>
      <w:r w:rsidR="00E165CB">
        <w:t>6</w:t>
      </w:r>
      <w:r w:rsidR="005C15A9" w:rsidRPr="00602824">
        <w:rPr>
          <w:rStyle w:val="FootnoteReference"/>
        </w:rPr>
        <w:footnoteReference w:id="98"/>
      </w:r>
    </w:p>
    <w:tbl>
      <w:tblPr>
        <w:tblStyle w:val="NousTableTopandside"/>
        <w:tblW w:w="5000" w:type="pct"/>
        <w:tblLook w:val="04A0" w:firstRow="1" w:lastRow="0" w:firstColumn="1" w:lastColumn="0" w:noHBand="0" w:noVBand="1"/>
      </w:tblPr>
      <w:tblGrid>
        <w:gridCol w:w="2012"/>
        <w:gridCol w:w="1793"/>
        <w:gridCol w:w="1793"/>
        <w:gridCol w:w="1793"/>
        <w:gridCol w:w="1794"/>
      </w:tblGrid>
      <w:tr w:rsidR="00A6253B" w:rsidRPr="00F7470D" w14:paraId="122558B2" w14:textId="77777777" w:rsidTr="0045505D">
        <w:trPr>
          <w:cnfStyle w:val="100000000000" w:firstRow="1" w:lastRow="0" w:firstColumn="0" w:lastColumn="0" w:oddVBand="0" w:evenVBand="0" w:oddHBand="0" w:evenHBand="0" w:firstRowFirstColumn="0" w:firstRowLastColumn="0" w:lastRowFirstColumn="0" w:lastRowLastColumn="0"/>
          <w:trHeight w:val="625"/>
        </w:trPr>
        <w:tc>
          <w:tcPr>
            <w:cnfStyle w:val="001000000000" w:firstRow="0" w:lastRow="0" w:firstColumn="1" w:lastColumn="0" w:oddVBand="0" w:evenVBand="0" w:oddHBand="0" w:evenHBand="0" w:firstRowFirstColumn="0" w:firstRowLastColumn="0" w:lastRowFirstColumn="0" w:lastRowLastColumn="0"/>
            <w:tcW w:w="2012" w:type="dxa"/>
          </w:tcPr>
          <w:p w14:paraId="560E1D7D" w14:textId="77777777" w:rsidR="00A6253B" w:rsidRPr="00F7470D" w:rsidRDefault="00A6253B" w:rsidP="00A6253B">
            <w:pPr>
              <w:pStyle w:val="TableNheader"/>
              <w:jc w:val="center"/>
            </w:pPr>
          </w:p>
        </w:tc>
        <w:tc>
          <w:tcPr>
            <w:tcW w:w="1793" w:type="dxa"/>
          </w:tcPr>
          <w:p w14:paraId="768E345A" w14:textId="31F060FB" w:rsidR="00A6253B" w:rsidRPr="00F7470D" w:rsidRDefault="00A6253B" w:rsidP="00A6253B">
            <w:pPr>
              <w:pStyle w:val="TableNheader"/>
              <w:jc w:val="center"/>
              <w:cnfStyle w:val="100000000000" w:firstRow="1" w:lastRow="0" w:firstColumn="0" w:lastColumn="0" w:oddVBand="0" w:evenVBand="0" w:oddHBand="0" w:evenHBand="0" w:firstRowFirstColumn="0" w:firstRowLastColumn="0" w:lastRowFirstColumn="0" w:lastRowLastColumn="0"/>
            </w:pPr>
            <w:r w:rsidRPr="00912210">
              <w:t>Tier 1 – Department pathway</w:t>
            </w:r>
          </w:p>
        </w:tc>
        <w:tc>
          <w:tcPr>
            <w:tcW w:w="1793" w:type="dxa"/>
          </w:tcPr>
          <w:p w14:paraId="487B48C5" w14:textId="44948AC7" w:rsidR="00A6253B" w:rsidRPr="00F7470D" w:rsidRDefault="00A6253B" w:rsidP="00A6253B">
            <w:pPr>
              <w:pStyle w:val="TableNheader"/>
              <w:jc w:val="center"/>
              <w:cnfStyle w:val="100000000000" w:firstRow="1" w:lastRow="0" w:firstColumn="0" w:lastColumn="0" w:oddVBand="0" w:evenVBand="0" w:oddHBand="0" w:evenHBand="0" w:firstRowFirstColumn="0" w:firstRowLastColumn="0" w:lastRowFirstColumn="0" w:lastRowLastColumn="0"/>
            </w:pPr>
            <w:r w:rsidRPr="00912210">
              <w:t>Tier 2 – Clinical HTA pathway</w:t>
            </w:r>
          </w:p>
        </w:tc>
        <w:tc>
          <w:tcPr>
            <w:tcW w:w="1793" w:type="dxa"/>
          </w:tcPr>
          <w:p w14:paraId="3CA392F2" w14:textId="46D38913" w:rsidR="00A6253B" w:rsidRPr="00F7470D" w:rsidRDefault="00A6253B" w:rsidP="00A6253B">
            <w:pPr>
              <w:pStyle w:val="TableNheader"/>
              <w:jc w:val="center"/>
              <w:cnfStyle w:val="100000000000" w:firstRow="1" w:lastRow="0" w:firstColumn="0" w:lastColumn="0" w:oddVBand="0" w:evenVBand="0" w:oddHBand="0" w:evenHBand="0" w:firstRowFirstColumn="0" w:firstRowLastColumn="0" w:lastRowFirstColumn="0" w:lastRowLastColumn="0"/>
            </w:pPr>
            <w:r w:rsidRPr="00912210">
              <w:t>Tier 3 – Full HTA pathway</w:t>
            </w:r>
          </w:p>
        </w:tc>
        <w:tc>
          <w:tcPr>
            <w:tcW w:w="1794" w:type="dxa"/>
          </w:tcPr>
          <w:p w14:paraId="6A491E89" w14:textId="466FE412" w:rsidR="00A6253B" w:rsidRPr="00F7470D" w:rsidRDefault="00A6253B" w:rsidP="00A6253B">
            <w:pPr>
              <w:pStyle w:val="TableNheader"/>
              <w:jc w:val="center"/>
              <w:cnfStyle w:val="100000000000" w:firstRow="1" w:lastRow="0" w:firstColumn="0" w:lastColumn="0" w:oddVBand="0" w:evenVBand="0" w:oddHBand="0" w:evenHBand="0" w:firstRowFirstColumn="0" w:firstRowLastColumn="0" w:lastRowFirstColumn="0" w:lastRowLastColumn="0"/>
            </w:pPr>
            <w:r w:rsidRPr="00912210">
              <w:t>All assessment pathways</w:t>
            </w:r>
          </w:p>
        </w:tc>
      </w:tr>
      <w:tr w:rsidR="00A6253B" w:rsidRPr="00F7470D" w14:paraId="5E2CE9B2" w14:textId="77777777" w:rsidTr="004E5CC2">
        <w:trPr>
          <w:trHeight w:val="345"/>
        </w:trPr>
        <w:tc>
          <w:tcPr>
            <w:cnfStyle w:val="001000000000" w:firstRow="0" w:lastRow="0" w:firstColumn="1" w:lastColumn="0" w:oddVBand="0" w:evenVBand="0" w:oddHBand="0" w:evenHBand="0" w:firstRowFirstColumn="0" w:firstRowLastColumn="0" w:lastRowFirstColumn="0" w:lastRowLastColumn="0"/>
            <w:tcW w:w="2012" w:type="dxa"/>
            <w:shd w:val="clear" w:color="auto" w:fill="F2F2F2" w:themeFill="background1" w:themeFillShade="F2"/>
          </w:tcPr>
          <w:p w14:paraId="3DC85FDC" w14:textId="440D7708" w:rsidR="00A6253B" w:rsidRPr="00F7470D" w:rsidRDefault="00A6253B" w:rsidP="00A6253B">
            <w:pPr>
              <w:spacing w:before="60" w:after="60"/>
              <w:rPr>
                <w:rFonts w:ascii="Segoe UI Semibold" w:hAnsi="Segoe UI Semibold"/>
                <w:sz w:val="18"/>
                <w:szCs w:val="18"/>
              </w:rPr>
            </w:pPr>
            <w:r w:rsidRPr="00912210">
              <w:rPr>
                <w:rFonts w:ascii="Segoe UI Semibold" w:hAnsi="Segoe UI Semibold"/>
                <w:sz w:val="18"/>
                <w:szCs w:val="18"/>
              </w:rPr>
              <w:t xml:space="preserve">New </w:t>
            </w:r>
          </w:p>
        </w:tc>
        <w:tc>
          <w:tcPr>
            <w:tcW w:w="1793" w:type="dxa"/>
          </w:tcPr>
          <w:p w14:paraId="4B12416E" w14:textId="2C204B94" w:rsidR="00A6253B" w:rsidRPr="00F7470D" w:rsidRDefault="00A6253B" w:rsidP="00A6253B">
            <w:pPr>
              <w:spacing w:before="60" w:after="60"/>
              <w:jc w:val="center"/>
              <w:cnfStyle w:val="000000000000" w:firstRow="0" w:lastRow="0" w:firstColumn="0" w:lastColumn="0" w:oddVBand="0" w:evenVBand="0" w:oddHBand="0" w:evenHBand="0" w:firstRowFirstColumn="0" w:firstRowLastColumn="0" w:lastRowFirstColumn="0" w:lastRowLastColumn="0"/>
              <w:rPr>
                <w:sz w:val="18"/>
                <w:szCs w:val="18"/>
              </w:rPr>
            </w:pPr>
            <w:r w:rsidRPr="00FF5C91">
              <w:rPr>
                <w:sz w:val="18"/>
                <w:szCs w:val="20"/>
              </w:rPr>
              <w:t>858</w:t>
            </w:r>
          </w:p>
        </w:tc>
        <w:tc>
          <w:tcPr>
            <w:tcW w:w="1793" w:type="dxa"/>
          </w:tcPr>
          <w:p w14:paraId="1664EFE1" w14:textId="1AEF4200" w:rsidR="00A6253B" w:rsidRPr="00F7470D" w:rsidRDefault="00A6253B" w:rsidP="00A6253B">
            <w:pPr>
              <w:spacing w:before="60" w:after="60"/>
              <w:jc w:val="center"/>
              <w:cnfStyle w:val="000000000000" w:firstRow="0" w:lastRow="0" w:firstColumn="0" w:lastColumn="0" w:oddVBand="0" w:evenVBand="0" w:oddHBand="0" w:evenHBand="0" w:firstRowFirstColumn="0" w:firstRowLastColumn="0" w:lastRowFirstColumn="0" w:lastRowLastColumn="0"/>
              <w:rPr>
                <w:sz w:val="18"/>
                <w:szCs w:val="18"/>
              </w:rPr>
            </w:pPr>
            <w:r w:rsidRPr="00FF5C91">
              <w:rPr>
                <w:sz w:val="18"/>
                <w:szCs w:val="20"/>
              </w:rPr>
              <w:t>1</w:t>
            </w:r>
            <w:r>
              <w:rPr>
                <w:sz w:val="18"/>
                <w:szCs w:val="20"/>
              </w:rPr>
              <w:t>,</w:t>
            </w:r>
            <w:r w:rsidRPr="00FF5C91">
              <w:rPr>
                <w:sz w:val="18"/>
                <w:szCs w:val="20"/>
              </w:rPr>
              <w:t>004</w:t>
            </w:r>
          </w:p>
        </w:tc>
        <w:tc>
          <w:tcPr>
            <w:tcW w:w="1793" w:type="dxa"/>
          </w:tcPr>
          <w:p w14:paraId="39535930" w14:textId="5C9D480E" w:rsidR="00A6253B" w:rsidRPr="00F7470D" w:rsidRDefault="00A6253B" w:rsidP="00A6253B">
            <w:pPr>
              <w:spacing w:before="60" w:after="60"/>
              <w:jc w:val="center"/>
              <w:cnfStyle w:val="000000000000" w:firstRow="0" w:lastRow="0" w:firstColumn="0" w:lastColumn="0" w:oddVBand="0" w:evenVBand="0" w:oddHBand="0" w:evenHBand="0" w:firstRowFirstColumn="0" w:firstRowLastColumn="0" w:lastRowFirstColumn="0" w:lastRowLastColumn="0"/>
              <w:rPr>
                <w:sz w:val="18"/>
                <w:szCs w:val="18"/>
              </w:rPr>
            </w:pPr>
            <w:r w:rsidRPr="00FF5C91">
              <w:rPr>
                <w:sz w:val="18"/>
                <w:szCs w:val="20"/>
              </w:rPr>
              <w:t>5</w:t>
            </w:r>
          </w:p>
        </w:tc>
        <w:tc>
          <w:tcPr>
            <w:tcW w:w="1794" w:type="dxa"/>
          </w:tcPr>
          <w:p w14:paraId="4D916718" w14:textId="370CF24D" w:rsidR="00A6253B" w:rsidRPr="00F7470D" w:rsidRDefault="00A6253B" w:rsidP="00A6253B">
            <w:pPr>
              <w:spacing w:before="60" w:after="6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5A3193">
              <w:rPr>
                <w:rFonts w:asciiTheme="majorHAnsi" w:hAnsiTheme="majorHAnsi" w:cstheme="majorHAnsi"/>
                <w:sz w:val="18"/>
                <w:szCs w:val="20"/>
              </w:rPr>
              <w:t>1,867</w:t>
            </w:r>
          </w:p>
        </w:tc>
      </w:tr>
      <w:tr w:rsidR="00A6253B" w:rsidRPr="00F7470D" w14:paraId="47F1C46F" w14:textId="77777777" w:rsidTr="004E5CC2">
        <w:trPr>
          <w:trHeight w:val="335"/>
        </w:trPr>
        <w:tc>
          <w:tcPr>
            <w:cnfStyle w:val="001000000000" w:firstRow="0" w:lastRow="0" w:firstColumn="1" w:lastColumn="0" w:oddVBand="0" w:evenVBand="0" w:oddHBand="0" w:evenHBand="0" w:firstRowFirstColumn="0" w:firstRowLastColumn="0" w:lastRowFirstColumn="0" w:lastRowLastColumn="0"/>
            <w:tcW w:w="2012" w:type="dxa"/>
            <w:shd w:val="clear" w:color="auto" w:fill="F2F2F2" w:themeFill="background1" w:themeFillShade="F2"/>
          </w:tcPr>
          <w:p w14:paraId="7C0E33AB" w14:textId="6873EBE3" w:rsidR="00A6253B" w:rsidRPr="00F7470D" w:rsidRDefault="00A6253B" w:rsidP="00A6253B">
            <w:pPr>
              <w:spacing w:before="60" w:after="60"/>
              <w:rPr>
                <w:rFonts w:ascii="Segoe UI Semibold" w:hAnsi="Segoe UI Semibold"/>
                <w:sz w:val="18"/>
                <w:szCs w:val="18"/>
              </w:rPr>
            </w:pPr>
            <w:r w:rsidRPr="00912210">
              <w:rPr>
                <w:rFonts w:ascii="Segoe UI Semibold" w:hAnsi="Segoe UI Semibold"/>
                <w:sz w:val="18"/>
                <w:szCs w:val="18"/>
              </w:rPr>
              <w:t>Amendment</w:t>
            </w:r>
          </w:p>
        </w:tc>
        <w:tc>
          <w:tcPr>
            <w:tcW w:w="1793" w:type="dxa"/>
          </w:tcPr>
          <w:p w14:paraId="47E11770" w14:textId="5EDA50E2" w:rsidR="00A6253B" w:rsidRPr="00F7470D" w:rsidRDefault="00A6253B" w:rsidP="00A6253B">
            <w:pPr>
              <w:spacing w:before="60" w:after="60"/>
              <w:jc w:val="center"/>
              <w:cnfStyle w:val="000000000000" w:firstRow="0" w:lastRow="0" w:firstColumn="0" w:lastColumn="0" w:oddVBand="0" w:evenVBand="0" w:oddHBand="0" w:evenHBand="0" w:firstRowFirstColumn="0" w:firstRowLastColumn="0" w:lastRowFirstColumn="0" w:lastRowLastColumn="0"/>
              <w:rPr>
                <w:sz w:val="18"/>
                <w:szCs w:val="18"/>
              </w:rPr>
            </w:pPr>
            <w:r w:rsidRPr="00FF5C91">
              <w:rPr>
                <w:sz w:val="18"/>
                <w:szCs w:val="20"/>
              </w:rPr>
              <w:t>677</w:t>
            </w:r>
          </w:p>
        </w:tc>
        <w:tc>
          <w:tcPr>
            <w:tcW w:w="1793" w:type="dxa"/>
          </w:tcPr>
          <w:p w14:paraId="214D0852" w14:textId="4275A715" w:rsidR="00A6253B" w:rsidRPr="00F7470D" w:rsidRDefault="00A6253B" w:rsidP="00A6253B">
            <w:pPr>
              <w:spacing w:before="60" w:after="60"/>
              <w:jc w:val="center"/>
              <w:cnfStyle w:val="000000000000" w:firstRow="0" w:lastRow="0" w:firstColumn="0" w:lastColumn="0" w:oddVBand="0" w:evenVBand="0" w:oddHBand="0" w:evenHBand="0" w:firstRowFirstColumn="0" w:firstRowLastColumn="0" w:lastRowFirstColumn="0" w:lastRowLastColumn="0"/>
              <w:rPr>
                <w:sz w:val="18"/>
                <w:szCs w:val="18"/>
              </w:rPr>
            </w:pPr>
            <w:r w:rsidRPr="00FF5C91">
              <w:rPr>
                <w:sz w:val="18"/>
                <w:szCs w:val="20"/>
              </w:rPr>
              <w:t>275</w:t>
            </w:r>
          </w:p>
        </w:tc>
        <w:tc>
          <w:tcPr>
            <w:tcW w:w="1793" w:type="dxa"/>
          </w:tcPr>
          <w:p w14:paraId="2344E318" w14:textId="73FD890E" w:rsidR="00A6253B" w:rsidRPr="00F7470D" w:rsidRDefault="00A6253B" w:rsidP="00A6253B">
            <w:pPr>
              <w:spacing w:before="60" w:after="60"/>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20"/>
              </w:rPr>
              <w:t>0</w:t>
            </w:r>
          </w:p>
        </w:tc>
        <w:tc>
          <w:tcPr>
            <w:tcW w:w="1794" w:type="dxa"/>
          </w:tcPr>
          <w:p w14:paraId="24C8D721" w14:textId="238859C1" w:rsidR="00A6253B" w:rsidRPr="00F7470D" w:rsidRDefault="00A6253B" w:rsidP="00A6253B">
            <w:pPr>
              <w:spacing w:before="60" w:after="6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5A3193">
              <w:rPr>
                <w:rFonts w:asciiTheme="majorHAnsi" w:hAnsiTheme="majorHAnsi" w:cstheme="majorHAnsi"/>
                <w:sz w:val="18"/>
                <w:szCs w:val="20"/>
              </w:rPr>
              <w:t>952</w:t>
            </w:r>
          </w:p>
        </w:tc>
      </w:tr>
      <w:tr w:rsidR="00A6253B" w:rsidRPr="00F7470D" w14:paraId="6BEE57AA" w14:textId="77777777" w:rsidTr="004E5CC2">
        <w:trPr>
          <w:trHeight w:val="335"/>
        </w:trPr>
        <w:tc>
          <w:tcPr>
            <w:cnfStyle w:val="001000000000" w:firstRow="0" w:lastRow="0" w:firstColumn="1" w:lastColumn="0" w:oddVBand="0" w:evenVBand="0" w:oddHBand="0" w:evenHBand="0" w:firstRowFirstColumn="0" w:firstRowLastColumn="0" w:lastRowFirstColumn="0" w:lastRowLastColumn="0"/>
            <w:tcW w:w="2012" w:type="dxa"/>
            <w:shd w:val="clear" w:color="auto" w:fill="F2F2F2" w:themeFill="background1" w:themeFillShade="F2"/>
          </w:tcPr>
          <w:p w14:paraId="2109C00D" w14:textId="1FF7DB80" w:rsidR="00A6253B" w:rsidRPr="00F7470D" w:rsidRDefault="00A6253B" w:rsidP="00A6253B">
            <w:pPr>
              <w:spacing w:before="60" w:after="60"/>
              <w:rPr>
                <w:rFonts w:ascii="Segoe UI Semibold" w:hAnsi="Segoe UI Semibold"/>
                <w:sz w:val="18"/>
                <w:szCs w:val="18"/>
              </w:rPr>
            </w:pPr>
            <w:r w:rsidRPr="00912210">
              <w:rPr>
                <w:rFonts w:ascii="Segoe UI Semibold" w:hAnsi="Segoe UI Semibold"/>
                <w:sz w:val="18"/>
                <w:szCs w:val="18"/>
              </w:rPr>
              <w:t>Expansion</w:t>
            </w:r>
          </w:p>
        </w:tc>
        <w:tc>
          <w:tcPr>
            <w:tcW w:w="1793" w:type="dxa"/>
          </w:tcPr>
          <w:p w14:paraId="0E197184" w14:textId="2F8D74EE" w:rsidR="00A6253B" w:rsidRPr="00F7470D" w:rsidRDefault="00A6253B" w:rsidP="00A6253B">
            <w:pPr>
              <w:spacing w:before="60" w:after="60"/>
              <w:jc w:val="center"/>
              <w:cnfStyle w:val="000000000000" w:firstRow="0" w:lastRow="0" w:firstColumn="0" w:lastColumn="0" w:oddVBand="0" w:evenVBand="0" w:oddHBand="0" w:evenHBand="0" w:firstRowFirstColumn="0" w:firstRowLastColumn="0" w:lastRowFirstColumn="0" w:lastRowLastColumn="0"/>
              <w:rPr>
                <w:sz w:val="18"/>
                <w:szCs w:val="18"/>
              </w:rPr>
            </w:pPr>
            <w:r w:rsidRPr="00FF5C91">
              <w:rPr>
                <w:sz w:val="18"/>
                <w:szCs w:val="20"/>
              </w:rPr>
              <w:t>32</w:t>
            </w:r>
          </w:p>
        </w:tc>
        <w:tc>
          <w:tcPr>
            <w:tcW w:w="1793" w:type="dxa"/>
          </w:tcPr>
          <w:p w14:paraId="012490AD" w14:textId="7CD6FF3E" w:rsidR="00A6253B" w:rsidRPr="00F7470D" w:rsidRDefault="00A6253B" w:rsidP="00A6253B">
            <w:pPr>
              <w:spacing w:before="60" w:after="60"/>
              <w:jc w:val="center"/>
              <w:cnfStyle w:val="000000000000" w:firstRow="0" w:lastRow="0" w:firstColumn="0" w:lastColumn="0" w:oddVBand="0" w:evenVBand="0" w:oddHBand="0" w:evenHBand="0" w:firstRowFirstColumn="0" w:firstRowLastColumn="0" w:lastRowFirstColumn="0" w:lastRowLastColumn="0"/>
              <w:rPr>
                <w:sz w:val="18"/>
                <w:szCs w:val="18"/>
              </w:rPr>
            </w:pPr>
            <w:r w:rsidRPr="00FF5C91">
              <w:rPr>
                <w:sz w:val="18"/>
                <w:szCs w:val="20"/>
              </w:rPr>
              <w:t>32</w:t>
            </w:r>
          </w:p>
        </w:tc>
        <w:tc>
          <w:tcPr>
            <w:tcW w:w="1793" w:type="dxa"/>
          </w:tcPr>
          <w:p w14:paraId="72CEE767" w14:textId="422F003B" w:rsidR="00A6253B" w:rsidRPr="00F7470D" w:rsidRDefault="00A6253B" w:rsidP="00A6253B">
            <w:pPr>
              <w:spacing w:before="60" w:after="60"/>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20"/>
              </w:rPr>
              <w:t>0</w:t>
            </w:r>
          </w:p>
        </w:tc>
        <w:tc>
          <w:tcPr>
            <w:tcW w:w="1794" w:type="dxa"/>
          </w:tcPr>
          <w:p w14:paraId="06906138" w14:textId="52F209F0" w:rsidR="00A6253B" w:rsidRPr="00F7470D" w:rsidRDefault="00A6253B" w:rsidP="00A6253B">
            <w:pPr>
              <w:spacing w:before="60" w:after="6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5A3193">
              <w:rPr>
                <w:rFonts w:asciiTheme="majorHAnsi" w:hAnsiTheme="majorHAnsi" w:cstheme="majorHAnsi"/>
                <w:sz w:val="18"/>
                <w:szCs w:val="20"/>
              </w:rPr>
              <w:t>64</w:t>
            </w:r>
          </w:p>
        </w:tc>
      </w:tr>
      <w:tr w:rsidR="00A6253B" w:rsidRPr="00F7470D" w14:paraId="093276A0" w14:textId="77777777" w:rsidTr="004E5CC2">
        <w:trPr>
          <w:trHeight w:val="335"/>
        </w:trPr>
        <w:tc>
          <w:tcPr>
            <w:cnfStyle w:val="001000000000" w:firstRow="0" w:lastRow="0" w:firstColumn="1" w:lastColumn="0" w:oddVBand="0" w:evenVBand="0" w:oddHBand="0" w:evenHBand="0" w:firstRowFirstColumn="0" w:firstRowLastColumn="0" w:lastRowFirstColumn="0" w:lastRowLastColumn="0"/>
            <w:tcW w:w="2012" w:type="dxa"/>
            <w:shd w:val="clear" w:color="auto" w:fill="F2F2F2" w:themeFill="background1" w:themeFillShade="F2"/>
          </w:tcPr>
          <w:p w14:paraId="31A6090C" w14:textId="4543DC45" w:rsidR="00A6253B" w:rsidRPr="00F7470D" w:rsidRDefault="00A6253B" w:rsidP="00A6253B">
            <w:pPr>
              <w:spacing w:before="60" w:after="60"/>
              <w:rPr>
                <w:rFonts w:ascii="Segoe UI Semibold" w:hAnsi="Segoe UI Semibold"/>
                <w:sz w:val="18"/>
                <w:szCs w:val="18"/>
              </w:rPr>
            </w:pPr>
            <w:r>
              <w:rPr>
                <w:rFonts w:ascii="Segoe UI Semibold" w:hAnsi="Segoe UI Semibold"/>
                <w:sz w:val="18"/>
                <w:szCs w:val="18"/>
              </w:rPr>
              <w:t>Compression</w:t>
            </w:r>
          </w:p>
        </w:tc>
        <w:tc>
          <w:tcPr>
            <w:tcW w:w="1793" w:type="dxa"/>
          </w:tcPr>
          <w:p w14:paraId="49B5E79A" w14:textId="060D83D3" w:rsidR="00A6253B" w:rsidRPr="00F7470D" w:rsidRDefault="00A6253B" w:rsidP="00A6253B">
            <w:pPr>
              <w:spacing w:before="60" w:after="60"/>
              <w:jc w:val="center"/>
              <w:cnfStyle w:val="000000000000" w:firstRow="0" w:lastRow="0" w:firstColumn="0" w:lastColumn="0" w:oddVBand="0" w:evenVBand="0" w:oddHBand="0" w:evenHBand="0" w:firstRowFirstColumn="0" w:firstRowLastColumn="0" w:lastRowFirstColumn="0" w:lastRowLastColumn="0"/>
              <w:rPr>
                <w:sz w:val="18"/>
                <w:szCs w:val="18"/>
              </w:rPr>
            </w:pPr>
            <w:r w:rsidRPr="00FF5C91">
              <w:rPr>
                <w:sz w:val="18"/>
                <w:szCs w:val="20"/>
              </w:rPr>
              <w:t>1</w:t>
            </w:r>
          </w:p>
        </w:tc>
        <w:tc>
          <w:tcPr>
            <w:tcW w:w="1793" w:type="dxa"/>
          </w:tcPr>
          <w:p w14:paraId="6282DB68" w14:textId="056E0B61" w:rsidR="00A6253B" w:rsidRPr="00F7470D" w:rsidRDefault="00A6253B" w:rsidP="00A6253B">
            <w:pPr>
              <w:spacing w:before="60" w:after="60"/>
              <w:jc w:val="center"/>
              <w:cnfStyle w:val="000000000000" w:firstRow="0" w:lastRow="0" w:firstColumn="0" w:lastColumn="0" w:oddVBand="0" w:evenVBand="0" w:oddHBand="0" w:evenHBand="0" w:firstRowFirstColumn="0" w:firstRowLastColumn="0" w:lastRowFirstColumn="0" w:lastRowLastColumn="0"/>
              <w:rPr>
                <w:sz w:val="18"/>
                <w:szCs w:val="18"/>
              </w:rPr>
            </w:pPr>
            <w:r w:rsidRPr="00FF5C91">
              <w:rPr>
                <w:sz w:val="18"/>
                <w:szCs w:val="20"/>
              </w:rPr>
              <w:t>8</w:t>
            </w:r>
          </w:p>
        </w:tc>
        <w:tc>
          <w:tcPr>
            <w:tcW w:w="1793" w:type="dxa"/>
          </w:tcPr>
          <w:p w14:paraId="5128042A" w14:textId="36E1FCFD" w:rsidR="00A6253B" w:rsidRPr="00F7470D" w:rsidRDefault="00A6253B" w:rsidP="00A6253B">
            <w:pPr>
              <w:spacing w:before="60" w:after="60"/>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20"/>
              </w:rPr>
              <w:t>0</w:t>
            </w:r>
          </w:p>
        </w:tc>
        <w:tc>
          <w:tcPr>
            <w:tcW w:w="1794" w:type="dxa"/>
          </w:tcPr>
          <w:p w14:paraId="0734A1DE" w14:textId="75808784" w:rsidR="00A6253B" w:rsidRPr="00F7470D" w:rsidRDefault="00A6253B" w:rsidP="00A6253B">
            <w:pPr>
              <w:spacing w:before="60" w:after="6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5A3193">
              <w:rPr>
                <w:rFonts w:asciiTheme="majorHAnsi" w:hAnsiTheme="majorHAnsi" w:cstheme="majorHAnsi"/>
                <w:sz w:val="18"/>
                <w:szCs w:val="20"/>
              </w:rPr>
              <w:t>9</w:t>
            </w:r>
          </w:p>
        </w:tc>
      </w:tr>
      <w:tr w:rsidR="00A6253B" w:rsidRPr="00F7470D" w14:paraId="79BC358D" w14:textId="77777777" w:rsidTr="004E5CC2">
        <w:trPr>
          <w:trHeight w:val="257"/>
        </w:trPr>
        <w:tc>
          <w:tcPr>
            <w:cnfStyle w:val="001000000000" w:firstRow="0" w:lastRow="0" w:firstColumn="1" w:lastColumn="0" w:oddVBand="0" w:evenVBand="0" w:oddHBand="0" w:evenHBand="0" w:firstRowFirstColumn="0" w:firstRowLastColumn="0" w:lastRowFirstColumn="0" w:lastRowLastColumn="0"/>
            <w:tcW w:w="2012" w:type="dxa"/>
            <w:shd w:val="clear" w:color="auto" w:fill="F2F2F2" w:themeFill="background1" w:themeFillShade="F2"/>
          </w:tcPr>
          <w:p w14:paraId="6FFD9BB5" w14:textId="33294CBB" w:rsidR="00A6253B" w:rsidRPr="00F7470D" w:rsidRDefault="00A6253B" w:rsidP="00A6253B">
            <w:pPr>
              <w:spacing w:before="60" w:after="60"/>
              <w:rPr>
                <w:rFonts w:ascii="Segoe UI Semibold" w:hAnsi="Segoe UI Semibold"/>
                <w:sz w:val="18"/>
                <w:szCs w:val="18"/>
              </w:rPr>
            </w:pPr>
            <w:r w:rsidRPr="00912210">
              <w:rPr>
                <w:rFonts w:ascii="Segoe UI Semibold" w:hAnsi="Segoe UI Semibold"/>
                <w:sz w:val="18"/>
                <w:szCs w:val="18"/>
              </w:rPr>
              <w:t>All application types</w:t>
            </w:r>
          </w:p>
        </w:tc>
        <w:tc>
          <w:tcPr>
            <w:tcW w:w="1793" w:type="dxa"/>
          </w:tcPr>
          <w:p w14:paraId="6F4B68CF" w14:textId="628CFBCE" w:rsidR="00A6253B" w:rsidRPr="00F7470D" w:rsidRDefault="00A6253B" w:rsidP="00A6253B">
            <w:pPr>
              <w:spacing w:before="60" w:after="6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5A3193">
              <w:rPr>
                <w:rFonts w:asciiTheme="majorHAnsi" w:hAnsiTheme="majorHAnsi" w:cstheme="majorHAnsi"/>
                <w:sz w:val="18"/>
                <w:szCs w:val="20"/>
              </w:rPr>
              <w:t>1,568</w:t>
            </w:r>
          </w:p>
        </w:tc>
        <w:tc>
          <w:tcPr>
            <w:tcW w:w="1793" w:type="dxa"/>
          </w:tcPr>
          <w:p w14:paraId="3B00C95B" w14:textId="337AFC75" w:rsidR="00A6253B" w:rsidRPr="00F7470D" w:rsidRDefault="00A6253B" w:rsidP="00A6253B">
            <w:pPr>
              <w:spacing w:before="60" w:after="6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5A3193">
              <w:rPr>
                <w:rFonts w:asciiTheme="majorHAnsi" w:hAnsiTheme="majorHAnsi" w:cstheme="majorHAnsi"/>
                <w:sz w:val="18"/>
                <w:szCs w:val="20"/>
              </w:rPr>
              <w:t>1,319</w:t>
            </w:r>
          </w:p>
        </w:tc>
        <w:tc>
          <w:tcPr>
            <w:tcW w:w="1793" w:type="dxa"/>
          </w:tcPr>
          <w:p w14:paraId="28398126" w14:textId="34178E76" w:rsidR="00A6253B" w:rsidRPr="00F7470D" w:rsidRDefault="00A6253B" w:rsidP="00A6253B">
            <w:pPr>
              <w:spacing w:before="60" w:after="6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5A3193">
              <w:rPr>
                <w:rFonts w:asciiTheme="majorHAnsi" w:hAnsiTheme="majorHAnsi" w:cstheme="majorHAnsi"/>
                <w:sz w:val="18"/>
                <w:szCs w:val="20"/>
              </w:rPr>
              <w:t>5</w:t>
            </w:r>
          </w:p>
        </w:tc>
        <w:tc>
          <w:tcPr>
            <w:tcW w:w="1794" w:type="dxa"/>
          </w:tcPr>
          <w:p w14:paraId="411C6785" w14:textId="3617E1B7" w:rsidR="00A6253B" w:rsidRPr="00F7470D" w:rsidRDefault="00A6253B" w:rsidP="00A6253B">
            <w:pPr>
              <w:spacing w:before="60" w:after="6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5A3193">
              <w:rPr>
                <w:rFonts w:asciiTheme="majorHAnsi" w:hAnsiTheme="majorHAnsi" w:cstheme="majorHAnsi"/>
                <w:sz w:val="18"/>
                <w:szCs w:val="20"/>
              </w:rPr>
              <w:t>2,892</w:t>
            </w:r>
          </w:p>
        </w:tc>
      </w:tr>
    </w:tbl>
    <w:p w14:paraId="45D0E772" w14:textId="36CC0C2E" w:rsidR="00166044" w:rsidRPr="00602824" w:rsidRDefault="008B562A" w:rsidP="00FB712C">
      <w:pPr>
        <w:pStyle w:val="Caption"/>
        <w:spacing w:before="300"/>
      </w:pPr>
      <w:bookmarkStart w:id="68" w:name="_Ref202437001"/>
      <w:r w:rsidRPr="00602824">
        <w:t xml:space="preserve">Table </w:t>
      </w:r>
      <w:r w:rsidR="002604D0">
        <w:fldChar w:fldCharType="begin"/>
      </w:r>
      <w:r w:rsidR="002604D0">
        <w:instrText xml:space="preserve"> SEQ Table \* ARABIC </w:instrText>
      </w:r>
      <w:r w:rsidR="002604D0">
        <w:fldChar w:fldCharType="separate"/>
      </w:r>
      <w:r w:rsidR="0092693A">
        <w:rPr>
          <w:noProof/>
        </w:rPr>
        <w:t>5</w:t>
      </w:r>
      <w:r w:rsidR="002604D0">
        <w:fldChar w:fldCharType="end"/>
      </w:r>
      <w:bookmarkEnd w:id="68"/>
      <w:r w:rsidRPr="00602824">
        <w:t xml:space="preserve"> | </w:t>
      </w:r>
      <w:r w:rsidR="00166044" w:rsidRPr="00602824">
        <w:t xml:space="preserve">Part D (GUIs) applications by tier and assessment pathway – September 2023 to </w:t>
      </w:r>
      <w:r w:rsidR="00D02198">
        <w:t>April 2026</w:t>
      </w:r>
      <w:r w:rsidR="005C15A9" w:rsidRPr="00602824">
        <w:rPr>
          <w:rStyle w:val="FootnoteReference"/>
        </w:rPr>
        <w:footnoteReference w:id="99"/>
      </w:r>
    </w:p>
    <w:tbl>
      <w:tblPr>
        <w:tblStyle w:val="NousTableTopandside"/>
        <w:tblW w:w="5000" w:type="pct"/>
        <w:tblLook w:val="04A0" w:firstRow="1" w:lastRow="0" w:firstColumn="1" w:lastColumn="0" w:noHBand="0" w:noVBand="1"/>
      </w:tblPr>
      <w:tblGrid>
        <w:gridCol w:w="2012"/>
        <w:gridCol w:w="1793"/>
        <w:gridCol w:w="1793"/>
        <w:gridCol w:w="1793"/>
        <w:gridCol w:w="1794"/>
      </w:tblGrid>
      <w:tr w:rsidR="002E6683" w:rsidRPr="00F7470D" w14:paraId="3537AFC3" w14:textId="77777777" w:rsidTr="00912210">
        <w:trPr>
          <w:cnfStyle w:val="100000000000" w:firstRow="1" w:lastRow="0" w:firstColumn="0" w:lastColumn="0" w:oddVBand="0" w:evenVBand="0" w:oddHBand="0" w:evenHBand="0" w:firstRowFirstColumn="0" w:firstRowLastColumn="0" w:lastRowFirstColumn="0" w:lastRowLastColumn="0"/>
          <w:trHeight w:val="625"/>
        </w:trPr>
        <w:tc>
          <w:tcPr>
            <w:cnfStyle w:val="001000000000" w:firstRow="0" w:lastRow="0" w:firstColumn="1" w:lastColumn="0" w:oddVBand="0" w:evenVBand="0" w:oddHBand="0" w:evenHBand="0" w:firstRowFirstColumn="0" w:firstRowLastColumn="0" w:lastRowFirstColumn="0" w:lastRowLastColumn="0"/>
            <w:tcW w:w="2012" w:type="dxa"/>
          </w:tcPr>
          <w:p w14:paraId="7A4BCF89" w14:textId="77777777" w:rsidR="00166044" w:rsidRPr="00F7470D" w:rsidRDefault="00166044" w:rsidP="005B4CC5">
            <w:pPr>
              <w:pStyle w:val="TableNheader"/>
              <w:jc w:val="center"/>
            </w:pPr>
          </w:p>
        </w:tc>
        <w:tc>
          <w:tcPr>
            <w:tcW w:w="1793" w:type="dxa"/>
          </w:tcPr>
          <w:p w14:paraId="4965B3C7" w14:textId="0FEB8280" w:rsidR="00166044" w:rsidRPr="00F7470D" w:rsidRDefault="00166044" w:rsidP="005B4CC5">
            <w:pPr>
              <w:pStyle w:val="TableNheader"/>
              <w:jc w:val="center"/>
              <w:cnfStyle w:val="100000000000" w:firstRow="1" w:lastRow="0" w:firstColumn="0" w:lastColumn="0" w:oddVBand="0" w:evenVBand="0" w:oddHBand="0" w:evenHBand="0" w:firstRowFirstColumn="0" w:firstRowLastColumn="0" w:lastRowFirstColumn="0" w:lastRowLastColumn="0"/>
            </w:pPr>
            <w:r w:rsidRPr="00F7470D">
              <w:t xml:space="preserve">Tier 1 </w:t>
            </w:r>
            <w:r w:rsidR="002A2E5C" w:rsidRPr="00F7470D">
              <w:t>–</w:t>
            </w:r>
            <w:r w:rsidRPr="00F7470D">
              <w:t xml:space="preserve"> Department pathway</w:t>
            </w:r>
          </w:p>
        </w:tc>
        <w:tc>
          <w:tcPr>
            <w:tcW w:w="1793" w:type="dxa"/>
          </w:tcPr>
          <w:p w14:paraId="5DAEC09E" w14:textId="58FA2830" w:rsidR="00166044" w:rsidRPr="00F7470D" w:rsidRDefault="00166044" w:rsidP="005B4CC5">
            <w:pPr>
              <w:pStyle w:val="TableNheader"/>
              <w:jc w:val="center"/>
              <w:cnfStyle w:val="100000000000" w:firstRow="1" w:lastRow="0" w:firstColumn="0" w:lastColumn="0" w:oddVBand="0" w:evenVBand="0" w:oddHBand="0" w:evenHBand="0" w:firstRowFirstColumn="0" w:firstRowLastColumn="0" w:lastRowFirstColumn="0" w:lastRowLastColumn="0"/>
            </w:pPr>
            <w:r w:rsidRPr="00F7470D">
              <w:t xml:space="preserve">Tier 2 </w:t>
            </w:r>
            <w:r w:rsidR="002A2E5C" w:rsidRPr="00F7470D">
              <w:t xml:space="preserve">– </w:t>
            </w:r>
            <w:r w:rsidRPr="00F7470D">
              <w:t>Clinical HTA pathway</w:t>
            </w:r>
          </w:p>
        </w:tc>
        <w:tc>
          <w:tcPr>
            <w:tcW w:w="1793" w:type="dxa"/>
          </w:tcPr>
          <w:p w14:paraId="142059BF" w14:textId="0FE4A26A" w:rsidR="00166044" w:rsidRPr="00F7470D" w:rsidRDefault="00166044" w:rsidP="005B4CC5">
            <w:pPr>
              <w:pStyle w:val="TableNheader"/>
              <w:jc w:val="center"/>
              <w:cnfStyle w:val="100000000000" w:firstRow="1" w:lastRow="0" w:firstColumn="0" w:lastColumn="0" w:oddVBand="0" w:evenVBand="0" w:oddHBand="0" w:evenHBand="0" w:firstRowFirstColumn="0" w:firstRowLastColumn="0" w:lastRowFirstColumn="0" w:lastRowLastColumn="0"/>
            </w:pPr>
            <w:r w:rsidRPr="00F7470D">
              <w:t xml:space="preserve">Tier 3 </w:t>
            </w:r>
            <w:r w:rsidR="002A2E5C" w:rsidRPr="00F7470D">
              <w:t>–</w:t>
            </w:r>
            <w:r w:rsidRPr="00F7470D">
              <w:t xml:space="preserve"> Full HTA pathway</w:t>
            </w:r>
          </w:p>
        </w:tc>
        <w:tc>
          <w:tcPr>
            <w:tcW w:w="1794" w:type="dxa"/>
          </w:tcPr>
          <w:p w14:paraId="381FC0E4" w14:textId="54BEFB20" w:rsidR="00166044" w:rsidRPr="00F7470D" w:rsidRDefault="00166044" w:rsidP="005B4CC5">
            <w:pPr>
              <w:pStyle w:val="TableNheader"/>
              <w:jc w:val="center"/>
              <w:cnfStyle w:val="100000000000" w:firstRow="1" w:lastRow="0" w:firstColumn="0" w:lastColumn="0" w:oddVBand="0" w:evenVBand="0" w:oddHBand="0" w:evenHBand="0" w:firstRowFirstColumn="0" w:firstRowLastColumn="0" w:lastRowFirstColumn="0" w:lastRowLastColumn="0"/>
            </w:pPr>
            <w:r w:rsidRPr="00F7470D">
              <w:t>All assessment pathways</w:t>
            </w:r>
          </w:p>
        </w:tc>
      </w:tr>
      <w:tr w:rsidR="002E6683" w:rsidRPr="00F7470D" w14:paraId="7B49C1D9" w14:textId="77777777" w:rsidTr="00912210">
        <w:trPr>
          <w:trHeight w:val="345"/>
        </w:trPr>
        <w:tc>
          <w:tcPr>
            <w:cnfStyle w:val="001000000000" w:firstRow="0" w:lastRow="0" w:firstColumn="1" w:lastColumn="0" w:oddVBand="0" w:evenVBand="0" w:oddHBand="0" w:evenHBand="0" w:firstRowFirstColumn="0" w:firstRowLastColumn="0" w:lastRowFirstColumn="0" w:lastRowLastColumn="0"/>
            <w:tcW w:w="2012" w:type="dxa"/>
            <w:shd w:val="clear" w:color="auto" w:fill="F2F2F2" w:themeFill="background1" w:themeFillShade="F2"/>
          </w:tcPr>
          <w:p w14:paraId="345EA9E0" w14:textId="77777777" w:rsidR="00166044" w:rsidRPr="00F7470D" w:rsidRDefault="00166044" w:rsidP="00FB712C">
            <w:pPr>
              <w:spacing w:before="60" w:after="60"/>
              <w:rPr>
                <w:rFonts w:ascii="Segoe UI Semibold" w:hAnsi="Segoe UI Semibold"/>
                <w:sz w:val="18"/>
                <w:szCs w:val="18"/>
              </w:rPr>
            </w:pPr>
            <w:r w:rsidRPr="00F7470D">
              <w:rPr>
                <w:rFonts w:ascii="Segoe UI Semibold" w:hAnsi="Segoe UI Semibold"/>
                <w:sz w:val="18"/>
                <w:szCs w:val="18"/>
              </w:rPr>
              <w:t xml:space="preserve">New </w:t>
            </w:r>
          </w:p>
        </w:tc>
        <w:tc>
          <w:tcPr>
            <w:tcW w:w="1793" w:type="dxa"/>
            <w:vAlign w:val="center"/>
          </w:tcPr>
          <w:p w14:paraId="2EA7CEA4" w14:textId="24142654" w:rsidR="00166044" w:rsidRPr="00F7470D" w:rsidRDefault="00690CD6" w:rsidP="00FB712C">
            <w:pPr>
              <w:spacing w:before="60" w:after="60"/>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37</w:t>
            </w:r>
          </w:p>
        </w:tc>
        <w:tc>
          <w:tcPr>
            <w:tcW w:w="1793" w:type="dxa"/>
            <w:vAlign w:val="center"/>
          </w:tcPr>
          <w:p w14:paraId="76AF425D" w14:textId="1FA56897" w:rsidR="00166044" w:rsidRPr="00F7470D" w:rsidRDefault="00690CD6" w:rsidP="00FB712C">
            <w:pPr>
              <w:spacing w:before="60" w:after="60"/>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39</w:t>
            </w:r>
          </w:p>
        </w:tc>
        <w:tc>
          <w:tcPr>
            <w:tcW w:w="1793" w:type="dxa"/>
            <w:vAlign w:val="center"/>
          </w:tcPr>
          <w:p w14:paraId="3C91F35B" w14:textId="77777777" w:rsidR="00166044" w:rsidRPr="00F7470D" w:rsidRDefault="00166044" w:rsidP="00FB712C">
            <w:pPr>
              <w:spacing w:before="60" w:after="60"/>
              <w:jc w:val="center"/>
              <w:cnfStyle w:val="000000000000" w:firstRow="0" w:lastRow="0" w:firstColumn="0" w:lastColumn="0" w:oddVBand="0" w:evenVBand="0" w:oddHBand="0" w:evenHBand="0" w:firstRowFirstColumn="0" w:firstRowLastColumn="0" w:lastRowFirstColumn="0" w:lastRowLastColumn="0"/>
              <w:rPr>
                <w:sz w:val="18"/>
                <w:szCs w:val="18"/>
              </w:rPr>
            </w:pPr>
            <w:r w:rsidRPr="00F7470D">
              <w:rPr>
                <w:sz w:val="18"/>
                <w:szCs w:val="18"/>
              </w:rPr>
              <w:t>0</w:t>
            </w:r>
          </w:p>
        </w:tc>
        <w:tc>
          <w:tcPr>
            <w:tcW w:w="1794" w:type="dxa"/>
            <w:vAlign w:val="center"/>
          </w:tcPr>
          <w:p w14:paraId="4631B06B" w14:textId="1224AB56" w:rsidR="00166044" w:rsidRPr="00F7470D" w:rsidRDefault="005A3193" w:rsidP="00FB712C">
            <w:pPr>
              <w:spacing w:before="60" w:after="6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Pr>
                <w:rFonts w:asciiTheme="majorHAnsi" w:hAnsiTheme="majorHAnsi" w:cstheme="majorHAnsi"/>
                <w:sz w:val="18"/>
                <w:szCs w:val="18"/>
              </w:rPr>
              <w:t>76</w:t>
            </w:r>
          </w:p>
        </w:tc>
      </w:tr>
      <w:tr w:rsidR="002E6683" w:rsidRPr="00F7470D" w14:paraId="0B2E70A4" w14:textId="77777777" w:rsidTr="00912210">
        <w:trPr>
          <w:trHeight w:val="335"/>
        </w:trPr>
        <w:tc>
          <w:tcPr>
            <w:cnfStyle w:val="001000000000" w:firstRow="0" w:lastRow="0" w:firstColumn="1" w:lastColumn="0" w:oddVBand="0" w:evenVBand="0" w:oddHBand="0" w:evenHBand="0" w:firstRowFirstColumn="0" w:firstRowLastColumn="0" w:lastRowFirstColumn="0" w:lastRowLastColumn="0"/>
            <w:tcW w:w="2012" w:type="dxa"/>
            <w:shd w:val="clear" w:color="auto" w:fill="F2F2F2" w:themeFill="background1" w:themeFillShade="F2"/>
          </w:tcPr>
          <w:p w14:paraId="579E9EE3" w14:textId="7069E3DE" w:rsidR="00166044" w:rsidRPr="00F7470D" w:rsidRDefault="00166044" w:rsidP="00FB712C">
            <w:pPr>
              <w:spacing w:before="60" w:after="60"/>
              <w:rPr>
                <w:rFonts w:ascii="Segoe UI Semibold" w:hAnsi="Segoe UI Semibold"/>
                <w:sz w:val="18"/>
                <w:szCs w:val="18"/>
              </w:rPr>
            </w:pPr>
            <w:r w:rsidRPr="00F7470D">
              <w:rPr>
                <w:rFonts w:ascii="Segoe UI Semibold" w:hAnsi="Segoe UI Semibold"/>
                <w:sz w:val="18"/>
                <w:szCs w:val="18"/>
              </w:rPr>
              <w:t>Amend</w:t>
            </w:r>
            <w:r w:rsidR="00C12A60" w:rsidRPr="00F7470D">
              <w:rPr>
                <w:rFonts w:ascii="Segoe UI Semibold" w:hAnsi="Segoe UI Semibold"/>
                <w:sz w:val="18"/>
                <w:szCs w:val="18"/>
              </w:rPr>
              <w:t>ment</w:t>
            </w:r>
            <w:r w:rsidRPr="00F7470D">
              <w:rPr>
                <w:rFonts w:ascii="Segoe UI Semibold" w:hAnsi="Segoe UI Semibold"/>
                <w:sz w:val="18"/>
                <w:szCs w:val="18"/>
              </w:rPr>
              <w:t xml:space="preserve"> </w:t>
            </w:r>
          </w:p>
        </w:tc>
        <w:tc>
          <w:tcPr>
            <w:tcW w:w="1793" w:type="dxa"/>
            <w:vAlign w:val="center"/>
          </w:tcPr>
          <w:p w14:paraId="7B424A72" w14:textId="63E37BE9" w:rsidR="00166044" w:rsidRPr="00F7470D" w:rsidRDefault="00690CD6" w:rsidP="00FB712C">
            <w:pPr>
              <w:spacing w:before="60" w:after="60"/>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28</w:t>
            </w:r>
          </w:p>
        </w:tc>
        <w:tc>
          <w:tcPr>
            <w:tcW w:w="1793" w:type="dxa"/>
            <w:vAlign w:val="center"/>
          </w:tcPr>
          <w:p w14:paraId="392EEB67" w14:textId="64F8C58C" w:rsidR="00166044" w:rsidRPr="00F7470D" w:rsidRDefault="00690CD6" w:rsidP="00FB712C">
            <w:pPr>
              <w:spacing w:before="60" w:after="60"/>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12</w:t>
            </w:r>
          </w:p>
        </w:tc>
        <w:tc>
          <w:tcPr>
            <w:tcW w:w="1793" w:type="dxa"/>
            <w:vAlign w:val="center"/>
          </w:tcPr>
          <w:p w14:paraId="5809AF26" w14:textId="77777777" w:rsidR="00166044" w:rsidRPr="00F7470D" w:rsidRDefault="00166044" w:rsidP="00FB712C">
            <w:pPr>
              <w:spacing w:before="60" w:after="60"/>
              <w:jc w:val="center"/>
              <w:cnfStyle w:val="000000000000" w:firstRow="0" w:lastRow="0" w:firstColumn="0" w:lastColumn="0" w:oddVBand="0" w:evenVBand="0" w:oddHBand="0" w:evenHBand="0" w:firstRowFirstColumn="0" w:firstRowLastColumn="0" w:lastRowFirstColumn="0" w:lastRowLastColumn="0"/>
              <w:rPr>
                <w:sz w:val="18"/>
                <w:szCs w:val="18"/>
              </w:rPr>
            </w:pPr>
            <w:r w:rsidRPr="00F7470D">
              <w:rPr>
                <w:sz w:val="18"/>
                <w:szCs w:val="18"/>
              </w:rPr>
              <w:t>0</w:t>
            </w:r>
          </w:p>
        </w:tc>
        <w:tc>
          <w:tcPr>
            <w:tcW w:w="1794" w:type="dxa"/>
            <w:vAlign w:val="center"/>
          </w:tcPr>
          <w:p w14:paraId="069131C1" w14:textId="0BE405D2" w:rsidR="00166044" w:rsidRPr="00F7470D" w:rsidRDefault="005A3193" w:rsidP="00FB712C">
            <w:pPr>
              <w:spacing w:before="60" w:after="6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Pr>
                <w:rFonts w:asciiTheme="majorHAnsi" w:hAnsiTheme="majorHAnsi" w:cstheme="majorHAnsi"/>
                <w:sz w:val="18"/>
                <w:szCs w:val="18"/>
              </w:rPr>
              <w:t>40</w:t>
            </w:r>
          </w:p>
        </w:tc>
      </w:tr>
      <w:tr w:rsidR="002E6683" w:rsidRPr="00F7470D" w14:paraId="3069DB55" w14:textId="77777777" w:rsidTr="00912210">
        <w:trPr>
          <w:trHeight w:val="335"/>
        </w:trPr>
        <w:tc>
          <w:tcPr>
            <w:cnfStyle w:val="001000000000" w:firstRow="0" w:lastRow="0" w:firstColumn="1" w:lastColumn="0" w:oddVBand="0" w:evenVBand="0" w:oddHBand="0" w:evenHBand="0" w:firstRowFirstColumn="0" w:firstRowLastColumn="0" w:lastRowFirstColumn="0" w:lastRowLastColumn="0"/>
            <w:tcW w:w="2012" w:type="dxa"/>
            <w:shd w:val="clear" w:color="auto" w:fill="F2F2F2" w:themeFill="background1" w:themeFillShade="F2"/>
          </w:tcPr>
          <w:p w14:paraId="0FA3E78C" w14:textId="51378257" w:rsidR="00166044" w:rsidRPr="00F7470D" w:rsidRDefault="00166044" w:rsidP="00FB712C">
            <w:pPr>
              <w:spacing w:before="60" w:after="60"/>
              <w:rPr>
                <w:rFonts w:ascii="Segoe UI Semibold" w:hAnsi="Segoe UI Semibold"/>
                <w:sz w:val="18"/>
                <w:szCs w:val="18"/>
              </w:rPr>
            </w:pPr>
            <w:r w:rsidRPr="00F7470D">
              <w:rPr>
                <w:rFonts w:ascii="Segoe UI Semibold" w:hAnsi="Segoe UI Semibold"/>
                <w:sz w:val="18"/>
                <w:szCs w:val="18"/>
              </w:rPr>
              <w:t>Expan</w:t>
            </w:r>
            <w:r w:rsidR="00C12A60" w:rsidRPr="00F7470D">
              <w:rPr>
                <w:rFonts w:ascii="Segoe UI Semibold" w:hAnsi="Segoe UI Semibold"/>
                <w:sz w:val="18"/>
                <w:szCs w:val="18"/>
              </w:rPr>
              <w:t>sion</w:t>
            </w:r>
          </w:p>
        </w:tc>
        <w:tc>
          <w:tcPr>
            <w:tcW w:w="1793" w:type="dxa"/>
            <w:vAlign w:val="center"/>
          </w:tcPr>
          <w:p w14:paraId="1DF6A088" w14:textId="39189568" w:rsidR="00166044" w:rsidRPr="00F7470D" w:rsidRDefault="00690CD6" w:rsidP="00FB712C">
            <w:pPr>
              <w:spacing w:before="60" w:after="60"/>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9</w:t>
            </w:r>
          </w:p>
        </w:tc>
        <w:tc>
          <w:tcPr>
            <w:tcW w:w="1793" w:type="dxa"/>
            <w:vAlign w:val="center"/>
          </w:tcPr>
          <w:p w14:paraId="19793D80" w14:textId="77777777" w:rsidR="00166044" w:rsidRPr="00F7470D" w:rsidRDefault="00166044" w:rsidP="00FB712C">
            <w:pPr>
              <w:spacing w:before="60" w:after="60"/>
              <w:jc w:val="center"/>
              <w:cnfStyle w:val="000000000000" w:firstRow="0" w:lastRow="0" w:firstColumn="0" w:lastColumn="0" w:oddVBand="0" w:evenVBand="0" w:oddHBand="0" w:evenHBand="0" w:firstRowFirstColumn="0" w:firstRowLastColumn="0" w:lastRowFirstColumn="0" w:lastRowLastColumn="0"/>
              <w:rPr>
                <w:sz w:val="18"/>
                <w:szCs w:val="18"/>
              </w:rPr>
            </w:pPr>
            <w:r w:rsidRPr="00F7470D">
              <w:rPr>
                <w:sz w:val="18"/>
                <w:szCs w:val="18"/>
              </w:rPr>
              <w:t>2</w:t>
            </w:r>
          </w:p>
        </w:tc>
        <w:tc>
          <w:tcPr>
            <w:tcW w:w="1793" w:type="dxa"/>
            <w:vAlign w:val="center"/>
          </w:tcPr>
          <w:p w14:paraId="5B3924E6" w14:textId="77777777" w:rsidR="00166044" w:rsidRPr="00F7470D" w:rsidRDefault="00166044" w:rsidP="00FB712C">
            <w:pPr>
              <w:spacing w:before="60" w:after="60"/>
              <w:jc w:val="center"/>
              <w:cnfStyle w:val="000000000000" w:firstRow="0" w:lastRow="0" w:firstColumn="0" w:lastColumn="0" w:oddVBand="0" w:evenVBand="0" w:oddHBand="0" w:evenHBand="0" w:firstRowFirstColumn="0" w:firstRowLastColumn="0" w:lastRowFirstColumn="0" w:lastRowLastColumn="0"/>
              <w:rPr>
                <w:sz w:val="18"/>
                <w:szCs w:val="18"/>
              </w:rPr>
            </w:pPr>
            <w:r w:rsidRPr="00F7470D">
              <w:rPr>
                <w:sz w:val="18"/>
                <w:szCs w:val="18"/>
              </w:rPr>
              <w:t>0</w:t>
            </w:r>
          </w:p>
        </w:tc>
        <w:tc>
          <w:tcPr>
            <w:tcW w:w="1794" w:type="dxa"/>
            <w:vAlign w:val="center"/>
          </w:tcPr>
          <w:p w14:paraId="3A497DBF" w14:textId="046429F9" w:rsidR="00166044" w:rsidRPr="00F7470D" w:rsidRDefault="005A3193" w:rsidP="00FB712C">
            <w:pPr>
              <w:spacing w:before="60" w:after="6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Pr>
                <w:rFonts w:asciiTheme="majorHAnsi" w:hAnsiTheme="majorHAnsi" w:cstheme="majorHAnsi"/>
                <w:sz w:val="18"/>
                <w:szCs w:val="18"/>
              </w:rPr>
              <w:t>11</w:t>
            </w:r>
          </w:p>
        </w:tc>
      </w:tr>
      <w:tr w:rsidR="00D02198" w:rsidRPr="00F7470D" w14:paraId="6597F03A" w14:textId="77777777" w:rsidTr="00912210">
        <w:trPr>
          <w:trHeight w:val="335"/>
        </w:trPr>
        <w:tc>
          <w:tcPr>
            <w:cnfStyle w:val="001000000000" w:firstRow="0" w:lastRow="0" w:firstColumn="1" w:lastColumn="0" w:oddVBand="0" w:evenVBand="0" w:oddHBand="0" w:evenHBand="0" w:firstRowFirstColumn="0" w:firstRowLastColumn="0" w:lastRowFirstColumn="0" w:lastRowLastColumn="0"/>
            <w:tcW w:w="2012" w:type="dxa"/>
            <w:shd w:val="clear" w:color="auto" w:fill="F2F2F2" w:themeFill="background1" w:themeFillShade="F2"/>
          </w:tcPr>
          <w:p w14:paraId="6CCDAA60" w14:textId="3024268B" w:rsidR="00D02198" w:rsidRPr="00F7470D" w:rsidRDefault="00D02198" w:rsidP="00FB712C">
            <w:pPr>
              <w:spacing w:before="60" w:after="60"/>
              <w:rPr>
                <w:rFonts w:ascii="Segoe UI Semibold" w:hAnsi="Segoe UI Semibold"/>
                <w:sz w:val="18"/>
                <w:szCs w:val="18"/>
              </w:rPr>
            </w:pPr>
            <w:r>
              <w:rPr>
                <w:rFonts w:ascii="Segoe UI Semibold" w:hAnsi="Segoe UI Semibold"/>
                <w:sz w:val="18"/>
                <w:szCs w:val="18"/>
              </w:rPr>
              <w:t>Compression</w:t>
            </w:r>
          </w:p>
        </w:tc>
        <w:tc>
          <w:tcPr>
            <w:tcW w:w="1793" w:type="dxa"/>
            <w:vAlign w:val="center"/>
          </w:tcPr>
          <w:p w14:paraId="290E2514" w14:textId="36BF6600" w:rsidR="00D02198" w:rsidRPr="00F7470D" w:rsidRDefault="00690CD6" w:rsidP="00FB712C">
            <w:pPr>
              <w:spacing w:before="60" w:after="60"/>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w:t>
            </w:r>
          </w:p>
        </w:tc>
        <w:tc>
          <w:tcPr>
            <w:tcW w:w="1793" w:type="dxa"/>
            <w:vAlign w:val="center"/>
          </w:tcPr>
          <w:p w14:paraId="1EB14204" w14:textId="67B8D52E" w:rsidR="00D02198" w:rsidRPr="00F7470D" w:rsidRDefault="00690CD6" w:rsidP="00FB712C">
            <w:pPr>
              <w:spacing w:before="60" w:after="60"/>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w:t>
            </w:r>
          </w:p>
        </w:tc>
        <w:tc>
          <w:tcPr>
            <w:tcW w:w="1793" w:type="dxa"/>
            <w:vAlign w:val="center"/>
          </w:tcPr>
          <w:p w14:paraId="113E4D73" w14:textId="05C467D2" w:rsidR="00D02198" w:rsidRPr="00F7470D" w:rsidRDefault="005A3193" w:rsidP="00FB712C">
            <w:pPr>
              <w:spacing w:before="60" w:after="60"/>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w:t>
            </w:r>
          </w:p>
        </w:tc>
        <w:tc>
          <w:tcPr>
            <w:tcW w:w="1794" w:type="dxa"/>
            <w:vAlign w:val="center"/>
          </w:tcPr>
          <w:p w14:paraId="1E2DFEE2" w14:textId="11AAD95A" w:rsidR="00D02198" w:rsidRPr="00F7470D" w:rsidRDefault="005A3193" w:rsidP="00FB712C">
            <w:pPr>
              <w:spacing w:before="60" w:after="6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Pr>
                <w:rFonts w:asciiTheme="majorHAnsi" w:hAnsiTheme="majorHAnsi" w:cstheme="majorHAnsi"/>
                <w:sz w:val="18"/>
                <w:szCs w:val="18"/>
              </w:rPr>
              <w:t>0</w:t>
            </w:r>
          </w:p>
        </w:tc>
      </w:tr>
      <w:tr w:rsidR="002E6683" w:rsidRPr="00F7470D" w14:paraId="72A91191" w14:textId="77777777" w:rsidTr="00912210">
        <w:trPr>
          <w:trHeight w:val="257"/>
        </w:trPr>
        <w:tc>
          <w:tcPr>
            <w:cnfStyle w:val="001000000000" w:firstRow="0" w:lastRow="0" w:firstColumn="1" w:lastColumn="0" w:oddVBand="0" w:evenVBand="0" w:oddHBand="0" w:evenHBand="0" w:firstRowFirstColumn="0" w:firstRowLastColumn="0" w:lastRowFirstColumn="0" w:lastRowLastColumn="0"/>
            <w:tcW w:w="2012" w:type="dxa"/>
            <w:shd w:val="clear" w:color="auto" w:fill="F2F2F2" w:themeFill="background1" w:themeFillShade="F2"/>
          </w:tcPr>
          <w:p w14:paraId="681028A3" w14:textId="77777777" w:rsidR="00166044" w:rsidRPr="00F7470D" w:rsidRDefault="00166044" w:rsidP="00FB712C">
            <w:pPr>
              <w:spacing w:before="60" w:after="60"/>
              <w:rPr>
                <w:rFonts w:ascii="Segoe UI Semibold" w:hAnsi="Segoe UI Semibold"/>
                <w:sz w:val="18"/>
                <w:szCs w:val="18"/>
              </w:rPr>
            </w:pPr>
            <w:r w:rsidRPr="00F7470D">
              <w:rPr>
                <w:rFonts w:ascii="Segoe UI Semibold" w:hAnsi="Segoe UI Semibold"/>
                <w:sz w:val="18"/>
                <w:szCs w:val="18"/>
              </w:rPr>
              <w:t>All application types</w:t>
            </w:r>
          </w:p>
        </w:tc>
        <w:tc>
          <w:tcPr>
            <w:tcW w:w="1793" w:type="dxa"/>
            <w:vAlign w:val="center"/>
          </w:tcPr>
          <w:p w14:paraId="4EF3F079" w14:textId="4F692C8B" w:rsidR="00166044" w:rsidRPr="00F7470D" w:rsidRDefault="00690CD6" w:rsidP="00FB712C">
            <w:pPr>
              <w:spacing w:before="60" w:after="6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Pr>
                <w:rFonts w:asciiTheme="majorHAnsi" w:hAnsiTheme="majorHAnsi" w:cstheme="majorHAnsi"/>
                <w:sz w:val="18"/>
                <w:szCs w:val="18"/>
              </w:rPr>
              <w:t>74</w:t>
            </w:r>
          </w:p>
        </w:tc>
        <w:tc>
          <w:tcPr>
            <w:tcW w:w="1793" w:type="dxa"/>
            <w:vAlign w:val="center"/>
          </w:tcPr>
          <w:p w14:paraId="7F5D2413" w14:textId="4F7F9B58" w:rsidR="00166044" w:rsidRPr="00F7470D" w:rsidRDefault="00690CD6" w:rsidP="00FB712C">
            <w:pPr>
              <w:spacing w:before="60" w:after="6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Pr>
                <w:rFonts w:asciiTheme="majorHAnsi" w:hAnsiTheme="majorHAnsi" w:cstheme="majorHAnsi"/>
                <w:sz w:val="18"/>
                <w:szCs w:val="18"/>
              </w:rPr>
              <w:t>53</w:t>
            </w:r>
          </w:p>
        </w:tc>
        <w:tc>
          <w:tcPr>
            <w:tcW w:w="1793" w:type="dxa"/>
            <w:vAlign w:val="center"/>
          </w:tcPr>
          <w:p w14:paraId="333DF01A" w14:textId="77777777" w:rsidR="00166044" w:rsidRPr="00F7470D" w:rsidRDefault="00166044" w:rsidP="00FB712C">
            <w:pPr>
              <w:spacing w:before="60" w:after="6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F7470D">
              <w:rPr>
                <w:rFonts w:asciiTheme="majorHAnsi" w:hAnsiTheme="majorHAnsi" w:cstheme="majorHAnsi"/>
                <w:sz w:val="18"/>
                <w:szCs w:val="18"/>
              </w:rPr>
              <w:t>0</w:t>
            </w:r>
          </w:p>
        </w:tc>
        <w:tc>
          <w:tcPr>
            <w:tcW w:w="1794" w:type="dxa"/>
            <w:vAlign w:val="center"/>
          </w:tcPr>
          <w:p w14:paraId="6A30F161" w14:textId="6B45A611" w:rsidR="00166044" w:rsidRPr="00F7470D" w:rsidRDefault="00166044" w:rsidP="00FB712C">
            <w:pPr>
              <w:spacing w:before="60" w:after="6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F7470D">
              <w:rPr>
                <w:rFonts w:asciiTheme="majorHAnsi" w:hAnsiTheme="majorHAnsi" w:cstheme="majorHAnsi"/>
                <w:sz w:val="18"/>
                <w:szCs w:val="18"/>
              </w:rPr>
              <w:t>1</w:t>
            </w:r>
            <w:r w:rsidR="005A3193">
              <w:rPr>
                <w:rFonts w:asciiTheme="majorHAnsi" w:hAnsiTheme="majorHAnsi" w:cstheme="majorHAnsi"/>
                <w:sz w:val="18"/>
                <w:szCs w:val="18"/>
              </w:rPr>
              <w:t>27</w:t>
            </w:r>
          </w:p>
        </w:tc>
      </w:tr>
    </w:tbl>
    <w:p w14:paraId="535073EE" w14:textId="64BAA338" w:rsidR="008B562A" w:rsidRPr="00602824" w:rsidRDefault="008B562A" w:rsidP="00B50EE7">
      <w:pPr>
        <w:pStyle w:val="Caption"/>
      </w:pPr>
      <w:bookmarkStart w:id="69" w:name="_Ref202437147"/>
      <w:bookmarkStart w:id="70" w:name="_Ref202900691"/>
      <w:r w:rsidRPr="00602824">
        <w:t xml:space="preserve">Figure </w:t>
      </w:r>
      <w:r w:rsidR="005539DD">
        <w:fldChar w:fldCharType="begin"/>
      </w:r>
      <w:r w:rsidR="005539DD">
        <w:instrText xml:space="preserve"> SEQ Figure \* ARABIC </w:instrText>
      </w:r>
      <w:r w:rsidR="005539DD">
        <w:fldChar w:fldCharType="separate"/>
      </w:r>
      <w:r w:rsidR="0092693A">
        <w:rPr>
          <w:noProof/>
        </w:rPr>
        <w:t>25</w:t>
      </w:r>
      <w:r w:rsidR="005539DD">
        <w:fldChar w:fldCharType="end"/>
      </w:r>
      <w:bookmarkEnd w:id="69"/>
      <w:bookmarkEnd w:id="70"/>
      <w:r w:rsidRPr="00602824">
        <w:t xml:space="preserve"> | </w:t>
      </w:r>
      <w:r w:rsidR="00D11A80" w:rsidRPr="00602824">
        <w:t xml:space="preserve">Number of PL applications between September 2023 and </w:t>
      </w:r>
      <w:r w:rsidR="00C225EA">
        <w:t xml:space="preserve">April </w:t>
      </w:r>
      <w:r w:rsidR="00D11A80" w:rsidRPr="00602824">
        <w:t>20</w:t>
      </w:r>
      <w:r w:rsidR="00C225EA">
        <w:t>26</w:t>
      </w:r>
      <w:r w:rsidR="00D11A80" w:rsidRPr="00602824">
        <w:t xml:space="preserve"> (Part A, C and D)</w:t>
      </w:r>
      <w:r w:rsidR="00C225EA">
        <w:rPr>
          <w:rStyle w:val="FootnoteReference"/>
        </w:rPr>
        <w:footnoteReference w:id="100"/>
      </w:r>
    </w:p>
    <w:p w14:paraId="3F2AA90A" w14:textId="5DF87892" w:rsidR="009F7AED" w:rsidRPr="00602824" w:rsidRDefault="00C225EA" w:rsidP="009F7AED">
      <w:pPr>
        <w:rPr>
          <w:lang w:eastAsia="en-AU"/>
        </w:rPr>
      </w:pPr>
      <w:r w:rsidRPr="00C225EA">
        <w:rPr>
          <w:noProof/>
          <w:lang w:eastAsia="en-AU"/>
        </w:rPr>
        <w:drawing>
          <wp:inline distT="0" distB="0" distL="0" distR="0" wp14:anchorId="20366011" wp14:editId="2A4ECCB3">
            <wp:extent cx="5832475" cy="2990850"/>
            <wp:effectExtent l="0" t="0" r="0" b="0"/>
            <wp:docPr id="178742574" name="Picture 1" descr="Line chart showing the volume of PL applications through the Health Products Portal by t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42574" name="Picture 1" descr="Line chart showing the volume of PL applications through the Health Products Portal by tier."/>
                    <pic:cNvPicPr/>
                  </pic:nvPicPr>
                  <pic:blipFill>
                    <a:blip r:embed="rId47"/>
                    <a:stretch>
                      <a:fillRect/>
                    </a:stretch>
                  </pic:blipFill>
                  <pic:spPr>
                    <a:xfrm>
                      <a:off x="0" y="0"/>
                      <a:ext cx="5832475" cy="2990850"/>
                    </a:xfrm>
                    <a:prstGeom prst="rect">
                      <a:avLst/>
                    </a:prstGeom>
                  </pic:spPr>
                </pic:pic>
              </a:graphicData>
            </a:graphic>
          </wp:inline>
        </w:drawing>
      </w:r>
    </w:p>
    <w:p w14:paraId="6AC5CFE4" w14:textId="19052406" w:rsidR="00A178A4" w:rsidRPr="00602824" w:rsidRDefault="00466F19" w:rsidP="00FB712C">
      <w:pPr>
        <w:spacing w:before="240"/>
      </w:pPr>
      <w:r w:rsidRPr="00602824">
        <w:fldChar w:fldCharType="begin"/>
      </w:r>
      <w:r w:rsidRPr="00602824">
        <w:instrText xml:space="preserve"> REF _Ref202900691 \h </w:instrText>
      </w:r>
      <w:r w:rsidRPr="00602824">
        <w:fldChar w:fldCharType="separate"/>
      </w:r>
      <w:r w:rsidR="0092693A" w:rsidRPr="00602824">
        <w:t xml:space="preserve">Figure </w:t>
      </w:r>
      <w:r w:rsidR="0092693A">
        <w:rPr>
          <w:noProof/>
        </w:rPr>
        <w:t>25</w:t>
      </w:r>
      <w:r w:rsidRPr="00602824">
        <w:fldChar w:fldCharType="end"/>
      </w:r>
      <w:r w:rsidR="00110F98" w:rsidRPr="00602824">
        <w:t xml:space="preserve"> shows a spike in</w:t>
      </w:r>
      <w:r w:rsidR="00E2024B" w:rsidRPr="00602824">
        <w:t xml:space="preserve"> all application pathways in</w:t>
      </w:r>
      <w:r w:rsidR="00205643" w:rsidRPr="00602824">
        <w:t xml:space="preserve"> early 2024</w:t>
      </w:r>
      <w:r w:rsidR="00E2024B" w:rsidRPr="00602824">
        <w:t xml:space="preserve"> followed by a declin</w:t>
      </w:r>
      <w:r w:rsidR="00FD746A" w:rsidRPr="00602824">
        <w:t>ing trend</w:t>
      </w:r>
      <w:r w:rsidR="00E2024B" w:rsidRPr="00602824">
        <w:t xml:space="preserve"> </w:t>
      </w:r>
      <w:r w:rsidR="00FD746A" w:rsidRPr="00602824">
        <w:t xml:space="preserve">over the remainder of </w:t>
      </w:r>
      <w:r w:rsidR="008C7788" w:rsidRPr="00602824">
        <w:t>2024</w:t>
      </w:r>
      <w:r w:rsidR="00FD746A" w:rsidRPr="00602824">
        <w:t>. This</w:t>
      </w:r>
      <w:r w:rsidR="00701CF9" w:rsidRPr="00602824">
        <w:t xml:space="preserve"> initial spike</w:t>
      </w:r>
      <w:r w:rsidR="008C7788" w:rsidRPr="00602824">
        <w:t xml:space="preserve"> can be explained by </w:t>
      </w:r>
      <w:r w:rsidR="00B414BA" w:rsidRPr="00602824">
        <w:t>implementation of the new</w:t>
      </w:r>
      <w:r w:rsidR="00B1107D" w:rsidRPr="00602824">
        <w:t xml:space="preserve"> Health Products Portal (</w:t>
      </w:r>
      <w:r w:rsidR="008C7788" w:rsidRPr="00602824">
        <w:t>HPP</w:t>
      </w:r>
      <w:r w:rsidR="00B1107D" w:rsidRPr="00602824">
        <w:t>)</w:t>
      </w:r>
      <w:r w:rsidR="008C7788" w:rsidRPr="00602824">
        <w:t xml:space="preserve"> </w:t>
      </w:r>
      <w:r w:rsidR="00B414BA" w:rsidRPr="00602824">
        <w:t>enabling</w:t>
      </w:r>
      <w:r w:rsidR="00FD667E" w:rsidRPr="00602824">
        <w:t xml:space="preserve"> </w:t>
      </w:r>
      <w:r w:rsidR="008C7788" w:rsidRPr="00602824">
        <w:t xml:space="preserve">PL applications </w:t>
      </w:r>
      <w:r w:rsidR="00B414BA" w:rsidRPr="00602824">
        <w:t xml:space="preserve">to be accepted again </w:t>
      </w:r>
      <w:r w:rsidR="008C7788" w:rsidRPr="00602824">
        <w:t>after applications were closed from May to September 2023. The volume of applications ha</w:t>
      </w:r>
      <w:r w:rsidR="004265DB" w:rsidRPr="00602824">
        <w:t>s</w:t>
      </w:r>
      <w:r w:rsidR="008C7788" w:rsidRPr="00602824">
        <w:t xml:space="preserve"> settled to more </w:t>
      </w:r>
      <w:r w:rsidR="00DF6499">
        <w:t xml:space="preserve">consistent </w:t>
      </w:r>
      <w:r w:rsidR="008C7788" w:rsidRPr="00602824">
        <w:t>levels since then.</w:t>
      </w:r>
    </w:p>
    <w:p w14:paraId="3FF05CD1" w14:textId="4B1D8A90" w:rsidR="008C7788" w:rsidRPr="00602824" w:rsidRDefault="003321ED" w:rsidP="009B3F5D">
      <w:r w:rsidRPr="00602824">
        <w:t xml:space="preserve">The pathway trend </w:t>
      </w:r>
      <w:r w:rsidR="00C16ED2" w:rsidRPr="00602824">
        <w:t xml:space="preserve">indicates that Tier 2 </w:t>
      </w:r>
      <w:r w:rsidR="001332BA" w:rsidRPr="00602824">
        <w:t xml:space="preserve">applications </w:t>
      </w:r>
      <w:r w:rsidR="00060C2B" w:rsidRPr="00602824">
        <w:t xml:space="preserve">have increased over time while Tier 1 </w:t>
      </w:r>
      <w:r w:rsidR="007A248C" w:rsidRPr="00602824">
        <w:t xml:space="preserve">applications have trended downwards. </w:t>
      </w:r>
      <w:r w:rsidR="00700101" w:rsidRPr="00602824">
        <w:t>This may</w:t>
      </w:r>
      <w:r w:rsidR="00BE1135" w:rsidRPr="00602824">
        <w:t xml:space="preserve"> be due </w:t>
      </w:r>
      <w:r w:rsidR="008B4A50">
        <w:t xml:space="preserve">in some part </w:t>
      </w:r>
      <w:r w:rsidR="00BE1135" w:rsidRPr="00602824">
        <w:t>to sponsors gaining more familiarity with the tiers and their requirements.</w:t>
      </w:r>
      <w:r w:rsidR="00852C43">
        <w:t xml:space="preserve"> Notably, there was a marked drop in Tier 1 applications in early 2026.</w:t>
      </w:r>
    </w:p>
    <w:p w14:paraId="7A72F448" w14:textId="77777777" w:rsidR="005726D1" w:rsidRPr="00F0115B" w:rsidRDefault="00E838EB" w:rsidP="00622262">
      <w:pPr>
        <w:pStyle w:val="Heading3"/>
      </w:pPr>
      <w:r w:rsidRPr="00F0115B">
        <w:t xml:space="preserve">The expected efficiency gains have been </w:t>
      </w:r>
      <w:r w:rsidR="00F57096" w:rsidRPr="00F0115B">
        <w:t xml:space="preserve">hampered by </w:t>
      </w:r>
      <w:r w:rsidR="005726D1" w:rsidRPr="00F0115B">
        <w:t>staffing challenges</w:t>
      </w:r>
    </w:p>
    <w:p w14:paraId="7FEEF32E" w14:textId="4BD8FB15" w:rsidR="00D115B0" w:rsidRDefault="00D115B0" w:rsidP="00452485">
      <w:r w:rsidRPr="00D115B0">
        <w:t xml:space="preserve">Feedback from stakeholders both external to and within the Department indicated that resourcing constraints, including staff capacity and technical expertise, have limited the efficient administration of the tiered application pathways. This has affected the extent to which Tier 1 assessments by the Department have been completed consistently and at the intended level of technical </w:t>
      </w:r>
      <w:r w:rsidR="007A008A">
        <w:t>competence.</w:t>
      </w:r>
    </w:p>
    <w:p w14:paraId="1B6C82C4" w14:textId="7391337B" w:rsidR="007A008A" w:rsidRDefault="007A008A" w:rsidP="00452485">
      <w:r w:rsidRPr="007A008A">
        <w:t xml:space="preserve">Under the tiered model, Department staff assess Tier 1 applications and prepare Tier 2 applications for MDHTAC. These roles require staff to manage a high volume of technically complex submissions, triage applications appropriately and understand when clinical or technical input is required. </w:t>
      </w:r>
      <w:r w:rsidR="008F6EC9">
        <w:t>The Department has noted that r</w:t>
      </w:r>
      <w:r w:rsidRPr="007A008A">
        <w:t>ecruiting and retaining staff with the necessary skills and knowledge has been difficult</w:t>
      </w:r>
      <w:r w:rsidR="00794FCB">
        <w:t xml:space="preserve">. </w:t>
      </w:r>
      <w:r w:rsidR="008F6EC9">
        <w:t>L</w:t>
      </w:r>
      <w:r w:rsidRPr="007A008A">
        <w:t>imited resourcing has drawn criticism from stakeholders, including representatives of medical technology companies and MDHTAC members, who identified departmental capacity as a critical constraint on the effectiveness of the PL system. These issues were seen as contributing not only to slower assessment but potentially limiting timely access to new technologies in the private sector.</w:t>
      </w:r>
    </w:p>
    <w:p w14:paraId="1902AD7E" w14:textId="77777777" w:rsidR="000E593D" w:rsidRDefault="00DE0AC1" w:rsidP="00EA644C">
      <w:pPr>
        <w:spacing w:after="240"/>
      </w:pPr>
      <w:r w:rsidRPr="00DE0AC1">
        <w:t>One consequence has been the reassignment of some Tier 1 applications to Tier 2, suggesting that the Department may not yet have the capacity, capability or support structures needed to assess all Tier 1 submissions as intended.</w:t>
      </w:r>
      <w:r>
        <w:t xml:space="preserve"> </w:t>
      </w:r>
      <w:r w:rsidRPr="00DE0AC1">
        <w:t>This does not necessarily mean that all pathway challenges can be resolved through additional resourcing alone. Rather, it points to the need to review whether staffing levels, technical and clinical expertise, workflow design and escalation arrangements are well matched to the nature and flow of applications now being processed through each pathway.</w:t>
      </w:r>
    </w:p>
    <w:p w14:paraId="3DB8E94C" w14:textId="0876C321" w:rsidR="00EA644C" w:rsidRPr="00523D33" w:rsidRDefault="000E593D" w:rsidP="00EA644C">
      <w:pPr>
        <w:spacing w:after="240"/>
        <w:rPr>
          <w:lang w:eastAsia="en-AU"/>
        </w:rPr>
      </w:pPr>
      <w:r w:rsidRPr="000E593D">
        <w:rPr>
          <w:lang w:eastAsia="en-AU"/>
        </w:rPr>
        <w:t xml:space="preserve">Clinicians also raised concerns about the Department’s ability to attract and retain appropriately skilled clinical and technical staff to support the assessment of a high volume of complex device applications. They supported the Department’s gradual transition to full pathway implementation while capacity </w:t>
      </w:r>
      <w:r>
        <w:rPr>
          <w:lang w:eastAsia="en-AU"/>
        </w:rPr>
        <w:t>was</w:t>
      </w:r>
      <w:r w:rsidRPr="000E593D">
        <w:rPr>
          <w:lang w:eastAsia="en-AU"/>
        </w:rPr>
        <w:t xml:space="preserve"> </w:t>
      </w:r>
      <w:proofErr w:type="gramStart"/>
      <w:r w:rsidRPr="000E593D">
        <w:rPr>
          <w:lang w:eastAsia="en-AU"/>
        </w:rPr>
        <w:t>built</w:t>
      </w:r>
      <w:proofErr w:type="gramEnd"/>
      <w:r w:rsidRPr="000E593D">
        <w:rPr>
          <w:lang w:eastAsia="en-AU"/>
        </w:rPr>
        <w:t xml:space="preserve"> and sponsors adjust</w:t>
      </w:r>
      <w:r>
        <w:rPr>
          <w:lang w:eastAsia="en-AU"/>
        </w:rPr>
        <w:t>ed</w:t>
      </w:r>
      <w:r w:rsidRPr="000E593D">
        <w:rPr>
          <w:lang w:eastAsia="en-AU"/>
        </w:rPr>
        <w:t xml:space="preserve"> to the new requirements.</w:t>
      </w:r>
    </w:p>
    <w:tbl>
      <w:tblPr>
        <w:tblStyle w:val="NousLongformcallout"/>
        <w:tblW w:w="4950" w:type="pct"/>
        <w:tblCellMar>
          <w:top w:w="170" w:type="dxa"/>
          <w:bottom w:w="170" w:type="dxa"/>
        </w:tblCellMar>
        <w:tblLook w:val="04A0" w:firstRow="1" w:lastRow="0" w:firstColumn="1" w:lastColumn="0" w:noHBand="0" w:noVBand="1"/>
      </w:tblPr>
      <w:tblGrid>
        <w:gridCol w:w="9070"/>
      </w:tblGrid>
      <w:tr w:rsidR="00EA644C" w:rsidRPr="00602824" w14:paraId="5AF2212F" w14:textId="77777777" w:rsidTr="000A08B2">
        <w:tc>
          <w:tcPr>
            <w:tcW w:w="7285" w:type="dxa"/>
            <w:tcBorders>
              <w:left w:val="single" w:sz="18" w:space="0" w:color="2E368F" w:themeColor="text2"/>
            </w:tcBorders>
            <w:shd w:val="clear" w:color="auto" w:fill="F2F2F2" w:themeFill="background1" w:themeFillShade="F2"/>
          </w:tcPr>
          <w:p w14:paraId="79DAD389" w14:textId="77777777" w:rsidR="00EA644C" w:rsidRPr="00194DA6" w:rsidRDefault="00EA644C" w:rsidP="000A08B2">
            <w:pPr>
              <w:pStyle w:val="Longformcallout"/>
              <w:spacing w:before="0" w:after="120"/>
              <w:rPr>
                <w:rFonts w:asciiTheme="majorHAnsi" w:hAnsiTheme="majorHAnsi" w:cstheme="majorHAnsi"/>
                <w:color w:val="2E368F" w:themeColor="text2"/>
              </w:rPr>
            </w:pPr>
            <w:r w:rsidRPr="00602824">
              <w:rPr>
                <w:rFonts w:asciiTheme="majorHAnsi" w:hAnsiTheme="majorHAnsi" w:cstheme="majorHAnsi"/>
                <w:color w:val="2E368F" w:themeColor="text2"/>
              </w:rPr>
              <w:t xml:space="preserve">RECOMMENDATION </w:t>
            </w:r>
            <w:r>
              <w:rPr>
                <w:rFonts w:asciiTheme="majorHAnsi" w:hAnsiTheme="majorHAnsi" w:cstheme="majorHAnsi"/>
                <w:color w:val="2E368F" w:themeColor="text2"/>
              </w:rPr>
              <w:t xml:space="preserve">5: </w:t>
            </w:r>
            <w:r w:rsidRPr="00AF5EA3">
              <w:rPr>
                <w:rFonts w:asciiTheme="majorHAnsi" w:hAnsiTheme="majorHAnsi" w:cstheme="majorHAnsi"/>
              </w:rPr>
              <w:t>Review staffing requirements against the nature and flow of application processing, matching work requirements with the technical and clinical expertise of the team</w:t>
            </w:r>
            <w:r w:rsidRPr="00194DA6">
              <w:rPr>
                <w:rFonts w:asciiTheme="majorHAnsi" w:hAnsiTheme="majorHAnsi" w:cstheme="majorHAnsi"/>
              </w:rPr>
              <w:t>.</w:t>
            </w:r>
          </w:p>
        </w:tc>
      </w:tr>
    </w:tbl>
    <w:p w14:paraId="7F71B1A2" w14:textId="3B60B7C3" w:rsidR="00CF1369" w:rsidRDefault="00C22ACF" w:rsidP="00622262">
      <w:pPr>
        <w:pStyle w:val="Heading3"/>
      </w:pPr>
      <w:r>
        <w:t xml:space="preserve">The quality of </w:t>
      </w:r>
      <w:r w:rsidR="00FF6DCB">
        <w:t xml:space="preserve">sponsor submissions </w:t>
      </w:r>
      <w:r w:rsidR="00F64277">
        <w:t xml:space="preserve">has </w:t>
      </w:r>
      <w:r w:rsidR="00F0115B">
        <w:t>not been optimal, adding to staff workload</w:t>
      </w:r>
    </w:p>
    <w:p w14:paraId="7EA253A3" w14:textId="73166BB5" w:rsidR="00081EAF" w:rsidRDefault="00555EDE" w:rsidP="00081EAF">
      <w:pPr>
        <w:spacing w:after="240"/>
      </w:pPr>
      <w:r w:rsidRPr="00AC7E3F">
        <w:rPr>
          <w:noProof/>
        </w:rPr>
        <mc:AlternateContent>
          <mc:Choice Requires="wps">
            <w:drawing>
              <wp:anchor distT="0" distB="0" distL="114300" distR="114300" simplePos="0" relativeHeight="251658248" behindDoc="1" locked="0" layoutInCell="1" allowOverlap="1" wp14:anchorId="671324E2" wp14:editId="26F4BF14">
                <wp:simplePos x="0" y="0"/>
                <wp:positionH relativeFrom="margin">
                  <wp:posOffset>3542665</wp:posOffset>
                </wp:positionH>
                <wp:positionV relativeFrom="paragraph">
                  <wp:posOffset>274320</wp:posOffset>
                </wp:positionV>
                <wp:extent cx="2133600" cy="1876425"/>
                <wp:effectExtent l="0" t="0" r="0" b="9525"/>
                <wp:wrapTight wrapText="bothSides">
                  <wp:wrapPolygon edited="0">
                    <wp:start x="0" y="0"/>
                    <wp:lineTo x="0" y="21490"/>
                    <wp:lineTo x="21407" y="21490"/>
                    <wp:lineTo x="21407" y="0"/>
                    <wp:lineTo x="0" y="0"/>
                  </wp:wrapPolygon>
                </wp:wrapTight>
                <wp:docPr id="447146463" name="Text Box 447146463"/>
                <wp:cNvGraphicFramePr/>
                <a:graphic xmlns:a="http://schemas.openxmlformats.org/drawingml/2006/main">
                  <a:graphicData uri="http://schemas.microsoft.com/office/word/2010/wordprocessingShape">
                    <wps:wsp>
                      <wps:cNvSpPr txBox="1"/>
                      <wps:spPr>
                        <a:xfrm>
                          <a:off x="0" y="0"/>
                          <a:ext cx="2133600" cy="1876425"/>
                        </a:xfrm>
                        <a:prstGeom prst="rect">
                          <a:avLst/>
                        </a:prstGeom>
                        <a:solidFill>
                          <a:sysClr val="window" lastClr="FFFFFF"/>
                        </a:solidFill>
                        <a:ln w="6350">
                          <a:noFill/>
                        </a:ln>
                        <a:effectLst/>
                      </wps:spPr>
                      <wps:txbx>
                        <w:txbxContent>
                          <w:p w14:paraId="14C444EF" w14:textId="77777777" w:rsidR="00081EAF" w:rsidRPr="006F6652" w:rsidRDefault="00081EAF" w:rsidP="00081EAF">
                            <w:pPr>
                              <w:pStyle w:val="Callout"/>
                              <w:jc w:val="right"/>
                              <w:rPr>
                                <w:i/>
                                <w:iCs/>
                                <w:color w:val="F25E21" w:themeColor="accent2"/>
                                <w:sz w:val="20"/>
                                <w:szCs w:val="20"/>
                              </w:rPr>
                            </w:pPr>
                            <w:r w:rsidRPr="006F6652">
                              <w:rPr>
                                <w:i/>
                                <w:iCs/>
                                <w:color w:val="F25E21" w:themeColor="accent2"/>
                                <w:sz w:val="20"/>
                                <w:szCs w:val="20"/>
                              </w:rPr>
                              <w:t xml:space="preserve">“MDHTAC Members are faced with additional requests to be assessed in real time or delay the application until the next round of ECAG meetings. A harder deadline and better resources for the department would be the obvious solution” </w:t>
                            </w:r>
                          </w:p>
                          <w:p w14:paraId="6DEAACE6" w14:textId="48CF7995" w:rsidR="00081EAF" w:rsidRPr="00354B01" w:rsidRDefault="00081EAF" w:rsidP="00354B01">
                            <w:pPr>
                              <w:pStyle w:val="Calloutmember"/>
                              <w:rPr>
                                <w:i/>
                                <w:iCs/>
                                <w:color w:val="F25E21" w:themeColor="accent2"/>
                              </w:rPr>
                            </w:pPr>
                            <w:r w:rsidRPr="006F6652">
                              <w:t>MDHTAC member, June 2025</w:t>
                            </w:r>
                          </w:p>
                        </w:txbxContent>
                      </wps:txbx>
                      <wps:bodyPr rot="0" spcFirstLastPara="0" vertOverflow="overflow" horzOverflow="overflow" vert="horz" wrap="square" lIns="0" tIns="45720" rIns="3600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71324E2" id="Text Box 447146463" o:spid="_x0000_s1028" type="#_x0000_t202" style="position:absolute;margin-left:278.95pt;margin-top:21.6pt;width:168pt;height:147.75pt;z-index:-251658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" fillcolor="window" stroked="f" strokeweight=".5pt">
                <v:textbox inset="0,,1mm">
                  <w:txbxContent>
                    <w:p w14:paraId="14C444EF" w14:textId="77777777" w:rsidR="00081EAF" w:rsidRPr="006F6652" w:rsidRDefault="00081EAF" w:rsidP="00081EAF">
                      <w:pPr>
                        <w:pStyle w:val="Callout"/>
                        <w:jc w:val="right"/>
                        <w:rPr>
                          <w:i/>
                          <w:iCs/>
                          <w:color w:val="F25E21" w:themeColor="accent2"/>
                          <w:sz w:val="20"/>
                          <w:szCs w:val="20"/>
                        </w:rPr>
                      </w:pPr>
                      <w:r w:rsidRPr="006F6652">
                        <w:rPr>
                          <w:i/>
                          <w:iCs/>
                          <w:color w:val="F25E21" w:themeColor="accent2"/>
                          <w:sz w:val="20"/>
                          <w:szCs w:val="20"/>
                        </w:rPr>
                        <w:t xml:space="preserve">“MDHTAC Members are faced with additional requests to be assessed in real time or delay the application until the next round of ECAG meetings. A harder deadline and better resources for the department would be the obvious solution” </w:t>
                      </w:r>
                    </w:p>
                    <w:p w14:paraId="6DEAACE6" w14:textId="48CF7995" w:rsidR="00081EAF" w:rsidRPr="00354B01" w:rsidRDefault="00081EAF" w:rsidP="00354B01">
                      <w:pPr>
                        <w:pStyle w:val="Calloutmember"/>
                        <w:rPr>
                          <w:i/>
                          <w:iCs/>
                          <w:color w:val="F25E21" w:themeColor="accent2"/>
                        </w:rPr>
                      </w:pPr>
                      <w:r w:rsidRPr="006F6652">
                        <w:t>MDHTAC member, June 2025</w:t>
                      </w:r>
                    </w:p>
                  </w:txbxContent>
                </v:textbox>
                <w10:wrap type="tight" anchorx="margin"/>
              </v:shape>
            </w:pict>
          </mc:Fallback>
        </mc:AlternateContent>
      </w:r>
      <w:r w:rsidR="00081EAF" w:rsidRPr="00602824">
        <w:t xml:space="preserve">Staff </w:t>
      </w:r>
      <w:r w:rsidR="002802CE">
        <w:t xml:space="preserve">and members of the </w:t>
      </w:r>
      <w:r w:rsidR="00152664">
        <w:t xml:space="preserve">MDHTAC and </w:t>
      </w:r>
      <w:r w:rsidR="00F365A6">
        <w:t xml:space="preserve">ECAGs </w:t>
      </w:r>
      <w:r w:rsidR="00081EAF" w:rsidRPr="00602824">
        <w:t xml:space="preserve">have faced challenges managing </w:t>
      </w:r>
      <w:r w:rsidR="00974912">
        <w:t xml:space="preserve">late, </w:t>
      </w:r>
      <w:r w:rsidR="00011E0E">
        <w:t>incomplete</w:t>
      </w:r>
      <w:r w:rsidR="00974912">
        <w:t xml:space="preserve"> or </w:t>
      </w:r>
      <w:r w:rsidR="00011E0E">
        <w:t xml:space="preserve">poor quality </w:t>
      </w:r>
      <w:r w:rsidR="00081EAF" w:rsidRPr="00602824">
        <w:t>responses from sponsors, further straining an already stretched system.</w:t>
      </w:r>
      <w:r w:rsidR="00B75C18">
        <w:t xml:space="preserve"> </w:t>
      </w:r>
      <w:r w:rsidR="00A65708" w:rsidRPr="00A65708">
        <w:t>The resulting to-and-fro to ensure information is complete and correct has added avoidable time and effort to the assessment process.</w:t>
      </w:r>
    </w:p>
    <w:p w14:paraId="2945F314" w14:textId="47D1CC93" w:rsidR="006E438C" w:rsidRDefault="004150B0" w:rsidP="00081EAF">
      <w:pPr>
        <w:spacing w:after="240"/>
      </w:pPr>
      <w:r w:rsidRPr="004150B0">
        <w:t xml:space="preserve">In consultations, representatives of the MedTech industry were concerned that the absence of minimum response times and clear service standards impedes commercial planning. </w:t>
      </w:r>
      <w:r w:rsidR="00D02CD5">
        <w:t xml:space="preserve">They also noted that tailored training offered to sponsors </w:t>
      </w:r>
      <w:r w:rsidR="006236B0">
        <w:t xml:space="preserve">by the Department </w:t>
      </w:r>
      <w:r w:rsidR="00D02CD5">
        <w:t xml:space="preserve">would </w:t>
      </w:r>
      <w:r w:rsidR="0077554B">
        <w:t>likely</w:t>
      </w:r>
      <w:r w:rsidR="006236B0">
        <w:t xml:space="preserve"> lift the quality of responses. </w:t>
      </w:r>
      <w:r w:rsidRPr="004150B0">
        <w:t>This indicates that both the Department and sponsors would benefit from clearer expectations around the application process, including the quality of information required, the timing of sponsor responses and the consequences of not meeting these requirements</w:t>
      </w:r>
      <w:r w:rsidR="00A94812">
        <w:t>.</w:t>
      </w:r>
      <w:r w:rsidR="00D02CD5">
        <w:t xml:space="preserve"> </w:t>
      </w:r>
    </w:p>
    <w:p w14:paraId="6FC6ED6F" w14:textId="04CB8CC4" w:rsidR="005E7B1E" w:rsidRPr="00523D33" w:rsidRDefault="00627333" w:rsidP="005E7B1E">
      <w:pPr>
        <w:spacing w:after="240"/>
      </w:pPr>
      <w:r>
        <w:t xml:space="preserve">Better understanding of the process through training and </w:t>
      </w:r>
      <w:r w:rsidR="003F34A7">
        <w:t xml:space="preserve">the enforcement of </w:t>
      </w:r>
      <w:r w:rsidR="004150B0" w:rsidRPr="004150B0">
        <w:t>a tighter set of requirements for sponsor submissions could materially improve administration of the pathways. This would require clear minimum standards for quality and completeness, defined response timeframes and a willingness to defer or close applications that do not meet requirements. A firmer approach would help lift the quality of submissions, reduce avoidable to-and-fro between sponsors and officials, and free up staff time for more productive assessment work</w:t>
      </w:r>
      <w:r w:rsidR="004D45D6">
        <w:t>.</w:t>
      </w:r>
    </w:p>
    <w:tbl>
      <w:tblPr>
        <w:tblStyle w:val="NousLongformcallout"/>
        <w:tblW w:w="4950" w:type="pct"/>
        <w:tblCellMar>
          <w:top w:w="170" w:type="dxa"/>
          <w:bottom w:w="170" w:type="dxa"/>
        </w:tblCellMar>
        <w:tblLook w:val="04A0" w:firstRow="1" w:lastRow="0" w:firstColumn="1" w:lastColumn="0" w:noHBand="0" w:noVBand="1"/>
      </w:tblPr>
      <w:tblGrid>
        <w:gridCol w:w="9070"/>
      </w:tblGrid>
      <w:tr w:rsidR="005E7B1E" w:rsidRPr="00602824" w14:paraId="4D9B817B" w14:textId="77777777" w:rsidTr="000A08B2">
        <w:tc>
          <w:tcPr>
            <w:tcW w:w="7285" w:type="dxa"/>
            <w:tcBorders>
              <w:left w:val="single" w:sz="18" w:space="0" w:color="2E368F" w:themeColor="text2"/>
            </w:tcBorders>
            <w:shd w:val="clear" w:color="auto" w:fill="F2F2F2" w:themeFill="background1" w:themeFillShade="F2"/>
          </w:tcPr>
          <w:p w14:paraId="3D8FB83B" w14:textId="2A937570" w:rsidR="005E7B1E" w:rsidRPr="00194DA6" w:rsidRDefault="005E7B1E" w:rsidP="000A08B2">
            <w:pPr>
              <w:pStyle w:val="Longformcallout"/>
              <w:spacing w:before="0" w:after="120"/>
              <w:rPr>
                <w:rFonts w:asciiTheme="majorHAnsi" w:hAnsiTheme="majorHAnsi" w:cstheme="majorHAnsi"/>
                <w:color w:val="2E368F" w:themeColor="text2"/>
              </w:rPr>
            </w:pPr>
            <w:r w:rsidRPr="00602824">
              <w:rPr>
                <w:rFonts w:asciiTheme="majorHAnsi" w:hAnsiTheme="majorHAnsi" w:cstheme="majorHAnsi"/>
                <w:color w:val="2E368F" w:themeColor="text2"/>
              </w:rPr>
              <w:t xml:space="preserve">RECOMMENDATION </w:t>
            </w:r>
            <w:r>
              <w:rPr>
                <w:rFonts w:asciiTheme="majorHAnsi" w:hAnsiTheme="majorHAnsi" w:cstheme="majorHAnsi"/>
                <w:color w:val="2E368F" w:themeColor="text2"/>
              </w:rPr>
              <w:t xml:space="preserve">6: </w:t>
            </w:r>
            <w:r w:rsidRPr="00AF5EA3">
              <w:rPr>
                <w:rFonts w:asciiTheme="majorHAnsi" w:hAnsiTheme="majorHAnsi" w:cstheme="majorHAnsi"/>
              </w:rPr>
              <w:t xml:space="preserve">Implement </w:t>
            </w:r>
            <w:r w:rsidR="00BE5871">
              <w:rPr>
                <w:rFonts w:asciiTheme="majorHAnsi" w:hAnsiTheme="majorHAnsi" w:cstheme="majorHAnsi"/>
              </w:rPr>
              <w:t xml:space="preserve">tailored training for sponsors </w:t>
            </w:r>
            <w:r w:rsidRPr="00AF5EA3">
              <w:rPr>
                <w:rFonts w:asciiTheme="majorHAnsi" w:hAnsiTheme="majorHAnsi" w:cstheme="majorHAnsi"/>
              </w:rPr>
              <w:t>and enforce tight requirements for quality, completeness and timeliness for sponsor submissions</w:t>
            </w:r>
            <w:r w:rsidRPr="00194DA6">
              <w:rPr>
                <w:rFonts w:asciiTheme="majorHAnsi" w:hAnsiTheme="majorHAnsi" w:cstheme="majorHAnsi"/>
              </w:rPr>
              <w:t>.</w:t>
            </w:r>
          </w:p>
        </w:tc>
      </w:tr>
    </w:tbl>
    <w:p w14:paraId="584D2206" w14:textId="32EE1760" w:rsidR="0094012D" w:rsidRPr="00602824" w:rsidRDefault="005E0F48" w:rsidP="00622262">
      <w:pPr>
        <w:pStyle w:val="Heading3"/>
      </w:pPr>
      <w:r w:rsidRPr="00602824">
        <w:t>Po</w:t>
      </w:r>
      <w:r w:rsidR="003526C9" w:rsidRPr="00602824">
        <w:t xml:space="preserve">tential </w:t>
      </w:r>
      <w:r w:rsidR="002D4456">
        <w:t xml:space="preserve">further </w:t>
      </w:r>
      <w:r w:rsidR="003526C9" w:rsidRPr="00602824">
        <w:t>improvements to the pathways process could improve efficiency</w:t>
      </w:r>
      <w:r w:rsidR="00CF14E1">
        <w:t xml:space="preserve"> without risking safety</w:t>
      </w:r>
      <w:r w:rsidR="002D4456">
        <w:t xml:space="preserve"> and quality</w:t>
      </w:r>
    </w:p>
    <w:p w14:paraId="7A5015EE" w14:textId="2EA4B1CC" w:rsidR="00797821" w:rsidRDefault="00797821" w:rsidP="00797821">
      <w:r>
        <w:t xml:space="preserve">Based on the experience of the </w:t>
      </w:r>
      <w:proofErr w:type="gramStart"/>
      <w:r>
        <w:t>pathways</w:t>
      </w:r>
      <w:proofErr w:type="gramEnd"/>
      <w:r>
        <w:t xml:space="preserve"> reforms, a question remains as to whether the revised pathways are optimal. While stakeholders broadly supported the new tiered model of PL device assessments, there were calls for clearer guidance and better transparency in addition to better-resourced implementation.</w:t>
      </w:r>
    </w:p>
    <w:p w14:paraId="16B10342" w14:textId="5FFB3C54" w:rsidR="007800CD" w:rsidRDefault="00797821" w:rsidP="007800CD">
      <w:pPr>
        <w:rPr>
          <w:lang w:eastAsia="en-AU"/>
        </w:rPr>
      </w:pPr>
      <w:r>
        <w:t>Some stakeholders commented that the PL application assessment pathways are not well aligned with some of the Health Technology Assessment (HTA) principles that define the way that assessment processes like the PL pathways should occur.</w:t>
      </w:r>
      <w:r w:rsidRPr="00602824">
        <w:rPr>
          <w:rStyle w:val="FootnoteReference"/>
          <w:lang w:eastAsia="en-AU"/>
        </w:rPr>
        <w:footnoteReference w:id="101"/>
      </w:r>
      <w:r>
        <w:t xml:space="preserve"> </w:t>
      </w:r>
      <w:r w:rsidR="00D57227" w:rsidRPr="00D57227">
        <w:rPr>
          <w:lang w:eastAsia="en-AU"/>
        </w:rPr>
        <w:t>They raised concerns about sustainability, transparency, administrative efficiency, accountability and consultative engagement. For example, while private hospitals and insurers do not submit PL applications, both had concerns about limited transparency of the assessment processes. Insurers expressed concern about the cumulative financial impact of certain device listings over time, reporting there is limited transparency on expected volumes or outcomes.</w:t>
      </w:r>
    </w:p>
    <w:p w14:paraId="1C31531F" w14:textId="388B4FE9" w:rsidR="00AE323A" w:rsidRDefault="00AE323A" w:rsidP="007800CD">
      <w:r w:rsidRPr="00AE323A">
        <w:t>Medical technology representatives pointed to gaps in the available guidance as contributing to uncertainty. The draft PL Guide issued in December 2023 had not been finalised at the conclusion of the reforms and lacked detailed guidance on several elements, including the focused HTA process and the pathway for listing new technologies or updating existing listings on Part C of the PL. Because Part C applies to specified groups of devices that do not meet the Part A criteria but are considered suitable by the Minister for private health insurance benefit payments, clearer guidance is needed on the criteria and process used to support Ministerial recommendations. Stakeholders considered that these gaps reduced transparency and limited the PL’s ability to support timely access to emerging technologies.</w:t>
      </w:r>
    </w:p>
    <w:p w14:paraId="1480DCAF" w14:textId="77777777" w:rsidR="005A224A" w:rsidRDefault="005A224A" w:rsidP="006A0C8A">
      <w:pPr>
        <w:rPr>
          <w:rFonts w:ascii="Segoe UI Semibold" w:eastAsia="Times New Roman" w:hAnsi="Segoe UI Semibold" w:cs="Times New Roman"/>
          <w:color w:val="00264D" w:themeColor="background2"/>
          <w:sz w:val="22"/>
          <w:szCs w:val="19"/>
          <w:lang w:eastAsia="en-AU"/>
        </w:rPr>
      </w:pPr>
      <w:bookmarkStart w:id="71" w:name="_Ref202438626"/>
      <w:r w:rsidRPr="005A224A">
        <w:rPr>
          <w:rFonts w:ascii="Segoe UI Semibold" w:eastAsia="Times New Roman" w:hAnsi="Segoe UI Semibold" w:cs="Times New Roman"/>
          <w:color w:val="00264D" w:themeColor="background2"/>
          <w:sz w:val="22"/>
          <w:szCs w:val="19"/>
          <w:lang w:eastAsia="en-AU"/>
        </w:rPr>
        <w:t>There is an opportunity to examine whether PL evidence requirements can be streamlined</w:t>
      </w:r>
    </w:p>
    <w:p w14:paraId="31483138" w14:textId="2C4577B2" w:rsidR="005A224A" w:rsidRDefault="005A224A" w:rsidP="005A224A">
      <w:pPr>
        <w:rPr>
          <w:lang w:eastAsia="en-AU"/>
        </w:rPr>
      </w:pPr>
      <w:r>
        <w:rPr>
          <w:lang w:eastAsia="en-AU"/>
        </w:rPr>
        <w:t>While medical technology representatives regarded Tier 1 as a step in a positive direction, they identified areas for refinement that they believed could reduce barriers and strengthen alignment with the evidence. In their view, the evidence requirements for some of the tiers are too stringent compared to overseas markets.</w:t>
      </w:r>
    </w:p>
    <w:p w14:paraId="1EEE30EB" w14:textId="37524AAC" w:rsidR="005A224A" w:rsidRDefault="005A224A" w:rsidP="005A224A">
      <w:pPr>
        <w:rPr>
          <w:lang w:eastAsia="en-AU"/>
        </w:rPr>
      </w:pPr>
      <w:r>
        <w:rPr>
          <w:lang w:eastAsia="en-AU"/>
        </w:rPr>
        <w:t>Medical technology stakeholders argued that the evidence requirements, particularly under Tier 2b and Tier 3, are not proportionate to the type and timing of evidence typically available for medical devices and are more stringent than comparable international settings. They also contrasted PL assessment timelines with pharmaceutical processes, calling for Tier 2b and Tier 3 applications to be completed within a single cycle.</w:t>
      </w:r>
    </w:p>
    <w:p w14:paraId="6E32268A" w14:textId="0B9269A3" w:rsidR="005A224A" w:rsidRDefault="001E1D05" w:rsidP="00102B7A">
      <w:r w:rsidRPr="001E1D05">
        <w:t>These views should be considered in the context of the broader regulatory pathway for medical devices. Devices listed on the PL must already be included on the ARTG, meaning they have been assessed through TGA processes. This does not remove the need for the PL to consider whether a device should attract a private health insurance benefit, or the appropriate level of that benefit. However, it does raise a question about whether some elements of the PL assessment process could better leverage TGA assessments of safety and quality, or relevant international assessments of clinical effectiveness, without duplicating work unnecessarily.</w:t>
      </w:r>
    </w:p>
    <w:p w14:paraId="582910B8" w14:textId="29D8B4EB" w:rsidR="0088157F" w:rsidRPr="00523D33" w:rsidRDefault="0064463D" w:rsidP="0088157F">
      <w:pPr>
        <w:rPr>
          <w:lang w:eastAsia="en-AU"/>
        </w:rPr>
      </w:pPr>
      <w:r w:rsidRPr="0064463D">
        <w:rPr>
          <w:lang w:eastAsia="en-AU"/>
        </w:rPr>
        <w:t>A joint examination by the Department and TGA would help identify where the current process is appropriately distinct, where duplication may exist and where requirements could be streamlined while maintaining confidence in the clinical and financial basis for PL listing decisions.</w:t>
      </w:r>
    </w:p>
    <w:tbl>
      <w:tblPr>
        <w:tblStyle w:val="NousLongformcallout"/>
        <w:tblW w:w="4950" w:type="pct"/>
        <w:tblCellMar>
          <w:top w:w="170" w:type="dxa"/>
          <w:bottom w:w="170" w:type="dxa"/>
        </w:tblCellMar>
        <w:tblLook w:val="04A0" w:firstRow="1" w:lastRow="0" w:firstColumn="1" w:lastColumn="0" w:noHBand="0" w:noVBand="1"/>
      </w:tblPr>
      <w:tblGrid>
        <w:gridCol w:w="9070"/>
      </w:tblGrid>
      <w:tr w:rsidR="0088157F" w:rsidRPr="00602824" w14:paraId="71E337A2" w14:textId="77777777" w:rsidTr="000A08B2">
        <w:tc>
          <w:tcPr>
            <w:tcW w:w="7285" w:type="dxa"/>
            <w:tcBorders>
              <w:left w:val="single" w:sz="18" w:space="0" w:color="2E368F" w:themeColor="text2"/>
            </w:tcBorders>
            <w:shd w:val="clear" w:color="auto" w:fill="F2F2F2" w:themeFill="background1" w:themeFillShade="F2"/>
          </w:tcPr>
          <w:p w14:paraId="3A733C75" w14:textId="77777777" w:rsidR="0088157F" w:rsidRPr="00194DA6" w:rsidRDefault="0088157F" w:rsidP="000A08B2">
            <w:pPr>
              <w:pStyle w:val="Longformcallout"/>
              <w:spacing w:before="0" w:after="120"/>
              <w:rPr>
                <w:rFonts w:asciiTheme="majorHAnsi" w:hAnsiTheme="majorHAnsi" w:cstheme="majorHAnsi"/>
                <w:color w:val="2E368F" w:themeColor="text2"/>
              </w:rPr>
            </w:pPr>
            <w:r w:rsidRPr="00602824">
              <w:rPr>
                <w:rFonts w:asciiTheme="majorHAnsi" w:hAnsiTheme="majorHAnsi" w:cstheme="majorHAnsi"/>
                <w:color w:val="2E368F" w:themeColor="text2"/>
              </w:rPr>
              <w:t xml:space="preserve">RECOMMENDATION </w:t>
            </w:r>
            <w:r>
              <w:rPr>
                <w:rFonts w:asciiTheme="majorHAnsi" w:hAnsiTheme="majorHAnsi" w:cstheme="majorHAnsi"/>
                <w:color w:val="2E368F" w:themeColor="text2"/>
              </w:rPr>
              <w:t xml:space="preserve">7: </w:t>
            </w:r>
            <w:r w:rsidRPr="00AF5EA3">
              <w:rPr>
                <w:rFonts w:asciiTheme="majorHAnsi" w:hAnsiTheme="majorHAnsi" w:cstheme="majorHAnsi"/>
              </w:rPr>
              <w:t xml:space="preserve">The Department and TGA should conduct a joint examination of the potential for some PL assessments to </w:t>
            </w:r>
            <w:r>
              <w:rPr>
                <w:rFonts w:asciiTheme="majorHAnsi" w:hAnsiTheme="majorHAnsi" w:cstheme="majorHAnsi"/>
              </w:rPr>
              <w:t>leverage</w:t>
            </w:r>
            <w:r w:rsidRPr="00AF5EA3">
              <w:rPr>
                <w:rFonts w:asciiTheme="majorHAnsi" w:hAnsiTheme="majorHAnsi" w:cstheme="majorHAnsi"/>
              </w:rPr>
              <w:t xml:space="preserve"> the TGA assessment of device safety and quality or international assessments of clinical effectiveness and ensure there is no unnecessary duplication</w:t>
            </w:r>
            <w:r w:rsidRPr="00194DA6">
              <w:rPr>
                <w:rFonts w:asciiTheme="majorHAnsi" w:hAnsiTheme="majorHAnsi" w:cstheme="majorHAnsi"/>
              </w:rPr>
              <w:t>.</w:t>
            </w:r>
          </w:p>
        </w:tc>
      </w:tr>
    </w:tbl>
    <w:bookmarkEnd w:id="71"/>
    <w:p w14:paraId="0CF2466A" w14:textId="50FC6DD4" w:rsidR="00415271" w:rsidRPr="00602824" w:rsidRDefault="00BC1387" w:rsidP="00C4091B">
      <w:pPr>
        <w:pStyle w:val="Heading3"/>
      </w:pPr>
      <w:r>
        <w:t xml:space="preserve">Reform project (b): </w:t>
      </w:r>
      <w:r w:rsidR="00A761B7">
        <w:t>governance arrangements</w:t>
      </w:r>
      <w:r w:rsidR="00517EDB" w:rsidRPr="00602824">
        <w:t xml:space="preserve"> </w:t>
      </w:r>
    </w:p>
    <w:tbl>
      <w:tblPr>
        <w:tblStyle w:val="NOUSSideHeader4"/>
        <w:tblW w:w="5000" w:type="pct"/>
        <w:tblLook w:val="04A0" w:firstRow="1" w:lastRow="0" w:firstColumn="1" w:lastColumn="0" w:noHBand="0" w:noVBand="1"/>
      </w:tblPr>
      <w:tblGrid>
        <w:gridCol w:w="9185"/>
      </w:tblGrid>
      <w:tr w:rsidR="005A1DA9" w:rsidRPr="00602824" w14:paraId="581A02DA" w14:textId="77777777" w:rsidTr="00912210">
        <w:trPr>
          <w:cnfStyle w:val="100000000000" w:firstRow="1" w:lastRow="0" w:firstColumn="0" w:lastColumn="0" w:oddVBand="0" w:evenVBand="0" w:oddHBand="0" w:evenHBand="0" w:firstRowFirstColumn="0" w:firstRowLastColumn="0" w:lastRowFirstColumn="0" w:lastRowLastColumn="0"/>
        </w:trPr>
        <w:tc>
          <w:tcPr>
            <w:tcW w:w="9061" w:type="dxa"/>
          </w:tcPr>
          <w:p w14:paraId="075E0905" w14:textId="10CB2D38" w:rsidR="00415271" w:rsidRPr="00602824" w:rsidRDefault="00415271" w:rsidP="00FB712C">
            <w:r w:rsidRPr="00602824">
              <w:t xml:space="preserve">As outlined in </w:t>
            </w:r>
            <w:r w:rsidRPr="00602824">
              <w:rPr>
                <w:i/>
              </w:rPr>
              <w:t xml:space="preserve">Interim Evaluation </w:t>
            </w:r>
            <w:r w:rsidR="00E46892" w:rsidRPr="00602824">
              <w:rPr>
                <w:i/>
                <w:iCs/>
              </w:rPr>
              <w:t>#</w:t>
            </w:r>
            <w:r w:rsidRPr="00602824">
              <w:rPr>
                <w:i/>
              </w:rPr>
              <w:t>1</w:t>
            </w:r>
            <w:r w:rsidR="00E46892" w:rsidRPr="00602824">
              <w:rPr>
                <w:i/>
                <w:iCs/>
              </w:rPr>
              <w:t xml:space="preserve"> report</w:t>
            </w:r>
            <w:r w:rsidRPr="00602824">
              <w:t xml:space="preserve">, </w:t>
            </w:r>
            <w:r w:rsidR="008918BF" w:rsidRPr="00602824">
              <w:t xml:space="preserve">the previous </w:t>
            </w:r>
            <w:r w:rsidR="00ED0441" w:rsidRPr="00602824">
              <w:t xml:space="preserve">PL </w:t>
            </w:r>
            <w:r w:rsidR="008918BF" w:rsidRPr="00602824">
              <w:t xml:space="preserve">governance arrangements were replaced with the </w:t>
            </w:r>
            <w:r w:rsidR="00ED0441" w:rsidRPr="00602824">
              <w:t>Medical Devices and Human Tissue Advisory Committee (MDHTAC)</w:t>
            </w:r>
            <w:r w:rsidR="008918BF" w:rsidRPr="00602824">
              <w:t xml:space="preserve"> </w:t>
            </w:r>
            <w:r w:rsidR="00C90999" w:rsidRPr="00602824">
              <w:t xml:space="preserve">and five </w:t>
            </w:r>
            <w:r w:rsidR="00ED0441" w:rsidRPr="00602824">
              <w:t>associated sub-</w:t>
            </w:r>
            <w:r w:rsidR="00FC60FC" w:rsidRPr="00602824">
              <w:t>committees</w:t>
            </w:r>
            <w:r w:rsidR="00ED0441" w:rsidRPr="00602824">
              <w:t xml:space="preserve"> </w:t>
            </w:r>
            <w:r w:rsidR="00F46A6D" w:rsidRPr="00602824">
              <w:t>known as</w:t>
            </w:r>
            <w:r w:rsidR="00ED0441" w:rsidRPr="00602824">
              <w:t xml:space="preserve"> </w:t>
            </w:r>
            <w:r w:rsidR="00FC60FC" w:rsidRPr="00602824">
              <w:t>Expert Clinical Advisory Groups (</w:t>
            </w:r>
            <w:r w:rsidR="00C90999" w:rsidRPr="00602824">
              <w:t>ECAGs</w:t>
            </w:r>
            <w:r w:rsidR="00FC60FC" w:rsidRPr="00602824">
              <w:t>)</w:t>
            </w:r>
            <w:r w:rsidR="00C90999" w:rsidRPr="00602824">
              <w:t xml:space="preserve"> to encourage the right level of clinical expertise </w:t>
            </w:r>
            <w:r w:rsidR="00F46A6D" w:rsidRPr="00602824">
              <w:t>for</w:t>
            </w:r>
            <w:r w:rsidR="00C90999" w:rsidRPr="00602824">
              <w:t xml:space="preserve"> the consideration of each application. </w:t>
            </w:r>
            <w:r w:rsidR="009F5D5C">
              <w:t>Unlike the previous governance arrangement (the Prosth</w:t>
            </w:r>
            <w:r w:rsidR="00811BB2">
              <w:t>eses List Advisory Committee (PLAC)</w:t>
            </w:r>
            <w:r w:rsidR="00F53DB3">
              <w:t>, r</w:t>
            </w:r>
            <w:r w:rsidR="00CE3AD7" w:rsidRPr="00602824">
              <w:t>epresentatives</w:t>
            </w:r>
            <w:r w:rsidR="001E38E6" w:rsidRPr="00602824">
              <w:t xml:space="preserve"> from private </w:t>
            </w:r>
            <w:r w:rsidR="000124A4" w:rsidRPr="00602824">
              <w:t>hospitals</w:t>
            </w:r>
            <w:r w:rsidR="001E38E6" w:rsidRPr="00602824">
              <w:t xml:space="preserve">, the MTAA and health insurers were </w:t>
            </w:r>
            <w:r w:rsidR="00CE3AD7" w:rsidRPr="00602824">
              <w:t>not included in</w:t>
            </w:r>
            <w:r w:rsidR="001E38E6" w:rsidRPr="00602824">
              <w:t xml:space="preserve"> the MDHTAC</w:t>
            </w:r>
            <w:r w:rsidR="000124A4" w:rsidRPr="00602824">
              <w:t>.</w:t>
            </w:r>
          </w:p>
          <w:p w14:paraId="3D8CA81C" w14:textId="5D927DEE" w:rsidR="00415271" w:rsidRPr="00602824" w:rsidRDefault="00415271" w:rsidP="00FB712C">
            <w:r w:rsidRPr="00602824">
              <w:t xml:space="preserve">No major changes in </w:t>
            </w:r>
            <w:r w:rsidR="00FC60FC" w:rsidRPr="00602824">
              <w:t>implementation occurred</w:t>
            </w:r>
            <w:r w:rsidRPr="00602824">
              <w:t xml:space="preserve"> since </w:t>
            </w:r>
            <w:r w:rsidR="00FC60FC" w:rsidRPr="00602824">
              <w:t xml:space="preserve">the </w:t>
            </w:r>
            <w:r w:rsidR="00514214" w:rsidRPr="00602824">
              <w:t xml:space="preserve">revised </w:t>
            </w:r>
            <w:r w:rsidR="00FC60FC" w:rsidRPr="00602824">
              <w:t>arrangements commenced on 1 July 2023</w:t>
            </w:r>
            <w:r w:rsidRPr="00602824">
              <w:t xml:space="preserve">. </w:t>
            </w:r>
            <w:r w:rsidR="00982EDC" w:rsidRPr="00602824">
              <w:t xml:space="preserve">This section primarily seeks to understand how these governance arrangements are operating and if they have increased the effectiveness of assessments. </w:t>
            </w:r>
            <w:r w:rsidRPr="00602824">
              <w:t xml:space="preserve"> </w:t>
            </w:r>
          </w:p>
        </w:tc>
      </w:tr>
    </w:tbl>
    <w:p w14:paraId="2167FF59" w14:textId="14C9C7AC" w:rsidR="00232AF4" w:rsidRPr="00602824" w:rsidRDefault="00232AF4" w:rsidP="009900C9">
      <w:pPr>
        <w:pStyle w:val="Heading3"/>
      </w:pPr>
      <w:bookmarkStart w:id="72" w:name="_Ref202438980"/>
      <w:bookmarkStart w:id="73" w:name="_Ref222128791"/>
      <w:r w:rsidRPr="00602824">
        <w:t xml:space="preserve">Representation is appropriate and </w:t>
      </w:r>
      <w:r w:rsidR="008409F3">
        <w:t>improved efficiency</w:t>
      </w:r>
      <w:r w:rsidRPr="00602824">
        <w:t xml:space="preserve"> </w:t>
      </w:r>
      <w:bookmarkEnd w:id="72"/>
      <w:bookmarkEnd w:id="73"/>
      <w:r w:rsidR="008409F3">
        <w:t>while removing conflicts of interest</w:t>
      </w:r>
    </w:p>
    <w:p w14:paraId="5E8B7020" w14:textId="1EC40970" w:rsidR="00BF5139" w:rsidRPr="00602824" w:rsidRDefault="00E15FBE" w:rsidP="00BF5139">
      <w:r w:rsidRPr="00602824">
        <w:t>Overall, governance arrangements appear to be operating as intended</w:t>
      </w:r>
      <w:r w:rsidR="00783235" w:rsidRPr="00602824">
        <w:t xml:space="preserve"> in terms of enabling clinically focused assessment.</w:t>
      </w:r>
      <w:r w:rsidRPr="00602824">
        <w:t xml:space="preserve"> </w:t>
      </w:r>
      <w:r w:rsidR="0083079B">
        <w:t xml:space="preserve">According to MDHTAC members, </w:t>
      </w:r>
      <w:r w:rsidR="0083079B" w:rsidRPr="0083079B">
        <w:t xml:space="preserve">the discussions at the MDHTAC meetings are significantly more effective and efficient compared with those at PLAC.  The range of clinical specialists on MDHTAC, coupled with consumer and other key advisers, generate quality outputs for both policy and day to day matters.  </w:t>
      </w:r>
    </w:p>
    <w:p w14:paraId="3A9F26D3" w14:textId="77777777" w:rsidR="00AF14AA" w:rsidRDefault="00912210" w:rsidP="003D69A0">
      <w:r w:rsidRPr="00AC7E3F">
        <w:rPr>
          <w:noProof/>
        </w:rPr>
        <mc:AlternateContent>
          <mc:Choice Requires="wps">
            <w:drawing>
              <wp:anchor distT="0" distB="0" distL="114300" distR="114300" simplePos="0" relativeHeight="251658243" behindDoc="0" locked="0" layoutInCell="1" allowOverlap="1" wp14:anchorId="3CB364AD" wp14:editId="136B5AF5">
                <wp:simplePos x="0" y="0"/>
                <wp:positionH relativeFrom="margin">
                  <wp:align>right</wp:align>
                </wp:positionH>
                <wp:positionV relativeFrom="paragraph">
                  <wp:posOffset>38735</wp:posOffset>
                </wp:positionV>
                <wp:extent cx="2247900" cy="1490345"/>
                <wp:effectExtent l="0" t="0" r="0" b="0"/>
                <wp:wrapSquare wrapText="bothSides"/>
                <wp:docPr id="1884480432" name="Text Box 1884480432"/>
                <wp:cNvGraphicFramePr/>
                <a:graphic xmlns:a="http://schemas.openxmlformats.org/drawingml/2006/main">
                  <a:graphicData uri="http://schemas.microsoft.com/office/word/2010/wordprocessingShape">
                    <wps:wsp>
                      <wps:cNvSpPr txBox="1"/>
                      <wps:spPr>
                        <a:xfrm>
                          <a:off x="0" y="0"/>
                          <a:ext cx="2247900" cy="1490345"/>
                        </a:xfrm>
                        <a:prstGeom prst="rect">
                          <a:avLst/>
                        </a:prstGeom>
                        <a:solidFill>
                          <a:sysClr val="window" lastClr="FFFFFF"/>
                        </a:solidFill>
                        <a:ln w="6350">
                          <a:noFill/>
                        </a:ln>
                        <a:effectLst/>
                      </wps:spPr>
                      <wps:txbx>
                        <w:txbxContent>
                          <w:p w14:paraId="0EBE64F4" w14:textId="77777777" w:rsidR="00886099" w:rsidRPr="009E1C23" w:rsidRDefault="00886099" w:rsidP="00886099">
                            <w:pPr>
                              <w:pStyle w:val="Callout"/>
                              <w:jc w:val="right"/>
                              <w:rPr>
                                <w:i/>
                                <w:iCs/>
                                <w:color w:val="F25E21" w:themeColor="accent2"/>
                                <w:sz w:val="20"/>
                                <w:szCs w:val="20"/>
                              </w:rPr>
                            </w:pPr>
                            <w:r w:rsidRPr="009E1C23">
                              <w:rPr>
                                <w:i/>
                                <w:iCs/>
                                <w:color w:val="F25E21" w:themeColor="accent2"/>
                                <w:sz w:val="20"/>
                                <w:szCs w:val="20"/>
                              </w:rPr>
                              <w:t>“</w:t>
                            </w:r>
                            <w:r w:rsidR="002909D0" w:rsidRPr="009E1C23">
                              <w:rPr>
                                <w:i/>
                                <w:iCs/>
                                <w:color w:val="F25E21" w:themeColor="accent2"/>
                                <w:sz w:val="20"/>
                                <w:szCs w:val="20"/>
                              </w:rPr>
                              <w:t>PLAC meetings would often degenerate into long disagreements between hospitals, insurers and industry factions which did not allow the key clinical and health economic issues to be resolved satisfactorily</w:t>
                            </w:r>
                            <w:r w:rsidRPr="009E1C23">
                              <w:rPr>
                                <w:i/>
                                <w:iCs/>
                                <w:color w:val="F25E21" w:themeColor="accent2"/>
                                <w:sz w:val="20"/>
                                <w:szCs w:val="20"/>
                              </w:rPr>
                              <w:t xml:space="preserve">” </w:t>
                            </w:r>
                          </w:p>
                          <w:p w14:paraId="39338AA1" w14:textId="77777777" w:rsidR="00886099" w:rsidRPr="009E1C23" w:rsidRDefault="00097739" w:rsidP="00354B01">
                            <w:pPr>
                              <w:pStyle w:val="Calloutmember"/>
                            </w:pPr>
                            <w:r w:rsidRPr="009E1C23">
                              <w:t>MDHTAC member, June 2025</w:t>
                            </w:r>
                          </w:p>
                          <w:p w14:paraId="095A1FDA" w14:textId="77777777" w:rsidR="00886099" w:rsidRPr="004A357C" w:rsidRDefault="00886099" w:rsidP="00886099">
                            <w:pPr>
                              <w:pStyle w:val="Callout"/>
                              <w:jc w:val="right"/>
                              <w:rPr>
                                <w:i/>
                                <w:iCs/>
                                <w:color w:val="F25E21" w:themeColor="accent2"/>
                                <w:sz w:val="20"/>
                                <w:szCs w:val="20"/>
                              </w:rPr>
                            </w:pPr>
                            <w:r w:rsidRPr="004A357C">
                              <w:rPr>
                                <w:i/>
                                <w:iCs/>
                                <w:color w:val="F25E21" w:themeColor="accent2"/>
                                <w:sz w:val="20"/>
                                <w:szCs w:val="20"/>
                              </w:rPr>
                              <w:t xml:space="preserve"> </w:t>
                            </w:r>
                          </w:p>
                          <w:p w14:paraId="6184AE1C" w14:textId="77777777" w:rsidR="00886099" w:rsidRPr="004A357C" w:rsidRDefault="00886099" w:rsidP="00886099">
                            <w:pPr>
                              <w:pStyle w:val="Callout"/>
                              <w:jc w:val="right"/>
                              <w:rPr>
                                <w:rFonts w:asciiTheme="minorHAnsi" w:hAnsiTheme="minorHAnsi" w:cstheme="minorHAnsi"/>
                                <w:b/>
                                <w:bCs/>
                                <w:color w:val="00264D" w:themeColor="background2"/>
                                <w:sz w:val="14"/>
                                <w:szCs w:val="14"/>
                              </w:rPr>
                            </w:pPr>
                            <w:r w:rsidRPr="004A357C">
                              <w:rPr>
                                <w:rFonts w:asciiTheme="minorHAnsi" w:hAnsiTheme="minorHAnsi" w:cstheme="minorHAnsi"/>
                                <w:b/>
                                <w:bCs/>
                                <w:color w:val="00264D" w:themeColor="background2"/>
                                <w:sz w:val="14"/>
                                <w:szCs w:val="14"/>
                              </w:rPr>
                              <w:t>MTAA, 2017 Senate Submission</w:t>
                            </w:r>
                          </w:p>
                          <w:p w14:paraId="3A183FB0" w14:textId="77777777" w:rsidR="00886099" w:rsidRPr="004A357C" w:rsidRDefault="00886099" w:rsidP="00886099">
                            <w:pPr>
                              <w:pStyle w:val="Callout"/>
                              <w:rPr>
                                <w:color w:val="F25E21" w:themeColor="accent2"/>
                              </w:rPr>
                            </w:pPr>
                          </w:p>
                          <w:p w14:paraId="4F5022C5" w14:textId="77777777" w:rsidR="00886099" w:rsidRPr="004A357C" w:rsidRDefault="00886099" w:rsidP="00886099">
                            <w:pPr>
                              <w:pStyle w:val="Callout"/>
                              <w:rPr>
                                <w:color w:val="F25E21" w:themeColor="accent2"/>
                              </w:rPr>
                            </w:pPr>
                          </w:p>
                        </w:txbxContent>
                      </wps:txbx>
                      <wps:bodyPr rot="0" spcFirstLastPara="0" vertOverflow="overflow" horzOverflow="overflow" vert="horz" wrap="square" lIns="0" tIns="45720" rIns="3600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CB364AD" id="Text Box 1884480432" o:spid="_x0000_s1029" type="#_x0000_t202" style="position:absolute;margin-left:125.8pt;margin-top:3.05pt;width:177pt;height:117.35pt;z-index:25165824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" fillcolor="window" stroked="f" strokeweight=".5pt">
                <v:textbox inset="0,,1mm">
                  <w:txbxContent>
                    <w:p w14:paraId="0EBE64F4" w14:textId="77777777" w:rsidR="00886099" w:rsidRPr="009E1C23" w:rsidRDefault="00886099" w:rsidP="00886099">
                      <w:pPr>
                        <w:pStyle w:val="Callout"/>
                        <w:jc w:val="right"/>
                        <w:rPr>
                          <w:i/>
                          <w:iCs/>
                          <w:color w:val="F25E21" w:themeColor="accent2"/>
                          <w:sz w:val="20"/>
                          <w:szCs w:val="20"/>
                        </w:rPr>
                      </w:pPr>
                      <w:r w:rsidRPr="009E1C23">
                        <w:rPr>
                          <w:i/>
                          <w:iCs/>
                          <w:color w:val="F25E21" w:themeColor="accent2"/>
                          <w:sz w:val="20"/>
                          <w:szCs w:val="20"/>
                        </w:rPr>
                        <w:t>“</w:t>
                      </w:r>
                      <w:r w:rsidR="002909D0" w:rsidRPr="009E1C23">
                        <w:rPr>
                          <w:i/>
                          <w:iCs/>
                          <w:color w:val="F25E21" w:themeColor="accent2"/>
                          <w:sz w:val="20"/>
                          <w:szCs w:val="20"/>
                        </w:rPr>
                        <w:t>PLAC meetings would often degenerate into long disagreements between hospitals, insurers and industry factions which did not allow the key clinical and health economic issues to be resolved satisfactorily</w:t>
                      </w:r>
                      <w:r w:rsidRPr="009E1C23">
                        <w:rPr>
                          <w:i/>
                          <w:iCs/>
                          <w:color w:val="F25E21" w:themeColor="accent2"/>
                          <w:sz w:val="20"/>
                          <w:szCs w:val="20"/>
                        </w:rPr>
                        <w:t xml:space="preserve">” </w:t>
                      </w:r>
                    </w:p>
                    <w:p w14:paraId="39338AA1" w14:textId="77777777" w:rsidR="00886099" w:rsidRPr="009E1C23" w:rsidRDefault="00097739" w:rsidP="00354B01">
                      <w:pPr>
                        <w:pStyle w:val="Calloutmember"/>
                      </w:pPr>
                      <w:r w:rsidRPr="009E1C23">
                        <w:t>MDHTAC member, June 2025</w:t>
                      </w:r>
                    </w:p>
                    <w:p w14:paraId="095A1FDA" w14:textId="77777777" w:rsidR="00886099" w:rsidRPr="004A357C" w:rsidRDefault="00886099" w:rsidP="00886099">
                      <w:pPr>
                        <w:pStyle w:val="Callout"/>
                        <w:jc w:val="right"/>
                        <w:rPr>
                          <w:i/>
                          <w:iCs/>
                          <w:color w:val="F25E21" w:themeColor="accent2"/>
                          <w:sz w:val="20"/>
                          <w:szCs w:val="20"/>
                        </w:rPr>
                      </w:pPr>
                      <w:r w:rsidRPr="004A357C">
                        <w:rPr>
                          <w:i/>
                          <w:iCs/>
                          <w:color w:val="F25E21" w:themeColor="accent2"/>
                          <w:sz w:val="20"/>
                          <w:szCs w:val="20"/>
                        </w:rPr>
                        <w:t xml:space="preserve"> </w:t>
                      </w:r>
                    </w:p>
                    <w:p w14:paraId="6184AE1C" w14:textId="77777777" w:rsidR="00886099" w:rsidRPr="004A357C" w:rsidRDefault="00886099" w:rsidP="00886099">
                      <w:pPr>
                        <w:pStyle w:val="Callout"/>
                        <w:jc w:val="right"/>
                        <w:rPr>
                          <w:rFonts w:asciiTheme="minorHAnsi" w:hAnsiTheme="minorHAnsi" w:cstheme="minorHAnsi"/>
                          <w:b/>
                          <w:bCs/>
                          <w:color w:val="00264D" w:themeColor="background2"/>
                          <w:sz w:val="14"/>
                          <w:szCs w:val="14"/>
                        </w:rPr>
                      </w:pPr>
                      <w:r w:rsidRPr="004A357C">
                        <w:rPr>
                          <w:rFonts w:asciiTheme="minorHAnsi" w:hAnsiTheme="minorHAnsi" w:cstheme="minorHAnsi"/>
                          <w:b/>
                          <w:bCs/>
                          <w:color w:val="00264D" w:themeColor="background2"/>
                          <w:sz w:val="14"/>
                          <w:szCs w:val="14"/>
                        </w:rPr>
                        <w:t>MTAA, 2017 Senate Submission</w:t>
                      </w:r>
                    </w:p>
                    <w:p w14:paraId="3A183FB0" w14:textId="77777777" w:rsidR="00886099" w:rsidRPr="004A357C" w:rsidRDefault="00886099" w:rsidP="00886099">
                      <w:pPr>
                        <w:pStyle w:val="Callout"/>
                        <w:rPr>
                          <w:color w:val="F25E21" w:themeColor="accent2"/>
                        </w:rPr>
                      </w:pPr>
                    </w:p>
                    <w:p w14:paraId="4F5022C5" w14:textId="77777777" w:rsidR="00886099" w:rsidRPr="004A357C" w:rsidRDefault="00886099" w:rsidP="00886099">
                      <w:pPr>
                        <w:pStyle w:val="Callout"/>
                        <w:rPr>
                          <w:color w:val="F25E21" w:themeColor="accent2"/>
                        </w:rPr>
                      </w:pPr>
                    </w:p>
                  </w:txbxContent>
                </v:textbox>
                <w10:wrap type="square" anchorx="margin"/>
              </v:shape>
            </w:pict>
          </mc:Fallback>
        </mc:AlternateContent>
      </w:r>
      <w:r w:rsidR="00BF5139" w:rsidRPr="00602824">
        <w:t>Representatives from M</w:t>
      </w:r>
      <w:r w:rsidR="004E6731" w:rsidRPr="00602824">
        <w:t>D</w:t>
      </w:r>
      <w:r w:rsidR="00BF5139" w:rsidRPr="00602824">
        <w:t xml:space="preserve">HTAC noted that </w:t>
      </w:r>
      <w:r w:rsidR="00DB3565" w:rsidRPr="00602824">
        <w:t xml:space="preserve">the removal of industry, hospital and insurer representatives from governance </w:t>
      </w:r>
      <w:r w:rsidR="00DE687A" w:rsidRPr="00602824">
        <w:t>proceedings</w:t>
      </w:r>
      <w:r w:rsidR="00DB3565" w:rsidRPr="00602824">
        <w:t xml:space="preserve"> ha</w:t>
      </w:r>
      <w:r w:rsidR="004E6731" w:rsidRPr="00602824">
        <w:t>s improved</w:t>
      </w:r>
      <w:r w:rsidR="00DB3565" w:rsidRPr="00602824">
        <w:t xml:space="preserve"> </w:t>
      </w:r>
      <w:r w:rsidR="004E6731" w:rsidRPr="00602824">
        <w:t xml:space="preserve">efficiency, allowing </w:t>
      </w:r>
      <w:r w:rsidR="00E35D41" w:rsidRPr="00602824">
        <w:t>clinicians</w:t>
      </w:r>
      <w:r w:rsidR="002775A4" w:rsidRPr="00602824">
        <w:t xml:space="preserve"> </w:t>
      </w:r>
      <w:r w:rsidR="004B4F3B" w:rsidRPr="00602824">
        <w:t xml:space="preserve">to </w:t>
      </w:r>
      <w:r w:rsidR="002775A4" w:rsidRPr="00602824">
        <w:t xml:space="preserve">focus on </w:t>
      </w:r>
      <w:r w:rsidR="00E35D41" w:rsidRPr="00602824">
        <w:t>clinical</w:t>
      </w:r>
      <w:r w:rsidR="002775A4" w:rsidRPr="00602824">
        <w:t xml:space="preserve"> </w:t>
      </w:r>
      <w:r w:rsidR="00783235" w:rsidRPr="00602824">
        <w:t>and health economic issues</w:t>
      </w:r>
      <w:r w:rsidR="002775A4" w:rsidRPr="00602824">
        <w:t xml:space="preserve"> without </w:t>
      </w:r>
      <w:r w:rsidR="00783235" w:rsidRPr="00602824">
        <w:t>distraction from</w:t>
      </w:r>
      <w:r w:rsidR="00E35D41" w:rsidRPr="00602824">
        <w:t xml:space="preserve"> commercially interested parties</w:t>
      </w:r>
      <w:r w:rsidR="008B2E13" w:rsidRPr="00602824">
        <w:t xml:space="preserve">. </w:t>
      </w:r>
      <w:r w:rsidR="00783235" w:rsidRPr="00602824">
        <w:t>This change</w:t>
      </w:r>
      <w:r w:rsidR="00E35D41" w:rsidRPr="00602824">
        <w:t xml:space="preserve"> has </w:t>
      </w:r>
      <w:r w:rsidR="00783235" w:rsidRPr="00602824">
        <w:t xml:space="preserve">also </w:t>
      </w:r>
      <w:r w:rsidR="003A6E24" w:rsidRPr="00602824">
        <w:t>minimised</w:t>
      </w:r>
      <w:r w:rsidR="00FD6033" w:rsidRPr="00602824">
        <w:t xml:space="preserve"> </w:t>
      </w:r>
      <w:r w:rsidR="00783235" w:rsidRPr="00602824">
        <w:t>the potential</w:t>
      </w:r>
      <w:r w:rsidR="00FD6033" w:rsidRPr="00602824">
        <w:t xml:space="preserve"> for </w:t>
      </w:r>
      <w:r w:rsidR="00783235" w:rsidRPr="00602824">
        <w:t>conflicts</w:t>
      </w:r>
      <w:r w:rsidR="00FD6033" w:rsidRPr="00602824">
        <w:t xml:space="preserve"> of interest </w:t>
      </w:r>
      <w:r w:rsidR="00783235" w:rsidRPr="00602824">
        <w:t>in</w:t>
      </w:r>
      <w:r w:rsidR="00FD6033" w:rsidRPr="00602824">
        <w:t xml:space="preserve"> </w:t>
      </w:r>
      <w:r w:rsidR="003A6E24" w:rsidRPr="00602824">
        <w:t>decision</w:t>
      </w:r>
      <w:r w:rsidR="00783235" w:rsidRPr="00602824">
        <w:t>-</w:t>
      </w:r>
      <w:r w:rsidR="003A6E24" w:rsidRPr="00602824">
        <w:t>making.</w:t>
      </w:r>
      <w:r w:rsidR="00FD6033" w:rsidRPr="00602824">
        <w:t xml:space="preserve"> </w:t>
      </w:r>
    </w:p>
    <w:p w14:paraId="5956FE31" w14:textId="42D788B3" w:rsidR="000E3D0D" w:rsidRDefault="00AF14AA" w:rsidP="000E3D0D">
      <w:r>
        <w:t xml:space="preserve">One potential drawback of the new arrangements </w:t>
      </w:r>
      <w:r w:rsidR="002366D0">
        <w:t xml:space="preserve">noted by a MDHTAC member </w:t>
      </w:r>
      <w:r w:rsidR="008B7E42">
        <w:t>wa</w:t>
      </w:r>
      <w:r>
        <w:t>s that i</w:t>
      </w:r>
      <w:r w:rsidR="001A4EE6">
        <w:t xml:space="preserve">t limited the opportunity </w:t>
      </w:r>
      <w:r w:rsidR="00714978">
        <w:t xml:space="preserve">within </w:t>
      </w:r>
      <w:r w:rsidR="001A4EE6">
        <w:t>MDHTAC</w:t>
      </w:r>
      <w:r w:rsidR="00714978">
        <w:t xml:space="preserve"> discussions </w:t>
      </w:r>
      <w:r w:rsidR="003D69A0" w:rsidRPr="00602824">
        <w:t>to understand how decisions affect</w:t>
      </w:r>
      <w:r w:rsidR="00FC1016" w:rsidRPr="00602824">
        <w:t xml:space="preserve"> hospital</w:t>
      </w:r>
      <w:r w:rsidR="003D69A0" w:rsidRPr="00602824">
        <w:t xml:space="preserve"> operational processes and, </w:t>
      </w:r>
      <w:r w:rsidR="00FC1016" w:rsidRPr="00602824">
        <w:t>therefore</w:t>
      </w:r>
      <w:r w:rsidR="003D69A0" w:rsidRPr="00602824">
        <w:t>, patient care.</w:t>
      </w:r>
      <w:r w:rsidR="005C6DA0" w:rsidRPr="00602824">
        <w:t xml:space="preserve"> </w:t>
      </w:r>
      <w:r w:rsidR="00F90903" w:rsidRPr="00602824">
        <w:t>This view was echoed by some hospital stakeholders, who noted the value of better engagement on implementation and funding implications</w:t>
      </w:r>
      <w:r w:rsidR="003D69A0" w:rsidRPr="00602824">
        <w:t>.</w:t>
      </w:r>
      <w:r w:rsidR="000E3D0D">
        <w:t xml:space="preserve"> T</w:t>
      </w:r>
      <w:r w:rsidR="000E3D0D" w:rsidRPr="00602824">
        <w:t>he evaluation believes these concerns can be addressed within the current arrangements – particularly if clearer communication channels are establishe</w:t>
      </w:r>
      <w:r w:rsidR="007278BB">
        <w:t>d, as discussed below.</w:t>
      </w:r>
    </w:p>
    <w:p w14:paraId="7F93F287" w14:textId="271D3696" w:rsidR="009E305C" w:rsidRPr="00602824" w:rsidRDefault="009E305C" w:rsidP="009E305C">
      <w:pPr>
        <w:pStyle w:val="Heading4"/>
      </w:pPr>
      <w:r w:rsidRPr="00602824">
        <w:t xml:space="preserve">Applying appropriate clinical expertise </w:t>
      </w:r>
      <w:r w:rsidR="00476C91">
        <w:t>in gove</w:t>
      </w:r>
      <w:r w:rsidR="009E097D">
        <w:t>rnance</w:t>
      </w:r>
      <w:r w:rsidRPr="00602824">
        <w:t xml:space="preserve"> is key to sound decision-making</w:t>
      </w:r>
    </w:p>
    <w:p w14:paraId="43E45331" w14:textId="4BE76AE5" w:rsidR="00476C91" w:rsidRDefault="009E305C" w:rsidP="009E305C">
      <w:r w:rsidRPr="00602824">
        <w:t>MDHTAC and ECAGs provide improved clinician coverage across specialty areas of device use compared to previous PL governance structures.</w:t>
      </w:r>
      <w:r w:rsidR="00476C91" w:rsidRPr="00476C91">
        <w:t xml:space="preserve"> </w:t>
      </w:r>
      <w:r w:rsidR="00476C91" w:rsidRPr="00E92360">
        <w:t>Stakeholders generally agreed that the shift from PLAC has broadened specialist input into PL governance.</w:t>
      </w:r>
    </w:p>
    <w:p w14:paraId="69CC1189" w14:textId="7A03EF61" w:rsidR="009E305C" w:rsidRPr="00602824" w:rsidRDefault="00394D04" w:rsidP="009E305C">
      <w:r>
        <w:t>O</w:t>
      </w:r>
      <w:r w:rsidR="009E305C" w:rsidRPr="00602824">
        <w:t xml:space="preserve">pportunities for further improvement were identified by stakeholders. Some </w:t>
      </w:r>
      <w:r w:rsidR="004F6EBC" w:rsidRPr="00E92360">
        <w:t>questioned whether some ECAGs include the right mix of professional representation</w:t>
      </w:r>
      <w:r w:rsidR="004F6EBC">
        <w:t xml:space="preserve">. Some </w:t>
      </w:r>
      <w:r w:rsidR="009E305C" w:rsidRPr="00602824">
        <w:t xml:space="preserve">were of the view that professional organisations should provide the representation rather than </w:t>
      </w:r>
      <w:proofErr w:type="gramStart"/>
      <w:r w:rsidR="009E305C" w:rsidRPr="00602824">
        <w:t>particular individuals</w:t>
      </w:r>
      <w:proofErr w:type="gramEnd"/>
      <w:r w:rsidR="009E305C" w:rsidRPr="00602824">
        <w:t xml:space="preserve"> being appointed. </w:t>
      </w:r>
      <w:r w:rsidR="0079639D">
        <w:t xml:space="preserve">Other clinicians </w:t>
      </w:r>
      <w:r w:rsidR="0079639D" w:rsidRPr="00085CC1">
        <w:t>suggested there may be value in further differentiating PL specialty governance groups</w:t>
      </w:r>
      <w:r w:rsidR="0046128D">
        <w:t xml:space="preserve">, commenting on </w:t>
      </w:r>
      <w:r w:rsidR="0079639D" w:rsidRPr="00602824">
        <w:t>the decision to group knee and hip specialists within the same ECAG.</w:t>
      </w:r>
      <w:r w:rsidR="0046128D">
        <w:t xml:space="preserve"> </w:t>
      </w:r>
      <w:r w:rsidR="00FE3FC7">
        <w:t xml:space="preserve">They </w:t>
      </w:r>
      <w:r w:rsidR="00FE3FC7" w:rsidRPr="00E92360">
        <w:t>noted that combining disparate specialties can dilute relevant expertise and lead to advice and decisions that lack clinical nuance.</w:t>
      </w:r>
      <w:r w:rsidR="00246899">
        <w:t xml:space="preserve"> A further </w:t>
      </w:r>
      <w:r w:rsidR="009E305C" w:rsidRPr="00602824">
        <w:t>concern</w:t>
      </w:r>
      <w:r w:rsidR="00246899">
        <w:t xml:space="preserve"> was</w:t>
      </w:r>
      <w:r w:rsidR="009E305C" w:rsidRPr="00602824">
        <w:t xml:space="preserve"> insufficient representation from vascular surgery</w:t>
      </w:r>
      <w:r w:rsidR="00246899">
        <w:t xml:space="preserve">. </w:t>
      </w:r>
      <w:r w:rsidR="009E305C" w:rsidRPr="00602824">
        <w:t xml:space="preserve"> These concerns could be alleviated on an ad hoc basis depending on the devices for consideration. The key issue is that the best available expertise is applied to decision-making. </w:t>
      </w:r>
    </w:p>
    <w:p w14:paraId="4E015E56" w14:textId="62C724D1" w:rsidR="00160E69" w:rsidRDefault="005836F5" w:rsidP="00160E69">
      <w:pPr>
        <w:pStyle w:val="Heading4"/>
      </w:pPr>
      <w:r>
        <w:t xml:space="preserve">Not all stakeholders were happy with their exclusion from </w:t>
      </w:r>
      <w:r w:rsidR="00160E69">
        <w:t>the governance body</w:t>
      </w:r>
    </w:p>
    <w:p w14:paraId="1D7CF5CC" w14:textId="6B146D53" w:rsidR="007E5CCC" w:rsidRPr="00F861BE" w:rsidRDefault="00EF59FE" w:rsidP="007E5CCC">
      <w:r w:rsidRPr="00602824">
        <w:t>The decision to remove industry representatives from governance</w:t>
      </w:r>
      <w:r w:rsidR="00B433DB">
        <w:t xml:space="preserve"> was </w:t>
      </w:r>
      <w:r w:rsidRPr="00602824">
        <w:t xml:space="preserve">not supported by </w:t>
      </w:r>
      <w:r w:rsidR="006F61F0">
        <w:t xml:space="preserve">medical device </w:t>
      </w:r>
      <w:r w:rsidRPr="00602824">
        <w:t xml:space="preserve">industry representatives, </w:t>
      </w:r>
      <w:r w:rsidR="00B433DB">
        <w:t>who argued that</w:t>
      </w:r>
      <w:r w:rsidRPr="00602824">
        <w:t xml:space="preserve"> it reduce</w:t>
      </w:r>
      <w:r w:rsidR="00B433DB">
        <w:t>d</w:t>
      </w:r>
      <w:r w:rsidRPr="00602824">
        <w:t xml:space="preserve"> the opportunity for dialogue and increase</w:t>
      </w:r>
      <w:r w:rsidR="007F549D">
        <w:t>d</w:t>
      </w:r>
      <w:r w:rsidRPr="00602824">
        <w:t xml:space="preserve"> the possibility of misunderstandings.</w:t>
      </w:r>
      <w:r w:rsidR="007E5CCC" w:rsidRPr="007E5CCC">
        <w:rPr>
          <w:lang w:eastAsia="en-AU"/>
        </w:rPr>
        <w:t xml:space="preserve"> </w:t>
      </w:r>
      <w:r w:rsidR="007E5CCC" w:rsidRPr="00031640">
        <w:rPr>
          <w:lang w:eastAsia="en-AU"/>
        </w:rPr>
        <w:t xml:space="preserve">Some </w:t>
      </w:r>
      <w:r w:rsidR="007E5CCC">
        <w:rPr>
          <w:lang w:eastAsia="en-AU"/>
        </w:rPr>
        <w:t>argued that it</w:t>
      </w:r>
      <w:r w:rsidR="007E5CCC" w:rsidRPr="00031640">
        <w:rPr>
          <w:lang w:eastAsia="en-AU"/>
        </w:rPr>
        <w:t xml:space="preserve"> has reduced the quality and relevance of advice available to MDHTAC</w:t>
      </w:r>
      <w:r w:rsidR="00BA5ACA">
        <w:rPr>
          <w:lang w:eastAsia="en-AU"/>
        </w:rPr>
        <w:t xml:space="preserve"> by </w:t>
      </w:r>
      <w:r w:rsidR="007E5CCC" w:rsidRPr="00481D9C">
        <w:t>reduc</w:t>
      </w:r>
      <w:r w:rsidR="00BA5ACA">
        <w:t>ing</w:t>
      </w:r>
      <w:r w:rsidR="007E5CCC" w:rsidRPr="00481D9C">
        <w:t xml:space="preserve"> opportunities for dialogue, technical clarification and clinical input, particularly for complex or contested applications.</w:t>
      </w:r>
      <w:r w:rsidR="006F61F0">
        <w:t xml:space="preserve"> In their view</w:t>
      </w:r>
      <w:r w:rsidR="007E5CCC" w:rsidRPr="00F861BE">
        <w:t xml:space="preserve"> written submissions do not replace real</w:t>
      </w:r>
      <w:r w:rsidR="007E5CCC" w:rsidRPr="00F861BE">
        <w:noBreakHyphen/>
        <w:t>time clarification of technical or device</w:t>
      </w:r>
      <w:r w:rsidR="007E5CCC" w:rsidRPr="00F861BE">
        <w:noBreakHyphen/>
        <w:t>specific issues and restricted dialogue increases the risk of misunderstanding device functionality or clinical use. They argued that these factors diminish the value of advisory deliberations.</w:t>
      </w:r>
    </w:p>
    <w:p w14:paraId="5194D946" w14:textId="72DB6E14" w:rsidR="002D3238" w:rsidRPr="00602824" w:rsidRDefault="003312C1" w:rsidP="006A1872">
      <w:pPr>
        <w:pStyle w:val="Heading3"/>
      </w:pPr>
      <w:r>
        <w:t>Limited visibility of MDHTAC advice is weakening confidence in assessment outcomes</w:t>
      </w:r>
    </w:p>
    <w:p w14:paraId="33D95E54" w14:textId="21848EC9" w:rsidR="007551C9" w:rsidRDefault="007E5CCC" w:rsidP="00ED40F9">
      <w:pPr>
        <w:rPr>
          <w:lang w:eastAsia="en-AU"/>
        </w:rPr>
      </w:pPr>
      <w:r w:rsidRPr="00F861BE">
        <w:t xml:space="preserve">Private hospitals and private health insurers did not seek direct reinstatement to PL governance committees. However, they reported that their limited engagement in governance arrangements now reduces their understanding of how </w:t>
      </w:r>
      <w:r>
        <w:t xml:space="preserve">MDHTAC </w:t>
      </w:r>
      <w:r w:rsidRPr="00F861BE">
        <w:t>advice is developed and how evidence is weighed</w:t>
      </w:r>
      <w:r w:rsidR="005A33D5">
        <w:t xml:space="preserve">, resulting in a lack </w:t>
      </w:r>
      <w:r w:rsidR="005A33D5" w:rsidRPr="00602824">
        <w:rPr>
          <w:lang w:eastAsia="en-AU"/>
        </w:rPr>
        <w:t>of transparency surrounding the assessment pathways and subsequent decisions.</w:t>
      </w:r>
      <w:r w:rsidR="00920CB3">
        <w:t xml:space="preserve"> T</w:t>
      </w:r>
      <w:r w:rsidR="007551C9" w:rsidRPr="00602824">
        <w:rPr>
          <w:lang w:eastAsia="en-AU"/>
        </w:rPr>
        <w:t>hey emphasised that they have a legitimate interest in understanding potential cost drivers prior to PL listings, as well as the rationale behind decision outcomes.</w:t>
      </w:r>
    </w:p>
    <w:p w14:paraId="732AFB01" w14:textId="7205B44B" w:rsidR="000414F1" w:rsidRPr="006D170F" w:rsidRDefault="000414F1" w:rsidP="000414F1">
      <w:pPr>
        <w:rPr>
          <w:lang w:eastAsia="en-AU"/>
        </w:rPr>
      </w:pPr>
      <w:r w:rsidRPr="006D170F">
        <w:rPr>
          <w:lang w:eastAsia="en-AU"/>
        </w:rPr>
        <w:t>Hospitals noted that MDHTAC does not routinely publish the rationale for listing decisions. They argued that this reduces their ability to understand, interpret or contest outcomes. Some hospitals also suggested that an increased focus on value</w:t>
      </w:r>
      <w:r w:rsidR="00FE0CFC">
        <w:rPr>
          <w:lang w:eastAsia="en-AU"/>
        </w:rPr>
        <w:t>-</w:t>
      </w:r>
      <w:r w:rsidRPr="006D170F">
        <w:rPr>
          <w:lang w:eastAsia="en-AU"/>
        </w:rPr>
        <w:t>based assessment places greater weight on economic considerations, which they believe may disadvantage high</w:t>
      </w:r>
      <w:r w:rsidRPr="006D170F">
        <w:rPr>
          <w:lang w:eastAsia="en-AU"/>
        </w:rPr>
        <w:noBreakHyphen/>
        <w:t>cost or niche devices.</w:t>
      </w:r>
    </w:p>
    <w:p w14:paraId="52EC4A7A" w14:textId="77777777" w:rsidR="000414F1" w:rsidRDefault="000414F1" w:rsidP="000414F1">
      <w:pPr>
        <w:rPr>
          <w:lang w:eastAsia="en-AU"/>
        </w:rPr>
      </w:pPr>
      <w:r w:rsidRPr="002F19B7">
        <w:rPr>
          <w:lang w:eastAsia="en-AU"/>
        </w:rPr>
        <w:t>Private health insurers raised similar concerns about limited visibility of the inputs and assumptions behind MDHTAC decisions. They reported that unclear cost drivers and limited transparency about how evidence is weighed make it difficult to assess whether decisions align with health technology assessment principles.</w:t>
      </w:r>
    </w:p>
    <w:p w14:paraId="153C89A3" w14:textId="0492909D" w:rsidR="007B2B5B" w:rsidRPr="00602824" w:rsidRDefault="007B2B5B" w:rsidP="007B2B5B">
      <w:pPr>
        <w:pStyle w:val="Heading2"/>
      </w:pPr>
      <w:bookmarkStart w:id="74" w:name="_Toc164439321"/>
      <w:bookmarkStart w:id="75" w:name="_Toc181405094"/>
      <w:bookmarkStart w:id="76" w:name="_Ref202376441"/>
      <w:bookmarkStart w:id="77" w:name="_Toc237002809"/>
      <w:r w:rsidRPr="00602824">
        <w:t>Objective 7: Develop and implement PL</w:t>
      </w:r>
      <w:r w:rsidR="00A87542" w:rsidRPr="00602824">
        <w:t xml:space="preserve"> post-</w:t>
      </w:r>
      <w:r w:rsidRPr="00602824">
        <w:t>listing reviews and PL compliance frameworks to safeguard the PL Reforms</w:t>
      </w:r>
      <w:bookmarkEnd w:id="74"/>
      <w:bookmarkEnd w:id="75"/>
      <w:bookmarkEnd w:id="76"/>
      <w:bookmarkEnd w:id="77"/>
    </w:p>
    <w:p w14:paraId="4E78FDE4" w14:textId="3E9B561B" w:rsidR="007B2B5B" w:rsidRPr="00602824" w:rsidRDefault="007B2B5B" w:rsidP="007B2B5B">
      <w:pPr>
        <w:rPr>
          <w:i/>
          <w:iCs/>
          <w:lang w:eastAsia="en-AU"/>
        </w:rPr>
      </w:pPr>
      <w:r w:rsidRPr="00602824">
        <w:rPr>
          <w:i/>
          <w:iCs/>
          <w:lang w:eastAsia="en-AU"/>
        </w:rPr>
        <w:t>This section considers developments related to post-listing reviews, including the implementation of a guiding framework and pilot reviews. This section also considers the implementation of a compliance strategy and associated compliance activities. It documents the types of compliance activities conducted and summarises stakeholder perspectives</w:t>
      </w:r>
      <w:r w:rsidR="00D73FDB">
        <w:rPr>
          <w:i/>
          <w:iCs/>
          <w:lang w:eastAsia="en-AU"/>
        </w:rPr>
        <w:t>.</w:t>
      </w:r>
    </w:p>
    <w:p w14:paraId="12B0FF34" w14:textId="4B9D6CD2" w:rsidR="007B2B5B" w:rsidRPr="00602824" w:rsidRDefault="007B2B5B" w:rsidP="00B50EE7">
      <w:pPr>
        <w:pStyle w:val="Caption"/>
      </w:pPr>
      <w:r w:rsidRPr="00602824">
        <w:t xml:space="preserve">Figure </w:t>
      </w:r>
      <w:r w:rsidR="005539DD">
        <w:fldChar w:fldCharType="begin"/>
      </w:r>
      <w:r w:rsidR="005539DD">
        <w:instrText xml:space="preserve"> SEQ Figure \* ARABIC </w:instrText>
      </w:r>
      <w:r w:rsidR="005539DD">
        <w:fldChar w:fldCharType="separate"/>
      </w:r>
      <w:r w:rsidR="0092693A">
        <w:rPr>
          <w:noProof/>
        </w:rPr>
        <w:t>26</w:t>
      </w:r>
      <w:r w:rsidR="005539DD">
        <w:fldChar w:fldCharType="end"/>
      </w:r>
      <w:r w:rsidRPr="00602824">
        <w:t xml:space="preserve"> | Reform projects related to reform objective 7</w:t>
      </w:r>
    </w:p>
    <w:p w14:paraId="2B3B2C88" w14:textId="77777777" w:rsidR="007B2B5B" w:rsidRPr="00602824" w:rsidRDefault="007B2B5B" w:rsidP="007B2B5B">
      <w:r w:rsidRPr="00AC7E3F">
        <w:rPr>
          <w:noProof/>
        </w:rPr>
        <w:drawing>
          <wp:inline distT="0" distB="0" distL="0" distR="0" wp14:anchorId="1828318E" wp14:editId="2ABCC59E">
            <wp:extent cx="5832000" cy="1043850"/>
            <wp:effectExtent l="0" t="0" r="0" b="4445"/>
            <wp:docPr id="462301194" name="Picture 1" descr="A figure showing Objective 7. PL listing reviews and PL compliance frameworks connected to two reform projects. The projects are post-listing reviews and compliance activ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301194" name="Picture 1" descr="A figure showing Objective 7. PL listing reviews and PL compliance frameworks connected to two reform projects. The projects are post-listing reviews and compliance activities."/>
                    <pic:cNvPicPr/>
                  </pic:nvPicPr>
                  <pic:blipFill>
                    <a:blip r:embed="rId48"/>
                    <a:stretch>
                      <a:fillRect/>
                    </a:stretch>
                  </pic:blipFill>
                  <pic:spPr>
                    <a:xfrm>
                      <a:off x="0" y="0"/>
                      <a:ext cx="5832000" cy="1043850"/>
                    </a:xfrm>
                    <a:prstGeom prst="rect">
                      <a:avLst/>
                    </a:prstGeom>
                  </pic:spPr>
                </pic:pic>
              </a:graphicData>
            </a:graphic>
          </wp:inline>
        </w:drawing>
      </w:r>
    </w:p>
    <w:p w14:paraId="5ECB6BCD" w14:textId="6DF12A19" w:rsidR="007C1880" w:rsidRPr="00602824" w:rsidRDefault="006A1872" w:rsidP="00FB712C">
      <w:pPr>
        <w:pStyle w:val="Heading3"/>
        <w:spacing w:before="300"/>
      </w:pPr>
      <w:r>
        <w:t xml:space="preserve">Reform project </w:t>
      </w:r>
      <w:r w:rsidR="007253AF">
        <w:t>(a)</w:t>
      </w:r>
      <w:r>
        <w:t>: p</w:t>
      </w:r>
      <w:r w:rsidR="004717F2" w:rsidRPr="00602824">
        <w:t>ost</w:t>
      </w:r>
      <w:r w:rsidR="00EC16FB">
        <w:t>-</w:t>
      </w:r>
      <w:r w:rsidR="004717F2" w:rsidRPr="00602824">
        <w:t>listing reviews</w:t>
      </w:r>
      <w:r w:rsidR="007C1880" w:rsidRPr="00602824">
        <w:t xml:space="preserve"> </w:t>
      </w:r>
    </w:p>
    <w:tbl>
      <w:tblPr>
        <w:tblStyle w:val="NOUSSideHeader4"/>
        <w:tblW w:w="5000" w:type="pct"/>
        <w:tblLook w:val="04A0" w:firstRow="1" w:lastRow="0" w:firstColumn="1" w:lastColumn="0" w:noHBand="0" w:noVBand="1"/>
      </w:tblPr>
      <w:tblGrid>
        <w:gridCol w:w="9185"/>
      </w:tblGrid>
      <w:tr w:rsidR="005A1DA9" w:rsidRPr="00602824" w14:paraId="62EFD47E" w14:textId="77777777" w:rsidTr="00706A55">
        <w:trPr>
          <w:cnfStyle w:val="100000000000" w:firstRow="1" w:lastRow="0" w:firstColumn="0" w:lastColumn="0" w:oddVBand="0" w:evenVBand="0" w:oddHBand="0" w:evenHBand="0" w:firstRowFirstColumn="0" w:firstRowLastColumn="0" w:lastRowFirstColumn="0" w:lastRowLastColumn="0"/>
        </w:trPr>
        <w:tc>
          <w:tcPr>
            <w:tcW w:w="9061" w:type="dxa"/>
          </w:tcPr>
          <w:p w14:paraId="0E85AB2C" w14:textId="30FBAC88" w:rsidR="003A3E73" w:rsidRDefault="008F6F4E" w:rsidP="00FB712C">
            <w:pPr>
              <w:rPr>
                <w:lang w:eastAsia="en-AU"/>
              </w:rPr>
            </w:pPr>
            <w:r>
              <w:t>Prior to the reforms, post</w:t>
            </w:r>
            <w:r w:rsidR="00EC16FB">
              <w:t>-l</w:t>
            </w:r>
            <w:r>
              <w:t>isting reviews were conducted on an ad hoc basis</w:t>
            </w:r>
            <w:r w:rsidR="001712B9">
              <w:rPr>
                <w:lang w:eastAsia="en-AU"/>
              </w:rPr>
              <w:t xml:space="preserve"> to determine whether the product is still fit for purpose and has an appropriate benefit. </w:t>
            </w:r>
            <w:r w:rsidR="003A3E73">
              <w:t xml:space="preserve">Under the reforms the Government committed to establishing </w:t>
            </w:r>
            <w:r w:rsidR="005A1939">
              <w:t>a review framework</w:t>
            </w:r>
            <w:r w:rsidR="0025421B">
              <w:t xml:space="preserve"> and to conduct f</w:t>
            </w:r>
            <w:r w:rsidR="00586F39">
              <w:rPr>
                <w:lang w:eastAsia="en-AU"/>
              </w:rPr>
              <w:t xml:space="preserve">our pilot reviews using a </w:t>
            </w:r>
            <w:r w:rsidR="00586F39" w:rsidRPr="00010741">
              <w:rPr>
                <w:lang w:eastAsia="en-AU"/>
              </w:rPr>
              <w:t xml:space="preserve">working version of the framework, </w:t>
            </w:r>
            <w:r w:rsidR="00960851">
              <w:rPr>
                <w:lang w:eastAsia="en-AU"/>
              </w:rPr>
              <w:t>with these pilots</w:t>
            </w:r>
            <w:r w:rsidR="00586F39">
              <w:rPr>
                <w:lang w:eastAsia="en-AU"/>
              </w:rPr>
              <w:t xml:space="preserve"> to then inform its further development.</w:t>
            </w:r>
            <w:r w:rsidR="00D24F90">
              <w:rPr>
                <w:rStyle w:val="FootnoteReference"/>
                <w:lang w:eastAsia="en-AU"/>
              </w:rPr>
              <w:footnoteReference w:id="102"/>
            </w:r>
          </w:p>
          <w:p w14:paraId="5ED1E47E" w14:textId="1B60BEC9" w:rsidR="007C1880" w:rsidRDefault="007C1880" w:rsidP="00FB712C">
            <w:r w:rsidRPr="00602824">
              <w:t xml:space="preserve">A listing decision for the PL is made based on the available </w:t>
            </w:r>
            <w:r w:rsidR="00525849" w:rsidRPr="00602824">
              <w:t xml:space="preserve">evidence and clinical context at the time of assessment. Over time, new information about a device may become available creating uncertainty about the eligibility or benefits payable for a device. </w:t>
            </w:r>
            <w:r w:rsidR="00C52006" w:rsidRPr="00602824">
              <w:t>Pos</w:t>
            </w:r>
            <w:r w:rsidR="007D44A0">
              <w:t>t-</w:t>
            </w:r>
            <w:r w:rsidR="00C52006" w:rsidRPr="00602824">
              <w:t xml:space="preserve">listing </w:t>
            </w:r>
            <w:r w:rsidR="001538C6">
              <w:t xml:space="preserve">reviews may include: </w:t>
            </w:r>
          </w:p>
          <w:p w14:paraId="096EE9B9" w14:textId="04CAE320" w:rsidR="001538C6" w:rsidRDefault="001538C6" w:rsidP="00C43175">
            <w:pPr>
              <w:pStyle w:val="ListBullet"/>
            </w:pPr>
            <w:r w:rsidRPr="001538C6">
              <w:t>Reviewing and assessing reports of problems/concerns with the use of medical devices listed on the PL. For example, significant increases in volumes and expenditure</w:t>
            </w:r>
            <w:r>
              <w:t>.</w:t>
            </w:r>
          </w:p>
          <w:p w14:paraId="73C2EBBB" w14:textId="186B5D40" w:rsidR="001538C6" w:rsidRPr="001538C6" w:rsidRDefault="001538C6" w:rsidP="00C43175">
            <w:pPr>
              <w:pStyle w:val="ListBullet"/>
            </w:pPr>
            <w:r w:rsidRPr="001538C6">
              <w:t xml:space="preserve">Checking evidence that medical devices continue to meet the requirements established at the point of listing – including a focus on comparative clinical effectiveness and cost effectiveness, out-of-pocket costs, approved usage, eligibility (scope and definition). </w:t>
            </w:r>
          </w:p>
          <w:p w14:paraId="1F87C7F6" w14:textId="57DAED9B" w:rsidR="001538C6" w:rsidRPr="001538C6" w:rsidRDefault="001538C6" w:rsidP="00C43175">
            <w:pPr>
              <w:pStyle w:val="ListBullet"/>
            </w:pPr>
            <w:r w:rsidRPr="001538C6">
              <w:t>Undertaking periodic reference pricing activities to maintain alignment between public prices and private benefits that underpins the PL settings.</w:t>
            </w:r>
          </w:p>
          <w:p w14:paraId="3CF37582" w14:textId="403F37EC" w:rsidR="007C1880" w:rsidRPr="00602824" w:rsidRDefault="00EA321F" w:rsidP="00FB712C">
            <w:r w:rsidRPr="00C057D7">
              <w:t xml:space="preserve">The </w:t>
            </w:r>
            <w:r>
              <w:t>Department</w:t>
            </w:r>
            <w:r w:rsidRPr="00C057D7">
              <w:t xml:space="preserve"> released a post-listing review framework on 1 July 2022</w:t>
            </w:r>
            <w:r>
              <w:t>.</w:t>
            </w:r>
            <w:r w:rsidRPr="00C057D7">
              <w:t xml:space="preserve"> The intent of the framework was to improve post-listing processes and carry out post-market reviews.</w:t>
            </w:r>
            <w:r>
              <w:t xml:space="preserve"> </w:t>
            </w:r>
            <w:r w:rsidR="0019709A" w:rsidRPr="00602824">
              <w:t xml:space="preserve">Of the four </w:t>
            </w:r>
            <w:r w:rsidR="0042349D" w:rsidRPr="00602824">
              <w:t>pilot reviews, two were complete</w:t>
            </w:r>
            <w:r w:rsidR="00D57A94">
              <w:t xml:space="preserve">d during </w:t>
            </w:r>
            <w:r w:rsidR="00D24F90">
              <w:t xml:space="preserve">the reforms and two were ongoing at the conclusion of the reforms. </w:t>
            </w:r>
            <w:r w:rsidR="00DF572B">
              <w:t>A</w:t>
            </w:r>
            <w:r w:rsidR="0011626E" w:rsidRPr="00602824">
              <w:t>n updated post-listing review framework</w:t>
            </w:r>
            <w:r w:rsidR="00FA1EDA" w:rsidRPr="00602824">
              <w:t xml:space="preserve"> </w:t>
            </w:r>
            <w:r w:rsidR="00DF572B">
              <w:t xml:space="preserve">was released </w:t>
            </w:r>
            <w:r w:rsidR="00FA1EDA" w:rsidRPr="00602824">
              <w:t>in December 2024</w:t>
            </w:r>
            <w:r w:rsidR="00453E0C" w:rsidRPr="00602824">
              <w:t xml:space="preserve">, </w:t>
            </w:r>
            <w:r w:rsidR="00902134" w:rsidRPr="00602824">
              <w:t>to incorporate learnings, clarify processes and promote consistency of the reviews.</w:t>
            </w:r>
            <w:r w:rsidR="000C655E" w:rsidRPr="00602824">
              <w:rPr>
                <w:rStyle w:val="FootnoteReference"/>
              </w:rPr>
              <w:footnoteReference w:id="103"/>
            </w:r>
            <w:r w:rsidR="00902134" w:rsidRPr="00602824">
              <w:t xml:space="preserve"> </w:t>
            </w:r>
            <w:r w:rsidR="00DA5C24">
              <w:t>I</w:t>
            </w:r>
            <w:r w:rsidR="00F110BF">
              <w:t>n</w:t>
            </w:r>
            <w:r w:rsidR="00DA5C24">
              <w:t xml:space="preserve"> early 2026, the framework was </w:t>
            </w:r>
            <w:r w:rsidR="00F110BF">
              <w:t>updated to include expected timeframes for consultation.</w:t>
            </w:r>
            <w:r w:rsidR="00DA5C24">
              <w:t xml:space="preserve"> </w:t>
            </w:r>
          </w:p>
        </w:tc>
      </w:tr>
    </w:tbl>
    <w:p w14:paraId="39043879" w14:textId="0752C56B" w:rsidR="008F5C44" w:rsidRDefault="008F5C44" w:rsidP="008F5C44">
      <w:pPr>
        <w:pStyle w:val="Caption"/>
      </w:pPr>
      <w:r>
        <w:t xml:space="preserve">Figure </w:t>
      </w:r>
      <w:r w:rsidR="005539DD">
        <w:fldChar w:fldCharType="begin"/>
      </w:r>
      <w:r w:rsidR="005539DD">
        <w:instrText xml:space="preserve"> SEQ Figure \* ARABIC </w:instrText>
      </w:r>
      <w:r w:rsidR="005539DD">
        <w:fldChar w:fldCharType="separate"/>
      </w:r>
      <w:r w:rsidR="0092693A">
        <w:rPr>
          <w:noProof/>
        </w:rPr>
        <w:t>27</w:t>
      </w:r>
      <w:r w:rsidR="005539DD">
        <w:fldChar w:fldCharType="end"/>
      </w:r>
      <w:r>
        <w:t xml:space="preserve"> | </w:t>
      </w:r>
      <w:r w:rsidR="007E2A2E">
        <w:t xml:space="preserve">Reform timeline of post-listing reviews </w:t>
      </w:r>
    </w:p>
    <w:p w14:paraId="31D8437E" w14:textId="7251148D" w:rsidR="001B768B" w:rsidRPr="00602824" w:rsidRDefault="00B47968" w:rsidP="00B31795">
      <w:pPr>
        <w:sectPr w:rsidR="001B768B" w:rsidRPr="00602824" w:rsidSect="005B4CC5">
          <w:headerReference w:type="default" r:id="rId49"/>
          <w:pgSz w:w="11907" w:h="16839" w:code="9"/>
          <w:pgMar w:top="1247" w:right="1361" w:bottom="1134" w:left="1361" w:header="720" w:footer="720" w:gutter="0"/>
          <w:cols w:space="720"/>
          <w:docGrid w:linePitch="360"/>
        </w:sectPr>
      </w:pPr>
      <w:r>
        <w:rPr>
          <w:noProof/>
        </w:rPr>
        <w:drawing>
          <wp:inline distT="0" distB="0" distL="0" distR="0" wp14:anchorId="4752EF7F" wp14:editId="3516A298">
            <wp:extent cx="5840730" cy="7821930"/>
            <wp:effectExtent l="0" t="0" r="7620" b="7620"/>
            <wp:docPr id="417733107" name="Picture 3" descr="Timeline showing reform activities associated with the post-listing reviews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733107" name="Picture 3" descr="Timeline showing reform activities associated with the post-listing reviews project."/>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840730" cy="7821930"/>
                    </a:xfrm>
                    <a:prstGeom prst="rect">
                      <a:avLst/>
                    </a:prstGeom>
                    <a:noFill/>
                  </pic:spPr>
                </pic:pic>
              </a:graphicData>
            </a:graphic>
          </wp:inline>
        </w:drawing>
      </w:r>
    </w:p>
    <w:p w14:paraId="14184674" w14:textId="036913FE" w:rsidR="009D36A6" w:rsidRPr="00602824" w:rsidRDefault="004823A7" w:rsidP="00FB712C">
      <w:pPr>
        <w:pStyle w:val="Caption"/>
        <w:spacing w:before="120"/>
      </w:pPr>
      <w:bookmarkStart w:id="78" w:name="_Ref202920177"/>
      <w:r w:rsidRPr="00602824">
        <w:t>Table</w:t>
      </w:r>
      <w:r w:rsidR="009D36A6" w:rsidRPr="00602824">
        <w:t xml:space="preserve"> </w:t>
      </w:r>
      <w:r w:rsidR="002604D0">
        <w:fldChar w:fldCharType="begin"/>
      </w:r>
      <w:r w:rsidR="002604D0">
        <w:instrText xml:space="preserve"> SEQ Table \* ARABIC </w:instrText>
      </w:r>
      <w:r w:rsidR="002604D0">
        <w:fldChar w:fldCharType="separate"/>
      </w:r>
      <w:r w:rsidR="0092693A">
        <w:rPr>
          <w:noProof/>
        </w:rPr>
        <w:t>6</w:t>
      </w:r>
      <w:r w:rsidR="002604D0">
        <w:fldChar w:fldCharType="end"/>
      </w:r>
      <w:bookmarkEnd w:id="78"/>
      <w:r w:rsidR="009D36A6" w:rsidRPr="00602824">
        <w:t xml:space="preserve"> | Summary of pilot post-listing reviews</w:t>
      </w:r>
    </w:p>
    <w:tbl>
      <w:tblPr>
        <w:tblStyle w:val="NOUS1"/>
        <w:tblW w:w="5000" w:type="pct"/>
        <w:tblLook w:val="04A0" w:firstRow="1" w:lastRow="0" w:firstColumn="1" w:lastColumn="0" w:noHBand="0" w:noVBand="1"/>
      </w:tblPr>
      <w:tblGrid>
        <w:gridCol w:w="1710"/>
        <w:gridCol w:w="1544"/>
        <w:gridCol w:w="2791"/>
        <w:gridCol w:w="1772"/>
        <w:gridCol w:w="2976"/>
        <w:gridCol w:w="3324"/>
      </w:tblGrid>
      <w:tr w:rsidR="00DD3923" w:rsidRPr="00706A55" w14:paraId="0B0BF764" w14:textId="77777777" w:rsidTr="00D44DE9">
        <w:trPr>
          <w:cnfStyle w:val="100000000000" w:firstRow="1" w:lastRow="0" w:firstColumn="0" w:lastColumn="0" w:oddVBand="0" w:evenVBand="0" w:oddHBand="0" w:evenHBand="0" w:firstRowFirstColumn="0" w:firstRowLastColumn="0" w:lastRowFirstColumn="0" w:lastRowLastColumn="0"/>
          <w:cantSplit/>
        </w:trPr>
        <w:tc>
          <w:tcPr>
            <w:tcW w:w="1610" w:type="dxa"/>
          </w:tcPr>
          <w:p w14:paraId="66D7BDF4" w14:textId="00E31A07" w:rsidR="00993178" w:rsidRPr="00706A55" w:rsidRDefault="00993178" w:rsidP="00FB712C">
            <w:pPr>
              <w:spacing w:before="40" w:after="40"/>
              <w:outlineLvl w:val="4"/>
              <w:rPr>
                <w:rFonts w:ascii="Segoe UI Semibold" w:eastAsia="Times New Roman" w:hAnsi="Segoe UI Semibold" w:cs="Times New Roman"/>
                <w:sz w:val="18"/>
                <w:szCs w:val="18"/>
                <w:lang w:eastAsia="en-AU"/>
              </w:rPr>
            </w:pPr>
            <w:r w:rsidRPr="00706A55">
              <w:rPr>
                <w:rFonts w:ascii="Segoe UI Semibold" w:eastAsia="Times New Roman" w:hAnsi="Segoe UI Semibold" w:cs="Times New Roman"/>
                <w:sz w:val="18"/>
                <w:szCs w:val="18"/>
                <w:lang w:eastAsia="en-AU"/>
              </w:rPr>
              <w:t xml:space="preserve">PL </w:t>
            </w:r>
            <w:r w:rsidR="000464D0" w:rsidRPr="00706A55">
              <w:rPr>
                <w:rFonts w:ascii="Segoe UI Semibold" w:eastAsia="Times New Roman" w:hAnsi="Segoe UI Semibold" w:cs="Times New Roman"/>
                <w:sz w:val="18"/>
                <w:szCs w:val="18"/>
                <w:lang w:eastAsia="en-AU"/>
              </w:rPr>
              <w:t xml:space="preserve">review </w:t>
            </w:r>
          </w:p>
        </w:tc>
        <w:tc>
          <w:tcPr>
            <w:tcW w:w="1528" w:type="dxa"/>
          </w:tcPr>
          <w:p w14:paraId="7D9F2276" w14:textId="77777777" w:rsidR="00993178" w:rsidRPr="00706A55" w:rsidRDefault="00993178" w:rsidP="00FB712C">
            <w:pPr>
              <w:spacing w:before="40" w:after="40"/>
              <w:outlineLvl w:val="4"/>
              <w:rPr>
                <w:rFonts w:ascii="Segoe UI Semibold" w:eastAsia="Times New Roman" w:hAnsi="Segoe UI Semibold" w:cs="Times New Roman"/>
                <w:sz w:val="18"/>
                <w:szCs w:val="18"/>
                <w:lang w:eastAsia="en-AU"/>
              </w:rPr>
            </w:pPr>
            <w:r w:rsidRPr="00706A55">
              <w:rPr>
                <w:rFonts w:ascii="Segoe UI Semibold" w:eastAsia="Times New Roman" w:hAnsi="Segoe UI Semibold" w:cs="Times New Roman"/>
                <w:sz w:val="18"/>
                <w:szCs w:val="18"/>
                <w:lang w:eastAsia="en-AU"/>
              </w:rPr>
              <w:t>Duration</w:t>
            </w:r>
          </w:p>
        </w:tc>
        <w:tc>
          <w:tcPr>
            <w:tcW w:w="2763" w:type="dxa"/>
          </w:tcPr>
          <w:p w14:paraId="5CFA0D7D" w14:textId="77777777" w:rsidR="00993178" w:rsidRPr="00706A55" w:rsidRDefault="00993178" w:rsidP="00FB712C">
            <w:pPr>
              <w:spacing w:before="40" w:after="40"/>
              <w:outlineLvl w:val="4"/>
              <w:rPr>
                <w:rFonts w:ascii="Segoe UI Semibold" w:eastAsia="Times New Roman" w:hAnsi="Segoe UI Semibold" w:cs="Times New Roman"/>
                <w:sz w:val="18"/>
                <w:szCs w:val="18"/>
                <w:lang w:eastAsia="en-AU"/>
              </w:rPr>
            </w:pPr>
            <w:r w:rsidRPr="00706A55">
              <w:rPr>
                <w:rFonts w:ascii="Segoe UI Semibold" w:eastAsia="Times New Roman" w:hAnsi="Segoe UI Semibold" w:cs="Times New Roman"/>
                <w:sz w:val="18"/>
                <w:szCs w:val="18"/>
                <w:lang w:eastAsia="en-AU"/>
              </w:rPr>
              <w:t xml:space="preserve">Purpose </w:t>
            </w:r>
          </w:p>
        </w:tc>
        <w:tc>
          <w:tcPr>
            <w:tcW w:w="1754" w:type="dxa"/>
          </w:tcPr>
          <w:p w14:paraId="7FE461BA" w14:textId="77777777" w:rsidR="00993178" w:rsidRPr="00706A55" w:rsidRDefault="00993178" w:rsidP="00FB712C">
            <w:pPr>
              <w:spacing w:before="40" w:after="40"/>
              <w:outlineLvl w:val="4"/>
              <w:rPr>
                <w:rFonts w:ascii="Segoe UI Semibold" w:eastAsia="Times New Roman" w:hAnsi="Segoe UI Semibold" w:cs="Times New Roman"/>
                <w:sz w:val="18"/>
                <w:szCs w:val="18"/>
                <w:lang w:eastAsia="en-AU"/>
              </w:rPr>
            </w:pPr>
            <w:r w:rsidRPr="00706A55">
              <w:rPr>
                <w:rFonts w:ascii="Segoe UI Semibold" w:eastAsia="Times New Roman" w:hAnsi="Segoe UI Semibold" w:cs="Times New Roman"/>
                <w:sz w:val="18"/>
                <w:szCs w:val="18"/>
                <w:lang w:eastAsia="en-AU"/>
              </w:rPr>
              <w:t xml:space="preserve">Review(s) </w:t>
            </w:r>
          </w:p>
        </w:tc>
        <w:tc>
          <w:tcPr>
            <w:tcW w:w="2946" w:type="dxa"/>
          </w:tcPr>
          <w:p w14:paraId="77861D4B" w14:textId="77777777" w:rsidR="00993178" w:rsidRPr="00706A55" w:rsidRDefault="00993178" w:rsidP="00FB712C">
            <w:pPr>
              <w:spacing w:before="40" w:after="40"/>
              <w:outlineLvl w:val="4"/>
              <w:rPr>
                <w:rFonts w:ascii="Segoe UI Semibold" w:eastAsia="Times New Roman" w:hAnsi="Segoe UI Semibold" w:cs="Times New Roman"/>
                <w:sz w:val="18"/>
                <w:szCs w:val="18"/>
                <w:lang w:eastAsia="en-AU"/>
              </w:rPr>
            </w:pPr>
            <w:r w:rsidRPr="00706A55">
              <w:rPr>
                <w:rFonts w:ascii="Segoe UI Semibold" w:eastAsia="Times New Roman" w:hAnsi="Segoe UI Semibold" w:cs="Times New Roman"/>
                <w:sz w:val="18"/>
                <w:szCs w:val="18"/>
                <w:lang w:eastAsia="en-AU"/>
              </w:rPr>
              <w:t>Key finding</w:t>
            </w:r>
          </w:p>
        </w:tc>
        <w:tc>
          <w:tcPr>
            <w:tcW w:w="3290" w:type="dxa"/>
          </w:tcPr>
          <w:p w14:paraId="6F1EC8D8" w14:textId="77777777" w:rsidR="00993178" w:rsidRPr="00706A55" w:rsidRDefault="00993178" w:rsidP="00FB712C">
            <w:pPr>
              <w:spacing w:before="40" w:after="40"/>
              <w:outlineLvl w:val="4"/>
              <w:rPr>
                <w:rFonts w:ascii="Segoe UI Semibold" w:eastAsia="Times New Roman" w:hAnsi="Segoe UI Semibold" w:cs="Times New Roman"/>
                <w:sz w:val="18"/>
                <w:szCs w:val="18"/>
                <w:lang w:eastAsia="en-AU"/>
              </w:rPr>
            </w:pPr>
            <w:r w:rsidRPr="00706A55">
              <w:rPr>
                <w:rFonts w:ascii="Segoe UI Semibold" w:eastAsia="Times New Roman" w:hAnsi="Segoe UI Semibold" w:cs="Times New Roman"/>
                <w:sz w:val="18"/>
                <w:szCs w:val="18"/>
                <w:lang w:eastAsia="en-AU"/>
              </w:rPr>
              <w:t xml:space="preserve">Outcome </w:t>
            </w:r>
          </w:p>
        </w:tc>
      </w:tr>
      <w:tr w:rsidR="00DD3923" w:rsidRPr="00706A55" w14:paraId="1085FCEF" w14:textId="77777777" w:rsidTr="00D44DE9">
        <w:trPr>
          <w:cantSplit/>
        </w:trPr>
        <w:tc>
          <w:tcPr>
            <w:tcW w:w="1610" w:type="dxa"/>
          </w:tcPr>
          <w:p w14:paraId="651E609D" w14:textId="77777777" w:rsidR="00993178" w:rsidRPr="00706A55" w:rsidRDefault="00993178" w:rsidP="00FB712C">
            <w:pPr>
              <w:pStyle w:val="TableNText"/>
              <w:keepNext w:val="0"/>
              <w:spacing w:line="240" w:lineRule="auto"/>
              <w:rPr>
                <w:rFonts w:asciiTheme="majorHAnsi" w:hAnsiTheme="majorHAnsi" w:cstheme="majorHAnsi"/>
                <w:szCs w:val="18"/>
              </w:rPr>
            </w:pPr>
            <w:r w:rsidRPr="00706A55">
              <w:rPr>
                <w:rFonts w:asciiTheme="majorHAnsi" w:hAnsiTheme="majorHAnsi" w:cstheme="majorHAnsi"/>
                <w:szCs w:val="18"/>
              </w:rPr>
              <w:t xml:space="preserve">Metal-backed patellae (MBP) </w:t>
            </w:r>
          </w:p>
        </w:tc>
        <w:tc>
          <w:tcPr>
            <w:tcW w:w="1528" w:type="dxa"/>
          </w:tcPr>
          <w:p w14:paraId="596D4418" w14:textId="09334185" w:rsidR="00993178" w:rsidRPr="00706A55" w:rsidRDefault="00D05145" w:rsidP="00FB712C">
            <w:pPr>
              <w:pStyle w:val="TableNText"/>
              <w:keepNext w:val="0"/>
              <w:spacing w:line="240" w:lineRule="auto"/>
              <w:rPr>
                <w:szCs w:val="18"/>
              </w:rPr>
            </w:pPr>
            <w:r w:rsidRPr="00706A55">
              <w:rPr>
                <w:szCs w:val="18"/>
              </w:rPr>
              <w:t>Seven</w:t>
            </w:r>
            <w:r w:rsidR="00993178" w:rsidRPr="00706A55">
              <w:rPr>
                <w:szCs w:val="18"/>
              </w:rPr>
              <w:t xml:space="preserve"> months</w:t>
            </w:r>
          </w:p>
          <w:p w14:paraId="4FDA3D7C" w14:textId="77777777" w:rsidR="00993178" w:rsidRPr="00706A55" w:rsidRDefault="00993178" w:rsidP="00FB712C">
            <w:pPr>
              <w:pStyle w:val="TableNText"/>
              <w:keepNext w:val="0"/>
              <w:spacing w:line="240" w:lineRule="auto"/>
              <w:rPr>
                <w:szCs w:val="18"/>
              </w:rPr>
            </w:pPr>
            <w:r w:rsidRPr="00706A55">
              <w:rPr>
                <w:szCs w:val="18"/>
              </w:rPr>
              <w:t xml:space="preserve">(August 2022 – March 2023) </w:t>
            </w:r>
          </w:p>
        </w:tc>
        <w:tc>
          <w:tcPr>
            <w:tcW w:w="2763" w:type="dxa"/>
          </w:tcPr>
          <w:p w14:paraId="0275A60D" w14:textId="77777777" w:rsidR="00993178" w:rsidRPr="00706A55" w:rsidRDefault="00993178" w:rsidP="00FB712C">
            <w:pPr>
              <w:pStyle w:val="TableNText"/>
              <w:keepNext w:val="0"/>
              <w:spacing w:line="240" w:lineRule="auto"/>
              <w:rPr>
                <w:szCs w:val="18"/>
              </w:rPr>
            </w:pPr>
            <w:r w:rsidRPr="00706A55">
              <w:rPr>
                <w:szCs w:val="18"/>
              </w:rPr>
              <w:t>To compare comparative clinical effectiveness and cost-effectiveness of MBP compared to all-polyethylene patellae (APP), as MBP attracted higher benefit amounts despite reported inferior safety and performance.</w:t>
            </w:r>
            <w:r w:rsidRPr="00706A55">
              <w:rPr>
                <w:rFonts w:cstheme="minorHAnsi"/>
                <w:szCs w:val="18"/>
                <w:vertAlign w:val="superscript"/>
              </w:rPr>
              <w:footnoteReference w:id="104"/>
            </w:r>
            <w:r w:rsidRPr="00706A55">
              <w:rPr>
                <w:szCs w:val="18"/>
              </w:rPr>
              <w:t xml:space="preserve">  </w:t>
            </w:r>
          </w:p>
        </w:tc>
        <w:tc>
          <w:tcPr>
            <w:tcW w:w="1754" w:type="dxa"/>
          </w:tcPr>
          <w:p w14:paraId="766FF8B1" w14:textId="77777777" w:rsidR="00993178" w:rsidRPr="00706A55" w:rsidRDefault="00993178" w:rsidP="00FB712C">
            <w:pPr>
              <w:pStyle w:val="TableNText"/>
              <w:keepNext w:val="0"/>
              <w:spacing w:line="240" w:lineRule="auto"/>
              <w:rPr>
                <w:szCs w:val="18"/>
              </w:rPr>
            </w:pPr>
            <w:r w:rsidRPr="00706A55">
              <w:rPr>
                <w:szCs w:val="18"/>
              </w:rPr>
              <w:t>Internal department review with advice from former Knee Prostheses Clinical Advisory Group (KPCAG).</w:t>
            </w:r>
          </w:p>
        </w:tc>
        <w:tc>
          <w:tcPr>
            <w:tcW w:w="2946" w:type="dxa"/>
          </w:tcPr>
          <w:p w14:paraId="40A49271" w14:textId="77777777" w:rsidR="00993178" w:rsidRPr="00706A55" w:rsidRDefault="00993178" w:rsidP="00FB712C">
            <w:pPr>
              <w:pStyle w:val="TableNText"/>
              <w:keepNext w:val="0"/>
              <w:spacing w:line="240" w:lineRule="auto"/>
              <w:rPr>
                <w:szCs w:val="18"/>
              </w:rPr>
            </w:pPr>
            <w:r w:rsidRPr="00706A55">
              <w:rPr>
                <w:szCs w:val="18"/>
              </w:rPr>
              <w:t xml:space="preserve">Based on available evidence, there should be no benefit difference between MBP and APP. </w:t>
            </w:r>
          </w:p>
        </w:tc>
        <w:tc>
          <w:tcPr>
            <w:tcW w:w="3290" w:type="dxa"/>
          </w:tcPr>
          <w:p w14:paraId="0492D870" w14:textId="2A204D77" w:rsidR="00993178" w:rsidRPr="00706A55" w:rsidRDefault="00993178" w:rsidP="00FB712C">
            <w:pPr>
              <w:pStyle w:val="TableNText"/>
              <w:keepNext w:val="0"/>
              <w:spacing w:line="240" w:lineRule="auto"/>
              <w:rPr>
                <w:szCs w:val="18"/>
              </w:rPr>
            </w:pPr>
            <w:r w:rsidRPr="003A47A6">
              <w:rPr>
                <w:rFonts w:asciiTheme="majorHAnsi" w:hAnsiTheme="majorHAnsi" w:cstheme="majorHAnsi"/>
                <w:szCs w:val="18"/>
              </w:rPr>
              <w:t>March 2023</w:t>
            </w:r>
            <w:r w:rsidRPr="00706A55">
              <w:rPr>
                <w:rFonts w:cstheme="majorBidi"/>
                <w:szCs w:val="18"/>
              </w:rPr>
              <w:t xml:space="preserve"> –</w:t>
            </w:r>
            <w:r w:rsidRPr="00706A55">
              <w:rPr>
                <w:szCs w:val="18"/>
              </w:rPr>
              <w:t xml:space="preserve"> The PL benefit for M</w:t>
            </w:r>
            <w:r w:rsidR="00D25B3C">
              <w:rPr>
                <w:szCs w:val="18"/>
              </w:rPr>
              <w:t>B</w:t>
            </w:r>
            <w:r w:rsidRPr="00706A55">
              <w:rPr>
                <w:szCs w:val="18"/>
              </w:rPr>
              <w:t xml:space="preserve">P was reduced to the PL benefit assigned to APP.   </w:t>
            </w:r>
          </w:p>
        </w:tc>
      </w:tr>
      <w:tr w:rsidR="00DD3923" w:rsidRPr="00706A55" w14:paraId="403808C7" w14:textId="77777777" w:rsidTr="00D44DE9">
        <w:trPr>
          <w:cantSplit/>
        </w:trPr>
        <w:tc>
          <w:tcPr>
            <w:tcW w:w="1610" w:type="dxa"/>
          </w:tcPr>
          <w:p w14:paraId="7F4511CC" w14:textId="77777777" w:rsidR="00993178" w:rsidRPr="00706A55" w:rsidRDefault="00993178" w:rsidP="00FB712C">
            <w:pPr>
              <w:pStyle w:val="TableNText"/>
              <w:keepNext w:val="0"/>
              <w:spacing w:line="240" w:lineRule="auto"/>
              <w:rPr>
                <w:rFonts w:asciiTheme="majorHAnsi" w:hAnsiTheme="majorHAnsi" w:cstheme="majorHAnsi"/>
                <w:szCs w:val="18"/>
              </w:rPr>
            </w:pPr>
            <w:r w:rsidRPr="00706A55">
              <w:rPr>
                <w:rFonts w:asciiTheme="majorHAnsi" w:hAnsiTheme="majorHAnsi" w:cstheme="majorHAnsi"/>
                <w:szCs w:val="18"/>
              </w:rPr>
              <w:t xml:space="preserve">Surgical guides and </w:t>
            </w:r>
            <w:proofErr w:type="spellStart"/>
            <w:r w:rsidRPr="00706A55">
              <w:rPr>
                <w:rFonts w:asciiTheme="majorHAnsi" w:hAnsiTheme="majorHAnsi" w:cstheme="majorHAnsi"/>
                <w:szCs w:val="18"/>
              </w:rPr>
              <w:t>biomodels</w:t>
            </w:r>
            <w:proofErr w:type="spellEnd"/>
          </w:p>
        </w:tc>
        <w:tc>
          <w:tcPr>
            <w:tcW w:w="1528" w:type="dxa"/>
          </w:tcPr>
          <w:p w14:paraId="17C8A910" w14:textId="77777777" w:rsidR="00993178" w:rsidRPr="00706A55" w:rsidRDefault="00993178" w:rsidP="00FB712C">
            <w:pPr>
              <w:pStyle w:val="TableNText"/>
              <w:keepNext w:val="0"/>
              <w:spacing w:line="240" w:lineRule="auto"/>
              <w:rPr>
                <w:szCs w:val="18"/>
              </w:rPr>
            </w:pPr>
            <w:r w:rsidRPr="00706A55">
              <w:rPr>
                <w:rFonts w:asciiTheme="majorHAnsi" w:hAnsiTheme="majorHAnsi" w:cstheme="majorHAnsi"/>
                <w:color w:val="F25E21" w:themeColor="accent2"/>
                <w:szCs w:val="18"/>
              </w:rPr>
              <w:t xml:space="preserve">Ongoing </w:t>
            </w:r>
            <w:r w:rsidRPr="00706A55">
              <w:rPr>
                <w:szCs w:val="18"/>
              </w:rPr>
              <w:t>(September 2022 – Present)</w:t>
            </w:r>
            <w:r w:rsidRPr="00706A55">
              <w:rPr>
                <w:b/>
                <w:szCs w:val="18"/>
              </w:rPr>
              <w:t xml:space="preserve"> </w:t>
            </w:r>
          </w:p>
        </w:tc>
        <w:tc>
          <w:tcPr>
            <w:tcW w:w="2763" w:type="dxa"/>
          </w:tcPr>
          <w:p w14:paraId="080A784C" w14:textId="77777777" w:rsidR="00993178" w:rsidRPr="00706A55" w:rsidRDefault="00993178" w:rsidP="00FB712C">
            <w:pPr>
              <w:pStyle w:val="TableNText"/>
              <w:keepNext w:val="0"/>
              <w:spacing w:line="240" w:lineRule="auto"/>
              <w:rPr>
                <w:szCs w:val="18"/>
              </w:rPr>
            </w:pPr>
            <w:r w:rsidRPr="00706A55">
              <w:rPr>
                <w:szCs w:val="18"/>
              </w:rPr>
              <w:t xml:space="preserve">To review rapid growth in use of surgical guides and </w:t>
            </w:r>
            <w:proofErr w:type="spellStart"/>
            <w:r w:rsidRPr="00706A55">
              <w:rPr>
                <w:szCs w:val="18"/>
              </w:rPr>
              <w:t>biomodels</w:t>
            </w:r>
            <w:proofErr w:type="spellEnd"/>
            <w:r w:rsidRPr="00706A55">
              <w:rPr>
                <w:szCs w:val="18"/>
              </w:rPr>
              <w:t>, reports of overuse and inappropriate use, uncertainty about eligibility on the PL and comparative clinical effectiveness and cost effectiveness.</w:t>
            </w:r>
            <w:r w:rsidRPr="00706A55">
              <w:rPr>
                <w:rFonts w:cstheme="minorHAnsi"/>
                <w:szCs w:val="18"/>
                <w:vertAlign w:val="superscript"/>
              </w:rPr>
              <w:footnoteReference w:id="105"/>
            </w:r>
          </w:p>
        </w:tc>
        <w:tc>
          <w:tcPr>
            <w:tcW w:w="1754" w:type="dxa"/>
          </w:tcPr>
          <w:p w14:paraId="14B5B8E7" w14:textId="77777777" w:rsidR="00993178" w:rsidRPr="00706A55" w:rsidRDefault="00993178" w:rsidP="00FB712C">
            <w:pPr>
              <w:pStyle w:val="TableNText"/>
              <w:keepNext w:val="0"/>
              <w:spacing w:line="240" w:lineRule="auto"/>
              <w:rPr>
                <w:szCs w:val="18"/>
              </w:rPr>
            </w:pPr>
            <w:r w:rsidRPr="00706A55">
              <w:rPr>
                <w:szCs w:val="18"/>
              </w:rPr>
              <w:t>Stage 1: Health Technology Assessment (HTA) through an external provider</w:t>
            </w:r>
          </w:p>
          <w:p w14:paraId="1A833FBA" w14:textId="77777777" w:rsidR="00993178" w:rsidRPr="00706A55" w:rsidRDefault="00993178" w:rsidP="00FB712C">
            <w:pPr>
              <w:pStyle w:val="TableNText"/>
              <w:keepNext w:val="0"/>
              <w:spacing w:line="240" w:lineRule="auto"/>
              <w:rPr>
                <w:szCs w:val="18"/>
              </w:rPr>
            </w:pPr>
            <w:r w:rsidRPr="00706A55">
              <w:rPr>
                <w:szCs w:val="18"/>
              </w:rPr>
              <w:t xml:space="preserve">Stage 2: Comparative economic analysis  </w:t>
            </w:r>
          </w:p>
        </w:tc>
        <w:tc>
          <w:tcPr>
            <w:tcW w:w="2946" w:type="dxa"/>
          </w:tcPr>
          <w:p w14:paraId="383072D3" w14:textId="77777777" w:rsidR="00993178" w:rsidRPr="00706A55" w:rsidRDefault="00993178" w:rsidP="00FB712C">
            <w:pPr>
              <w:pStyle w:val="TableNText"/>
              <w:keepNext w:val="0"/>
              <w:spacing w:line="240" w:lineRule="auto"/>
              <w:rPr>
                <w:szCs w:val="18"/>
              </w:rPr>
            </w:pPr>
            <w:r w:rsidRPr="00706A55">
              <w:rPr>
                <w:szCs w:val="18"/>
              </w:rPr>
              <w:t xml:space="preserve">Stage 1: Surgical guides and </w:t>
            </w:r>
            <w:proofErr w:type="spellStart"/>
            <w:r w:rsidRPr="00706A55">
              <w:rPr>
                <w:szCs w:val="18"/>
              </w:rPr>
              <w:t>biomodels</w:t>
            </w:r>
            <w:proofErr w:type="spellEnd"/>
            <w:r w:rsidRPr="00706A55">
              <w:rPr>
                <w:szCs w:val="18"/>
              </w:rPr>
              <w:t xml:space="preserve"> are clinically effective when used for insertion of a medical device in complex craniomaxillofacial surgery, however there is insufficient evidence to support the listings for other types of surgeries.</w:t>
            </w:r>
          </w:p>
        </w:tc>
        <w:tc>
          <w:tcPr>
            <w:tcW w:w="3290" w:type="dxa"/>
          </w:tcPr>
          <w:p w14:paraId="15DE708D" w14:textId="3CAC4BFA" w:rsidR="00761B09" w:rsidRDefault="00993178" w:rsidP="00FB712C">
            <w:pPr>
              <w:pStyle w:val="TableNText"/>
              <w:keepNext w:val="0"/>
              <w:spacing w:line="240" w:lineRule="auto"/>
              <w:rPr>
                <w:szCs w:val="18"/>
              </w:rPr>
            </w:pPr>
            <w:r w:rsidRPr="003A47A6">
              <w:rPr>
                <w:rFonts w:asciiTheme="majorHAnsi" w:hAnsiTheme="majorHAnsi" w:cstheme="majorHAnsi"/>
                <w:szCs w:val="18"/>
              </w:rPr>
              <w:t>November 2023</w:t>
            </w:r>
            <w:r w:rsidRPr="00706A55">
              <w:rPr>
                <w:rFonts w:cstheme="majorBidi"/>
                <w:szCs w:val="18"/>
              </w:rPr>
              <w:t xml:space="preserve"> –</w:t>
            </w:r>
            <w:r w:rsidRPr="00706A55">
              <w:rPr>
                <w:szCs w:val="18"/>
              </w:rPr>
              <w:t xml:space="preserve"> Stage 1</w:t>
            </w:r>
            <w:r w:rsidR="00CE40D4">
              <w:rPr>
                <w:szCs w:val="18"/>
              </w:rPr>
              <w:t xml:space="preserve">: </w:t>
            </w:r>
            <w:r w:rsidR="006B19F8">
              <w:rPr>
                <w:szCs w:val="18"/>
              </w:rPr>
              <w:t>A</w:t>
            </w:r>
            <w:r w:rsidR="008F2E34" w:rsidRPr="008F2E34">
              <w:rPr>
                <w:szCs w:val="18"/>
              </w:rPr>
              <w:t xml:space="preserve"> condition</w:t>
            </w:r>
            <w:r w:rsidR="006B19F8">
              <w:rPr>
                <w:szCs w:val="18"/>
              </w:rPr>
              <w:t xml:space="preserve"> was applied to</w:t>
            </w:r>
            <w:r w:rsidR="008F2E34" w:rsidRPr="008F2E34">
              <w:rPr>
                <w:szCs w:val="18"/>
              </w:rPr>
              <w:t xml:space="preserve"> restrict </w:t>
            </w:r>
            <w:r w:rsidR="006B19F8">
              <w:rPr>
                <w:szCs w:val="18"/>
              </w:rPr>
              <w:t xml:space="preserve">PL </w:t>
            </w:r>
            <w:r w:rsidR="008F2E34" w:rsidRPr="008F2E34">
              <w:rPr>
                <w:szCs w:val="18"/>
              </w:rPr>
              <w:t xml:space="preserve">reimbursement to use in craniomaxillofacial surgery </w:t>
            </w:r>
            <w:r w:rsidR="00912D6C" w:rsidRPr="008F2E34">
              <w:rPr>
                <w:szCs w:val="18"/>
              </w:rPr>
              <w:t>procedures and</w:t>
            </w:r>
            <w:r w:rsidR="008F2E34" w:rsidRPr="008F2E34">
              <w:rPr>
                <w:szCs w:val="18"/>
              </w:rPr>
              <w:t xml:space="preserve"> limiting reimbursement to no more than six PL benefits per procedure.</w:t>
            </w:r>
            <w:r w:rsidR="00912D6C" w:rsidRPr="00706A55">
              <w:rPr>
                <w:rFonts w:cstheme="minorHAnsi"/>
                <w:szCs w:val="18"/>
                <w:vertAlign w:val="superscript"/>
              </w:rPr>
              <w:footnoteReference w:id="106"/>
            </w:r>
            <w:r w:rsidR="00912D6C" w:rsidRPr="00706A55">
              <w:rPr>
                <w:szCs w:val="18"/>
              </w:rPr>
              <w:t xml:space="preserve"> </w:t>
            </w:r>
            <w:r w:rsidR="008F2E34" w:rsidRPr="008F2E34">
              <w:rPr>
                <w:szCs w:val="18"/>
              </w:rPr>
              <w:t xml:space="preserve"> The condition took effect from 1 February 2024.</w:t>
            </w:r>
          </w:p>
          <w:p w14:paraId="17E4D124" w14:textId="6471D989" w:rsidR="00761B09" w:rsidRPr="00332A1C" w:rsidRDefault="00332A1C" w:rsidP="00FB712C">
            <w:pPr>
              <w:pStyle w:val="TableNText"/>
              <w:keepNext w:val="0"/>
              <w:spacing w:line="240" w:lineRule="auto"/>
              <w:rPr>
                <w:szCs w:val="18"/>
              </w:rPr>
            </w:pPr>
            <w:r w:rsidRPr="003A47A6">
              <w:rPr>
                <w:rFonts w:asciiTheme="majorHAnsi" w:hAnsiTheme="majorHAnsi" w:cstheme="majorHAnsi"/>
                <w:szCs w:val="18"/>
              </w:rPr>
              <w:t>May 2026</w:t>
            </w:r>
            <w:r w:rsidRPr="00332A1C">
              <w:rPr>
                <w:szCs w:val="18"/>
              </w:rPr>
              <w:t xml:space="preserve"> – Stage 2:</w:t>
            </w:r>
            <w:r w:rsidR="007C6AC3">
              <w:rPr>
                <w:szCs w:val="18"/>
              </w:rPr>
              <w:t xml:space="preserve"> </w:t>
            </w:r>
            <w:r w:rsidR="003A47A6">
              <w:rPr>
                <w:szCs w:val="18"/>
              </w:rPr>
              <w:t>D</w:t>
            </w:r>
            <w:r w:rsidR="007C6AC3">
              <w:rPr>
                <w:szCs w:val="18"/>
              </w:rPr>
              <w:t>raft report proposing</w:t>
            </w:r>
            <w:r w:rsidRPr="00332A1C">
              <w:rPr>
                <w:szCs w:val="18"/>
              </w:rPr>
              <w:t xml:space="preserve"> </w:t>
            </w:r>
            <w:r>
              <w:rPr>
                <w:szCs w:val="18"/>
              </w:rPr>
              <w:t>n</w:t>
            </w:r>
            <w:r w:rsidRPr="00332A1C">
              <w:rPr>
                <w:szCs w:val="18"/>
              </w:rPr>
              <w:t xml:space="preserve">o further changes to PL benefits for surgical guides and </w:t>
            </w:r>
            <w:proofErr w:type="spellStart"/>
            <w:r w:rsidRPr="00332A1C">
              <w:rPr>
                <w:szCs w:val="18"/>
              </w:rPr>
              <w:t>biomodels</w:t>
            </w:r>
            <w:proofErr w:type="spellEnd"/>
            <w:r w:rsidRPr="00332A1C">
              <w:rPr>
                <w:szCs w:val="18"/>
              </w:rPr>
              <w:t>.</w:t>
            </w:r>
            <w:r w:rsidR="009F0214">
              <w:rPr>
                <w:rStyle w:val="FootnoteReference"/>
              </w:rPr>
              <w:footnoteReference w:id="107"/>
            </w:r>
          </w:p>
        </w:tc>
      </w:tr>
      <w:tr w:rsidR="00DD3923" w:rsidRPr="00706A55" w14:paraId="4EC076EA" w14:textId="77777777" w:rsidTr="00D44DE9">
        <w:trPr>
          <w:cantSplit/>
        </w:trPr>
        <w:tc>
          <w:tcPr>
            <w:tcW w:w="1610" w:type="dxa"/>
          </w:tcPr>
          <w:p w14:paraId="40B584B2" w14:textId="77777777" w:rsidR="00993178" w:rsidRPr="00706A55" w:rsidRDefault="00993178" w:rsidP="00FB712C">
            <w:pPr>
              <w:pStyle w:val="TableNText"/>
              <w:keepNext w:val="0"/>
              <w:spacing w:line="240" w:lineRule="auto"/>
              <w:rPr>
                <w:rFonts w:asciiTheme="majorHAnsi" w:hAnsiTheme="majorHAnsi" w:cstheme="majorHAnsi"/>
                <w:szCs w:val="18"/>
              </w:rPr>
            </w:pPr>
            <w:r w:rsidRPr="00706A55">
              <w:rPr>
                <w:rFonts w:asciiTheme="majorHAnsi" w:hAnsiTheme="majorHAnsi" w:cstheme="majorHAnsi"/>
                <w:szCs w:val="18"/>
              </w:rPr>
              <w:t xml:space="preserve">Spinal cord stimulators </w:t>
            </w:r>
          </w:p>
        </w:tc>
        <w:tc>
          <w:tcPr>
            <w:tcW w:w="1528" w:type="dxa"/>
          </w:tcPr>
          <w:p w14:paraId="0EB088AB" w14:textId="77777777" w:rsidR="00993178" w:rsidRPr="00706A55" w:rsidRDefault="00993178" w:rsidP="00FB712C">
            <w:pPr>
              <w:pStyle w:val="TableNText"/>
              <w:keepNext w:val="0"/>
              <w:spacing w:line="240" w:lineRule="auto"/>
              <w:rPr>
                <w:rFonts w:asciiTheme="majorHAnsi" w:hAnsiTheme="majorHAnsi" w:cstheme="majorHAnsi"/>
                <w:color w:val="F25E21" w:themeColor="accent2"/>
                <w:szCs w:val="18"/>
              </w:rPr>
            </w:pPr>
            <w:r w:rsidRPr="00706A55">
              <w:rPr>
                <w:rFonts w:asciiTheme="majorHAnsi" w:hAnsiTheme="majorHAnsi" w:cstheme="majorHAnsi"/>
                <w:color w:val="F25E21" w:themeColor="accent2"/>
                <w:szCs w:val="18"/>
              </w:rPr>
              <w:t>Ongoing</w:t>
            </w:r>
          </w:p>
          <w:p w14:paraId="2577C018" w14:textId="77777777" w:rsidR="00993178" w:rsidRPr="00706A55" w:rsidRDefault="00993178" w:rsidP="00FB712C">
            <w:pPr>
              <w:pStyle w:val="TableNText"/>
              <w:keepNext w:val="0"/>
              <w:spacing w:line="240" w:lineRule="auto"/>
              <w:rPr>
                <w:b/>
                <w:szCs w:val="18"/>
              </w:rPr>
            </w:pPr>
            <w:r w:rsidRPr="00706A55">
              <w:rPr>
                <w:szCs w:val="18"/>
              </w:rPr>
              <w:t>(September 2022 – Present)</w:t>
            </w:r>
          </w:p>
        </w:tc>
        <w:tc>
          <w:tcPr>
            <w:tcW w:w="2763" w:type="dxa"/>
          </w:tcPr>
          <w:p w14:paraId="7E11267E" w14:textId="77777777" w:rsidR="00993178" w:rsidRPr="00706A55" w:rsidRDefault="00993178" w:rsidP="00FB712C">
            <w:pPr>
              <w:pStyle w:val="TableNText"/>
              <w:keepNext w:val="0"/>
              <w:spacing w:line="240" w:lineRule="auto"/>
              <w:rPr>
                <w:szCs w:val="18"/>
              </w:rPr>
            </w:pPr>
            <w:r w:rsidRPr="00706A55">
              <w:rPr>
                <w:szCs w:val="18"/>
              </w:rPr>
              <w:t>Assess the comparative clinical effectiveness and cost effectiveness of SCS as neurostimulation therapy for complex chronic pain management.</w:t>
            </w:r>
          </w:p>
        </w:tc>
        <w:tc>
          <w:tcPr>
            <w:tcW w:w="1754" w:type="dxa"/>
          </w:tcPr>
          <w:p w14:paraId="72FE9E71" w14:textId="77777777" w:rsidR="00993178" w:rsidRPr="00706A55" w:rsidRDefault="00993178" w:rsidP="00FB712C">
            <w:pPr>
              <w:pStyle w:val="TableNText"/>
              <w:keepNext w:val="0"/>
              <w:spacing w:line="240" w:lineRule="auto"/>
              <w:rPr>
                <w:szCs w:val="18"/>
              </w:rPr>
            </w:pPr>
            <w:r w:rsidRPr="00706A55">
              <w:rPr>
                <w:szCs w:val="18"/>
              </w:rPr>
              <w:t>Focused HTA through an external provider</w:t>
            </w:r>
          </w:p>
        </w:tc>
        <w:tc>
          <w:tcPr>
            <w:tcW w:w="2946" w:type="dxa"/>
          </w:tcPr>
          <w:p w14:paraId="2D1139D5" w14:textId="77777777" w:rsidR="00993178" w:rsidRPr="00706A55" w:rsidRDefault="00993178" w:rsidP="00FB712C">
            <w:pPr>
              <w:pStyle w:val="TableNText"/>
              <w:keepNext w:val="0"/>
              <w:spacing w:line="240" w:lineRule="auto"/>
              <w:rPr>
                <w:szCs w:val="18"/>
              </w:rPr>
            </w:pPr>
            <w:r w:rsidRPr="00706A55">
              <w:rPr>
                <w:szCs w:val="18"/>
              </w:rPr>
              <w:t xml:space="preserve">Stage 1: Uncertain comparative clinical effectiveness and insufficient evidence to inform alternative PL listing settings. </w:t>
            </w:r>
          </w:p>
          <w:p w14:paraId="08E45FB2" w14:textId="77777777" w:rsidR="00993178" w:rsidRPr="00706A55" w:rsidRDefault="00993178" w:rsidP="00FB712C">
            <w:pPr>
              <w:pStyle w:val="TableNText"/>
              <w:keepNext w:val="0"/>
              <w:spacing w:line="240" w:lineRule="auto"/>
              <w:rPr>
                <w:szCs w:val="18"/>
              </w:rPr>
            </w:pPr>
            <w:r w:rsidRPr="00706A55">
              <w:rPr>
                <w:szCs w:val="18"/>
              </w:rPr>
              <w:t xml:space="preserve">Stage 2: Assessed two components (implantable pulse generators and leads) of SCS systems that make up </w:t>
            </w:r>
            <w:proofErr w:type="gramStart"/>
            <w:r w:rsidRPr="00706A55">
              <w:rPr>
                <w:szCs w:val="18"/>
              </w:rPr>
              <w:t>the majority of</w:t>
            </w:r>
            <w:proofErr w:type="gramEnd"/>
            <w:r w:rsidRPr="00706A55">
              <w:rPr>
                <w:szCs w:val="18"/>
              </w:rPr>
              <w:t xml:space="preserve"> the benefit. </w:t>
            </w:r>
          </w:p>
          <w:p w14:paraId="3C37F5CC" w14:textId="77777777" w:rsidR="00993178" w:rsidRPr="00706A55" w:rsidRDefault="00993178" w:rsidP="00FB712C">
            <w:pPr>
              <w:pStyle w:val="TableNText"/>
              <w:keepNext w:val="0"/>
              <w:spacing w:line="240" w:lineRule="auto"/>
              <w:rPr>
                <w:szCs w:val="18"/>
              </w:rPr>
            </w:pPr>
            <w:r w:rsidRPr="00706A55">
              <w:rPr>
                <w:szCs w:val="18"/>
              </w:rPr>
              <w:t>Stage 3: Reviewing benefit settings for the two components separately.</w:t>
            </w:r>
            <w:r w:rsidRPr="00706A55">
              <w:rPr>
                <w:rFonts w:cstheme="minorHAnsi"/>
                <w:szCs w:val="18"/>
                <w:vertAlign w:val="superscript"/>
              </w:rPr>
              <w:footnoteReference w:id="108"/>
            </w:r>
          </w:p>
        </w:tc>
        <w:tc>
          <w:tcPr>
            <w:tcW w:w="3290" w:type="dxa"/>
          </w:tcPr>
          <w:p w14:paraId="49DD6D8C" w14:textId="4A94C26D" w:rsidR="00993178" w:rsidRPr="00180C65" w:rsidRDefault="00180C65" w:rsidP="00FB712C">
            <w:pPr>
              <w:pStyle w:val="TableNText"/>
              <w:keepNext w:val="0"/>
              <w:spacing w:line="240" w:lineRule="auto"/>
              <w:rPr>
                <w:szCs w:val="18"/>
              </w:rPr>
            </w:pPr>
            <w:r w:rsidRPr="00180C65">
              <w:rPr>
                <w:rFonts w:asciiTheme="majorHAnsi" w:hAnsiTheme="majorHAnsi" w:cstheme="majorHAnsi"/>
                <w:szCs w:val="18"/>
              </w:rPr>
              <w:t>February 2026</w:t>
            </w:r>
            <w:r w:rsidRPr="00180C65">
              <w:rPr>
                <w:szCs w:val="18"/>
              </w:rPr>
              <w:t xml:space="preserve"> –</w:t>
            </w:r>
            <w:r>
              <w:rPr>
                <w:szCs w:val="18"/>
              </w:rPr>
              <w:t xml:space="preserve"> </w:t>
            </w:r>
            <w:r w:rsidRPr="00180C65">
              <w:rPr>
                <w:szCs w:val="18"/>
              </w:rPr>
              <w:t>Proposed changes to SCS benefits and listings are undergoing impact assessment prior to final decision.</w:t>
            </w:r>
            <w:r w:rsidR="00CF507E">
              <w:rPr>
                <w:rStyle w:val="FootnoteReference"/>
              </w:rPr>
              <w:footnoteReference w:id="109"/>
            </w:r>
          </w:p>
        </w:tc>
      </w:tr>
      <w:tr w:rsidR="00DD3923" w:rsidRPr="00706A55" w14:paraId="469B7FA2" w14:textId="77777777" w:rsidTr="00D44DE9">
        <w:trPr>
          <w:cantSplit/>
        </w:trPr>
        <w:tc>
          <w:tcPr>
            <w:tcW w:w="1610" w:type="dxa"/>
          </w:tcPr>
          <w:p w14:paraId="489ECDCB" w14:textId="4E39703D" w:rsidR="000464D0" w:rsidRPr="00706A55" w:rsidRDefault="000464D0" w:rsidP="00FB712C">
            <w:pPr>
              <w:pStyle w:val="TableNText"/>
              <w:keepNext w:val="0"/>
              <w:spacing w:line="240" w:lineRule="auto"/>
              <w:rPr>
                <w:szCs w:val="18"/>
              </w:rPr>
            </w:pPr>
            <w:r w:rsidRPr="00706A55">
              <w:rPr>
                <w:rFonts w:asciiTheme="majorHAnsi" w:hAnsiTheme="majorHAnsi" w:cstheme="majorHAnsi"/>
                <w:szCs w:val="18"/>
              </w:rPr>
              <w:t xml:space="preserve">Mid urethral sling (MUS) </w:t>
            </w:r>
            <w:r w:rsidR="002A2E5C" w:rsidRPr="00706A55">
              <w:rPr>
                <w:rFonts w:asciiTheme="majorHAnsi" w:hAnsiTheme="majorHAnsi" w:cstheme="majorHAnsi"/>
                <w:szCs w:val="18"/>
              </w:rPr>
              <w:t>–</w:t>
            </w:r>
            <w:r w:rsidRPr="00706A55">
              <w:rPr>
                <w:rFonts w:asciiTheme="majorHAnsi" w:hAnsiTheme="majorHAnsi" w:cstheme="majorHAnsi"/>
                <w:szCs w:val="18"/>
              </w:rPr>
              <w:t xml:space="preserve"> </w:t>
            </w:r>
            <w:proofErr w:type="spellStart"/>
            <w:r w:rsidRPr="00706A55">
              <w:rPr>
                <w:rFonts w:asciiTheme="majorHAnsi" w:hAnsiTheme="majorHAnsi" w:cstheme="majorHAnsi"/>
                <w:szCs w:val="18"/>
              </w:rPr>
              <w:t>Urogynaecological</w:t>
            </w:r>
            <w:proofErr w:type="spellEnd"/>
            <w:r w:rsidRPr="00706A55">
              <w:rPr>
                <w:rFonts w:asciiTheme="majorHAnsi" w:hAnsiTheme="majorHAnsi" w:cstheme="majorHAnsi"/>
                <w:szCs w:val="18"/>
              </w:rPr>
              <w:t xml:space="preserve"> mesh device </w:t>
            </w:r>
          </w:p>
        </w:tc>
        <w:tc>
          <w:tcPr>
            <w:tcW w:w="1528" w:type="dxa"/>
          </w:tcPr>
          <w:p w14:paraId="0F49B5F9" w14:textId="11EFBFD4" w:rsidR="000464D0" w:rsidRPr="00706A55" w:rsidRDefault="00D05145" w:rsidP="00FB712C">
            <w:pPr>
              <w:pStyle w:val="TableNText"/>
              <w:keepNext w:val="0"/>
              <w:spacing w:line="240" w:lineRule="auto"/>
              <w:rPr>
                <w:b/>
                <w:szCs w:val="18"/>
              </w:rPr>
            </w:pPr>
            <w:r w:rsidRPr="00706A55">
              <w:rPr>
                <w:szCs w:val="18"/>
              </w:rPr>
              <w:t xml:space="preserve">Eight </w:t>
            </w:r>
            <w:r w:rsidR="000464D0" w:rsidRPr="00706A55">
              <w:rPr>
                <w:szCs w:val="18"/>
              </w:rPr>
              <w:t xml:space="preserve">months (February 2023 – October 2023)  </w:t>
            </w:r>
          </w:p>
        </w:tc>
        <w:tc>
          <w:tcPr>
            <w:tcW w:w="2763" w:type="dxa"/>
          </w:tcPr>
          <w:p w14:paraId="19D6C10A" w14:textId="77777777" w:rsidR="000464D0" w:rsidRPr="00706A55" w:rsidRDefault="000464D0" w:rsidP="00FB712C">
            <w:pPr>
              <w:pStyle w:val="TableNText"/>
              <w:keepNext w:val="0"/>
              <w:spacing w:line="240" w:lineRule="auto"/>
              <w:rPr>
                <w:szCs w:val="18"/>
              </w:rPr>
            </w:pPr>
            <w:r w:rsidRPr="00706A55">
              <w:rPr>
                <w:szCs w:val="18"/>
              </w:rPr>
              <w:t xml:space="preserve">Assess the comparative clinical effectiveness and cost effectiveness of MUS for the treatment of stress urinary incontinence (SUI) following the removal of two other types of </w:t>
            </w:r>
            <w:proofErr w:type="spellStart"/>
            <w:r w:rsidRPr="00706A55">
              <w:rPr>
                <w:szCs w:val="18"/>
              </w:rPr>
              <w:t>urogynaecological</w:t>
            </w:r>
            <w:proofErr w:type="spellEnd"/>
            <w:r w:rsidRPr="00706A55">
              <w:rPr>
                <w:szCs w:val="18"/>
              </w:rPr>
              <w:t xml:space="preserve"> mesh devices from being supplied in Australia.</w:t>
            </w:r>
            <w:r w:rsidRPr="00706A55">
              <w:rPr>
                <w:rFonts w:cstheme="minorHAnsi"/>
                <w:szCs w:val="18"/>
                <w:vertAlign w:val="superscript"/>
              </w:rPr>
              <w:footnoteReference w:id="110"/>
            </w:r>
            <w:r w:rsidRPr="00706A55">
              <w:rPr>
                <w:szCs w:val="18"/>
              </w:rPr>
              <w:t xml:space="preserve"> </w:t>
            </w:r>
          </w:p>
        </w:tc>
        <w:tc>
          <w:tcPr>
            <w:tcW w:w="1754" w:type="dxa"/>
          </w:tcPr>
          <w:p w14:paraId="5EB85D38" w14:textId="77777777" w:rsidR="000464D0" w:rsidRPr="00706A55" w:rsidRDefault="000464D0" w:rsidP="00FB712C">
            <w:pPr>
              <w:pStyle w:val="TableNText"/>
              <w:keepNext w:val="0"/>
              <w:spacing w:line="240" w:lineRule="auto"/>
              <w:rPr>
                <w:szCs w:val="18"/>
              </w:rPr>
            </w:pPr>
            <w:r w:rsidRPr="00706A55">
              <w:rPr>
                <w:szCs w:val="18"/>
              </w:rPr>
              <w:t xml:space="preserve">Focused HTA through an external provider </w:t>
            </w:r>
          </w:p>
        </w:tc>
        <w:tc>
          <w:tcPr>
            <w:tcW w:w="2946" w:type="dxa"/>
          </w:tcPr>
          <w:p w14:paraId="61DD1D36" w14:textId="77777777" w:rsidR="000464D0" w:rsidRPr="00706A55" w:rsidRDefault="000464D0" w:rsidP="00FB712C">
            <w:pPr>
              <w:pStyle w:val="TableNText"/>
              <w:keepNext w:val="0"/>
              <w:spacing w:line="240" w:lineRule="auto"/>
              <w:rPr>
                <w:szCs w:val="18"/>
              </w:rPr>
            </w:pPr>
            <w:r w:rsidRPr="00706A55">
              <w:rPr>
                <w:szCs w:val="18"/>
              </w:rPr>
              <w:t xml:space="preserve">MUS demonstrates comparable effectiveness and cost-effectiveness to alternative surgical interventions for the treatment of SUI. </w:t>
            </w:r>
          </w:p>
        </w:tc>
        <w:tc>
          <w:tcPr>
            <w:tcW w:w="3290" w:type="dxa"/>
          </w:tcPr>
          <w:p w14:paraId="7AB681B9" w14:textId="77777777" w:rsidR="000464D0" w:rsidRPr="00706A55" w:rsidRDefault="000464D0" w:rsidP="00FB712C">
            <w:pPr>
              <w:pStyle w:val="TableNText"/>
              <w:keepNext w:val="0"/>
              <w:spacing w:line="240" w:lineRule="auto"/>
              <w:rPr>
                <w:szCs w:val="18"/>
              </w:rPr>
            </w:pPr>
            <w:r w:rsidRPr="00706A55">
              <w:rPr>
                <w:rFonts w:asciiTheme="majorHAnsi" w:hAnsiTheme="majorHAnsi" w:cstheme="majorHAnsi"/>
                <w:szCs w:val="18"/>
              </w:rPr>
              <w:t xml:space="preserve">October 2023 </w:t>
            </w:r>
            <w:r w:rsidRPr="00180C65">
              <w:rPr>
                <w:rFonts w:asciiTheme="minorHAnsi" w:hAnsiTheme="minorHAnsi" w:cstheme="minorHAnsi"/>
                <w:szCs w:val="18"/>
              </w:rPr>
              <w:t xml:space="preserve">– </w:t>
            </w:r>
            <w:r w:rsidRPr="00706A55">
              <w:rPr>
                <w:szCs w:val="18"/>
              </w:rPr>
              <w:t xml:space="preserve">Retained existing listings and benefits for </w:t>
            </w:r>
            <w:proofErr w:type="spellStart"/>
            <w:r w:rsidRPr="00706A55">
              <w:rPr>
                <w:szCs w:val="18"/>
              </w:rPr>
              <w:t>urogynaecological</w:t>
            </w:r>
            <w:proofErr w:type="spellEnd"/>
            <w:r w:rsidRPr="00706A55">
              <w:rPr>
                <w:szCs w:val="18"/>
              </w:rPr>
              <w:t xml:space="preserve"> mesh devices currently listed on the PL. </w:t>
            </w:r>
          </w:p>
        </w:tc>
      </w:tr>
    </w:tbl>
    <w:p w14:paraId="460454A3" w14:textId="77777777" w:rsidR="008C038D" w:rsidRPr="00DA2426" w:rsidRDefault="008C038D" w:rsidP="00DA2426">
      <w:pPr>
        <w:sectPr w:rsidR="008C038D" w:rsidRPr="00DA2426" w:rsidSect="00706A55">
          <w:pgSz w:w="16839" w:h="11907" w:orient="landscape" w:code="9"/>
          <w:pgMar w:top="1134" w:right="1361" w:bottom="1361" w:left="1361" w:header="720" w:footer="720" w:gutter="0"/>
          <w:cols w:space="720"/>
          <w:docGrid w:linePitch="360"/>
        </w:sectPr>
      </w:pPr>
    </w:p>
    <w:p w14:paraId="03473A52" w14:textId="6D764869" w:rsidR="00A00E84" w:rsidRDefault="00A00E84" w:rsidP="00A00E84">
      <w:pPr>
        <w:pStyle w:val="Heading3"/>
      </w:pPr>
      <w:r>
        <w:t>Post</w:t>
      </w:r>
      <w:r w:rsidR="00FD7D16">
        <w:t>-</w:t>
      </w:r>
      <w:r>
        <w:t>listing reviews have been a valuable addition to the PL process</w:t>
      </w:r>
    </w:p>
    <w:p w14:paraId="32305CF7" w14:textId="4B439912" w:rsidR="00A00E84" w:rsidRDefault="00A00E84" w:rsidP="00A00E84">
      <w:r>
        <w:t xml:space="preserve">Overall, the addition of post-listing reviews has made a significant improvement to the administration of the list, as they provide the opportunity to test the decisions made. Previously, once devices were listed there was no opportunity to reconsider their effectiveness or value. </w:t>
      </w:r>
      <w:r w:rsidR="00DF5FA3">
        <w:t>Stakeholders generally support</w:t>
      </w:r>
      <w:r w:rsidR="00751047">
        <w:t>ed</w:t>
      </w:r>
      <w:r w:rsidR="00DF5FA3">
        <w:t xml:space="preserve"> post-listing reviews as a mechanism to safeguard the PL. </w:t>
      </w:r>
      <w:r w:rsidR="00751047">
        <w:t>They</w:t>
      </w:r>
      <w:r w:rsidR="00DF5FA3">
        <w:t xml:space="preserve"> noted that the introduction of post</w:t>
      </w:r>
      <w:r w:rsidR="00B13A7D">
        <w:t>-</w:t>
      </w:r>
      <w:r w:rsidR="00DF5FA3">
        <w:t>listing reviews under the reforms has the potential to support the integrity, value, and long</w:t>
      </w:r>
      <w:r w:rsidR="00B13A7D">
        <w:t>-</w:t>
      </w:r>
      <w:r w:rsidR="00DF5FA3">
        <w:t>term sustainability of the PL</w:t>
      </w:r>
      <w:r w:rsidR="002E7583">
        <w:t>. H</w:t>
      </w:r>
      <w:r w:rsidR="00DF5FA3">
        <w:t>owever, many emphasised that their effectiveness is contingent on how individual reviews are designed and implemented.</w:t>
      </w:r>
    </w:p>
    <w:p w14:paraId="24497F96" w14:textId="77777777" w:rsidR="00DA63D7" w:rsidRDefault="00B0369A" w:rsidP="00DA63D7">
      <w:r>
        <w:t xml:space="preserve">Insurers </w:t>
      </w:r>
      <w:r w:rsidR="008D7A2E">
        <w:t>were of the view that</w:t>
      </w:r>
      <w:r>
        <w:t xml:space="preserve"> post-listing reviews a</w:t>
      </w:r>
      <w:r w:rsidR="008D7A2E">
        <w:t>re</w:t>
      </w:r>
      <w:r>
        <w:t xml:space="preserve"> an underused opportunity to deliver more value to consumers.</w:t>
      </w:r>
      <w:r w:rsidR="008D7A2E">
        <w:t xml:space="preserve"> They </w:t>
      </w:r>
      <w:r w:rsidR="00DC2A60">
        <w:t>see the reviews</w:t>
      </w:r>
      <w:r>
        <w:t xml:space="preserve"> as an effective means to address inefficiency, reset pricing benchmarks and return financial returns to consumers and taxpayers. </w:t>
      </w:r>
      <w:r w:rsidR="00DC2A60">
        <w:t>They</w:t>
      </w:r>
      <w:r>
        <w:t xml:space="preserve"> pointed to spinal cord stimulators and surgical guides and </w:t>
      </w:r>
      <w:proofErr w:type="spellStart"/>
      <w:r>
        <w:t>biomodels</w:t>
      </w:r>
      <w:proofErr w:type="spellEnd"/>
      <w:r>
        <w:t xml:space="preserve"> as devices they regard as low value or vulnerable to misuse, noting these have generated costs in the tens of millions of dollars without </w:t>
      </w:r>
      <w:r w:rsidR="00DC2A60">
        <w:t xml:space="preserve">what they see as </w:t>
      </w:r>
      <w:r>
        <w:t>commensurate benefit.</w:t>
      </w:r>
      <w:r w:rsidR="00DA63D7" w:rsidRPr="00DA63D7">
        <w:t xml:space="preserve"> </w:t>
      </w:r>
    </w:p>
    <w:p w14:paraId="77E8B772" w14:textId="0ACE39A1" w:rsidR="006130FC" w:rsidRDefault="006130FC" w:rsidP="004F7EF9">
      <w:pPr>
        <w:pStyle w:val="Heading3"/>
      </w:pPr>
      <w:r>
        <w:t>Pilot revie</w:t>
      </w:r>
      <w:r w:rsidR="00267AE2">
        <w:t>w</w:t>
      </w:r>
      <w:r>
        <w:t>s highlighted the need for stronger review management</w:t>
      </w:r>
    </w:p>
    <w:p w14:paraId="5D790E8D" w14:textId="6B78977F" w:rsidR="00B62607" w:rsidRDefault="006C282A" w:rsidP="006130FC">
      <w:r w:rsidRPr="006C282A">
        <w:t>The pilot post-listing reviews demonstrated both the value and difficulty of reviewing listed devices after initial approval. While stakeholders generally supported the intent of post-listing reviews, their experience with the pilot reviews highlighted several implementation challenges that need to be managed for future reviews to be effective. These included long review timeframes, resource constraints, short or unclear consultation processes, communication delays and concerns about the potential impact of review outcomes on clinical discretion and patient access.</w:t>
      </w:r>
    </w:p>
    <w:p w14:paraId="0B4875E0" w14:textId="611E8F94" w:rsidR="008E7DC0" w:rsidRDefault="00B62607" w:rsidP="00B62607">
      <w:pPr>
        <w:pStyle w:val="Heading4"/>
      </w:pPr>
      <w:r w:rsidRPr="00B62607">
        <w:t>Long review timeframes created uncertainty and constrained review volume</w:t>
      </w:r>
    </w:p>
    <w:p w14:paraId="6DF9CD2E" w14:textId="76F48FCE" w:rsidR="00B62607" w:rsidRDefault="00B62607" w:rsidP="00B62607">
      <w:pPr>
        <w:rPr>
          <w:lang w:eastAsia="en-AU"/>
        </w:rPr>
      </w:pPr>
      <w:r>
        <w:rPr>
          <w:lang w:eastAsia="en-AU"/>
        </w:rPr>
        <w:t>The anticipated duration of a post-listing review is between 3–12 months, depending on complexity.</w:t>
      </w:r>
      <w:r w:rsidRPr="00B856A3">
        <w:rPr>
          <w:rFonts w:cstheme="minorHAnsi"/>
          <w:szCs w:val="14"/>
          <w:vertAlign w:val="superscript"/>
        </w:rPr>
        <w:footnoteReference w:id="111"/>
      </w:r>
      <w:r>
        <w:rPr>
          <w:lang w:eastAsia="en-AU"/>
        </w:rPr>
        <w:t xml:space="preserve"> Two of the four pilot reviews were completed within this timeframe, taking seven and eight months respectively. However, the reviews into surgical guides and </w:t>
      </w:r>
      <w:proofErr w:type="spellStart"/>
      <w:r>
        <w:rPr>
          <w:lang w:eastAsia="en-AU"/>
        </w:rPr>
        <w:t>biomodels</w:t>
      </w:r>
      <w:proofErr w:type="spellEnd"/>
      <w:r>
        <w:rPr>
          <w:lang w:eastAsia="en-AU"/>
        </w:rPr>
        <w:t xml:space="preserve"> and spinal cord stimulators remained underway at the conclusion of the reforms. As at May 2026, both reviews had been ongoing for three years and eight months.</w:t>
      </w:r>
    </w:p>
    <w:p w14:paraId="1AFC6B84" w14:textId="72ECFF70" w:rsidR="00B62607" w:rsidRDefault="00B62607" w:rsidP="00B62607">
      <w:pPr>
        <w:rPr>
          <w:lang w:eastAsia="en-AU"/>
        </w:rPr>
      </w:pPr>
      <w:r>
        <w:rPr>
          <w:lang w:eastAsia="en-AU"/>
        </w:rPr>
        <w:t>Some of this duration reflects the inherent complexity of post-listing reviews. Reviews may require input from sponsors, clinical committees and other stakeholders, and may draw on multiple evidence sources, including clinical evidence, guidelines, utilisation data, expert advice, compliance data, economic analysis, HTA reports and TGA reviews. Some stakeholders supported a deliberate and comprehensive review process, noting that this better reflects the complexity of assessing comparative clinical and cost effectiveness for medical technologies.</w:t>
      </w:r>
    </w:p>
    <w:p w14:paraId="2C34F347" w14:textId="353AEC7C" w:rsidR="00B62607" w:rsidRDefault="00B62607" w:rsidP="00B62607">
      <w:pPr>
        <w:rPr>
          <w:lang w:eastAsia="en-AU"/>
        </w:rPr>
      </w:pPr>
      <w:r>
        <w:rPr>
          <w:lang w:eastAsia="en-AU"/>
        </w:rPr>
        <w:t>However, the length of the two ongoing pilot reviews appears to have exceeded what was necessary. The main contributors appear to have been changes in staffing, the need to upskill staff and the complexity of stakeholder engagement, particularly with clinical stakeholders. Departmental capacity was also constrained during the reform period because the efficient cost of post-listing reviews was not recovered from sponsors.</w:t>
      </w:r>
      <w:r w:rsidR="00424442" w:rsidRPr="00602824">
        <w:rPr>
          <w:rStyle w:val="FootnoteReference"/>
        </w:rPr>
        <w:footnoteReference w:id="112"/>
      </w:r>
      <w:r>
        <w:rPr>
          <w:lang w:eastAsia="en-AU"/>
        </w:rPr>
        <w:t xml:space="preserve"> From 1 July 2025, industry </w:t>
      </w:r>
      <w:r w:rsidR="00424442">
        <w:rPr>
          <w:lang w:eastAsia="en-AU"/>
        </w:rPr>
        <w:t>was</w:t>
      </w:r>
      <w:r>
        <w:rPr>
          <w:lang w:eastAsia="en-AU"/>
        </w:rPr>
        <w:t xml:space="preserve"> charged for the cost of post-listing reviews, with the levy increasing from $150 to $355 per device to include compliance and post-listing review costs, as well as increased IT costs.</w:t>
      </w:r>
      <w:r w:rsidR="00424442" w:rsidRPr="00602824">
        <w:rPr>
          <w:rStyle w:val="FootnoteReference"/>
        </w:rPr>
        <w:footnoteReference w:id="113"/>
      </w:r>
    </w:p>
    <w:p w14:paraId="4938D0CD" w14:textId="0665A3BE" w:rsidR="00B62607" w:rsidRDefault="00B62607" w:rsidP="00B62607">
      <w:pPr>
        <w:rPr>
          <w:lang w:eastAsia="en-AU"/>
        </w:rPr>
      </w:pPr>
      <w:r>
        <w:rPr>
          <w:lang w:eastAsia="en-AU"/>
        </w:rPr>
        <w:t>Extended reviews can create uncertainty for sponsors, hospitals, clinicians and private health insurers about future listing conditions, benefit levels and allowable use. Stakeholders reported that this uncertainty can disrupt clinical practice, particularly where hospitals and surgeons have adapted their systems, training and purchasing arrangements around listed devices. Long review timeframes also limit the number of reviews that can be undertaken at any one time, reducing the ability of post-listing reviews to address broader issues of value, utilisation and sustainability across the PL.</w:t>
      </w:r>
    </w:p>
    <w:p w14:paraId="1A284ACC" w14:textId="17DB1CBF" w:rsidR="00B62607" w:rsidRDefault="00111471" w:rsidP="00B62607">
      <w:pPr>
        <w:rPr>
          <w:rFonts w:ascii="Segoe UI Semibold" w:eastAsia="Times New Roman" w:hAnsi="Segoe UI Semibold" w:cs="Times New Roman"/>
          <w:color w:val="00264D" w:themeColor="background2"/>
          <w:sz w:val="22"/>
          <w:szCs w:val="19"/>
          <w:lang w:eastAsia="en-AU"/>
        </w:rPr>
      </w:pPr>
      <w:r w:rsidRPr="00111471">
        <w:rPr>
          <w:rFonts w:ascii="Segoe UI Semibold" w:eastAsia="Times New Roman" w:hAnsi="Segoe UI Semibold" w:cs="Times New Roman"/>
          <w:color w:val="00264D" w:themeColor="background2"/>
          <w:sz w:val="22"/>
          <w:szCs w:val="19"/>
          <w:lang w:eastAsia="en-AU"/>
        </w:rPr>
        <w:t>Stakeholders sought clearer, more predictable consultation and communication</w:t>
      </w:r>
    </w:p>
    <w:p w14:paraId="6EC069E3" w14:textId="354245FA" w:rsidR="00111471" w:rsidRPr="00111471" w:rsidRDefault="00111471" w:rsidP="00111471">
      <w:pPr>
        <w:rPr>
          <w:lang w:eastAsia="en-AU"/>
        </w:rPr>
      </w:pPr>
      <w:r w:rsidRPr="00111471">
        <w:rPr>
          <w:lang w:eastAsia="en-AU"/>
        </w:rPr>
        <w:t>Stakeholders raised concerns about the clarity, timing and consistency of consultation during the pilot reviews. Several stakeholders sought greater transparency about why reviews commence, how items are prioritised and how decisions are made. Medical device stakeholders also expressed concern that reviews may be initiated in response to unwarranted claims, particularly from private health insurers, without sufficient clarity about the evidence base or rationale for commencing a review.</w:t>
      </w:r>
    </w:p>
    <w:p w14:paraId="4C3FBB56" w14:textId="11D76C67" w:rsidR="00111471" w:rsidRPr="00111471" w:rsidRDefault="00111471" w:rsidP="00111471">
      <w:pPr>
        <w:rPr>
          <w:lang w:eastAsia="en-AU"/>
        </w:rPr>
      </w:pPr>
      <w:r w:rsidRPr="00111471">
        <w:rPr>
          <w:lang w:eastAsia="en-AU"/>
        </w:rPr>
        <w:t>Some stakeholders also criticised consultation timeframes as unrealistic given the complexity of the material being reviewed. For example, the A</w:t>
      </w:r>
      <w:r w:rsidR="00FC4A7C">
        <w:rPr>
          <w:lang w:eastAsia="en-AU"/>
        </w:rPr>
        <w:t>ustralian Medical Association (AMA)</w:t>
      </w:r>
      <w:r w:rsidRPr="00111471">
        <w:rPr>
          <w:lang w:eastAsia="en-AU"/>
        </w:rPr>
        <w:t xml:space="preserve"> raised concerns about a two-week consultation period for a 92-page report on surgical guides and </w:t>
      </w:r>
      <w:proofErr w:type="spellStart"/>
      <w:r w:rsidRPr="00111471">
        <w:rPr>
          <w:lang w:eastAsia="en-AU"/>
        </w:rPr>
        <w:t>biomodels</w:t>
      </w:r>
      <w:proofErr w:type="spellEnd"/>
      <w:r w:rsidRPr="00111471">
        <w:rPr>
          <w:lang w:eastAsia="en-AU"/>
        </w:rPr>
        <w:t>.</w:t>
      </w:r>
      <w:r w:rsidR="00FC4A7C">
        <w:rPr>
          <w:rStyle w:val="FootnoteReference"/>
        </w:rPr>
        <w:footnoteReference w:id="114"/>
      </w:r>
      <w:r w:rsidR="00FC4A7C">
        <w:t xml:space="preserve"> </w:t>
      </w:r>
      <w:r w:rsidRPr="00111471">
        <w:rPr>
          <w:lang w:eastAsia="en-AU"/>
        </w:rPr>
        <w:t>Stakeholders argued that short consultation windows can limit the quality of input, particularly where reviews involve complex clinical evidence, proposed changes to benefit settings or potential restrictions on use.</w:t>
      </w:r>
    </w:p>
    <w:p w14:paraId="3839B4A7" w14:textId="6A89C5E9" w:rsidR="00111471" w:rsidRPr="00111471" w:rsidRDefault="00111471" w:rsidP="00111471">
      <w:pPr>
        <w:rPr>
          <w:lang w:eastAsia="en-AU"/>
        </w:rPr>
      </w:pPr>
      <w:r w:rsidRPr="00111471">
        <w:rPr>
          <w:lang w:eastAsia="en-AU"/>
        </w:rPr>
        <w:t xml:space="preserve">Communication delays also contributed to uncertainty and reduced trust in the review process. The surgical guides and </w:t>
      </w:r>
      <w:proofErr w:type="spellStart"/>
      <w:r w:rsidRPr="00111471">
        <w:rPr>
          <w:lang w:eastAsia="en-AU"/>
        </w:rPr>
        <w:t>biomodels</w:t>
      </w:r>
      <w:proofErr w:type="spellEnd"/>
      <w:r w:rsidRPr="00111471">
        <w:rPr>
          <w:lang w:eastAsia="en-AU"/>
        </w:rPr>
        <w:t xml:space="preserve"> review </w:t>
      </w:r>
      <w:proofErr w:type="gramStart"/>
      <w:r w:rsidRPr="00111471">
        <w:rPr>
          <w:lang w:eastAsia="en-AU"/>
        </w:rPr>
        <w:t>was</w:t>
      </w:r>
      <w:proofErr w:type="gramEnd"/>
      <w:r w:rsidRPr="00111471">
        <w:rPr>
          <w:lang w:eastAsia="en-AU"/>
        </w:rPr>
        <w:t xml:space="preserve"> frequently cited as problematic, with stakeholders describing the review as unresolved, slow, disruptive and poorly communicated. Stakeholders suggested that clearer communication at the commencement of reviews, more regular status updates and clearer explanations of how submissions are used would improve confidence in the process.</w:t>
      </w:r>
    </w:p>
    <w:p w14:paraId="028F823B" w14:textId="18D43274" w:rsidR="00111471" w:rsidRDefault="00111471" w:rsidP="00111471">
      <w:pPr>
        <w:rPr>
          <w:lang w:eastAsia="en-AU"/>
        </w:rPr>
      </w:pPr>
      <w:r w:rsidRPr="00111471">
        <w:rPr>
          <w:lang w:eastAsia="en-AU"/>
        </w:rPr>
        <w:t>These concerns do not indicate that consultation should be shortened or simplified indiscriminately. Rather, they indicate that consultation should be planned earlier, targeted to the relevant decision points and supported by clear expectations about the purpose, timing and use of stakeholder input.</w:t>
      </w:r>
    </w:p>
    <w:p w14:paraId="1842AF07" w14:textId="49F64DB5" w:rsidR="00111471" w:rsidRDefault="00AD57B7" w:rsidP="00AD57B7">
      <w:pPr>
        <w:pStyle w:val="Heading4"/>
      </w:pPr>
      <w:r w:rsidRPr="00AD57B7">
        <w:t>Review decisions need to preserve appropriate clinical discretion</w:t>
      </w:r>
    </w:p>
    <w:p w14:paraId="1A70E830" w14:textId="4F307E3A" w:rsidR="00AD57B7" w:rsidRDefault="00AD57B7" w:rsidP="00AD57B7">
      <w:pPr>
        <w:rPr>
          <w:lang w:eastAsia="en-AU"/>
        </w:rPr>
      </w:pPr>
      <w:r>
        <w:rPr>
          <w:lang w:eastAsia="en-AU"/>
        </w:rPr>
        <w:t xml:space="preserve">Clinicians, hospitals and medical device companies cautioned that post-listing reviews need to balance value and sustainability objectives with appropriate clinical discretion and patient access. Clinician representatives raised concerns that some reviews had proposed restrictions that they considered to exceed the review scope or create material limits on clinical choice. The AMA raised specific concerns about the perceived overreach of the surgical guides and </w:t>
      </w:r>
      <w:proofErr w:type="spellStart"/>
      <w:r>
        <w:rPr>
          <w:lang w:eastAsia="en-AU"/>
        </w:rPr>
        <w:t>biomodels</w:t>
      </w:r>
      <w:proofErr w:type="spellEnd"/>
      <w:r>
        <w:rPr>
          <w:lang w:eastAsia="en-AU"/>
        </w:rPr>
        <w:t xml:space="preserve"> review beyond its stated terms of reference.</w:t>
      </w:r>
      <w:r w:rsidR="000463F1">
        <w:rPr>
          <w:rStyle w:val="FootnoteReference"/>
        </w:rPr>
        <w:footnoteReference w:id="115"/>
      </w:r>
    </w:p>
    <w:p w14:paraId="1B1D4687" w14:textId="0685DC63" w:rsidR="00AD57B7" w:rsidRDefault="00AD57B7" w:rsidP="00AD57B7">
      <w:pPr>
        <w:rPr>
          <w:lang w:eastAsia="en-AU"/>
        </w:rPr>
      </w:pPr>
      <w:r>
        <w:rPr>
          <w:lang w:eastAsia="en-AU"/>
        </w:rPr>
        <w:t>Hospitals and clinicians also warned that rigid usage caps or delisting could undermine patient-specific decision making. They noted that removing clinically important items through review processes may shift costs to other parts of the health system or reduce patient access, rather than delivering genuine improvements in value or efficiency. Some stakeholders also cautioned that PL reforms should not have the unintended consequence of disadvantaging private hospitals relative to public hospitals.</w:t>
      </w:r>
    </w:p>
    <w:p w14:paraId="79D02F17" w14:textId="2630D15C" w:rsidR="00AD57B7" w:rsidRDefault="00AD57B7" w:rsidP="00AD57B7">
      <w:pPr>
        <w:rPr>
          <w:lang w:eastAsia="en-AU"/>
        </w:rPr>
      </w:pPr>
      <w:r>
        <w:rPr>
          <w:lang w:eastAsia="en-AU"/>
        </w:rPr>
        <w:t xml:space="preserve">Medical device companies raised related concerns about innovation. They noted that early-stage technologies may involve higher upfront costs before longer-term clinical and system benefits are </w:t>
      </w:r>
      <w:proofErr w:type="gramStart"/>
      <w:r>
        <w:rPr>
          <w:lang w:eastAsia="en-AU"/>
        </w:rPr>
        <w:t>realised, and</w:t>
      </w:r>
      <w:proofErr w:type="gramEnd"/>
      <w:r>
        <w:rPr>
          <w:lang w:eastAsia="en-AU"/>
        </w:rPr>
        <w:t xml:space="preserve"> cautioned that the limited or immature evidence base typical of many medical devices should not be interpreted as evidence of poor clinical performance.</w:t>
      </w:r>
    </w:p>
    <w:p w14:paraId="5FCCA487" w14:textId="56D1D8EE" w:rsidR="00AD57B7" w:rsidRPr="00B62607" w:rsidRDefault="00AD57B7" w:rsidP="00B62607">
      <w:pPr>
        <w:rPr>
          <w:lang w:eastAsia="en-AU"/>
        </w:rPr>
      </w:pPr>
      <w:r>
        <w:rPr>
          <w:lang w:eastAsia="en-AU"/>
        </w:rPr>
        <w:t xml:space="preserve">These concerns reinforce the need for post-listing reviews to be tightly scoped and </w:t>
      </w:r>
      <w:proofErr w:type="gramStart"/>
      <w:r>
        <w:rPr>
          <w:lang w:eastAsia="en-AU"/>
        </w:rPr>
        <w:t>evidence-based</w:t>
      </w:r>
      <w:proofErr w:type="gramEnd"/>
      <w:r>
        <w:rPr>
          <w:lang w:eastAsia="en-AU"/>
        </w:rPr>
        <w:t>. Review decisions should be sufficiently robust to address low-value use, inappropriate utilisation or outdated benefit settings, while avoiding unintended restrictions on clinically appropriate care.</w:t>
      </w:r>
    </w:p>
    <w:p w14:paraId="008AD3B3" w14:textId="2C604A74" w:rsidR="0033068C" w:rsidRDefault="00262687" w:rsidP="00C80114">
      <w:pPr>
        <w:pStyle w:val="Heading3"/>
      </w:pPr>
      <w:r>
        <w:t xml:space="preserve">The </w:t>
      </w:r>
      <w:r w:rsidR="009855FD" w:rsidRPr="00602824">
        <w:t>r</w:t>
      </w:r>
      <w:r w:rsidR="008B4471" w:rsidRPr="00602824">
        <w:t xml:space="preserve">evised </w:t>
      </w:r>
      <w:r w:rsidR="008B4471" w:rsidRPr="00C80114">
        <w:t>framework</w:t>
      </w:r>
      <w:r w:rsidR="008B4471" w:rsidRPr="00602824">
        <w:t xml:space="preserve"> </w:t>
      </w:r>
      <w:r w:rsidR="0033068C">
        <w:t xml:space="preserve">improves </w:t>
      </w:r>
      <w:r w:rsidR="00765EE1">
        <w:t xml:space="preserve">process </w:t>
      </w:r>
      <w:r w:rsidR="0033068C">
        <w:t xml:space="preserve">clarity </w:t>
      </w:r>
      <w:r w:rsidR="00765EE1">
        <w:t>but not delivery assurance</w:t>
      </w:r>
    </w:p>
    <w:p w14:paraId="79E93D33" w14:textId="49356ACE" w:rsidR="000E60E9" w:rsidRDefault="000E60E9" w:rsidP="00EC5B71">
      <w:r w:rsidRPr="000E60E9">
        <w:t xml:space="preserve">A new version of the post-listing review framework was released in December 2024, updating the initial framework published in July 2022. The updated framework was developed </w:t>
      </w:r>
      <w:r w:rsidR="001A5948">
        <w:t>in response to</w:t>
      </w:r>
      <w:r w:rsidRPr="000E60E9">
        <w:t xml:space="preserve"> stakeholder feedback and the Department’s internal experience with the four pilot post-listing reviews</w:t>
      </w:r>
      <w:r w:rsidR="005609EA" w:rsidRPr="00602824">
        <w:t>.</w:t>
      </w:r>
      <w:r w:rsidR="00F64072" w:rsidRPr="00602824">
        <w:rPr>
          <w:rStyle w:val="FootnoteReference"/>
        </w:rPr>
        <w:footnoteReference w:id="116"/>
      </w:r>
      <w:r w:rsidR="00C41E16" w:rsidRPr="00C41E16">
        <w:t xml:space="preserve"> </w:t>
      </w:r>
      <w:r w:rsidR="00C41E16" w:rsidRPr="00602824">
        <w:fldChar w:fldCharType="begin"/>
      </w:r>
      <w:r w:rsidR="00C41E16" w:rsidRPr="00602824">
        <w:instrText xml:space="preserve"> REF _Ref202915305 \h </w:instrText>
      </w:r>
      <w:r w:rsidR="00C41E16" w:rsidRPr="00602824">
        <w:fldChar w:fldCharType="separate"/>
      </w:r>
      <w:r w:rsidR="0092693A" w:rsidRPr="00602824">
        <w:t xml:space="preserve">Figure </w:t>
      </w:r>
      <w:r w:rsidR="0092693A">
        <w:rPr>
          <w:noProof/>
        </w:rPr>
        <w:t>28</w:t>
      </w:r>
      <w:r w:rsidR="00C41E16" w:rsidRPr="00602824">
        <w:fldChar w:fldCharType="end"/>
      </w:r>
      <w:r w:rsidR="00C41E16" w:rsidRPr="00602824">
        <w:t xml:space="preserve"> presents the revised process</w:t>
      </w:r>
      <w:r>
        <w:t xml:space="preserve"> </w:t>
      </w:r>
      <w:r w:rsidR="00C41E16" w:rsidRPr="00602824">
        <w:t>as outlined in the new framework.</w:t>
      </w:r>
    </w:p>
    <w:p w14:paraId="28A36DC5" w14:textId="1927E169" w:rsidR="00C142FB" w:rsidRPr="00602824" w:rsidRDefault="00C142FB" w:rsidP="00C142FB">
      <w:pPr>
        <w:pStyle w:val="Caption"/>
      </w:pPr>
      <w:bookmarkStart w:id="79" w:name="_Ref202915305"/>
      <w:r w:rsidRPr="00602824">
        <w:t xml:space="preserve">Figure </w:t>
      </w:r>
      <w:r>
        <w:fldChar w:fldCharType="begin"/>
      </w:r>
      <w:r>
        <w:instrText xml:space="preserve"> SEQ Figure \* ARABIC </w:instrText>
      </w:r>
      <w:r>
        <w:fldChar w:fldCharType="separate"/>
      </w:r>
      <w:r w:rsidR="0092693A">
        <w:rPr>
          <w:noProof/>
        </w:rPr>
        <w:t>28</w:t>
      </w:r>
      <w:r>
        <w:fldChar w:fldCharType="end"/>
      </w:r>
      <w:bookmarkEnd w:id="79"/>
      <w:r w:rsidRPr="00602824">
        <w:t xml:space="preserve"> | PL post-listing review process from new framework</w:t>
      </w:r>
    </w:p>
    <w:p w14:paraId="20B6E0A8" w14:textId="77777777" w:rsidR="00C142FB" w:rsidRDefault="00C142FB" w:rsidP="00C142FB">
      <w:r w:rsidRPr="00AC7E3F">
        <w:rPr>
          <w:noProof/>
        </w:rPr>
        <w:drawing>
          <wp:inline distT="0" distB="0" distL="0" distR="0" wp14:anchorId="22D54874" wp14:editId="443126F5">
            <wp:extent cx="5832000" cy="4925935"/>
            <wp:effectExtent l="0" t="0" r="0" b="8255"/>
            <wp:docPr id="310852762" name="Picture 2" descr="Flow chart showing the post-listing review framework across pre-review, review process and post-review st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852762" name="Picture 2" descr="Flow chart showing the post-listing review framework across pre-review, review process and post-review stages."/>
                    <pic:cNvPicPr/>
                  </pic:nvPicPr>
                  <pic:blipFill rotWithShape="1">
                    <a:blip r:embed="rId51" cstate="print">
                      <a:extLst>
                        <a:ext uri="{28A0092B-C50C-407E-A947-70E740481C1C}">
                          <a14:useLocalDpi xmlns:a14="http://schemas.microsoft.com/office/drawing/2010/main" val="0"/>
                        </a:ext>
                      </a:extLst>
                    </a:blip>
                    <a:srcRect t="984" b="1161"/>
                    <a:stretch>
                      <a:fillRect/>
                    </a:stretch>
                  </pic:blipFill>
                  <pic:spPr bwMode="auto">
                    <a:xfrm>
                      <a:off x="0" y="0"/>
                      <a:ext cx="5832000" cy="4925935"/>
                    </a:xfrm>
                    <a:prstGeom prst="rect">
                      <a:avLst/>
                    </a:prstGeom>
                    <a:ln>
                      <a:noFill/>
                    </a:ln>
                    <a:extLst>
                      <a:ext uri="{53640926-AAD7-44D8-BBD7-CCE9431645EC}">
                        <a14:shadowObscured xmlns:a14="http://schemas.microsoft.com/office/drawing/2010/main"/>
                      </a:ext>
                    </a:extLst>
                  </pic:spPr>
                </pic:pic>
              </a:graphicData>
            </a:graphic>
          </wp:inline>
        </w:drawing>
      </w:r>
    </w:p>
    <w:p w14:paraId="2DC3B27E" w14:textId="08BDAAFC" w:rsidR="00143C97" w:rsidRDefault="00143C97" w:rsidP="00EC5B71">
      <w:r w:rsidRPr="00143C97">
        <w:t>Advice from the Department suggests that the updated framework reflects several lessons from the pilot reviews. These included the need to communicate the scope of reviews more clearly, develop clear Terms of Reference, articulate research questions before collecting information and clarify the key points at which stakeholder input will be sought. These changes respond directly to stakeholder concerns that some pilot reviews lacked sufficient clarity about why reviews commenced, how items were prioritised and how decisions would be made.</w:t>
      </w:r>
    </w:p>
    <w:p w14:paraId="6F553426" w14:textId="77777777" w:rsidR="00143C97" w:rsidRDefault="00143C97">
      <w:pPr>
        <w:spacing w:after="160" w:line="259" w:lineRule="auto"/>
      </w:pPr>
      <w:r>
        <w:br w:type="page"/>
      </w:r>
    </w:p>
    <w:p w14:paraId="3E74A91C" w14:textId="398D0031" w:rsidR="000661DD" w:rsidRDefault="00143C97" w:rsidP="000661DD">
      <w:r w:rsidRPr="00143C97">
        <w:t>The framework was further updated in January 2026 to improve transparency and predictability for stakeholders. The January 2026 version clarified when the Department will seek stakeholder input, including that the consultation approach will be determined for each review and that the standard submission period will be two to six weeks.</w:t>
      </w:r>
      <w:r>
        <w:rPr>
          <w:rStyle w:val="FootnoteReference"/>
        </w:rPr>
        <w:footnoteReference w:id="117"/>
      </w:r>
      <w:r w:rsidRPr="00143C97">
        <w:t xml:space="preserve"> The framework also states that the Department will publish an annual post-listing review workplan and timetable, providing stakeholders with advance notice of upcoming reviews. The 2025–26 annual workplan detailed five post-listing reviews the Department intended to complete.</w:t>
      </w:r>
    </w:p>
    <w:p w14:paraId="498C4D6A" w14:textId="6292CB51" w:rsidR="000F38ED" w:rsidRDefault="000F38ED" w:rsidP="000F38ED">
      <w:r>
        <w:t>The revised framework is a positive step towards improving transparency, consistency and predictability in post-listing reviews. However, the pilot reviews show that clearer processes will not, on their own, ensure reviews are completed within planned timeframes. Future reviews will need to be actively managed from commencement, including through clear decision points, realistic but bounded consultation windows and sufficient Departmental capacity to progress reviews without avoidable pauses.</w:t>
      </w:r>
    </w:p>
    <w:p w14:paraId="534F7400" w14:textId="05161D37" w:rsidR="005B7AD9" w:rsidRDefault="000F38ED" w:rsidP="005B7AD9">
      <w:r>
        <w:t>Stakeholder input should also be managed deliberately. This does not mean consultation should be shortened indiscriminately. Rather, stakeholder input should be planned early, targeted to the relevant decision points and supported by clear expectations about the purpose, timing and use of submissions. This is particularly important for reviews involving complex clinical evidence or potential changes to benefit settings.</w:t>
      </w:r>
    </w:p>
    <w:tbl>
      <w:tblPr>
        <w:tblStyle w:val="NousLongformcallout"/>
        <w:tblW w:w="4950" w:type="pct"/>
        <w:tblCellMar>
          <w:top w:w="170" w:type="dxa"/>
          <w:bottom w:w="170" w:type="dxa"/>
        </w:tblCellMar>
        <w:tblLook w:val="04A0" w:firstRow="1" w:lastRow="0" w:firstColumn="1" w:lastColumn="0" w:noHBand="0" w:noVBand="1"/>
      </w:tblPr>
      <w:tblGrid>
        <w:gridCol w:w="9070"/>
      </w:tblGrid>
      <w:tr w:rsidR="005B7AD9" w:rsidRPr="00602824" w14:paraId="76E59DD3" w14:textId="77777777" w:rsidTr="000A08B2">
        <w:tc>
          <w:tcPr>
            <w:tcW w:w="7285" w:type="dxa"/>
            <w:tcBorders>
              <w:left w:val="single" w:sz="18" w:space="0" w:color="2E368F" w:themeColor="text2"/>
            </w:tcBorders>
            <w:shd w:val="clear" w:color="auto" w:fill="F2F2F2" w:themeFill="background1" w:themeFillShade="F2"/>
          </w:tcPr>
          <w:p w14:paraId="2A2209FB" w14:textId="77777777" w:rsidR="005B7AD9" w:rsidRPr="00194DA6" w:rsidRDefault="005B7AD9" w:rsidP="000A08B2">
            <w:pPr>
              <w:pStyle w:val="Longformcallout"/>
              <w:spacing w:before="0" w:after="120"/>
              <w:rPr>
                <w:rFonts w:asciiTheme="majorHAnsi" w:hAnsiTheme="majorHAnsi" w:cstheme="majorHAnsi"/>
                <w:color w:val="2E368F" w:themeColor="text2"/>
              </w:rPr>
            </w:pPr>
            <w:r w:rsidRPr="00602824">
              <w:rPr>
                <w:rFonts w:asciiTheme="majorHAnsi" w:hAnsiTheme="majorHAnsi" w:cstheme="majorHAnsi"/>
                <w:color w:val="2E368F" w:themeColor="text2"/>
              </w:rPr>
              <w:t xml:space="preserve">RECOMMENDATION </w:t>
            </w:r>
            <w:r>
              <w:rPr>
                <w:rFonts w:asciiTheme="majorHAnsi" w:hAnsiTheme="majorHAnsi" w:cstheme="majorHAnsi"/>
                <w:color w:val="2E368F" w:themeColor="text2"/>
              </w:rPr>
              <w:t xml:space="preserve">8: </w:t>
            </w:r>
            <w:r w:rsidRPr="00AF5EA3">
              <w:rPr>
                <w:rFonts w:asciiTheme="majorHAnsi" w:hAnsiTheme="majorHAnsi" w:cstheme="majorHAnsi"/>
              </w:rPr>
              <w:t>More tightly manage stakeholder input and resourcing to achieve planned timeframes for post-listing reviews</w:t>
            </w:r>
            <w:r w:rsidRPr="00194DA6">
              <w:rPr>
                <w:rFonts w:asciiTheme="majorHAnsi" w:hAnsiTheme="majorHAnsi" w:cstheme="majorHAnsi"/>
              </w:rPr>
              <w:t>.</w:t>
            </w:r>
          </w:p>
        </w:tc>
      </w:tr>
    </w:tbl>
    <w:p w14:paraId="237F7239" w14:textId="5FFBAE02" w:rsidR="005A3504" w:rsidRPr="00602824" w:rsidRDefault="003A4797" w:rsidP="00471A4B">
      <w:pPr>
        <w:pStyle w:val="Heading3"/>
      </w:pPr>
      <w:r>
        <w:t>Reform project (b): c</w:t>
      </w:r>
      <w:r w:rsidR="005A3504" w:rsidRPr="00602824">
        <w:t>ompliance</w:t>
      </w:r>
      <w:r>
        <w:t xml:space="preserve"> activities</w:t>
      </w:r>
    </w:p>
    <w:tbl>
      <w:tblPr>
        <w:tblStyle w:val="NOUSSideHeader41"/>
        <w:tblW w:w="5000" w:type="pct"/>
        <w:tblLook w:val="04A0" w:firstRow="1" w:lastRow="0" w:firstColumn="1" w:lastColumn="0" w:noHBand="0" w:noVBand="1"/>
      </w:tblPr>
      <w:tblGrid>
        <w:gridCol w:w="9185"/>
      </w:tblGrid>
      <w:tr w:rsidR="00141944" w:rsidRPr="00602824" w14:paraId="5CC12CC3" w14:textId="77777777" w:rsidTr="003954C8">
        <w:trPr>
          <w:cnfStyle w:val="100000000000" w:firstRow="1" w:lastRow="0" w:firstColumn="0" w:lastColumn="0" w:oddVBand="0" w:evenVBand="0" w:oddHBand="0" w:evenHBand="0" w:firstRowFirstColumn="0" w:firstRowLastColumn="0" w:lastRowFirstColumn="0" w:lastRowLastColumn="0"/>
          <w:cantSplit w:val="0"/>
          <w:tblHeader w:val="0"/>
        </w:trPr>
        <w:tc>
          <w:tcPr>
            <w:tcW w:w="9061" w:type="dxa"/>
          </w:tcPr>
          <w:p w14:paraId="1AB4C7AA" w14:textId="27621C19" w:rsidR="000C5227" w:rsidRDefault="000C5227" w:rsidP="000A2DA8">
            <w:pPr>
              <w:spacing w:line="259" w:lineRule="auto"/>
            </w:pPr>
            <w:r w:rsidRPr="000C5227">
              <w:t xml:space="preserve">At the outset of the reforms, the establishment of a compliance program was identified as essential for safeguarding the integrity of the PL. </w:t>
            </w:r>
            <w:r w:rsidR="007E6FE0" w:rsidRPr="007E6FE0">
              <w:t>The Department committed to developing a formal compliance strategy and associated compliance mechanisms to support robust administration of the PL, limit opportunities for gaming, enable compliance decisions and strengthen the Department’s ability to respond to non-compliance.</w:t>
            </w:r>
          </w:p>
          <w:p w14:paraId="7C356BA7" w14:textId="61E464D0" w:rsidR="00CC5B42" w:rsidRPr="005E2AE3" w:rsidRDefault="006D02D4" w:rsidP="004842EF">
            <w:r w:rsidRPr="005E2AE3">
              <w:t xml:space="preserve">In May 2023, the Department released </w:t>
            </w:r>
            <w:r w:rsidR="007E6FE0" w:rsidRPr="00324EDB">
              <w:t xml:space="preserve">the </w:t>
            </w:r>
            <w:r w:rsidRPr="00324EDB">
              <w:rPr>
                <w:i/>
                <w:iCs/>
              </w:rPr>
              <w:t>Pr</w:t>
            </w:r>
            <w:r w:rsidR="004A0010">
              <w:rPr>
                <w:i/>
                <w:iCs/>
              </w:rPr>
              <w:t>escribed</w:t>
            </w:r>
            <w:r w:rsidRPr="00324EDB">
              <w:rPr>
                <w:i/>
                <w:iCs/>
              </w:rPr>
              <w:t xml:space="preserve"> List Compliance Strategy</w:t>
            </w:r>
            <w:r w:rsidRPr="00324EDB">
              <w:t xml:space="preserve">, </w:t>
            </w:r>
            <w:r w:rsidR="000B3BA5" w:rsidRPr="00324EDB">
              <w:t>which</w:t>
            </w:r>
            <w:r w:rsidR="000B3BA5" w:rsidRPr="000B3BA5">
              <w:t xml:space="preserve"> incorporated stakeholder feedback on the draft strategy released for consultation in September and October 2022</w:t>
            </w:r>
            <w:r w:rsidRPr="005E2AE3">
              <w:t>.</w:t>
            </w:r>
            <w:r w:rsidRPr="005E2AE3">
              <w:rPr>
                <w:rFonts w:cstheme="minorHAnsi"/>
                <w:szCs w:val="14"/>
                <w:vertAlign w:val="superscript"/>
              </w:rPr>
              <w:footnoteReference w:id="118"/>
            </w:r>
            <w:r w:rsidR="004842EF" w:rsidRPr="005E2AE3">
              <w:t xml:space="preserve"> </w:t>
            </w:r>
            <w:r w:rsidR="00427F6D">
              <w:t>The Strategy set out</w:t>
            </w:r>
            <w:r w:rsidR="00427F6D" w:rsidRPr="00427F6D">
              <w:t xml:space="preserve"> a responsive enforcement approach to managing risks to the integrity of the PL, including risks related to benefit price settings, artificial listing structures, fraudulent listing or utilisation and increased patient out-of-pocket costs.</w:t>
            </w:r>
          </w:p>
          <w:p w14:paraId="34951A4D" w14:textId="130A0A9A" w:rsidR="00513813" w:rsidRDefault="00513813" w:rsidP="004842EF">
            <w:pPr>
              <w:rPr>
                <w:lang w:eastAsia="en-AU"/>
              </w:rPr>
            </w:pPr>
            <w:r>
              <w:rPr>
                <w:lang w:eastAsia="en-AU"/>
              </w:rPr>
              <w:t xml:space="preserve">Release of the Strategy was </w:t>
            </w:r>
            <w:r w:rsidR="004842EF" w:rsidRPr="006573E6">
              <w:rPr>
                <w:lang w:eastAsia="en-AU"/>
              </w:rPr>
              <w:t xml:space="preserve">followed by </w:t>
            </w:r>
            <w:r w:rsidR="00427F6D">
              <w:rPr>
                <w:lang w:eastAsia="en-AU"/>
              </w:rPr>
              <w:t xml:space="preserve">further </w:t>
            </w:r>
            <w:r>
              <w:rPr>
                <w:lang w:eastAsia="en-AU"/>
              </w:rPr>
              <w:t xml:space="preserve">consultation </w:t>
            </w:r>
            <w:r w:rsidR="00427F6D">
              <w:rPr>
                <w:lang w:eastAsia="en-AU"/>
              </w:rPr>
              <w:t>on proposed compliance measures</w:t>
            </w:r>
            <w:r>
              <w:rPr>
                <w:lang w:eastAsia="en-AU"/>
              </w:rPr>
              <w:t>:</w:t>
            </w:r>
          </w:p>
          <w:p w14:paraId="26F1C1D9" w14:textId="425F5A5C" w:rsidR="004842EF" w:rsidRPr="00513813" w:rsidRDefault="004842EF" w:rsidP="00DA2426">
            <w:pPr>
              <w:pStyle w:val="ListBullet"/>
            </w:pPr>
            <w:r w:rsidRPr="00513813">
              <w:t>Consultation Paper 7</w:t>
            </w:r>
            <w:r w:rsidR="001D2FCA">
              <w:t xml:space="preserve"> (P</w:t>
            </w:r>
            <w:r w:rsidRPr="00513813">
              <w:t>roposed measures for compliance</w:t>
            </w:r>
            <w:r w:rsidR="001D2FCA">
              <w:t xml:space="preserve">, </w:t>
            </w:r>
            <w:r w:rsidRPr="00513813">
              <w:t>assurance and information sharing</w:t>
            </w:r>
            <w:r w:rsidR="001D2FCA">
              <w:t xml:space="preserve">) – </w:t>
            </w:r>
            <w:r w:rsidR="00F556B6">
              <w:t xml:space="preserve">proposed </w:t>
            </w:r>
            <w:r w:rsidR="00954FDA">
              <w:t>obligations for sponsors, hospitals and insurers, as well as potential legislative changes to support information gathering, enforcement and sanctions.</w:t>
            </w:r>
            <w:r w:rsidR="004F0654" w:rsidRPr="005E2AE3">
              <w:rPr>
                <w:rFonts w:cstheme="minorHAnsi"/>
                <w:szCs w:val="14"/>
                <w:vertAlign w:val="superscript"/>
              </w:rPr>
              <w:footnoteReference w:id="119"/>
            </w:r>
          </w:p>
          <w:p w14:paraId="39EFA22F" w14:textId="5193B6F6" w:rsidR="00E40B3B" w:rsidRPr="00602824" w:rsidRDefault="00E40B3B" w:rsidP="00DA2426">
            <w:pPr>
              <w:pStyle w:val="ListBullet"/>
            </w:pPr>
            <w:r w:rsidRPr="00602824">
              <w:t xml:space="preserve">Consultation </w:t>
            </w:r>
            <w:r w:rsidRPr="003B37F1">
              <w:t>Paper 8a</w:t>
            </w:r>
            <w:r w:rsidR="0056115A" w:rsidRPr="003B37F1">
              <w:t xml:space="preserve"> </w:t>
            </w:r>
            <w:r w:rsidR="003B37F1" w:rsidRPr="003B37F1">
              <w:t>(</w:t>
            </w:r>
            <w:r w:rsidRPr="003B37F1">
              <w:t>Gifts, benefits and discount reporting requirements</w:t>
            </w:r>
            <w:r w:rsidR="003B37F1" w:rsidRPr="003B37F1">
              <w:t>)</w:t>
            </w:r>
            <w:r w:rsidR="003B37F1">
              <w:t xml:space="preserve"> –</w:t>
            </w:r>
            <w:r w:rsidRPr="00602824">
              <w:t xml:space="preserve"> </w:t>
            </w:r>
            <w:r w:rsidR="00954FDA">
              <w:t xml:space="preserve">proposed </w:t>
            </w:r>
            <w:r w:rsidR="00F422B5">
              <w:t>a compliance measure</w:t>
            </w:r>
            <w:r w:rsidRPr="00602824">
              <w:t xml:space="preserve"> that would require hospitals or sponsors to maintain and report a </w:t>
            </w:r>
            <w:r w:rsidR="00B97B72" w:rsidRPr="00602824">
              <w:t xml:space="preserve">register of </w:t>
            </w:r>
            <w:r w:rsidRPr="00602824">
              <w:t>gifts, benefits and discount</w:t>
            </w:r>
            <w:r w:rsidR="00B97B72" w:rsidRPr="00602824">
              <w:t>s</w:t>
            </w:r>
            <w:r w:rsidRPr="00602824">
              <w:t>.</w:t>
            </w:r>
            <w:r w:rsidR="00A25DE1">
              <w:rPr>
                <w:rStyle w:val="FootnoteReference"/>
              </w:rPr>
              <w:footnoteReference w:id="120"/>
            </w:r>
          </w:p>
          <w:p w14:paraId="51757B96" w14:textId="58D3B78A" w:rsidR="00E40B3B" w:rsidRPr="00602824" w:rsidRDefault="00E40B3B" w:rsidP="00DA2426">
            <w:pPr>
              <w:pStyle w:val="ListBullet"/>
            </w:pPr>
            <w:r w:rsidRPr="00602824">
              <w:t>Consultation Paper 8b</w:t>
            </w:r>
            <w:r w:rsidR="003B37F1" w:rsidRPr="003B37F1">
              <w:t xml:space="preserve"> (</w:t>
            </w:r>
            <w:r w:rsidRPr="003B37F1">
              <w:t>Alignment of amount charged for supply of a device with corresponding PL benefit</w:t>
            </w:r>
            <w:r w:rsidR="003B37F1" w:rsidRPr="003B37F1">
              <w:t>) –</w:t>
            </w:r>
            <w:r w:rsidRPr="003B37F1">
              <w:t xml:space="preserve"> </w:t>
            </w:r>
            <w:r w:rsidR="00F422B5">
              <w:t xml:space="preserve">proposed </w:t>
            </w:r>
            <w:r w:rsidR="003A17F2" w:rsidRPr="003B37F1">
              <w:t xml:space="preserve">a </w:t>
            </w:r>
            <w:r w:rsidR="00B02CD5" w:rsidRPr="003B37F1">
              <w:t>compliance</w:t>
            </w:r>
            <w:r w:rsidR="00B02CD5" w:rsidRPr="00602824">
              <w:t xml:space="preserve"> </w:t>
            </w:r>
            <w:r w:rsidRPr="00602824">
              <w:t xml:space="preserve">measure </w:t>
            </w:r>
            <w:r w:rsidR="00B02CD5" w:rsidRPr="00602824">
              <w:t xml:space="preserve">that would restrict </w:t>
            </w:r>
            <w:r w:rsidRPr="00602824">
              <w:t xml:space="preserve">sponsors from charging an amount higher than the PL benefit for </w:t>
            </w:r>
            <w:r w:rsidR="00AC1E77" w:rsidRPr="00602824">
              <w:t xml:space="preserve">the supply of </w:t>
            </w:r>
            <w:r w:rsidRPr="00602824">
              <w:t>medical devices</w:t>
            </w:r>
            <w:r w:rsidR="00D73B38" w:rsidRPr="00602824">
              <w:t xml:space="preserve"> on the PL</w:t>
            </w:r>
            <w:r w:rsidRPr="00602824">
              <w:t>.</w:t>
            </w:r>
            <w:r w:rsidR="00515F19" w:rsidRPr="005E2AE3">
              <w:rPr>
                <w:rFonts w:cstheme="minorHAnsi"/>
                <w:szCs w:val="14"/>
                <w:vertAlign w:val="superscript"/>
              </w:rPr>
              <w:footnoteReference w:id="121"/>
            </w:r>
            <w:r w:rsidR="002D0499">
              <w:t xml:space="preserve"> </w:t>
            </w:r>
          </w:p>
          <w:p w14:paraId="18669695" w14:textId="77777777" w:rsidR="00E40B3B" w:rsidRDefault="008F3E40" w:rsidP="008A41D5">
            <w:r>
              <w:t>In</w:t>
            </w:r>
            <w:r w:rsidR="00CD47C8" w:rsidRPr="00602824">
              <w:t xml:space="preserve"> January 2025</w:t>
            </w:r>
            <w:r w:rsidR="000177DD">
              <w:t>,</w:t>
            </w:r>
            <w:r w:rsidR="00CD47C8" w:rsidRPr="00602824">
              <w:t xml:space="preserve"> </w:t>
            </w:r>
            <w:r w:rsidR="000C7704">
              <w:t xml:space="preserve">the Department advised </w:t>
            </w:r>
            <w:r w:rsidR="00CD47C8" w:rsidRPr="00602824">
              <w:t xml:space="preserve">that there </w:t>
            </w:r>
            <w:r w:rsidR="00D73B38" w:rsidRPr="00602824">
              <w:t>was</w:t>
            </w:r>
            <w:r w:rsidR="00CD47C8" w:rsidRPr="00602824">
              <w:t xml:space="preserve"> insufficient evidence to justify legislating </w:t>
            </w:r>
            <w:r w:rsidR="00CE5F43">
              <w:t>the measures proposed in Consultation Papers 8a and 8b</w:t>
            </w:r>
            <w:r w:rsidR="00CD47C8" w:rsidRPr="00602824">
              <w:t>.</w:t>
            </w:r>
            <w:r w:rsidR="00CD47C8" w:rsidRPr="00602824">
              <w:rPr>
                <w:rStyle w:val="FootnoteReference"/>
              </w:rPr>
              <w:footnoteReference w:id="122"/>
            </w:r>
            <w:r w:rsidR="00C6258C" w:rsidRPr="00602824">
              <w:t xml:space="preserve"> </w:t>
            </w:r>
            <w:r w:rsidR="002D0499" w:rsidRPr="002D0499">
              <w:t>These measures were removed from the proposed Compliance, Assurance and Data Sharing Bill, although the Department advised it would continue to monitor and consult on evidence relevant to consumer protection measures</w:t>
            </w:r>
            <w:r w:rsidR="002D0499">
              <w:t>.</w:t>
            </w:r>
          </w:p>
          <w:p w14:paraId="13D7E6E2" w14:textId="189CBCF4" w:rsidR="002D0499" w:rsidRPr="00602824" w:rsidRDefault="002D0499" w:rsidP="008A41D5">
            <w:r>
              <w:t>The reforms ultimately landed on a more targeted compliance approach within existing powers.</w:t>
            </w:r>
            <w:r w:rsidR="0039338E">
              <w:t xml:space="preserve"> In July 2025</w:t>
            </w:r>
            <w:r w:rsidR="00202204">
              <w:t xml:space="preserve">, the Department published an updated </w:t>
            </w:r>
            <w:r w:rsidR="00202204" w:rsidRPr="00324EDB">
              <w:rPr>
                <w:i/>
                <w:iCs/>
              </w:rPr>
              <w:t>Prescribed List Compliance Strategy</w:t>
            </w:r>
            <w:r w:rsidR="00202204" w:rsidRPr="008C11BE">
              <w:t>,</w:t>
            </w:r>
            <w:r w:rsidR="006E5FE3">
              <w:rPr>
                <w:rStyle w:val="FootnoteReference"/>
              </w:rPr>
              <w:footnoteReference w:id="123"/>
            </w:r>
            <w:r w:rsidR="00202204">
              <w:t xml:space="preserve"> </w:t>
            </w:r>
            <w:r w:rsidR="001740DE" w:rsidRPr="001740DE">
              <w:t>which outlines compliance obligations for PL stakeholders and the Australian Government.</w:t>
            </w:r>
            <w:r w:rsidR="001740DE">
              <w:t xml:space="preserve"> </w:t>
            </w:r>
            <w:r w:rsidR="001740DE" w:rsidRPr="001740DE">
              <w:t>It focuses on four compliance priorities: proactive data analysis, appropriate benefit claiming, education and conditions on PL items.</w:t>
            </w:r>
          </w:p>
        </w:tc>
      </w:tr>
    </w:tbl>
    <w:p w14:paraId="34DAC3A2" w14:textId="77777777" w:rsidR="007879DD" w:rsidRDefault="007879DD" w:rsidP="004D58DC">
      <w:bookmarkStart w:id="80" w:name="_Ref199947582"/>
      <w:r>
        <w:t xml:space="preserve"> </w:t>
      </w:r>
    </w:p>
    <w:p w14:paraId="755B1E4B" w14:textId="26374D26" w:rsidR="007879DD" w:rsidRDefault="007879DD" w:rsidP="000C7704">
      <w:pPr>
        <w:pStyle w:val="Caption"/>
        <w:spacing w:before="0" w:after="0"/>
      </w:pPr>
      <w:r>
        <w:t xml:space="preserve">Figure </w:t>
      </w:r>
      <w:r>
        <w:fldChar w:fldCharType="begin"/>
      </w:r>
      <w:r>
        <w:instrText xml:space="preserve"> SEQ Figure \* ARABIC </w:instrText>
      </w:r>
      <w:r>
        <w:fldChar w:fldCharType="separate"/>
      </w:r>
      <w:r w:rsidR="0092693A">
        <w:rPr>
          <w:noProof/>
        </w:rPr>
        <w:t>29</w:t>
      </w:r>
      <w:r>
        <w:fldChar w:fldCharType="end"/>
      </w:r>
      <w:r>
        <w:t xml:space="preserve"> | Reform timeline of compliance project </w:t>
      </w:r>
    </w:p>
    <w:p w14:paraId="055F32E0" w14:textId="44244576" w:rsidR="004D58DC" w:rsidRDefault="007879DD" w:rsidP="000C7704">
      <w:r>
        <w:rPr>
          <w:noProof/>
        </w:rPr>
        <w:drawing>
          <wp:inline distT="0" distB="0" distL="0" distR="0" wp14:anchorId="3A1FFBCE" wp14:editId="4CDA6D1A">
            <wp:extent cx="5832475" cy="3839861"/>
            <wp:effectExtent l="0" t="0" r="0" b="8255"/>
            <wp:docPr id="1994460327" name="Picture 1" descr="Timeline showing reform activities associated with the compliance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460327" name="Picture 1" descr="Timeline showing reform activities associated with the compliance project."/>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832475" cy="3839861"/>
                    </a:xfrm>
                    <a:prstGeom prst="rect">
                      <a:avLst/>
                    </a:prstGeom>
                    <a:noFill/>
                  </pic:spPr>
                </pic:pic>
              </a:graphicData>
            </a:graphic>
          </wp:inline>
        </w:drawing>
      </w:r>
    </w:p>
    <w:p w14:paraId="55103604" w14:textId="77777777" w:rsidR="0029791A" w:rsidRDefault="0029791A" w:rsidP="005F65D3">
      <w:pPr>
        <w:pStyle w:val="Heading3"/>
      </w:pPr>
      <w:r w:rsidRPr="0029791A">
        <w:t>The reforms did not deliver the originally intended compliance powers</w:t>
      </w:r>
    </w:p>
    <w:p w14:paraId="0D0CA23F" w14:textId="479AF824" w:rsidR="00341278" w:rsidRDefault="0029791A" w:rsidP="0029791A">
      <w:r w:rsidRPr="0029791A">
        <w:t>At the outset of the reforms, the establishment of a compliance program was considered essential for safeguarding the integrity of the PL. Without legal authority, the Department has limited power to compel stakeholders to answer questions or provide information. The compliance program was intended to support robust administration of the PL, limit opportunities for gaming, enable compliance decisions and strengthen the Department’s ability to respond to non-compliance.</w:t>
      </w:r>
    </w:p>
    <w:p w14:paraId="04BF5CEF" w14:textId="40B390FF" w:rsidR="00F4406D" w:rsidRDefault="00F4406D" w:rsidP="00F4406D">
      <w:pPr>
        <w:pStyle w:val="Heading4"/>
      </w:pPr>
      <w:r>
        <w:t>The initial Strategy established the case for a compliance program</w:t>
      </w:r>
    </w:p>
    <w:p w14:paraId="69235A90" w14:textId="7FA46086" w:rsidR="00E52FD7" w:rsidRDefault="00E52FD7" w:rsidP="00E52FD7">
      <w:r>
        <w:t xml:space="preserve">The Department released the first </w:t>
      </w:r>
      <w:r w:rsidRPr="00E52FD7">
        <w:rPr>
          <w:i/>
          <w:iCs/>
        </w:rPr>
        <w:t>Pr</w:t>
      </w:r>
      <w:r w:rsidR="004A0010">
        <w:rPr>
          <w:i/>
          <w:iCs/>
        </w:rPr>
        <w:t>escribed</w:t>
      </w:r>
      <w:r w:rsidRPr="00E52FD7">
        <w:rPr>
          <w:i/>
          <w:iCs/>
        </w:rPr>
        <w:t xml:space="preserve"> List Compliance Strategy</w:t>
      </w:r>
      <w:r>
        <w:t xml:space="preserve"> in May 2023.</w:t>
      </w:r>
      <w:r w:rsidRPr="00602824">
        <w:rPr>
          <w:rStyle w:val="FootnoteReference"/>
        </w:rPr>
        <w:footnoteReference w:id="124"/>
      </w:r>
      <w:r>
        <w:t xml:space="preserve"> The Strategy set out a responsive enforcement approach to managing risks to the integrity of the PL, including inappropriate practices that could distort benefit price settings, encourage artificial listing structures, support fraudulent listing or utilisation, result in unfair listing arrangements or increase patient out-of-pocket expenses.</w:t>
      </w:r>
    </w:p>
    <w:p w14:paraId="5DDC8B10" w14:textId="1372CBD1" w:rsidR="00F4406D" w:rsidRPr="00F4406D" w:rsidRDefault="00E52FD7" w:rsidP="00F4406D">
      <w:r>
        <w:t>The initial Strategy provided the foundation for subsequent consultation on more detailed compliance, assurance and information sharing measures.</w:t>
      </w:r>
    </w:p>
    <w:p w14:paraId="2C92C0FE" w14:textId="270B3AAE" w:rsidR="00341278" w:rsidRDefault="0029791A" w:rsidP="0029791A">
      <w:pPr>
        <w:pStyle w:val="Heading4"/>
      </w:pPr>
      <w:r w:rsidRPr="0029791A">
        <w:t>Proposed legislative powers were not implemented during the reforms</w:t>
      </w:r>
    </w:p>
    <w:p w14:paraId="7406C5AF" w14:textId="2AC9FEA3" w:rsidR="00536934" w:rsidRDefault="00536934" w:rsidP="00536934">
      <w:r>
        <w:t>The Department consulted on proposed compliance, assurance and information sharing measures through Consultation Paper 7.</w:t>
      </w:r>
      <w:r w:rsidR="00EC780E" w:rsidRPr="005E2AE3">
        <w:rPr>
          <w:rFonts w:cstheme="minorHAnsi"/>
          <w:szCs w:val="14"/>
          <w:vertAlign w:val="superscript"/>
        </w:rPr>
        <w:footnoteReference w:id="125"/>
      </w:r>
      <w:r>
        <w:t xml:space="preserve"> The proposed measures set out obligations for sponsors, health providers and insurers, as well as legislative changes that would have supported information gathering, enforcement and sanctions.</w:t>
      </w:r>
      <w:r w:rsidR="00E044E6">
        <w:t xml:space="preserve"> </w:t>
      </w:r>
      <w:r w:rsidR="00E044E6" w:rsidRPr="005E2AE3">
        <w:t xml:space="preserve">A summary of these proposed measures and the required legislative changes was set out in Table 15 of </w:t>
      </w:r>
      <w:r w:rsidR="00E044E6" w:rsidRPr="005E2AE3">
        <w:rPr>
          <w:i/>
        </w:rPr>
        <w:t>Interim Report #1.</w:t>
      </w:r>
    </w:p>
    <w:p w14:paraId="5EBBE4CD" w14:textId="589676BE" w:rsidR="00536934" w:rsidRDefault="00536934" w:rsidP="00536934">
      <w:r>
        <w:t xml:space="preserve">These legislative powers were not implemented during the reforms. As a result, the Department did not obtain additional powers to compel stakeholders to comply with </w:t>
      </w:r>
      <w:proofErr w:type="gramStart"/>
      <w:r>
        <w:t>the majority of</w:t>
      </w:r>
      <w:proofErr w:type="gramEnd"/>
      <w:r>
        <w:t xml:space="preserve"> measures originally proposed through Consultation Paper 7. The proposed Compliance, Assurance and Data Sharing Bill did not commence the legislative process during the reforms.</w:t>
      </w:r>
    </w:p>
    <w:p w14:paraId="0D5A57C7" w14:textId="3D2E3CB6" w:rsidR="00341278" w:rsidRDefault="00536934" w:rsidP="00341278">
      <w:r>
        <w:t>Subsequent investigation by the Department found that some proposed measures may already be covered by existing legislation or reflected in existing industry practice.</w:t>
      </w:r>
      <w:r w:rsidR="004B7FBE" w:rsidRPr="00E6744C">
        <w:rPr>
          <w:rStyle w:val="FootnoteReference"/>
        </w:rPr>
        <w:footnoteReference w:id="126"/>
      </w:r>
      <w:r>
        <w:t xml:space="preserve"> Compliance mechanisms available to the Department include PL device utilisation monitoring, post-listing reviews, communication and education. The Department also </w:t>
      </w:r>
      <w:proofErr w:type="gramStart"/>
      <w:r>
        <w:t>has the ability to</w:t>
      </w:r>
      <w:proofErr w:type="gramEnd"/>
      <w:r>
        <w:t xml:space="preserve"> place conditions on the use of PL-listed devices, as occurred following the post-listing review into surgical guides and </w:t>
      </w:r>
      <w:proofErr w:type="spellStart"/>
      <w:r>
        <w:t>biomodels</w:t>
      </w:r>
      <w:proofErr w:type="spellEnd"/>
      <w:r>
        <w:t>. However, placing conditions on use has been a relatively uncommon action</w:t>
      </w:r>
      <w:r w:rsidR="00D747D1">
        <w:t xml:space="preserve">, </w:t>
      </w:r>
      <w:r w:rsidR="00D747D1" w:rsidRPr="00D747D1">
        <w:t>with less than twenty devices on Part A having a condition restricting its reimbursement</w:t>
      </w:r>
      <w:r w:rsidR="00D747D1">
        <w:t xml:space="preserve"> at the conclusion of the reforms.</w:t>
      </w:r>
    </w:p>
    <w:p w14:paraId="61670D05" w14:textId="1F48188C" w:rsidR="00341278" w:rsidRDefault="00A217DD" w:rsidP="00A217DD">
      <w:pPr>
        <w:pStyle w:val="Heading4"/>
      </w:pPr>
      <w:r>
        <w:t>Stakeholder disagreed on where compliance risks were concentrated</w:t>
      </w:r>
    </w:p>
    <w:p w14:paraId="08D31367" w14:textId="0744EF88" w:rsidR="00E73C2D" w:rsidRDefault="00E73C2D" w:rsidP="00E73C2D">
      <w:pPr>
        <w:rPr>
          <w:lang w:eastAsia="en-AU"/>
        </w:rPr>
      </w:pPr>
      <w:r>
        <w:rPr>
          <w:lang w:eastAsia="en-AU"/>
        </w:rPr>
        <w:t>Stakeholders held different views on the most significant compliance risks affecting the PL. Hospitals and medical technology representatives criticised a perceived imbalance in the originally proposed compliance measures, arguing that the measures disproportionately targeted hospitals and industry without sufficiently responding to non-payment or partial payment by insurers.</w:t>
      </w:r>
    </w:p>
    <w:p w14:paraId="13A9EB8B" w14:textId="25BF1349" w:rsidR="00E73C2D" w:rsidRDefault="00E73C2D" w:rsidP="00E73C2D">
      <w:pPr>
        <w:rPr>
          <w:lang w:eastAsia="en-AU"/>
        </w:rPr>
      </w:pPr>
      <w:r>
        <w:rPr>
          <w:lang w:eastAsia="en-AU"/>
        </w:rPr>
        <w:t>Hospitals and medical technology representatives stated that insurers rejecting or delaying payment for PL-compliant items with limited scrutiny or consequence was a major compliance issue. They remained concerned about the limited range of enforceable actions available in cases of insurer non-payment, underpayment or delayed payment. Hospitals called for mandatory insurer reporting on instances of non-payment, underpayment and delayed payment.</w:t>
      </w:r>
    </w:p>
    <w:p w14:paraId="29992A9A" w14:textId="78BDF8BA" w:rsidR="00A217DD" w:rsidRDefault="00E73C2D" w:rsidP="00E73C2D">
      <w:pPr>
        <w:rPr>
          <w:lang w:eastAsia="en-AU"/>
        </w:rPr>
      </w:pPr>
      <w:r>
        <w:rPr>
          <w:lang w:eastAsia="en-AU"/>
        </w:rPr>
        <w:t>Conversely, insurers argued that, without stronger legislative authority, compliance measures would be insufficient to deter PL fraud and gaming. Insurers reported identifying problematic PL items, which they stated had been raised with the Department but not addressed within a reasonable timeframe. Insurers also advocated for greater transparency of product codes, supported by a centralised and auditable register linking PL items to relevant billing codes.</w:t>
      </w:r>
    </w:p>
    <w:p w14:paraId="7F75DE68" w14:textId="009C7305" w:rsidR="00725FB5" w:rsidRDefault="00725FB5" w:rsidP="00725FB5">
      <w:pPr>
        <w:pStyle w:val="Heading4"/>
      </w:pPr>
      <w:r>
        <w:t>Additional compliance measures were not supported</w:t>
      </w:r>
    </w:p>
    <w:p w14:paraId="6AB1607C" w14:textId="6B30FBDB" w:rsidR="00725FB5" w:rsidRDefault="00725FB5" w:rsidP="00725FB5">
      <w:pPr>
        <w:rPr>
          <w:lang w:eastAsia="en-AU"/>
        </w:rPr>
      </w:pPr>
      <w:r>
        <w:rPr>
          <w:lang w:eastAsia="en-AU"/>
        </w:rPr>
        <w:t xml:space="preserve">The Department also proposed two further compliance measures through Consultation Papers 8a and 8b. Consultation Paper 8a </w:t>
      </w:r>
      <w:r w:rsidR="00CF29F8">
        <w:rPr>
          <w:lang w:eastAsia="en-AU"/>
        </w:rPr>
        <w:t>proposed a</w:t>
      </w:r>
      <w:r>
        <w:rPr>
          <w:lang w:eastAsia="en-AU"/>
        </w:rPr>
        <w:t xml:space="preserve"> require</w:t>
      </w:r>
      <w:r w:rsidR="00CF29F8">
        <w:rPr>
          <w:lang w:eastAsia="en-AU"/>
        </w:rPr>
        <w:t>ment for</w:t>
      </w:r>
      <w:r>
        <w:rPr>
          <w:lang w:eastAsia="en-AU"/>
        </w:rPr>
        <w:t xml:space="preserve"> hospitals or sponsors to maintain and report a register of gifts, benefits and discounts.</w:t>
      </w:r>
      <w:r w:rsidR="00CF29F8">
        <w:rPr>
          <w:rStyle w:val="FootnoteReference"/>
          <w:lang w:eastAsia="en-AU"/>
        </w:rPr>
        <w:footnoteReference w:id="127"/>
      </w:r>
      <w:r>
        <w:rPr>
          <w:lang w:eastAsia="en-AU"/>
        </w:rPr>
        <w:t xml:space="preserve"> Hospital and medical technolog</w:t>
      </w:r>
      <w:r w:rsidR="00CF29F8">
        <w:rPr>
          <w:lang w:eastAsia="en-AU"/>
        </w:rPr>
        <w:t>y</w:t>
      </w:r>
      <w:r>
        <w:rPr>
          <w:lang w:eastAsia="en-AU"/>
        </w:rPr>
        <w:t xml:space="preserve"> representatives welcomed the decision not to proceed with this measure, viewing the original proposal as misdirected and overly burdensome.</w:t>
      </w:r>
    </w:p>
    <w:p w14:paraId="7C736535" w14:textId="681FAEB0" w:rsidR="00725FB5" w:rsidRDefault="00725FB5" w:rsidP="00725FB5">
      <w:pPr>
        <w:rPr>
          <w:lang w:eastAsia="en-AU"/>
        </w:rPr>
      </w:pPr>
      <w:r>
        <w:rPr>
          <w:lang w:eastAsia="en-AU"/>
        </w:rPr>
        <w:t>Consultation Paper 8b proposed an amendment to the PHI Act to align the amount charged for the supply of a PL item with the corresponding PL benefit.</w:t>
      </w:r>
      <w:r w:rsidR="00297FB1" w:rsidRPr="005E2AE3">
        <w:rPr>
          <w:rFonts w:cstheme="minorHAnsi"/>
          <w:szCs w:val="14"/>
          <w:vertAlign w:val="superscript"/>
        </w:rPr>
        <w:footnoteReference w:id="128"/>
      </w:r>
      <w:r>
        <w:rPr>
          <w:lang w:eastAsia="en-AU"/>
        </w:rPr>
        <w:t xml:space="preserve"> Early in the reform process, private hospitals raised concerns about the lack of a compliance mechanism to enforce the PL benefit. The PHI Act does not restrict medical device sponsors from charging more than the PL benefit to supply an item, creating potential for an out-of-pocket cost to be borne by either the hospital or the patient.</w:t>
      </w:r>
    </w:p>
    <w:p w14:paraId="5E795166" w14:textId="0F4F826A" w:rsidR="00A217DD" w:rsidRDefault="00725FB5" w:rsidP="00725FB5">
      <w:pPr>
        <w:rPr>
          <w:lang w:eastAsia="en-AU"/>
        </w:rPr>
      </w:pPr>
      <w:r>
        <w:rPr>
          <w:lang w:eastAsia="en-AU"/>
        </w:rPr>
        <w:t>In January 2025, the Department advised that there was insufficient evidence to justify legislating the measures proposed in Consultation Papers 8a and 8b. As a result, these measures were removed from the proposed Compliance, Assurance and Data Sharing Bill.</w:t>
      </w:r>
      <w:r w:rsidRPr="00602824">
        <w:rPr>
          <w:rStyle w:val="FootnoteReference"/>
        </w:rPr>
        <w:footnoteReference w:id="129"/>
      </w:r>
    </w:p>
    <w:p w14:paraId="531A5FC3" w14:textId="19F316A6" w:rsidR="00380D5B" w:rsidRDefault="00380D5B" w:rsidP="00380D5B">
      <w:pPr>
        <w:pStyle w:val="Heading4"/>
      </w:pPr>
      <w:r w:rsidRPr="00380D5B">
        <w:t>Stakeholders identified gaps in dispute resolution and enforcement capacity</w:t>
      </w:r>
    </w:p>
    <w:p w14:paraId="393C6FD1" w14:textId="6F77DFB0" w:rsidR="00CA1325" w:rsidRDefault="00CA1325" w:rsidP="00CA1325">
      <w:pPr>
        <w:rPr>
          <w:lang w:eastAsia="en-AU"/>
        </w:rPr>
      </w:pPr>
      <w:r>
        <w:rPr>
          <w:lang w:eastAsia="en-AU"/>
        </w:rPr>
        <w:t>Private hospital representatives raised concerns about the absence of a formal PL dispute resolution pathway between insurers and hospitals, identifying this as a gap the Department should consider addressing.</w:t>
      </w:r>
      <w:r w:rsidRPr="00602824">
        <w:rPr>
          <w:rStyle w:val="FootnoteReference"/>
        </w:rPr>
        <w:footnoteReference w:id="130"/>
      </w:r>
      <w:r w:rsidRPr="00DA2426">
        <w:t xml:space="preserve"> </w:t>
      </w:r>
      <w:r>
        <w:rPr>
          <w:lang w:eastAsia="en-AU"/>
        </w:rPr>
        <w:t xml:space="preserve"> Multiple hospital stakeholders called for a neutral, enforceable dispute resolution pathway for the PL to reduce reliance on costly mediation between parties. The evaluation notes that the PL does not govern contractual relationships between PL parties.</w:t>
      </w:r>
    </w:p>
    <w:p w14:paraId="66B9257D" w14:textId="7EE0A983" w:rsidR="00CA1325" w:rsidRDefault="00CA1325" w:rsidP="00CA1325">
      <w:pPr>
        <w:rPr>
          <w:lang w:eastAsia="en-AU"/>
        </w:rPr>
      </w:pPr>
      <w:r>
        <w:rPr>
          <w:lang w:eastAsia="en-AU"/>
        </w:rPr>
        <w:t>The evaluation consulted the Office of the Commonwealth Ombudsman, which confirmed it receives a small number of complaints related to PL items, some involving hospital-insurer disputes. In carrying out its role, the Ombudsman may make recommendations on individual cases, report on systemic issues or refer matters to the Department with a view to protecting the interests of private health insurance consumers. However, the Ombudsman’s office advised that it had not observed systemic trends of concern related to PL items. The evaluation was advised that some hospitals do not pursue disputes with insurers through the Ombudsman, perceiving the process to be ineffective or burdensome. This indicates that the number of Ombudsman cases likely underrepresents the extent of disputes between PL parties.</w:t>
      </w:r>
    </w:p>
    <w:p w14:paraId="4CB1F7D8" w14:textId="1F2AB939" w:rsidR="00380D5B" w:rsidRPr="00380D5B" w:rsidRDefault="00CA1325" w:rsidP="00CA1325">
      <w:pPr>
        <w:rPr>
          <w:lang w:eastAsia="en-AU"/>
        </w:rPr>
      </w:pPr>
      <w:r>
        <w:rPr>
          <w:lang w:eastAsia="en-AU"/>
        </w:rPr>
        <w:t>Multiple stakeholders also raised concerns that limited enforcement options and Departmental capacity constraints weakened compliance action. They noted that without adequate resourcing, clear legal authority and effective enforcement mechanisms, the compliance approaches introduced through the reforms may be perceived as largely symbolic. Several stakeholders also highlighted that the Department has historically been under-resourced in the PL area, constraining its capacity to effectively oversee and enforce responses to PL-related misconduct</w:t>
      </w:r>
      <w:r w:rsidR="008B77BB">
        <w:rPr>
          <w:lang w:eastAsia="en-AU"/>
        </w:rPr>
        <w:t>.</w:t>
      </w:r>
    </w:p>
    <w:p w14:paraId="4857F310" w14:textId="3D213435" w:rsidR="007F0970" w:rsidRDefault="007F0970" w:rsidP="007F0970">
      <w:pPr>
        <w:pStyle w:val="Heading3"/>
      </w:pPr>
      <w:r>
        <w:t xml:space="preserve">The updated Strategy </w:t>
      </w:r>
      <w:r w:rsidR="006B3D3D">
        <w:t xml:space="preserve">provides a practical but </w:t>
      </w:r>
      <w:r>
        <w:t xml:space="preserve">lighter-touch </w:t>
      </w:r>
      <w:r w:rsidR="006B3D3D">
        <w:t xml:space="preserve">compliance </w:t>
      </w:r>
      <w:r>
        <w:t>approach</w:t>
      </w:r>
    </w:p>
    <w:p w14:paraId="0B7A4027" w14:textId="3E8509B1" w:rsidR="002C31E9" w:rsidRDefault="006B3D3D" w:rsidP="002C31E9">
      <w:pPr>
        <w:rPr>
          <w:lang w:eastAsia="en-AU"/>
        </w:rPr>
      </w:pPr>
      <w:r>
        <w:rPr>
          <w:lang w:eastAsia="en-AU"/>
        </w:rPr>
        <w:t xml:space="preserve">The </w:t>
      </w:r>
      <w:r w:rsidRPr="002C31E9">
        <w:rPr>
          <w:i/>
          <w:iCs/>
          <w:lang w:eastAsia="en-AU"/>
        </w:rPr>
        <w:t>Prescribed List Compliance Strategy</w:t>
      </w:r>
      <w:r>
        <w:rPr>
          <w:lang w:eastAsia="en-AU"/>
        </w:rPr>
        <w:t xml:space="preserve"> was updated </w:t>
      </w:r>
      <w:r w:rsidR="002C31E9">
        <w:rPr>
          <w:lang w:eastAsia="en-AU"/>
        </w:rPr>
        <w:t>in July 2025 following stakeholder feedback on the earlier approach and in the context of delays to legislative change.</w:t>
      </w:r>
      <w:r w:rsidR="002C31E9">
        <w:rPr>
          <w:rStyle w:val="FootnoteReference"/>
        </w:rPr>
        <w:footnoteReference w:id="131"/>
      </w:r>
      <w:r w:rsidR="002C31E9">
        <w:rPr>
          <w:lang w:eastAsia="en-AU"/>
        </w:rPr>
        <w:t xml:space="preserve"> The updated Strategy outlines compliance obligations for PL stakeholders and the Australian Government, and applies to hospitals and day clinics, clinicians, sponsors of medical device and human tissue products, and private health insurers.</w:t>
      </w:r>
    </w:p>
    <w:p w14:paraId="50A8FD08" w14:textId="6BFBD6CF" w:rsidR="00A217DD" w:rsidRDefault="002C31E9" w:rsidP="002C31E9">
      <w:pPr>
        <w:rPr>
          <w:lang w:eastAsia="en-AU"/>
        </w:rPr>
      </w:pPr>
      <w:r>
        <w:rPr>
          <w:lang w:eastAsia="en-AU"/>
        </w:rPr>
        <w:t>The updated Strategy provides a practical basis for compliance action within the Department’s existing powers. However, it represents a lighter-touch approach than the broader legislative model initially contemplated through the reforms.</w:t>
      </w:r>
    </w:p>
    <w:p w14:paraId="463ED68A" w14:textId="64B367C7" w:rsidR="007F0970" w:rsidRDefault="00DD3073" w:rsidP="00DD3073">
      <w:pPr>
        <w:pStyle w:val="Heading4"/>
      </w:pPr>
      <w:r w:rsidRPr="00DD3073">
        <w:t>The updated Strategy responded to concerns about imbalance</w:t>
      </w:r>
    </w:p>
    <w:p w14:paraId="4C05D04A" w14:textId="1A53638A" w:rsidR="00745DCD" w:rsidRDefault="00745DCD" w:rsidP="00745DCD">
      <w:pPr>
        <w:rPr>
          <w:lang w:eastAsia="en-AU"/>
        </w:rPr>
      </w:pPr>
      <w:r>
        <w:rPr>
          <w:lang w:eastAsia="en-AU"/>
        </w:rPr>
        <w:t>Stakeholder feedback through the reforms was particularly focused on a perceived imbalance in compliance expectations across PL stakeholders. The updated Strategy more clearly articulates compliance expectations for private health insurers, explicitly identifying behaviours that may constitute non-compliance, including rejecting or refusing legitimate benefit claims, reimbursing below the applicable PL benefit and undue delays in benefit payments.</w:t>
      </w:r>
    </w:p>
    <w:p w14:paraId="2F022966" w14:textId="16148A9E" w:rsidR="007F0970" w:rsidRDefault="00745DCD" w:rsidP="00745DCD">
      <w:pPr>
        <w:rPr>
          <w:lang w:eastAsia="en-AU"/>
        </w:rPr>
      </w:pPr>
      <w:r>
        <w:rPr>
          <w:lang w:eastAsia="en-AU"/>
        </w:rPr>
        <w:t>This was an important change, as hospitals and medical technology representatives had raised concerns that earlier proposed compliance measures focused more heavily on hospitals and industry than on insurer conduct.</w:t>
      </w:r>
    </w:p>
    <w:p w14:paraId="371853E0" w14:textId="4A69D956" w:rsidR="00DD3073" w:rsidRDefault="00745DCD" w:rsidP="00745DCD">
      <w:pPr>
        <w:pStyle w:val="Heading4"/>
      </w:pPr>
      <w:r>
        <w:t>The updated Strategy prioritises proportionality over new obligations</w:t>
      </w:r>
    </w:p>
    <w:p w14:paraId="40EA28BB" w14:textId="3F23F01A" w:rsidR="00745DCD" w:rsidRDefault="00E178CA" w:rsidP="00745DCD">
      <w:pPr>
        <w:rPr>
          <w:lang w:eastAsia="en-AU"/>
        </w:rPr>
      </w:pPr>
      <w:r w:rsidRPr="00E178CA">
        <w:rPr>
          <w:lang w:eastAsia="en-AU"/>
        </w:rPr>
        <w:t>Compared with the measures consulted on earlier in the reform process, the 2025 Strategy adopts a lighter-touch, risk-based operational approach that prioritises education, monitoring and voluntary compliance over the introduction of new regulatory obligations.</w:t>
      </w:r>
    </w:p>
    <w:p w14:paraId="0468B339" w14:textId="77777777" w:rsidR="00E178CA" w:rsidRPr="001327A1" w:rsidRDefault="00E178CA" w:rsidP="00E178CA">
      <w:r>
        <w:t>The Strategy identifies fo</w:t>
      </w:r>
      <w:r w:rsidRPr="001327A1">
        <w:t xml:space="preserve">ur areas of priority that seek to safeguard the integrity of the PL: </w:t>
      </w:r>
    </w:p>
    <w:p w14:paraId="3FB0537F" w14:textId="5F432A2F" w:rsidR="00E178CA" w:rsidRPr="00C43175" w:rsidRDefault="00E178CA" w:rsidP="00C43175">
      <w:pPr>
        <w:pStyle w:val="ListBullet"/>
      </w:pPr>
      <w:r w:rsidRPr="00C43175">
        <w:rPr>
          <w:rStyle w:val="Strong"/>
        </w:rPr>
        <w:t>Proactive data analysis</w:t>
      </w:r>
      <w:r w:rsidRPr="00C43175">
        <w:t xml:space="preserve"> –</w:t>
      </w:r>
      <w:r w:rsidR="00362099" w:rsidRPr="00C43175">
        <w:t xml:space="preserve"> i</w:t>
      </w:r>
      <w:r w:rsidRPr="00C43175">
        <w:t>dentifying anomalous claiming behaviour or suboptimal device utilisation patterns that may indicate compliance risks and non-complaint behaviour</w:t>
      </w:r>
    </w:p>
    <w:p w14:paraId="6A7FF50B" w14:textId="212FE071" w:rsidR="00E178CA" w:rsidRPr="00C43175" w:rsidRDefault="00E178CA" w:rsidP="00C43175">
      <w:pPr>
        <w:pStyle w:val="ListBullet"/>
      </w:pPr>
      <w:r w:rsidRPr="00C43175">
        <w:rPr>
          <w:rStyle w:val="Strong"/>
        </w:rPr>
        <w:t>Appropriate benefit claiming</w:t>
      </w:r>
      <w:r w:rsidRPr="00C43175">
        <w:t xml:space="preserve"> – </w:t>
      </w:r>
      <w:r w:rsidR="00362099" w:rsidRPr="00C43175">
        <w:t>e</w:t>
      </w:r>
      <w:r w:rsidRPr="00C43175">
        <w:t xml:space="preserve">nsuring stakeholders accurately claim and reimburse benefits as required. </w:t>
      </w:r>
    </w:p>
    <w:p w14:paraId="49E892E4" w14:textId="774C065F" w:rsidR="00E178CA" w:rsidRPr="00C43175" w:rsidRDefault="00E178CA" w:rsidP="00C43175">
      <w:pPr>
        <w:pStyle w:val="ListBullet"/>
      </w:pPr>
      <w:r w:rsidRPr="00C43175">
        <w:rPr>
          <w:rStyle w:val="Strong"/>
        </w:rPr>
        <w:t>Education</w:t>
      </w:r>
      <w:r w:rsidRPr="00C43175">
        <w:t xml:space="preserve"> – </w:t>
      </w:r>
      <w:r w:rsidR="00362099" w:rsidRPr="00C43175">
        <w:t>u</w:t>
      </w:r>
      <w:r w:rsidRPr="00C43175">
        <w:t>sing education to clarify requirements and reiterate stakeholder responsibilities</w:t>
      </w:r>
    </w:p>
    <w:p w14:paraId="0A866B9A" w14:textId="4008EEC9" w:rsidR="00E178CA" w:rsidRPr="00C43175" w:rsidRDefault="00E178CA" w:rsidP="00C43175">
      <w:pPr>
        <w:pStyle w:val="ListBullet"/>
      </w:pPr>
      <w:r w:rsidRPr="00C43175">
        <w:rPr>
          <w:rStyle w:val="Strong"/>
        </w:rPr>
        <w:t>Conditions</w:t>
      </w:r>
      <w:r w:rsidRPr="00C43175">
        <w:t xml:space="preserve"> – </w:t>
      </w:r>
      <w:r w:rsidR="00362099" w:rsidRPr="00C43175">
        <w:t>i</w:t>
      </w:r>
      <w:r w:rsidRPr="00C43175">
        <w:t xml:space="preserve">dentifying areas where conditions can assist in the correct usage of devices and minimise claiming anomalies. </w:t>
      </w:r>
    </w:p>
    <w:p w14:paraId="4A69EA12" w14:textId="323BFF26" w:rsidR="00362099" w:rsidRDefault="00A0026A" w:rsidP="00362099">
      <w:r w:rsidRPr="00A0026A">
        <w:t>The Strategy does not proceed with several of the stronger measures contemplated earlier in the reform process, such as new mandatory record-keeping requirements, expanded information-gathering powers or additional administrative sanctions. It instead reflects a stewardship approach designed to safeguard the integrity of the PL while minimising regulatory burden</w:t>
      </w:r>
      <w:r>
        <w:t>.</w:t>
      </w:r>
    </w:p>
    <w:p w14:paraId="66024EFD" w14:textId="77777777" w:rsidR="007325ED" w:rsidRDefault="007325ED" w:rsidP="00A0026A">
      <w:pPr>
        <w:rPr>
          <w:rFonts w:ascii="Segoe UI Semibold" w:eastAsia="Times New Roman" w:hAnsi="Segoe UI Semibold" w:cs="Times New Roman"/>
          <w:color w:val="00264D" w:themeColor="background2"/>
          <w:sz w:val="22"/>
          <w:szCs w:val="19"/>
          <w:lang w:eastAsia="en-AU"/>
        </w:rPr>
      </w:pPr>
      <w:r w:rsidRPr="007325ED">
        <w:rPr>
          <w:rFonts w:ascii="Segoe UI Semibold" w:eastAsia="Times New Roman" w:hAnsi="Segoe UI Semibold" w:cs="Times New Roman"/>
          <w:color w:val="00264D" w:themeColor="background2"/>
          <w:sz w:val="22"/>
          <w:szCs w:val="19"/>
          <w:lang w:eastAsia="en-AU"/>
        </w:rPr>
        <w:t>Existing powers remain the basis for compliance action</w:t>
      </w:r>
    </w:p>
    <w:p w14:paraId="4B3F46B8" w14:textId="6625448B" w:rsidR="007325ED" w:rsidRPr="007325ED" w:rsidRDefault="007325ED" w:rsidP="007325ED">
      <w:pPr>
        <w:rPr>
          <w:lang w:eastAsia="en-AU"/>
        </w:rPr>
      </w:pPr>
      <w:r w:rsidRPr="007325ED">
        <w:rPr>
          <w:lang w:eastAsia="en-AU"/>
        </w:rPr>
        <w:t>The updated Strategy continues to rely on existing legislative frameworks, including the PHI Act and the Criminal Code, and does not introduce new compulsory information-gathering or enforcement powers.</w:t>
      </w:r>
    </w:p>
    <w:p w14:paraId="57DA11DD" w14:textId="78B2ADD1" w:rsidR="007325ED" w:rsidRPr="007325ED" w:rsidRDefault="007325ED" w:rsidP="007325ED">
      <w:pPr>
        <w:rPr>
          <w:lang w:eastAsia="en-AU"/>
        </w:rPr>
      </w:pPr>
      <w:r w:rsidRPr="007325ED">
        <w:rPr>
          <w:lang w:eastAsia="en-AU"/>
        </w:rPr>
        <w:t xml:space="preserve">The Strategy identifies a range of existing activities that can support compliance, including monitoring, post-listing review processes, device utilisation reviews, HTA-style reviews, corrective actions, education and the use of legislative instruments. Where the Department identifies behaviours that suggest there are anti-competitive practices related to the use and application of the PL, it may make a referral to relevant regulators such as </w:t>
      </w:r>
      <w:r w:rsidR="00D9413C" w:rsidRPr="0013654F">
        <w:rPr>
          <w:rFonts w:asciiTheme="minorHAnsi" w:hAnsiTheme="minorHAnsi" w:cstheme="minorHAnsi"/>
        </w:rPr>
        <w:t>Australian Prudential Regulation Authority (APRA) and the</w:t>
      </w:r>
      <w:r w:rsidR="00D9413C">
        <w:rPr>
          <w:rFonts w:asciiTheme="minorHAnsi" w:hAnsiTheme="minorHAnsi" w:cstheme="minorHAnsi"/>
        </w:rPr>
        <w:t xml:space="preserve"> </w:t>
      </w:r>
      <w:r w:rsidR="00D9413C" w:rsidRPr="004140B0">
        <w:rPr>
          <w:rFonts w:asciiTheme="minorHAnsi" w:hAnsiTheme="minorHAnsi" w:cstheme="minorHAnsi"/>
        </w:rPr>
        <w:t>Australian Competition and Consumer Commission (ACCC)</w:t>
      </w:r>
      <w:r w:rsidRPr="007325ED">
        <w:rPr>
          <w:lang w:eastAsia="en-AU"/>
        </w:rPr>
        <w:t>.</w:t>
      </w:r>
    </w:p>
    <w:p w14:paraId="040FAE47" w14:textId="0766CCEE" w:rsidR="00BA3018" w:rsidRDefault="007325ED" w:rsidP="00A0026A">
      <w:pPr>
        <w:rPr>
          <w:lang w:eastAsia="en-AU"/>
        </w:rPr>
      </w:pPr>
      <w:r w:rsidRPr="007325ED">
        <w:rPr>
          <w:lang w:eastAsia="en-AU"/>
        </w:rPr>
        <w:t xml:space="preserve">The Strategy also elevates the use of conditions on PL items as a compliance priority and intervention mechanism. Conditions may provide a targeted tool to address emerging risks to PL integrity where other compliance levers are limited. As noted above, this approach was used following the post-listing review into surgical guides and </w:t>
      </w:r>
      <w:proofErr w:type="spellStart"/>
      <w:r w:rsidRPr="007325ED">
        <w:rPr>
          <w:lang w:eastAsia="en-AU"/>
        </w:rPr>
        <w:t>biomodels</w:t>
      </w:r>
      <w:proofErr w:type="spellEnd"/>
      <w:r w:rsidRPr="007325ED">
        <w:rPr>
          <w:lang w:eastAsia="en-AU"/>
        </w:rPr>
        <w:t>.</w:t>
      </w:r>
    </w:p>
    <w:bookmarkEnd w:id="80"/>
    <w:p w14:paraId="3B2C26B4" w14:textId="2DDE1C43" w:rsidR="00A64D7B" w:rsidRDefault="00576E5D" w:rsidP="000A7817">
      <w:pPr>
        <w:pStyle w:val="Heading4"/>
        <w:rPr>
          <w:rFonts w:eastAsiaTheme="minorHAnsi"/>
        </w:rPr>
      </w:pPr>
      <w:r w:rsidRPr="00576E5D">
        <w:rPr>
          <w:rFonts w:eastAsiaTheme="minorHAnsi"/>
        </w:rPr>
        <w:t>Ongoing monitoring is needed to test whether the Strategy is effective</w:t>
      </w:r>
    </w:p>
    <w:p w14:paraId="5801644E" w14:textId="1D4A5F8E" w:rsidR="00576E5D" w:rsidRDefault="00576E5D" w:rsidP="00576E5D">
      <w:r>
        <w:t>While the updated Strategy provides a practical basis for managing compliance within existing powers, it relies on the Department consistently undertaking the monitoring, education and follow-up activities described in the Strategy. This is important because the updated Strategy adopts a lighter-touch approach than the measures originally proposed through the reform process, and because stakeholders raised concerns about the Department’s capacity to effectively oversee and enforce responses to PL-related misconduct.</w:t>
      </w:r>
    </w:p>
    <w:p w14:paraId="53D2711B" w14:textId="5479576F" w:rsidR="00576E5D" w:rsidRDefault="00576E5D" w:rsidP="00576E5D">
      <w:r>
        <w:t>The Department should regularly document whether the monitoring activities described in the Strategy are occurring, whether concerns identified through data analysis, tip-offs or stakeholder complaints are assessed, and whether issues are escalated or resolved. This would provide visibility over whether the Strategy is being implemented as intended.</w:t>
      </w:r>
    </w:p>
    <w:p w14:paraId="7E6CF1EA" w14:textId="5EC73911" w:rsidR="00E57A13" w:rsidRDefault="00576E5D" w:rsidP="00E57A13">
      <w:r>
        <w:t>An evaluation after three years of operation would also help assess whether the Strategy has improved compliance behaviour, strengthened confidence in the integrity of the PL and provided an effective basis for responding to stakeholder concerns.</w:t>
      </w:r>
    </w:p>
    <w:tbl>
      <w:tblPr>
        <w:tblStyle w:val="NousLongformcallout"/>
        <w:tblW w:w="4950" w:type="pct"/>
        <w:tblCellMar>
          <w:top w:w="170" w:type="dxa"/>
          <w:bottom w:w="170" w:type="dxa"/>
        </w:tblCellMar>
        <w:tblLook w:val="04A0" w:firstRow="1" w:lastRow="0" w:firstColumn="1" w:lastColumn="0" w:noHBand="0" w:noVBand="1"/>
      </w:tblPr>
      <w:tblGrid>
        <w:gridCol w:w="9070"/>
      </w:tblGrid>
      <w:tr w:rsidR="00E57A13" w:rsidRPr="00602824" w14:paraId="1B3FF521" w14:textId="77777777" w:rsidTr="000A08B2">
        <w:tc>
          <w:tcPr>
            <w:tcW w:w="9070" w:type="dxa"/>
            <w:tcBorders>
              <w:left w:val="single" w:sz="18" w:space="0" w:color="2E368F" w:themeColor="text2"/>
            </w:tcBorders>
            <w:shd w:val="clear" w:color="auto" w:fill="F2F2F2" w:themeFill="background1" w:themeFillShade="F2"/>
          </w:tcPr>
          <w:p w14:paraId="34898855" w14:textId="77777777" w:rsidR="00E57A13" w:rsidRPr="00194DA6" w:rsidRDefault="00E57A13" w:rsidP="000A08B2">
            <w:pPr>
              <w:pStyle w:val="Longformcallout"/>
              <w:spacing w:before="0" w:after="120"/>
              <w:rPr>
                <w:rFonts w:asciiTheme="majorHAnsi" w:hAnsiTheme="majorHAnsi" w:cstheme="majorHAnsi"/>
                <w:color w:val="2E368F" w:themeColor="text2"/>
              </w:rPr>
            </w:pPr>
            <w:r w:rsidRPr="00602824">
              <w:rPr>
                <w:rFonts w:asciiTheme="majorHAnsi" w:hAnsiTheme="majorHAnsi" w:cstheme="majorHAnsi"/>
                <w:color w:val="2E368F" w:themeColor="text2"/>
              </w:rPr>
              <w:t xml:space="preserve">RECOMMENDATION </w:t>
            </w:r>
            <w:r>
              <w:rPr>
                <w:rFonts w:asciiTheme="majorHAnsi" w:hAnsiTheme="majorHAnsi" w:cstheme="majorHAnsi"/>
                <w:color w:val="2E368F" w:themeColor="text2"/>
              </w:rPr>
              <w:t xml:space="preserve">9: </w:t>
            </w:r>
            <w:r w:rsidRPr="00AF5EA3">
              <w:rPr>
                <w:rFonts w:asciiTheme="majorHAnsi" w:hAnsiTheme="majorHAnsi" w:cstheme="majorHAnsi"/>
              </w:rPr>
              <w:t>Regularly document adherence to monitoring activities and undertake an evaluation of the impact of the 2025 Compliance Strategy after three years of operation</w:t>
            </w:r>
            <w:r w:rsidRPr="00194DA6">
              <w:rPr>
                <w:rFonts w:asciiTheme="majorHAnsi" w:hAnsiTheme="majorHAnsi" w:cstheme="majorHAnsi"/>
              </w:rPr>
              <w:t>.</w:t>
            </w:r>
          </w:p>
        </w:tc>
      </w:tr>
    </w:tbl>
    <w:p w14:paraId="5285A0DC" w14:textId="77777777" w:rsidR="002D7620" w:rsidRPr="00602824" w:rsidRDefault="002D7620" w:rsidP="002D7620">
      <w:pPr>
        <w:pStyle w:val="Heading2"/>
      </w:pPr>
      <w:bookmarkStart w:id="81" w:name="_Toc181405097"/>
      <w:bookmarkStart w:id="82" w:name="_Toc237002810"/>
      <w:r w:rsidRPr="00602824">
        <w:t>Objective 8: Ensure ongoing financial sustainability of PL administration through effective and efficient cost recovery arrangements that are compliant with the AGCF</w:t>
      </w:r>
      <w:bookmarkEnd w:id="81"/>
      <w:bookmarkEnd w:id="82"/>
    </w:p>
    <w:p w14:paraId="6B7902B1" w14:textId="3EC7CDCB" w:rsidR="002D7620" w:rsidRPr="00602824" w:rsidRDefault="002D7620" w:rsidP="002D7620">
      <w:pPr>
        <w:rPr>
          <w:i/>
          <w:iCs/>
          <w:lang w:eastAsia="en-AU"/>
        </w:rPr>
      </w:pPr>
      <w:r w:rsidRPr="00602824">
        <w:rPr>
          <w:i/>
          <w:iCs/>
          <w:lang w:eastAsia="en-AU"/>
        </w:rPr>
        <w:t xml:space="preserve">This section considers the implementation of cost recovery arrangements at a high level, noting a formal assessment of </w:t>
      </w:r>
      <w:r w:rsidR="007D70EB" w:rsidRPr="00602824">
        <w:rPr>
          <w:i/>
          <w:iCs/>
          <w:lang w:eastAsia="en-AU"/>
        </w:rPr>
        <w:t xml:space="preserve">cost recovery </w:t>
      </w:r>
      <w:r w:rsidRPr="00602824">
        <w:rPr>
          <w:i/>
          <w:iCs/>
          <w:lang w:eastAsia="en-AU"/>
        </w:rPr>
        <w:t>is out of scope for the evaluation. This section also considers the financial sustainability of the PL’s administration, outlining any change in PL administrative effort and documenting stakeholders</w:t>
      </w:r>
      <w:r w:rsidR="00140E07" w:rsidRPr="00602824">
        <w:rPr>
          <w:i/>
          <w:iCs/>
          <w:lang w:eastAsia="en-AU"/>
        </w:rPr>
        <w:t>’</w:t>
      </w:r>
      <w:r w:rsidRPr="00602824">
        <w:rPr>
          <w:i/>
          <w:iCs/>
          <w:lang w:eastAsia="en-AU"/>
        </w:rPr>
        <w:t xml:space="preserve"> perspectives on its resulting financial sustainability.</w:t>
      </w:r>
    </w:p>
    <w:p w14:paraId="1C693A49" w14:textId="4B927447" w:rsidR="002D7620" w:rsidRPr="00602824" w:rsidRDefault="002D7620" w:rsidP="00B50EE7">
      <w:pPr>
        <w:pStyle w:val="Caption"/>
      </w:pPr>
      <w:r w:rsidRPr="00602824">
        <w:t xml:space="preserve">Figure </w:t>
      </w:r>
      <w:r w:rsidR="005539DD">
        <w:fldChar w:fldCharType="begin"/>
      </w:r>
      <w:r w:rsidR="005539DD">
        <w:instrText xml:space="preserve"> SEQ Figure \* ARABIC </w:instrText>
      </w:r>
      <w:r w:rsidR="005539DD">
        <w:fldChar w:fldCharType="separate"/>
      </w:r>
      <w:r w:rsidR="0092693A">
        <w:rPr>
          <w:noProof/>
        </w:rPr>
        <w:t>30</w:t>
      </w:r>
      <w:r w:rsidR="005539DD">
        <w:fldChar w:fldCharType="end"/>
      </w:r>
      <w:r w:rsidRPr="00602824">
        <w:t xml:space="preserve"> | Reform projects related to reform objective 8</w:t>
      </w:r>
    </w:p>
    <w:p w14:paraId="0BEDD146" w14:textId="77777777" w:rsidR="002D7620" w:rsidRPr="00602824" w:rsidRDefault="002D7620" w:rsidP="002D7620">
      <w:r w:rsidRPr="00AC7E3F">
        <w:rPr>
          <w:noProof/>
        </w:rPr>
        <w:drawing>
          <wp:inline distT="0" distB="0" distL="0" distR="0" wp14:anchorId="3D821A3C" wp14:editId="41C475CF">
            <wp:extent cx="5832000" cy="1057336"/>
            <wp:effectExtent l="0" t="0" r="0" b="9525"/>
            <wp:docPr id="1975919903" name="Picture 1" descr="A figure showing Objective 8. Financial sustainability connected to cost recovery f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919903" name="Picture 1" descr="A figure showing Objective 8. Financial sustainability connected to cost recovery fees."/>
                    <pic:cNvPicPr/>
                  </pic:nvPicPr>
                  <pic:blipFill>
                    <a:blip r:embed="rId53"/>
                    <a:stretch>
                      <a:fillRect/>
                    </a:stretch>
                  </pic:blipFill>
                  <pic:spPr>
                    <a:xfrm>
                      <a:off x="0" y="0"/>
                      <a:ext cx="5832000" cy="1057336"/>
                    </a:xfrm>
                    <a:prstGeom prst="rect">
                      <a:avLst/>
                    </a:prstGeom>
                  </pic:spPr>
                </pic:pic>
              </a:graphicData>
            </a:graphic>
          </wp:inline>
        </w:drawing>
      </w:r>
    </w:p>
    <w:p w14:paraId="1B6FB447" w14:textId="70387F47" w:rsidR="003A69ED" w:rsidRPr="00602824" w:rsidRDefault="004F0654" w:rsidP="00471A4B">
      <w:pPr>
        <w:pStyle w:val="Heading3"/>
      </w:pPr>
      <w:r>
        <w:t>Reform project:</w:t>
      </w:r>
      <w:r w:rsidR="003A69ED" w:rsidRPr="00602824">
        <w:t xml:space="preserve"> </w:t>
      </w:r>
      <w:r w:rsidR="00015D9F" w:rsidRPr="00602824">
        <w:t>c</w:t>
      </w:r>
      <w:r w:rsidR="003A69ED" w:rsidRPr="00602824">
        <w:t xml:space="preserve">ost </w:t>
      </w:r>
      <w:r w:rsidR="00471A4B" w:rsidRPr="00602824">
        <w:t>r</w:t>
      </w:r>
      <w:r w:rsidR="003A69ED" w:rsidRPr="00602824">
        <w:t xml:space="preserve">ecovery fees  </w:t>
      </w:r>
    </w:p>
    <w:tbl>
      <w:tblPr>
        <w:tblStyle w:val="NOUSSideHeader4"/>
        <w:tblW w:w="5000" w:type="pct"/>
        <w:tblLook w:val="04A0" w:firstRow="1" w:lastRow="0" w:firstColumn="1" w:lastColumn="0" w:noHBand="0" w:noVBand="1"/>
      </w:tblPr>
      <w:tblGrid>
        <w:gridCol w:w="9185"/>
      </w:tblGrid>
      <w:tr w:rsidR="005A1DA9" w:rsidRPr="00602824" w14:paraId="11B7BF35" w14:textId="77777777" w:rsidTr="00453E86">
        <w:trPr>
          <w:cnfStyle w:val="100000000000" w:firstRow="1" w:lastRow="0" w:firstColumn="0" w:lastColumn="0" w:oddVBand="0" w:evenVBand="0" w:oddHBand="0" w:evenHBand="0" w:firstRowFirstColumn="0" w:firstRowLastColumn="0" w:lastRowFirstColumn="0" w:lastRowLastColumn="0"/>
          <w:cantSplit w:val="0"/>
          <w:tblHeader w:val="0"/>
        </w:trPr>
        <w:tc>
          <w:tcPr>
            <w:tcW w:w="9061" w:type="dxa"/>
          </w:tcPr>
          <w:p w14:paraId="6D3E003F" w14:textId="40536882" w:rsidR="00F87809" w:rsidRDefault="00F87809" w:rsidP="00F87809">
            <w:r>
              <w:t xml:space="preserve">PL cost recovery arrangements were updated through the reform process to support the financial sustainability of PL administration and improve alignment with the </w:t>
            </w:r>
            <w:r w:rsidRPr="00F87809">
              <w:t>Australian Government Charging Framework (AGCF)</w:t>
            </w:r>
            <w:r>
              <w:t>. The revised arrangements include application fees for relevant Part A, C and D applications</w:t>
            </w:r>
            <w:r w:rsidR="00817AF4">
              <w:t>,</w:t>
            </w:r>
            <w:r w:rsidRPr="00602824">
              <w:t xml:space="preserve"> </w:t>
            </w:r>
            <w:r>
              <w:t>as well as an annual levy payable for each billing code listed on Parts A, C and D of the PL.</w:t>
            </w:r>
            <w:r w:rsidRPr="00602824">
              <w:rPr>
                <w:rStyle w:val="FootnoteReference"/>
              </w:rPr>
              <w:footnoteReference w:id="132"/>
            </w:r>
            <w:r w:rsidRPr="00602824">
              <w:t xml:space="preserve"> </w:t>
            </w:r>
            <w:r>
              <w:t xml:space="preserve"> Part B applications, applications to transfer a billing code to a different sponsor and applications to delete a billing code are not subject to cost recovery fees or charges.</w:t>
            </w:r>
          </w:p>
          <w:p w14:paraId="530FECA6" w14:textId="17BE3DAD" w:rsidR="00F87809" w:rsidRDefault="00F87809" w:rsidP="00F87809">
            <w:r>
              <w:t>The legislative basis for the revised cost recovery arrangements was established through amendments passed in March 2023. Following this, the revised cost recovery model commenced on 1 July 2024.</w:t>
            </w:r>
          </w:p>
          <w:p w14:paraId="218913CD" w14:textId="509F55DC" w:rsidR="00F87809" w:rsidRDefault="00F87809" w:rsidP="00F87809">
            <w:r>
              <w:t xml:space="preserve">Under the revised model, sponsors pay a standard application fee for relevant PL applications. Additional fees are payable depending on the assessment pathway required for </w:t>
            </w:r>
            <w:r w:rsidR="00DE773C">
              <w:t xml:space="preserve">the </w:t>
            </w:r>
            <w:r>
              <w:t>product.</w:t>
            </w:r>
          </w:p>
          <w:p w14:paraId="2268AFF7" w14:textId="63E0A4CB" w:rsidR="00F87809" w:rsidRDefault="00F87809" w:rsidP="00F87809">
            <w:r>
              <w:t>The reforms also introduced an annual levy to recover PL administration costs that cannot be assigned to a specific sponsor or application. The levy is payable once each year for each relevant billing code that a sponsor has listed on the PL. It recovers costs associated with list management, PL administration and IT systems, and from 2025–26 also includes costs associated with compliance activities and post-listing reviews.</w:t>
            </w:r>
          </w:p>
          <w:p w14:paraId="28BDBAE6" w14:textId="5C56C5DB" w:rsidR="00335AE8" w:rsidRPr="00602824" w:rsidRDefault="00F87809" w:rsidP="003A3D2B">
            <w:r>
              <w:t>The first annual cost recovery levy was charged to sponsors for 2024–25 on 15 March 2025,</w:t>
            </w:r>
            <w:r w:rsidR="00370B14">
              <w:rPr>
                <w:rStyle w:val="FootnoteReference"/>
              </w:rPr>
              <w:footnoteReference w:id="133"/>
            </w:r>
            <w:r>
              <w:t xml:space="preserve"> later than originally anticipated.</w:t>
            </w:r>
            <w:r w:rsidR="00370B14" w:rsidRPr="00602824">
              <w:rPr>
                <w:rStyle w:val="FootnoteReference"/>
              </w:rPr>
              <w:footnoteReference w:id="134"/>
            </w:r>
            <w:r>
              <w:t xml:space="preserve"> For this first levy period, the levy was reduced to $150 per billing code because compliance and post-listing review costs for 2024–25 were funded through the reform process. The levy increased from 1 July 2025 to $355 per billing code, reflecting the inclusion of compliance activities, post-listing reviews and increased IT system costs in the levy base.</w:t>
            </w:r>
            <w:r w:rsidR="00453E86" w:rsidRPr="00602824">
              <w:rPr>
                <w:rStyle w:val="FootnoteReference"/>
              </w:rPr>
              <w:footnoteReference w:id="135"/>
            </w:r>
            <w:r w:rsidR="00B81BA3" w:rsidRPr="00602824">
              <w:t xml:space="preserve"> </w:t>
            </w:r>
          </w:p>
        </w:tc>
      </w:tr>
    </w:tbl>
    <w:p w14:paraId="1CA5CF88" w14:textId="225445A1" w:rsidR="00453E86" w:rsidRDefault="00453E86" w:rsidP="00453E86">
      <w:pPr>
        <w:pStyle w:val="Caption"/>
      </w:pPr>
      <w:r>
        <w:t xml:space="preserve">Figure </w:t>
      </w:r>
      <w:r>
        <w:fldChar w:fldCharType="begin"/>
      </w:r>
      <w:r>
        <w:instrText xml:space="preserve"> SEQ Figure \* ARABIC </w:instrText>
      </w:r>
      <w:r>
        <w:fldChar w:fldCharType="separate"/>
      </w:r>
      <w:r w:rsidR="0092693A">
        <w:rPr>
          <w:noProof/>
        </w:rPr>
        <w:t>31</w:t>
      </w:r>
      <w:r>
        <w:fldChar w:fldCharType="end"/>
      </w:r>
      <w:r>
        <w:t xml:space="preserve"> | Reform timeline of cost recovery</w:t>
      </w:r>
    </w:p>
    <w:p w14:paraId="15611580" w14:textId="73BF84A5" w:rsidR="00453E86" w:rsidRPr="00453E86" w:rsidRDefault="00453E86" w:rsidP="00453E86">
      <w:pPr>
        <w:rPr>
          <w:bCs/>
          <w:lang w:eastAsia="en-AU"/>
        </w:rPr>
      </w:pPr>
      <w:r>
        <w:rPr>
          <w:bCs/>
          <w:noProof/>
          <w:lang w:eastAsia="en-AU"/>
        </w:rPr>
        <w:drawing>
          <wp:inline distT="0" distB="0" distL="0" distR="0" wp14:anchorId="3CE4C475" wp14:editId="1797268A">
            <wp:extent cx="5834380" cy="4029710"/>
            <wp:effectExtent l="0" t="0" r="0" b="8890"/>
            <wp:docPr id="1189320353" name="Picture 2" descr="Timeline showing reform activities associated with the cost recovery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320353" name="Picture 2" descr="Timeline showing reform activities associated with the cost recovery project."/>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834380" cy="4029710"/>
                    </a:xfrm>
                    <a:prstGeom prst="rect">
                      <a:avLst/>
                    </a:prstGeom>
                    <a:noFill/>
                  </pic:spPr>
                </pic:pic>
              </a:graphicData>
            </a:graphic>
          </wp:inline>
        </w:drawing>
      </w:r>
    </w:p>
    <w:p w14:paraId="69EA3B6B" w14:textId="75FFA090" w:rsidR="008535A8" w:rsidRPr="00602824" w:rsidRDefault="008535A8" w:rsidP="00FB712C">
      <w:pPr>
        <w:pStyle w:val="Heading3"/>
        <w:spacing w:before="300"/>
      </w:pPr>
      <w:r w:rsidRPr="00602824">
        <w:t xml:space="preserve">Balancing </w:t>
      </w:r>
      <w:r w:rsidR="00453E86">
        <w:t>cost recovery and efficient PL administration remains challenging</w:t>
      </w:r>
    </w:p>
    <w:p w14:paraId="5A04B562" w14:textId="5F9794B1" w:rsidR="00D17F1C" w:rsidRDefault="00D17F1C" w:rsidP="008535A8">
      <w:r w:rsidRPr="00D17F1C">
        <w:t>The revised cost recovery arrangements have improved alignment between PL administration costs and the fees and levies charged to sponsors</w:t>
      </w:r>
      <w:r>
        <w:t xml:space="preserve">. </w:t>
      </w:r>
      <w:r w:rsidR="008535A8" w:rsidRPr="00602824">
        <w:t xml:space="preserve">As discussed in </w:t>
      </w:r>
      <w:r w:rsidR="008535A8" w:rsidRPr="00602824">
        <w:rPr>
          <w:i/>
        </w:rPr>
        <w:t xml:space="preserve">Interim </w:t>
      </w:r>
      <w:r w:rsidR="008535A8" w:rsidRPr="00602824">
        <w:rPr>
          <w:i/>
          <w:iCs/>
        </w:rPr>
        <w:t>Evaluation #</w:t>
      </w:r>
      <w:r w:rsidR="008535A8" w:rsidRPr="00602824">
        <w:rPr>
          <w:i/>
        </w:rPr>
        <w:t>1</w:t>
      </w:r>
      <w:r w:rsidR="008535A8" w:rsidRPr="00602824">
        <w:rPr>
          <w:i/>
          <w:iCs/>
        </w:rPr>
        <w:t xml:space="preserve"> report</w:t>
      </w:r>
      <w:r w:rsidR="008535A8" w:rsidRPr="00602824">
        <w:t xml:space="preserve">, </w:t>
      </w:r>
      <w:r w:rsidR="00C46973">
        <w:t>PL</w:t>
      </w:r>
      <w:r w:rsidRPr="00D17F1C">
        <w:t xml:space="preserve"> cost recovery arrangements had not been substantially updated since 2009. The previous arrangements did not align with the AGCF because they did not adequately reflect the scale and complexity of the Department’s PL administration activities.</w:t>
      </w:r>
      <w:r w:rsidR="00C46973" w:rsidRPr="00602824">
        <w:rPr>
          <w:rStyle w:val="FootnoteReference"/>
        </w:rPr>
        <w:footnoteReference w:id="136"/>
      </w:r>
    </w:p>
    <w:p w14:paraId="02FD0E1C" w14:textId="247DF84B" w:rsidR="00F95FE0" w:rsidRDefault="00F95FE0" w:rsidP="00F95FE0">
      <w:r>
        <w:t>The updated arrangements are intended to better recover the cost of administering the PL and support the financial sustainability of PL administration. However, achieving this balance remains challenging. Stakeholders, including departmental staff, expressed concern that the resources available to administer the PL remain inadequate and do not yet reflect efficient administration. At the same time, medical technology stakeholders raised concerns about increased fees and levies, particularly where increases are perceived to add cost without corresponding improvements in timeliness, transparency or administrative performance.</w:t>
      </w:r>
    </w:p>
    <w:p w14:paraId="12974699" w14:textId="74C2BDC3" w:rsidR="00F95FE0" w:rsidRDefault="00F95FE0" w:rsidP="00F95FE0">
      <w:r>
        <w:t>For 2025–26, the Department reviewed and updated fees and charges in line with expected costs. This included indexation of staffing costs</w:t>
      </w:r>
      <w:r w:rsidR="00493A7F">
        <w:t xml:space="preserve"> (3%)</w:t>
      </w:r>
      <w:r>
        <w:t>, as well as increases to Tier 2 and Tier 2a application fees to reflect higher committee costs and externally contracted HTA costs for economic evaluations</w:t>
      </w:r>
      <w:r w:rsidR="00176CCB">
        <w:t xml:space="preserve"> (between 6–33%)</w:t>
      </w:r>
      <w:r>
        <w:t>. The annual levy also increased from $150 to $355 per billing code from 1 July 2025, reflecting the inclusion of compliance activities, post-listing reviews and increased IT system costs.</w:t>
      </w:r>
      <w:r w:rsidR="00176CCB" w:rsidRPr="00602824">
        <w:rPr>
          <w:rStyle w:val="FootnoteReference"/>
        </w:rPr>
        <w:footnoteReference w:id="137"/>
      </w:r>
    </w:p>
    <w:p w14:paraId="7D9BE749" w14:textId="3A766228" w:rsidR="00F95FE0" w:rsidRDefault="00F95FE0" w:rsidP="00F95FE0">
      <w:r>
        <w:t xml:space="preserve">The cost recovery model will need to continue evolving as PL policy, activity levels and administrative costs change. </w:t>
      </w:r>
      <w:r w:rsidR="004D6252" w:rsidRPr="004D6252">
        <w:t>The Department commissioned an independent review of the Prescribed List cost recovery arrangements in July 2025</w:t>
      </w:r>
      <w:r w:rsidR="004D6252">
        <w:t xml:space="preserve">. </w:t>
      </w:r>
      <w:r w:rsidR="006A4D68">
        <w:t xml:space="preserve">The review had been completed by May 2026, with the Department considering the final report and its recommendations in </w:t>
      </w:r>
      <w:r w:rsidR="006B3BCE">
        <w:t>the context of cost recovery arrangements from 2027–28 onwards.</w:t>
      </w:r>
      <w:r w:rsidR="006B3BCE">
        <w:rPr>
          <w:rStyle w:val="FootnoteReference"/>
        </w:rPr>
        <w:footnoteReference w:id="138"/>
      </w:r>
      <w:r w:rsidR="006A4D68">
        <w:t xml:space="preserve"> </w:t>
      </w:r>
    </w:p>
    <w:p w14:paraId="0EBB7931" w14:textId="7601FF80" w:rsidR="00421EA8" w:rsidRPr="0031533D" w:rsidRDefault="009C4C9C" w:rsidP="00FB712C">
      <w:pPr>
        <w:pStyle w:val="Heading3"/>
        <w:spacing w:before="300"/>
      </w:pPr>
      <w:r>
        <w:t>Stakeholder emphasised that cost recovery should be balanced with access and administrative performance</w:t>
      </w:r>
    </w:p>
    <w:p w14:paraId="584CEEFD" w14:textId="18F623F5" w:rsidR="00D30B82" w:rsidRDefault="00D30B82" w:rsidP="00B96010">
      <w:r w:rsidRPr="00D30B82">
        <w:t>Stakeholders provided feedback on the perceived risks and impacts of the revised cost recovery arrangements. While stakeholders generally recognised the need for the Department to recover the costs of administering the PL, they emphasised that cost recovery should be balanced against broader policy objectives, including maintaining access to current and emerging medical devices, supporting smaller sponsors and improving the quality and timeliness of PL administration</w:t>
      </w:r>
      <w:r>
        <w:t>.</w:t>
      </w:r>
    </w:p>
    <w:p w14:paraId="0248CF9F" w14:textId="77777777" w:rsidR="00B44141" w:rsidRDefault="00B44141" w:rsidP="00B44141">
      <w:pPr>
        <w:pStyle w:val="Heading4"/>
      </w:pPr>
      <w:r w:rsidRPr="00B44141">
        <w:t>Cost recovery could affect access to current and emerging devices</w:t>
      </w:r>
    </w:p>
    <w:p w14:paraId="4A9DB223" w14:textId="19FBEA6B" w:rsidR="00943ACE" w:rsidRDefault="00943ACE" w:rsidP="00943ACE">
      <w:r>
        <w:t>Private hospitals and medical technology representatives raised concerns that increased cost recovery may unintentionally reduce access to devices in the private sector. Medical technology representatives expressed this concern most strongly, cautioning that further rapid increases in fees or levies may discourage sponsors from listing new devices or making necessary amendments to existing listings.</w:t>
      </w:r>
    </w:p>
    <w:p w14:paraId="4EA7C236" w14:textId="705CDAD1" w:rsidR="00CE06ED" w:rsidRDefault="00943ACE" w:rsidP="00943ACE">
      <w:r>
        <w:t>Private hospitals also noted that where sponsors face higher costs, these may flow through to hospitals. This was viewed as a particular risk for niche devices where there are limited or no alternative suppliers, leaving hospitals with limited ability to manage additional costs</w:t>
      </w:r>
      <w:r w:rsidR="00CE06ED" w:rsidRPr="00F04468">
        <w:t>.</w:t>
      </w:r>
    </w:p>
    <w:p w14:paraId="6D3FB850" w14:textId="59B773F6" w:rsidR="00E909A2" w:rsidRDefault="00943ACE" w:rsidP="00B44141">
      <w:pPr>
        <w:pStyle w:val="Heading4"/>
      </w:pPr>
      <w:r>
        <w:t>Smaller sponsors may be more affected by higher fees</w:t>
      </w:r>
    </w:p>
    <w:p w14:paraId="181A6910" w14:textId="1020ED56" w:rsidR="0046695D" w:rsidRDefault="0046695D" w:rsidP="0046695D">
      <w:pPr>
        <w:rPr>
          <w:lang w:eastAsia="en-AU"/>
        </w:rPr>
      </w:pPr>
      <w:r>
        <w:rPr>
          <w:lang w:eastAsia="en-AU"/>
        </w:rPr>
        <w:t>Medical technology representatives also highlighted that cost recovery may have uneven impacts across sponsors. They reported that increasing fees may place a disproportionate burden on smaller sponsors and Australian-based companies, particularly where sponsors have smaller portfolios or lower sales volumes.</w:t>
      </w:r>
    </w:p>
    <w:p w14:paraId="693D247B" w14:textId="26862896" w:rsidR="00CE06ED" w:rsidRDefault="0046695D" w:rsidP="0046695D">
      <w:r>
        <w:rPr>
          <w:lang w:eastAsia="en-AU"/>
        </w:rPr>
        <w:t>These stakeholders warned that higher fees may discourage new listings, delay amendments to existing billing codes and limit local innovation. Some stakeholders supported more targeted fee settings or relief mechanisms that take account of sponsor size and capacity, although this was not supported by all industry representatives</w:t>
      </w:r>
      <w:r w:rsidR="00CE06ED" w:rsidRPr="00755E75">
        <w:t>.</w:t>
      </w:r>
    </w:p>
    <w:p w14:paraId="115429DD" w14:textId="77777777" w:rsidR="0046695D" w:rsidRDefault="0046695D" w:rsidP="0046695D">
      <w:pPr>
        <w:pStyle w:val="Heading4"/>
      </w:pPr>
      <w:r w:rsidRPr="0046695D">
        <w:t>Higher charges have increased expectations for administrative performance</w:t>
      </w:r>
    </w:p>
    <w:p w14:paraId="277A7766" w14:textId="4E46E948" w:rsidR="00640F6E" w:rsidRDefault="00640F6E" w:rsidP="00640F6E">
      <w:r>
        <w:t>Stakeholders also emphasised that higher cost recovery charges should be matched by improvements in the quality, timeliness and reliability of PL administration. Private hospitals reported dissatisfaction with delays in publication of the list and errors that can disrupt claims processing and cash flow. They also suggested that the Department appears to remain under-resourced, particularly during critical periods in the PL cycle.</w:t>
      </w:r>
    </w:p>
    <w:p w14:paraId="00E4CE0B" w14:textId="63E65713" w:rsidR="00132FC1" w:rsidRDefault="00640F6E" w:rsidP="00640F6E">
      <w:r>
        <w:t>Medical technology representatives similarly argued that increased cost recovery should be accompanied by clearer service expectations and improved administrative performance. From their perspective, higher fees and levies are more difficult to accept where sponsors do not see corresponding improvements in timeliness, transparency or consistency</w:t>
      </w:r>
      <w:r w:rsidR="00782317">
        <w:t xml:space="preserve">. </w:t>
      </w:r>
    </w:p>
    <w:p w14:paraId="496C5EB6" w14:textId="227CCE1E" w:rsidR="00132FC1" w:rsidRDefault="00640F6E" w:rsidP="00B44141">
      <w:pPr>
        <w:pStyle w:val="Heading4"/>
      </w:pPr>
      <w:r w:rsidRPr="00640F6E">
        <w:t>Private health insurers questioned the long-term sustainability of the PL model</w:t>
      </w:r>
    </w:p>
    <w:p w14:paraId="2201275A" w14:textId="6F43D84A" w:rsidR="00413662" w:rsidRDefault="00413662" w:rsidP="00413662">
      <w:pPr>
        <w:rPr>
          <w:lang w:eastAsia="en-AU"/>
        </w:rPr>
      </w:pPr>
      <w:r>
        <w:rPr>
          <w:lang w:eastAsia="en-AU"/>
        </w:rPr>
        <w:t>Private health insurers raised a broader concern that cost recovery does not address what they consider to be the underlying sustainability challenge of the PL. They argued that a shift away from the PL towards DRG-based or bundled payments would provide a more sustainable approach than maintaining a list-based system supported by cost recovery.</w:t>
      </w:r>
    </w:p>
    <w:p w14:paraId="733BF8A8" w14:textId="54D00288" w:rsidR="00DD71BF" w:rsidRPr="00DD71BF" w:rsidRDefault="00413662" w:rsidP="00DD71BF">
      <w:pPr>
        <w:rPr>
          <w:lang w:eastAsia="en-AU"/>
        </w:rPr>
      </w:pPr>
      <w:r>
        <w:rPr>
          <w:lang w:eastAsia="en-AU"/>
        </w:rPr>
        <w:t xml:space="preserve">In their view, this would reduce the administrative burden associated with maintaining the PL and allow departmental resources to be redirected towards HTA and assessment of new technologies. This position was not shared by all </w:t>
      </w:r>
      <w:proofErr w:type="gramStart"/>
      <w:r>
        <w:rPr>
          <w:lang w:eastAsia="en-AU"/>
        </w:rPr>
        <w:t>stakeholders, and</w:t>
      </w:r>
      <w:proofErr w:type="gramEnd"/>
      <w:r>
        <w:rPr>
          <w:lang w:eastAsia="en-AU"/>
        </w:rPr>
        <w:t xml:space="preserve"> reflects a broader policy question about the future role and design of the PL rather than the cost recovery model alone</w:t>
      </w:r>
      <w:r w:rsidR="00945230">
        <w:rPr>
          <w:lang w:eastAsia="en-AU"/>
        </w:rPr>
        <w:t xml:space="preserve">. </w:t>
      </w:r>
    </w:p>
    <w:p w14:paraId="43F0F8F4" w14:textId="53BC352B" w:rsidR="00AE4B7C" w:rsidRPr="00602824" w:rsidRDefault="00CE512B" w:rsidP="00AE4B7C">
      <w:pPr>
        <w:pStyle w:val="xAppendixLevel1"/>
      </w:pPr>
      <w:bookmarkStart w:id="83" w:name="_Ref202373269"/>
      <w:bookmarkStart w:id="84" w:name="_Toc237002811"/>
      <w:r w:rsidRPr="00602824">
        <w:t>Methodology</w:t>
      </w:r>
      <w:bookmarkEnd w:id="83"/>
      <w:bookmarkEnd w:id="84"/>
    </w:p>
    <w:p w14:paraId="59985CAF" w14:textId="26ED7A69" w:rsidR="00CE512B" w:rsidRPr="00602824" w:rsidRDefault="00CE512B" w:rsidP="00CE512B">
      <w:pPr>
        <w:pStyle w:val="xAppendixLevel2"/>
      </w:pPr>
      <w:bookmarkStart w:id="85" w:name="_Toc181405102"/>
      <w:bookmarkStart w:id="86" w:name="_Toc237002812"/>
      <w:r w:rsidRPr="00602824">
        <w:t xml:space="preserve">Purpose </w:t>
      </w:r>
      <w:bookmarkEnd w:id="85"/>
      <w:r w:rsidR="00883114">
        <w:t>of the evaluation</w:t>
      </w:r>
      <w:bookmarkEnd w:id="86"/>
      <w:r w:rsidRPr="00602824">
        <w:t> </w:t>
      </w:r>
    </w:p>
    <w:p w14:paraId="45289644" w14:textId="21506519" w:rsidR="00CE512B" w:rsidRPr="00602824" w:rsidRDefault="00CE512B" w:rsidP="003F7B2B">
      <w:pPr>
        <w:pStyle w:val="xAppendixLevel3"/>
      </w:pPr>
      <w:r w:rsidRPr="00602824">
        <w:t xml:space="preserve">The evaluation </w:t>
      </w:r>
      <w:r w:rsidR="00E63E5F" w:rsidRPr="00DF67FC">
        <w:t>sought</w:t>
      </w:r>
      <w:r w:rsidRPr="00602824">
        <w:t xml:space="preserve"> to understand the extent to which PL reform activities have delivered the objectives of the reform </w:t>
      </w:r>
    </w:p>
    <w:p w14:paraId="0A9F2DF3" w14:textId="6981086A" w:rsidR="00ED599F" w:rsidRPr="00ED599F" w:rsidRDefault="00ED599F" w:rsidP="00612B14">
      <w:r w:rsidRPr="00ED599F">
        <w:t xml:space="preserve">The purpose of </w:t>
      </w:r>
      <w:r w:rsidR="00612B14">
        <w:t>this</w:t>
      </w:r>
      <w:r w:rsidRPr="00ED599F">
        <w:t xml:space="preserve"> evaluation was to understand the extent to which PL reform activities </w:t>
      </w:r>
      <w:r w:rsidR="00F427C0">
        <w:t>fulfilled</w:t>
      </w:r>
      <w:r w:rsidRPr="00ED599F">
        <w:t xml:space="preserve"> the</w:t>
      </w:r>
      <w:r w:rsidR="00612B14">
        <w:t>ir</w:t>
      </w:r>
      <w:r w:rsidR="00BA4DFA">
        <w:t xml:space="preserve"> intended</w:t>
      </w:r>
      <w:r w:rsidRPr="00ED599F">
        <w:t xml:space="preserve"> objectives and to provide formative insight into their delivery. </w:t>
      </w:r>
      <w:r w:rsidR="00883114">
        <w:t xml:space="preserve">This evaluation aimed to: </w:t>
      </w:r>
    </w:p>
    <w:p w14:paraId="594CD2FD" w14:textId="77777777" w:rsidR="00612B14" w:rsidRPr="00612B14" w:rsidRDefault="00612B14" w:rsidP="00C43175">
      <w:pPr>
        <w:pStyle w:val="ListBullet"/>
      </w:pPr>
      <w:r w:rsidRPr="00612B14">
        <w:t>Document the implementation of PL reform activities, including enabling and constraining factors, and assess the degree to which the PL reform was implemented as intended.</w:t>
      </w:r>
    </w:p>
    <w:p w14:paraId="2666693E" w14:textId="77777777" w:rsidR="00612B14" w:rsidRPr="00612B14" w:rsidRDefault="00612B14" w:rsidP="00C43175">
      <w:pPr>
        <w:pStyle w:val="ListBullet"/>
      </w:pPr>
      <w:r w:rsidRPr="00612B14">
        <w:t>Determine whether PL reform activities were achieving their intended objectives and, where possible, indicate the extent to which the desired outcomes had been achieved.</w:t>
      </w:r>
    </w:p>
    <w:p w14:paraId="356E7476" w14:textId="77777777" w:rsidR="00612B14" w:rsidRPr="00612B14" w:rsidRDefault="00612B14" w:rsidP="00C43175">
      <w:pPr>
        <w:pStyle w:val="ListBullet"/>
      </w:pPr>
      <w:r w:rsidRPr="00612B14">
        <w:t>Identify unintended consequences of reform activities and provide insight into how negative unintended consequences could be mitigated.</w:t>
      </w:r>
    </w:p>
    <w:p w14:paraId="7696B815" w14:textId="77777777" w:rsidR="00612B14" w:rsidRPr="00612B14" w:rsidRDefault="00612B14" w:rsidP="00C43175">
      <w:pPr>
        <w:pStyle w:val="ListBullet"/>
      </w:pPr>
      <w:bookmarkStart w:id="87" w:name="_Ref172225544"/>
      <w:bookmarkStart w:id="88" w:name="_Toc181405103"/>
      <w:r w:rsidRPr="00612B14">
        <w:t>Provide ongoing insight into additional activities to support the objectives of the program and findings to inform the future direction of PL management.</w:t>
      </w:r>
    </w:p>
    <w:p w14:paraId="221888B5" w14:textId="77777777" w:rsidR="00CE512B" w:rsidRPr="00602824" w:rsidRDefault="00CE512B" w:rsidP="00CE512B">
      <w:pPr>
        <w:pStyle w:val="xAppendixLevel2"/>
      </w:pPr>
      <w:bookmarkStart w:id="89" w:name="_Ref237001349"/>
      <w:bookmarkStart w:id="90" w:name="_Toc237002813"/>
      <w:r w:rsidRPr="00602824">
        <w:t>Evaluation plan and theory of change</w:t>
      </w:r>
      <w:bookmarkEnd w:id="87"/>
      <w:bookmarkEnd w:id="88"/>
      <w:bookmarkEnd w:id="89"/>
      <w:bookmarkEnd w:id="90"/>
    </w:p>
    <w:p w14:paraId="22415CA6" w14:textId="77777777" w:rsidR="00CE512B" w:rsidRPr="00602824" w:rsidRDefault="00CE512B" w:rsidP="003F7B2B">
      <w:pPr>
        <w:pStyle w:val="xAppendixLevel3"/>
      </w:pPr>
      <w:r w:rsidRPr="00602824">
        <w:t xml:space="preserve">Nous planned the PL </w:t>
      </w:r>
      <w:r w:rsidRPr="00DF67FC">
        <w:t>evaluation</w:t>
      </w:r>
      <w:r w:rsidRPr="00602824">
        <w:t xml:space="preserve"> using the Department’s framework</w:t>
      </w:r>
    </w:p>
    <w:p w14:paraId="0442B2D1" w14:textId="77777777" w:rsidR="00ED4DDD" w:rsidRPr="00ED4DDD" w:rsidRDefault="00ED4DDD" w:rsidP="00ED4DDD">
      <w:pPr>
        <w:rPr>
          <w:lang w:eastAsia="en-AU"/>
        </w:rPr>
      </w:pPr>
      <w:r w:rsidRPr="00ED4DDD">
        <w:rPr>
          <w:lang w:eastAsia="en-AU"/>
        </w:rPr>
        <w:t>The Department established the Prostheses List Evaluation Framework in 2021 to inform a consistent monitoring and evaluation approach that was applicable from the conceptualisation of the PL reforms through to their implementation and beyond. Nous was commissioned to evaluate the PL reforms using the evaluation framework. Nous independently reviewed the Department’s evaluation framework, and the evaluation team was satisfied that it outlined an appropriate structure by which the reforms should be evaluated.</w:t>
      </w:r>
    </w:p>
    <w:p w14:paraId="2D75CEA3" w14:textId="2772038F" w:rsidR="003E02E2" w:rsidRPr="003E02E2" w:rsidRDefault="003E02E2" w:rsidP="003E02E2">
      <w:pPr>
        <w:rPr>
          <w:lang w:eastAsia="en-AU"/>
        </w:rPr>
      </w:pPr>
      <w:r w:rsidRPr="003E02E2">
        <w:rPr>
          <w:lang w:eastAsia="en-AU"/>
        </w:rPr>
        <w:t>Nous delivered its evaluation plan to the Department on 14 August 2023, detailing the evaluation context, objectives, approach, methodology, and project plan. This is summarised in the sub</w:t>
      </w:r>
      <w:r w:rsidRPr="003E02E2">
        <w:rPr>
          <w:lang w:eastAsia="en-AU"/>
        </w:rPr>
        <w:noBreakHyphen/>
        <w:t>sections below. The evaluation plan maintained the Framework’s overarching program logic and key evaluation questions (KEQs), while developing an explicit theory of change and including its own evaluation activities, sub</w:t>
      </w:r>
      <w:r w:rsidRPr="003E02E2">
        <w:rPr>
          <w:lang w:eastAsia="en-AU"/>
        </w:rPr>
        <w:noBreakHyphen/>
        <w:t>research questions, indicators, and measures.</w:t>
      </w:r>
    </w:p>
    <w:p w14:paraId="4C4E3630" w14:textId="21B1D815" w:rsidR="00CE512B" w:rsidRPr="00602824" w:rsidRDefault="00CE512B" w:rsidP="003F7B2B">
      <w:pPr>
        <w:pStyle w:val="xAppendixLevel3"/>
      </w:pPr>
      <w:r w:rsidRPr="00602824">
        <w:t>The program logic and theory of change outline the reasoning between completion of evaluation activities and measurable changes in outcomes</w:t>
      </w:r>
    </w:p>
    <w:p w14:paraId="0D4A4AEC" w14:textId="77777777" w:rsidR="003E02E2" w:rsidRPr="003E02E2" w:rsidRDefault="003E02E2" w:rsidP="003E02E2">
      <w:pPr>
        <w:rPr>
          <w:lang w:eastAsia="en-AU"/>
        </w:rPr>
      </w:pPr>
      <w:r w:rsidRPr="003E02E2">
        <w:rPr>
          <w:lang w:eastAsia="en-AU"/>
        </w:rPr>
        <w:t>The Federal Government allocated $22 million and provided additional resources, including the establishment of the Prescribed List Taskforce within the Department, to drive the successful implementation of the reform program. The reform utilised various inputs such as PL data, reference pricing, clinical data, technological systems, and existing research, which supported a series of targeted activities designed to refine documentation, engage stakeholders, enhance systems, and create a robust monitoring and evaluation framework.</w:t>
      </w:r>
    </w:p>
    <w:p w14:paraId="5A81AEE6" w14:textId="6FFF911D" w:rsidR="00CE512B" w:rsidRPr="00602824" w:rsidRDefault="00477070" w:rsidP="00CE512B">
      <w:pPr>
        <w:rPr>
          <w:lang w:eastAsia="en-AU"/>
        </w:rPr>
      </w:pPr>
      <w:r>
        <w:rPr>
          <w:lang w:eastAsia="en-AU"/>
        </w:rPr>
        <w:t>Reform projects and a</w:t>
      </w:r>
      <w:r w:rsidRPr="00477070">
        <w:rPr>
          <w:lang w:eastAsia="en-AU"/>
        </w:rPr>
        <w:t>ctivities were expected to lead to distinct outcomes in the short term (e.g. reduced pricing disparities, legislative clarity, streamlined processes), medium term (e.g. improved compliance activities, transparent administration), and long term (e.g. better access to cost</w:t>
      </w:r>
      <w:r w:rsidRPr="00477070">
        <w:rPr>
          <w:lang w:eastAsia="en-AU"/>
        </w:rPr>
        <w:noBreakHyphen/>
        <w:t xml:space="preserve">effective prostheses, more affordable private health insurance). </w:t>
      </w:r>
      <w:r w:rsidR="00CE512B" w:rsidRPr="00602824">
        <w:rPr>
          <w:lang w:eastAsia="en-AU"/>
        </w:rPr>
        <w:t xml:space="preserve">The program logic diagram depicted in </w:t>
      </w:r>
      <w:r w:rsidR="00CE512B" w:rsidRPr="00602824">
        <w:rPr>
          <w:lang w:eastAsia="en-AU"/>
        </w:rPr>
        <w:fldChar w:fldCharType="begin"/>
      </w:r>
      <w:r w:rsidR="00CE512B" w:rsidRPr="00602824">
        <w:rPr>
          <w:lang w:eastAsia="en-AU"/>
        </w:rPr>
        <w:instrText xml:space="preserve"> REF _Ref142000480 \h </w:instrText>
      </w:r>
      <w:r w:rsidR="00CE512B" w:rsidRPr="00602824">
        <w:rPr>
          <w:lang w:eastAsia="en-AU"/>
        </w:rPr>
      </w:r>
      <w:r w:rsidR="00CE512B" w:rsidRPr="00602824">
        <w:rPr>
          <w:lang w:eastAsia="en-AU"/>
        </w:rPr>
        <w:fldChar w:fldCharType="separate"/>
      </w:r>
      <w:r w:rsidR="0092693A" w:rsidRPr="00602824">
        <w:t xml:space="preserve">Figure </w:t>
      </w:r>
      <w:r w:rsidR="0092693A">
        <w:rPr>
          <w:noProof/>
        </w:rPr>
        <w:t>32</w:t>
      </w:r>
      <w:r w:rsidR="00CE512B" w:rsidRPr="00602824">
        <w:rPr>
          <w:lang w:eastAsia="en-AU"/>
        </w:rPr>
        <w:fldChar w:fldCharType="end"/>
      </w:r>
      <w:r w:rsidR="00CE512B" w:rsidRPr="00602824">
        <w:rPr>
          <w:lang w:eastAsia="en-AU"/>
        </w:rPr>
        <w:t xml:space="preserve"> provides a summary of the reform program as described above</w:t>
      </w:r>
    </w:p>
    <w:p w14:paraId="689BB6FA" w14:textId="77777777" w:rsidR="0038665F" w:rsidRDefault="00CE512B" w:rsidP="00CE512B">
      <w:pPr>
        <w:rPr>
          <w:lang w:eastAsia="en-AU"/>
        </w:rPr>
      </w:pPr>
      <w:r w:rsidRPr="00602824">
        <w:rPr>
          <w:lang w:eastAsia="en-AU"/>
        </w:rPr>
        <w:t xml:space="preserve">The theory of change posits that cost reduction in PL-listed items and PL administration will translate into better value for the public, with no adverse effects on patients' clinical outcomes, aligning spending on more valuable initiatives and improving value-for-money in private health cover. </w:t>
      </w:r>
    </w:p>
    <w:p w14:paraId="3C1F85E5" w14:textId="4A6DE880" w:rsidR="00CE512B" w:rsidRPr="00602824" w:rsidRDefault="00CE512B" w:rsidP="00CE512B">
      <w:pPr>
        <w:rPr>
          <w:lang w:eastAsia="en-AU"/>
        </w:rPr>
      </w:pPr>
      <w:r w:rsidRPr="00602824">
        <w:rPr>
          <w:lang w:eastAsia="en-AU"/>
        </w:rPr>
        <w:t xml:space="preserve">The activities, outcomes, and long-term objectives of the reform </w:t>
      </w:r>
      <w:r w:rsidR="007C3B0F">
        <w:rPr>
          <w:lang w:eastAsia="en-AU"/>
        </w:rPr>
        <w:t>were</w:t>
      </w:r>
      <w:r w:rsidRPr="00602824">
        <w:rPr>
          <w:lang w:eastAsia="en-AU"/>
        </w:rPr>
        <w:t xml:space="preserve"> linked causally, with these relationships detailed in the causal logic diagram in </w:t>
      </w:r>
      <w:r w:rsidRPr="00602824">
        <w:rPr>
          <w:lang w:eastAsia="en-AU"/>
        </w:rPr>
        <w:fldChar w:fldCharType="begin"/>
      </w:r>
      <w:r w:rsidRPr="00602824">
        <w:rPr>
          <w:lang w:eastAsia="en-AU"/>
        </w:rPr>
        <w:instrText xml:space="preserve"> REF _Ref142000496 \h </w:instrText>
      </w:r>
      <w:r w:rsidRPr="00602824">
        <w:rPr>
          <w:lang w:eastAsia="en-AU"/>
        </w:rPr>
      </w:r>
      <w:r w:rsidRPr="00602824">
        <w:rPr>
          <w:lang w:eastAsia="en-AU"/>
        </w:rPr>
        <w:fldChar w:fldCharType="separate"/>
      </w:r>
      <w:r w:rsidR="0092693A" w:rsidRPr="00602824">
        <w:t xml:space="preserve">Figure </w:t>
      </w:r>
      <w:r w:rsidR="0092693A">
        <w:rPr>
          <w:noProof/>
        </w:rPr>
        <w:t>33</w:t>
      </w:r>
      <w:r w:rsidRPr="00602824">
        <w:rPr>
          <w:lang w:eastAsia="en-AU"/>
        </w:rPr>
        <w:fldChar w:fldCharType="end"/>
      </w:r>
      <w:r w:rsidRPr="00602824">
        <w:rPr>
          <w:lang w:eastAsia="en-AU"/>
        </w:rPr>
        <w:t xml:space="preserve"> and encapsulated within </w:t>
      </w:r>
      <w:r w:rsidR="00365C46">
        <w:rPr>
          <w:lang w:eastAsia="en-AU"/>
        </w:rPr>
        <w:t>a</w:t>
      </w:r>
      <w:r w:rsidRPr="00602824">
        <w:rPr>
          <w:lang w:eastAsia="en-AU"/>
        </w:rPr>
        <w:t xml:space="preserve"> broader theory of change: </w:t>
      </w:r>
    </w:p>
    <w:p w14:paraId="206081F4" w14:textId="77777777" w:rsidR="00CE512B" w:rsidRPr="00DA2426" w:rsidRDefault="00CE512B" w:rsidP="00DA2426">
      <w:pPr>
        <w:rPr>
          <w:rStyle w:val="IntenseEmphasis"/>
        </w:rPr>
      </w:pPr>
      <w:r w:rsidRPr="00DA2426">
        <w:rPr>
          <w:rStyle w:val="IntenseEmphasis"/>
        </w:rPr>
        <w:t>If costs associated with the purchase of PL-listed items and with the administration of the PL are reduced, then this value will be passed to the public in the form of improved allocation of tax revenue to other valuable initiatives, reduced private health insurance premiums, or otherwise improved value-for-money in private health insurance. These cost reductions can be achieved without any negative impacts to consumers and their clinical outcomes.</w:t>
      </w:r>
    </w:p>
    <w:p w14:paraId="043B109B" w14:textId="77777777" w:rsidR="00CE512B" w:rsidRPr="00602824" w:rsidRDefault="00CE512B" w:rsidP="00CE512B">
      <w:pPr>
        <w:sectPr w:rsidR="00CE512B" w:rsidRPr="00602824" w:rsidSect="00EC455E">
          <w:headerReference w:type="default" r:id="rId55"/>
          <w:pgSz w:w="11907" w:h="16839" w:code="9"/>
          <w:pgMar w:top="1247" w:right="1361" w:bottom="1361" w:left="1361" w:header="720" w:footer="720" w:gutter="0"/>
          <w:cols w:space="720"/>
          <w:docGrid w:linePitch="360"/>
        </w:sectPr>
      </w:pPr>
    </w:p>
    <w:p w14:paraId="36DA8485" w14:textId="79D73BDA" w:rsidR="00CE512B" w:rsidRPr="00602824" w:rsidRDefault="00CE512B" w:rsidP="00FB712C">
      <w:pPr>
        <w:pStyle w:val="Caption"/>
        <w:spacing w:before="0"/>
        <w:rPr>
          <w:lang w:eastAsia="en-AU"/>
        </w:rPr>
      </w:pPr>
      <w:bookmarkStart w:id="91" w:name="_Ref142000480"/>
      <w:r w:rsidRPr="00602824">
        <w:t xml:space="preserve">Figure </w:t>
      </w:r>
      <w:r w:rsidR="005539DD">
        <w:fldChar w:fldCharType="begin"/>
      </w:r>
      <w:r w:rsidR="005539DD">
        <w:instrText xml:space="preserve"> SEQ Figure \* ARABIC </w:instrText>
      </w:r>
      <w:r w:rsidR="005539DD">
        <w:fldChar w:fldCharType="separate"/>
      </w:r>
      <w:r w:rsidR="0092693A">
        <w:rPr>
          <w:noProof/>
        </w:rPr>
        <w:t>32</w:t>
      </w:r>
      <w:r w:rsidR="005539DD">
        <w:fldChar w:fldCharType="end"/>
      </w:r>
      <w:bookmarkEnd w:id="91"/>
      <w:r w:rsidRPr="00602824">
        <w:rPr>
          <w:lang w:eastAsia="en-AU"/>
        </w:rPr>
        <w:t xml:space="preserve"> | Prescribed List Reform Program Logic</w:t>
      </w:r>
    </w:p>
    <w:p w14:paraId="781AA7C6" w14:textId="77777777" w:rsidR="00CE512B" w:rsidRPr="00602824" w:rsidRDefault="00CE512B" w:rsidP="00CE512B">
      <w:pPr>
        <w:rPr>
          <w:lang w:eastAsia="en-AU"/>
        </w:rPr>
      </w:pPr>
      <w:r w:rsidRPr="00AC7E3F">
        <w:rPr>
          <w:noProof/>
          <w:lang w:eastAsia="en-AU"/>
        </w:rPr>
        <w:drawing>
          <wp:inline distT="0" distB="0" distL="0" distR="0" wp14:anchorId="2C6F871E" wp14:editId="4175C4E5">
            <wp:extent cx="9000000" cy="5427602"/>
            <wp:effectExtent l="0" t="0" r="0" b="1905"/>
            <wp:docPr id="54" name="Picture 54" descr="A figure of the Prescribed List Reform program logic. The figure has a theory of change, descriptions under program logic categories, and the objectives of the re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A figure of the Prescribed List Reform program logic. The figure has a theory of change, descriptions under program logic categories, and the objectives of the reform."/>
                    <pic:cNvPicPr/>
                  </pic:nvPicPr>
                  <pic:blipFill>
                    <a:blip r:embed="rId56" cstate="print">
                      <a:extLst>
                        <a:ext uri="{28A0092B-C50C-407E-A947-70E740481C1C}">
                          <a14:useLocalDpi xmlns:a14="http://schemas.microsoft.com/office/drawing/2010/main" val="0"/>
                        </a:ext>
                      </a:extLst>
                    </a:blip>
                    <a:stretch>
                      <a:fillRect/>
                    </a:stretch>
                  </pic:blipFill>
                  <pic:spPr>
                    <a:xfrm>
                      <a:off x="0" y="0"/>
                      <a:ext cx="9000000" cy="5427602"/>
                    </a:xfrm>
                    <a:prstGeom prst="rect">
                      <a:avLst/>
                    </a:prstGeom>
                  </pic:spPr>
                </pic:pic>
              </a:graphicData>
            </a:graphic>
          </wp:inline>
        </w:drawing>
      </w:r>
    </w:p>
    <w:p w14:paraId="222A05C7" w14:textId="39608A8D" w:rsidR="00CE512B" w:rsidRPr="00602824" w:rsidRDefault="00CE512B" w:rsidP="00B50EE7">
      <w:pPr>
        <w:pStyle w:val="Caption"/>
        <w:rPr>
          <w:lang w:eastAsia="en-AU"/>
        </w:rPr>
      </w:pPr>
      <w:bookmarkStart w:id="92" w:name="_Ref142000496"/>
      <w:r w:rsidRPr="00602824">
        <w:t xml:space="preserve">Figure </w:t>
      </w:r>
      <w:r w:rsidR="005539DD">
        <w:fldChar w:fldCharType="begin"/>
      </w:r>
      <w:r w:rsidR="005539DD">
        <w:instrText xml:space="preserve"> SEQ Figure \* ARABIC </w:instrText>
      </w:r>
      <w:r w:rsidR="005539DD">
        <w:fldChar w:fldCharType="separate"/>
      </w:r>
      <w:r w:rsidR="0092693A">
        <w:rPr>
          <w:noProof/>
        </w:rPr>
        <w:t>33</w:t>
      </w:r>
      <w:r w:rsidR="005539DD">
        <w:fldChar w:fldCharType="end"/>
      </w:r>
      <w:bookmarkEnd w:id="92"/>
      <w:r w:rsidRPr="00602824">
        <w:t xml:space="preserve"> </w:t>
      </w:r>
      <w:r w:rsidRPr="00602824">
        <w:rPr>
          <w:lang w:eastAsia="en-AU"/>
        </w:rPr>
        <w:t>| Causal logic diagram</w:t>
      </w:r>
    </w:p>
    <w:p w14:paraId="2FDE0EC9" w14:textId="2DDE8C3B" w:rsidR="00CE512B" w:rsidRPr="00602824" w:rsidRDefault="007E3C16" w:rsidP="00CE512B">
      <w:pPr>
        <w:rPr>
          <w:lang w:eastAsia="en-AU"/>
        </w:rPr>
      </w:pPr>
      <w:r w:rsidRPr="00AC7E3F">
        <w:rPr>
          <w:noProof/>
          <w:lang w:eastAsia="en-AU"/>
        </w:rPr>
        <w:drawing>
          <wp:inline distT="0" distB="0" distL="0" distR="0" wp14:anchorId="4DB67B4A" wp14:editId="58CB5E3B">
            <wp:extent cx="9000000" cy="5469519"/>
            <wp:effectExtent l="0" t="0" r="0" b="0"/>
            <wp:docPr id="55" name="Picture 55" descr="A diagram showing causal logic from activity to immediate outcomes to secondary outcomes to impacts. The objectives of the reform are inclu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A diagram showing causal logic from activity to immediate outcomes to secondary outcomes to impacts. The objectives of the reform are included."/>
                    <pic:cNvPicPr/>
                  </pic:nvPicPr>
                  <pic:blipFill>
                    <a:blip r:embed="rId57" cstate="print">
                      <a:extLst>
                        <a:ext uri="{28A0092B-C50C-407E-A947-70E740481C1C}">
                          <a14:useLocalDpi xmlns:a14="http://schemas.microsoft.com/office/drawing/2010/main" val="0"/>
                        </a:ext>
                      </a:extLst>
                    </a:blip>
                    <a:stretch>
                      <a:fillRect/>
                    </a:stretch>
                  </pic:blipFill>
                  <pic:spPr>
                    <a:xfrm>
                      <a:off x="0" y="0"/>
                      <a:ext cx="9000000" cy="5469519"/>
                    </a:xfrm>
                    <a:prstGeom prst="rect">
                      <a:avLst/>
                    </a:prstGeom>
                  </pic:spPr>
                </pic:pic>
              </a:graphicData>
            </a:graphic>
          </wp:inline>
        </w:drawing>
      </w:r>
    </w:p>
    <w:p w14:paraId="5034D68C" w14:textId="77777777" w:rsidR="00CE512B" w:rsidRPr="00602824" w:rsidRDefault="00CE512B" w:rsidP="00CE512B">
      <w:pPr>
        <w:rPr>
          <w:lang w:eastAsia="en-AU"/>
        </w:rPr>
        <w:sectPr w:rsidR="00CE512B" w:rsidRPr="00602824" w:rsidSect="00CF640B">
          <w:pgSz w:w="16839" w:h="11907" w:orient="landscape" w:code="9"/>
          <w:pgMar w:top="1134" w:right="1361" w:bottom="1247" w:left="1361" w:header="720" w:footer="720" w:gutter="0"/>
          <w:cols w:space="720"/>
          <w:docGrid w:linePitch="360"/>
        </w:sectPr>
      </w:pPr>
    </w:p>
    <w:p w14:paraId="1A8402C5" w14:textId="15233E65" w:rsidR="00CE512B" w:rsidRPr="00602824" w:rsidRDefault="00CE512B" w:rsidP="003F7B2B">
      <w:pPr>
        <w:pStyle w:val="xAppendixLevel3"/>
      </w:pPr>
      <w:r w:rsidRPr="00602824">
        <w:t xml:space="preserve">The scope of this evaluation </w:t>
      </w:r>
      <w:r w:rsidR="000F002B">
        <w:t>was</w:t>
      </w:r>
      <w:r w:rsidRPr="00602824">
        <w:t xml:space="preserve"> informed by both a formative and summative evaluation approach </w:t>
      </w:r>
    </w:p>
    <w:p w14:paraId="342DCCFA" w14:textId="46377886" w:rsidR="00642A90" w:rsidRPr="00642A90" w:rsidRDefault="00642A90" w:rsidP="00642A90">
      <w:r w:rsidRPr="00642A90">
        <w:t>The evaluation consisted of three components; a baseline report, interim reports, and a final report. Each of the reports that the evaluation produced had a distinct purpose</w:t>
      </w:r>
      <w:r w:rsidRPr="005F1265">
        <w:t>:</w:t>
      </w:r>
    </w:p>
    <w:p w14:paraId="12FBD9F4" w14:textId="77777777" w:rsidR="005F1265" w:rsidRPr="00C43175" w:rsidRDefault="00CF4AD9" w:rsidP="00C43175">
      <w:pPr>
        <w:pStyle w:val="ListBullet"/>
      </w:pPr>
      <w:r w:rsidRPr="00C43175">
        <w:rPr>
          <w:rStyle w:val="Strong"/>
        </w:rPr>
        <w:t>Baseline report</w:t>
      </w:r>
      <w:r w:rsidRPr="00C43175">
        <w:t xml:space="preserve">: </w:t>
      </w:r>
      <w:r w:rsidR="005F1265" w:rsidRPr="00C43175">
        <w:t>The baseline report established the foundation for evaluating the PL reforms by outlining the rationale and objectives of the reform program and providing qualitative and quantitative baseline information, including how progress and outcomes would be monitored over the evaluation period.</w:t>
      </w:r>
    </w:p>
    <w:p w14:paraId="460FF94D" w14:textId="1CC37F6A" w:rsidR="00B21B28" w:rsidRPr="00C43175" w:rsidRDefault="00B21B28" w:rsidP="00C43175">
      <w:pPr>
        <w:pStyle w:val="ListBullet"/>
      </w:pPr>
      <w:r w:rsidRPr="00C43175">
        <w:rPr>
          <w:rStyle w:val="Strong"/>
        </w:rPr>
        <w:t>I</w:t>
      </w:r>
      <w:r w:rsidR="00CF4AD9" w:rsidRPr="00C43175">
        <w:rPr>
          <w:rStyle w:val="Strong"/>
        </w:rPr>
        <w:t xml:space="preserve">nterim </w:t>
      </w:r>
      <w:r w:rsidR="00BE268E" w:rsidRPr="00C43175">
        <w:rPr>
          <w:rStyle w:val="Strong"/>
        </w:rPr>
        <w:t xml:space="preserve">evaluation </w:t>
      </w:r>
      <w:r w:rsidR="00CF4AD9" w:rsidRPr="00C43175">
        <w:rPr>
          <w:rStyle w:val="Strong"/>
        </w:rPr>
        <w:t>report</w:t>
      </w:r>
      <w:r w:rsidRPr="00C43175">
        <w:rPr>
          <w:rStyle w:val="Strong"/>
        </w:rPr>
        <w:t>s</w:t>
      </w:r>
      <w:r w:rsidR="00CF4AD9" w:rsidRPr="00C43175">
        <w:rPr>
          <w:rStyle w:val="Strong"/>
        </w:rPr>
        <w:t xml:space="preserve"> 1</w:t>
      </w:r>
      <w:r w:rsidRPr="00C43175">
        <w:rPr>
          <w:rStyle w:val="Strong"/>
        </w:rPr>
        <w:t xml:space="preserve"> and 2</w:t>
      </w:r>
      <w:r w:rsidR="00CF4AD9" w:rsidRPr="00C43175">
        <w:t xml:space="preserve">: </w:t>
      </w:r>
      <w:r w:rsidR="00692445" w:rsidRPr="00C43175">
        <w:t>These reports were key milestones in the monitoring stage of the evaluation. As the evaluation was conducted while PL reform activities were ongoing and some outcomes were yet to be realised, Nous shared emerging findings with the Department to support continuous improvement. The reports provided formative insights, early outcomes, and lessons learned to inform the ongoing delivery of the reforms and mitigate unintended negative consequences.</w:t>
      </w:r>
    </w:p>
    <w:p w14:paraId="0DA7E1FF" w14:textId="2C48FC27" w:rsidR="00BE268E" w:rsidRPr="00C43175" w:rsidRDefault="00CF4AD9" w:rsidP="00C43175">
      <w:pPr>
        <w:pStyle w:val="ListBullet"/>
      </w:pPr>
      <w:r w:rsidRPr="00C43175">
        <w:rPr>
          <w:rStyle w:val="Strong"/>
        </w:rPr>
        <w:t xml:space="preserve">Final </w:t>
      </w:r>
      <w:r w:rsidR="00BE268E" w:rsidRPr="00C43175">
        <w:rPr>
          <w:rStyle w:val="Strong"/>
        </w:rPr>
        <w:t xml:space="preserve">evaluation </w:t>
      </w:r>
      <w:r w:rsidRPr="00C43175">
        <w:rPr>
          <w:rStyle w:val="Strong"/>
        </w:rPr>
        <w:t>report</w:t>
      </w:r>
      <w:r w:rsidRPr="00C43175">
        <w:t xml:space="preserve">: </w:t>
      </w:r>
      <w:r w:rsidR="00E96E28" w:rsidRPr="00C43175">
        <w:t>This summative report built on the previous interim reports to conclude whether reform activities had been implemented as planned, assess outcomes, and make recommendations to inform the ongoing administration of the PL.</w:t>
      </w:r>
    </w:p>
    <w:p w14:paraId="4056BF6B" w14:textId="0A965D11" w:rsidR="00CE512B" w:rsidRPr="00574B4C" w:rsidRDefault="00CE512B" w:rsidP="00BE268E">
      <w:pPr>
        <w:rPr>
          <w:lang w:eastAsia="en-AU"/>
        </w:rPr>
      </w:pPr>
      <w:r w:rsidRPr="00574B4C">
        <w:t xml:space="preserve">Key elements of the evaluation’s scope are outlined below in </w:t>
      </w:r>
      <w:r w:rsidRPr="00574B4C">
        <w:fldChar w:fldCharType="begin"/>
      </w:r>
      <w:r w:rsidRPr="00574B4C">
        <w:instrText xml:space="preserve"> REF _Ref141884015 \h </w:instrText>
      </w:r>
      <w:r w:rsidR="00574B4C">
        <w:instrText xml:space="preserve"> \* MERGEFORMAT </w:instrText>
      </w:r>
      <w:r w:rsidRPr="00574B4C">
        <w:fldChar w:fldCharType="separate"/>
      </w:r>
      <w:r w:rsidR="0092693A" w:rsidRPr="00574B4C">
        <w:t xml:space="preserve">Table </w:t>
      </w:r>
      <w:r w:rsidR="0092693A">
        <w:rPr>
          <w:noProof/>
        </w:rPr>
        <w:t>7</w:t>
      </w:r>
      <w:r w:rsidRPr="00574B4C">
        <w:fldChar w:fldCharType="end"/>
      </w:r>
      <w:r w:rsidRPr="00574B4C">
        <w:t xml:space="preserve">. </w:t>
      </w:r>
    </w:p>
    <w:p w14:paraId="5AFA30E1" w14:textId="569F64AC" w:rsidR="00CE512B" w:rsidRPr="00602824" w:rsidRDefault="00CE512B" w:rsidP="00B50EE7">
      <w:pPr>
        <w:pStyle w:val="Caption"/>
      </w:pPr>
      <w:bookmarkStart w:id="93" w:name="_Ref141884015"/>
      <w:bookmarkStart w:id="94" w:name="_Ref170394453"/>
      <w:r w:rsidRPr="00574B4C">
        <w:t xml:space="preserve">Table </w:t>
      </w:r>
      <w:r w:rsidR="002604D0" w:rsidRPr="00574B4C">
        <w:fldChar w:fldCharType="begin"/>
      </w:r>
      <w:r w:rsidR="002604D0" w:rsidRPr="00574B4C">
        <w:instrText xml:space="preserve"> SEQ Table \* ARABIC </w:instrText>
      </w:r>
      <w:r w:rsidR="002604D0" w:rsidRPr="00574B4C">
        <w:fldChar w:fldCharType="separate"/>
      </w:r>
      <w:r w:rsidR="0092693A">
        <w:rPr>
          <w:noProof/>
        </w:rPr>
        <w:t>7</w:t>
      </w:r>
      <w:r w:rsidR="002604D0" w:rsidRPr="00574B4C">
        <w:fldChar w:fldCharType="end"/>
      </w:r>
      <w:bookmarkEnd w:id="93"/>
      <w:r w:rsidRPr="00574B4C">
        <w:t xml:space="preserve"> | Scope of the evaluation</w:t>
      </w:r>
      <w:bookmarkEnd w:id="94"/>
    </w:p>
    <w:tbl>
      <w:tblPr>
        <w:tblStyle w:val="NOUSSideHeader"/>
        <w:tblW w:w="9072" w:type="dxa"/>
        <w:tblLook w:val="04A0" w:firstRow="1" w:lastRow="0" w:firstColumn="1" w:lastColumn="0" w:noHBand="0" w:noVBand="1"/>
      </w:tblPr>
      <w:tblGrid>
        <w:gridCol w:w="2238"/>
        <w:gridCol w:w="6804"/>
        <w:gridCol w:w="30"/>
      </w:tblGrid>
      <w:tr w:rsidR="00AA6816" w:rsidRPr="00602824" w14:paraId="744E3B5E" w14:textId="77777777" w:rsidTr="004D2C86">
        <w:trPr>
          <w:trHeight w:val="1538"/>
        </w:trPr>
        <w:tc>
          <w:tcPr>
            <w:cnfStyle w:val="001000000000" w:firstRow="0" w:lastRow="0" w:firstColumn="1" w:lastColumn="0" w:oddVBand="0" w:evenVBand="0" w:oddHBand="0" w:evenHBand="0" w:firstRowFirstColumn="0" w:firstRowLastColumn="0" w:lastRowFirstColumn="0" w:lastRowLastColumn="0"/>
            <w:tcW w:w="2238" w:type="dxa"/>
          </w:tcPr>
          <w:p w14:paraId="1F548649" w14:textId="5EA8DA5D" w:rsidR="00CE512B" w:rsidRPr="00602824" w:rsidRDefault="00CE512B" w:rsidP="00DC2D74">
            <w:pPr>
              <w:pStyle w:val="TableNheader"/>
              <w:spacing w:line="240" w:lineRule="auto"/>
              <w:jc w:val="left"/>
              <w:rPr>
                <w:b/>
                <w:bCs/>
              </w:rPr>
            </w:pPr>
            <w:r w:rsidRPr="00602824">
              <w:t>In-scope aspects of the evaluation</w:t>
            </w:r>
          </w:p>
        </w:tc>
        <w:tc>
          <w:tcPr>
            <w:tcW w:w="6834" w:type="dxa"/>
            <w:gridSpan w:val="2"/>
          </w:tcPr>
          <w:p w14:paraId="6F7D3E67" w14:textId="11E2AB47" w:rsidR="00CE512B" w:rsidRPr="00602824" w:rsidRDefault="00CE512B" w:rsidP="00F8221E">
            <w:pPr>
              <w:pStyle w:val="TableNBullet"/>
              <w:cnfStyle w:val="000000000000" w:firstRow="0" w:lastRow="0" w:firstColumn="0" w:lastColumn="0" w:oddVBand="0" w:evenVBand="0" w:oddHBand="0" w:evenHBand="0" w:firstRowFirstColumn="0" w:firstRowLastColumn="0" w:lastRowFirstColumn="0" w:lastRowLastColumn="0"/>
            </w:pPr>
            <w:r w:rsidRPr="00602824">
              <w:t>PL reform implementation, effectiveness and impact (extent to which intended outcomes were achieved)</w:t>
            </w:r>
            <w:r w:rsidR="007829C3">
              <w:t>.</w:t>
            </w:r>
          </w:p>
          <w:p w14:paraId="32CFE98F" w14:textId="726CD2EC" w:rsidR="00CE512B" w:rsidRPr="00602824" w:rsidRDefault="00CE512B" w:rsidP="00F8221E">
            <w:pPr>
              <w:pStyle w:val="TableNBullet"/>
              <w:cnfStyle w:val="000000000000" w:firstRow="0" w:lastRow="0" w:firstColumn="0" w:lastColumn="0" w:oddVBand="0" w:evenVBand="0" w:oddHBand="0" w:evenHBand="0" w:firstRowFirstColumn="0" w:firstRowLastColumn="0" w:lastRowFirstColumn="0" w:lastRowLastColumn="0"/>
            </w:pPr>
            <w:r w:rsidRPr="00602824">
              <w:t>Unintended positive or negative consequences beyond the expected outcomes</w:t>
            </w:r>
            <w:r w:rsidR="007829C3">
              <w:t>.</w:t>
            </w:r>
          </w:p>
          <w:p w14:paraId="08B07391" w14:textId="58A2AFF3" w:rsidR="00CE512B" w:rsidRPr="00602824" w:rsidRDefault="00CE512B" w:rsidP="00F8221E">
            <w:pPr>
              <w:pStyle w:val="TableNBullet"/>
              <w:cnfStyle w:val="000000000000" w:firstRow="0" w:lastRow="0" w:firstColumn="0" w:lastColumn="0" w:oddVBand="0" w:evenVBand="0" w:oddHBand="0" w:evenHBand="0" w:firstRowFirstColumn="0" w:firstRowLastColumn="0" w:lastRowFirstColumn="0" w:lastRowLastColumn="0"/>
            </w:pPr>
            <w:r w:rsidRPr="00602824">
              <w:t>Experiences of consumers, private health insurers, private hospitals, public hospitals, medical device sponsors and clinicians</w:t>
            </w:r>
            <w:r w:rsidR="007829C3">
              <w:t>.</w:t>
            </w:r>
          </w:p>
        </w:tc>
      </w:tr>
      <w:tr w:rsidR="0087170A" w:rsidRPr="00602824" w14:paraId="6A209E23" w14:textId="77777777" w:rsidTr="001327C5">
        <w:trPr>
          <w:gridAfter w:val="1"/>
          <w:wAfter w:w="30" w:type="dxa"/>
        </w:trPr>
        <w:tc>
          <w:tcPr>
            <w:cnfStyle w:val="001000000000" w:firstRow="0" w:lastRow="0" w:firstColumn="1" w:lastColumn="0" w:oddVBand="0" w:evenVBand="0" w:oddHBand="0" w:evenHBand="0" w:firstRowFirstColumn="0" w:firstRowLastColumn="0" w:lastRowFirstColumn="0" w:lastRowLastColumn="0"/>
            <w:tcW w:w="2238" w:type="dxa"/>
          </w:tcPr>
          <w:p w14:paraId="7848801A" w14:textId="0ECE00DF" w:rsidR="00CE512B" w:rsidRPr="00602824" w:rsidRDefault="00CE512B" w:rsidP="00DC2D74">
            <w:pPr>
              <w:pStyle w:val="TableNheader"/>
              <w:spacing w:line="240" w:lineRule="auto"/>
              <w:jc w:val="left"/>
              <w:rPr>
                <w:b/>
                <w:bCs/>
              </w:rPr>
            </w:pPr>
            <w:r w:rsidRPr="00602824">
              <w:t>Out-of-scope aspects of the evaluation</w:t>
            </w:r>
          </w:p>
        </w:tc>
        <w:tc>
          <w:tcPr>
            <w:tcW w:w="6804" w:type="dxa"/>
          </w:tcPr>
          <w:p w14:paraId="226C3A9F" w14:textId="155E5ADE" w:rsidR="00CE512B" w:rsidRPr="00602824" w:rsidRDefault="00CE512B" w:rsidP="00F8221E">
            <w:pPr>
              <w:pStyle w:val="TableNBullet"/>
              <w:cnfStyle w:val="000000000000" w:firstRow="0" w:lastRow="0" w:firstColumn="0" w:lastColumn="0" w:oddVBand="0" w:evenVBand="0" w:oddHBand="0" w:evenHBand="0" w:firstRowFirstColumn="0" w:firstRowLastColumn="0" w:lastRowFirstColumn="0" w:lastRowLastColumn="0"/>
            </w:pPr>
            <w:r w:rsidRPr="00602824">
              <w:t>Full cost-benefit analysis and/or economic evaluation, beyond that required to establish the suitability/sustainability of cost recovery efforts</w:t>
            </w:r>
            <w:r w:rsidR="007829C3">
              <w:t>.</w:t>
            </w:r>
          </w:p>
          <w:p w14:paraId="2D11981D" w14:textId="1503BE1F" w:rsidR="00CE512B" w:rsidRPr="00602824" w:rsidRDefault="00CE512B" w:rsidP="00F8221E">
            <w:pPr>
              <w:pStyle w:val="TableNBullet"/>
              <w:cnfStyle w:val="000000000000" w:firstRow="0" w:lastRow="0" w:firstColumn="0" w:lastColumn="0" w:oddVBand="0" w:evenVBand="0" w:oddHBand="0" w:evenHBand="0" w:firstRowFirstColumn="0" w:firstRowLastColumn="0" w:lastRowFirstColumn="0" w:lastRowLastColumn="0"/>
            </w:pPr>
            <w:r w:rsidRPr="00602824">
              <w:t>Evaluation of the Department’s wider PHI reforms</w:t>
            </w:r>
            <w:r w:rsidR="007829C3">
              <w:t>.</w:t>
            </w:r>
          </w:p>
          <w:p w14:paraId="10676880" w14:textId="37C5B217" w:rsidR="00CE512B" w:rsidRPr="00602824" w:rsidRDefault="00CE512B" w:rsidP="00F8221E">
            <w:pPr>
              <w:pStyle w:val="TableNBullet"/>
              <w:cnfStyle w:val="000000000000" w:firstRow="0" w:lastRow="0" w:firstColumn="0" w:lastColumn="0" w:oddVBand="0" w:evenVBand="0" w:oddHBand="0" w:evenHBand="0" w:firstRowFirstColumn="0" w:firstRowLastColumn="0" w:lastRowFirstColumn="0" w:lastRowLastColumn="0"/>
            </w:pPr>
            <w:r w:rsidRPr="00602824">
              <w:t>Evaluation or analysis of PL components not impacted by the scope of the reforms</w:t>
            </w:r>
            <w:r w:rsidR="007829C3">
              <w:t>.</w:t>
            </w:r>
          </w:p>
        </w:tc>
      </w:tr>
      <w:tr w:rsidR="00AA6816" w:rsidRPr="00602824" w14:paraId="35905D73" w14:textId="77777777" w:rsidTr="004D2C86">
        <w:tc>
          <w:tcPr>
            <w:cnfStyle w:val="001000000000" w:firstRow="0" w:lastRow="0" w:firstColumn="1" w:lastColumn="0" w:oddVBand="0" w:evenVBand="0" w:oddHBand="0" w:evenHBand="0" w:firstRowFirstColumn="0" w:firstRowLastColumn="0" w:lastRowFirstColumn="0" w:lastRowLastColumn="0"/>
            <w:tcW w:w="2238" w:type="dxa"/>
          </w:tcPr>
          <w:p w14:paraId="005F81EE" w14:textId="100431BF" w:rsidR="00CE512B" w:rsidRPr="00602824" w:rsidRDefault="00CE512B" w:rsidP="00DC2D74">
            <w:pPr>
              <w:pStyle w:val="TableNheader"/>
              <w:spacing w:line="240" w:lineRule="auto"/>
              <w:jc w:val="left"/>
              <w:rPr>
                <w:b/>
                <w:bCs/>
              </w:rPr>
            </w:pPr>
            <w:r w:rsidRPr="00602824">
              <w:t>Any context or related activities that need to be considered</w:t>
            </w:r>
          </w:p>
        </w:tc>
        <w:tc>
          <w:tcPr>
            <w:tcW w:w="6834" w:type="dxa"/>
            <w:gridSpan w:val="2"/>
          </w:tcPr>
          <w:p w14:paraId="6FD3CFB7" w14:textId="62EFB50F" w:rsidR="00CE512B" w:rsidRPr="00602824" w:rsidRDefault="00CE512B" w:rsidP="00F8221E">
            <w:pPr>
              <w:pStyle w:val="TableNBullet"/>
              <w:cnfStyle w:val="000000000000" w:firstRow="0" w:lastRow="0" w:firstColumn="0" w:lastColumn="0" w:oddVBand="0" w:evenVBand="0" w:oddHBand="0" w:evenHBand="0" w:firstRowFirstColumn="0" w:firstRowLastColumn="0" w:lastRowFirstColumn="0" w:lastRowLastColumn="0"/>
            </w:pPr>
            <w:r w:rsidRPr="00602824">
              <w:t>Understanding of the Government’s PHI reforms and policy agenda</w:t>
            </w:r>
            <w:r w:rsidR="007829C3">
              <w:t>.</w:t>
            </w:r>
          </w:p>
          <w:p w14:paraId="6B083970" w14:textId="46C2E86B" w:rsidR="00CE512B" w:rsidRPr="00602824" w:rsidRDefault="00CE512B" w:rsidP="00F8221E">
            <w:pPr>
              <w:pStyle w:val="TableNBullet"/>
              <w:cnfStyle w:val="000000000000" w:firstRow="0" w:lastRow="0" w:firstColumn="0" w:lastColumn="0" w:oddVBand="0" w:evenVBand="0" w:oddHBand="0" w:evenHBand="0" w:firstRowFirstColumn="0" w:firstRowLastColumn="0" w:lastRowFirstColumn="0" w:lastRowLastColumn="0"/>
            </w:pPr>
            <w:r w:rsidRPr="00602824">
              <w:t>Understanding of stakeholder consultations and input to the PL Reforms that have already taken place and how reform activities have changed as a result</w:t>
            </w:r>
            <w:r w:rsidR="007829C3">
              <w:t>.</w:t>
            </w:r>
          </w:p>
        </w:tc>
      </w:tr>
    </w:tbl>
    <w:p w14:paraId="44D93EBE" w14:textId="77777777" w:rsidR="00CE512B" w:rsidRPr="00602824" w:rsidRDefault="00CE512B" w:rsidP="00CE512B">
      <w:pPr>
        <w:pStyle w:val="xAppendixLevel2"/>
      </w:pPr>
      <w:bookmarkStart w:id="95" w:name="_Toc204695310"/>
      <w:bookmarkStart w:id="96" w:name="_Toc204767295"/>
      <w:bookmarkStart w:id="97" w:name="_Ref170379350"/>
      <w:bookmarkStart w:id="98" w:name="_Toc181405104"/>
      <w:bookmarkStart w:id="99" w:name="_Toc237002814"/>
      <w:bookmarkEnd w:id="95"/>
      <w:bookmarkEnd w:id="96"/>
      <w:r w:rsidRPr="00602824">
        <w:t>Overall approach and KEQs</w:t>
      </w:r>
      <w:bookmarkEnd w:id="97"/>
      <w:bookmarkEnd w:id="98"/>
      <w:bookmarkEnd w:id="99"/>
    </w:p>
    <w:p w14:paraId="5D48CA2D" w14:textId="193937DF" w:rsidR="00CE512B" w:rsidRPr="00602824" w:rsidRDefault="00CE512B" w:rsidP="003F7B2B">
      <w:pPr>
        <w:pStyle w:val="xAppendixLevel3"/>
      </w:pPr>
      <w:r w:rsidRPr="00602824">
        <w:t xml:space="preserve">The evaluation </w:t>
      </w:r>
      <w:r w:rsidR="00DC2D74">
        <w:t>was</w:t>
      </w:r>
      <w:r w:rsidRPr="00602824">
        <w:t xml:space="preserve"> guided by three KEQs</w:t>
      </w:r>
    </w:p>
    <w:p w14:paraId="4C81014E" w14:textId="05A439E2" w:rsidR="00CE512B" w:rsidRPr="00602824" w:rsidRDefault="00CE512B" w:rsidP="00CE512B">
      <w:pPr>
        <w:rPr>
          <w:lang w:eastAsia="en-AU"/>
        </w:rPr>
      </w:pPr>
      <w:r w:rsidRPr="00602824">
        <w:rPr>
          <w:lang w:eastAsia="en-AU"/>
        </w:rPr>
        <w:t xml:space="preserve">There </w:t>
      </w:r>
      <w:r w:rsidR="00DC2D74">
        <w:rPr>
          <w:lang w:eastAsia="en-AU"/>
        </w:rPr>
        <w:t>were</w:t>
      </w:r>
      <w:r w:rsidRPr="00602824">
        <w:rPr>
          <w:lang w:eastAsia="en-AU"/>
        </w:rPr>
        <w:t xml:space="preserve"> three key evaluation questions (KEQs) </w:t>
      </w:r>
      <w:r w:rsidR="00DC2D74">
        <w:rPr>
          <w:lang w:eastAsia="en-AU"/>
        </w:rPr>
        <w:t>used to guide</w:t>
      </w:r>
      <w:r w:rsidRPr="00602824">
        <w:rPr>
          <w:lang w:eastAsia="en-AU"/>
        </w:rPr>
        <w:t xml:space="preserve"> the evaluation:</w:t>
      </w:r>
    </w:p>
    <w:p w14:paraId="0C1BE8D4" w14:textId="77777777" w:rsidR="00CE512B" w:rsidRPr="00602824" w:rsidRDefault="00CE512B">
      <w:pPr>
        <w:pStyle w:val="Listnumbered"/>
        <w:numPr>
          <w:ilvl w:val="0"/>
          <w:numId w:val="6"/>
        </w:numPr>
        <w:rPr>
          <w:lang w:eastAsia="en-AU"/>
        </w:rPr>
      </w:pPr>
      <w:r w:rsidRPr="00602824">
        <w:rPr>
          <w:lang w:eastAsia="en-AU"/>
        </w:rPr>
        <w:t>Is the PL reform program being implemented as intended?</w:t>
      </w:r>
    </w:p>
    <w:p w14:paraId="25BFB82D" w14:textId="77777777" w:rsidR="00CE512B" w:rsidRPr="00602824" w:rsidRDefault="00CE512B" w:rsidP="00CE512B">
      <w:pPr>
        <w:pStyle w:val="Listnumbered"/>
        <w:rPr>
          <w:lang w:eastAsia="en-AU"/>
        </w:rPr>
      </w:pPr>
      <w:r w:rsidRPr="00602824">
        <w:rPr>
          <w:lang w:eastAsia="en-AU"/>
        </w:rPr>
        <w:t>Is the PL reform program achieving the expected outcomes?</w:t>
      </w:r>
    </w:p>
    <w:p w14:paraId="470961CD" w14:textId="77777777" w:rsidR="00CE512B" w:rsidRPr="00602824" w:rsidRDefault="00CE512B" w:rsidP="00CE512B">
      <w:pPr>
        <w:pStyle w:val="Listnumbered"/>
        <w:rPr>
          <w:lang w:eastAsia="en-AU"/>
        </w:rPr>
      </w:pPr>
      <w:r w:rsidRPr="00602824">
        <w:rPr>
          <w:lang w:eastAsia="en-AU"/>
        </w:rPr>
        <w:t>What are the ongoing and future directions, opportunities and priorities for the PL reforms?</w:t>
      </w:r>
    </w:p>
    <w:p w14:paraId="0311A78F" w14:textId="084D4382" w:rsidR="00CE512B" w:rsidRPr="00602824" w:rsidRDefault="00CE512B" w:rsidP="003F7B2B">
      <w:pPr>
        <w:pStyle w:val="xAppendixLevel3"/>
      </w:pPr>
      <w:r w:rsidRPr="00602824">
        <w:t xml:space="preserve">Nous </w:t>
      </w:r>
      <w:r w:rsidRPr="0039544A">
        <w:t>structured</w:t>
      </w:r>
      <w:r w:rsidRPr="00602824">
        <w:t xml:space="preserve"> the evaluation by the eight objectives of the PL reforms</w:t>
      </w:r>
    </w:p>
    <w:p w14:paraId="3369FA69" w14:textId="51B9A700" w:rsidR="00CE512B" w:rsidRPr="00602824" w:rsidRDefault="00C446F7" w:rsidP="0039544A">
      <w:pPr>
        <w:rPr>
          <w:lang w:eastAsia="en-AU"/>
        </w:rPr>
      </w:pPr>
      <w:r w:rsidRPr="00C446F7">
        <w:rPr>
          <w:lang w:eastAsia="en-AU"/>
        </w:rPr>
        <w:t>Nous structured the evaluation around the eight objectives of the PL reforms. The evaluation team developed a reporting structure for the ongoing delivery of the evaluation that was adapted to the evolving projects and priorities of the reform program, while remaining aligned with the key evaluation questions (KEQs) and the evaluation plan. The structure was centred on the eight PL reform objectives established by the Department’s PL Evaluation Framework and incorporated nine key projects that summarised the primary reform actions</w:t>
      </w:r>
      <w:r w:rsidR="0039544A">
        <w:rPr>
          <w:lang w:eastAsia="en-AU"/>
        </w:rPr>
        <w:t xml:space="preserve"> (</w:t>
      </w:r>
      <w:r w:rsidR="0039544A">
        <w:rPr>
          <w:lang w:eastAsia="en-AU"/>
        </w:rPr>
        <w:fldChar w:fldCharType="begin"/>
      </w:r>
      <w:r w:rsidR="0039544A">
        <w:rPr>
          <w:lang w:eastAsia="en-AU"/>
        </w:rPr>
        <w:instrText xml:space="preserve"> REF _Ref201058721 \h  \* MERGEFORMAT </w:instrText>
      </w:r>
      <w:r w:rsidR="0039544A">
        <w:rPr>
          <w:lang w:eastAsia="en-AU"/>
        </w:rPr>
      </w:r>
      <w:r w:rsidR="0039544A">
        <w:rPr>
          <w:lang w:eastAsia="en-AU"/>
        </w:rPr>
        <w:fldChar w:fldCharType="separate"/>
      </w:r>
      <w:r w:rsidR="0092693A" w:rsidRPr="00602824">
        <w:t xml:space="preserve">Figure </w:t>
      </w:r>
      <w:r w:rsidR="0092693A">
        <w:rPr>
          <w:noProof/>
        </w:rPr>
        <w:t>2</w:t>
      </w:r>
      <w:r w:rsidR="0039544A">
        <w:rPr>
          <w:lang w:eastAsia="en-AU"/>
        </w:rPr>
        <w:fldChar w:fldCharType="end"/>
      </w:r>
      <w:r w:rsidR="0039544A">
        <w:rPr>
          <w:lang w:eastAsia="en-AU"/>
        </w:rPr>
        <w:t>)</w:t>
      </w:r>
      <w:r w:rsidRPr="00C446F7">
        <w:rPr>
          <w:lang w:eastAsia="en-AU"/>
        </w:rPr>
        <w:t>.</w:t>
      </w:r>
      <w:r w:rsidR="009E1C23">
        <w:rPr>
          <w:lang w:eastAsia="en-AU"/>
        </w:rPr>
        <w:t xml:space="preserve"> </w:t>
      </w:r>
    </w:p>
    <w:p w14:paraId="52047C8A" w14:textId="5A3AA5C4" w:rsidR="00CE512B" w:rsidRPr="00602824" w:rsidRDefault="00CE512B" w:rsidP="003F7B2B">
      <w:pPr>
        <w:pStyle w:val="xAppendixLevel3"/>
      </w:pPr>
      <w:r w:rsidRPr="00602824">
        <w:t>A set of indicators and measures guide</w:t>
      </w:r>
      <w:r w:rsidR="00DA4CD5">
        <w:t>d</w:t>
      </w:r>
      <w:r w:rsidRPr="00602824">
        <w:t xml:space="preserve"> the data collection, analysis and reporting</w:t>
      </w:r>
    </w:p>
    <w:p w14:paraId="06D23C52" w14:textId="53E9E5EF" w:rsidR="00034507" w:rsidRPr="00602824" w:rsidRDefault="00CE512B" w:rsidP="00CE512B">
      <w:r w:rsidRPr="00602824">
        <w:rPr>
          <w:lang w:eastAsia="en-AU"/>
        </w:rPr>
        <w:t xml:space="preserve">The evaluation team developed a set of indicators and measures that sit under each of the eight objectives of the PL reforms. </w:t>
      </w:r>
      <w:r w:rsidR="00DA4CD5" w:rsidRPr="00DA4CD5">
        <w:t>The indicators and measures covered KEQ 1 and</w:t>
      </w:r>
      <w:r w:rsidR="004D7D0C">
        <w:t xml:space="preserve"> KEQ 2 </w:t>
      </w:r>
      <w:r w:rsidR="00DA4CD5" w:rsidRPr="00DA4CD5">
        <w:t>resembled the key evaluation sub</w:t>
      </w:r>
      <w:r w:rsidR="00DA4CD5" w:rsidRPr="00DA4CD5">
        <w:noBreakHyphen/>
        <w:t xml:space="preserve">questions introduced in the Department’s PL Evaluation Framework. Since the </w:t>
      </w:r>
      <w:r w:rsidR="00DA4CD5">
        <w:t>baseline report</w:t>
      </w:r>
      <w:r w:rsidR="00DA4CD5" w:rsidRPr="00DA4CD5">
        <w:t>, the indicators and measures had guided the evaluation team’s data collection, analysis, and reporting.</w:t>
      </w:r>
    </w:p>
    <w:p w14:paraId="65BEA60F" w14:textId="3E8F1220" w:rsidR="00177AAB" w:rsidRPr="00602824" w:rsidRDefault="00177AAB" w:rsidP="00177AAB">
      <w:pPr>
        <w:pStyle w:val="xAppendixLevel2"/>
      </w:pPr>
      <w:bookmarkStart w:id="100" w:name="_Toc237002815"/>
      <w:r w:rsidRPr="00602824">
        <w:t>Approach to data collection and engagement</w:t>
      </w:r>
      <w:bookmarkEnd w:id="100"/>
    </w:p>
    <w:p w14:paraId="7E554487" w14:textId="77777777" w:rsidR="00034507" w:rsidRDefault="00177AAB" w:rsidP="003F7B2B">
      <w:pPr>
        <w:pStyle w:val="xAppendixLevel3"/>
      </w:pPr>
      <w:r w:rsidRPr="00602824">
        <w:t xml:space="preserve">The evaluation </w:t>
      </w:r>
      <w:r w:rsidR="00034507">
        <w:t>used</w:t>
      </w:r>
      <w:r w:rsidRPr="00602824">
        <w:t xml:space="preserve"> a ‘mixed methods’ approach</w:t>
      </w:r>
    </w:p>
    <w:p w14:paraId="14E8F532" w14:textId="68F387C6" w:rsidR="00034507" w:rsidRPr="00034507" w:rsidRDefault="00034507" w:rsidP="0039544A">
      <w:pPr>
        <w:rPr>
          <w:rFonts w:ascii="Segoe UI Semibold" w:eastAsia="Times New Roman" w:hAnsi="Segoe UI Semibold" w:cs="Times New Roman"/>
          <w:color w:val="00264D" w:themeColor="background2"/>
          <w:sz w:val="22"/>
          <w:lang w:eastAsia="en-AU"/>
        </w:rPr>
      </w:pPr>
      <w:r w:rsidRPr="00034507">
        <w:t xml:space="preserve">Evaluating the PL reforms involved a large and diverse group of stakeholders, a nuanced </w:t>
      </w:r>
      <w:r>
        <w:t>medical device</w:t>
      </w:r>
      <w:r w:rsidRPr="00034507">
        <w:t xml:space="preserve"> market, intertwined reform initiatives, and several intangible outcomes. To address this complexity, the evaluation used a principles‑based approach with key evaluation questions (KEQs) and a program logic to focus the evaluation on the intentions of the reform.</w:t>
      </w:r>
    </w:p>
    <w:p w14:paraId="0091D938" w14:textId="1635C082" w:rsidR="00034507" w:rsidRDefault="007D44A0" w:rsidP="0039544A">
      <w:pPr>
        <w:rPr>
          <w:rFonts w:eastAsia="Segoe UI" w:cs="Segoe UI"/>
        </w:rPr>
      </w:pPr>
      <w:r>
        <w:rPr>
          <w:rFonts w:eastAsia="Segoe UI" w:cs="Segoe UI"/>
        </w:rPr>
        <w:t>The evaluation used</w:t>
      </w:r>
      <w:r w:rsidR="00034507" w:rsidRPr="00034507">
        <w:rPr>
          <w:rFonts w:eastAsia="Segoe UI" w:cs="Segoe UI"/>
        </w:rPr>
        <w:t xml:space="preserve"> a mixed‑methods approach, collecting both qualitative and quantitative data from interviews, focus groups, desktop research, surveys, and existing datasets. Data analysis involved thematic, descriptive, and inferential techniques, with triangulation of findings from multiple sources to validate the evidence.</w:t>
      </w:r>
    </w:p>
    <w:p w14:paraId="15C06E77" w14:textId="44820DBA" w:rsidR="00177AAB" w:rsidRPr="00602824" w:rsidRDefault="00177AAB" w:rsidP="003F7B2B">
      <w:pPr>
        <w:pStyle w:val="xAppendixLevel3"/>
      </w:pPr>
      <w:r w:rsidRPr="00602824">
        <w:t xml:space="preserve">Quantitative analysis </w:t>
      </w:r>
      <w:r w:rsidR="00916BD6">
        <w:t>informed the</w:t>
      </w:r>
      <w:r w:rsidRPr="00602824">
        <w:t xml:space="preserve"> assessment of </w:t>
      </w:r>
      <w:r w:rsidR="00916BD6">
        <w:t xml:space="preserve">outcomes of the reforms </w:t>
      </w:r>
    </w:p>
    <w:p w14:paraId="3010071E" w14:textId="687843A9" w:rsidR="00916BD6" w:rsidRPr="00916BD6" w:rsidRDefault="00916BD6" w:rsidP="00916BD6">
      <w:pPr>
        <w:rPr>
          <w:rFonts w:eastAsia="Segoe UI" w:cs="Segoe UI"/>
          <w:szCs w:val="19"/>
        </w:rPr>
      </w:pPr>
      <w:r w:rsidRPr="00916BD6">
        <w:rPr>
          <w:rFonts w:eastAsia="Segoe UI" w:cs="Segoe UI"/>
          <w:szCs w:val="19"/>
        </w:rPr>
        <w:t>The performance of the PL reforms was assessed through analysis of a range of quantitative indicators. This involved compiling and assessing relevant descriptive statistics to develop hypotheses related to the sub</w:t>
      </w:r>
      <w:r w:rsidRPr="00916BD6">
        <w:rPr>
          <w:rFonts w:eastAsia="Segoe UI" w:cs="Segoe UI"/>
          <w:szCs w:val="19"/>
        </w:rPr>
        <w:noBreakHyphen/>
        <w:t>research questions, categorised under the indicators and measures. Where feasible, inferential methods, such as regression models, have been used to add rigour to the analysis and support efforts to attribute observed changes to the reforms. Graphs have been included to visualise, develop, and communicate key findings and analysis.</w:t>
      </w:r>
    </w:p>
    <w:p w14:paraId="767C84B3" w14:textId="77777777" w:rsidR="000E2635" w:rsidRPr="000E2635" w:rsidRDefault="000E2635" w:rsidP="003F7B2B">
      <w:pPr>
        <w:pStyle w:val="xAppendixLevel3"/>
      </w:pPr>
      <w:r w:rsidRPr="000E2635">
        <w:t>Qualitative analysis was critical to answering the evaluation’s research questions</w:t>
      </w:r>
    </w:p>
    <w:p w14:paraId="1187E336" w14:textId="04335B50" w:rsidR="000E2635" w:rsidRDefault="000E2635" w:rsidP="000E2635">
      <w:pPr>
        <w:rPr>
          <w:lang w:eastAsia="en-AU"/>
        </w:rPr>
      </w:pPr>
      <w:r>
        <w:rPr>
          <w:lang w:eastAsia="en-AU"/>
        </w:rPr>
        <w:t>On its own, quantitative analysis was not sufficient to answer all sub‑research questions. In many circumstances, quantitative data were missing or of inadequate quality, requiring a qualitative approach that enabled the evaluation team to hear directly from stakeholders. Where sufficient quantitative data were available, qualitative evidence strengthened the overall evidence base by enabling triangulation of insights from multiple sources.</w:t>
      </w:r>
    </w:p>
    <w:p w14:paraId="25245A12" w14:textId="37D16438" w:rsidR="000E2635" w:rsidRDefault="000E2635" w:rsidP="000E2635">
      <w:pPr>
        <w:rPr>
          <w:lang w:eastAsia="en-AU"/>
        </w:rPr>
      </w:pPr>
      <w:r>
        <w:rPr>
          <w:lang w:eastAsia="en-AU"/>
        </w:rPr>
        <w:t>Qualitative research methods such as surveys, interviews, and workshops, were used to explore stakeholder perspectives, experiences, and sensitivities in depth, particularly in relation to the “how” and “why” elements of the KEQs that could not be adequately addressed using quantitative data alone. This process also helped to build buy‑in for the evaluation’s findings and recommendations by providing forums for those affected by the reforms to have their perspectives heard.</w:t>
      </w:r>
    </w:p>
    <w:p w14:paraId="6EECA7C1" w14:textId="7EA03B01" w:rsidR="00E6392D" w:rsidRPr="00602824" w:rsidRDefault="000E2635" w:rsidP="000E2635">
      <w:pPr>
        <w:rPr>
          <w:lang w:eastAsia="en-AU"/>
        </w:rPr>
      </w:pPr>
      <w:r>
        <w:rPr>
          <w:lang w:eastAsia="en-AU"/>
        </w:rPr>
        <w:t>The evaluation drew on multiple qualitative data sources, including Departmental and PL planning documentation, published stakeholder submissions and perspectives, stakeholder interviews, and stakeholder information requests.</w:t>
      </w:r>
    </w:p>
    <w:p w14:paraId="63F02155" w14:textId="217D85E3" w:rsidR="00BB79A0" w:rsidRPr="00602824" w:rsidRDefault="00BB79A0" w:rsidP="00BB79A0">
      <w:pPr>
        <w:pStyle w:val="xAppendixLevel1"/>
      </w:pPr>
      <w:bookmarkStart w:id="101" w:name="_Toc237002816"/>
      <w:r w:rsidRPr="00602824">
        <w:t>List of stakeholders consulted</w:t>
      </w:r>
      <w:bookmarkEnd w:id="101"/>
    </w:p>
    <w:p w14:paraId="7B221ACC" w14:textId="6D3CA030" w:rsidR="00986AF5" w:rsidRPr="00602824" w:rsidRDefault="003C4ECA" w:rsidP="00986AF5">
      <w:pPr>
        <w:rPr>
          <w:lang w:eastAsia="en-AU"/>
        </w:rPr>
      </w:pPr>
      <w:r>
        <w:rPr>
          <w:lang w:eastAsia="en-AU"/>
        </w:rPr>
        <w:t>E</w:t>
      </w:r>
      <w:r w:rsidR="00853C88" w:rsidRPr="00602824">
        <w:rPr>
          <w:lang w:eastAsia="en-AU"/>
        </w:rPr>
        <w:t>xternal</w:t>
      </w:r>
      <w:r w:rsidR="00986AF5" w:rsidRPr="00602824">
        <w:rPr>
          <w:lang w:eastAsia="en-AU"/>
        </w:rPr>
        <w:t xml:space="preserve"> stakeholders consulted </w:t>
      </w:r>
      <w:r w:rsidR="00986AF5" w:rsidRPr="00DC28C8">
        <w:rPr>
          <w:lang w:eastAsia="en-AU"/>
        </w:rPr>
        <w:t xml:space="preserve">for this </w:t>
      </w:r>
      <w:r w:rsidR="00A43329" w:rsidRPr="00DC28C8">
        <w:rPr>
          <w:lang w:eastAsia="en-AU"/>
        </w:rPr>
        <w:t>evaluation</w:t>
      </w:r>
      <w:r w:rsidR="00A43329" w:rsidRPr="00602824">
        <w:rPr>
          <w:lang w:eastAsia="en-AU"/>
        </w:rPr>
        <w:t xml:space="preserve"> </w:t>
      </w:r>
      <w:r w:rsidR="00853C88" w:rsidRPr="00602824">
        <w:rPr>
          <w:lang w:eastAsia="en-AU"/>
        </w:rPr>
        <w:t xml:space="preserve">are detailed in </w:t>
      </w:r>
      <w:r w:rsidR="0040137F" w:rsidRPr="00602824">
        <w:rPr>
          <w:lang w:eastAsia="en-AU"/>
        </w:rPr>
        <w:fldChar w:fldCharType="begin"/>
      </w:r>
      <w:r w:rsidR="0040137F" w:rsidRPr="00602824">
        <w:rPr>
          <w:lang w:eastAsia="en-AU"/>
        </w:rPr>
        <w:instrText xml:space="preserve"> REF _Ref202779041 \h </w:instrText>
      </w:r>
      <w:r w:rsidR="0040137F" w:rsidRPr="00602824">
        <w:rPr>
          <w:lang w:eastAsia="en-AU"/>
        </w:rPr>
      </w:r>
      <w:r w:rsidR="0040137F" w:rsidRPr="00602824">
        <w:rPr>
          <w:lang w:eastAsia="en-AU"/>
        </w:rPr>
        <w:fldChar w:fldCharType="separate"/>
      </w:r>
      <w:r w:rsidR="0092693A" w:rsidRPr="00602824">
        <w:t xml:space="preserve">Table </w:t>
      </w:r>
      <w:r w:rsidR="0092693A">
        <w:rPr>
          <w:noProof/>
        </w:rPr>
        <w:t>8</w:t>
      </w:r>
      <w:r w:rsidR="0040137F" w:rsidRPr="00602824">
        <w:rPr>
          <w:lang w:eastAsia="en-AU"/>
        </w:rPr>
        <w:fldChar w:fldCharType="end"/>
      </w:r>
      <w:r w:rsidR="0040137F" w:rsidRPr="00602824">
        <w:rPr>
          <w:lang w:eastAsia="en-AU"/>
        </w:rPr>
        <w:t>.</w:t>
      </w:r>
      <w:r w:rsidR="00A43329" w:rsidRPr="00602824">
        <w:rPr>
          <w:lang w:eastAsia="en-AU"/>
        </w:rPr>
        <w:t xml:space="preserve"> </w:t>
      </w:r>
      <w:r w:rsidR="00853C88" w:rsidRPr="00602824">
        <w:rPr>
          <w:lang w:eastAsia="en-AU"/>
        </w:rPr>
        <w:t xml:space="preserve">Their </w:t>
      </w:r>
      <w:r w:rsidR="0040137F" w:rsidRPr="00602824">
        <w:rPr>
          <w:lang w:eastAsia="en-AU"/>
        </w:rPr>
        <w:t>perspectives and input</w:t>
      </w:r>
      <w:r w:rsidR="00853C88" w:rsidRPr="00602824">
        <w:rPr>
          <w:lang w:eastAsia="en-AU"/>
        </w:rPr>
        <w:t xml:space="preserve"> have been included in a summarised form throughout the report.</w:t>
      </w:r>
    </w:p>
    <w:p w14:paraId="775F746E" w14:textId="47B931F5" w:rsidR="00853C88" w:rsidRPr="00602824" w:rsidRDefault="00853C88" w:rsidP="00B50EE7">
      <w:pPr>
        <w:pStyle w:val="Caption"/>
      </w:pPr>
      <w:bookmarkStart w:id="102" w:name="_Ref202779041"/>
      <w:r w:rsidRPr="00602824">
        <w:t xml:space="preserve">Table </w:t>
      </w:r>
      <w:r w:rsidR="002604D0">
        <w:fldChar w:fldCharType="begin"/>
      </w:r>
      <w:r w:rsidR="002604D0">
        <w:instrText xml:space="preserve"> SEQ Table \* ARABIC </w:instrText>
      </w:r>
      <w:r w:rsidR="002604D0">
        <w:fldChar w:fldCharType="separate"/>
      </w:r>
      <w:r w:rsidR="0092693A">
        <w:rPr>
          <w:noProof/>
        </w:rPr>
        <w:t>8</w:t>
      </w:r>
      <w:r w:rsidR="002604D0">
        <w:fldChar w:fldCharType="end"/>
      </w:r>
      <w:bookmarkEnd w:id="102"/>
      <w:r w:rsidRPr="00602824">
        <w:t xml:space="preserve"> | External stakeholders consulted </w:t>
      </w:r>
      <w:r w:rsidRPr="003C4ECA">
        <w:t xml:space="preserve">for </w:t>
      </w:r>
      <w:r w:rsidR="003C4ECA" w:rsidRPr="003C4ECA">
        <w:t>the evaluation</w:t>
      </w:r>
    </w:p>
    <w:tbl>
      <w:tblPr>
        <w:tblStyle w:val="NOUS1"/>
        <w:tblW w:w="5000" w:type="pct"/>
        <w:tblLook w:val="04A0" w:firstRow="1" w:lastRow="0" w:firstColumn="1" w:lastColumn="0" w:noHBand="0" w:noVBand="1"/>
      </w:tblPr>
      <w:tblGrid>
        <w:gridCol w:w="3065"/>
        <w:gridCol w:w="6120"/>
      </w:tblGrid>
      <w:tr w:rsidR="007C2D44" w:rsidRPr="00602824" w14:paraId="2C53AA99" w14:textId="77777777" w:rsidTr="00CF640B">
        <w:trPr>
          <w:cnfStyle w:val="100000000000" w:firstRow="1" w:lastRow="0" w:firstColumn="0" w:lastColumn="0" w:oddVBand="0" w:evenVBand="0" w:oddHBand="0" w:evenHBand="0" w:firstRowFirstColumn="0" w:firstRowLastColumn="0" w:lastRowFirstColumn="0" w:lastRowLastColumn="0"/>
        </w:trPr>
        <w:tc>
          <w:tcPr>
            <w:tcW w:w="2977" w:type="dxa"/>
          </w:tcPr>
          <w:p w14:paraId="2328CCF1" w14:textId="62BA58EB" w:rsidR="00CC01F7" w:rsidRPr="00602824" w:rsidRDefault="00CC01F7" w:rsidP="00FB712C">
            <w:pPr>
              <w:pStyle w:val="TableNheader"/>
              <w:spacing w:before="60" w:after="60" w:line="240" w:lineRule="auto"/>
            </w:pPr>
            <w:r w:rsidRPr="00602824">
              <w:t xml:space="preserve">Stakeholder group </w:t>
            </w:r>
          </w:p>
        </w:tc>
        <w:tc>
          <w:tcPr>
            <w:tcW w:w="5943" w:type="dxa"/>
          </w:tcPr>
          <w:p w14:paraId="6F4B06E0" w14:textId="21F223E3" w:rsidR="00CC01F7" w:rsidRPr="00602824" w:rsidRDefault="00CC01F7" w:rsidP="00FB712C">
            <w:pPr>
              <w:pStyle w:val="TableNheader"/>
              <w:spacing w:before="60" w:after="60" w:line="240" w:lineRule="auto"/>
            </w:pPr>
            <w:r w:rsidRPr="00602824">
              <w:t xml:space="preserve">Organisation </w:t>
            </w:r>
          </w:p>
        </w:tc>
      </w:tr>
      <w:tr w:rsidR="007C2D44" w:rsidRPr="00602824" w14:paraId="4B464A9B" w14:textId="77777777" w:rsidTr="00CF640B">
        <w:tc>
          <w:tcPr>
            <w:tcW w:w="2977" w:type="dxa"/>
          </w:tcPr>
          <w:p w14:paraId="20C486BA" w14:textId="53AB34A3" w:rsidR="00CC01F7" w:rsidRPr="00602824" w:rsidRDefault="00CC01F7" w:rsidP="00FB712C">
            <w:pPr>
              <w:pStyle w:val="TableNText"/>
              <w:spacing w:before="60" w:after="60" w:line="240" w:lineRule="auto"/>
            </w:pPr>
            <w:r w:rsidRPr="00602824">
              <w:t>Consumers representatives</w:t>
            </w:r>
          </w:p>
        </w:tc>
        <w:tc>
          <w:tcPr>
            <w:tcW w:w="5943" w:type="dxa"/>
          </w:tcPr>
          <w:p w14:paraId="2E714A90" w14:textId="3E8A27C6" w:rsidR="00CC01F7" w:rsidRPr="00602824" w:rsidRDefault="00CC01F7" w:rsidP="00FB712C">
            <w:pPr>
              <w:pStyle w:val="TableNBullet"/>
              <w:spacing w:before="60" w:after="60"/>
            </w:pPr>
            <w:r w:rsidRPr="00602824">
              <w:t>Consumer Health Forum (CHF)</w:t>
            </w:r>
          </w:p>
        </w:tc>
      </w:tr>
      <w:tr w:rsidR="007C2D44" w:rsidRPr="00602824" w14:paraId="2D41155C" w14:textId="77777777" w:rsidTr="00CF640B">
        <w:tc>
          <w:tcPr>
            <w:tcW w:w="2977" w:type="dxa"/>
          </w:tcPr>
          <w:p w14:paraId="62A90368" w14:textId="6A0F3FF5" w:rsidR="00CC01F7" w:rsidRPr="00602824" w:rsidRDefault="00CC01F7" w:rsidP="00FB712C">
            <w:pPr>
              <w:pStyle w:val="TableNText"/>
              <w:spacing w:before="60" w:after="60" w:line="240" w:lineRule="auto"/>
            </w:pPr>
            <w:r w:rsidRPr="00602824">
              <w:t xml:space="preserve">Independent and advisory bodies  </w:t>
            </w:r>
          </w:p>
        </w:tc>
        <w:tc>
          <w:tcPr>
            <w:tcW w:w="5943" w:type="dxa"/>
          </w:tcPr>
          <w:p w14:paraId="4FA5AEA9" w14:textId="523117A7" w:rsidR="00CC01F7" w:rsidRPr="00602824" w:rsidRDefault="008C5A33" w:rsidP="00FB712C">
            <w:pPr>
              <w:pStyle w:val="TableNBullet"/>
              <w:spacing w:before="60" w:after="60"/>
            </w:pPr>
            <w:r w:rsidRPr="00602824">
              <w:t xml:space="preserve">The Office of the </w:t>
            </w:r>
            <w:r w:rsidR="00CC01F7" w:rsidRPr="00602824">
              <w:t xml:space="preserve">Commonwealth Ombudsman – Industry Investigations </w:t>
            </w:r>
          </w:p>
          <w:p w14:paraId="08F4AA97" w14:textId="222A797D" w:rsidR="00CC01F7" w:rsidRPr="00602824" w:rsidRDefault="00CC01F7" w:rsidP="00FB712C">
            <w:pPr>
              <w:pStyle w:val="TableNBullet"/>
              <w:spacing w:before="60" w:after="60"/>
            </w:pPr>
            <w:r w:rsidRPr="00602824">
              <w:t>Medical Devices and Human Tissue Advisory Committee (MDHTAC)</w:t>
            </w:r>
          </w:p>
        </w:tc>
      </w:tr>
      <w:tr w:rsidR="007C2D44" w:rsidRPr="00602824" w14:paraId="4B1400A0" w14:textId="77777777" w:rsidTr="00CF640B">
        <w:tc>
          <w:tcPr>
            <w:tcW w:w="2977" w:type="dxa"/>
          </w:tcPr>
          <w:p w14:paraId="34DD2E3C" w14:textId="661585AD" w:rsidR="00CC01F7" w:rsidRPr="00602824" w:rsidRDefault="00CC01F7" w:rsidP="00FB712C">
            <w:pPr>
              <w:pStyle w:val="TableNText"/>
              <w:spacing w:before="60" w:after="60" w:line="240" w:lineRule="auto"/>
            </w:pPr>
            <w:r w:rsidRPr="00602824">
              <w:t>Clinician representatives</w:t>
            </w:r>
          </w:p>
        </w:tc>
        <w:tc>
          <w:tcPr>
            <w:tcW w:w="5943" w:type="dxa"/>
          </w:tcPr>
          <w:p w14:paraId="1C5B99B7" w14:textId="77777777" w:rsidR="00CC01F7" w:rsidRPr="00602824" w:rsidRDefault="00CC01F7" w:rsidP="00FB712C">
            <w:pPr>
              <w:pStyle w:val="TableNBullet"/>
              <w:spacing w:before="60" w:after="60"/>
            </w:pPr>
            <w:r w:rsidRPr="00602824">
              <w:t>Australian and New Zealand Association of Oral and Maxillofacial Surgeons (ANZAOMS)</w:t>
            </w:r>
          </w:p>
          <w:p w14:paraId="0124CC0A" w14:textId="77777777" w:rsidR="00CC01F7" w:rsidRPr="00602824" w:rsidRDefault="00CC01F7" w:rsidP="00FB712C">
            <w:pPr>
              <w:pStyle w:val="TableNBullet"/>
              <w:spacing w:before="60" w:after="60"/>
            </w:pPr>
            <w:r w:rsidRPr="00602824">
              <w:t>Australian Medical Association (AMA)</w:t>
            </w:r>
          </w:p>
          <w:p w14:paraId="7BB444D7" w14:textId="77777777" w:rsidR="00CC01F7" w:rsidRPr="00602824" w:rsidRDefault="00CC01F7" w:rsidP="00FB712C">
            <w:pPr>
              <w:pStyle w:val="TableNBullet"/>
              <w:spacing w:before="60" w:after="60"/>
            </w:pPr>
            <w:r w:rsidRPr="00602824">
              <w:t>Australian Orthopaedic Association (AOA)</w:t>
            </w:r>
          </w:p>
          <w:p w14:paraId="24437609" w14:textId="7E77C5A7" w:rsidR="00CC01F7" w:rsidRPr="00602824" w:rsidRDefault="00CC01F7" w:rsidP="00FB712C">
            <w:pPr>
              <w:pStyle w:val="TableNBullet"/>
              <w:spacing w:before="60" w:after="60"/>
            </w:pPr>
            <w:r w:rsidRPr="00602824">
              <w:t>Cardiac Society of Australia and New Zealand (C</w:t>
            </w:r>
            <w:r w:rsidR="00F21BA4">
              <w:t>S</w:t>
            </w:r>
            <w:r w:rsidRPr="00602824">
              <w:t>ANZ)</w:t>
            </w:r>
          </w:p>
        </w:tc>
      </w:tr>
      <w:tr w:rsidR="007C2D44" w:rsidRPr="00602824" w14:paraId="0F6E848B" w14:textId="77777777" w:rsidTr="00CF640B">
        <w:tc>
          <w:tcPr>
            <w:tcW w:w="2977" w:type="dxa"/>
          </w:tcPr>
          <w:p w14:paraId="5968CD4B" w14:textId="62B6185C" w:rsidR="00CC01F7" w:rsidRPr="00602824" w:rsidRDefault="00CC01F7" w:rsidP="00FB712C">
            <w:pPr>
              <w:pStyle w:val="TableNText"/>
              <w:spacing w:before="60" w:after="60" w:line="240" w:lineRule="auto"/>
            </w:pPr>
            <w:r w:rsidRPr="00602824">
              <w:t xml:space="preserve">Private health insurer representatives </w:t>
            </w:r>
          </w:p>
        </w:tc>
        <w:tc>
          <w:tcPr>
            <w:tcW w:w="5943" w:type="dxa"/>
          </w:tcPr>
          <w:p w14:paraId="5386D55B" w14:textId="77777777" w:rsidR="00CC01F7" w:rsidRPr="00602824" w:rsidRDefault="00CC01F7" w:rsidP="00FB712C">
            <w:pPr>
              <w:pStyle w:val="TableNBullet"/>
              <w:spacing w:before="60" w:after="60"/>
            </w:pPr>
            <w:r w:rsidRPr="00602824">
              <w:t>Australian Health Service Alliance (AHSA)</w:t>
            </w:r>
          </w:p>
          <w:p w14:paraId="2498A7EA" w14:textId="76B3EE4E" w:rsidR="00CC01F7" w:rsidRPr="00602824" w:rsidRDefault="00CC01F7" w:rsidP="00FB712C">
            <w:pPr>
              <w:pStyle w:val="TableNBullet"/>
              <w:spacing w:before="60" w:after="60"/>
            </w:pPr>
            <w:r w:rsidRPr="00602824">
              <w:t>Private Healthcare Australia (PHA)</w:t>
            </w:r>
          </w:p>
        </w:tc>
      </w:tr>
      <w:tr w:rsidR="007C2D44" w:rsidRPr="00602824" w14:paraId="3D024515" w14:textId="77777777" w:rsidTr="00CF640B">
        <w:tc>
          <w:tcPr>
            <w:tcW w:w="2977" w:type="dxa"/>
          </w:tcPr>
          <w:p w14:paraId="45B2D379" w14:textId="258D2C7E" w:rsidR="00CC01F7" w:rsidRPr="00602824" w:rsidRDefault="00CC01F7" w:rsidP="00FB712C">
            <w:pPr>
              <w:pStyle w:val="TableNText"/>
              <w:spacing w:before="60" w:after="60" w:line="240" w:lineRule="auto"/>
            </w:pPr>
            <w:r w:rsidRPr="00602824">
              <w:t xml:space="preserve">Hospital sector representatives </w:t>
            </w:r>
          </w:p>
        </w:tc>
        <w:tc>
          <w:tcPr>
            <w:tcW w:w="5943" w:type="dxa"/>
          </w:tcPr>
          <w:p w14:paraId="59334577" w14:textId="77777777" w:rsidR="00CC01F7" w:rsidRPr="00602824" w:rsidRDefault="00CC01F7" w:rsidP="00FB712C">
            <w:pPr>
              <w:pStyle w:val="TableNBullet"/>
              <w:spacing w:before="60" w:after="60"/>
            </w:pPr>
            <w:r w:rsidRPr="00602824">
              <w:t>Australian Private Hospitals Association (APHA)</w:t>
            </w:r>
          </w:p>
          <w:p w14:paraId="7867B11B" w14:textId="1EFCC46B" w:rsidR="00CC01F7" w:rsidRPr="00602824" w:rsidRDefault="00CC01F7" w:rsidP="00FB712C">
            <w:pPr>
              <w:pStyle w:val="TableNBullet"/>
              <w:spacing w:before="60" w:after="60"/>
            </w:pPr>
            <w:r w:rsidRPr="00602824">
              <w:t>Catholic Hospitals Australia (CHA)</w:t>
            </w:r>
          </w:p>
        </w:tc>
      </w:tr>
      <w:tr w:rsidR="007C2D44" w:rsidRPr="00602824" w14:paraId="5F37649D" w14:textId="77777777" w:rsidTr="00CF640B">
        <w:tc>
          <w:tcPr>
            <w:tcW w:w="2977" w:type="dxa"/>
          </w:tcPr>
          <w:p w14:paraId="1B20FC3D" w14:textId="33F0A8A1" w:rsidR="00CC01F7" w:rsidRPr="00602824" w:rsidRDefault="00CC01F7" w:rsidP="00FB712C">
            <w:pPr>
              <w:pStyle w:val="TableNText"/>
              <w:spacing w:before="60" w:after="60" w:line="240" w:lineRule="auto"/>
            </w:pPr>
            <w:r w:rsidRPr="00602824">
              <w:t xml:space="preserve">Medical device and technology industry representatives </w:t>
            </w:r>
          </w:p>
        </w:tc>
        <w:tc>
          <w:tcPr>
            <w:tcW w:w="5943" w:type="dxa"/>
          </w:tcPr>
          <w:p w14:paraId="630686E4" w14:textId="77777777" w:rsidR="00CC01F7" w:rsidRPr="00602824" w:rsidRDefault="00CC01F7" w:rsidP="00FB712C">
            <w:pPr>
              <w:pStyle w:val="TableNBullet"/>
              <w:spacing w:before="60" w:after="60"/>
            </w:pPr>
            <w:proofErr w:type="spellStart"/>
            <w:r w:rsidRPr="00602824">
              <w:t>AusBiotech</w:t>
            </w:r>
            <w:proofErr w:type="spellEnd"/>
          </w:p>
          <w:p w14:paraId="0C71B3DF" w14:textId="77777777" w:rsidR="00CC01F7" w:rsidRPr="00602824" w:rsidRDefault="00CC01F7" w:rsidP="00FB712C">
            <w:pPr>
              <w:pStyle w:val="TableNBullet"/>
              <w:spacing w:before="60" w:after="60"/>
            </w:pPr>
            <w:r w:rsidRPr="00602824">
              <w:t>Medical Technology Association of Australia (MTAA)</w:t>
            </w:r>
          </w:p>
          <w:p w14:paraId="5B79802F" w14:textId="010E19BA" w:rsidR="00CC01F7" w:rsidRPr="00602824" w:rsidRDefault="00CC01F7" w:rsidP="00FB712C">
            <w:pPr>
              <w:pStyle w:val="TableNBullet"/>
              <w:spacing w:before="60" w:after="60"/>
            </w:pPr>
            <w:r w:rsidRPr="00602824">
              <w:t>Medical Technology Association of Australia (MTAA) Cardiac Forum</w:t>
            </w:r>
          </w:p>
        </w:tc>
      </w:tr>
    </w:tbl>
    <w:p w14:paraId="4A969826" w14:textId="77777777" w:rsidR="00CC01F7" w:rsidRPr="00C43175" w:rsidRDefault="00CC01F7" w:rsidP="00C43175"/>
    <w:p w14:paraId="221E4D92" w14:textId="4FDC6935" w:rsidR="006F4FD0" w:rsidRPr="00602824" w:rsidRDefault="006F4FD0" w:rsidP="007E3C16">
      <w:pPr>
        <w:sectPr w:rsidR="006F4FD0" w:rsidRPr="00602824" w:rsidSect="00CF640B">
          <w:pgSz w:w="11907" w:h="16839" w:code="9"/>
          <w:pgMar w:top="1247" w:right="1361" w:bottom="1361" w:left="1361" w:header="720" w:footer="720" w:gutter="0"/>
          <w:cols w:space="720"/>
          <w:docGrid w:linePitch="360"/>
        </w:sectPr>
      </w:pPr>
    </w:p>
    <w:p w14:paraId="7F089CA9" w14:textId="333DCBDC" w:rsidR="00564733" w:rsidRPr="004A357C" w:rsidRDefault="003C4ECA" w:rsidP="00564733">
      <w:pPr>
        <w:pStyle w:val="xAppendixLevel1"/>
      </w:pPr>
      <w:bookmarkStart w:id="103" w:name="_Toc237002817"/>
      <w:r>
        <w:t>Detail on evaluation indicators</w:t>
      </w:r>
      <w:bookmarkEnd w:id="103"/>
    </w:p>
    <w:p w14:paraId="1FDF4419" w14:textId="088F1085" w:rsidR="002625ED" w:rsidRPr="004A357C" w:rsidRDefault="002625ED" w:rsidP="002625ED">
      <w:pPr>
        <w:pStyle w:val="xAppendixLevel2"/>
      </w:pPr>
      <w:bookmarkStart w:id="104" w:name="_Ref199417547"/>
      <w:bookmarkStart w:id="105" w:name="_Toc237002818"/>
      <w:r w:rsidRPr="004A357C">
        <w:t>Indicator 1: Reduction in benefits</w:t>
      </w:r>
      <w:bookmarkEnd w:id="104"/>
      <w:bookmarkEnd w:id="105"/>
    </w:p>
    <w:p w14:paraId="6F800F52" w14:textId="77777777" w:rsidR="00E24501" w:rsidRPr="004A357C" w:rsidRDefault="00E24501" w:rsidP="00861628">
      <w:pPr>
        <w:pStyle w:val="xAppendixLevel3"/>
      </w:pPr>
      <w:bookmarkStart w:id="106" w:name="_Ref202471043"/>
      <w:r w:rsidRPr="004A357C">
        <w:rPr>
          <w:color w:val="F25E21" w:themeColor="accent2"/>
        </w:rPr>
        <w:t xml:space="preserve">Measure 1.1: </w:t>
      </w:r>
      <w:r w:rsidRPr="004A357C">
        <w:t>Change in PL benefits</w:t>
      </w:r>
    </w:p>
    <w:p w14:paraId="1DE41895" w14:textId="79FDFD8E" w:rsidR="00E14A9B" w:rsidRPr="004A357C" w:rsidRDefault="006B7BBA" w:rsidP="00B50EE7">
      <w:pPr>
        <w:pStyle w:val="Caption"/>
      </w:pPr>
      <w:bookmarkStart w:id="107" w:name="_Ref202471095"/>
      <w:r w:rsidRPr="004A357C">
        <w:t xml:space="preserve">Table </w:t>
      </w:r>
      <w:r w:rsidR="002604D0">
        <w:fldChar w:fldCharType="begin"/>
      </w:r>
      <w:r w:rsidR="002604D0">
        <w:instrText xml:space="preserve"> SEQ Table \* ARABIC </w:instrText>
      </w:r>
      <w:r w:rsidR="002604D0">
        <w:fldChar w:fldCharType="separate"/>
      </w:r>
      <w:r w:rsidR="0092693A">
        <w:rPr>
          <w:noProof/>
        </w:rPr>
        <w:t>9</w:t>
      </w:r>
      <w:r w:rsidR="002604D0">
        <w:fldChar w:fldCharType="end"/>
      </w:r>
      <w:bookmarkEnd w:id="106"/>
      <w:bookmarkEnd w:id="107"/>
      <w:r w:rsidRPr="004A357C">
        <w:t xml:space="preserve"> | Benefit groups and items subject to reform reductions (Parts A and D, excluding CIED items)</w:t>
      </w:r>
      <w:r w:rsidR="003D325A" w:rsidRPr="004A357C">
        <w:rPr>
          <w:rStyle w:val="FootnoteReference"/>
        </w:rPr>
        <w:footnoteReference w:id="139"/>
      </w:r>
    </w:p>
    <w:tbl>
      <w:tblPr>
        <w:tblStyle w:val="NOUSSideHeader1"/>
        <w:tblW w:w="5000" w:type="pct"/>
        <w:tblLook w:val="04A0" w:firstRow="1" w:lastRow="0" w:firstColumn="1" w:lastColumn="0" w:noHBand="0" w:noVBand="1"/>
      </w:tblPr>
      <w:tblGrid>
        <w:gridCol w:w="2771"/>
        <w:gridCol w:w="3499"/>
        <w:gridCol w:w="2915"/>
      </w:tblGrid>
      <w:tr w:rsidR="004026B4" w:rsidRPr="004A357C" w14:paraId="3AF216B4" w14:textId="77777777" w:rsidTr="0026031A">
        <w:trPr>
          <w:cnfStyle w:val="100000000000" w:firstRow="1" w:lastRow="0" w:firstColumn="0" w:lastColumn="0" w:oddVBand="0" w:evenVBand="0" w:oddHBand="0" w:evenHBand="0" w:firstRowFirstColumn="0" w:firstRowLastColumn="0" w:lastRowFirstColumn="0" w:lastRowLastColumn="0"/>
        </w:trPr>
        <w:tc>
          <w:tcPr>
            <w:tcW w:w="2694" w:type="dxa"/>
          </w:tcPr>
          <w:p w14:paraId="492ACAED" w14:textId="77777777" w:rsidR="00FF1004" w:rsidRPr="004A357C" w:rsidRDefault="00FF1004" w:rsidP="00FB712C">
            <w:pPr>
              <w:pStyle w:val="TableNheader"/>
              <w:spacing w:before="60" w:after="60" w:line="240" w:lineRule="auto"/>
              <w:outlineLvl w:val="3"/>
              <w:rPr>
                <w:b/>
              </w:rPr>
            </w:pPr>
            <w:r w:rsidRPr="004A357C">
              <w:t>Categories</w:t>
            </w:r>
          </w:p>
        </w:tc>
        <w:tc>
          <w:tcPr>
            <w:tcW w:w="3402" w:type="dxa"/>
          </w:tcPr>
          <w:p w14:paraId="09B7C26A" w14:textId="77777777" w:rsidR="00FF1004" w:rsidRPr="004A357C" w:rsidRDefault="00FF1004" w:rsidP="00FB712C">
            <w:pPr>
              <w:pStyle w:val="TableNheader"/>
              <w:spacing w:before="60" w:after="60" w:line="240" w:lineRule="auto"/>
              <w:jc w:val="center"/>
              <w:outlineLvl w:val="3"/>
              <w:rPr>
                <w:b/>
              </w:rPr>
            </w:pPr>
            <w:r w:rsidRPr="004A357C">
              <w:t>Benefits groups subject to reductions</w:t>
            </w:r>
          </w:p>
        </w:tc>
        <w:tc>
          <w:tcPr>
            <w:tcW w:w="2834" w:type="dxa"/>
          </w:tcPr>
          <w:p w14:paraId="69AA0797" w14:textId="77777777" w:rsidR="00FF1004" w:rsidRPr="004A357C" w:rsidRDefault="00FF1004" w:rsidP="00FB712C">
            <w:pPr>
              <w:pStyle w:val="TableNheader"/>
              <w:spacing w:before="60" w:after="60" w:line="240" w:lineRule="auto"/>
              <w:jc w:val="center"/>
              <w:outlineLvl w:val="3"/>
              <w:rPr>
                <w:b/>
              </w:rPr>
            </w:pPr>
            <w:r w:rsidRPr="004A357C">
              <w:t>Items subject to reductions</w:t>
            </w:r>
          </w:p>
        </w:tc>
      </w:tr>
      <w:tr w:rsidR="00B37A1E" w:rsidRPr="004A357C" w14:paraId="40148BC8" w14:textId="77777777" w:rsidTr="006B2326">
        <w:trPr>
          <w:cnfStyle w:val="000000100000" w:firstRow="0" w:lastRow="0" w:firstColumn="0" w:lastColumn="0" w:oddVBand="0" w:evenVBand="0" w:oddHBand="1" w:evenHBand="0" w:firstRowFirstColumn="0" w:firstRowLastColumn="0" w:lastRowFirstColumn="0" w:lastRowLastColumn="0"/>
        </w:trPr>
        <w:tc>
          <w:tcPr>
            <w:tcW w:w="2694" w:type="dxa"/>
          </w:tcPr>
          <w:p w14:paraId="745DD1FA" w14:textId="2BD9C2CB" w:rsidR="00E5293C" w:rsidRPr="004A357C" w:rsidRDefault="00E5293C" w:rsidP="00E5293C">
            <w:pPr>
              <w:pStyle w:val="TableNText"/>
              <w:spacing w:before="60" w:after="60" w:line="240" w:lineRule="auto"/>
              <w:outlineLvl w:val="3"/>
              <w:rPr>
                <w:rFonts w:asciiTheme="majorHAnsi" w:hAnsiTheme="majorHAnsi" w:cstheme="majorHAnsi"/>
              </w:rPr>
            </w:pPr>
            <w:r w:rsidRPr="004A357C">
              <w:rPr>
                <w:rFonts w:asciiTheme="majorHAnsi" w:hAnsiTheme="majorHAnsi" w:cstheme="majorHAnsi"/>
              </w:rPr>
              <w:t>01 – Ophthalmic</w:t>
            </w:r>
          </w:p>
        </w:tc>
        <w:tc>
          <w:tcPr>
            <w:tcW w:w="3402" w:type="dxa"/>
          </w:tcPr>
          <w:p w14:paraId="4E4D54D0" w14:textId="7FD1FDB9" w:rsidR="00E5293C" w:rsidRPr="004A357C" w:rsidRDefault="00E5293C" w:rsidP="00E5293C">
            <w:pPr>
              <w:pStyle w:val="TableNText"/>
              <w:spacing w:before="60" w:after="60" w:line="240" w:lineRule="auto"/>
              <w:jc w:val="center"/>
              <w:outlineLvl w:val="3"/>
            </w:pPr>
            <w:r w:rsidRPr="00CF2318">
              <w:t>26</w:t>
            </w:r>
          </w:p>
        </w:tc>
        <w:tc>
          <w:tcPr>
            <w:tcW w:w="2834" w:type="dxa"/>
          </w:tcPr>
          <w:p w14:paraId="07BB861C" w14:textId="2974B206" w:rsidR="00E5293C" w:rsidRPr="004A357C" w:rsidRDefault="00E5293C" w:rsidP="00E5293C">
            <w:pPr>
              <w:pStyle w:val="TableNText"/>
              <w:spacing w:before="60" w:after="60" w:line="240" w:lineRule="auto"/>
              <w:jc w:val="center"/>
              <w:outlineLvl w:val="3"/>
            </w:pPr>
            <w:r w:rsidRPr="00CF2318">
              <w:t>170</w:t>
            </w:r>
          </w:p>
        </w:tc>
      </w:tr>
      <w:tr w:rsidR="00B37A1E" w:rsidRPr="004A357C" w14:paraId="58504D7A" w14:textId="77777777" w:rsidTr="006B2326">
        <w:trPr>
          <w:cnfStyle w:val="000000010000" w:firstRow="0" w:lastRow="0" w:firstColumn="0" w:lastColumn="0" w:oddVBand="0" w:evenVBand="0" w:oddHBand="0" w:evenHBand="1" w:firstRowFirstColumn="0" w:firstRowLastColumn="0" w:lastRowFirstColumn="0" w:lastRowLastColumn="0"/>
        </w:trPr>
        <w:tc>
          <w:tcPr>
            <w:tcW w:w="2694" w:type="dxa"/>
          </w:tcPr>
          <w:p w14:paraId="6F43468E" w14:textId="4BD7A482" w:rsidR="00E5293C" w:rsidRPr="004A357C" w:rsidRDefault="00E5293C" w:rsidP="00E5293C">
            <w:pPr>
              <w:pStyle w:val="TableNText"/>
              <w:spacing w:before="60" w:after="60" w:line="240" w:lineRule="auto"/>
              <w:outlineLvl w:val="3"/>
              <w:rPr>
                <w:rFonts w:asciiTheme="majorHAnsi" w:hAnsiTheme="majorHAnsi" w:cstheme="majorHAnsi"/>
              </w:rPr>
            </w:pPr>
            <w:r w:rsidRPr="004A357C">
              <w:rPr>
                <w:rFonts w:asciiTheme="majorHAnsi" w:hAnsiTheme="majorHAnsi" w:cstheme="majorHAnsi"/>
              </w:rPr>
              <w:t>02 – Ear, Nose &amp; Throat</w:t>
            </w:r>
          </w:p>
        </w:tc>
        <w:tc>
          <w:tcPr>
            <w:tcW w:w="3402" w:type="dxa"/>
          </w:tcPr>
          <w:p w14:paraId="02F699B2" w14:textId="77AAE09F" w:rsidR="00E5293C" w:rsidRPr="004A357C" w:rsidRDefault="00E5293C" w:rsidP="00E5293C">
            <w:pPr>
              <w:pStyle w:val="TableNText"/>
              <w:spacing w:before="60" w:after="60" w:line="240" w:lineRule="auto"/>
              <w:jc w:val="center"/>
              <w:outlineLvl w:val="3"/>
            </w:pPr>
            <w:r w:rsidRPr="00CF2318">
              <w:t>6</w:t>
            </w:r>
          </w:p>
        </w:tc>
        <w:tc>
          <w:tcPr>
            <w:tcW w:w="2834" w:type="dxa"/>
          </w:tcPr>
          <w:p w14:paraId="4972E88D" w14:textId="2871BEE1" w:rsidR="00E5293C" w:rsidRPr="004A357C" w:rsidRDefault="00E5293C" w:rsidP="00E5293C">
            <w:pPr>
              <w:pStyle w:val="TableNText"/>
              <w:spacing w:before="60" w:after="60" w:line="240" w:lineRule="auto"/>
              <w:jc w:val="center"/>
              <w:outlineLvl w:val="3"/>
            </w:pPr>
            <w:r w:rsidRPr="00CF2318">
              <w:t>25</w:t>
            </w:r>
          </w:p>
        </w:tc>
      </w:tr>
      <w:tr w:rsidR="00B37A1E" w:rsidRPr="004A357C" w14:paraId="7CAF9D4C" w14:textId="77777777" w:rsidTr="006B2326">
        <w:trPr>
          <w:cnfStyle w:val="000000100000" w:firstRow="0" w:lastRow="0" w:firstColumn="0" w:lastColumn="0" w:oddVBand="0" w:evenVBand="0" w:oddHBand="1" w:evenHBand="0" w:firstRowFirstColumn="0" w:firstRowLastColumn="0" w:lastRowFirstColumn="0" w:lastRowLastColumn="0"/>
        </w:trPr>
        <w:tc>
          <w:tcPr>
            <w:tcW w:w="2694" w:type="dxa"/>
          </w:tcPr>
          <w:p w14:paraId="1BB93383" w14:textId="2ACEF774" w:rsidR="00E5293C" w:rsidRPr="004A357C" w:rsidRDefault="00E5293C" w:rsidP="00E5293C">
            <w:pPr>
              <w:pStyle w:val="TableNText"/>
              <w:spacing w:before="60" w:after="60" w:line="240" w:lineRule="auto"/>
              <w:outlineLvl w:val="3"/>
              <w:rPr>
                <w:rFonts w:asciiTheme="majorHAnsi" w:hAnsiTheme="majorHAnsi" w:cstheme="majorHAnsi"/>
              </w:rPr>
            </w:pPr>
            <w:r w:rsidRPr="004A357C">
              <w:rPr>
                <w:rFonts w:asciiTheme="majorHAnsi" w:hAnsiTheme="majorHAnsi" w:cstheme="majorHAnsi"/>
              </w:rPr>
              <w:t>03 – General Miscellaneous</w:t>
            </w:r>
          </w:p>
        </w:tc>
        <w:tc>
          <w:tcPr>
            <w:tcW w:w="3402" w:type="dxa"/>
          </w:tcPr>
          <w:p w14:paraId="2AF9FB89" w14:textId="5FB22B40" w:rsidR="00E5293C" w:rsidRPr="004A357C" w:rsidRDefault="00E5293C" w:rsidP="00E5293C">
            <w:pPr>
              <w:pStyle w:val="TableNText"/>
              <w:spacing w:before="60" w:after="60" w:line="240" w:lineRule="auto"/>
              <w:jc w:val="center"/>
              <w:outlineLvl w:val="3"/>
            </w:pPr>
            <w:r w:rsidRPr="00CF2318">
              <w:t>68</w:t>
            </w:r>
          </w:p>
        </w:tc>
        <w:tc>
          <w:tcPr>
            <w:tcW w:w="2834" w:type="dxa"/>
          </w:tcPr>
          <w:p w14:paraId="53339388" w14:textId="085B1723" w:rsidR="00E5293C" w:rsidRPr="004A357C" w:rsidRDefault="00E5293C" w:rsidP="00E5293C">
            <w:pPr>
              <w:pStyle w:val="TableNText"/>
              <w:spacing w:before="60" w:after="60" w:line="240" w:lineRule="auto"/>
              <w:jc w:val="center"/>
              <w:outlineLvl w:val="3"/>
            </w:pPr>
            <w:r w:rsidRPr="00CF2318">
              <w:t>232</w:t>
            </w:r>
          </w:p>
        </w:tc>
      </w:tr>
      <w:tr w:rsidR="00B37A1E" w:rsidRPr="004A357C" w14:paraId="2FEA76A6" w14:textId="77777777" w:rsidTr="006B2326">
        <w:trPr>
          <w:cnfStyle w:val="000000010000" w:firstRow="0" w:lastRow="0" w:firstColumn="0" w:lastColumn="0" w:oddVBand="0" w:evenVBand="0" w:oddHBand="0" w:evenHBand="1" w:firstRowFirstColumn="0" w:firstRowLastColumn="0" w:lastRowFirstColumn="0" w:lastRowLastColumn="0"/>
        </w:trPr>
        <w:tc>
          <w:tcPr>
            <w:tcW w:w="2694" w:type="dxa"/>
          </w:tcPr>
          <w:p w14:paraId="78326517" w14:textId="60F7EA04" w:rsidR="00E5293C" w:rsidRPr="004A357C" w:rsidRDefault="00E5293C" w:rsidP="00E5293C">
            <w:pPr>
              <w:pStyle w:val="TableNText"/>
              <w:spacing w:before="60" w:after="60" w:line="240" w:lineRule="auto"/>
              <w:outlineLvl w:val="3"/>
              <w:rPr>
                <w:rFonts w:asciiTheme="majorHAnsi" w:hAnsiTheme="majorHAnsi" w:cstheme="majorHAnsi"/>
              </w:rPr>
            </w:pPr>
            <w:r w:rsidRPr="004A357C">
              <w:rPr>
                <w:rFonts w:asciiTheme="majorHAnsi" w:hAnsiTheme="majorHAnsi" w:cstheme="majorHAnsi"/>
              </w:rPr>
              <w:t>04 – Neurosurgical</w:t>
            </w:r>
          </w:p>
        </w:tc>
        <w:tc>
          <w:tcPr>
            <w:tcW w:w="3402" w:type="dxa"/>
          </w:tcPr>
          <w:p w14:paraId="405D268E" w14:textId="1086FF30" w:rsidR="00E5293C" w:rsidRPr="004A357C" w:rsidRDefault="00E5293C" w:rsidP="00E5293C">
            <w:pPr>
              <w:pStyle w:val="TableNText"/>
              <w:spacing w:before="60" w:after="60" w:line="240" w:lineRule="auto"/>
              <w:jc w:val="center"/>
              <w:outlineLvl w:val="3"/>
            </w:pPr>
            <w:r w:rsidRPr="00CF2318">
              <w:t>23</w:t>
            </w:r>
          </w:p>
        </w:tc>
        <w:tc>
          <w:tcPr>
            <w:tcW w:w="2834" w:type="dxa"/>
          </w:tcPr>
          <w:p w14:paraId="509CF186" w14:textId="4991788B" w:rsidR="00E5293C" w:rsidRPr="004A357C" w:rsidRDefault="00E5293C" w:rsidP="00E5293C">
            <w:pPr>
              <w:pStyle w:val="TableNText"/>
              <w:spacing w:before="60" w:after="60" w:line="240" w:lineRule="auto"/>
              <w:jc w:val="center"/>
              <w:outlineLvl w:val="3"/>
            </w:pPr>
            <w:r w:rsidRPr="00CF2318">
              <w:t>88</w:t>
            </w:r>
          </w:p>
        </w:tc>
      </w:tr>
      <w:tr w:rsidR="00B37A1E" w:rsidRPr="004A357C" w14:paraId="12BEFA4C" w14:textId="77777777" w:rsidTr="006B2326">
        <w:trPr>
          <w:cnfStyle w:val="000000100000" w:firstRow="0" w:lastRow="0" w:firstColumn="0" w:lastColumn="0" w:oddVBand="0" w:evenVBand="0" w:oddHBand="1" w:evenHBand="0" w:firstRowFirstColumn="0" w:firstRowLastColumn="0" w:lastRowFirstColumn="0" w:lastRowLastColumn="0"/>
        </w:trPr>
        <w:tc>
          <w:tcPr>
            <w:tcW w:w="2694" w:type="dxa"/>
          </w:tcPr>
          <w:p w14:paraId="50D69765" w14:textId="21D9833B" w:rsidR="00E5293C" w:rsidRPr="004A357C" w:rsidRDefault="00E5293C" w:rsidP="00E5293C">
            <w:pPr>
              <w:pStyle w:val="TableNText"/>
              <w:spacing w:before="60" w:after="60" w:line="240" w:lineRule="auto"/>
              <w:outlineLvl w:val="3"/>
              <w:rPr>
                <w:rFonts w:asciiTheme="majorHAnsi" w:hAnsiTheme="majorHAnsi" w:cstheme="majorHAnsi"/>
              </w:rPr>
            </w:pPr>
            <w:r w:rsidRPr="004A357C">
              <w:rPr>
                <w:rFonts w:asciiTheme="majorHAnsi" w:hAnsiTheme="majorHAnsi" w:cstheme="majorHAnsi"/>
              </w:rPr>
              <w:t>05 – Urogenital</w:t>
            </w:r>
          </w:p>
        </w:tc>
        <w:tc>
          <w:tcPr>
            <w:tcW w:w="3402" w:type="dxa"/>
          </w:tcPr>
          <w:p w14:paraId="537AD668" w14:textId="270A6224" w:rsidR="00E5293C" w:rsidRPr="004A357C" w:rsidRDefault="00E5293C" w:rsidP="00E5293C">
            <w:pPr>
              <w:pStyle w:val="TableNText"/>
              <w:spacing w:before="60" w:after="60" w:line="240" w:lineRule="auto"/>
              <w:jc w:val="center"/>
              <w:outlineLvl w:val="3"/>
            </w:pPr>
            <w:r w:rsidRPr="00CF2318">
              <w:t>10</w:t>
            </w:r>
          </w:p>
        </w:tc>
        <w:tc>
          <w:tcPr>
            <w:tcW w:w="2834" w:type="dxa"/>
          </w:tcPr>
          <w:p w14:paraId="2A803005" w14:textId="11BFAC80" w:rsidR="00E5293C" w:rsidRPr="004A357C" w:rsidRDefault="00E5293C" w:rsidP="00E5293C">
            <w:pPr>
              <w:pStyle w:val="TableNText"/>
              <w:spacing w:before="60" w:after="60" w:line="240" w:lineRule="auto"/>
              <w:jc w:val="center"/>
              <w:outlineLvl w:val="3"/>
            </w:pPr>
            <w:r w:rsidRPr="00CF2318">
              <w:t>55</w:t>
            </w:r>
          </w:p>
        </w:tc>
      </w:tr>
      <w:tr w:rsidR="00B37A1E" w:rsidRPr="004A357C" w14:paraId="45615236" w14:textId="77777777" w:rsidTr="006B2326">
        <w:trPr>
          <w:cnfStyle w:val="000000010000" w:firstRow="0" w:lastRow="0" w:firstColumn="0" w:lastColumn="0" w:oddVBand="0" w:evenVBand="0" w:oddHBand="0" w:evenHBand="1" w:firstRowFirstColumn="0" w:firstRowLastColumn="0" w:lastRowFirstColumn="0" w:lastRowLastColumn="0"/>
        </w:trPr>
        <w:tc>
          <w:tcPr>
            <w:tcW w:w="2694" w:type="dxa"/>
          </w:tcPr>
          <w:p w14:paraId="4394FE37" w14:textId="308C37DD" w:rsidR="00E5293C" w:rsidRPr="004A357C" w:rsidRDefault="00E5293C" w:rsidP="00E5293C">
            <w:pPr>
              <w:pStyle w:val="TableNText"/>
              <w:spacing w:before="60" w:after="60" w:line="240" w:lineRule="auto"/>
              <w:outlineLvl w:val="3"/>
              <w:rPr>
                <w:rFonts w:asciiTheme="majorHAnsi" w:hAnsiTheme="majorHAnsi" w:cstheme="majorHAnsi"/>
              </w:rPr>
            </w:pPr>
            <w:r w:rsidRPr="004A357C">
              <w:rPr>
                <w:rFonts w:asciiTheme="majorHAnsi" w:hAnsiTheme="majorHAnsi" w:cstheme="majorHAnsi"/>
              </w:rPr>
              <w:t>06 – Specialist Orthopaedic</w:t>
            </w:r>
          </w:p>
        </w:tc>
        <w:tc>
          <w:tcPr>
            <w:tcW w:w="3402" w:type="dxa"/>
          </w:tcPr>
          <w:p w14:paraId="45E95E32" w14:textId="771FCC0F" w:rsidR="00E5293C" w:rsidRPr="004A357C" w:rsidRDefault="00E5293C" w:rsidP="00E5293C">
            <w:pPr>
              <w:pStyle w:val="TableNText"/>
              <w:spacing w:before="60" w:after="60" w:line="240" w:lineRule="auto"/>
              <w:jc w:val="center"/>
              <w:outlineLvl w:val="3"/>
            </w:pPr>
            <w:r w:rsidRPr="00CF2318">
              <w:t>173</w:t>
            </w:r>
          </w:p>
        </w:tc>
        <w:tc>
          <w:tcPr>
            <w:tcW w:w="2834" w:type="dxa"/>
          </w:tcPr>
          <w:p w14:paraId="24CF7251" w14:textId="23119B62" w:rsidR="00E5293C" w:rsidRPr="004A357C" w:rsidRDefault="00E5293C" w:rsidP="00E5293C">
            <w:pPr>
              <w:pStyle w:val="TableNText"/>
              <w:spacing w:before="60" w:after="60" w:line="240" w:lineRule="auto"/>
              <w:jc w:val="center"/>
              <w:outlineLvl w:val="3"/>
            </w:pPr>
            <w:r w:rsidRPr="00CF2318">
              <w:t>1</w:t>
            </w:r>
            <w:r>
              <w:t>,8</w:t>
            </w:r>
            <w:r w:rsidRPr="00CF2318">
              <w:t>45</w:t>
            </w:r>
          </w:p>
        </w:tc>
      </w:tr>
      <w:tr w:rsidR="00B37A1E" w:rsidRPr="004A357C" w14:paraId="19599287" w14:textId="77777777" w:rsidTr="006B2326">
        <w:trPr>
          <w:cnfStyle w:val="000000100000" w:firstRow="0" w:lastRow="0" w:firstColumn="0" w:lastColumn="0" w:oddVBand="0" w:evenVBand="0" w:oddHBand="1" w:evenHBand="0" w:firstRowFirstColumn="0" w:firstRowLastColumn="0" w:lastRowFirstColumn="0" w:lastRowLastColumn="0"/>
        </w:trPr>
        <w:tc>
          <w:tcPr>
            <w:tcW w:w="2694" w:type="dxa"/>
          </w:tcPr>
          <w:p w14:paraId="419BB1B7" w14:textId="0E47F36D" w:rsidR="00E5293C" w:rsidRPr="004A357C" w:rsidRDefault="00E5293C" w:rsidP="00E5293C">
            <w:pPr>
              <w:pStyle w:val="TableNText"/>
              <w:spacing w:before="60" w:after="60" w:line="240" w:lineRule="auto"/>
              <w:outlineLvl w:val="3"/>
              <w:rPr>
                <w:rFonts w:asciiTheme="majorHAnsi" w:hAnsiTheme="majorHAnsi" w:cstheme="majorHAnsi"/>
              </w:rPr>
            </w:pPr>
            <w:r w:rsidRPr="004A357C">
              <w:rPr>
                <w:rFonts w:asciiTheme="majorHAnsi" w:hAnsiTheme="majorHAnsi" w:cstheme="majorHAnsi"/>
              </w:rPr>
              <w:t>07 – Plastic and Reconstructive</w:t>
            </w:r>
          </w:p>
        </w:tc>
        <w:tc>
          <w:tcPr>
            <w:tcW w:w="3402" w:type="dxa"/>
          </w:tcPr>
          <w:p w14:paraId="0CFD99FE" w14:textId="6EA0A492" w:rsidR="00E5293C" w:rsidRPr="004A357C" w:rsidRDefault="00E5293C" w:rsidP="00E5293C">
            <w:pPr>
              <w:pStyle w:val="TableNText"/>
              <w:spacing w:before="60" w:after="60" w:line="240" w:lineRule="auto"/>
              <w:jc w:val="center"/>
              <w:outlineLvl w:val="3"/>
            </w:pPr>
            <w:r w:rsidRPr="00CF2318">
              <w:t>73</w:t>
            </w:r>
          </w:p>
        </w:tc>
        <w:tc>
          <w:tcPr>
            <w:tcW w:w="2834" w:type="dxa"/>
          </w:tcPr>
          <w:p w14:paraId="780956F3" w14:textId="73ECADD2" w:rsidR="00E5293C" w:rsidRPr="004A357C" w:rsidRDefault="00E5293C" w:rsidP="00E5293C">
            <w:pPr>
              <w:pStyle w:val="TableNText"/>
              <w:spacing w:before="60" w:after="60" w:line="240" w:lineRule="auto"/>
              <w:jc w:val="center"/>
              <w:outlineLvl w:val="3"/>
            </w:pPr>
            <w:r w:rsidRPr="00CF2318">
              <w:t>248</w:t>
            </w:r>
          </w:p>
        </w:tc>
      </w:tr>
      <w:tr w:rsidR="00B37A1E" w:rsidRPr="004A357C" w14:paraId="2AB27968" w14:textId="77777777" w:rsidTr="006B2326">
        <w:trPr>
          <w:cnfStyle w:val="000000010000" w:firstRow="0" w:lastRow="0" w:firstColumn="0" w:lastColumn="0" w:oddVBand="0" w:evenVBand="0" w:oddHBand="0" w:evenHBand="1" w:firstRowFirstColumn="0" w:firstRowLastColumn="0" w:lastRowFirstColumn="0" w:lastRowLastColumn="0"/>
        </w:trPr>
        <w:tc>
          <w:tcPr>
            <w:tcW w:w="2694" w:type="dxa"/>
          </w:tcPr>
          <w:p w14:paraId="1C570E66" w14:textId="795263C7" w:rsidR="00E5293C" w:rsidRPr="004A357C" w:rsidRDefault="00E5293C" w:rsidP="00E5293C">
            <w:pPr>
              <w:pStyle w:val="TableNText"/>
              <w:spacing w:before="60" w:after="60" w:line="240" w:lineRule="auto"/>
              <w:outlineLvl w:val="3"/>
              <w:rPr>
                <w:rFonts w:asciiTheme="majorHAnsi" w:hAnsiTheme="majorHAnsi" w:cstheme="majorHAnsi"/>
              </w:rPr>
            </w:pPr>
            <w:r w:rsidRPr="004A357C">
              <w:rPr>
                <w:rFonts w:asciiTheme="majorHAnsi" w:hAnsiTheme="majorHAnsi" w:cstheme="majorHAnsi"/>
              </w:rPr>
              <w:t>08 – Cardiac</w:t>
            </w:r>
          </w:p>
        </w:tc>
        <w:tc>
          <w:tcPr>
            <w:tcW w:w="3402" w:type="dxa"/>
          </w:tcPr>
          <w:p w14:paraId="52D03239" w14:textId="672E45E5" w:rsidR="00E5293C" w:rsidRPr="004A357C" w:rsidRDefault="00E5293C" w:rsidP="00E5293C">
            <w:pPr>
              <w:pStyle w:val="TableNText"/>
              <w:spacing w:before="60" w:after="60" w:line="240" w:lineRule="auto"/>
              <w:jc w:val="center"/>
              <w:outlineLvl w:val="3"/>
            </w:pPr>
            <w:r w:rsidRPr="00CF2318">
              <w:t>3</w:t>
            </w:r>
          </w:p>
        </w:tc>
        <w:tc>
          <w:tcPr>
            <w:tcW w:w="2834" w:type="dxa"/>
          </w:tcPr>
          <w:p w14:paraId="1823A660" w14:textId="27303E88" w:rsidR="00E5293C" w:rsidRPr="004A357C" w:rsidRDefault="00E5293C" w:rsidP="00E5293C">
            <w:pPr>
              <w:pStyle w:val="TableNText"/>
              <w:spacing w:before="60" w:after="60" w:line="240" w:lineRule="auto"/>
              <w:jc w:val="center"/>
              <w:outlineLvl w:val="3"/>
            </w:pPr>
            <w:r w:rsidRPr="00CF2318">
              <w:t>23</w:t>
            </w:r>
          </w:p>
        </w:tc>
      </w:tr>
      <w:tr w:rsidR="00B37A1E" w:rsidRPr="004A357C" w14:paraId="3124D8DD" w14:textId="77777777" w:rsidTr="006B2326">
        <w:trPr>
          <w:cnfStyle w:val="000000100000" w:firstRow="0" w:lastRow="0" w:firstColumn="0" w:lastColumn="0" w:oddVBand="0" w:evenVBand="0" w:oddHBand="1" w:evenHBand="0" w:firstRowFirstColumn="0" w:firstRowLastColumn="0" w:lastRowFirstColumn="0" w:lastRowLastColumn="0"/>
        </w:trPr>
        <w:tc>
          <w:tcPr>
            <w:tcW w:w="2694" w:type="dxa"/>
          </w:tcPr>
          <w:p w14:paraId="1BE85E07" w14:textId="68CAB88F" w:rsidR="00E5293C" w:rsidRPr="004A357C" w:rsidRDefault="00E5293C" w:rsidP="00E5293C">
            <w:pPr>
              <w:pStyle w:val="TableNText"/>
              <w:spacing w:before="60" w:after="60" w:line="240" w:lineRule="auto"/>
              <w:outlineLvl w:val="3"/>
              <w:rPr>
                <w:rFonts w:asciiTheme="majorHAnsi" w:hAnsiTheme="majorHAnsi" w:cstheme="majorHAnsi"/>
              </w:rPr>
            </w:pPr>
            <w:r w:rsidRPr="004A357C">
              <w:rPr>
                <w:rFonts w:asciiTheme="majorHAnsi" w:hAnsiTheme="majorHAnsi" w:cstheme="majorHAnsi"/>
              </w:rPr>
              <w:t>09 – Cardiothoracic</w:t>
            </w:r>
          </w:p>
        </w:tc>
        <w:tc>
          <w:tcPr>
            <w:tcW w:w="3402" w:type="dxa"/>
          </w:tcPr>
          <w:p w14:paraId="3C6C04D1" w14:textId="0638C61A" w:rsidR="00E5293C" w:rsidRPr="004A357C" w:rsidRDefault="00E5293C" w:rsidP="00E5293C">
            <w:pPr>
              <w:pStyle w:val="TableNText"/>
              <w:spacing w:before="60" w:after="60" w:line="240" w:lineRule="auto"/>
              <w:jc w:val="center"/>
              <w:outlineLvl w:val="3"/>
            </w:pPr>
            <w:r w:rsidRPr="00CF2318">
              <w:t>8</w:t>
            </w:r>
          </w:p>
        </w:tc>
        <w:tc>
          <w:tcPr>
            <w:tcW w:w="2834" w:type="dxa"/>
          </w:tcPr>
          <w:p w14:paraId="17018A57" w14:textId="6D88E8E7" w:rsidR="00E5293C" w:rsidRPr="004A357C" w:rsidRDefault="00E5293C" w:rsidP="00E5293C">
            <w:pPr>
              <w:pStyle w:val="TableNText"/>
              <w:spacing w:before="60" w:after="60" w:line="240" w:lineRule="auto"/>
              <w:jc w:val="center"/>
              <w:outlineLvl w:val="3"/>
            </w:pPr>
            <w:r w:rsidRPr="00CF2318">
              <w:t>17</w:t>
            </w:r>
          </w:p>
        </w:tc>
      </w:tr>
      <w:tr w:rsidR="00B37A1E" w:rsidRPr="004A357C" w14:paraId="542FCDF5" w14:textId="77777777" w:rsidTr="006B2326">
        <w:trPr>
          <w:cnfStyle w:val="000000010000" w:firstRow="0" w:lastRow="0" w:firstColumn="0" w:lastColumn="0" w:oddVBand="0" w:evenVBand="0" w:oddHBand="0" w:evenHBand="1" w:firstRowFirstColumn="0" w:firstRowLastColumn="0" w:lastRowFirstColumn="0" w:lastRowLastColumn="0"/>
        </w:trPr>
        <w:tc>
          <w:tcPr>
            <w:tcW w:w="2694" w:type="dxa"/>
          </w:tcPr>
          <w:p w14:paraId="6DA06508" w14:textId="44173C1C" w:rsidR="00E5293C" w:rsidRPr="004A357C" w:rsidRDefault="00E5293C" w:rsidP="00E5293C">
            <w:pPr>
              <w:pStyle w:val="TableNText"/>
              <w:spacing w:before="60" w:after="60" w:line="240" w:lineRule="auto"/>
              <w:outlineLvl w:val="3"/>
              <w:rPr>
                <w:rFonts w:asciiTheme="majorHAnsi" w:hAnsiTheme="majorHAnsi" w:cstheme="majorHAnsi"/>
              </w:rPr>
            </w:pPr>
            <w:r w:rsidRPr="004A357C">
              <w:rPr>
                <w:rFonts w:asciiTheme="majorHAnsi" w:hAnsiTheme="majorHAnsi" w:cstheme="majorHAnsi"/>
              </w:rPr>
              <w:t>10 – Vascular</w:t>
            </w:r>
          </w:p>
        </w:tc>
        <w:tc>
          <w:tcPr>
            <w:tcW w:w="3402" w:type="dxa"/>
          </w:tcPr>
          <w:p w14:paraId="3D50E070" w14:textId="33D53BD8" w:rsidR="00E5293C" w:rsidRPr="004A357C" w:rsidRDefault="00E5293C" w:rsidP="00E5293C">
            <w:pPr>
              <w:pStyle w:val="TableNText"/>
              <w:spacing w:before="60" w:after="60" w:line="240" w:lineRule="auto"/>
              <w:jc w:val="center"/>
              <w:outlineLvl w:val="3"/>
            </w:pPr>
            <w:r w:rsidRPr="00CF2318">
              <w:t>36</w:t>
            </w:r>
          </w:p>
        </w:tc>
        <w:tc>
          <w:tcPr>
            <w:tcW w:w="2834" w:type="dxa"/>
          </w:tcPr>
          <w:p w14:paraId="62BEFE54" w14:textId="532F861F" w:rsidR="00E5293C" w:rsidRPr="004A357C" w:rsidRDefault="00E5293C" w:rsidP="00E5293C">
            <w:pPr>
              <w:pStyle w:val="TableNText"/>
              <w:spacing w:before="60" w:after="60" w:line="240" w:lineRule="auto"/>
              <w:jc w:val="center"/>
              <w:outlineLvl w:val="3"/>
            </w:pPr>
            <w:r w:rsidRPr="00CF2318">
              <w:t>202</w:t>
            </w:r>
          </w:p>
        </w:tc>
      </w:tr>
      <w:tr w:rsidR="00B37A1E" w:rsidRPr="004A357C" w14:paraId="366FCD3A" w14:textId="77777777" w:rsidTr="006B2326">
        <w:trPr>
          <w:cnfStyle w:val="000000100000" w:firstRow="0" w:lastRow="0" w:firstColumn="0" w:lastColumn="0" w:oddVBand="0" w:evenVBand="0" w:oddHBand="1" w:evenHBand="0" w:firstRowFirstColumn="0" w:firstRowLastColumn="0" w:lastRowFirstColumn="0" w:lastRowLastColumn="0"/>
        </w:trPr>
        <w:tc>
          <w:tcPr>
            <w:tcW w:w="2694" w:type="dxa"/>
          </w:tcPr>
          <w:p w14:paraId="48FD09FE" w14:textId="4A69E92B" w:rsidR="00E5293C" w:rsidRPr="004A357C" w:rsidRDefault="00E5293C" w:rsidP="00E5293C">
            <w:pPr>
              <w:pStyle w:val="TableNText"/>
              <w:spacing w:before="60" w:after="60" w:line="240" w:lineRule="auto"/>
              <w:outlineLvl w:val="3"/>
              <w:rPr>
                <w:rFonts w:asciiTheme="majorHAnsi" w:hAnsiTheme="majorHAnsi" w:cstheme="majorHAnsi"/>
              </w:rPr>
            </w:pPr>
            <w:r w:rsidRPr="004A357C">
              <w:rPr>
                <w:rFonts w:asciiTheme="majorHAnsi" w:hAnsiTheme="majorHAnsi" w:cstheme="majorHAnsi"/>
              </w:rPr>
              <w:t>11 – Hip</w:t>
            </w:r>
          </w:p>
        </w:tc>
        <w:tc>
          <w:tcPr>
            <w:tcW w:w="3402" w:type="dxa"/>
          </w:tcPr>
          <w:p w14:paraId="2E7534E2" w14:textId="6CC2CABD" w:rsidR="00E5293C" w:rsidRPr="004A357C" w:rsidRDefault="00E5293C" w:rsidP="00E5293C">
            <w:pPr>
              <w:pStyle w:val="TableNText"/>
              <w:spacing w:before="60" w:after="60" w:line="240" w:lineRule="auto"/>
              <w:jc w:val="center"/>
              <w:outlineLvl w:val="3"/>
            </w:pPr>
            <w:r w:rsidRPr="00CF2318">
              <w:t>43</w:t>
            </w:r>
          </w:p>
        </w:tc>
        <w:tc>
          <w:tcPr>
            <w:tcW w:w="2834" w:type="dxa"/>
          </w:tcPr>
          <w:p w14:paraId="617A933F" w14:textId="051BF7DC" w:rsidR="00E5293C" w:rsidRPr="004A357C" w:rsidRDefault="00E5293C" w:rsidP="00E5293C">
            <w:pPr>
              <w:pStyle w:val="TableNText"/>
              <w:spacing w:before="60" w:after="60" w:line="240" w:lineRule="auto"/>
              <w:jc w:val="center"/>
              <w:outlineLvl w:val="3"/>
            </w:pPr>
            <w:r w:rsidRPr="00CF2318">
              <w:t>378</w:t>
            </w:r>
          </w:p>
        </w:tc>
      </w:tr>
      <w:tr w:rsidR="00B37A1E" w:rsidRPr="004A357C" w14:paraId="06DAFDF9" w14:textId="77777777" w:rsidTr="006B2326">
        <w:trPr>
          <w:cnfStyle w:val="000000010000" w:firstRow="0" w:lastRow="0" w:firstColumn="0" w:lastColumn="0" w:oddVBand="0" w:evenVBand="0" w:oddHBand="0" w:evenHBand="1" w:firstRowFirstColumn="0" w:firstRowLastColumn="0" w:lastRowFirstColumn="0" w:lastRowLastColumn="0"/>
        </w:trPr>
        <w:tc>
          <w:tcPr>
            <w:tcW w:w="2694" w:type="dxa"/>
          </w:tcPr>
          <w:p w14:paraId="7A20EEC7" w14:textId="5C22FF25" w:rsidR="00E5293C" w:rsidRPr="004A357C" w:rsidRDefault="00E5293C" w:rsidP="00E5293C">
            <w:pPr>
              <w:pStyle w:val="TableNText"/>
              <w:spacing w:before="60" w:after="60" w:line="240" w:lineRule="auto"/>
              <w:outlineLvl w:val="3"/>
              <w:rPr>
                <w:rFonts w:asciiTheme="majorHAnsi" w:hAnsiTheme="majorHAnsi" w:cstheme="majorHAnsi"/>
              </w:rPr>
            </w:pPr>
            <w:r w:rsidRPr="004A357C">
              <w:rPr>
                <w:rFonts w:asciiTheme="majorHAnsi" w:hAnsiTheme="majorHAnsi" w:cstheme="majorHAnsi"/>
              </w:rPr>
              <w:t>12 – Knee</w:t>
            </w:r>
          </w:p>
        </w:tc>
        <w:tc>
          <w:tcPr>
            <w:tcW w:w="3402" w:type="dxa"/>
          </w:tcPr>
          <w:p w14:paraId="5C7537C9" w14:textId="361429D2" w:rsidR="00E5293C" w:rsidRPr="004A357C" w:rsidRDefault="00E5293C" w:rsidP="00E5293C">
            <w:pPr>
              <w:pStyle w:val="TableNText"/>
              <w:spacing w:before="60" w:after="60" w:line="240" w:lineRule="auto"/>
              <w:jc w:val="center"/>
              <w:outlineLvl w:val="3"/>
            </w:pPr>
            <w:r w:rsidRPr="00CF2318">
              <w:t>16</w:t>
            </w:r>
          </w:p>
        </w:tc>
        <w:tc>
          <w:tcPr>
            <w:tcW w:w="2834" w:type="dxa"/>
          </w:tcPr>
          <w:p w14:paraId="17E9FEA7" w14:textId="797FCC0D" w:rsidR="00E5293C" w:rsidRPr="004A357C" w:rsidRDefault="00E5293C" w:rsidP="00E5293C">
            <w:pPr>
              <w:pStyle w:val="TableNText"/>
              <w:spacing w:before="60" w:after="60" w:line="240" w:lineRule="auto"/>
              <w:jc w:val="center"/>
              <w:outlineLvl w:val="3"/>
            </w:pPr>
            <w:r w:rsidRPr="00CF2318">
              <w:t>306</w:t>
            </w:r>
          </w:p>
        </w:tc>
      </w:tr>
      <w:tr w:rsidR="00B37A1E" w:rsidRPr="004A357C" w14:paraId="2515EA35" w14:textId="77777777" w:rsidTr="006B2326">
        <w:trPr>
          <w:cnfStyle w:val="000000100000" w:firstRow="0" w:lastRow="0" w:firstColumn="0" w:lastColumn="0" w:oddVBand="0" w:evenVBand="0" w:oddHBand="1" w:evenHBand="0" w:firstRowFirstColumn="0" w:firstRowLastColumn="0" w:lastRowFirstColumn="0" w:lastRowLastColumn="0"/>
        </w:trPr>
        <w:tc>
          <w:tcPr>
            <w:tcW w:w="2694" w:type="dxa"/>
          </w:tcPr>
          <w:p w14:paraId="1A4E00DE" w14:textId="45A31731" w:rsidR="00E5293C" w:rsidRPr="004A357C" w:rsidRDefault="00E5293C" w:rsidP="00E5293C">
            <w:pPr>
              <w:pStyle w:val="TableNText"/>
              <w:spacing w:before="60" w:after="60" w:line="240" w:lineRule="auto"/>
              <w:outlineLvl w:val="3"/>
              <w:rPr>
                <w:rFonts w:asciiTheme="majorHAnsi" w:hAnsiTheme="majorHAnsi" w:cstheme="majorHAnsi"/>
              </w:rPr>
            </w:pPr>
            <w:r w:rsidRPr="004A357C">
              <w:rPr>
                <w:rFonts w:asciiTheme="majorHAnsi" w:hAnsiTheme="majorHAnsi" w:cstheme="majorHAnsi"/>
              </w:rPr>
              <w:t>13 – Spinal</w:t>
            </w:r>
          </w:p>
        </w:tc>
        <w:tc>
          <w:tcPr>
            <w:tcW w:w="3402" w:type="dxa"/>
          </w:tcPr>
          <w:p w14:paraId="3D83FC19" w14:textId="18BA203A" w:rsidR="00E5293C" w:rsidRPr="004A357C" w:rsidRDefault="00E5293C" w:rsidP="00E5293C">
            <w:pPr>
              <w:pStyle w:val="TableNText"/>
              <w:spacing w:before="60" w:after="60" w:line="240" w:lineRule="auto"/>
              <w:jc w:val="center"/>
              <w:outlineLvl w:val="3"/>
            </w:pPr>
            <w:r w:rsidRPr="00CF2318">
              <w:t>51</w:t>
            </w:r>
          </w:p>
        </w:tc>
        <w:tc>
          <w:tcPr>
            <w:tcW w:w="2834" w:type="dxa"/>
          </w:tcPr>
          <w:p w14:paraId="0B6B0E72" w14:textId="7582CD6C" w:rsidR="00E5293C" w:rsidRPr="004A357C" w:rsidRDefault="00E5293C" w:rsidP="00E5293C">
            <w:pPr>
              <w:pStyle w:val="TableNText"/>
              <w:spacing w:before="60" w:after="60" w:line="240" w:lineRule="auto"/>
              <w:jc w:val="center"/>
              <w:outlineLvl w:val="3"/>
            </w:pPr>
            <w:r w:rsidRPr="00CF2318">
              <w:t>1</w:t>
            </w:r>
            <w:r>
              <w:t>,</w:t>
            </w:r>
            <w:r w:rsidRPr="00CF2318">
              <w:t>417</w:t>
            </w:r>
          </w:p>
        </w:tc>
      </w:tr>
      <w:tr w:rsidR="00B37A1E" w:rsidRPr="004A357C" w14:paraId="4B3C0B8E" w14:textId="77777777" w:rsidTr="006B2326">
        <w:trPr>
          <w:cnfStyle w:val="000000010000" w:firstRow="0" w:lastRow="0" w:firstColumn="0" w:lastColumn="0" w:oddVBand="0" w:evenVBand="0" w:oddHBand="0" w:evenHBand="1" w:firstRowFirstColumn="0" w:firstRowLastColumn="0" w:lastRowFirstColumn="0" w:lastRowLastColumn="0"/>
        </w:trPr>
        <w:tc>
          <w:tcPr>
            <w:tcW w:w="2694" w:type="dxa"/>
          </w:tcPr>
          <w:p w14:paraId="54C6AEF9" w14:textId="77777777" w:rsidR="00E5293C" w:rsidRPr="004A357C" w:rsidRDefault="00E5293C" w:rsidP="00E5293C">
            <w:pPr>
              <w:pStyle w:val="TableNText"/>
              <w:spacing w:before="60" w:after="60" w:line="240" w:lineRule="auto"/>
              <w:outlineLvl w:val="3"/>
              <w:rPr>
                <w:rFonts w:asciiTheme="majorHAnsi" w:hAnsiTheme="majorHAnsi" w:cstheme="majorHAnsi"/>
              </w:rPr>
            </w:pPr>
            <w:r w:rsidRPr="004A357C">
              <w:rPr>
                <w:rFonts w:asciiTheme="majorHAnsi" w:hAnsiTheme="majorHAnsi" w:cstheme="majorHAnsi"/>
              </w:rPr>
              <w:t>Total</w:t>
            </w:r>
          </w:p>
        </w:tc>
        <w:tc>
          <w:tcPr>
            <w:tcW w:w="3402" w:type="dxa"/>
          </w:tcPr>
          <w:p w14:paraId="65335761" w14:textId="047478D8" w:rsidR="00E5293C" w:rsidRPr="004A357C" w:rsidRDefault="00E5293C" w:rsidP="00E5293C">
            <w:pPr>
              <w:pStyle w:val="TableNText"/>
              <w:spacing w:before="60" w:after="60" w:line="240" w:lineRule="auto"/>
              <w:jc w:val="center"/>
              <w:outlineLvl w:val="3"/>
              <w:rPr>
                <w:rFonts w:asciiTheme="majorHAnsi" w:hAnsiTheme="majorHAnsi" w:cstheme="majorHAnsi"/>
              </w:rPr>
            </w:pPr>
            <w:r w:rsidRPr="00CF2318">
              <w:t>536</w:t>
            </w:r>
          </w:p>
        </w:tc>
        <w:tc>
          <w:tcPr>
            <w:tcW w:w="2834" w:type="dxa"/>
          </w:tcPr>
          <w:p w14:paraId="7DAC04AB" w14:textId="360FABBC" w:rsidR="00E5293C" w:rsidRPr="004A357C" w:rsidRDefault="00E5293C" w:rsidP="00E5293C">
            <w:pPr>
              <w:pStyle w:val="TableNText"/>
              <w:spacing w:before="60" w:after="60" w:line="240" w:lineRule="auto"/>
              <w:jc w:val="center"/>
              <w:outlineLvl w:val="3"/>
              <w:rPr>
                <w:rFonts w:asciiTheme="majorHAnsi" w:hAnsiTheme="majorHAnsi" w:cstheme="majorHAnsi"/>
              </w:rPr>
            </w:pPr>
            <w:r w:rsidRPr="00CF2318">
              <w:t>5</w:t>
            </w:r>
            <w:r>
              <w:t>,</w:t>
            </w:r>
            <w:r w:rsidRPr="00CF2318">
              <w:t>006</w:t>
            </w:r>
          </w:p>
        </w:tc>
      </w:tr>
    </w:tbl>
    <w:p w14:paraId="73A3691D" w14:textId="77777777" w:rsidR="006B7BBA" w:rsidRPr="004A357C" w:rsidRDefault="006B7BBA" w:rsidP="006B7BBA"/>
    <w:p w14:paraId="0DCAFB94" w14:textId="21B167B0" w:rsidR="00E14A9B" w:rsidRPr="004A357C" w:rsidRDefault="00666A7D" w:rsidP="00666A7D">
      <w:pPr>
        <w:pStyle w:val="xAppendixLevel2"/>
      </w:pPr>
      <w:bookmarkStart w:id="108" w:name="_Ref199758364"/>
      <w:bookmarkStart w:id="109" w:name="_Toc237002819"/>
      <w:r w:rsidRPr="004A357C">
        <w:t>Indicator 2: Change in the size of the gap between PL benefits and prices paid in more competitive markets</w:t>
      </w:r>
      <w:bookmarkEnd w:id="108"/>
      <w:bookmarkEnd w:id="109"/>
    </w:p>
    <w:p w14:paraId="6BB61FED" w14:textId="19BAF49F" w:rsidR="00C54FAC" w:rsidRPr="004A357C" w:rsidRDefault="00C54FAC" w:rsidP="00861628">
      <w:pPr>
        <w:pStyle w:val="xAppendixLevel3"/>
      </w:pPr>
      <w:r w:rsidRPr="004A357C">
        <w:rPr>
          <w:color w:val="F25E21" w:themeColor="accent2"/>
        </w:rPr>
        <w:t xml:space="preserve">Measure 2.1: </w:t>
      </w:r>
      <w:r w:rsidRPr="004A357C">
        <w:t>Overall savings associated with benefit reductions</w:t>
      </w:r>
    </w:p>
    <w:p w14:paraId="3479D05F" w14:textId="1458DAB3" w:rsidR="00594D3C" w:rsidRDefault="002E3C85" w:rsidP="00705806">
      <w:r w:rsidRPr="004A357C">
        <w:t xml:space="preserve">The evaluation </w:t>
      </w:r>
      <w:r w:rsidR="005D60CE" w:rsidRPr="004A357C">
        <w:t>relie</w:t>
      </w:r>
      <w:r w:rsidRPr="004A357C">
        <w:t xml:space="preserve">s </w:t>
      </w:r>
      <w:r w:rsidR="005D60CE" w:rsidRPr="004A357C">
        <w:t xml:space="preserve">on </w:t>
      </w:r>
      <w:r w:rsidRPr="004A357C">
        <w:t>analys</w:t>
      </w:r>
      <w:r w:rsidR="00594D3C">
        <w:t>es</w:t>
      </w:r>
      <w:r w:rsidRPr="004A357C">
        <w:t xml:space="preserve"> conducted by IHACPA </w:t>
      </w:r>
      <w:r w:rsidR="009E2CD4" w:rsidRPr="004A357C">
        <w:t>to report on estimates of overall savings</w:t>
      </w:r>
      <w:r w:rsidR="00AD2FBB" w:rsidRPr="004A357C">
        <w:t xml:space="preserve"> associated with benefit reductions</w:t>
      </w:r>
      <w:r w:rsidR="00594D3C">
        <w:t>:</w:t>
      </w:r>
    </w:p>
    <w:p w14:paraId="54AAC19E" w14:textId="2384A1EE" w:rsidR="00594D3C" w:rsidRPr="00DA2426" w:rsidRDefault="00594D3C" w:rsidP="00DA2426">
      <w:pPr>
        <w:pStyle w:val="ListBullet"/>
        <w:rPr>
          <w:rStyle w:val="Emphasis"/>
        </w:rPr>
      </w:pPr>
      <w:r w:rsidRPr="00DA2426">
        <w:rPr>
          <w:rStyle w:val="Emphasis"/>
        </w:rPr>
        <w:t xml:space="preserve">Updated estimates of projected benefits and savings associated with Prescribed List reforms (13 December 2023) </w:t>
      </w:r>
      <w:r w:rsidR="00852416" w:rsidRPr="00DA2426">
        <w:rPr>
          <w:rStyle w:val="Emphasis"/>
        </w:rPr>
        <w:t>estimates</w:t>
      </w:r>
      <w:r w:rsidR="00D4070F" w:rsidRPr="00DA2426">
        <w:rPr>
          <w:rStyle w:val="Emphasis"/>
        </w:rPr>
        <w:t xml:space="preserve"> </w:t>
      </w:r>
      <w:r w:rsidRPr="00DA2426">
        <w:rPr>
          <w:rStyle w:val="Emphasis"/>
        </w:rPr>
        <w:t>projected savings</w:t>
      </w:r>
      <w:r w:rsidR="00C4452B" w:rsidRPr="00DA2426">
        <w:rPr>
          <w:rStyle w:val="Emphasis"/>
        </w:rPr>
        <w:t xml:space="preserve"> from July 2022 to June 202</w:t>
      </w:r>
      <w:r w:rsidR="00852416" w:rsidRPr="00DA2426">
        <w:rPr>
          <w:rStyle w:val="Emphasis"/>
        </w:rPr>
        <w:t>7</w:t>
      </w:r>
      <w:r w:rsidR="0085714D" w:rsidRPr="00DA2426">
        <w:rPr>
          <w:rStyle w:val="Emphasis"/>
        </w:rPr>
        <w:t>.</w:t>
      </w:r>
    </w:p>
    <w:p w14:paraId="4CEB7D27" w14:textId="1C107B7E" w:rsidR="00705806" w:rsidRPr="00DA2426" w:rsidRDefault="00D4070F" w:rsidP="00DA2426">
      <w:pPr>
        <w:pStyle w:val="ListBullet"/>
        <w:rPr>
          <w:rStyle w:val="Emphasis"/>
        </w:rPr>
      </w:pPr>
      <w:r w:rsidRPr="00DA2426">
        <w:rPr>
          <w:rStyle w:val="Emphasis"/>
        </w:rPr>
        <w:t xml:space="preserve">Analysis on prescribed list benefit reductions for general use items (GUIs) and projected savings (20 January 2025) </w:t>
      </w:r>
      <w:r w:rsidR="00852416" w:rsidRPr="00DA2426">
        <w:rPr>
          <w:rStyle w:val="Emphasis"/>
        </w:rPr>
        <w:t xml:space="preserve">estimates savings </w:t>
      </w:r>
      <w:r w:rsidR="006F392C" w:rsidRPr="00DA2426">
        <w:rPr>
          <w:rStyle w:val="Emphasis"/>
        </w:rPr>
        <w:t xml:space="preserve">from </w:t>
      </w:r>
      <w:r w:rsidR="00852416" w:rsidRPr="00DA2426">
        <w:rPr>
          <w:rStyle w:val="Emphasis"/>
        </w:rPr>
        <w:t>July 2022 to</w:t>
      </w:r>
      <w:r w:rsidR="006F392C" w:rsidRPr="00DA2426">
        <w:rPr>
          <w:rStyle w:val="Emphasis"/>
        </w:rPr>
        <w:t xml:space="preserve"> June 2024</w:t>
      </w:r>
      <w:r w:rsidR="0085714D" w:rsidRPr="00DA2426">
        <w:rPr>
          <w:rStyle w:val="Emphasis"/>
        </w:rPr>
        <w:t>.</w:t>
      </w:r>
    </w:p>
    <w:p w14:paraId="207285A5" w14:textId="505C230A" w:rsidR="00123CC6" w:rsidRPr="00DA2426" w:rsidRDefault="00C61DE7" w:rsidP="00DA2426">
      <w:pPr>
        <w:pStyle w:val="ListBullet"/>
        <w:rPr>
          <w:rStyle w:val="Emphasis"/>
        </w:rPr>
      </w:pPr>
      <w:r w:rsidRPr="00DA2426">
        <w:rPr>
          <w:rStyle w:val="Emphasis"/>
        </w:rPr>
        <w:t>Analysis on prescribed list benefit reduction</w:t>
      </w:r>
      <w:r w:rsidR="00007931" w:rsidRPr="00DA2426">
        <w:rPr>
          <w:rStyle w:val="Emphasis"/>
        </w:rPr>
        <w:t>s (15 December 2025) estimates savings from July 2024 to June 2025.</w:t>
      </w:r>
    </w:p>
    <w:p w14:paraId="44332385" w14:textId="70B3F9D1" w:rsidR="003C3287" w:rsidRPr="004A357C" w:rsidRDefault="003921A5" w:rsidP="00594D3C">
      <w:r w:rsidRPr="004A357C">
        <w:t>Th</w:t>
      </w:r>
      <w:r w:rsidR="00D06CF3" w:rsidRPr="004A357C">
        <w:t xml:space="preserve">e Department provided instructions and advice </w:t>
      </w:r>
      <w:r w:rsidR="006C4993" w:rsidRPr="004A357C">
        <w:t>to IHACPA to conduct th</w:t>
      </w:r>
      <w:r w:rsidR="009549FD">
        <w:t>ese</w:t>
      </w:r>
      <w:r w:rsidRPr="004A357C">
        <w:t xml:space="preserve"> </w:t>
      </w:r>
      <w:r w:rsidR="00D06CF3" w:rsidRPr="004A357C">
        <w:t>analys</w:t>
      </w:r>
      <w:r w:rsidR="009549FD">
        <w:t>es</w:t>
      </w:r>
      <w:r w:rsidR="006C4993" w:rsidRPr="004A357C">
        <w:t xml:space="preserve">, </w:t>
      </w:r>
      <w:r w:rsidRPr="004A357C">
        <w:t>includ</w:t>
      </w:r>
      <w:r w:rsidR="006C4993" w:rsidRPr="004A357C">
        <w:t>ing</w:t>
      </w:r>
      <w:r w:rsidRPr="004A357C">
        <w:t xml:space="preserve"> </w:t>
      </w:r>
      <w:r w:rsidR="006C4993" w:rsidRPr="004A357C">
        <w:t xml:space="preserve">miscellaneous </w:t>
      </w:r>
      <w:r w:rsidRPr="004A357C">
        <w:t xml:space="preserve">adjustments </w:t>
      </w:r>
      <w:r w:rsidR="006C4993" w:rsidRPr="004A357C">
        <w:t>to account for additional factors.</w:t>
      </w:r>
      <w:r w:rsidR="00A14CFD" w:rsidRPr="004A357C">
        <w:rPr>
          <w:rStyle w:val="FootnoteReference"/>
        </w:rPr>
        <w:footnoteReference w:id="140"/>
      </w:r>
      <w:r w:rsidR="006C4993" w:rsidRPr="004A357C">
        <w:t xml:space="preserve"> </w:t>
      </w:r>
      <w:r w:rsidR="003959DA" w:rsidRPr="004A357C">
        <w:t xml:space="preserve">As discussed in Appendix B.2 of the </w:t>
      </w:r>
      <w:r w:rsidR="003959DA" w:rsidRPr="004A357C">
        <w:rPr>
          <w:i/>
        </w:rPr>
        <w:t>Interim Evaluation #1 report</w:t>
      </w:r>
      <w:r w:rsidR="00C90CED" w:rsidRPr="004A357C">
        <w:t>,</w:t>
      </w:r>
      <w:r w:rsidR="00C90CED" w:rsidRPr="004A357C">
        <w:rPr>
          <w:rStyle w:val="FootnoteReference"/>
        </w:rPr>
        <w:footnoteReference w:id="141"/>
      </w:r>
      <w:r w:rsidR="00C90CED" w:rsidRPr="004A357C">
        <w:t xml:space="preserve"> the Nous evaluation team </w:t>
      </w:r>
      <w:r w:rsidR="00FC4E6C">
        <w:t xml:space="preserve">has not </w:t>
      </w:r>
      <w:r w:rsidR="00592409" w:rsidRPr="004A357C">
        <w:t>been</w:t>
      </w:r>
      <w:r w:rsidR="0067308A" w:rsidRPr="004A357C">
        <w:t xml:space="preserve"> able to independently validate these estimates through analysis of the same data sources following only the policy parameters of the MOU</w:t>
      </w:r>
      <w:r w:rsidR="00F96F39" w:rsidRPr="004A357C">
        <w:t>.</w:t>
      </w:r>
    </w:p>
    <w:p w14:paraId="678B981F" w14:textId="494AF271" w:rsidR="00553F09" w:rsidRPr="004A357C" w:rsidRDefault="00553F09" w:rsidP="00B50EE7">
      <w:pPr>
        <w:pStyle w:val="Caption"/>
      </w:pPr>
      <w:r w:rsidRPr="004A357C">
        <w:t xml:space="preserve">Table </w:t>
      </w:r>
      <w:r w:rsidR="002604D0">
        <w:fldChar w:fldCharType="begin"/>
      </w:r>
      <w:r w:rsidR="002604D0">
        <w:instrText xml:space="preserve"> SEQ Table \* ARABIC </w:instrText>
      </w:r>
      <w:r w:rsidR="002604D0">
        <w:fldChar w:fldCharType="separate"/>
      </w:r>
      <w:r w:rsidR="0092693A">
        <w:rPr>
          <w:noProof/>
        </w:rPr>
        <w:t>10</w:t>
      </w:r>
      <w:r w:rsidR="002604D0">
        <w:fldChar w:fldCharType="end"/>
      </w:r>
      <w:r w:rsidRPr="004A357C">
        <w:t xml:space="preserve"> | Projected savings</w:t>
      </w:r>
      <w:r w:rsidR="00587502">
        <w:t xml:space="preserve"> (based on IHACPA’s December 2023 analysis)</w:t>
      </w:r>
      <w:r w:rsidR="009A1FC8" w:rsidRPr="004A357C">
        <w:rPr>
          <w:rStyle w:val="FootnoteReference"/>
        </w:rPr>
        <w:footnoteReference w:id="142"/>
      </w:r>
    </w:p>
    <w:tbl>
      <w:tblPr>
        <w:tblStyle w:val="NOUS1"/>
        <w:tblW w:w="5000" w:type="pct"/>
        <w:tblLook w:val="04A0" w:firstRow="1" w:lastRow="0" w:firstColumn="1" w:lastColumn="0" w:noHBand="0" w:noVBand="1"/>
      </w:tblPr>
      <w:tblGrid>
        <w:gridCol w:w="1165"/>
        <w:gridCol w:w="2625"/>
        <w:gridCol w:w="2770"/>
        <w:gridCol w:w="2625"/>
      </w:tblGrid>
      <w:tr w:rsidR="0087170A" w:rsidRPr="004A357C" w14:paraId="058089BD" w14:textId="77777777" w:rsidTr="00A32942">
        <w:trPr>
          <w:cnfStyle w:val="100000000000" w:firstRow="1" w:lastRow="0" w:firstColumn="0" w:lastColumn="0" w:oddVBand="0" w:evenVBand="0" w:oddHBand="0" w:evenHBand="0" w:firstRowFirstColumn="0" w:firstRowLastColumn="0" w:lastRowFirstColumn="0" w:lastRowLastColumn="0"/>
        </w:trPr>
        <w:tc>
          <w:tcPr>
            <w:tcW w:w="1134" w:type="dxa"/>
            <w:vAlign w:val="center"/>
          </w:tcPr>
          <w:p w14:paraId="63D713FA" w14:textId="52ED9748" w:rsidR="00CC01F7" w:rsidRPr="004A357C" w:rsidRDefault="00CC01F7" w:rsidP="00FB712C">
            <w:pPr>
              <w:pStyle w:val="TableNheader"/>
              <w:spacing w:before="60" w:after="60" w:line="240" w:lineRule="auto"/>
              <w:jc w:val="center"/>
            </w:pPr>
            <w:r w:rsidRPr="004A357C">
              <w:t>Scope of items</w:t>
            </w:r>
          </w:p>
        </w:tc>
        <w:tc>
          <w:tcPr>
            <w:tcW w:w="2552" w:type="dxa"/>
            <w:vAlign w:val="center"/>
          </w:tcPr>
          <w:p w14:paraId="4D26436C" w14:textId="7FD19758" w:rsidR="00CC01F7" w:rsidRPr="004A357C" w:rsidRDefault="00CC01F7" w:rsidP="00FB712C">
            <w:pPr>
              <w:pStyle w:val="TableNheader"/>
              <w:spacing w:before="60" w:after="60" w:line="240" w:lineRule="auto"/>
              <w:jc w:val="center"/>
            </w:pPr>
            <w:r w:rsidRPr="004A357C">
              <w:t>Savings period</w:t>
            </w:r>
          </w:p>
        </w:tc>
        <w:tc>
          <w:tcPr>
            <w:tcW w:w="2693" w:type="dxa"/>
            <w:vAlign w:val="center"/>
          </w:tcPr>
          <w:p w14:paraId="4FF56BC3" w14:textId="5A9D5868" w:rsidR="00CC01F7" w:rsidRPr="004A357C" w:rsidRDefault="00334599" w:rsidP="007B157A">
            <w:pPr>
              <w:pStyle w:val="TableNheader"/>
              <w:spacing w:before="60" w:after="60" w:line="240" w:lineRule="auto"/>
              <w:jc w:val="center"/>
            </w:pPr>
            <w:r w:rsidRPr="004A357C">
              <w:t>Lower savings estimate</w:t>
            </w:r>
            <w:r w:rsidR="007B157A">
              <w:br/>
            </w:r>
            <w:r w:rsidRPr="004A357C">
              <w:t>(0% annual growth)</w:t>
            </w:r>
          </w:p>
        </w:tc>
        <w:tc>
          <w:tcPr>
            <w:tcW w:w="2552" w:type="dxa"/>
            <w:vAlign w:val="center"/>
          </w:tcPr>
          <w:p w14:paraId="1533F667" w14:textId="3FC5078D" w:rsidR="00CC01F7" w:rsidRPr="004A357C" w:rsidRDefault="00334599" w:rsidP="007B157A">
            <w:pPr>
              <w:pStyle w:val="TableNheader"/>
              <w:spacing w:before="60" w:after="60" w:line="240" w:lineRule="auto"/>
              <w:jc w:val="center"/>
            </w:pPr>
            <w:r w:rsidRPr="004A357C">
              <w:t>Upper savings estimate</w:t>
            </w:r>
            <w:r w:rsidR="007B157A">
              <w:br/>
            </w:r>
            <w:r w:rsidRPr="004A357C">
              <w:t>(5% annual growth)</w:t>
            </w:r>
          </w:p>
        </w:tc>
      </w:tr>
      <w:tr w:rsidR="0087170A" w:rsidRPr="004A357C" w14:paraId="73CA0BB5" w14:textId="77777777" w:rsidTr="00A32942">
        <w:tc>
          <w:tcPr>
            <w:tcW w:w="1134" w:type="dxa"/>
            <w:vMerge w:val="restart"/>
            <w:vAlign w:val="center"/>
          </w:tcPr>
          <w:p w14:paraId="2F30D39B" w14:textId="6DF7B0E1" w:rsidR="00AC7F0C" w:rsidRPr="004A357C" w:rsidRDefault="00AC7F0C" w:rsidP="00FB712C">
            <w:pPr>
              <w:pStyle w:val="TableNText"/>
              <w:spacing w:before="60" w:after="60" w:line="240" w:lineRule="auto"/>
              <w:jc w:val="center"/>
              <w:rPr>
                <w:rFonts w:asciiTheme="majorHAnsi" w:hAnsiTheme="majorHAnsi" w:cstheme="majorHAnsi"/>
              </w:rPr>
            </w:pPr>
            <w:r w:rsidRPr="004A357C">
              <w:rPr>
                <w:rFonts w:asciiTheme="majorHAnsi" w:hAnsiTheme="majorHAnsi" w:cstheme="majorHAnsi"/>
              </w:rPr>
              <w:t>All items</w:t>
            </w:r>
          </w:p>
        </w:tc>
        <w:tc>
          <w:tcPr>
            <w:tcW w:w="2552" w:type="dxa"/>
            <w:vAlign w:val="center"/>
          </w:tcPr>
          <w:p w14:paraId="5D1C9B13" w14:textId="1EB6EF23" w:rsidR="00AC7F0C" w:rsidRPr="004A357C" w:rsidRDefault="00AC7F0C" w:rsidP="00FB712C">
            <w:pPr>
              <w:pStyle w:val="TableNText"/>
              <w:spacing w:before="60" w:after="60" w:line="240" w:lineRule="auto"/>
              <w:jc w:val="center"/>
              <w:rPr>
                <w:rFonts w:asciiTheme="majorHAnsi" w:hAnsiTheme="majorHAnsi" w:cstheme="majorHAnsi"/>
              </w:rPr>
            </w:pPr>
            <w:r w:rsidRPr="004A357C">
              <w:rPr>
                <w:rFonts w:asciiTheme="majorHAnsi" w:hAnsiTheme="majorHAnsi" w:cstheme="majorHAnsi"/>
              </w:rPr>
              <w:t xml:space="preserve">Savings </w:t>
            </w:r>
            <w:r w:rsidR="00F065B8">
              <w:rPr>
                <w:rFonts w:asciiTheme="majorHAnsi" w:hAnsiTheme="majorHAnsi" w:cstheme="majorHAnsi"/>
              </w:rPr>
              <w:t>to date</w:t>
            </w:r>
          </w:p>
          <w:p w14:paraId="7F32A0C5" w14:textId="2D760D82" w:rsidR="00AC7F0C" w:rsidRPr="004A357C" w:rsidRDefault="00AC7F0C" w:rsidP="00FB712C">
            <w:pPr>
              <w:pStyle w:val="TableNText"/>
              <w:spacing w:before="60" w:after="60" w:line="240" w:lineRule="auto"/>
              <w:jc w:val="center"/>
            </w:pPr>
            <w:r w:rsidRPr="004A357C">
              <w:t>(July 2022 to June 2025)</w:t>
            </w:r>
          </w:p>
        </w:tc>
        <w:tc>
          <w:tcPr>
            <w:tcW w:w="2693" w:type="dxa"/>
            <w:vAlign w:val="center"/>
          </w:tcPr>
          <w:p w14:paraId="544EA000" w14:textId="0AC801D0" w:rsidR="00AC7F0C" w:rsidRPr="004A357C" w:rsidRDefault="00AC7F0C" w:rsidP="00FB712C">
            <w:pPr>
              <w:pStyle w:val="TableNText"/>
              <w:spacing w:before="60" w:after="60" w:line="240" w:lineRule="auto"/>
              <w:jc w:val="center"/>
            </w:pPr>
            <w:r w:rsidRPr="004A357C">
              <w:t>$514 million</w:t>
            </w:r>
          </w:p>
        </w:tc>
        <w:tc>
          <w:tcPr>
            <w:tcW w:w="2552" w:type="dxa"/>
            <w:vAlign w:val="center"/>
          </w:tcPr>
          <w:p w14:paraId="675CF258" w14:textId="35FA2C14" w:rsidR="00AC7F0C" w:rsidRPr="004A357C" w:rsidRDefault="00AC7F0C" w:rsidP="00FB712C">
            <w:pPr>
              <w:pStyle w:val="TableNText"/>
              <w:spacing w:before="60" w:after="60" w:line="240" w:lineRule="auto"/>
              <w:jc w:val="center"/>
            </w:pPr>
            <w:r w:rsidRPr="004A357C">
              <w:t>$547 million</w:t>
            </w:r>
          </w:p>
        </w:tc>
      </w:tr>
      <w:tr w:rsidR="0087170A" w:rsidRPr="004A357C" w14:paraId="5ECA5EFF" w14:textId="77777777" w:rsidTr="00A32942">
        <w:tc>
          <w:tcPr>
            <w:tcW w:w="1134" w:type="dxa"/>
            <w:vMerge/>
            <w:vAlign w:val="center"/>
          </w:tcPr>
          <w:p w14:paraId="2930149E" w14:textId="77777777" w:rsidR="00AC7F0C" w:rsidRPr="004A357C" w:rsidRDefault="00AC7F0C" w:rsidP="00FB712C">
            <w:pPr>
              <w:pStyle w:val="TableNText"/>
              <w:spacing w:before="60" w:after="60" w:line="240" w:lineRule="auto"/>
              <w:jc w:val="center"/>
              <w:rPr>
                <w:rFonts w:asciiTheme="majorHAnsi" w:hAnsiTheme="majorHAnsi" w:cstheme="majorHAnsi"/>
              </w:rPr>
            </w:pPr>
          </w:p>
        </w:tc>
        <w:tc>
          <w:tcPr>
            <w:tcW w:w="2552" w:type="dxa"/>
            <w:vAlign w:val="center"/>
          </w:tcPr>
          <w:p w14:paraId="24F0F365" w14:textId="77777777" w:rsidR="00AC7F0C" w:rsidRPr="004A357C" w:rsidRDefault="00AC7F0C" w:rsidP="00FB712C">
            <w:pPr>
              <w:pStyle w:val="TableNText"/>
              <w:spacing w:before="60" w:after="60" w:line="240" w:lineRule="auto"/>
              <w:jc w:val="center"/>
              <w:rPr>
                <w:rFonts w:asciiTheme="majorHAnsi" w:hAnsiTheme="majorHAnsi" w:cstheme="majorHAnsi"/>
              </w:rPr>
            </w:pPr>
            <w:r w:rsidRPr="004A357C">
              <w:rPr>
                <w:rFonts w:asciiTheme="majorHAnsi" w:hAnsiTheme="majorHAnsi" w:cstheme="majorHAnsi"/>
              </w:rPr>
              <w:t>Five-year projected savings</w:t>
            </w:r>
          </w:p>
          <w:p w14:paraId="3493C099" w14:textId="4AB621E3" w:rsidR="00AC7F0C" w:rsidRPr="004A357C" w:rsidRDefault="00AC7F0C" w:rsidP="00FB712C">
            <w:pPr>
              <w:pStyle w:val="TableNText"/>
              <w:spacing w:before="60" w:after="60" w:line="240" w:lineRule="auto"/>
              <w:jc w:val="center"/>
            </w:pPr>
            <w:r w:rsidRPr="004A357C">
              <w:t>(July 2022 to June 2027)</w:t>
            </w:r>
          </w:p>
        </w:tc>
        <w:tc>
          <w:tcPr>
            <w:tcW w:w="2693" w:type="dxa"/>
            <w:vAlign w:val="center"/>
          </w:tcPr>
          <w:p w14:paraId="23508733" w14:textId="5979D8DA" w:rsidR="00AC7F0C" w:rsidRPr="004A357C" w:rsidRDefault="00AC7F0C" w:rsidP="00FB712C">
            <w:pPr>
              <w:pStyle w:val="TableNText"/>
              <w:spacing w:before="60" w:after="60" w:line="240" w:lineRule="auto"/>
              <w:jc w:val="center"/>
            </w:pPr>
            <w:r w:rsidRPr="004A357C">
              <w:t>$1,042 million</w:t>
            </w:r>
          </w:p>
        </w:tc>
        <w:tc>
          <w:tcPr>
            <w:tcW w:w="2552" w:type="dxa"/>
            <w:vAlign w:val="center"/>
          </w:tcPr>
          <w:p w14:paraId="635F6C4B" w14:textId="3280F804" w:rsidR="00AC7F0C" w:rsidRPr="004A357C" w:rsidRDefault="00AC7F0C" w:rsidP="00FB712C">
            <w:pPr>
              <w:pStyle w:val="TableNText"/>
              <w:spacing w:before="60" w:after="60" w:line="240" w:lineRule="auto"/>
              <w:jc w:val="center"/>
            </w:pPr>
            <w:r w:rsidRPr="004A357C">
              <w:t>$1,173 million</w:t>
            </w:r>
          </w:p>
        </w:tc>
      </w:tr>
      <w:tr w:rsidR="0087170A" w:rsidRPr="004A357C" w14:paraId="6D8C1920" w14:textId="77777777" w:rsidTr="00A32942">
        <w:tc>
          <w:tcPr>
            <w:tcW w:w="1134" w:type="dxa"/>
            <w:vMerge w:val="restart"/>
            <w:vAlign w:val="center"/>
          </w:tcPr>
          <w:p w14:paraId="7B0D41FA" w14:textId="20977A9A" w:rsidR="00AC7F0C" w:rsidRPr="004A357C" w:rsidRDefault="00AC7F0C" w:rsidP="00FB712C">
            <w:pPr>
              <w:pStyle w:val="TableNText"/>
              <w:spacing w:before="60" w:after="60" w:line="240" w:lineRule="auto"/>
              <w:jc w:val="center"/>
              <w:rPr>
                <w:rFonts w:asciiTheme="majorHAnsi" w:hAnsiTheme="majorHAnsi" w:cstheme="majorHAnsi"/>
              </w:rPr>
            </w:pPr>
            <w:r w:rsidRPr="004A357C">
              <w:rPr>
                <w:rFonts w:asciiTheme="majorHAnsi" w:hAnsiTheme="majorHAnsi" w:cstheme="majorHAnsi"/>
              </w:rPr>
              <w:t>All items excluding CIEDs</w:t>
            </w:r>
          </w:p>
        </w:tc>
        <w:tc>
          <w:tcPr>
            <w:tcW w:w="2552" w:type="dxa"/>
            <w:vAlign w:val="center"/>
          </w:tcPr>
          <w:p w14:paraId="483EE425" w14:textId="77777777" w:rsidR="00AC7F0C" w:rsidRPr="004A357C" w:rsidRDefault="00AC7F0C" w:rsidP="00FB712C">
            <w:pPr>
              <w:pStyle w:val="TableNText"/>
              <w:spacing w:before="60" w:after="60" w:line="240" w:lineRule="auto"/>
              <w:jc w:val="center"/>
              <w:rPr>
                <w:rFonts w:asciiTheme="majorHAnsi" w:hAnsiTheme="majorHAnsi" w:cstheme="majorHAnsi"/>
              </w:rPr>
            </w:pPr>
            <w:r w:rsidRPr="004A357C">
              <w:rPr>
                <w:rFonts w:asciiTheme="majorHAnsi" w:hAnsiTheme="majorHAnsi" w:cstheme="majorHAnsi"/>
              </w:rPr>
              <w:t>Savings to date</w:t>
            </w:r>
          </w:p>
          <w:p w14:paraId="46A8FC32" w14:textId="2FC341C0" w:rsidR="00AC7F0C" w:rsidRPr="004A357C" w:rsidRDefault="00AC7F0C" w:rsidP="00FB712C">
            <w:pPr>
              <w:pStyle w:val="TableNText"/>
              <w:spacing w:before="60" w:after="60" w:line="240" w:lineRule="auto"/>
              <w:jc w:val="center"/>
            </w:pPr>
            <w:r w:rsidRPr="004A357C">
              <w:t>(July 2022 to June 2025)</w:t>
            </w:r>
          </w:p>
        </w:tc>
        <w:tc>
          <w:tcPr>
            <w:tcW w:w="2693" w:type="dxa"/>
            <w:vAlign w:val="center"/>
          </w:tcPr>
          <w:p w14:paraId="5BDFE50D" w14:textId="18B77C9C" w:rsidR="00AC7F0C" w:rsidRPr="004A357C" w:rsidRDefault="00AC7F0C" w:rsidP="00FB712C">
            <w:pPr>
              <w:pStyle w:val="TableNText"/>
              <w:spacing w:before="60" w:after="60" w:line="240" w:lineRule="auto"/>
              <w:jc w:val="center"/>
            </w:pPr>
            <w:r w:rsidRPr="004A357C">
              <w:t>$431 million</w:t>
            </w:r>
          </w:p>
        </w:tc>
        <w:tc>
          <w:tcPr>
            <w:tcW w:w="2552" w:type="dxa"/>
            <w:vAlign w:val="center"/>
          </w:tcPr>
          <w:p w14:paraId="37630A3A" w14:textId="52342744" w:rsidR="00AC7F0C" w:rsidRPr="004A357C" w:rsidRDefault="00AC7F0C" w:rsidP="00FB712C">
            <w:pPr>
              <w:pStyle w:val="TableNText"/>
              <w:spacing w:before="60" w:after="60" w:line="240" w:lineRule="auto"/>
              <w:jc w:val="center"/>
            </w:pPr>
            <w:r w:rsidRPr="004A357C">
              <w:t>$457 million</w:t>
            </w:r>
          </w:p>
        </w:tc>
      </w:tr>
      <w:tr w:rsidR="0087170A" w:rsidRPr="004A357C" w14:paraId="459E45D1" w14:textId="77777777" w:rsidTr="00A32942">
        <w:tc>
          <w:tcPr>
            <w:tcW w:w="1134" w:type="dxa"/>
            <w:vMerge/>
            <w:vAlign w:val="center"/>
          </w:tcPr>
          <w:p w14:paraId="32ACDA76" w14:textId="77777777" w:rsidR="00AC7F0C" w:rsidRPr="004A357C" w:rsidRDefault="00AC7F0C" w:rsidP="00FB712C">
            <w:pPr>
              <w:pStyle w:val="TableNText"/>
              <w:spacing w:before="60" w:after="60" w:line="240" w:lineRule="auto"/>
              <w:jc w:val="center"/>
            </w:pPr>
          </w:p>
        </w:tc>
        <w:tc>
          <w:tcPr>
            <w:tcW w:w="2552" w:type="dxa"/>
            <w:vAlign w:val="center"/>
          </w:tcPr>
          <w:p w14:paraId="70BE2236" w14:textId="77777777" w:rsidR="00AC7F0C" w:rsidRPr="004A357C" w:rsidRDefault="00AC7F0C" w:rsidP="00FB712C">
            <w:pPr>
              <w:pStyle w:val="TableNText"/>
              <w:spacing w:before="60" w:after="60" w:line="240" w:lineRule="auto"/>
              <w:jc w:val="center"/>
              <w:rPr>
                <w:rFonts w:asciiTheme="majorHAnsi" w:hAnsiTheme="majorHAnsi" w:cstheme="majorHAnsi"/>
              </w:rPr>
            </w:pPr>
            <w:r w:rsidRPr="004A357C">
              <w:rPr>
                <w:rFonts w:asciiTheme="majorHAnsi" w:hAnsiTheme="majorHAnsi" w:cstheme="majorHAnsi"/>
              </w:rPr>
              <w:t>Five-year projected savings</w:t>
            </w:r>
          </w:p>
          <w:p w14:paraId="2C45A1D5" w14:textId="49336C0D" w:rsidR="00AC7F0C" w:rsidRPr="004A357C" w:rsidRDefault="00AC7F0C" w:rsidP="00FB712C">
            <w:pPr>
              <w:pStyle w:val="TableNText"/>
              <w:spacing w:before="60" w:after="60" w:line="240" w:lineRule="auto"/>
              <w:jc w:val="center"/>
            </w:pPr>
            <w:r w:rsidRPr="004A357C">
              <w:t>(July 2022 to June 2027)</w:t>
            </w:r>
          </w:p>
        </w:tc>
        <w:tc>
          <w:tcPr>
            <w:tcW w:w="2693" w:type="dxa"/>
            <w:vAlign w:val="center"/>
          </w:tcPr>
          <w:p w14:paraId="065E2E5E" w14:textId="35D33731" w:rsidR="00AC7F0C" w:rsidRPr="004A357C" w:rsidRDefault="00AC7F0C" w:rsidP="00FB712C">
            <w:pPr>
              <w:pStyle w:val="TableNText"/>
              <w:spacing w:before="60" w:after="60" w:line="240" w:lineRule="auto"/>
              <w:jc w:val="center"/>
            </w:pPr>
            <w:r w:rsidRPr="004A357C">
              <w:t>$782 million</w:t>
            </w:r>
          </w:p>
        </w:tc>
        <w:tc>
          <w:tcPr>
            <w:tcW w:w="2552" w:type="dxa"/>
            <w:vAlign w:val="center"/>
          </w:tcPr>
          <w:p w14:paraId="66257249" w14:textId="02F92454" w:rsidR="00AC7F0C" w:rsidRPr="004A357C" w:rsidRDefault="00AC7F0C" w:rsidP="00FB712C">
            <w:pPr>
              <w:pStyle w:val="TableNText"/>
              <w:spacing w:before="60" w:after="60" w:line="240" w:lineRule="auto"/>
              <w:jc w:val="center"/>
            </w:pPr>
            <w:r w:rsidRPr="004A357C">
              <w:t>$873 million</w:t>
            </w:r>
          </w:p>
        </w:tc>
      </w:tr>
    </w:tbl>
    <w:p w14:paraId="750B2C7D" w14:textId="77777777" w:rsidR="00AD2FBB" w:rsidRDefault="00AD2FBB" w:rsidP="00C54FAC"/>
    <w:p w14:paraId="7CC9BD3F" w14:textId="5852A563" w:rsidR="00587502" w:rsidRDefault="00F065B8" w:rsidP="00F065B8">
      <w:pPr>
        <w:pStyle w:val="Caption"/>
      </w:pPr>
      <w:r>
        <w:t xml:space="preserve">Table </w:t>
      </w:r>
      <w:r>
        <w:fldChar w:fldCharType="begin"/>
      </w:r>
      <w:r>
        <w:instrText xml:space="preserve"> SEQ Table \* ARABIC </w:instrText>
      </w:r>
      <w:r>
        <w:fldChar w:fldCharType="separate"/>
      </w:r>
      <w:r w:rsidR="0092693A">
        <w:rPr>
          <w:noProof/>
        </w:rPr>
        <w:t>11</w:t>
      </w:r>
      <w:r>
        <w:fldChar w:fldCharType="end"/>
      </w:r>
      <w:r>
        <w:t xml:space="preserve"> | Estimated savings for FY23</w:t>
      </w:r>
      <w:r w:rsidR="00FC65C2">
        <w:t>, FY24</w:t>
      </w:r>
      <w:r w:rsidR="00FC15C4">
        <w:t xml:space="preserve"> </w:t>
      </w:r>
      <w:r>
        <w:t>and FY2</w:t>
      </w:r>
      <w:r w:rsidR="00FC15C4">
        <w:t>5</w:t>
      </w:r>
      <w:r>
        <w:rPr>
          <w:rStyle w:val="FootnoteReference"/>
        </w:rPr>
        <w:footnoteReference w:id="143"/>
      </w:r>
    </w:p>
    <w:tbl>
      <w:tblPr>
        <w:tblStyle w:val="NOUS1"/>
        <w:tblW w:w="5000" w:type="pct"/>
        <w:tblLook w:val="04A0" w:firstRow="1" w:lastRow="0" w:firstColumn="1" w:lastColumn="0" w:noHBand="0" w:noVBand="1"/>
      </w:tblPr>
      <w:tblGrid>
        <w:gridCol w:w="3062"/>
        <w:gridCol w:w="3061"/>
        <w:gridCol w:w="3062"/>
      </w:tblGrid>
      <w:tr w:rsidR="00B37A1E" w14:paraId="6030BB0D" w14:textId="77777777" w:rsidTr="007B157A">
        <w:trPr>
          <w:cnfStyle w:val="100000000000" w:firstRow="1" w:lastRow="0" w:firstColumn="0" w:lastColumn="0" w:oddVBand="0" w:evenVBand="0" w:oddHBand="0" w:evenHBand="0" w:firstRowFirstColumn="0" w:firstRowLastColumn="0" w:lastRowFirstColumn="0" w:lastRowLastColumn="0"/>
        </w:trPr>
        <w:tc>
          <w:tcPr>
            <w:tcW w:w="2973" w:type="dxa"/>
          </w:tcPr>
          <w:p w14:paraId="17D659DD" w14:textId="268B1A82" w:rsidR="00F065B8" w:rsidRDefault="00FC4E6C" w:rsidP="00FC4E6C">
            <w:pPr>
              <w:pStyle w:val="TableNheader"/>
              <w:jc w:val="center"/>
            </w:pPr>
            <w:r>
              <w:t>FY23 savings</w:t>
            </w:r>
          </w:p>
        </w:tc>
        <w:tc>
          <w:tcPr>
            <w:tcW w:w="2973" w:type="dxa"/>
          </w:tcPr>
          <w:p w14:paraId="15423CA5" w14:textId="3B95702F" w:rsidR="00F065B8" w:rsidRDefault="00FC4E6C" w:rsidP="00FC4E6C">
            <w:pPr>
              <w:pStyle w:val="TableNheader"/>
              <w:jc w:val="center"/>
            </w:pPr>
            <w:r>
              <w:t>FY24 savings</w:t>
            </w:r>
          </w:p>
        </w:tc>
        <w:tc>
          <w:tcPr>
            <w:tcW w:w="2974" w:type="dxa"/>
          </w:tcPr>
          <w:p w14:paraId="291D32C0" w14:textId="694CF6C5" w:rsidR="00F065B8" w:rsidRDefault="00FC15C4" w:rsidP="00FC4E6C">
            <w:pPr>
              <w:pStyle w:val="TableNheader"/>
              <w:jc w:val="center"/>
            </w:pPr>
            <w:r>
              <w:t>FY25</w:t>
            </w:r>
            <w:r w:rsidR="00FC4E6C">
              <w:t xml:space="preserve"> savings</w:t>
            </w:r>
          </w:p>
        </w:tc>
      </w:tr>
      <w:tr w:rsidR="00B37A1E" w14:paraId="69C16E63" w14:textId="77777777" w:rsidTr="007B157A">
        <w:tc>
          <w:tcPr>
            <w:tcW w:w="2973" w:type="dxa"/>
          </w:tcPr>
          <w:p w14:paraId="4884D09E" w14:textId="10AD5BEE" w:rsidR="00F065B8" w:rsidRDefault="00FC4E6C" w:rsidP="00FC4E6C">
            <w:pPr>
              <w:pStyle w:val="TableNText"/>
              <w:jc w:val="center"/>
            </w:pPr>
            <w:r>
              <w:t>$106 million</w:t>
            </w:r>
          </w:p>
        </w:tc>
        <w:tc>
          <w:tcPr>
            <w:tcW w:w="2973" w:type="dxa"/>
          </w:tcPr>
          <w:p w14:paraId="2A4410A5" w14:textId="4C6A7BEA" w:rsidR="00F065B8" w:rsidRDefault="00FC4E6C" w:rsidP="00FC4E6C">
            <w:pPr>
              <w:pStyle w:val="TableNText"/>
              <w:jc w:val="center"/>
            </w:pPr>
            <w:r>
              <w:t>$196 million</w:t>
            </w:r>
          </w:p>
        </w:tc>
        <w:tc>
          <w:tcPr>
            <w:tcW w:w="2974" w:type="dxa"/>
          </w:tcPr>
          <w:p w14:paraId="103F5C37" w14:textId="4DCCB90A" w:rsidR="00F065B8" w:rsidRDefault="00FC4E6C" w:rsidP="00FC4E6C">
            <w:pPr>
              <w:pStyle w:val="TableNText"/>
              <w:jc w:val="center"/>
            </w:pPr>
            <w:r>
              <w:t>$</w:t>
            </w:r>
            <w:r w:rsidR="001778B6">
              <w:t>239</w:t>
            </w:r>
            <w:r>
              <w:t xml:space="preserve"> million</w:t>
            </w:r>
          </w:p>
        </w:tc>
      </w:tr>
    </w:tbl>
    <w:p w14:paraId="63D0180B" w14:textId="77777777" w:rsidR="00F065B8" w:rsidRPr="00F065B8" w:rsidRDefault="00F065B8" w:rsidP="00F065B8"/>
    <w:p w14:paraId="7E976F7F" w14:textId="3F9C002B" w:rsidR="00FE0D85" w:rsidRPr="004A357C" w:rsidRDefault="00FE0D85" w:rsidP="00861628">
      <w:pPr>
        <w:pStyle w:val="xAppendixLevel3"/>
      </w:pPr>
      <w:r w:rsidRPr="004A357C">
        <w:rPr>
          <w:color w:val="F25E21" w:themeColor="accent2"/>
        </w:rPr>
        <w:t xml:space="preserve">Measure 2.2: </w:t>
      </w:r>
      <w:r w:rsidRPr="004A357C">
        <w:t>Gap between PL benefits and prices in Australian public hospitals</w:t>
      </w:r>
    </w:p>
    <w:p w14:paraId="073493F2" w14:textId="29B8B458" w:rsidR="004A2939" w:rsidRPr="004A357C" w:rsidRDefault="002D538C" w:rsidP="00B50EE7">
      <w:pPr>
        <w:pStyle w:val="Caption"/>
      </w:pPr>
      <w:bookmarkStart w:id="110" w:name="_Ref202612746"/>
      <w:bookmarkStart w:id="111" w:name="_Ref202878064"/>
      <w:r w:rsidRPr="004A357C">
        <w:t>Table</w:t>
      </w:r>
      <w:bookmarkEnd w:id="110"/>
      <w:r w:rsidRPr="004A357C">
        <w:t xml:space="preserve"> </w:t>
      </w:r>
      <w:r w:rsidR="002604D0">
        <w:fldChar w:fldCharType="begin"/>
      </w:r>
      <w:r w:rsidR="002604D0">
        <w:instrText xml:space="preserve"> SEQ Table \* ARABIC </w:instrText>
      </w:r>
      <w:r w:rsidR="002604D0">
        <w:fldChar w:fldCharType="separate"/>
      </w:r>
      <w:r w:rsidR="0092693A">
        <w:rPr>
          <w:noProof/>
        </w:rPr>
        <w:t>12</w:t>
      </w:r>
      <w:r w:rsidR="002604D0">
        <w:fldChar w:fldCharType="end"/>
      </w:r>
      <w:bookmarkEnd w:id="111"/>
      <w:r w:rsidRPr="004A357C">
        <w:t xml:space="preserve"> | Gap between PL benefits and public benchmark prices for items where a gap is present for reduction (Parts A and D, excluding CIEDs)</w:t>
      </w:r>
      <w:r w:rsidR="00D27A39" w:rsidRPr="004A357C">
        <w:rPr>
          <w:rStyle w:val="FootnoteReference"/>
        </w:rPr>
        <w:footnoteReference w:id="144"/>
      </w:r>
    </w:p>
    <w:tbl>
      <w:tblPr>
        <w:tblStyle w:val="NOUSSideHeader1"/>
        <w:tblW w:w="5000" w:type="pct"/>
        <w:tblLook w:val="04A0" w:firstRow="1" w:lastRow="0" w:firstColumn="1" w:lastColumn="0" w:noHBand="0" w:noVBand="1"/>
      </w:tblPr>
      <w:tblGrid>
        <w:gridCol w:w="2915"/>
        <w:gridCol w:w="1566"/>
        <w:gridCol w:w="1568"/>
        <w:gridCol w:w="1568"/>
        <w:gridCol w:w="1568"/>
      </w:tblGrid>
      <w:tr w:rsidR="004026B4" w:rsidRPr="004A357C" w14:paraId="10B0894A" w14:textId="77777777" w:rsidTr="0026031A">
        <w:trPr>
          <w:cnfStyle w:val="100000000000" w:firstRow="1" w:lastRow="0" w:firstColumn="0" w:lastColumn="0" w:oddVBand="0" w:evenVBand="0" w:oddHBand="0" w:evenHBand="0" w:firstRowFirstColumn="0" w:firstRowLastColumn="0" w:lastRowFirstColumn="0" w:lastRowLastColumn="0"/>
        </w:trPr>
        <w:tc>
          <w:tcPr>
            <w:tcW w:w="2835" w:type="dxa"/>
          </w:tcPr>
          <w:p w14:paraId="16DA1CFD" w14:textId="77777777" w:rsidR="00D27A39" w:rsidRPr="004A357C" w:rsidRDefault="00D27A39" w:rsidP="00FB712C">
            <w:pPr>
              <w:pStyle w:val="TableNheader"/>
              <w:spacing w:before="60" w:after="60" w:line="240" w:lineRule="auto"/>
            </w:pPr>
            <w:r w:rsidRPr="004A357C">
              <w:t>Categories</w:t>
            </w:r>
          </w:p>
        </w:tc>
        <w:tc>
          <w:tcPr>
            <w:tcW w:w="1523" w:type="dxa"/>
          </w:tcPr>
          <w:p w14:paraId="4896C617" w14:textId="77777777" w:rsidR="00D27A39" w:rsidRPr="004A357C" w:rsidRDefault="00D27A39" w:rsidP="00FB712C">
            <w:pPr>
              <w:pStyle w:val="TableNheader"/>
              <w:spacing w:before="60" w:after="60" w:line="240" w:lineRule="auto"/>
              <w:jc w:val="center"/>
            </w:pPr>
            <w:r w:rsidRPr="004A357C">
              <w:t>Median gap $</w:t>
            </w:r>
          </w:p>
        </w:tc>
        <w:tc>
          <w:tcPr>
            <w:tcW w:w="1524" w:type="dxa"/>
          </w:tcPr>
          <w:p w14:paraId="5B3A3253" w14:textId="77777777" w:rsidR="00D27A39" w:rsidRPr="004A357C" w:rsidRDefault="00D27A39" w:rsidP="00FB712C">
            <w:pPr>
              <w:pStyle w:val="TableNheader"/>
              <w:spacing w:before="60" w:after="60" w:line="240" w:lineRule="auto"/>
              <w:jc w:val="center"/>
            </w:pPr>
            <w:r w:rsidRPr="004A357C">
              <w:t>Gap $ change</w:t>
            </w:r>
          </w:p>
        </w:tc>
        <w:tc>
          <w:tcPr>
            <w:tcW w:w="1524" w:type="dxa"/>
          </w:tcPr>
          <w:p w14:paraId="62A98F6A" w14:textId="77777777" w:rsidR="00D27A39" w:rsidRPr="004A357C" w:rsidRDefault="00D27A39" w:rsidP="00FB712C">
            <w:pPr>
              <w:pStyle w:val="TableNheader"/>
              <w:spacing w:before="60" w:after="60" w:line="240" w:lineRule="auto"/>
              <w:jc w:val="center"/>
            </w:pPr>
            <w:r w:rsidRPr="004A357C">
              <w:t>Median gap %</w:t>
            </w:r>
          </w:p>
        </w:tc>
        <w:tc>
          <w:tcPr>
            <w:tcW w:w="1524" w:type="dxa"/>
          </w:tcPr>
          <w:p w14:paraId="1DEFB99D" w14:textId="77777777" w:rsidR="00D27A39" w:rsidRPr="004A357C" w:rsidRDefault="00D27A39" w:rsidP="00FB712C">
            <w:pPr>
              <w:pStyle w:val="TableNheader"/>
              <w:spacing w:before="60" w:after="60" w:line="240" w:lineRule="auto"/>
              <w:jc w:val="center"/>
            </w:pPr>
            <w:r w:rsidRPr="004A357C">
              <w:t>Gap % change</w:t>
            </w:r>
          </w:p>
        </w:tc>
      </w:tr>
      <w:tr w:rsidR="00B37A1E" w:rsidRPr="004A357C" w14:paraId="5E9C710A" w14:textId="77777777" w:rsidTr="00D44DE9">
        <w:trPr>
          <w:cnfStyle w:val="000000100000" w:firstRow="0" w:lastRow="0" w:firstColumn="0" w:lastColumn="0" w:oddVBand="0" w:evenVBand="0" w:oddHBand="1" w:evenHBand="0" w:firstRowFirstColumn="0" w:firstRowLastColumn="0" w:lastRowFirstColumn="0" w:lastRowLastColumn="0"/>
        </w:trPr>
        <w:tc>
          <w:tcPr>
            <w:tcW w:w="2835" w:type="dxa"/>
          </w:tcPr>
          <w:p w14:paraId="5F8F99C6" w14:textId="68FAEE02" w:rsidR="00D3309B" w:rsidRPr="004A357C" w:rsidRDefault="00D3309B" w:rsidP="00FB712C">
            <w:pPr>
              <w:pStyle w:val="TableNText"/>
              <w:spacing w:before="60" w:after="60" w:line="240" w:lineRule="auto"/>
            </w:pPr>
            <w:r w:rsidRPr="004A357C">
              <w:rPr>
                <w:rFonts w:asciiTheme="majorHAnsi" w:hAnsiTheme="majorHAnsi" w:cstheme="majorHAnsi"/>
              </w:rPr>
              <w:t xml:space="preserve">01 </w:t>
            </w:r>
            <w:r w:rsidR="00886310" w:rsidRPr="004A357C">
              <w:rPr>
                <w:rFonts w:asciiTheme="majorHAnsi" w:hAnsiTheme="majorHAnsi" w:cstheme="majorHAnsi"/>
              </w:rPr>
              <w:t>–</w:t>
            </w:r>
            <w:r w:rsidRPr="004A357C">
              <w:rPr>
                <w:rFonts w:asciiTheme="majorHAnsi" w:hAnsiTheme="majorHAnsi" w:cstheme="majorHAnsi"/>
              </w:rPr>
              <w:t xml:space="preserve"> Ophthalmic</w:t>
            </w:r>
          </w:p>
        </w:tc>
        <w:tc>
          <w:tcPr>
            <w:tcW w:w="1523" w:type="dxa"/>
          </w:tcPr>
          <w:p w14:paraId="230B1C1F" w14:textId="58AC5CB3" w:rsidR="00D3309B" w:rsidRPr="004A357C" w:rsidRDefault="00D3309B" w:rsidP="00FB712C">
            <w:pPr>
              <w:pStyle w:val="TableNText"/>
              <w:spacing w:before="60" w:after="60" w:line="240" w:lineRule="auto"/>
              <w:jc w:val="center"/>
              <w:rPr>
                <w:highlight w:val="yellow"/>
              </w:rPr>
            </w:pPr>
            <w:r w:rsidRPr="004A357C">
              <w:t xml:space="preserve"> $25 </w:t>
            </w:r>
          </w:p>
        </w:tc>
        <w:tc>
          <w:tcPr>
            <w:tcW w:w="1524" w:type="dxa"/>
          </w:tcPr>
          <w:p w14:paraId="7C4286E8" w14:textId="5DC003FB" w:rsidR="00D3309B" w:rsidRPr="004A357C" w:rsidRDefault="00D3309B" w:rsidP="00FB712C">
            <w:pPr>
              <w:pStyle w:val="TableNText"/>
              <w:spacing w:before="60" w:after="60" w:line="240" w:lineRule="auto"/>
              <w:jc w:val="center"/>
              <w:rPr>
                <w:color w:val="F25E21" w:themeColor="accent2"/>
                <w:highlight w:val="yellow"/>
              </w:rPr>
            </w:pPr>
            <w:r w:rsidRPr="004A357C">
              <w:rPr>
                <w:color w:val="F25E21" w:themeColor="accent2"/>
              </w:rPr>
              <w:t xml:space="preserve">-$33 </w:t>
            </w:r>
          </w:p>
        </w:tc>
        <w:tc>
          <w:tcPr>
            <w:tcW w:w="1524" w:type="dxa"/>
          </w:tcPr>
          <w:p w14:paraId="1F3E7495" w14:textId="4DE37600" w:rsidR="00D3309B" w:rsidRPr="004A357C" w:rsidRDefault="00D3309B" w:rsidP="00FB712C">
            <w:pPr>
              <w:pStyle w:val="TableNText"/>
              <w:spacing w:before="60" w:after="60" w:line="240" w:lineRule="auto"/>
              <w:jc w:val="center"/>
              <w:rPr>
                <w:highlight w:val="yellow"/>
              </w:rPr>
            </w:pPr>
            <w:r w:rsidRPr="004A357C">
              <w:t>11%</w:t>
            </w:r>
          </w:p>
        </w:tc>
        <w:tc>
          <w:tcPr>
            <w:tcW w:w="1524" w:type="dxa"/>
          </w:tcPr>
          <w:p w14:paraId="3A0B4D2C" w14:textId="4B0A3C3A" w:rsidR="00D3309B" w:rsidRPr="004A357C" w:rsidRDefault="00D3309B" w:rsidP="00FB712C">
            <w:pPr>
              <w:pStyle w:val="TableNText"/>
              <w:spacing w:before="60" w:after="60" w:line="240" w:lineRule="auto"/>
              <w:jc w:val="center"/>
              <w:rPr>
                <w:color w:val="F25E21" w:themeColor="accent2"/>
                <w:highlight w:val="yellow"/>
              </w:rPr>
            </w:pPr>
            <w:r w:rsidRPr="004A357C">
              <w:rPr>
                <w:color w:val="F25E21" w:themeColor="accent2"/>
              </w:rPr>
              <w:t>-16%</w:t>
            </w:r>
          </w:p>
        </w:tc>
      </w:tr>
      <w:tr w:rsidR="00B37A1E" w:rsidRPr="004A357C" w14:paraId="0B3E33C0" w14:textId="77777777" w:rsidTr="00D44DE9">
        <w:trPr>
          <w:cnfStyle w:val="000000010000" w:firstRow="0" w:lastRow="0" w:firstColumn="0" w:lastColumn="0" w:oddVBand="0" w:evenVBand="0" w:oddHBand="0" w:evenHBand="1" w:firstRowFirstColumn="0" w:firstRowLastColumn="0" w:lastRowFirstColumn="0" w:lastRowLastColumn="0"/>
        </w:trPr>
        <w:tc>
          <w:tcPr>
            <w:tcW w:w="2835" w:type="dxa"/>
          </w:tcPr>
          <w:p w14:paraId="32A98797" w14:textId="7D89B49D" w:rsidR="00D3309B" w:rsidRPr="004A357C" w:rsidRDefault="00D3309B" w:rsidP="00FB712C">
            <w:pPr>
              <w:pStyle w:val="TableNText"/>
              <w:spacing w:before="60" w:after="60" w:line="240" w:lineRule="auto"/>
            </w:pPr>
            <w:r w:rsidRPr="004A357C">
              <w:rPr>
                <w:rFonts w:asciiTheme="majorHAnsi" w:hAnsiTheme="majorHAnsi" w:cstheme="majorHAnsi"/>
              </w:rPr>
              <w:t xml:space="preserve">02 </w:t>
            </w:r>
            <w:r w:rsidR="00886310" w:rsidRPr="004A357C">
              <w:rPr>
                <w:rFonts w:asciiTheme="majorHAnsi" w:hAnsiTheme="majorHAnsi" w:cstheme="majorHAnsi"/>
              </w:rPr>
              <w:t>–</w:t>
            </w:r>
            <w:r w:rsidRPr="004A357C">
              <w:rPr>
                <w:rFonts w:asciiTheme="majorHAnsi" w:hAnsiTheme="majorHAnsi" w:cstheme="majorHAnsi"/>
              </w:rPr>
              <w:t xml:space="preserve"> Ear, Nose &amp; Throat</w:t>
            </w:r>
          </w:p>
        </w:tc>
        <w:tc>
          <w:tcPr>
            <w:tcW w:w="1523" w:type="dxa"/>
          </w:tcPr>
          <w:p w14:paraId="2CC38878" w14:textId="63AF9CA8" w:rsidR="00D3309B" w:rsidRPr="004A357C" w:rsidRDefault="00D3309B" w:rsidP="00FB712C">
            <w:pPr>
              <w:pStyle w:val="TableNText"/>
              <w:spacing w:before="60" w:after="60" w:line="240" w:lineRule="auto"/>
              <w:jc w:val="center"/>
              <w:rPr>
                <w:highlight w:val="yellow"/>
              </w:rPr>
            </w:pPr>
            <w:r w:rsidRPr="004A357C">
              <w:t xml:space="preserve"> $6 </w:t>
            </w:r>
          </w:p>
        </w:tc>
        <w:tc>
          <w:tcPr>
            <w:tcW w:w="1524" w:type="dxa"/>
          </w:tcPr>
          <w:p w14:paraId="64572A8D" w14:textId="18592793" w:rsidR="00D3309B" w:rsidRPr="004A357C" w:rsidRDefault="00D3309B" w:rsidP="00FB712C">
            <w:pPr>
              <w:pStyle w:val="TableNText"/>
              <w:spacing w:before="60" w:after="60" w:line="240" w:lineRule="auto"/>
              <w:jc w:val="center"/>
              <w:rPr>
                <w:color w:val="F25E21" w:themeColor="accent2"/>
                <w:highlight w:val="yellow"/>
              </w:rPr>
            </w:pPr>
            <w:r w:rsidRPr="004A357C">
              <w:rPr>
                <w:color w:val="F25E21" w:themeColor="accent2"/>
              </w:rPr>
              <w:t xml:space="preserve">-$38 </w:t>
            </w:r>
          </w:p>
        </w:tc>
        <w:tc>
          <w:tcPr>
            <w:tcW w:w="1524" w:type="dxa"/>
          </w:tcPr>
          <w:p w14:paraId="7F083D95" w14:textId="78FCAB2B" w:rsidR="00D3309B" w:rsidRPr="004A357C" w:rsidRDefault="00D3309B" w:rsidP="00FB712C">
            <w:pPr>
              <w:pStyle w:val="TableNText"/>
              <w:spacing w:before="60" w:after="60" w:line="240" w:lineRule="auto"/>
              <w:jc w:val="center"/>
              <w:rPr>
                <w:highlight w:val="yellow"/>
              </w:rPr>
            </w:pPr>
            <w:r w:rsidRPr="004A357C">
              <w:t>6%</w:t>
            </w:r>
          </w:p>
        </w:tc>
        <w:tc>
          <w:tcPr>
            <w:tcW w:w="1524" w:type="dxa"/>
          </w:tcPr>
          <w:p w14:paraId="7A2F7F93" w14:textId="64663CB3" w:rsidR="00D3309B" w:rsidRPr="004A357C" w:rsidRDefault="00D3309B" w:rsidP="00FB712C">
            <w:pPr>
              <w:pStyle w:val="TableNText"/>
              <w:spacing w:before="60" w:after="60" w:line="240" w:lineRule="auto"/>
              <w:jc w:val="center"/>
              <w:rPr>
                <w:color w:val="F25E21" w:themeColor="accent2"/>
                <w:highlight w:val="yellow"/>
              </w:rPr>
            </w:pPr>
            <w:r w:rsidRPr="004A357C">
              <w:rPr>
                <w:color w:val="F25E21" w:themeColor="accent2"/>
              </w:rPr>
              <w:t>-12%</w:t>
            </w:r>
          </w:p>
        </w:tc>
      </w:tr>
      <w:tr w:rsidR="00B37A1E" w:rsidRPr="004A357C" w14:paraId="4C9A7807" w14:textId="77777777" w:rsidTr="00D44DE9">
        <w:trPr>
          <w:cnfStyle w:val="000000100000" w:firstRow="0" w:lastRow="0" w:firstColumn="0" w:lastColumn="0" w:oddVBand="0" w:evenVBand="0" w:oddHBand="1" w:evenHBand="0" w:firstRowFirstColumn="0" w:firstRowLastColumn="0" w:lastRowFirstColumn="0" w:lastRowLastColumn="0"/>
        </w:trPr>
        <w:tc>
          <w:tcPr>
            <w:tcW w:w="2835" w:type="dxa"/>
          </w:tcPr>
          <w:p w14:paraId="6C53FE46" w14:textId="26E2EED6" w:rsidR="00D3309B" w:rsidRPr="004A357C" w:rsidRDefault="00D3309B" w:rsidP="00FB712C">
            <w:pPr>
              <w:pStyle w:val="TableNText"/>
              <w:spacing w:before="60" w:after="60" w:line="240" w:lineRule="auto"/>
            </w:pPr>
            <w:r w:rsidRPr="004A357C">
              <w:rPr>
                <w:rFonts w:asciiTheme="majorHAnsi" w:hAnsiTheme="majorHAnsi" w:cstheme="majorHAnsi"/>
              </w:rPr>
              <w:t xml:space="preserve">03 </w:t>
            </w:r>
            <w:r w:rsidR="00886310" w:rsidRPr="004A357C">
              <w:rPr>
                <w:rFonts w:asciiTheme="majorHAnsi" w:hAnsiTheme="majorHAnsi" w:cstheme="majorHAnsi"/>
              </w:rPr>
              <w:t>–</w:t>
            </w:r>
            <w:r w:rsidRPr="004A357C">
              <w:rPr>
                <w:rFonts w:asciiTheme="majorHAnsi" w:hAnsiTheme="majorHAnsi" w:cstheme="majorHAnsi"/>
              </w:rPr>
              <w:t xml:space="preserve"> General Miscellaneous</w:t>
            </w:r>
          </w:p>
        </w:tc>
        <w:tc>
          <w:tcPr>
            <w:tcW w:w="1523" w:type="dxa"/>
          </w:tcPr>
          <w:p w14:paraId="6D4EC61A" w14:textId="702E75CC" w:rsidR="00D3309B" w:rsidRPr="004A357C" w:rsidRDefault="00D3309B" w:rsidP="00FB712C">
            <w:pPr>
              <w:pStyle w:val="TableNText"/>
              <w:spacing w:before="60" w:after="60" w:line="240" w:lineRule="auto"/>
              <w:jc w:val="center"/>
              <w:rPr>
                <w:highlight w:val="yellow"/>
              </w:rPr>
            </w:pPr>
            <w:r w:rsidRPr="004A357C">
              <w:t xml:space="preserve"> $4 </w:t>
            </w:r>
          </w:p>
        </w:tc>
        <w:tc>
          <w:tcPr>
            <w:tcW w:w="1524" w:type="dxa"/>
          </w:tcPr>
          <w:p w14:paraId="0212CB42" w14:textId="284C6DBD" w:rsidR="00D3309B" w:rsidRPr="004A357C" w:rsidRDefault="00D3309B" w:rsidP="00FB712C">
            <w:pPr>
              <w:pStyle w:val="TableNText"/>
              <w:spacing w:before="60" w:after="60" w:line="240" w:lineRule="auto"/>
              <w:jc w:val="center"/>
              <w:rPr>
                <w:color w:val="F25E21" w:themeColor="accent2"/>
                <w:highlight w:val="yellow"/>
              </w:rPr>
            </w:pPr>
            <w:r w:rsidRPr="004A357C">
              <w:rPr>
                <w:color w:val="F25E21" w:themeColor="accent2"/>
              </w:rPr>
              <w:t xml:space="preserve">-$25 </w:t>
            </w:r>
          </w:p>
        </w:tc>
        <w:tc>
          <w:tcPr>
            <w:tcW w:w="1524" w:type="dxa"/>
          </w:tcPr>
          <w:p w14:paraId="260C678A" w14:textId="7005D305" w:rsidR="00D3309B" w:rsidRPr="004A357C" w:rsidRDefault="00D3309B" w:rsidP="00FB712C">
            <w:pPr>
              <w:pStyle w:val="TableNText"/>
              <w:spacing w:before="60" w:after="60" w:line="240" w:lineRule="auto"/>
              <w:jc w:val="center"/>
              <w:rPr>
                <w:highlight w:val="yellow"/>
              </w:rPr>
            </w:pPr>
            <w:r w:rsidRPr="004A357C">
              <w:t>2%</w:t>
            </w:r>
          </w:p>
        </w:tc>
        <w:tc>
          <w:tcPr>
            <w:tcW w:w="1524" w:type="dxa"/>
          </w:tcPr>
          <w:p w14:paraId="44ECD454" w14:textId="70ECB495" w:rsidR="00D3309B" w:rsidRPr="004A357C" w:rsidRDefault="00D3309B" w:rsidP="00FB712C">
            <w:pPr>
              <w:pStyle w:val="TableNText"/>
              <w:spacing w:before="60" w:after="60" w:line="240" w:lineRule="auto"/>
              <w:jc w:val="center"/>
              <w:rPr>
                <w:color w:val="F25E21" w:themeColor="accent2"/>
                <w:highlight w:val="yellow"/>
              </w:rPr>
            </w:pPr>
            <w:r w:rsidRPr="004A357C">
              <w:rPr>
                <w:color w:val="F25E21" w:themeColor="accent2"/>
              </w:rPr>
              <w:t>-10%</w:t>
            </w:r>
          </w:p>
        </w:tc>
      </w:tr>
      <w:tr w:rsidR="00B37A1E" w:rsidRPr="004A357C" w14:paraId="2BB21CB4" w14:textId="77777777" w:rsidTr="00D44DE9">
        <w:trPr>
          <w:cnfStyle w:val="000000010000" w:firstRow="0" w:lastRow="0" w:firstColumn="0" w:lastColumn="0" w:oddVBand="0" w:evenVBand="0" w:oddHBand="0" w:evenHBand="1" w:firstRowFirstColumn="0" w:firstRowLastColumn="0" w:lastRowFirstColumn="0" w:lastRowLastColumn="0"/>
        </w:trPr>
        <w:tc>
          <w:tcPr>
            <w:tcW w:w="2835" w:type="dxa"/>
          </w:tcPr>
          <w:p w14:paraId="5CFB7264" w14:textId="6AF14EB2" w:rsidR="00D3309B" w:rsidRPr="004A357C" w:rsidRDefault="00D3309B" w:rsidP="00FB712C">
            <w:pPr>
              <w:pStyle w:val="TableNText"/>
              <w:spacing w:before="60" w:after="60" w:line="240" w:lineRule="auto"/>
            </w:pPr>
            <w:r w:rsidRPr="004A357C">
              <w:rPr>
                <w:rFonts w:asciiTheme="majorHAnsi" w:hAnsiTheme="majorHAnsi" w:cstheme="majorHAnsi"/>
              </w:rPr>
              <w:t xml:space="preserve">04 </w:t>
            </w:r>
            <w:r w:rsidR="00886310" w:rsidRPr="004A357C">
              <w:rPr>
                <w:rFonts w:asciiTheme="majorHAnsi" w:hAnsiTheme="majorHAnsi" w:cstheme="majorHAnsi"/>
              </w:rPr>
              <w:t>–</w:t>
            </w:r>
            <w:r w:rsidRPr="004A357C">
              <w:rPr>
                <w:rFonts w:asciiTheme="majorHAnsi" w:hAnsiTheme="majorHAnsi" w:cstheme="majorHAnsi"/>
              </w:rPr>
              <w:t xml:space="preserve"> Neurosurgical</w:t>
            </w:r>
          </w:p>
        </w:tc>
        <w:tc>
          <w:tcPr>
            <w:tcW w:w="1523" w:type="dxa"/>
          </w:tcPr>
          <w:p w14:paraId="35605BF7" w14:textId="19E75EAE" w:rsidR="00D3309B" w:rsidRPr="004A357C" w:rsidRDefault="00D3309B" w:rsidP="00FB712C">
            <w:pPr>
              <w:pStyle w:val="TableNText"/>
              <w:spacing w:before="60" w:after="60" w:line="240" w:lineRule="auto"/>
              <w:jc w:val="center"/>
              <w:rPr>
                <w:highlight w:val="yellow"/>
              </w:rPr>
            </w:pPr>
            <w:r w:rsidRPr="004A357C">
              <w:t xml:space="preserve"> $49 </w:t>
            </w:r>
          </w:p>
        </w:tc>
        <w:tc>
          <w:tcPr>
            <w:tcW w:w="1524" w:type="dxa"/>
          </w:tcPr>
          <w:p w14:paraId="4CB4F350" w14:textId="75FE34DD" w:rsidR="00D3309B" w:rsidRPr="004A357C" w:rsidRDefault="00D3309B" w:rsidP="00FB712C">
            <w:pPr>
              <w:pStyle w:val="TableNText"/>
              <w:spacing w:before="60" w:after="60" w:line="240" w:lineRule="auto"/>
              <w:jc w:val="center"/>
              <w:rPr>
                <w:color w:val="F25E21" w:themeColor="accent2"/>
                <w:highlight w:val="yellow"/>
              </w:rPr>
            </w:pPr>
            <w:r w:rsidRPr="004A357C">
              <w:rPr>
                <w:color w:val="F25E21" w:themeColor="accent2"/>
              </w:rPr>
              <w:t xml:space="preserve">-$169 </w:t>
            </w:r>
          </w:p>
        </w:tc>
        <w:tc>
          <w:tcPr>
            <w:tcW w:w="1524" w:type="dxa"/>
          </w:tcPr>
          <w:p w14:paraId="54E72312" w14:textId="25D23491" w:rsidR="00D3309B" w:rsidRPr="004A357C" w:rsidRDefault="00D3309B" w:rsidP="00FB712C">
            <w:pPr>
              <w:pStyle w:val="TableNText"/>
              <w:spacing w:before="60" w:after="60" w:line="240" w:lineRule="auto"/>
              <w:jc w:val="center"/>
              <w:rPr>
                <w:highlight w:val="yellow"/>
              </w:rPr>
            </w:pPr>
            <w:r w:rsidRPr="004A357C">
              <w:t>6%</w:t>
            </w:r>
          </w:p>
        </w:tc>
        <w:tc>
          <w:tcPr>
            <w:tcW w:w="1524" w:type="dxa"/>
          </w:tcPr>
          <w:p w14:paraId="42394FAB" w14:textId="69E86049" w:rsidR="00D3309B" w:rsidRPr="004A357C" w:rsidRDefault="00D3309B" w:rsidP="00FB712C">
            <w:pPr>
              <w:pStyle w:val="TableNText"/>
              <w:spacing w:before="60" w:after="60" w:line="240" w:lineRule="auto"/>
              <w:jc w:val="center"/>
              <w:rPr>
                <w:color w:val="F25E21" w:themeColor="accent2"/>
                <w:highlight w:val="yellow"/>
              </w:rPr>
            </w:pPr>
            <w:r w:rsidRPr="004A357C">
              <w:rPr>
                <w:color w:val="F25E21" w:themeColor="accent2"/>
              </w:rPr>
              <w:t>-15%</w:t>
            </w:r>
          </w:p>
        </w:tc>
      </w:tr>
      <w:tr w:rsidR="00B37A1E" w:rsidRPr="004A357C" w14:paraId="43F86AC0" w14:textId="77777777" w:rsidTr="00D44DE9">
        <w:trPr>
          <w:cnfStyle w:val="000000100000" w:firstRow="0" w:lastRow="0" w:firstColumn="0" w:lastColumn="0" w:oddVBand="0" w:evenVBand="0" w:oddHBand="1" w:evenHBand="0" w:firstRowFirstColumn="0" w:firstRowLastColumn="0" w:lastRowFirstColumn="0" w:lastRowLastColumn="0"/>
        </w:trPr>
        <w:tc>
          <w:tcPr>
            <w:tcW w:w="2835" w:type="dxa"/>
          </w:tcPr>
          <w:p w14:paraId="6B03E71A" w14:textId="46650364" w:rsidR="00D3309B" w:rsidRPr="004A357C" w:rsidRDefault="00D3309B" w:rsidP="00FB712C">
            <w:pPr>
              <w:pStyle w:val="TableNText"/>
              <w:spacing w:before="60" w:after="60" w:line="240" w:lineRule="auto"/>
            </w:pPr>
            <w:r w:rsidRPr="004A357C">
              <w:rPr>
                <w:rFonts w:asciiTheme="majorHAnsi" w:hAnsiTheme="majorHAnsi" w:cstheme="majorHAnsi"/>
              </w:rPr>
              <w:t xml:space="preserve">05 </w:t>
            </w:r>
            <w:r w:rsidR="00886310" w:rsidRPr="004A357C">
              <w:rPr>
                <w:rFonts w:asciiTheme="majorHAnsi" w:hAnsiTheme="majorHAnsi" w:cstheme="majorHAnsi"/>
              </w:rPr>
              <w:t>–</w:t>
            </w:r>
            <w:r w:rsidRPr="004A357C">
              <w:rPr>
                <w:rFonts w:asciiTheme="majorHAnsi" w:hAnsiTheme="majorHAnsi" w:cstheme="majorHAnsi"/>
              </w:rPr>
              <w:t xml:space="preserve"> Urogenital</w:t>
            </w:r>
          </w:p>
        </w:tc>
        <w:tc>
          <w:tcPr>
            <w:tcW w:w="1523" w:type="dxa"/>
          </w:tcPr>
          <w:p w14:paraId="0FC5B5C0" w14:textId="035985FC" w:rsidR="00D3309B" w:rsidRPr="004A357C" w:rsidRDefault="00D3309B" w:rsidP="00FB712C">
            <w:pPr>
              <w:pStyle w:val="TableNText"/>
              <w:spacing w:before="60" w:after="60" w:line="240" w:lineRule="auto"/>
              <w:jc w:val="center"/>
              <w:rPr>
                <w:highlight w:val="yellow"/>
              </w:rPr>
            </w:pPr>
            <w:r w:rsidRPr="004A357C">
              <w:t xml:space="preserve"> $17 </w:t>
            </w:r>
          </w:p>
        </w:tc>
        <w:tc>
          <w:tcPr>
            <w:tcW w:w="1524" w:type="dxa"/>
          </w:tcPr>
          <w:p w14:paraId="2EDA5068" w14:textId="6E389F36" w:rsidR="00D3309B" w:rsidRPr="004A357C" w:rsidRDefault="00D3309B" w:rsidP="00FB712C">
            <w:pPr>
              <w:pStyle w:val="TableNText"/>
              <w:spacing w:before="60" w:after="60" w:line="240" w:lineRule="auto"/>
              <w:jc w:val="center"/>
              <w:rPr>
                <w:color w:val="F25E21" w:themeColor="accent2"/>
                <w:highlight w:val="yellow"/>
              </w:rPr>
            </w:pPr>
            <w:r w:rsidRPr="004A357C">
              <w:rPr>
                <w:color w:val="F25E21" w:themeColor="accent2"/>
              </w:rPr>
              <w:t xml:space="preserve">-$27 </w:t>
            </w:r>
          </w:p>
        </w:tc>
        <w:tc>
          <w:tcPr>
            <w:tcW w:w="1524" w:type="dxa"/>
          </w:tcPr>
          <w:p w14:paraId="084B6E77" w14:textId="42A204F8" w:rsidR="00D3309B" w:rsidRPr="004A357C" w:rsidRDefault="00D3309B" w:rsidP="00FB712C">
            <w:pPr>
              <w:pStyle w:val="TableNText"/>
              <w:spacing w:before="60" w:after="60" w:line="240" w:lineRule="auto"/>
              <w:jc w:val="center"/>
              <w:rPr>
                <w:highlight w:val="yellow"/>
              </w:rPr>
            </w:pPr>
            <w:r w:rsidRPr="004A357C">
              <w:t>7%</w:t>
            </w:r>
          </w:p>
        </w:tc>
        <w:tc>
          <w:tcPr>
            <w:tcW w:w="1524" w:type="dxa"/>
          </w:tcPr>
          <w:p w14:paraId="50D9860C" w14:textId="5327E4E9" w:rsidR="00D3309B" w:rsidRPr="004A357C" w:rsidRDefault="00D3309B" w:rsidP="00FB712C">
            <w:pPr>
              <w:pStyle w:val="TableNText"/>
              <w:spacing w:before="60" w:after="60" w:line="240" w:lineRule="auto"/>
              <w:jc w:val="center"/>
              <w:rPr>
                <w:color w:val="F25E21" w:themeColor="accent2"/>
                <w:highlight w:val="yellow"/>
              </w:rPr>
            </w:pPr>
            <w:r w:rsidRPr="004A357C">
              <w:rPr>
                <w:color w:val="F25E21" w:themeColor="accent2"/>
              </w:rPr>
              <w:t>-24%</w:t>
            </w:r>
          </w:p>
        </w:tc>
      </w:tr>
      <w:tr w:rsidR="00B37A1E" w:rsidRPr="004A357C" w14:paraId="2D619FB8" w14:textId="77777777" w:rsidTr="00D44DE9">
        <w:trPr>
          <w:cnfStyle w:val="000000010000" w:firstRow="0" w:lastRow="0" w:firstColumn="0" w:lastColumn="0" w:oddVBand="0" w:evenVBand="0" w:oddHBand="0" w:evenHBand="1" w:firstRowFirstColumn="0" w:firstRowLastColumn="0" w:lastRowFirstColumn="0" w:lastRowLastColumn="0"/>
        </w:trPr>
        <w:tc>
          <w:tcPr>
            <w:tcW w:w="2835" w:type="dxa"/>
          </w:tcPr>
          <w:p w14:paraId="2C243346" w14:textId="2C3FEF91" w:rsidR="00D3309B" w:rsidRPr="004A357C" w:rsidRDefault="00D3309B" w:rsidP="00FB712C">
            <w:pPr>
              <w:pStyle w:val="TableNText"/>
              <w:spacing w:before="60" w:after="60" w:line="240" w:lineRule="auto"/>
            </w:pPr>
            <w:r w:rsidRPr="004A357C">
              <w:rPr>
                <w:rFonts w:asciiTheme="majorHAnsi" w:hAnsiTheme="majorHAnsi" w:cstheme="majorHAnsi"/>
              </w:rPr>
              <w:t xml:space="preserve">06 </w:t>
            </w:r>
            <w:r w:rsidR="00886310" w:rsidRPr="004A357C">
              <w:rPr>
                <w:rFonts w:asciiTheme="majorHAnsi" w:hAnsiTheme="majorHAnsi" w:cstheme="majorHAnsi"/>
              </w:rPr>
              <w:t>–</w:t>
            </w:r>
            <w:r w:rsidRPr="004A357C">
              <w:rPr>
                <w:rFonts w:asciiTheme="majorHAnsi" w:hAnsiTheme="majorHAnsi" w:cstheme="majorHAnsi"/>
              </w:rPr>
              <w:t xml:space="preserve"> Specialist Orthopaedic</w:t>
            </w:r>
          </w:p>
        </w:tc>
        <w:tc>
          <w:tcPr>
            <w:tcW w:w="1523" w:type="dxa"/>
          </w:tcPr>
          <w:p w14:paraId="03CFD103" w14:textId="10FB10D5" w:rsidR="00D3309B" w:rsidRPr="004A357C" w:rsidRDefault="00D3309B" w:rsidP="00FB712C">
            <w:pPr>
              <w:pStyle w:val="TableNText"/>
              <w:spacing w:before="60" w:after="60" w:line="240" w:lineRule="auto"/>
              <w:jc w:val="center"/>
              <w:rPr>
                <w:highlight w:val="yellow"/>
              </w:rPr>
            </w:pPr>
            <w:r w:rsidRPr="004A357C">
              <w:t xml:space="preserve"> $2</w:t>
            </w:r>
            <w:r w:rsidR="004023DE">
              <w:t>8</w:t>
            </w:r>
          </w:p>
        </w:tc>
        <w:tc>
          <w:tcPr>
            <w:tcW w:w="1524" w:type="dxa"/>
          </w:tcPr>
          <w:p w14:paraId="569205A1" w14:textId="38484A6E" w:rsidR="00D3309B" w:rsidRPr="004A357C" w:rsidRDefault="00D3309B" w:rsidP="00FB712C">
            <w:pPr>
              <w:pStyle w:val="TableNText"/>
              <w:spacing w:before="60" w:after="60" w:line="240" w:lineRule="auto"/>
              <w:jc w:val="center"/>
              <w:rPr>
                <w:color w:val="F25E21" w:themeColor="accent2"/>
                <w:highlight w:val="yellow"/>
              </w:rPr>
            </w:pPr>
            <w:r w:rsidRPr="004A357C">
              <w:rPr>
                <w:color w:val="F25E21" w:themeColor="accent2"/>
              </w:rPr>
              <w:t>-$13</w:t>
            </w:r>
            <w:r w:rsidR="004023DE">
              <w:rPr>
                <w:color w:val="F25E21" w:themeColor="accent2"/>
              </w:rPr>
              <w:t>7</w:t>
            </w:r>
            <w:r w:rsidRPr="004A357C">
              <w:rPr>
                <w:color w:val="F25E21" w:themeColor="accent2"/>
              </w:rPr>
              <w:t xml:space="preserve"> </w:t>
            </w:r>
          </w:p>
        </w:tc>
        <w:tc>
          <w:tcPr>
            <w:tcW w:w="1524" w:type="dxa"/>
          </w:tcPr>
          <w:p w14:paraId="3AEECB67" w14:textId="50B3C866" w:rsidR="00D3309B" w:rsidRPr="004A357C" w:rsidRDefault="00A64CD2" w:rsidP="00FB712C">
            <w:pPr>
              <w:pStyle w:val="TableNText"/>
              <w:spacing w:before="60" w:after="60" w:line="240" w:lineRule="auto"/>
              <w:jc w:val="center"/>
              <w:rPr>
                <w:highlight w:val="yellow"/>
              </w:rPr>
            </w:pPr>
            <w:r>
              <w:t>8</w:t>
            </w:r>
            <w:r w:rsidR="00D3309B" w:rsidRPr="004A357C">
              <w:t>%</w:t>
            </w:r>
          </w:p>
        </w:tc>
        <w:tc>
          <w:tcPr>
            <w:tcW w:w="1524" w:type="dxa"/>
          </w:tcPr>
          <w:p w14:paraId="75FE070E" w14:textId="6BA50550" w:rsidR="00D3309B" w:rsidRPr="004A357C" w:rsidRDefault="00D3309B" w:rsidP="00FB712C">
            <w:pPr>
              <w:pStyle w:val="TableNText"/>
              <w:spacing w:before="60" w:after="60" w:line="240" w:lineRule="auto"/>
              <w:jc w:val="center"/>
              <w:rPr>
                <w:color w:val="F25E21" w:themeColor="accent2"/>
                <w:highlight w:val="yellow"/>
              </w:rPr>
            </w:pPr>
            <w:r w:rsidRPr="004A357C">
              <w:rPr>
                <w:color w:val="F25E21" w:themeColor="accent2"/>
              </w:rPr>
              <w:t>-36%</w:t>
            </w:r>
          </w:p>
        </w:tc>
      </w:tr>
      <w:tr w:rsidR="00B37A1E" w:rsidRPr="004A357C" w14:paraId="7F24EFDC" w14:textId="77777777" w:rsidTr="00D44DE9">
        <w:trPr>
          <w:cnfStyle w:val="000000100000" w:firstRow="0" w:lastRow="0" w:firstColumn="0" w:lastColumn="0" w:oddVBand="0" w:evenVBand="0" w:oddHBand="1" w:evenHBand="0" w:firstRowFirstColumn="0" w:firstRowLastColumn="0" w:lastRowFirstColumn="0" w:lastRowLastColumn="0"/>
        </w:trPr>
        <w:tc>
          <w:tcPr>
            <w:tcW w:w="2835" w:type="dxa"/>
          </w:tcPr>
          <w:p w14:paraId="15392499" w14:textId="2BD65828" w:rsidR="00D3309B" w:rsidRPr="004A357C" w:rsidRDefault="00D3309B" w:rsidP="00FB712C">
            <w:pPr>
              <w:pStyle w:val="TableNText"/>
              <w:spacing w:before="60" w:after="60" w:line="240" w:lineRule="auto"/>
            </w:pPr>
            <w:r w:rsidRPr="004A357C">
              <w:rPr>
                <w:rFonts w:asciiTheme="majorHAnsi" w:hAnsiTheme="majorHAnsi" w:cstheme="majorHAnsi"/>
              </w:rPr>
              <w:t xml:space="preserve">07 </w:t>
            </w:r>
            <w:r w:rsidR="00886310" w:rsidRPr="004A357C">
              <w:rPr>
                <w:rFonts w:asciiTheme="majorHAnsi" w:hAnsiTheme="majorHAnsi" w:cstheme="majorHAnsi"/>
              </w:rPr>
              <w:t>–</w:t>
            </w:r>
            <w:r w:rsidRPr="004A357C">
              <w:rPr>
                <w:rFonts w:asciiTheme="majorHAnsi" w:hAnsiTheme="majorHAnsi" w:cstheme="majorHAnsi"/>
              </w:rPr>
              <w:t xml:space="preserve"> Plastic and Reconstructive</w:t>
            </w:r>
          </w:p>
        </w:tc>
        <w:tc>
          <w:tcPr>
            <w:tcW w:w="1523" w:type="dxa"/>
          </w:tcPr>
          <w:p w14:paraId="4C3DB163" w14:textId="3F54BF93" w:rsidR="00D3309B" w:rsidRPr="004A357C" w:rsidRDefault="00D3309B" w:rsidP="00FB712C">
            <w:pPr>
              <w:pStyle w:val="TableNText"/>
              <w:spacing w:before="60" w:after="60" w:line="240" w:lineRule="auto"/>
              <w:jc w:val="center"/>
              <w:rPr>
                <w:highlight w:val="yellow"/>
              </w:rPr>
            </w:pPr>
            <w:r w:rsidRPr="004A357C">
              <w:t xml:space="preserve"> $24 </w:t>
            </w:r>
          </w:p>
        </w:tc>
        <w:tc>
          <w:tcPr>
            <w:tcW w:w="1524" w:type="dxa"/>
          </w:tcPr>
          <w:p w14:paraId="75CAF874" w14:textId="5BCF497F" w:rsidR="00D3309B" w:rsidRPr="004A357C" w:rsidRDefault="00D3309B" w:rsidP="00FB712C">
            <w:pPr>
              <w:pStyle w:val="TableNText"/>
              <w:spacing w:before="60" w:after="60" w:line="240" w:lineRule="auto"/>
              <w:jc w:val="center"/>
              <w:rPr>
                <w:color w:val="F25E21" w:themeColor="accent2"/>
                <w:highlight w:val="yellow"/>
              </w:rPr>
            </w:pPr>
            <w:r w:rsidRPr="004A357C">
              <w:rPr>
                <w:color w:val="F25E21" w:themeColor="accent2"/>
              </w:rPr>
              <w:t xml:space="preserve">-$116 </w:t>
            </w:r>
          </w:p>
        </w:tc>
        <w:tc>
          <w:tcPr>
            <w:tcW w:w="1524" w:type="dxa"/>
          </w:tcPr>
          <w:p w14:paraId="06AA8403" w14:textId="1059B55B" w:rsidR="00D3309B" w:rsidRPr="004A357C" w:rsidRDefault="00D3309B" w:rsidP="00FB712C">
            <w:pPr>
              <w:pStyle w:val="TableNText"/>
              <w:spacing w:before="60" w:after="60" w:line="240" w:lineRule="auto"/>
              <w:jc w:val="center"/>
              <w:rPr>
                <w:highlight w:val="yellow"/>
              </w:rPr>
            </w:pPr>
            <w:r w:rsidRPr="004A357C">
              <w:t>8%</w:t>
            </w:r>
          </w:p>
        </w:tc>
        <w:tc>
          <w:tcPr>
            <w:tcW w:w="1524" w:type="dxa"/>
          </w:tcPr>
          <w:p w14:paraId="569722F5" w14:textId="39EA1BD5" w:rsidR="00D3309B" w:rsidRPr="004A357C" w:rsidRDefault="00D3309B" w:rsidP="00FB712C">
            <w:pPr>
              <w:pStyle w:val="TableNText"/>
              <w:spacing w:before="60" w:after="60" w:line="240" w:lineRule="auto"/>
              <w:jc w:val="center"/>
              <w:rPr>
                <w:color w:val="F25E21" w:themeColor="accent2"/>
                <w:highlight w:val="yellow"/>
              </w:rPr>
            </w:pPr>
            <w:r w:rsidRPr="004A357C">
              <w:rPr>
                <w:color w:val="F25E21" w:themeColor="accent2"/>
              </w:rPr>
              <w:t>-20%</w:t>
            </w:r>
          </w:p>
        </w:tc>
      </w:tr>
      <w:tr w:rsidR="00B37A1E" w:rsidRPr="004A357C" w14:paraId="74849934" w14:textId="77777777" w:rsidTr="00D44DE9">
        <w:trPr>
          <w:cnfStyle w:val="000000010000" w:firstRow="0" w:lastRow="0" w:firstColumn="0" w:lastColumn="0" w:oddVBand="0" w:evenVBand="0" w:oddHBand="0" w:evenHBand="1" w:firstRowFirstColumn="0" w:firstRowLastColumn="0" w:lastRowFirstColumn="0" w:lastRowLastColumn="0"/>
        </w:trPr>
        <w:tc>
          <w:tcPr>
            <w:tcW w:w="2835" w:type="dxa"/>
          </w:tcPr>
          <w:p w14:paraId="4712C97A" w14:textId="5900BF23" w:rsidR="00D3309B" w:rsidRPr="004A357C" w:rsidRDefault="00D3309B" w:rsidP="00FB712C">
            <w:pPr>
              <w:pStyle w:val="TableNText"/>
              <w:spacing w:before="60" w:after="60" w:line="240" w:lineRule="auto"/>
            </w:pPr>
            <w:r w:rsidRPr="004A357C">
              <w:rPr>
                <w:rFonts w:asciiTheme="majorHAnsi" w:hAnsiTheme="majorHAnsi" w:cstheme="majorHAnsi"/>
              </w:rPr>
              <w:t xml:space="preserve">08 </w:t>
            </w:r>
            <w:r w:rsidR="00886310" w:rsidRPr="004A357C">
              <w:rPr>
                <w:rFonts w:asciiTheme="majorHAnsi" w:hAnsiTheme="majorHAnsi" w:cstheme="majorHAnsi"/>
              </w:rPr>
              <w:t>–</w:t>
            </w:r>
            <w:r w:rsidRPr="004A357C">
              <w:rPr>
                <w:rFonts w:asciiTheme="majorHAnsi" w:hAnsiTheme="majorHAnsi" w:cstheme="majorHAnsi"/>
              </w:rPr>
              <w:t xml:space="preserve"> Cardiac</w:t>
            </w:r>
            <w:r w:rsidRPr="004A357C">
              <w:t xml:space="preserve"> </w:t>
            </w:r>
            <w:r w:rsidRPr="004A357C">
              <w:rPr>
                <w:rFonts w:asciiTheme="majorHAnsi" w:hAnsiTheme="majorHAnsi" w:cstheme="majorHAnsi"/>
              </w:rPr>
              <w:t>(excluding CIEDs)</w:t>
            </w:r>
          </w:p>
        </w:tc>
        <w:tc>
          <w:tcPr>
            <w:tcW w:w="1523" w:type="dxa"/>
          </w:tcPr>
          <w:p w14:paraId="36C81F38" w14:textId="6C6A9616" w:rsidR="00D3309B" w:rsidRPr="004A357C" w:rsidRDefault="00D3309B" w:rsidP="00FB712C">
            <w:pPr>
              <w:pStyle w:val="TableNText"/>
              <w:spacing w:before="60" w:after="60" w:line="240" w:lineRule="auto"/>
              <w:jc w:val="center"/>
              <w:rPr>
                <w:highlight w:val="yellow"/>
              </w:rPr>
            </w:pPr>
            <w:r w:rsidRPr="004A357C">
              <w:t xml:space="preserve"> $323 </w:t>
            </w:r>
          </w:p>
        </w:tc>
        <w:tc>
          <w:tcPr>
            <w:tcW w:w="1524" w:type="dxa"/>
          </w:tcPr>
          <w:p w14:paraId="36626F47" w14:textId="4A11111E" w:rsidR="00D3309B" w:rsidRPr="004A357C" w:rsidRDefault="00D3309B" w:rsidP="00FB712C">
            <w:pPr>
              <w:pStyle w:val="TableNText"/>
              <w:spacing w:before="60" w:after="60" w:line="240" w:lineRule="auto"/>
              <w:jc w:val="center"/>
              <w:rPr>
                <w:color w:val="F25E21" w:themeColor="accent2"/>
                <w:highlight w:val="yellow"/>
              </w:rPr>
            </w:pPr>
            <w:r w:rsidRPr="004A357C">
              <w:rPr>
                <w:color w:val="F25E21" w:themeColor="accent2"/>
              </w:rPr>
              <w:t xml:space="preserve">-$1,174 </w:t>
            </w:r>
          </w:p>
        </w:tc>
        <w:tc>
          <w:tcPr>
            <w:tcW w:w="1524" w:type="dxa"/>
          </w:tcPr>
          <w:p w14:paraId="7953B8A7" w14:textId="775EA1C2" w:rsidR="00D3309B" w:rsidRPr="004A357C" w:rsidRDefault="00D3309B" w:rsidP="00FB712C">
            <w:pPr>
              <w:pStyle w:val="TableNText"/>
              <w:spacing w:before="60" w:after="60" w:line="240" w:lineRule="auto"/>
              <w:jc w:val="center"/>
              <w:rPr>
                <w:highlight w:val="yellow"/>
              </w:rPr>
            </w:pPr>
            <w:r w:rsidRPr="004A357C">
              <w:t>42%</w:t>
            </w:r>
          </w:p>
        </w:tc>
        <w:tc>
          <w:tcPr>
            <w:tcW w:w="1524" w:type="dxa"/>
          </w:tcPr>
          <w:p w14:paraId="1BDFD1E9" w14:textId="117AAF5C" w:rsidR="00D3309B" w:rsidRPr="004A357C" w:rsidRDefault="00D3309B" w:rsidP="00FB712C">
            <w:pPr>
              <w:pStyle w:val="TableNText"/>
              <w:spacing w:before="60" w:after="60" w:line="240" w:lineRule="auto"/>
              <w:jc w:val="center"/>
              <w:rPr>
                <w:color w:val="F25E21" w:themeColor="accent2"/>
                <w:highlight w:val="yellow"/>
              </w:rPr>
            </w:pPr>
            <w:r w:rsidRPr="004A357C">
              <w:rPr>
                <w:color w:val="F25E21" w:themeColor="accent2"/>
              </w:rPr>
              <w:t>-145%</w:t>
            </w:r>
          </w:p>
        </w:tc>
      </w:tr>
      <w:tr w:rsidR="00B37A1E" w:rsidRPr="004A357C" w14:paraId="29679A0D" w14:textId="77777777" w:rsidTr="00D44DE9">
        <w:trPr>
          <w:cnfStyle w:val="000000100000" w:firstRow="0" w:lastRow="0" w:firstColumn="0" w:lastColumn="0" w:oddVBand="0" w:evenVBand="0" w:oddHBand="1" w:evenHBand="0" w:firstRowFirstColumn="0" w:firstRowLastColumn="0" w:lastRowFirstColumn="0" w:lastRowLastColumn="0"/>
        </w:trPr>
        <w:tc>
          <w:tcPr>
            <w:tcW w:w="2835" w:type="dxa"/>
          </w:tcPr>
          <w:p w14:paraId="1DF65D9F" w14:textId="0CB17BEF" w:rsidR="00D3309B" w:rsidRPr="004A357C" w:rsidRDefault="00D3309B" w:rsidP="00FB712C">
            <w:pPr>
              <w:pStyle w:val="TableNText"/>
              <w:spacing w:before="60" w:after="60" w:line="240" w:lineRule="auto"/>
            </w:pPr>
            <w:r w:rsidRPr="004A357C">
              <w:rPr>
                <w:rFonts w:asciiTheme="majorHAnsi" w:hAnsiTheme="majorHAnsi" w:cstheme="majorHAnsi"/>
              </w:rPr>
              <w:t xml:space="preserve">09 </w:t>
            </w:r>
            <w:r w:rsidR="00886310" w:rsidRPr="004A357C">
              <w:rPr>
                <w:rFonts w:asciiTheme="majorHAnsi" w:hAnsiTheme="majorHAnsi" w:cstheme="majorHAnsi"/>
              </w:rPr>
              <w:t>–</w:t>
            </w:r>
            <w:r w:rsidRPr="004A357C">
              <w:rPr>
                <w:rFonts w:asciiTheme="majorHAnsi" w:hAnsiTheme="majorHAnsi" w:cstheme="majorHAnsi"/>
              </w:rPr>
              <w:t xml:space="preserve"> Cardiothoracic</w:t>
            </w:r>
          </w:p>
        </w:tc>
        <w:tc>
          <w:tcPr>
            <w:tcW w:w="1523" w:type="dxa"/>
          </w:tcPr>
          <w:p w14:paraId="0F726ED0" w14:textId="129F3567" w:rsidR="00D3309B" w:rsidRPr="004A357C" w:rsidRDefault="00D3309B" w:rsidP="00FB712C">
            <w:pPr>
              <w:pStyle w:val="TableNText"/>
              <w:spacing w:before="60" w:after="60" w:line="240" w:lineRule="auto"/>
              <w:jc w:val="center"/>
              <w:rPr>
                <w:highlight w:val="yellow"/>
              </w:rPr>
            </w:pPr>
            <w:r w:rsidRPr="004A357C">
              <w:t xml:space="preserve"> $61 </w:t>
            </w:r>
          </w:p>
        </w:tc>
        <w:tc>
          <w:tcPr>
            <w:tcW w:w="1524" w:type="dxa"/>
          </w:tcPr>
          <w:p w14:paraId="3411D111" w14:textId="73261914" w:rsidR="00D3309B" w:rsidRPr="004A357C" w:rsidRDefault="00D3309B" w:rsidP="00FB712C">
            <w:pPr>
              <w:pStyle w:val="TableNText"/>
              <w:spacing w:before="60" w:after="60" w:line="240" w:lineRule="auto"/>
              <w:jc w:val="center"/>
              <w:rPr>
                <w:color w:val="F25E21" w:themeColor="accent2"/>
                <w:highlight w:val="yellow"/>
              </w:rPr>
            </w:pPr>
            <w:r w:rsidRPr="004A357C">
              <w:rPr>
                <w:color w:val="F25E21" w:themeColor="accent2"/>
              </w:rPr>
              <w:t xml:space="preserve">-$595 </w:t>
            </w:r>
          </w:p>
        </w:tc>
        <w:tc>
          <w:tcPr>
            <w:tcW w:w="1524" w:type="dxa"/>
          </w:tcPr>
          <w:p w14:paraId="2A8E5929" w14:textId="6D92748A" w:rsidR="00D3309B" w:rsidRPr="004A357C" w:rsidRDefault="00D3309B" w:rsidP="00FB712C">
            <w:pPr>
              <w:pStyle w:val="TableNText"/>
              <w:spacing w:before="60" w:after="60" w:line="240" w:lineRule="auto"/>
              <w:jc w:val="center"/>
              <w:rPr>
                <w:highlight w:val="yellow"/>
              </w:rPr>
            </w:pPr>
            <w:r w:rsidRPr="004A357C">
              <w:t>3%</w:t>
            </w:r>
          </w:p>
        </w:tc>
        <w:tc>
          <w:tcPr>
            <w:tcW w:w="1524" w:type="dxa"/>
          </w:tcPr>
          <w:p w14:paraId="31FF4785" w14:textId="3E162F3D" w:rsidR="00D3309B" w:rsidRPr="004A357C" w:rsidRDefault="00D3309B" w:rsidP="00FB712C">
            <w:pPr>
              <w:pStyle w:val="TableNText"/>
              <w:spacing w:before="60" w:after="60" w:line="240" w:lineRule="auto"/>
              <w:jc w:val="center"/>
              <w:rPr>
                <w:color w:val="F25E21" w:themeColor="accent2"/>
                <w:highlight w:val="yellow"/>
              </w:rPr>
            </w:pPr>
            <w:r w:rsidRPr="004A357C">
              <w:rPr>
                <w:color w:val="F25E21" w:themeColor="accent2"/>
              </w:rPr>
              <w:t>-20%</w:t>
            </w:r>
          </w:p>
        </w:tc>
      </w:tr>
      <w:tr w:rsidR="00B37A1E" w:rsidRPr="004A357C" w14:paraId="6DBDF55C" w14:textId="77777777" w:rsidTr="00D44DE9">
        <w:trPr>
          <w:cnfStyle w:val="000000010000" w:firstRow="0" w:lastRow="0" w:firstColumn="0" w:lastColumn="0" w:oddVBand="0" w:evenVBand="0" w:oddHBand="0" w:evenHBand="1" w:firstRowFirstColumn="0" w:firstRowLastColumn="0" w:lastRowFirstColumn="0" w:lastRowLastColumn="0"/>
        </w:trPr>
        <w:tc>
          <w:tcPr>
            <w:tcW w:w="2835" w:type="dxa"/>
          </w:tcPr>
          <w:p w14:paraId="068DAB4F" w14:textId="0FEC279D" w:rsidR="00D3309B" w:rsidRPr="004A357C" w:rsidRDefault="00D3309B" w:rsidP="00FB712C">
            <w:pPr>
              <w:pStyle w:val="TableNText"/>
              <w:spacing w:before="60" w:after="60" w:line="240" w:lineRule="auto"/>
            </w:pPr>
            <w:r w:rsidRPr="004A357C">
              <w:rPr>
                <w:rFonts w:asciiTheme="majorHAnsi" w:hAnsiTheme="majorHAnsi" w:cstheme="majorHAnsi"/>
              </w:rPr>
              <w:t xml:space="preserve">10 </w:t>
            </w:r>
            <w:r w:rsidR="00886310" w:rsidRPr="004A357C">
              <w:rPr>
                <w:rFonts w:asciiTheme="majorHAnsi" w:hAnsiTheme="majorHAnsi" w:cstheme="majorHAnsi"/>
              </w:rPr>
              <w:t>–</w:t>
            </w:r>
            <w:r w:rsidRPr="004A357C">
              <w:rPr>
                <w:rFonts w:asciiTheme="majorHAnsi" w:hAnsiTheme="majorHAnsi" w:cstheme="majorHAnsi"/>
              </w:rPr>
              <w:t xml:space="preserve"> Vascular</w:t>
            </w:r>
          </w:p>
        </w:tc>
        <w:tc>
          <w:tcPr>
            <w:tcW w:w="1523" w:type="dxa"/>
          </w:tcPr>
          <w:p w14:paraId="03F1AD3A" w14:textId="58A016D1" w:rsidR="00D3309B" w:rsidRPr="004A357C" w:rsidRDefault="00D3309B" w:rsidP="00FB712C">
            <w:pPr>
              <w:pStyle w:val="TableNText"/>
              <w:spacing w:before="60" w:after="60" w:line="240" w:lineRule="auto"/>
              <w:jc w:val="center"/>
              <w:rPr>
                <w:highlight w:val="yellow"/>
              </w:rPr>
            </w:pPr>
            <w:r w:rsidRPr="004A357C">
              <w:t xml:space="preserve"> $64 </w:t>
            </w:r>
          </w:p>
        </w:tc>
        <w:tc>
          <w:tcPr>
            <w:tcW w:w="1524" w:type="dxa"/>
          </w:tcPr>
          <w:p w14:paraId="698F2E09" w14:textId="00BF6A6A" w:rsidR="00D3309B" w:rsidRPr="004A357C" w:rsidRDefault="00D3309B" w:rsidP="00FB712C">
            <w:pPr>
              <w:pStyle w:val="TableNText"/>
              <w:spacing w:before="60" w:after="60" w:line="240" w:lineRule="auto"/>
              <w:jc w:val="center"/>
              <w:rPr>
                <w:color w:val="F25E21" w:themeColor="accent2"/>
                <w:highlight w:val="yellow"/>
              </w:rPr>
            </w:pPr>
            <w:r w:rsidRPr="004A357C">
              <w:rPr>
                <w:color w:val="F25E21" w:themeColor="accent2"/>
              </w:rPr>
              <w:t xml:space="preserve">-$209 </w:t>
            </w:r>
          </w:p>
        </w:tc>
        <w:tc>
          <w:tcPr>
            <w:tcW w:w="1524" w:type="dxa"/>
          </w:tcPr>
          <w:p w14:paraId="34E5F04D" w14:textId="26A34368" w:rsidR="00D3309B" w:rsidRPr="004A357C" w:rsidRDefault="00D3309B" w:rsidP="00FB712C">
            <w:pPr>
              <w:pStyle w:val="TableNText"/>
              <w:spacing w:before="60" w:after="60" w:line="240" w:lineRule="auto"/>
              <w:jc w:val="center"/>
              <w:rPr>
                <w:highlight w:val="yellow"/>
              </w:rPr>
            </w:pPr>
            <w:r w:rsidRPr="004A357C">
              <w:t>6%</w:t>
            </w:r>
          </w:p>
        </w:tc>
        <w:tc>
          <w:tcPr>
            <w:tcW w:w="1524" w:type="dxa"/>
          </w:tcPr>
          <w:p w14:paraId="74409C6D" w14:textId="65972D49" w:rsidR="00D3309B" w:rsidRPr="004A357C" w:rsidRDefault="00D3309B" w:rsidP="00FB712C">
            <w:pPr>
              <w:pStyle w:val="TableNText"/>
              <w:spacing w:before="60" w:after="60" w:line="240" w:lineRule="auto"/>
              <w:jc w:val="center"/>
              <w:rPr>
                <w:color w:val="F25E21" w:themeColor="accent2"/>
                <w:highlight w:val="yellow"/>
              </w:rPr>
            </w:pPr>
            <w:r w:rsidRPr="004A357C">
              <w:rPr>
                <w:color w:val="F25E21" w:themeColor="accent2"/>
              </w:rPr>
              <w:t>-39%</w:t>
            </w:r>
          </w:p>
        </w:tc>
      </w:tr>
      <w:tr w:rsidR="00B37A1E" w:rsidRPr="004A357C" w14:paraId="0FEB45E7" w14:textId="77777777" w:rsidTr="00D44DE9">
        <w:trPr>
          <w:cnfStyle w:val="000000100000" w:firstRow="0" w:lastRow="0" w:firstColumn="0" w:lastColumn="0" w:oddVBand="0" w:evenVBand="0" w:oddHBand="1" w:evenHBand="0" w:firstRowFirstColumn="0" w:firstRowLastColumn="0" w:lastRowFirstColumn="0" w:lastRowLastColumn="0"/>
        </w:trPr>
        <w:tc>
          <w:tcPr>
            <w:tcW w:w="2835" w:type="dxa"/>
          </w:tcPr>
          <w:p w14:paraId="2B7ABCB0" w14:textId="71B876D1" w:rsidR="00D3309B" w:rsidRPr="004A357C" w:rsidRDefault="00D3309B" w:rsidP="00FB712C">
            <w:pPr>
              <w:pStyle w:val="TableNText"/>
              <w:spacing w:before="60" w:after="60" w:line="240" w:lineRule="auto"/>
            </w:pPr>
            <w:r w:rsidRPr="004A357C">
              <w:rPr>
                <w:rFonts w:asciiTheme="majorHAnsi" w:hAnsiTheme="majorHAnsi" w:cstheme="majorHAnsi"/>
              </w:rPr>
              <w:t xml:space="preserve">11 </w:t>
            </w:r>
            <w:r w:rsidR="00886310" w:rsidRPr="004A357C">
              <w:rPr>
                <w:rFonts w:asciiTheme="majorHAnsi" w:hAnsiTheme="majorHAnsi" w:cstheme="majorHAnsi"/>
              </w:rPr>
              <w:t>–</w:t>
            </w:r>
            <w:r w:rsidRPr="004A357C">
              <w:rPr>
                <w:rFonts w:asciiTheme="majorHAnsi" w:hAnsiTheme="majorHAnsi" w:cstheme="majorHAnsi"/>
              </w:rPr>
              <w:t xml:space="preserve"> Hip</w:t>
            </w:r>
          </w:p>
        </w:tc>
        <w:tc>
          <w:tcPr>
            <w:tcW w:w="1523" w:type="dxa"/>
          </w:tcPr>
          <w:p w14:paraId="1EA585EE" w14:textId="37D2097D" w:rsidR="00D3309B" w:rsidRPr="004A357C" w:rsidRDefault="00D3309B" w:rsidP="00FB712C">
            <w:pPr>
              <w:pStyle w:val="TableNText"/>
              <w:spacing w:before="60" w:after="60" w:line="240" w:lineRule="auto"/>
              <w:jc w:val="center"/>
              <w:rPr>
                <w:highlight w:val="yellow"/>
              </w:rPr>
            </w:pPr>
            <w:r w:rsidRPr="004A357C">
              <w:t xml:space="preserve"> $69 </w:t>
            </w:r>
          </w:p>
        </w:tc>
        <w:tc>
          <w:tcPr>
            <w:tcW w:w="1524" w:type="dxa"/>
          </w:tcPr>
          <w:p w14:paraId="4F0FB4B5" w14:textId="31F0FCB1" w:rsidR="00D3309B" w:rsidRPr="004A357C" w:rsidRDefault="00D3309B" w:rsidP="00FB712C">
            <w:pPr>
              <w:pStyle w:val="TableNText"/>
              <w:spacing w:before="60" w:after="60" w:line="240" w:lineRule="auto"/>
              <w:jc w:val="center"/>
              <w:rPr>
                <w:color w:val="F25E21" w:themeColor="accent2"/>
                <w:highlight w:val="yellow"/>
              </w:rPr>
            </w:pPr>
            <w:r w:rsidRPr="004A357C">
              <w:rPr>
                <w:color w:val="F25E21" w:themeColor="accent2"/>
              </w:rPr>
              <w:t xml:space="preserve">-$145 </w:t>
            </w:r>
          </w:p>
        </w:tc>
        <w:tc>
          <w:tcPr>
            <w:tcW w:w="1524" w:type="dxa"/>
          </w:tcPr>
          <w:p w14:paraId="289454E7" w14:textId="05F05216" w:rsidR="00D3309B" w:rsidRPr="004A357C" w:rsidRDefault="00D3309B" w:rsidP="00FB712C">
            <w:pPr>
              <w:pStyle w:val="TableNText"/>
              <w:spacing w:before="60" w:after="60" w:line="240" w:lineRule="auto"/>
              <w:jc w:val="center"/>
              <w:rPr>
                <w:highlight w:val="yellow"/>
              </w:rPr>
            </w:pPr>
            <w:r w:rsidRPr="004A357C">
              <w:t>6%</w:t>
            </w:r>
          </w:p>
        </w:tc>
        <w:tc>
          <w:tcPr>
            <w:tcW w:w="1524" w:type="dxa"/>
          </w:tcPr>
          <w:p w14:paraId="5D89F0E4" w14:textId="6E64098E" w:rsidR="00D3309B" w:rsidRPr="004A357C" w:rsidRDefault="00D3309B" w:rsidP="00FB712C">
            <w:pPr>
              <w:pStyle w:val="TableNText"/>
              <w:spacing w:before="60" w:after="60" w:line="240" w:lineRule="auto"/>
              <w:jc w:val="center"/>
              <w:rPr>
                <w:color w:val="F25E21" w:themeColor="accent2"/>
                <w:highlight w:val="yellow"/>
              </w:rPr>
            </w:pPr>
            <w:r w:rsidRPr="004A357C">
              <w:rPr>
                <w:color w:val="F25E21" w:themeColor="accent2"/>
              </w:rPr>
              <w:t>-9%</w:t>
            </w:r>
          </w:p>
        </w:tc>
      </w:tr>
      <w:tr w:rsidR="00B37A1E" w:rsidRPr="004A357C" w14:paraId="0A11C079" w14:textId="77777777" w:rsidTr="00D44DE9">
        <w:trPr>
          <w:cnfStyle w:val="000000010000" w:firstRow="0" w:lastRow="0" w:firstColumn="0" w:lastColumn="0" w:oddVBand="0" w:evenVBand="0" w:oddHBand="0" w:evenHBand="1" w:firstRowFirstColumn="0" w:firstRowLastColumn="0" w:lastRowFirstColumn="0" w:lastRowLastColumn="0"/>
        </w:trPr>
        <w:tc>
          <w:tcPr>
            <w:tcW w:w="2835" w:type="dxa"/>
          </w:tcPr>
          <w:p w14:paraId="4FE5780C" w14:textId="4CB32663" w:rsidR="00D3309B" w:rsidRPr="004A357C" w:rsidRDefault="00D3309B" w:rsidP="00FB712C">
            <w:pPr>
              <w:pStyle w:val="TableNText"/>
              <w:spacing w:before="60" w:after="60" w:line="240" w:lineRule="auto"/>
            </w:pPr>
            <w:r w:rsidRPr="004A357C">
              <w:rPr>
                <w:rFonts w:asciiTheme="majorHAnsi" w:hAnsiTheme="majorHAnsi" w:cstheme="majorHAnsi"/>
              </w:rPr>
              <w:t xml:space="preserve">12 </w:t>
            </w:r>
            <w:r w:rsidR="00886310" w:rsidRPr="004A357C">
              <w:rPr>
                <w:rFonts w:asciiTheme="majorHAnsi" w:hAnsiTheme="majorHAnsi" w:cstheme="majorHAnsi"/>
              </w:rPr>
              <w:t>–</w:t>
            </w:r>
            <w:r w:rsidRPr="004A357C">
              <w:rPr>
                <w:rFonts w:asciiTheme="majorHAnsi" w:hAnsiTheme="majorHAnsi" w:cstheme="majorHAnsi"/>
              </w:rPr>
              <w:t xml:space="preserve"> Knee</w:t>
            </w:r>
          </w:p>
        </w:tc>
        <w:tc>
          <w:tcPr>
            <w:tcW w:w="1523" w:type="dxa"/>
          </w:tcPr>
          <w:p w14:paraId="313B48FD" w14:textId="3EA0B8ED" w:rsidR="00D3309B" w:rsidRPr="004A357C" w:rsidRDefault="00D3309B" w:rsidP="00FB712C">
            <w:pPr>
              <w:pStyle w:val="TableNText"/>
              <w:spacing w:before="60" w:after="60" w:line="240" w:lineRule="auto"/>
              <w:jc w:val="center"/>
              <w:rPr>
                <w:highlight w:val="yellow"/>
              </w:rPr>
            </w:pPr>
            <w:r w:rsidRPr="004A357C">
              <w:t xml:space="preserve"> $78 </w:t>
            </w:r>
          </w:p>
        </w:tc>
        <w:tc>
          <w:tcPr>
            <w:tcW w:w="1524" w:type="dxa"/>
          </w:tcPr>
          <w:p w14:paraId="4A6BE993" w14:textId="7543AE5A" w:rsidR="00D3309B" w:rsidRPr="004A357C" w:rsidRDefault="00D3309B" w:rsidP="00FB712C">
            <w:pPr>
              <w:pStyle w:val="TableNText"/>
              <w:spacing w:before="60" w:after="60" w:line="240" w:lineRule="auto"/>
              <w:jc w:val="center"/>
              <w:rPr>
                <w:color w:val="F25E21" w:themeColor="accent2"/>
                <w:highlight w:val="yellow"/>
              </w:rPr>
            </w:pPr>
            <w:r w:rsidRPr="004A357C">
              <w:rPr>
                <w:color w:val="F25E21" w:themeColor="accent2"/>
              </w:rPr>
              <w:t xml:space="preserve">-$154 </w:t>
            </w:r>
          </w:p>
        </w:tc>
        <w:tc>
          <w:tcPr>
            <w:tcW w:w="1524" w:type="dxa"/>
          </w:tcPr>
          <w:p w14:paraId="28EC9A2D" w14:textId="169514A7" w:rsidR="00D3309B" w:rsidRPr="004A357C" w:rsidRDefault="00D3309B" w:rsidP="00FB712C">
            <w:pPr>
              <w:pStyle w:val="TableNText"/>
              <w:spacing w:before="60" w:after="60" w:line="240" w:lineRule="auto"/>
              <w:jc w:val="center"/>
              <w:rPr>
                <w:highlight w:val="yellow"/>
              </w:rPr>
            </w:pPr>
            <w:r w:rsidRPr="004A357C">
              <w:t>7%</w:t>
            </w:r>
          </w:p>
        </w:tc>
        <w:tc>
          <w:tcPr>
            <w:tcW w:w="1524" w:type="dxa"/>
          </w:tcPr>
          <w:p w14:paraId="17E367CC" w14:textId="4AC379DB" w:rsidR="00D3309B" w:rsidRPr="004A357C" w:rsidRDefault="00D3309B" w:rsidP="00FB712C">
            <w:pPr>
              <w:pStyle w:val="TableNText"/>
              <w:spacing w:before="60" w:after="60" w:line="240" w:lineRule="auto"/>
              <w:jc w:val="center"/>
              <w:rPr>
                <w:color w:val="F25E21" w:themeColor="accent2"/>
                <w:highlight w:val="yellow"/>
              </w:rPr>
            </w:pPr>
            <w:r w:rsidRPr="004A357C">
              <w:rPr>
                <w:color w:val="F25E21" w:themeColor="accent2"/>
              </w:rPr>
              <w:t>-3%</w:t>
            </w:r>
          </w:p>
        </w:tc>
      </w:tr>
      <w:tr w:rsidR="00B37A1E" w:rsidRPr="004A357C" w14:paraId="3A2447A4" w14:textId="77777777" w:rsidTr="00D44DE9">
        <w:trPr>
          <w:cnfStyle w:val="000000100000" w:firstRow="0" w:lastRow="0" w:firstColumn="0" w:lastColumn="0" w:oddVBand="0" w:evenVBand="0" w:oddHBand="1" w:evenHBand="0" w:firstRowFirstColumn="0" w:firstRowLastColumn="0" w:lastRowFirstColumn="0" w:lastRowLastColumn="0"/>
        </w:trPr>
        <w:tc>
          <w:tcPr>
            <w:tcW w:w="2835" w:type="dxa"/>
          </w:tcPr>
          <w:p w14:paraId="6611A0BF" w14:textId="0FD4848D" w:rsidR="00D3309B" w:rsidRPr="004A357C" w:rsidRDefault="00D3309B" w:rsidP="00FB712C">
            <w:pPr>
              <w:pStyle w:val="TableNText"/>
              <w:spacing w:before="60" w:after="60" w:line="240" w:lineRule="auto"/>
            </w:pPr>
            <w:r w:rsidRPr="004A357C">
              <w:rPr>
                <w:rFonts w:asciiTheme="majorHAnsi" w:hAnsiTheme="majorHAnsi" w:cstheme="majorHAnsi"/>
              </w:rPr>
              <w:t xml:space="preserve">13 </w:t>
            </w:r>
            <w:r w:rsidR="00886310" w:rsidRPr="004A357C">
              <w:rPr>
                <w:rFonts w:asciiTheme="majorHAnsi" w:hAnsiTheme="majorHAnsi" w:cstheme="majorHAnsi"/>
              </w:rPr>
              <w:t>–</w:t>
            </w:r>
            <w:r w:rsidRPr="004A357C">
              <w:rPr>
                <w:rFonts w:asciiTheme="majorHAnsi" w:hAnsiTheme="majorHAnsi" w:cstheme="majorHAnsi"/>
              </w:rPr>
              <w:t xml:space="preserve"> Spinal</w:t>
            </w:r>
          </w:p>
        </w:tc>
        <w:tc>
          <w:tcPr>
            <w:tcW w:w="1523" w:type="dxa"/>
          </w:tcPr>
          <w:p w14:paraId="4D50A178" w14:textId="4514CFCF" w:rsidR="00D3309B" w:rsidRPr="004A357C" w:rsidRDefault="00D3309B" w:rsidP="00FB712C">
            <w:pPr>
              <w:pStyle w:val="TableNText"/>
              <w:spacing w:before="60" w:after="60" w:line="240" w:lineRule="auto"/>
              <w:jc w:val="center"/>
              <w:rPr>
                <w:highlight w:val="yellow"/>
              </w:rPr>
            </w:pPr>
            <w:r w:rsidRPr="004A357C">
              <w:t xml:space="preserve"> $34 </w:t>
            </w:r>
          </w:p>
        </w:tc>
        <w:tc>
          <w:tcPr>
            <w:tcW w:w="1524" w:type="dxa"/>
          </w:tcPr>
          <w:p w14:paraId="294F4985" w14:textId="39FE9F46" w:rsidR="00D3309B" w:rsidRPr="004A357C" w:rsidRDefault="00D3309B" w:rsidP="00FB712C">
            <w:pPr>
              <w:pStyle w:val="TableNText"/>
              <w:spacing w:before="60" w:after="60" w:line="240" w:lineRule="auto"/>
              <w:jc w:val="center"/>
              <w:rPr>
                <w:color w:val="F25E21" w:themeColor="accent2"/>
                <w:highlight w:val="yellow"/>
              </w:rPr>
            </w:pPr>
            <w:r w:rsidRPr="004A357C">
              <w:rPr>
                <w:color w:val="F25E21" w:themeColor="accent2"/>
              </w:rPr>
              <w:t xml:space="preserve">-$205 </w:t>
            </w:r>
          </w:p>
        </w:tc>
        <w:tc>
          <w:tcPr>
            <w:tcW w:w="1524" w:type="dxa"/>
          </w:tcPr>
          <w:p w14:paraId="61C42D62" w14:textId="4A72893F" w:rsidR="00D3309B" w:rsidRPr="004A357C" w:rsidRDefault="00D3309B" w:rsidP="00FB712C">
            <w:pPr>
              <w:pStyle w:val="TableNText"/>
              <w:spacing w:before="60" w:after="60" w:line="240" w:lineRule="auto"/>
              <w:jc w:val="center"/>
              <w:rPr>
                <w:highlight w:val="yellow"/>
              </w:rPr>
            </w:pPr>
            <w:r w:rsidRPr="004A357C">
              <w:t>4%</w:t>
            </w:r>
          </w:p>
        </w:tc>
        <w:tc>
          <w:tcPr>
            <w:tcW w:w="1524" w:type="dxa"/>
          </w:tcPr>
          <w:p w14:paraId="3E0E000A" w14:textId="0B7CEAE5" w:rsidR="00D3309B" w:rsidRPr="004A357C" w:rsidRDefault="00D3309B" w:rsidP="00FB712C">
            <w:pPr>
              <w:pStyle w:val="TableNText"/>
              <w:spacing w:before="60" w:after="60" w:line="240" w:lineRule="auto"/>
              <w:jc w:val="center"/>
              <w:rPr>
                <w:color w:val="F25E21" w:themeColor="accent2"/>
                <w:highlight w:val="yellow"/>
              </w:rPr>
            </w:pPr>
            <w:r w:rsidRPr="004A357C">
              <w:rPr>
                <w:color w:val="F25E21" w:themeColor="accent2"/>
              </w:rPr>
              <w:t>-14%</w:t>
            </w:r>
          </w:p>
        </w:tc>
      </w:tr>
      <w:tr w:rsidR="00B37A1E" w:rsidRPr="004A357C" w14:paraId="39314415" w14:textId="77777777" w:rsidTr="00D44DE9">
        <w:trPr>
          <w:cnfStyle w:val="000000010000" w:firstRow="0" w:lastRow="0" w:firstColumn="0" w:lastColumn="0" w:oddVBand="0" w:evenVBand="0" w:oddHBand="0" w:evenHBand="1" w:firstRowFirstColumn="0" w:firstRowLastColumn="0" w:lastRowFirstColumn="0" w:lastRowLastColumn="0"/>
        </w:trPr>
        <w:tc>
          <w:tcPr>
            <w:tcW w:w="2835" w:type="dxa"/>
          </w:tcPr>
          <w:p w14:paraId="1CDD2769" w14:textId="77777777" w:rsidR="00D3309B" w:rsidRPr="004A357C" w:rsidRDefault="00D3309B" w:rsidP="00FB712C">
            <w:pPr>
              <w:pStyle w:val="TableNText"/>
              <w:spacing w:before="60" w:after="60" w:line="240" w:lineRule="auto"/>
            </w:pPr>
            <w:r w:rsidRPr="004A357C">
              <w:rPr>
                <w:rFonts w:asciiTheme="majorHAnsi" w:hAnsiTheme="majorHAnsi" w:cstheme="majorHAnsi"/>
              </w:rPr>
              <w:t>Total</w:t>
            </w:r>
          </w:p>
        </w:tc>
        <w:tc>
          <w:tcPr>
            <w:tcW w:w="1523" w:type="dxa"/>
          </w:tcPr>
          <w:p w14:paraId="6B3DAFE6" w14:textId="07DA5FF7" w:rsidR="00D3309B" w:rsidRPr="004A357C" w:rsidRDefault="00D3309B" w:rsidP="00FB712C">
            <w:pPr>
              <w:pStyle w:val="TableNText"/>
              <w:spacing w:before="60" w:after="60" w:line="240" w:lineRule="auto"/>
              <w:jc w:val="center"/>
              <w:rPr>
                <w:rFonts w:asciiTheme="majorHAnsi" w:hAnsiTheme="majorHAnsi" w:cstheme="majorHAnsi"/>
                <w:highlight w:val="yellow"/>
              </w:rPr>
            </w:pPr>
            <w:r w:rsidRPr="004A357C">
              <w:rPr>
                <w:rFonts w:asciiTheme="majorHAnsi" w:hAnsiTheme="majorHAnsi" w:cstheme="majorHAnsi"/>
              </w:rPr>
              <w:t xml:space="preserve"> $35 </w:t>
            </w:r>
          </w:p>
        </w:tc>
        <w:tc>
          <w:tcPr>
            <w:tcW w:w="1524" w:type="dxa"/>
          </w:tcPr>
          <w:p w14:paraId="3891F2B5" w14:textId="0D064F0C" w:rsidR="00D3309B" w:rsidRPr="004A357C" w:rsidRDefault="00D3309B" w:rsidP="00FB712C">
            <w:pPr>
              <w:pStyle w:val="TableNText"/>
              <w:spacing w:before="60" w:after="60" w:line="240" w:lineRule="auto"/>
              <w:jc w:val="center"/>
              <w:rPr>
                <w:rFonts w:asciiTheme="majorHAnsi" w:hAnsiTheme="majorHAnsi" w:cstheme="majorHAnsi"/>
                <w:color w:val="F25E21" w:themeColor="accent2"/>
                <w:highlight w:val="yellow"/>
              </w:rPr>
            </w:pPr>
            <w:r w:rsidRPr="004A357C">
              <w:rPr>
                <w:rFonts w:asciiTheme="majorHAnsi" w:hAnsiTheme="majorHAnsi" w:cstheme="majorHAnsi"/>
                <w:color w:val="F25E21" w:themeColor="accent2"/>
              </w:rPr>
              <w:t xml:space="preserve">-$142 </w:t>
            </w:r>
          </w:p>
        </w:tc>
        <w:tc>
          <w:tcPr>
            <w:tcW w:w="1524" w:type="dxa"/>
          </w:tcPr>
          <w:p w14:paraId="5218CFD0" w14:textId="7E3B829D" w:rsidR="00D3309B" w:rsidRPr="004A357C" w:rsidRDefault="00D3309B" w:rsidP="00FB712C">
            <w:pPr>
              <w:pStyle w:val="TableNText"/>
              <w:spacing w:before="60" w:after="60" w:line="240" w:lineRule="auto"/>
              <w:jc w:val="center"/>
              <w:rPr>
                <w:rFonts w:asciiTheme="majorHAnsi" w:hAnsiTheme="majorHAnsi" w:cstheme="majorHAnsi"/>
                <w:highlight w:val="yellow"/>
              </w:rPr>
            </w:pPr>
            <w:r w:rsidRPr="004A357C">
              <w:rPr>
                <w:rFonts w:asciiTheme="majorHAnsi" w:hAnsiTheme="majorHAnsi" w:cstheme="majorHAnsi"/>
              </w:rPr>
              <w:t>6%</w:t>
            </w:r>
          </w:p>
        </w:tc>
        <w:tc>
          <w:tcPr>
            <w:tcW w:w="1524" w:type="dxa"/>
          </w:tcPr>
          <w:p w14:paraId="1CE93209" w14:textId="4C0CE43F" w:rsidR="00D3309B" w:rsidRPr="004A357C" w:rsidRDefault="00D3309B" w:rsidP="00FB712C">
            <w:pPr>
              <w:pStyle w:val="TableNText"/>
              <w:spacing w:before="60" w:after="60" w:line="240" w:lineRule="auto"/>
              <w:jc w:val="center"/>
              <w:rPr>
                <w:rFonts w:asciiTheme="majorHAnsi" w:hAnsiTheme="majorHAnsi" w:cstheme="majorHAnsi"/>
                <w:color w:val="F25E21" w:themeColor="accent2"/>
                <w:highlight w:val="yellow"/>
              </w:rPr>
            </w:pPr>
            <w:r w:rsidRPr="004A357C">
              <w:rPr>
                <w:rFonts w:asciiTheme="majorHAnsi" w:hAnsiTheme="majorHAnsi" w:cstheme="majorHAnsi"/>
                <w:color w:val="F25E21" w:themeColor="accent2"/>
              </w:rPr>
              <w:t>-19%</w:t>
            </w:r>
          </w:p>
        </w:tc>
      </w:tr>
    </w:tbl>
    <w:p w14:paraId="520E030A" w14:textId="1ED6F20E" w:rsidR="00FE0D85" w:rsidRPr="004A357C" w:rsidRDefault="00AC7F0C" w:rsidP="00FB712C">
      <w:pPr>
        <w:spacing w:before="240"/>
        <w:rPr>
          <w:lang w:eastAsia="en-AU"/>
        </w:rPr>
      </w:pPr>
      <w:r w:rsidRPr="004A357C">
        <w:rPr>
          <w:lang w:eastAsia="en-AU"/>
        </w:rPr>
        <w:fldChar w:fldCharType="begin"/>
      </w:r>
      <w:r w:rsidRPr="004A357C">
        <w:rPr>
          <w:lang w:eastAsia="en-AU"/>
        </w:rPr>
        <w:instrText xml:space="preserve"> REF _Ref202878064 \h </w:instrText>
      </w:r>
      <w:r w:rsidRPr="004A357C">
        <w:rPr>
          <w:lang w:eastAsia="en-AU"/>
        </w:rPr>
      </w:r>
      <w:r w:rsidRPr="004A357C">
        <w:rPr>
          <w:lang w:eastAsia="en-AU"/>
        </w:rPr>
        <w:fldChar w:fldCharType="separate"/>
      </w:r>
      <w:r w:rsidR="0092693A" w:rsidRPr="004A357C">
        <w:t xml:space="preserve">Table </w:t>
      </w:r>
      <w:r w:rsidR="0092693A">
        <w:rPr>
          <w:noProof/>
        </w:rPr>
        <w:t>12</w:t>
      </w:r>
      <w:r w:rsidRPr="004A357C">
        <w:rPr>
          <w:lang w:eastAsia="en-AU"/>
        </w:rPr>
        <w:fldChar w:fldCharType="end"/>
      </w:r>
      <w:r w:rsidR="008F3368" w:rsidRPr="004A357C">
        <w:rPr>
          <w:lang w:eastAsia="en-AU"/>
        </w:rPr>
        <w:t xml:space="preserve"> shows that there is a closer alignment of benefits with public hospital prices across all PL categories. The median gap (for items where a gap is present for reduction) has fallen below 1</w:t>
      </w:r>
      <w:r w:rsidR="0006602B" w:rsidRPr="004A357C">
        <w:rPr>
          <w:lang w:eastAsia="en-AU"/>
        </w:rPr>
        <w:t>0</w:t>
      </w:r>
      <w:r w:rsidR="008F3368" w:rsidRPr="004A357C">
        <w:rPr>
          <w:lang w:eastAsia="en-AU"/>
        </w:rPr>
        <w:t>% for all categories except for the</w:t>
      </w:r>
      <w:r w:rsidR="00E67428" w:rsidRPr="004A357C">
        <w:rPr>
          <w:lang w:eastAsia="en-AU"/>
        </w:rPr>
        <w:t xml:space="preserve"> ophthalmic category and the</w:t>
      </w:r>
      <w:r w:rsidR="008F3368" w:rsidRPr="004A357C">
        <w:rPr>
          <w:lang w:eastAsia="en-AU"/>
        </w:rPr>
        <w:t xml:space="preserve"> cardiac category (CIEDs excluded). For non-CIED cardiac items, there remains a median gap of </w:t>
      </w:r>
      <w:r w:rsidR="00E67428" w:rsidRPr="004A357C">
        <w:rPr>
          <w:lang w:eastAsia="en-AU"/>
        </w:rPr>
        <w:t>42</w:t>
      </w:r>
      <w:r w:rsidR="008F3368" w:rsidRPr="004A357C">
        <w:rPr>
          <w:lang w:eastAsia="en-AU"/>
        </w:rPr>
        <w:t>% ($</w:t>
      </w:r>
      <w:r w:rsidR="00E67428" w:rsidRPr="004A357C">
        <w:rPr>
          <w:lang w:eastAsia="en-AU"/>
        </w:rPr>
        <w:t>323</w:t>
      </w:r>
      <w:r w:rsidR="008F3368" w:rsidRPr="004A357C">
        <w:rPr>
          <w:lang w:eastAsia="en-AU"/>
        </w:rPr>
        <w:t>) after all three rounds of reductions.</w:t>
      </w:r>
    </w:p>
    <w:p w14:paraId="33A96514" w14:textId="42192FB9" w:rsidR="00EF50ED" w:rsidRPr="004A357C" w:rsidRDefault="00EF50ED" w:rsidP="00861628">
      <w:pPr>
        <w:pStyle w:val="xAppendixLevel3"/>
      </w:pPr>
      <w:r w:rsidRPr="004A357C">
        <w:rPr>
          <w:color w:val="F25E21" w:themeColor="accent2"/>
        </w:rPr>
        <w:t>Measure 2.</w:t>
      </w:r>
      <w:r w:rsidR="00C54FAC" w:rsidRPr="004A357C">
        <w:rPr>
          <w:color w:val="F25E21" w:themeColor="accent2"/>
        </w:rPr>
        <w:t>3</w:t>
      </w:r>
      <w:r w:rsidRPr="004A357C">
        <w:rPr>
          <w:color w:val="F25E21" w:themeColor="accent2"/>
        </w:rPr>
        <w:t xml:space="preserve">: </w:t>
      </w:r>
      <w:r w:rsidR="00F01413" w:rsidRPr="004A357C">
        <w:t xml:space="preserve">Gap between PL benefits and prices on the </w:t>
      </w:r>
      <w:proofErr w:type="spellStart"/>
      <w:r w:rsidR="00F01413" w:rsidRPr="004A357C">
        <w:t>Liste</w:t>
      </w:r>
      <w:proofErr w:type="spellEnd"/>
      <w:r w:rsidR="00F01413" w:rsidRPr="004A357C">
        <w:t xml:space="preserve"> des </w:t>
      </w:r>
      <w:proofErr w:type="spellStart"/>
      <w:r w:rsidR="00F01413" w:rsidRPr="004A357C">
        <w:t>Produits</w:t>
      </w:r>
      <w:proofErr w:type="spellEnd"/>
      <w:r w:rsidR="00F01413" w:rsidRPr="004A357C">
        <w:t xml:space="preserve"> et </w:t>
      </w:r>
      <w:proofErr w:type="spellStart"/>
      <w:r w:rsidR="00F01413" w:rsidRPr="004A357C">
        <w:t>Prestations</w:t>
      </w:r>
      <w:proofErr w:type="spellEnd"/>
      <w:r w:rsidR="00F01413" w:rsidRPr="004A357C">
        <w:t xml:space="preserve"> (LPP) and </w:t>
      </w:r>
      <w:proofErr w:type="spellStart"/>
      <w:r w:rsidR="00F01413" w:rsidRPr="004A357C">
        <w:t>Pharmac</w:t>
      </w:r>
      <w:proofErr w:type="spellEnd"/>
      <w:r w:rsidR="00F01413" w:rsidRPr="004A357C">
        <w:t xml:space="preserve"> Hospital Medical Devices Schedule</w:t>
      </w:r>
    </w:p>
    <w:p w14:paraId="11CF0D71" w14:textId="4F698FE1" w:rsidR="00F77FBB" w:rsidRPr="004A357C" w:rsidRDefault="00024F5B" w:rsidP="00F77FBB">
      <w:pPr>
        <w:rPr>
          <w:lang w:eastAsia="en-AU"/>
        </w:rPr>
      </w:pPr>
      <w:r w:rsidRPr="004A357C">
        <w:rPr>
          <w:lang w:eastAsia="en-AU"/>
        </w:rPr>
        <w:t xml:space="preserve">The evaluation </w:t>
      </w:r>
      <w:r w:rsidR="008907A3" w:rsidRPr="004A357C">
        <w:rPr>
          <w:lang w:eastAsia="en-AU"/>
        </w:rPr>
        <w:t>uses three PL benefit groups as case studies to compare with the same</w:t>
      </w:r>
      <w:r w:rsidR="0038467C" w:rsidRPr="004A357C">
        <w:rPr>
          <w:lang w:eastAsia="en-AU"/>
        </w:rPr>
        <w:t xml:space="preserve"> products on the </w:t>
      </w:r>
      <w:proofErr w:type="spellStart"/>
      <w:r w:rsidR="0038467C" w:rsidRPr="004A357C">
        <w:rPr>
          <w:lang w:eastAsia="en-AU"/>
        </w:rPr>
        <w:t>Liste</w:t>
      </w:r>
      <w:proofErr w:type="spellEnd"/>
      <w:r w:rsidR="0038467C" w:rsidRPr="004A357C">
        <w:rPr>
          <w:lang w:eastAsia="en-AU"/>
        </w:rPr>
        <w:t xml:space="preserve"> des </w:t>
      </w:r>
      <w:proofErr w:type="spellStart"/>
      <w:r w:rsidR="0038467C" w:rsidRPr="004A357C">
        <w:rPr>
          <w:lang w:eastAsia="en-AU"/>
        </w:rPr>
        <w:t>Produits</w:t>
      </w:r>
      <w:proofErr w:type="spellEnd"/>
      <w:r w:rsidR="0038467C" w:rsidRPr="004A357C">
        <w:rPr>
          <w:lang w:eastAsia="en-AU"/>
        </w:rPr>
        <w:t xml:space="preserve"> et </w:t>
      </w:r>
      <w:proofErr w:type="spellStart"/>
      <w:r w:rsidR="0038467C" w:rsidRPr="004A357C">
        <w:rPr>
          <w:lang w:eastAsia="en-AU"/>
        </w:rPr>
        <w:t>Prestations</w:t>
      </w:r>
      <w:proofErr w:type="spellEnd"/>
      <w:r w:rsidR="0038467C" w:rsidRPr="004A357C">
        <w:rPr>
          <w:lang w:eastAsia="en-AU"/>
        </w:rPr>
        <w:t xml:space="preserve"> (LPP)</w:t>
      </w:r>
      <w:r w:rsidR="0038467C" w:rsidRPr="004A357C">
        <w:rPr>
          <w:rStyle w:val="FootnoteReference"/>
          <w:lang w:eastAsia="en-AU"/>
        </w:rPr>
        <w:footnoteReference w:id="145"/>
      </w:r>
      <w:r w:rsidR="0038467C" w:rsidRPr="004A357C">
        <w:rPr>
          <w:lang w:eastAsia="en-AU"/>
        </w:rPr>
        <w:t xml:space="preserve"> and the </w:t>
      </w:r>
      <w:proofErr w:type="spellStart"/>
      <w:r w:rsidR="0038467C" w:rsidRPr="004A357C">
        <w:rPr>
          <w:lang w:eastAsia="en-AU"/>
        </w:rPr>
        <w:t>Pharmac</w:t>
      </w:r>
      <w:proofErr w:type="spellEnd"/>
      <w:r w:rsidR="0038467C" w:rsidRPr="004A357C">
        <w:rPr>
          <w:lang w:eastAsia="en-AU"/>
        </w:rPr>
        <w:t xml:space="preserve"> Hospital Medical Devices Schedule (</w:t>
      </w:r>
      <w:proofErr w:type="spellStart"/>
      <w:r w:rsidR="0038467C" w:rsidRPr="004A357C">
        <w:rPr>
          <w:lang w:eastAsia="en-AU"/>
        </w:rPr>
        <w:t>Pharmac</w:t>
      </w:r>
      <w:proofErr w:type="spellEnd"/>
      <w:r w:rsidR="0038467C" w:rsidRPr="004A357C">
        <w:rPr>
          <w:lang w:eastAsia="en-AU"/>
        </w:rPr>
        <w:t>)</w:t>
      </w:r>
      <w:r w:rsidR="00263E20" w:rsidRPr="004A357C">
        <w:rPr>
          <w:rStyle w:val="FootnoteReference"/>
          <w:lang w:eastAsia="en-AU"/>
        </w:rPr>
        <w:footnoteReference w:id="146"/>
      </w:r>
      <w:r w:rsidR="0038467C" w:rsidRPr="004A357C">
        <w:rPr>
          <w:lang w:eastAsia="en-AU"/>
        </w:rPr>
        <w:t>.</w:t>
      </w:r>
      <w:r w:rsidR="008B43B8" w:rsidRPr="004A357C">
        <w:rPr>
          <w:lang w:eastAsia="en-AU"/>
        </w:rPr>
        <w:t xml:space="preserve"> The methodology </w:t>
      </w:r>
      <w:r w:rsidR="00DE75B9" w:rsidRPr="004A357C">
        <w:rPr>
          <w:lang w:eastAsia="en-AU"/>
        </w:rPr>
        <w:t>for this measure</w:t>
      </w:r>
      <w:r w:rsidR="00F40CD0" w:rsidRPr="004A357C">
        <w:rPr>
          <w:lang w:eastAsia="en-AU"/>
        </w:rPr>
        <w:t xml:space="preserve"> is outlined in</w:t>
      </w:r>
      <w:r w:rsidR="00DE75B9" w:rsidRPr="004A357C">
        <w:rPr>
          <w:lang w:eastAsia="en-AU"/>
        </w:rPr>
        <w:t xml:space="preserve"> the </w:t>
      </w:r>
      <w:r w:rsidR="00DE75B9" w:rsidRPr="004A357C">
        <w:rPr>
          <w:i/>
          <w:lang w:eastAsia="en-AU"/>
        </w:rPr>
        <w:t>Interim Evaluation #1 report</w:t>
      </w:r>
      <w:r w:rsidR="00DE75B9" w:rsidRPr="004A357C">
        <w:rPr>
          <w:lang w:eastAsia="en-AU"/>
        </w:rPr>
        <w:t>.</w:t>
      </w:r>
      <w:r w:rsidR="000E7B10" w:rsidRPr="004A357C">
        <w:rPr>
          <w:rStyle w:val="FootnoteReference"/>
          <w:lang w:eastAsia="en-AU"/>
        </w:rPr>
        <w:footnoteReference w:id="147"/>
      </w:r>
      <w:r w:rsidR="007449EF" w:rsidRPr="007449EF">
        <w:rPr>
          <w:vertAlign w:val="superscript"/>
          <w:lang w:eastAsia="en-AU"/>
        </w:rPr>
        <w:t>,</w:t>
      </w:r>
      <w:r w:rsidR="007449EF">
        <w:rPr>
          <w:rStyle w:val="FootnoteReference"/>
          <w:lang w:eastAsia="en-AU"/>
        </w:rPr>
        <w:footnoteReference w:id="148"/>
      </w:r>
    </w:p>
    <w:p w14:paraId="58046956" w14:textId="1C418947" w:rsidR="00EF50ED" w:rsidRPr="004A357C" w:rsidRDefault="00F901EA" w:rsidP="00B50EE7">
      <w:pPr>
        <w:pStyle w:val="Caption"/>
        <w:rPr>
          <w:lang w:eastAsia="en-AU"/>
        </w:rPr>
      </w:pPr>
      <w:bookmarkStart w:id="112" w:name="_Ref199754519"/>
      <w:r w:rsidRPr="004A357C">
        <w:t xml:space="preserve">Figure </w:t>
      </w:r>
      <w:r w:rsidR="005539DD">
        <w:fldChar w:fldCharType="begin"/>
      </w:r>
      <w:r w:rsidR="005539DD">
        <w:instrText xml:space="preserve"> SEQ Figure \* ARABIC </w:instrText>
      </w:r>
      <w:r w:rsidR="005539DD">
        <w:fldChar w:fldCharType="separate"/>
      </w:r>
      <w:r w:rsidR="0092693A">
        <w:rPr>
          <w:noProof/>
        </w:rPr>
        <w:t>34</w:t>
      </w:r>
      <w:r w:rsidR="005539DD">
        <w:fldChar w:fldCharType="end"/>
      </w:r>
      <w:bookmarkEnd w:id="112"/>
      <w:r w:rsidRPr="004A357C">
        <w:t xml:space="preserve"> | </w:t>
      </w:r>
      <w:r w:rsidR="0089102A" w:rsidRPr="004A357C">
        <w:t>International case study 1 (knee implant) – Benefit group comparison over time</w:t>
      </w:r>
      <w:r w:rsidR="0089102A" w:rsidRPr="004A357C">
        <w:rPr>
          <w:rStyle w:val="FootnoteReference"/>
        </w:rPr>
        <w:footnoteReference w:id="149"/>
      </w:r>
    </w:p>
    <w:p w14:paraId="7B6B8E4F" w14:textId="15CFD805" w:rsidR="006A45D0" w:rsidRPr="004A357C" w:rsidRDefault="00F04DCD" w:rsidP="006A45D0">
      <w:pPr>
        <w:rPr>
          <w:lang w:eastAsia="en-AU"/>
        </w:rPr>
      </w:pPr>
      <w:r w:rsidRPr="00F04DCD">
        <w:rPr>
          <w:noProof/>
          <w:lang w:eastAsia="en-AU"/>
        </w:rPr>
        <w:drawing>
          <wp:inline distT="0" distB="0" distL="0" distR="0" wp14:anchorId="614D0762" wp14:editId="0764DF29">
            <wp:extent cx="5832475" cy="2457450"/>
            <wp:effectExtent l="0" t="0" r="0" b="0"/>
            <wp:docPr id="1311573367" name="Picture 1" descr="International case study chart comparing knee implant benefit levels with French and NZ prices over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573367" name="Picture 1" descr="International case study chart comparing knee implant benefit levels with French and NZ prices over time."/>
                    <pic:cNvPicPr/>
                  </pic:nvPicPr>
                  <pic:blipFill>
                    <a:blip r:embed="rId58"/>
                    <a:stretch>
                      <a:fillRect/>
                    </a:stretch>
                  </pic:blipFill>
                  <pic:spPr>
                    <a:xfrm>
                      <a:off x="0" y="0"/>
                      <a:ext cx="5832475" cy="2457450"/>
                    </a:xfrm>
                    <a:prstGeom prst="rect">
                      <a:avLst/>
                    </a:prstGeom>
                  </pic:spPr>
                </pic:pic>
              </a:graphicData>
            </a:graphic>
          </wp:inline>
        </w:drawing>
      </w:r>
    </w:p>
    <w:p w14:paraId="35AF5F76" w14:textId="4F5F1279" w:rsidR="00A95D0F" w:rsidRPr="004A357C" w:rsidRDefault="0083052F" w:rsidP="00FB712C">
      <w:pPr>
        <w:spacing w:before="240"/>
        <w:rPr>
          <w:lang w:eastAsia="en-AU"/>
        </w:rPr>
      </w:pPr>
      <w:r w:rsidRPr="004A357C">
        <w:rPr>
          <w:lang w:eastAsia="en-AU"/>
        </w:rPr>
        <w:t>Case study 1 (</w:t>
      </w:r>
      <w:r w:rsidRPr="004A357C">
        <w:rPr>
          <w:lang w:eastAsia="en-AU"/>
        </w:rPr>
        <w:fldChar w:fldCharType="begin"/>
      </w:r>
      <w:r w:rsidRPr="004A357C">
        <w:rPr>
          <w:lang w:eastAsia="en-AU"/>
        </w:rPr>
        <w:instrText xml:space="preserve"> REF _Ref199754519 \h </w:instrText>
      </w:r>
      <w:r w:rsidRPr="004A357C">
        <w:rPr>
          <w:lang w:eastAsia="en-AU"/>
        </w:rPr>
      </w:r>
      <w:r w:rsidRPr="004A357C">
        <w:rPr>
          <w:lang w:eastAsia="en-AU"/>
        </w:rPr>
        <w:fldChar w:fldCharType="separate"/>
      </w:r>
      <w:r w:rsidR="0092693A" w:rsidRPr="004A357C">
        <w:t xml:space="preserve">Figure </w:t>
      </w:r>
      <w:r w:rsidR="0092693A">
        <w:rPr>
          <w:noProof/>
        </w:rPr>
        <w:t>34</w:t>
      </w:r>
      <w:r w:rsidRPr="004A357C">
        <w:rPr>
          <w:lang w:eastAsia="en-AU"/>
        </w:rPr>
        <w:fldChar w:fldCharType="end"/>
      </w:r>
      <w:r w:rsidRPr="004A357C">
        <w:rPr>
          <w:lang w:eastAsia="en-AU"/>
        </w:rPr>
        <w:t>) shows</w:t>
      </w:r>
      <w:r w:rsidR="00A95D0F" w:rsidRPr="004A357C">
        <w:rPr>
          <w:lang w:eastAsia="en-AU"/>
        </w:rPr>
        <w:t xml:space="preserve"> </w:t>
      </w:r>
      <w:r w:rsidR="002568D1" w:rsidRPr="004A357C">
        <w:rPr>
          <w:lang w:eastAsia="en-AU"/>
        </w:rPr>
        <w:t xml:space="preserve">the benefit and pricing history of four knee implants products from the </w:t>
      </w:r>
      <w:r w:rsidR="00114751" w:rsidRPr="004A357C">
        <w:rPr>
          <w:lang w:eastAsia="en-AU"/>
        </w:rPr>
        <w:t>12.08.01 PL benefit group from 201</w:t>
      </w:r>
      <w:r w:rsidR="009715C8">
        <w:rPr>
          <w:lang w:eastAsia="en-AU"/>
        </w:rPr>
        <w:t>7</w:t>
      </w:r>
      <w:r w:rsidR="00114751" w:rsidRPr="004A357C">
        <w:rPr>
          <w:lang w:eastAsia="en-AU"/>
        </w:rPr>
        <w:t xml:space="preserve"> to 202</w:t>
      </w:r>
      <w:r w:rsidR="009715C8">
        <w:rPr>
          <w:lang w:eastAsia="en-AU"/>
        </w:rPr>
        <w:t>5</w:t>
      </w:r>
      <w:r w:rsidR="00114751" w:rsidRPr="004A357C">
        <w:rPr>
          <w:lang w:eastAsia="en-AU"/>
        </w:rPr>
        <w:t xml:space="preserve">. Prior to the reforms, </w:t>
      </w:r>
      <w:r w:rsidR="00BF3E1A" w:rsidRPr="004A357C">
        <w:rPr>
          <w:lang w:eastAsia="en-AU"/>
        </w:rPr>
        <w:t xml:space="preserve">the PL benefit was higher than the LPP and </w:t>
      </w:r>
      <w:proofErr w:type="spellStart"/>
      <w:r w:rsidR="00BF3E1A" w:rsidRPr="004A357C">
        <w:rPr>
          <w:lang w:eastAsia="en-AU"/>
        </w:rPr>
        <w:t>Pharmac</w:t>
      </w:r>
      <w:proofErr w:type="spellEnd"/>
      <w:r w:rsidR="00BF3E1A" w:rsidRPr="004A357C">
        <w:rPr>
          <w:lang w:eastAsia="en-AU"/>
        </w:rPr>
        <w:t xml:space="preserve"> prices on average</w:t>
      </w:r>
      <w:r w:rsidR="00EE2CE4" w:rsidRPr="004A357C">
        <w:rPr>
          <w:lang w:eastAsia="en-AU"/>
        </w:rPr>
        <w:t>.</w:t>
      </w:r>
      <w:r w:rsidR="00F64E24" w:rsidRPr="004A357C">
        <w:rPr>
          <w:lang w:eastAsia="en-AU"/>
        </w:rPr>
        <w:t xml:space="preserve"> </w:t>
      </w:r>
      <w:r w:rsidR="002A254D" w:rsidRPr="004A357C">
        <w:rPr>
          <w:lang w:eastAsia="en-AU"/>
        </w:rPr>
        <w:t xml:space="preserve">As a result of the benefit reductions, the PL benefit has fallen below the New Zealand </w:t>
      </w:r>
      <w:r w:rsidR="00667082" w:rsidRPr="004A357C">
        <w:rPr>
          <w:lang w:eastAsia="en-AU"/>
        </w:rPr>
        <w:t>median</w:t>
      </w:r>
      <w:r w:rsidR="002A254D" w:rsidRPr="004A357C">
        <w:rPr>
          <w:lang w:eastAsia="en-AU"/>
        </w:rPr>
        <w:t xml:space="preserve"> price </w:t>
      </w:r>
      <w:r w:rsidR="00094803" w:rsidRPr="004A357C">
        <w:rPr>
          <w:lang w:eastAsia="en-AU"/>
        </w:rPr>
        <w:t>and remains higher than the French price.</w:t>
      </w:r>
    </w:p>
    <w:p w14:paraId="661356B6" w14:textId="14972946" w:rsidR="006A45D0" w:rsidRPr="004A357C" w:rsidRDefault="006A45D0" w:rsidP="00B50EE7">
      <w:pPr>
        <w:pStyle w:val="Caption"/>
      </w:pPr>
      <w:bookmarkStart w:id="113" w:name="_Ref199754521"/>
      <w:r w:rsidRPr="004A357C">
        <w:t xml:space="preserve">Figure </w:t>
      </w:r>
      <w:r w:rsidR="005539DD">
        <w:fldChar w:fldCharType="begin"/>
      </w:r>
      <w:r w:rsidR="005539DD">
        <w:instrText xml:space="preserve"> SEQ Figure \* ARABIC </w:instrText>
      </w:r>
      <w:r w:rsidR="005539DD">
        <w:fldChar w:fldCharType="separate"/>
      </w:r>
      <w:r w:rsidR="0092693A">
        <w:rPr>
          <w:noProof/>
        </w:rPr>
        <w:t>35</w:t>
      </w:r>
      <w:r w:rsidR="005539DD">
        <w:fldChar w:fldCharType="end"/>
      </w:r>
      <w:bookmarkEnd w:id="113"/>
      <w:r w:rsidRPr="004A357C">
        <w:t xml:space="preserve"> | </w:t>
      </w:r>
      <w:r w:rsidR="00AC630B" w:rsidRPr="004A357C">
        <w:t>International case study 2 (hip joint implant) – Benefit group comparison over time</w:t>
      </w:r>
      <w:r w:rsidR="004B39E4" w:rsidRPr="004A357C">
        <w:rPr>
          <w:rStyle w:val="FootnoteReference"/>
        </w:rPr>
        <w:footnoteReference w:id="150"/>
      </w:r>
    </w:p>
    <w:p w14:paraId="08AAFD61" w14:textId="4B0F87F8" w:rsidR="006A45D0" w:rsidRPr="004A357C" w:rsidRDefault="009B5920" w:rsidP="006A45D0">
      <w:pPr>
        <w:rPr>
          <w:lang w:eastAsia="en-AU"/>
        </w:rPr>
      </w:pPr>
      <w:r w:rsidRPr="009B5920">
        <w:rPr>
          <w:noProof/>
          <w:lang w:eastAsia="en-AU"/>
        </w:rPr>
        <w:drawing>
          <wp:inline distT="0" distB="0" distL="0" distR="0" wp14:anchorId="7DC3C62C" wp14:editId="0707CB84">
            <wp:extent cx="5832475" cy="2464435"/>
            <wp:effectExtent l="0" t="0" r="0" b="0"/>
            <wp:docPr id="1506878764" name="Picture 1" descr="International case study chart comparing hip joint implant benefits with French and NZ pr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878764" name="Picture 1" descr="International case study chart comparing hip joint implant benefits with French and NZ prices."/>
                    <pic:cNvPicPr/>
                  </pic:nvPicPr>
                  <pic:blipFill>
                    <a:blip r:embed="rId59"/>
                    <a:stretch>
                      <a:fillRect/>
                    </a:stretch>
                  </pic:blipFill>
                  <pic:spPr>
                    <a:xfrm>
                      <a:off x="0" y="0"/>
                      <a:ext cx="5832475" cy="2464435"/>
                    </a:xfrm>
                    <a:prstGeom prst="rect">
                      <a:avLst/>
                    </a:prstGeom>
                  </pic:spPr>
                </pic:pic>
              </a:graphicData>
            </a:graphic>
          </wp:inline>
        </w:drawing>
      </w:r>
    </w:p>
    <w:p w14:paraId="68F7EFB3" w14:textId="661ED137" w:rsidR="00094803" w:rsidRPr="004A357C" w:rsidRDefault="00094803" w:rsidP="00FB712C">
      <w:pPr>
        <w:spacing w:before="240"/>
        <w:rPr>
          <w:lang w:eastAsia="en-AU"/>
        </w:rPr>
      </w:pPr>
      <w:r w:rsidRPr="004A357C">
        <w:rPr>
          <w:lang w:eastAsia="en-AU"/>
        </w:rPr>
        <w:t>Case study 2 (</w:t>
      </w:r>
      <w:r w:rsidRPr="004A357C">
        <w:rPr>
          <w:lang w:eastAsia="en-AU"/>
        </w:rPr>
        <w:fldChar w:fldCharType="begin"/>
      </w:r>
      <w:r w:rsidRPr="004A357C">
        <w:rPr>
          <w:lang w:eastAsia="en-AU"/>
        </w:rPr>
        <w:instrText xml:space="preserve"> REF _Ref199754521 \h </w:instrText>
      </w:r>
      <w:r w:rsidRPr="004A357C">
        <w:rPr>
          <w:lang w:eastAsia="en-AU"/>
        </w:rPr>
      </w:r>
      <w:r w:rsidRPr="004A357C">
        <w:rPr>
          <w:lang w:eastAsia="en-AU"/>
        </w:rPr>
        <w:fldChar w:fldCharType="separate"/>
      </w:r>
      <w:r w:rsidR="0092693A" w:rsidRPr="004A357C">
        <w:t xml:space="preserve">Figure </w:t>
      </w:r>
      <w:r w:rsidR="0092693A">
        <w:rPr>
          <w:noProof/>
        </w:rPr>
        <w:t>35</w:t>
      </w:r>
      <w:r w:rsidRPr="004A357C">
        <w:rPr>
          <w:lang w:eastAsia="en-AU"/>
        </w:rPr>
        <w:fldChar w:fldCharType="end"/>
      </w:r>
      <w:r w:rsidRPr="004A357C">
        <w:rPr>
          <w:lang w:eastAsia="en-AU"/>
        </w:rPr>
        <w:t>)</w:t>
      </w:r>
      <w:r w:rsidR="0022718B" w:rsidRPr="004A357C">
        <w:rPr>
          <w:lang w:eastAsia="en-AU"/>
        </w:rPr>
        <w:t xml:space="preserve"> compares the </w:t>
      </w:r>
      <w:r w:rsidR="000876CF" w:rsidRPr="004A357C">
        <w:rPr>
          <w:lang w:eastAsia="en-AU"/>
        </w:rPr>
        <w:t xml:space="preserve">international </w:t>
      </w:r>
      <w:r w:rsidR="0022718B" w:rsidRPr="004A357C">
        <w:rPr>
          <w:lang w:eastAsia="en-AU"/>
        </w:rPr>
        <w:t xml:space="preserve">benefits and prices of six hip joint implant products </w:t>
      </w:r>
      <w:r w:rsidR="00B0528D" w:rsidRPr="004A357C">
        <w:rPr>
          <w:lang w:eastAsia="en-AU"/>
        </w:rPr>
        <w:t>from the 11</w:t>
      </w:r>
      <w:r w:rsidR="007C1941" w:rsidRPr="004A357C">
        <w:rPr>
          <w:lang w:eastAsia="en-AU"/>
        </w:rPr>
        <w:t xml:space="preserve">.02.02.05 PL </w:t>
      </w:r>
      <w:r w:rsidR="000876CF" w:rsidRPr="004A357C">
        <w:rPr>
          <w:lang w:eastAsia="en-AU"/>
        </w:rPr>
        <w:t>benefit group</w:t>
      </w:r>
      <w:r w:rsidR="007C1941" w:rsidRPr="004A357C">
        <w:rPr>
          <w:lang w:eastAsia="en-AU"/>
        </w:rPr>
        <w:t>.</w:t>
      </w:r>
      <w:r w:rsidR="00E430AC" w:rsidRPr="004A357C">
        <w:rPr>
          <w:lang w:eastAsia="en-AU"/>
        </w:rPr>
        <w:t xml:space="preserve"> The reforms have resulted in a PL benefit that is more closely aligned with New Zealand and French pricing. However, the PL benefit remains </w:t>
      </w:r>
      <w:r w:rsidR="00BE78A5" w:rsidRPr="004A357C">
        <w:rPr>
          <w:lang w:eastAsia="en-AU"/>
        </w:rPr>
        <w:t>$</w:t>
      </w:r>
      <w:r w:rsidR="002B0909">
        <w:rPr>
          <w:lang w:eastAsia="en-AU"/>
        </w:rPr>
        <w:t>284</w:t>
      </w:r>
      <w:r w:rsidR="00482C31" w:rsidRPr="004A357C">
        <w:rPr>
          <w:lang w:eastAsia="en-AU"/>
        </w:rPr>
        <w:t xml:space="preserve"> higher than the </w:t>
      </w:r>
      <w:proofErr w:type="spellStart"/>
      <w:r w:rsidR="00482C31" w:rsidRPr="004A357C">
        <w:rPr>
          <w:lang w:eastAsia="en-AU"/>
        </w:rPr>
        <w:t>Pharmac</w:t>
      </w:r>
      <w:proofErr w:type="spellEnd"/>
      <w:r w:rsidR="00482C31" w:rsidRPr="004A357C">
        <w:rPr>
          <w:lang w:eastAsia="en-AU"/>
        </w:rPr>
        <w:t xml:space="preserve"> median price (though lower than the highe</w:t>
      </w:r>
      <w:r w:rsidR="007307F8" w:rsidRPr="004A357C">
        <w:rPr>
          <w:lang w:eastAsia="en-AU"/>
        </w:rPr>
        <w:t>st</w:t>
      </w:r>
      <w:r w:rsidR="00482C31" w:rsidRPr="004A357C">
        <w:rPr>
          <w:lang w:eastAsia="en-AU"/>
        </w:rPr>
        <w:t xml:space="preserve"> priced product</w:t>
      </w:r>
      <w:r w:rsidR="007307F8" w:rsidRPr="004A357C">
        <w:rPr>
          <w:lang w:eastAsia="en-AU"/>
        </w:rPr>
        <w:t xml:space="preserve"> in the </w:t>
      </w:r>
      <w:proofErr w:type="spellStart"/>
      <w:r w:rsidR="007307F8" w:rsidRPr="004A357C">
        <w:rPr>
          <w:lang w:eastAsia="en-AU"/>
        </w:rPr>
        <w:t>Pharmac</w:t>
      </w:r>
      <w:proofErr w:type="spellEnd"/>
      <w:r w:rsidR="007307F8" w:rsidRPr="004A357C">
        <w:rPr>
          <w:lang w:eastAsia="en-AU"/>
        </w:rPr>
        <w:t xml:space="preserve"> category</w:t>
      </w:r>
      <w:r w:rsidR="00482C31" w:rsidRPr="004A357C">
        <w:rPr>
          <w:lang w:eastAsia="en-AU"/>
        </w:rPr>
        <w:t>)</w:t>
      </w:r>
      <w:r w:rsidR="007307F8" w:rsidRPr="004A357C">
        <w:rPr>
          <w:lang w:eastAsia="en-AU"/>
        </w:rPr>
        <w:t xml:space="preserve"> and $</w:t>
      </w:r>
      <w:r w:rsidR="00E61601" w:rsidRPr="004A357C">
        <w:rPr>
          <w:lang w:eastAsia="en-AU"/>
        </w:rPr>
        <w:t>1</w:t>
      </w:r>
      <w:r w:rsidR="008B1B24" w:rsidRPr="004A357C">
        <w:rPr>
          <w:lang w:eastAsia="en-AU"/>
        </w:rPr>
        <w:t>,</w:t>
      </w:r>
      <w:r w:rsidR="00E61601" w:rsidRPr="004A357C">
        <w:rPr>
          <w:lang w:eastAsia="en-AU"/>
        </w:rPr>
        <w:t>2</w:t>
      </w:r>
      <w:r w:rsidR="002B0909">
        <w:rPr>
          <w:lang w:eastAsia="en-AU"/>
        </w:rPr>
        <w:t>31</w:t>
      </w:r>
      <w:r w:rsidR="00E61601" w:rsidRPr="004A357C">
        <w:rPr>
          <w:lang w:eastAsia="en-AU"/>
        </w:rPr>
        <w:t xml:space="preserve"> higher than the LPP price.</w:t>
      </w:r>
    </w:p>
    <w:p w14:paraId="4B0A85A8" w14:textId="45D4CD46" w:rsidR="006A45D0" w:rsidRPr="004A357C" w:rsidRDefault="006A45D0" w:rsidP="00B50EE7">
      <w:pPr>
        <w:pStyle w:val="Caption"/>
      </w:pPr>
      <w:bookmarkStart w:id="114" w:name="_Ref199754522"/>
      <w:r w:rsidRPr="004A357C">
        <w:t xml:space="preserve">Figure </w:t>
      </w:r>
      <w:r w:rsidR="005539DD">
        <w:fldChar w:fldCharType="begin"/>
      </w:r>
      <w:r w:rsidR="005539DD">
        <w:instrText xml:space="preserve"> SEQ Figure \* ARABIC </w:instrText>
      </w:r>
      <w:r w:rsidR="005539DD">
        <w:fldChar w:fldCharType="separate"/>
      </w:r>
      <w:r w:rsidR="0092693A">
        <w:rPr>
          <w:noProof/>
        </w:rPr>
        <w:t>36</w:t>
      </w:r>
      <w:r w:rsidR="005539DD">
        <w:fldChar w:fldCharType="end"/>
      </w:r>
      <w:bookmarkEnd w:id="114"/>
      <w:r w:rsidRPr="004A357C">
        <w:t xml:space="preserve"> | </w:t>
      </w:r>
      <w:r w:rsidR="004B39E4" w:rsidRPr="004A357C">
        <w:t>International case study 3 (spinal fusion cage) – Benefit group comparison over time</w:t>
      </w:r>
      <w:r w:rsidR="004B39E4" w:rsidRPr="004A357C">
        <w:rPr>
          <w:rStyle w:val="FootnoteReference"/>
        </w:rPr>
        <w:footnoteReference w:id="151"/>
      </w:r>
    </w:p>
    <w:p w14:paraId="6E1EBDA3" w14:textId="1A8E2B82" w:rsidR="00C03B5F" w:rsidRPr="004A357C" w:rsidRDefault="00ED7B6F" w:rsidP="00C03B5F">
      <w:pPr>
        <w:rPr>
          <w:lang w:eastAsia="en-AU"/>
        </w:rPr>
      </w:pPr>
      <w:r w:rsidRPr="00ED7B6F">
        <w:rPr>
          <w:noProof/>
          <w:lang w:eastAsia="en-AU"/>
        </w:rPr>
        <w:drawing>
          <wp:inline distT="0" distB="0" distL="0" distR="0" wp14:anchorId="64A0605C" wp14:editId="5ADAE046">
            <wp:extent cx="5832475" cy="2450465"/>
            <wp:effectExtent l="0" t="0" r="0" b="6985"/>
            <wp:docPr id="1992667486" name="Picture 1" descr="International case study chart comparing spinal fusion cage benefits with French and NZ pr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667486" name="Picture 1" descr="International case study chart comparing spinal fusion cage benefits with French and NZ prices."/>
                    <pic:cNvPicPr/>
                  </pic:nvPicPr>
                  <pic:blipFill>
                    <a:blip r:embed="rId60"/>
                    <a:stretch>
                      <a:fillRect/>
                    </a:stretch>
                  </pic:blipFill>
                  <pic:spPr>
                    <a:xfrm>
                      <a:off x="0" y="0"/>
                      <a:ext cx="5832475" cy="2450465"/>
                    </a:xfrm>
                    <a:prstGeom prst="rect">
                      <a:avLst/>
                    </a:prstGeom>
                  </pic:spPr>
                </pic:pic>
              </a:graphicData>
            </a:graphic>
          </wp:inline>
        </w:drawing>
      </w:r>
    </w:p>
    <w:p w14:paraId="226838FA" w14:textId="512B3D65" w:rsidR="00094803" w:rsidRPr="004A357C" w:rsidRDefault="00094803" w:rsidP="00FB712C">
      <w:pPr>
        <w:spacing w:before="240"/>
        <w:rPr>
          <w:lang w:eastAsia="en-AU"/>
        </w:rPr>
      </w:pPr>
      <w:r w:rsidRPr="004A357C">
        <w:rPr>
          <w:lang w:eastAsia="en-AU"/>
        </w:rPr>
        <w:t>Case study 3 (</w:t>
      </w:r>
      <w:r w:rsidRPr="004A357C">
        <w:rPr>
          <w:lang w:eastAsia="en-AU"/>
        </w:rPr>
        <w:fldChar w:fldCharType="begin"/>
      </w:r>
      <w:r w:rsidRPr="004A357C">
        <w:rPr>
          <w:lang w:eastAsia="en-AU"/>
        </w:rPr>
        <w:instrText xml:space="preserve"> REF _Ref199754522 \h </w:instrText>
      </w:r>
      <w:r w:rsidRPr="004A357C">
        <w:rPr>
          <w:lang w:eastAsia="en-AU"/>
        </w:rPr>
      </w:r>
      <w:r w:rsidRPr="004A357C">
        <w:rPr>
          <w:lang w:eastAsia="en-AU"/>
        </w:rPr>
        <w:fldChar w:fldCharType="separate"/>
      </w:r>
      <w:r w:rsidR="0092693A" w:rsidRPr="004A357C">
        <w:t xml:space="preserve">Figure </w:t>
      </w:r>
      <w:r w:rsidR="0092693A">
        <w:rPr>
          <w:noProof/>
        </w:rPr>
        <w:t>36</w:t>
      </w:r>
      <w:r w:rsidRPr="004A357C">
        <w:rPr>
          <w:lang w:eastAsia="en-AU"/>
        </w:rPr>
        <w:fldChar w:fldCharType="end"/>
      </w:r>
      <w:r w:rsidRPr="004A357C">
        <w:rPr>
          <w:lang w:eastAsia="en-AU"/>
        </w:rPr>
        <w:t xml:space="preserve">) </w:t>
      </w:r>
      <w:r w:rsidR="007909D3" w:rsidRPr="004A357C">
        <w:rPr>
          <w:lang w:eastAsia="en-AU"/>
        </w:rPr>
        <w:t xml:space="preserve">compares the international benefits and prices of </w:t>
      </w:r>
      <w:r w:rsidR="00AE4D50" w:rsidRPr="004A357C">
        <w:rPr>
          <w:lang w:eastAsia="en-AU"/>
        </w:rPr>
        <w:t xml:space="preserve">four spinal fusion cage products from the 13.10.01.02 PL category. The reforms have resulted in a marginal decrease in </w:t>
      </w:r>
      <w:r w:rsidR="007A411F" w:rsidRPr="004A357C">
        <w:rPr>
          <w:lang w:eastAsia="en-AU"/>
        </w:rPr>
        <w:t xml:space="preserve">the </w:t>
      </w:r>
      <w:r w:rsidR="00AE4D50" w:rsidRPr="004A357C">
        <w:rPr>
          <w:lang w:eastAsia="en-AU"/>
        </w:rPr>
        <w:t>PL benefit</w:t>
      </w:r>
      <w:r w:rsidR="007A411F" w:rsidRPr="004A357C">
        <w:rPr>
          <w:lang w:eastAsia="en-AU"/>
        </w:rPr>
        <w:t xml:space="preserve">, while the median </w:t>
      </w:r>
      <w:proofErr w:type="spellStart"/>
      <w:r w:rsidR="007A411F" w:rsidRPr="004A357C">
        <w:rPr>
          <w:lang w:eastAsia="en-AU"/>
        </w:rPr>
        <w:t>Pharmac</w:t>
      </w:r>
      <w:proofErr w:type="spellEnd"/>
      <w:r w:rsidR="007A411F" w:rsidRPr="004A357C">
        <w:rPr>
          <w:lang w:eastAsia="en-AU"/>
        </w:rPr>
        <w:t xml:space="preserve"> price has increased and the LPP price has held steady.</w:t>
      </w:r>
      <w:r w:rsidR="009B51A0" w:rsidRPr="004A357C">
        <w:rPr>
          <w:lang w:eastAsia="en-AU"/>
        </w:rPr>
        <w:t xml:space="preserve"> </w:t>
      </w:r>
      <w:r w:rsidR="003A14F9" w:rsidRPr="004A357C">
        <w:rPr>
          <w:lang w:eastAsia="en-AU"/>
        </w:rPr>
        <w:t>The</w:t>
      </w:r>
      <w:r w:rsidR="009B51A0" w:rsidRPr="004A357C">
        <w:rPr>
          <w:lang w:eastAsia="en-AU"/>
        </w:rPr>
        <w:t xml:space="preserve"> PL benefit remains </w:t>
      </w:r>
      <w:r w:rsidR="002C3038">
        <w:rPr>
          <w:lang w:eastAsia="en-AU"/>
        </w:rPr>
        <w:t>almost</w:t>
      </w:r>
      <w:r w:rsidR="009B51A0" w:rsidRPr="004A357C">
        <w:rPr>
          <w:lang w:eastAsia="en-AU"/>
        </w:rPr>
        <w:t xml:space="preserve"> six times the LPP price </w:t>
      </w:r>
      <w:r w:rsidR="003A14F9" w:rsidRPr="004A357C">
        <w:rPr>
          <w:lang w:eastAsia="en-AU"/>
        </w:rPr>
        <w:t>for</w:t>
      </w:r>
      <w:r w:rsidR="009B51A0" w:rsidRPr="004A357C">
        <w:rPr>
          <w:lang w:eastAsia="en-AU"/>
        </w:rPr>
        <w:t xml:space="preserve"> the same products.</w:t>
      </w:r>
    </w:p>
    <w:p w14:paraId="75D79C8E" w14:textId="4A5B4BEB" w:rsidR="00E65534" w:rsidRPr="004A357C" w:rsidRDefault="00E65534" w:rsidP="003F5E17">
      <w:pPr>
        <w:pStyle w:val="xAppendixLevel2"/>
      </w:pPr>
      <w:bookmarkStart w:id="115" w:name="_Ref202353872"/>
      <w:bookmarkStart w:id="116" w:name="_Toc237002820"/>
      <w:r w:rsidRPr="004A357C">
        <w:t>Indicator 3: Change in out-of-pocket expenses related to PL items</w:t>
      </w:r>
      <w:bookmarkEnd w:id="115"/>
      <w:bookmarkEnd w:id="116"/>
    </w:p>
    <w:p w14:paraId="4009C421" w14:textId="57FD7209" w:rsidR="000057EC" w:rsidRPr="004A357C" w:rsidRDefault="000057EC" w:rsidP="00861628">
      <w:pPr>
        <w:pStyle w:val="xAppendixLevel3"/>
      </w:pPr>
      <w:r w:rsidRPr="004A357C">
        <w:rPr>
          <w:color w:val="F25E21" w:themeColor="accent2"/>
        </w:rPr>
        <w:t xml:space="preserve">Measure 3.1: </w:t>
      </w:r>
      <w:r w:rsidRPr="004A357C">
        <w:t>Prevalence of a gap payment for PL items</w:t>
      </w:r>
    </w:p>
    <w:p w14:paraId="72071418" w14:textId="3162769B" w:rsidR="000057EC" w:rsidRPr="004A357C" w:rsidRDefault="0024585F" w:rsidP="00B50EE7">
      <w:pPr>
        <w:pStyle w:val="Caption"/>
      </w:pPr>
      <w:bookmarkStart w:id="117" w:name="_Ref202353844"/>
      <w:r w:rsidRPr="004A357C">
        <w:t xml:space="preserve">Table </w:t>
      </w:r>
      <w:r w:rsidR="002604D0">
        <w:fldChar w:fldCharType="begin"/>
      </w:r>
      <w:r w:rsidR="002604D0">
        <w:instrText xml:space="preserve"> SEQ Table \* ARABIC </w:instrText>
      </w:r>
      <w:r w:rsidR="002604D0">
        <w:fldChar w:fldCharType="separate"/>
      </w:r>
      <w:r w:rsidR="0092693A">
        <w:rPr>
          <w:noProof/>
        </w:rPr>
        <w:t>13</w:t>
      </w:r>
      <w:r w:rsidR="002604D0">
        <w:fldChar w:fldCharType="end"/>
      </w:r>
      <w:bookmarkEnd w:id="117"/>
      <w:r w:rsidRPr="004A357C">
        <w:t xml:space="preserve"> | Prevalence of gap by PL category for items in Part A</w:t>
      </w:r>
      <w:r w:rsidR="007E4C69" w:rsidRPr="004A357C">
        <w:rPr>
          <w:rStyle w:val="FootnoteReference"/>
        </w:rPr>
        <w:footnoteReference w:id="152"/>
      </w:r>
    </w:p>
    <w:tbl>
      <w:tblPr>
        <w:tblStyle w:val="NOUSSideHeader1"/>
        <w:tblW w:w="5000" w:type="pct"/>
        <w:tblLook w:val="04A0" w:firstRow="1" w:lastRow="0" w:firstColumn="1" w:lastColumn="0" w:noHBand="0" w:noVBand="1"/>
      </w:tblPr>
      <w:tblGrid>
        <w:gridCol w:w="2149"/>
        <w:gridCol w:w="1009"/>
        <w:gridCol w:w="1000"/>
        <w:gridCol w:w="1004"/>
        <w:gridCol w:w="1011"/>
        <w:gridCol w:w="1002"/>
        <w:gridCol w:w="1004"/>
        <w:gridCol w:w="1006"/>
      </w:tblGrid>
      <w:tr w:rsidR="007D0601" w:rsidRPr="004A357C" w14:paraId="7F46AC93" w14:textId="77777777" w:rsidTr="00D460B3">
        <w:trPr>
          <w:cnfStyle w:val="100000000000" w:firstRow="1" w:lastRow="0" w:firstColumn="0" w:lastColumn="0" w:oddVBand="0" w:evenVBand="0" w:oddHBand="0" w:evenHBand="0" w:firstRowFirstColumn="0" w:firstRowLastColumn="0" w:lastRowFirstColumn="0" w:lastRowLastColumn="0"/>
        </w:trPr>
        <w:tc>
          <w:tcPr>
            <w:tcW w:w="2149" w:type="dxa"/>
            <w:tcBorders>
              <w:right w:val="single" w:sz="8" w:space="0" w:color="FFFFFF"/>
            </w:tcBorders>
          </w:tcPr>
          <w:p w14:paraId="421FB9FD" w14:textId="77777777" w:rsidR="007D0601" w:rsidRPr="00A57904" w:rsidRDefault="007D0601" w:rsidP="00FB712C">
            <w:pPr>
              <w:pStyle w:val="TableNheader"/>
              <w:spacing w:before="60" w:after="60" w:line="240" w:lineRule="auto"/>
            </w:pPr>
          </w:p>
        </w:tc>
        <w:tc>
          <w:tcPr>
            <w:tcW w:w="1009" w:type="dxa"/>
            <w:tcBorders>
              <w:left w:val="single" w:sz="8" w:space="0" w:color="FFFFFF"/>
              <w:right w:val="single" w:sz="8" w:space="0" w:color="E6E6E1" w:themeColor="accent5"/>
            </w:tcBorders>
          </w:tcPr>
          <w:p w14:paraId="562EE5B7" w14:textId="2A7A6C74" w:rsidR="007D0601" w:rsidRPr="007D0601" w:rsidRDefault="007D0601" w:rsidP="00FB712C">
            <w:pPr>
              <w:pStyle w:val="TableNheader"/>
              <w:spacing w:before="60" w:after="60" w:line="240" w:lineRule="auto"/>
              <w:rPr>
                <w:szCs w:val="18"/>
              </w:rPr>
            </w:pPr>
            <w:r w:rsidRPr="007D0601">
              <w:rPr>
                <w:szCs w:val="18"/>
              </w:rPr>
              <w:t>FY23</w:t>
            </w:r>
          </w:p>
        </w:tc>
        <w:tc>
          <w:tcPr>
            <w:tcW w:w="1000" w:type="dxa"/>
            <w:tcBorders>
              <w:left w:val="single" w:sz="8" w:space="0" w:color="E6E6E1" w:themeColor="accent5"/>
              <w:right w:val="single" w:sz="8" w:space="0" w:color="E6E6E1" w:themeColor="accent5"/>
            </w:tcBorders>
          </w:tcPr>
          <w:p w14:paraId="602F9045" w14:textId="77777777" w:rsidR="007D0601" w:rsidRPr="00A57904" w:rsidRDefault="007D0601" w:rsidP="00FB712C">
            <w:pPr>
              <w:pStyle w:val="TableNheader"/>
              <w:spacing w:before="60" w:after="60" w:line="240" w:lineRule="auto"/>
              <w:rPr>
                <w:sz w:val="15"/>
                <w:szCs w:val="15"/>
              </w:rPr>
            </w:pPr>
          </w:p>
        </w:tc>
        <w:tc>
          <w:tcPr>
            <w:tcW w:w="1004" w:type="dxa"/>
            <w:tcBorders>
              <w:left w:val="single" w:sz="8" w:space="0" w:color="E6E6E1" w:themeColor="accent5"/>
              <w:right w:val="single" w:sz="8" w:space="0" w:color="FFFFFF"/>
            </w:tcBorders>
          </w:tcPr>
          <w:p w14:paraId="1BBE8B66" w14:textId="77777777" w:rsidR="007D0601" w:rsidRPr="00A57904" w:rsidRDefault="007D0601" w:rsidP="00FB712C">
            <w:pPr>
              <w:pStyle w:val="TableNheader"/>
              <w:spacing w:before="60" w:after="60" w:line="240" w:lineRule="auto"/>
              <w:rPr>
                <w:sz w:val="15"/>
                <w:szCs w:val="15"/>
              </w:rPr>
            </w:pPr>
          </w:p>
        </w:tc>
        <w:tc>
          <w:tcPr>
            <w:tcW w:w="1011" w:type="dxa"/>
            <w:tcBorders>
              <w:left w:val="single" w:sz="8" w:space="0" w:color="FFFFFF"/>
              <w:right w:val="single" w:sz="8" w:space="0" w:color="E6E6E1" w:themeColor="accent5"/>
            </w:tcBorders>
          </w:tcPr>
          <w:p w14:paraId="77F683D8" w14:textId="584F7046" w:rsidR="007D0601" w:rsidRPr="00A57904" w:rsidRDefault="007D0601" w:rsidP="00FB712C">
            <w:pPr>
              <w:pStyle w:val="TableNheader"/>
              <w:spacing w:before="60" w:after="60" w:line="240" w:lineRule="auto"/>
              <w:rPr>
                <w:sz w:val="15"/>
                <w:szCs w:val="15"/>
              </w:rPr>
            </w:pPr>
            <w:r w:rsidRPr="007D0601">
              <w:rPr>
                <w:szCs w:val="18"/>
              </w:rPr>
              <w:t>FY2</w:t>
            </w:r>
            <w:r>
              <w:rPr>
                <w:szCs w:val="18"/>
              </w:rPr>
              <w:t>4</w:t>
            </w:r>
          </w:p>
        </w:tc>
        <w:tc>
          <w:tcPr>
            <w:tcW w:w="1002" w:type="dxa"/>
            <w:tcBorders>
              <w:left w:val="single" w:sz="8" w:space="0" w:color="E6E6E1" w:themeColor="accent5"/>
              <w:right w:val="single" w:sz="8" w:space="0" w:color="E6E6E1" w:themeColor="accent5"/>
            </w:tcBorders>
          </w:tcPr>
          <w:p w14:paraId="472CF3B9" w14:textId="77777777" w:rsidR="007D0601" w:rsidRPr="00A57904" w:rsidRDefault="007D0601" w:rsidP="00FB712C">
            <w:pPr>
              <w:pStyle w:val="TableNheader"/>
              <w:spacing w:before="60" w:after="60" w:line="240" w:lineRule="auto"/>
              <w:rPr>
                <w:sz w:val="15"/>
                <w:szCs w:val="15"/>
              </w:rPr>
            </w:pPr>
          </w:p>
        </w:tc>
        <w:tc>
          <w:tcPr>
            <w:tcW w:w="1004" w:type="dxa"/>
            <w:tcBorders>
              <w:left w:val="single" w:sz="8" w:space="0" w:color="E6E6E1" w:themeColor="accent5"/>
              <w:right w:val="single" w:sz="8" w:space="0" w:color="E6E6E1" w:themeColor="accent5"/>
            </w:tcBorders>
          </w:tcPr>
          <w:p w14:paraId="228EDC99" w14:textId="77777777" w:rsidR="007D0601" w:rsidRPr="00A57904" w:rsidRDefault="007D0601" w:rsidP="00FB712C">
            <w:pPr>
              <w:pStyle w:val="TableNheader"/>
              <w:spacing w:before="60" w:after="60" w:line="240" w:lineRule="auto"/>
              <w:rPr>
                <w:sz w:val="15"/>
                <w:szCs w:val="15"/>
              </w:rPr>
            </w:pPr>
          </w:p>
        </w:tc>
        <w:tc>
          <w:tcPr>
            <w:tcW w:w="1006" w:type="dxa"/>
            <w:tcBorders>
              <w:left w:val="single" w:sz="8" w:space="0" w:color="E6E6E1" w:themeColor="accent5"/>
            </w:tcBorders>
          </w:tcPr>
          <w:p w14:paraId="5DB18BA2" w14:textId="77777777" w:rsidR="007D0601" w:rsidRPr="00A57904" w:rsidRDefault="007D0601" w:rsidP="00FB712C">
            <w:pPr>
              <w:pStyle w:val="TableNheader"/>
              <w:spacing w:before="60" w:after="60" w:line="240" w:lineRule="auto"/>
              <w:rPr>
                <w:sz w:val="15"/>
                <w:szCs w:val="15"/>
              </w:rPr>
            </w:pPr>
          </w:p>
        </w:tc>
      </w:tr>
      <w:tr w:rsidR="00065CB8" w:rsidRPr="004A357C" w14:paraId="0ECFCE60" w14:textId="77777777" w:rsidTr="007D0601">
        <w:trPr>
          <w:cnfStyle w:val="000000100000" w:firstRow="0" w:lastRow="0" w:firstColumn="0" w:lastColumn="0" w:oddVBand="0" w:evenVBand="0" w:oddHBand="1" w:evenHBand="0" w:firstRowFirstColumn="0" w:firstRowLastColumn="0" w:lastRowFirstColumn="0" w:lastRowLastColumn="0"/>
        </w:trPr>
        <w:tc>
          <w:tcPr>
            <w:tcW w:w="2149" w:type="dxa"/>
            <w:tcBorders>
              <w:top w:val="nil"/>
              <w:bottom w:val="nil"/>
              <w:right w:val="single" w:sz="8" w:space="0" w:color="FFFFFF"/>
            </w:tcBorders>
            <w:shd w:val="clear" w:color="auto" w:fill="E6E6E1" w:themeFill="accent5"/>
          </w:tcPr>
          <w:p w14:paraId="5598E501" w14:textId="77777777" w:rsidR="008A1095" w:rsidRPr="00A57904" w:rsidRDefault="008A1095" w:rsidP="00FB712C">
            <w:pPr>
              <w:pStyle w:val="TableNheader"/>
              <w:spacing w:before="60" w:after="60" w:line="240" w:lineRule="auto"/>
            </w:pPr>
            <w:r w:rsidRPr="00A57904">
              <w:t>Categories</w:t>
            </w:r>
          </w:p>
        </w:tc>
        <w:tc>
          <w:tcPr>
            <w:tcW w:w="1009" w:type="dxa"/>
            <w:tcBorders>
              <w:top w:val="nil"/>
              <w:left w:val="single" w:sz="8" w:space="0" w:color="FFFFFF"/>
              <w:bottom w:val="nil"/>
              <w:right w:val="single" w:sz="8" w:space="0" w:color="FFFFFF"/>
            </w:tcBorders>
            <w:shd w:val="clear" w:color="auto" w:fill="E6E6E1" w:themeFill="accent5"/>
          </w:tcPr>
          <w:p w14:paraId="65964402" w14:textId="77777777" w:rsidR="008A1095" w:rsidRPr="00A57904" w:rsidRDefault="008A1095" w:rsidP="00FB712C">
            <w:pPr>
              <w:pStyle w:val="TableNheader"/>
              <w:spacing w:before="60" w:after="60" w:line="240" w:lineRule="auto"/>
              <w:rPr>
                <w:sz w:val="15"/>
                <w:szCs w:val="15"/>
              </w:rPr>
            </w:pPr>
            <w:r w:rsidRPr="00A57904">
              <w:rPr>
                <w:sz w:val="15"/>
                <w:szCs w:val="15"/>
              </w:rPr>
              <w:t># of items</w:t>
            </w:r>
          </w:p>
        </w:tc>
        <w:tc>
          <w:tcPr>
            <w:tcW w:w="1000" w:type="dxa"/>
            <w:tcBorders>
              <w:top w:val="nil"/>
              <w:left w:val="single" w:sz="8" w:space="0" w:color="FFFFFF"/>
              <w:bottom w:val="nil"/>
              <w:right w:val="single" w:sz="8" w:space="0" w:color="FFFFFF"/>
            </w:tcBorders>
            <w:shd w:val="clear" w:color="auto" w:fill="E6E6E1" w:themeFill="accent5"/>
          </w:tcPr>
          <w:p w14:paraId="50BBE91A" w14:textId="77777777" w:rsidR="008A1095" w:rsidRPr="00A57904" w:rsidRDefault="008A1095" w:rsidP="00FB712C">
            <w:pPr>
              <w:pStyle w:val="TableNheader"/>
              <w:spacing w:before="60" w:after="60" w:line="240" w:lineRule="auto"/>
              <w:rPr>
                <w:sz w:val="15"/>
                <w:szCs w:val="15"/>
              </w:rPr>
            </w:pPr>
            <w:r w:rsidRPr="00A57904">
              <w:rPr>
                <w:sz w:val="15"/>
                <w:szCs w:val="15"/>
              </w:rPr>
              <w:t># of items with a gap</w:t>
            </w:r>
          </w:p>
        </w:tc>
        <w:tc>
          <w:tcPr>
            <w:tcW w:w="1004" w:type="dxa"/>
            <w:tcBorders>
              <w:top w:val="nil"/>
              <w:left w:val="single" w:sz="8" w:space="0" w:color="FFFFFF"/>
              <w:bottom w:val="nil"/>
              <w:right w:val="single" w:sz="8" w:space="0" w:color="FFFFFF"/>
            </w:tcBorders>
            <w:shd w:val="clear" w:color="auto" w:fill="E6E6E1" w:themeFill="accent5"/>
          </w:tcPr>
          <w:p w14:paraId="53EA6542" w14:textId="77777777" w:rsidR="008A1095" w:rsidRPr="00A57904" w:rsidRDefault="008A1095" w:rsidP="00FB712C">
            <w:pPr>
              <w:pStyle w:val="TableNheader"/>
              <w:spacing w:before="60" w:after="60" w:line="240" w:lineRule="auto"/>
              <w:rPr>
                <w:sz w:val="15"/>
                <w:szCs w:val="15"/>
              </w:rPr>
            </w:pPr>
            <w:r w:rsidRPr="00A57904">
              <w:rPr>
                <w:sz w:val="15"/>
                <w:szCs w:val="15"/>
              </w:rPr>
              <w:t>Rate of gap</w:t>
            </w:r>
          </w:p>
        </w:tc>
        <w:tc>
          <w:tcPr>
            <w:tcW w:w="1011" w:type="dxa"/>
            <w:tcBorders>
              <w:top w:val="nil"/>
              <w:left w:val="single" w:sz="8" w:space="0" w:color="FFFFFF"/>
              <w:bottom w:val="nil"/>
              <w:right w:val="single" w:sz="8" w:space="0" w:color="FFFFFF"/>
            </w:tcBorders>
            <w:shd w:val="clear" w:color="auto" w:fill="E6E6E1" w:themeFill="accent5"/>
          </w:tcPr>
          <w:p w14:paraId="623B7482" w14:textId="77777777" w:rsidR="008A1095" w:rsidRPr="00A57904" w:rsidRDefault="008A1095" w:rsidP="00FB712C">
            <w:pPr>
              <w:pStyle w:val="TableNheader"/>
              <w:spacing w:before="60" w:after="60" w:line="240" w:lineRule="auto"/>
              <w:rPr>
                <w:sz w:val="15"/>
                <w:szCs w:val="15"/>
              </w:rPr>
            </w:pPr>
            <w:r w:rsidRPr="00A57904">
              <w:rPr>
                <w:sz w:val="15"/>
                <w:szCs w:val="15"/>
              </w:rPr>
              <w:t># of items</w:t>
            </w:r>
          </w:p>
        </w:tc>
        <w:tc>
          <w:tcPr>
            <w:tcW w:w="1002" w:type="dxa"/>
            <w:tcBorders>
              <w:top w:val="nil"/>
              <w:left w:val="single" w:sz="8" w:space="0" w:color="FFFFFF"/>
              <w:bottom w:val="nil"/>
              <w:right w:val="single" w:sz="8" w:space="0" w:color="FFFFFF"/>
            </w:tcBorders>
            <w:shd w:val="clear" w:color="auto" w:fill="E6E6E1" w:themeFill="accent5"/>
          </w:tcPr>
          <w:p w14:paraId="1DF18FC5" w14:textId="77777777" w:rsidR="008A1095" w:rsidRPr="00A57904" w:rsidRDefault="008A1095" w:rsidP="00FB712C">
            <w:pPr>
              <w:pStyle w:val="TableNheader"/>
              <w:spacing w:before="60" w:after="60" w:line="240" w:lineRule="auto"/>
              <w:rPr>
                <w:sz w:val="15"/>
                <w:szCs w:val="15"/>
              </w:rPr>
            </w:pPr>
            <w:r w:rsidRPr="00A57904">
              <w:rPr>
                <w:sz w:val="15"/>
                <w:szCs w:val="15"/>
              </w:rPr>
              <w:t># of items with a gap</w:t>
            </w:r>
          </w:p>
        </w:tc>
        <w:tc>
          <w:tcPr>
            <w:tcW w:w="1004" w:type="dxa"/>
            <w:tcBorders>
              <w:top w:val="nil"/>
              <w:left w:val="single" w:sz="8" w:space="0" w:color="FFFFFF"/>
              <w:bottom w:val="nil"/>
              <w:right w:val="single" w:sz="8" w:space="0" w:color="FFFFFF"/>
            </w:tcBorders>
            <w:shd w:val="clear" w:color="auto" w:fill="E6E6E1" w:themeFill="accent5"/>
          </w:tcPr>
          <w:p w14:paraId="57254BA9" w14:textId="77777777" w:rsidR="008A1095" w:rsidRPr="00A57904" w:rsidRDefault="008A1095" w:rsidP="00FB712C">
            <w:pPr>
              <w:pStyle w:val="TableNheader"/>
              <w:spacing w:before="60" w:after="60" w:line="240" w:lineRule="auto"/>
              <w:rPr>
                <w:sz w:val="15"/>
                <w:szCs w:val="15"/>
              </w:rPr>
            </w:pPr>
            <w:r w:rsidRPr="00A57904">
              <w:rPr>
                <w:sz w:val="15"/>
                <w:szCs w:val="15"/>
              </w:rPr>
              <w:t>Rate of gap</w:t>
            </w:r>
          </w:p>
        </w:tc>
        <w:tc>
          <w:tcPr>
            <w:tcW w:w="1006" w:type="dxa"/>
            <w:tcBorders>
              <w:top w:val="nil"/>
              <w:left w:val="single" w:sz="8" w:space="0" w:color="FFFFFF"/>
              <w:bottom w:val="nil"/>
            </w:tcBorders>
            <w:shd w:val="clear" w:color="auto" w:fill="E6E6E1" w:themeFill="accent5"/>
          </w:tcPr>
          <w:p w14:paraId="4CD47D18" w14:textId="77777777" w:rsidR="008A1095" w:rsidRPr="00A57904" w:rsidRDefault="008A1095" w:rsidP="00FB712C">
            <w:pPr>
              <w:pStyle w:val="TableNheader"/>
              <w:spacing w:before="60" w:after="60" w:line="240" w:lineRule="auto"/>
              <w:rPr>
                <w:sz w:val="15"/>
                <w:szCs w:val="15"/>
              </w:rPr>
            </w:pPr>
            <w:r w:rsidRPr="00A57904">
              <w:rPr>
                <w:sz w:val="15"/>
                <w:szCs w:val="15"/>
              </w:rPr>
              <w:t>Change in rate of gap</w:t>
            </w:r>
          </w:p>
        </w:tc>
      </w:tr>
      <w:tr w:rsidR="00C33798" w:rsidRPr="004A357C" w14:paraId="1320E821" w14:textId="77777777" w:rsidTr="007D0601">
        <w:trPr>
          <w:cnfStyle w:val="000000010000" w:firstRow="0" w:lastRow="0" w:firstColumn="0" w:lastColumn="0" w:oddVBand="0" w:evenVBand="0" w:oddHBand="0" w:evenHBand="1" w:firstRowFirstColumn="0" w:firstRowLastColumn="0" w:lastRowFirstColumn="0" w:lastRowLastColumn="0"/>
        </w:trPr>
        <w:tc>
          <w:tcPr>
            <w:tcW w:w="2149" w:type="dxa"/>
            <w:tcBorders>
              <w:top w:val="nil"/>
            </w:tcBorders>
          </w:tcPr>
          <w:p w14:paraId="552CE562" w14:textId="5D4D5213" w:rsidR="00EA7ED2" w:rsidRPr="004A357C" w:rsidRDefault="00EA7ED2" w:rsidP="00EA7ED2">
            <w:pPr>
              <w:pStyle w:val="TableNText"/>
              <w:spacing w:before="60" w:after="60" w:line="240" w:lineRule="auto"/>
              <w:rPr>
                <w:rFonts w:asciiTheme="majorHAnsi" w:hAnsiTheme="majorHAnsi" w:cstheme="majorHAnsi"/>
              </w:rPr>
            </w:pPr>
            <w:r w:rsidRPr="004A357C">
              <w:rPr>
                <w:rFonts w:asciiTheme="majorHAnsi" w:hAnsiTheme="majorHAnsi" w:cstheme="majorHAnsi"/>
              </w:rPr>
              <w:t>01 – Ophthalmic</w:t>
            </w:r>
          </w:p>
        </w:tc>
        <w:tc>
          <w:tcPr>
            <w:tcW w:w="1009" w:type="dxa"/>
            <w:tcBorders>
              <w:top w:val="nil"/>
            </w:tcBorders>
          </w:tcPr>
          <w:p w14:paraId="3668B665" w14:textId="147E5827" w:rsidR="00EA7ED2" w:rsidRPr="004A357C" w:rsidRDefault="00EA7ED2" w:rsidP="00EA7ED2">
            <w:pPr>
              <w:pStyle w:val="TableNText"/>
              <w:spacing w:before="60" w:after="60" w:line="240" w:lineRule="auto"/>
            </w:pPr>
            <w:r w:rsidRPr="00DD19EC">
              <w:t>377</w:t>
            </w:r>
            <w:r>
              <w:t>,</w:t>
            </w:r>
            <w:r w:rsidRPr="00DD19EC">
              <w:t>388</w:t>
            </w:r>
          </w:p>
        </w:tc>
        <w:tc>
          <w:tcPr>
            <w:tcW w:w="1000" w:type="dxa"/>
            <w:tcBorders>
              <w:top w:val="nil"/>
            </w:tcBorders>
          </w:tcPr>
          <w:p w14:paraId="6A2A19B4" w14:textId="01126763" w:rsidR="00EA7ED2" w:rsidRPr="004A357C" w:rsidRDefault="00EA7ED2" w:rsidP="00EA7ED2">
            <w:pPr>
              <w:pStyle w:val="TableNText"/>
              <w:spacing w:before="60" w:after="60" w:line="240" w:lineRule="auto"/>
            </w:pPr>
            <w:r w:rsidRPr="00DD19EC">
              <w:t>3</w:t>
            </w:r>
            <w:r>
              <w:t>,</w:t>
            </w:r>
            <w:r w:rsidRPr="00DD19EC">
              <w:t>797</w:t>
            </w:r>
          </w:p>
        </w:tc>
        <w:tc>
          <w:tcPr>
            <w:tcW w:w="1004" w:type="dxa"/>
            <w:tcBorders>
              <w:top w:val="nil"/>
            </w:tcBorders>
          </w:tcPr>
          <w:p w14:paraId="6C290680" w14:textId="68310C1E" w:rsidR="00EA7ED2" w:rsidRPr="004A357C" w:rsidRDefault="00EA7ED2" w:rsidP="00EA7ED2">
            <w:pPr>
              <w:pStyle w:val="TableNText"/>
              <w:spacing w:before="60" w:after="60" w:line="240" w:lineRule="auto"/>
            </w:pPr>
            <w:r w:rsidRPr="00DD19EC">
              <w:t>1.01%</w:t>
            </w:r>
          </w:p>
        </w:tc>
        <w:tc>
          <w:tcPr>
            <w:tcW w:w="1011" w:type="dxa"/>
            <w:tcBorders>
              <w:top w:val="nil"/>
            </w:tcBorders>
          </w:tcPr>
          <w:p w14:paraId="7CEB3CDB" w14:textId="4F405840" w:rsidR="00EA7ED2" w:rsidRPr="004A357C" w:rsidRDefault="00EA7ED2" w:rsidP="00EA7ED2">
            <w:pPr>
              <w:pStyle w:val="TableNText"/>
              <w:spacing w:before="60" w:after="60" w:line="240" w:lineRule="auto"/>
            </w:pPr>
            <w:r w:rsidRPr="00DD19EC">
              <w:t>393</w:t>
            </w:r>
            <w:r>
              <w:t>,</w:t>
            </w:r>
            <w:r w:rsidRPr="00DD19EC">
              <w:t>400</w:t>
            </w:r>
          </w:p>
        </w:tc>
        <w:tc>
          <w:tcPr>
            <w:tcW w:w="1002" w:type="dxa"/>
            <w:tcBorders>
              <w:top w:val="nil"/>
            </w:tcBorders>
          </w:tcPr>
          <w:p w14:paraId="678A8E2C" w14:textId="2AD32303" w:rsidR="00EA7ED2" w:rsidRPr="004A357C" w:rsidRDefault="00EA7ED2" w:rsidP="00EA7ED2">
            <w:pPr>
              <w:pStyle w:val="TableNText"/>
              <w:spacing w:before="60" w:after="60" w:line="240" w:lineRule="auto"/>
            </w:pPr>
            <w:r w:rsidRPr="00DD19EC">
              <w:t>2</w:t>
            </w:r>
            <w:r>
              <w:t>,</w:t>
            </w:r>
            <w:r w:rsidRPr="00DD19EC">
              <w:t>488</w:t>
            </w:r>
          </w:p>
        </w:tc>
        <w:tc>
          <w:tcPr>
            <w:tcW w:w="1004" w:type="dxa"/>
            <w:tcBorders>
              <w:top w:val="nil"/>
            </w:tcBorders>
          </w:tcPr>
          <w:p w14:paraId="497D2E7C" w14:textId="6E597F66" w:rsidR="00EA7ED2" w:rsidRPr="004A357C" w:rsidRDefault="00EA7ED2" w:rsidP="00EA7ED2">
            <w:pPr>
              <w:pStyle w:val="TableNText"/>
              <w:spacing w:before="60" w:after="60" w:line="240" w:lineRule="auto"/>
            </w:pPr>
            <w:r w:rsidRPr="00DD19EC">
              <w:t>0.63%</w:t>
            </w:r>
          </w:p>
        </w:tc>
        <w:tc>
          <w:tcPr>
            <w:tcW w:w="1006" w:type="dxa"/>
            <w:tcBorders>
              <w:top w:val="nil"/>
            </w:tcBorders>
          </w:tcPr>
          <w:p w14:paraId="626D3897" w14:textId="1A5E49CD" w:rsidR="00EA7ED2" w:rsidRPr="00EA7ED2" w:rsidRDefault="00EA7ED2" w:rsidP="00EA7ED2">
            <w:pPr>
              <w:pStyle w:val="TableNText"/>
              <w:spacing w:before="60" w:after="60" w:line="240" w:lineRule="auto"/>
              <w:rPr>
                <w:rFonts w:asciiTheme="majorHAnsi" w:hAnsiTheme="majorHAnsi" w:cstheme="majorHAnsi"/>
              </w:rPr>
            </w:pPr>
            <w:r w:rsidRPr="00EA7ED2">
              <w:rPr>
                <w:rFonts w:asciiTheme="majorHAnsi" w:hAnsiTheme="majorHAnsi" w:cstheme="majorHAnsi"/>
              </w:rPr>
              <w:t>-0.37%</w:t>
            </w:r>
          </w:p>
        </w:tc>
      </w:tr>
      <w:tr w:rsidR="00C33798" w:rsidRPr="004A357C" w14:paraId="0A6E589F" w14:textId="77777777" w:rsidTr="007D0601">
        <w:trPr>
          <w:cnfStyle w:val="000000100000" w:firstRow="0" w:lastRow="0" w:firstColumn="0" w:lastColumn="0" w:oddVBand="0" w:evenVBand="0" w:oddHBand="1" w:evenHBand="0" w:firstRowFirstColumn="0" w:firstRowLastColumn="0" w:lastRowFirstColumn="0" w:lastRowLastColumn="0"/>
        </w:trPr>
        <w:tc>
          <w:tcPr>
            <w:tcW w:w="2149" w:type="dxa"/>
          </w:tcPr>
          <w:p w14:paraId="7075E359" w14:textId="7A528009" w:rsidR="00EA7ED2" w:rsidRPr="004A357C" w:rsidRDefault="00EA7ED2" w:rsidP="00EA7ED2">
            <w:pPr>
              <w:pStyle w:val="TableNText"/>
              <w:spacing w:before="60" w:after="60" w:line="240" w:lineRule="auto"/>
              <w:rPr>
                <w:rFonts w:asciiTheme="majorHAnsi" w:hAnsiTheme="majorHAnsi" w:cstheme="majorHAnsi"/>
              </w:rPr>
            </w:pPr>
            <w:r w:rsidRPr="004A357C">
              <w:rPr>
                <w:rFonts w:asciiTheme="majorHAnsi" w:hAnsiTheme="majorHAnsi" w:cstheme="majorHAnsi"/>
              </w:rPr>
              <w:t>02 – Ear; Nose &amp; Throat</w:t>
            </w:r>
          </w:p>
        </w:tc>
        <w:tc>
          <w:tcPr>
            <w:tcW w:w="1009" w:type="dxa"/>
          </w:tcPr>
          <w:p w14:paraId="759FB15C" w14:textId="4E088358" w:rsidR="00EA7ED2" w:rsidRPr="004A357C" w:rsidRDefault="00EA7ED2" w:rsidP="00EA7ED2">
            <w:pPr>
              <w:pStyle w:val="TableNText"/>
              <w:spacing w:before="60" w:after="60" w:line="240" w:lineRule="auto"/>
            </w:pPr>
            <w:r w:rsidRPr="00DD19EC">
              <w:t>40</w:t>
            </w:r>
            <w:r>
              <w:t>,</w:t>
            </w:r>
            <w:r w:rsidRPr="00DD19EC">
              <w:t>863</w:t>
            </w:r>
          </w:p>
        </w:tc>
        <w:tc>
          <w:tcPr>
            <w:tcW w:w="1000" w:type="dxa"/>
          </w:tcPr>
          <w:p w14:paraId="0A640325" w14:textId="5DB87A8E" w:rsidR="00EA7ED2" w:rsidRPr="004A357C" w:rsidRDefault="00EA7ED2" w:rsidP="00EA7ED2">
            <w:pPr>
              <w:pStyle w:val="TableNText"/>
              <w:spacing w:before="60" w:after="60" w:line="240" w:lineRule="auto"/>
            </w:pPr>
            <w:r w:rsidRPr="00DD19EC">
              <w:t>20</w:t>
            </w:r>
          </w:p>
        </w:tc>
        <w:tc>
          <w:tcPr>
            <w:tcW w:w="1004" w:type="dxa"/>
          </w:tcPr>
          <w:p w14:paraId="39D96B7F" w14:textId="5A5AB455" w:rsidR="00EA7ED2" w:rsidRPr="004A357C" w:rsidRDefault="00EA7ED2" w:rsidP="00EA7ED2">
            <w:pPr>
              <w:pStyle w:val="TableNText"/>
              <w:spacing w:before="60" w:after="60" w:line="240" w:lineRule="auto"/>
            </w:pPr>
            <w:r w:rsidRPr="00DD19EC">
              <w:t>0.05%</w:t>
            </w:r>
          </w:p>
        </w:tc>
        <w:tc>
          <w:tcPr>
            <w:tcW w:w="1011" w:type="dxa"/>
          </w:tcPr>
          <w:p w14:paraId="64FDC4CC" w14:textId="72867C91" w:rsidR="00EA7ED2" w:rsidRPr="004A357C" w:rsidRDefault="00EA7ED2" w:rsidP="00EA7ED2">
            <w:pPr>
              <w:pStyle w:val="TableNText"/>
              <w:spacing w:before="60" w:after="60" w:line="240" w:lineRule="auto"/>
            </w:pPr>
            <w:r w:rsidRPr="00DD19EC">
              <w:t>42</w:t>
            </w:r>
            <w:r>
              <w:t>,</w:t>
            </w:r>
            <w:r w:rsidRPr="00DD19EC">
              <w:t>029</w:t>
            </w:r>
          </w:p>
        </w:tc>
        <w:tc>
          <w:tcPr>
            <w:tcW w:w="1002" w:type="dxa"/>
          </w:tcPr>
          <w:p w14:paraId="7673A1E5" w14:textId="10AFF314" w:rsidR="00EA7ED2" w:rsidRPr="004A357C" w:rsidRDefault="00EA7ED2" w:rsidP="00EA7ED2">
            <w:pPr>
              <w:pStyle w:val="TableNText"/>
              <w:spacing w:before="60" w:after="60" w:line="240" w:lineRule="auto"/>
            </w:pPr>
            <w:r w:rsidRPr="00DD19EC">
              <w:t>30</w:t>
            </w:r>
          </w:p>
        </w:tc>
        <w:tc>
          <w:tcPr>
            <w:tcW w:w="1004" w:type="dxa"/>
          </w:tcPr>
          <w:p w14:paraId="4D16BB96" w14:textId="13374FCB" w:rsidR="00EA7ED2" w:rsidRPr="004A357C" w:rsidRDefault="00EA7ED2" w:rsidP="00EA7ED2">
            <w:pPr>
              <w:pStyle w:val="TableNText"/>
              <w:spacing w:before="60" w:after="60" w:line="240" w:lineRule="auto"/>
            </w:pPr>
            <w:r w:rsidRPr="00DD19EC">
              <w:t>0.07%</w:t>
            </w:r>
          </w:p>
        </w:tc>
        <w:tc>
          <w:tcPr>
            <w:tcW w:w="1006" w:type="dxa"/>
          </w:tcPr>
          <w:p w14:paraId="7C274AD2" w14:textId="3BCF1540" w:rsidR="00EA7ED2" w:rsidRPr="00EA7ED2" w:rsidRDefault="00EA7ED2" w:rsidP="00EA7ED2">
            <w:pPr>
              <w:pStyle w:val="TableNText"/>
              <w:spacing w:before="60" w:after="60" w:line="240" w:lineRule="auto"/>
              <w:rPr>
                <w:rFonts w:asciiTheme="majorHAnsi" w:hAnsiTheme="majorHAnsi" w:cstheme="majorHAnsi"/>
              </w:rPr>
            </w:pPr>
            <w:r w:rsidRPr="00EA7ED2">
              <w:rPr>
                <w:rFonts w:asciiTheme="majorHAnsi" w:hAnsiTheme="majorHAnsi" w:cstheme="majorHAnsi"/>
              </w:rPr>
              <w:t>0.02%</w:t>
            </w:r>
          </w:p>
        </w:tc>
      </w:tr>
      <w:tr w:rsidR="00C33798" w:rsidRPr="004A357C" w14:paraId="4BE827E9" w14:textId="77777777" w:rsidTr="007D0601">
        <w:trPr>
          <w:cnfStyle w:val="000000010000" w:firstRow="0" w:lastRow="0" w:firstColumn="0" w:lastColumn="0" w:oddVBand="0" w:evenVBand="0" w:oddHBand="0" w:evenHBand="1" w:firstRowFirstColumn="0" w:firstRowLastColumn="0" w:lastRowFirstColumn="0" w:lastRowLastColumn="0"/>
        </w:trPr>
        <w:tc>
          <w:tcPr>
            <w:tcW w:w="2149" w:type="dxa"/>
          </w:tcPr>
          <w:p w14:paraId="464A88D4" w14:textId="4A06D101" w:rsidR="00EA7ED2" w:rsidRPr="004A357C" w:rsidRDefault="00EA7ED2" w:rsidP="00EA7ED2">
            <w:pPr>
              <w:pStyle w:val="TableNText"/>
              <w:spacing w:before="60" w:after="60" w:line="240" w:lineRule="auto"/>
              <w:rPr>
                <w:rFonts w:asciiTheme="majorHAnsi" w:hAnsiTheme="majorHAnsi" w:cstheme="majorHAnsi"/>
              </w:rPr>
            </w:pPr>
            <w:r w:rsidRPr="004A357C">
              <w:rPr>
                <w:rFonts w:asciiTheme="majorHAnsi" w:hAnsiTheme="majorHAnsi" w:cstheme="majorHAnsi"/>
              </w:rPr>
              <w:t>03 – General Miscellaneous</w:t>
            </w:r>
          </w:p>
        </w:tc>
        <w:tc>
          <w:tcPr>
            <w:tcW w:w="1009" w:type="dxa"/>
          </w:tcPr>
          <w:p w14:paraId="34700848" w14:textId="37A3A322" w:rsidR="00EA7ED2" w:rsidRPr="004A357C" w:rsidRDefault="00EA7ED2" w:rsidP="00EA7ED2">
            <w:pPr>
              <w:pStyle w:val="TableNText"/>
              <w:spacing w:before="60" w:after="60" w:line="240" w:lineRule="auto"/>
            </w:pPr>
            <w:r w:rsidRPr="00DD19EC">
              <w:t>134</w:t>
            </w:r>
            <w:r>
              <w:t>,</w:t>
            </w:r>
            <w:r w:rsidRPr="00DD19EC">
              <w:t>350</w:t>
            </w:r>
          </w:p>
        </w:tc>
        <w:tc>
          <w:tcPr>
            <w:tcW w:w="1000" w:type="dxa"/>
          </w:tcPr>
          <w:p w14:paraId="48FA6EC6" w14:textId="369A6189" w:rsidR="00EA7ED2" w:rsidRPr="004A357C" w:rsidRDefault="00EA7ED2" w:rsidP="00EA7ED2">
            <w:pPr>
              <w:pStyle w:val="TableNText"/>
              <w:spacing w:before="60" w:after="60" w:line="240" w:lineRule="auto"/>
            </w:pPr>
            <w:r w:rsidRPr="00DD19EC">
              <w:t>217</w:t>
            </w:r>
          </w:p>
        </w:tc>
        <w:tc>
          <w:tcPr>
            <w:tcW w:w="1004" w:type="dxa"/>
          </w:tcPr>
          <w:p w14:paraId="4A7879BF" w14:textId="200254ED" w:rsidR="00EA7ED2" w:rsidRPr="004A357C" w:rsidRDefault="00EA7ED2" w:rsidP="00EA7ED2">
            <w:pPr>
              <w:pStyle w:val="TableNText"/>
              <w:spacing w:before="60" w:after="60" w:line="240" w:lineRule="auto"/>
            </w:pPr>
            <w:r w:rsidRPr="00DD19EC">
              <w:t>0.16%</w:t>
            </w:r>
          </w:p>
        </w:tc>
        <w:tc>
          <w:tcPr>
            <w:tcW w:w="1011" w:type="dxa"/>
          </w:tcPr>
          <w:p w14:paraId="0AE369BC" w14:textId="2C65C767" w:rsidR="00EA7ED2" w:rsidRPr="004A357C" w:rsidRDefault="00EA7ED2" w:rsidP="00EA7ED2">
            <w:pPr>
              <w:pStyle w:val="TableNText"/>
              <w:spacing w:before="60" w:after="60" w:line="240" w:lineRule="auto"/>
            </w:pPr>
            <w:r w:rsidRPr="00DD19EC">
              <w:t>145</w:t>
            </w:r>
            <w:r>
              <w:t>,</w:t>
            </w:r>
            <w:r w:rsidRPr="00DD19EC">
              <w:t>991</w:t>
            </w:r>
          </w:p>
        </w:tc>
        <w:tc>
          <w:tcPr>
            <w:tcW w:w="1002" w:type="dxa"/>
          </w:tcPr>
          <w:p w14:paraId="515C0080" w14:textId="1B95991B" w:rsidR="00EA7ED2" w:rsidRPr="004A357C" w:rsidRDefault="00EA7ED2" w:rsidP="00EA7ED2">
            <w:pPr>
              <w:pStyle w:val="TableNText"/>
              <w:spacing w:before="60" w:after="60" w:line="240" w:lineRule="auto"/>
            </w:pPr>
            <w:r w:rsidRPr="00DD19EC">
              <w:t>202</w:t>
            </w:r>
          </w:p>
        </w:tc>
        <w:tc>
          <w:tcPr>
            <w:tcW w:w="1004" w:type="dxa"/>
          </w:tcPr>
          <w:p w14:paraId="518C18F9" w14:textId="3035EC12" w:rsidR="00EA7ED2" w:rsidRPr="004A357C" w:rsidRDefault="00EA7ED2" w:rsidP="00EA7ED2">
            <w:pPr>
              <w:pStyle w:val="TableNText"/>
              <w:spacing w:before="60" w:after="60" w:line="240" w:lineRule="auto"/>
            </w:pPr>
            <w:r w:rsidRPr="00DD19EC">
              <w:t>0.14%</w:t>
            </w:r>
          </w:p>
        </w:tc>
        <w:tc>
          <w:tcPr>
            <w:tcW w:w="1006" w:type="dxa"/>
          </w:tcPr>
          <w:p w14:paraId="06A6E692" w14:textId="780531FB" w:rsidR="00EA7ED2" w:rsidRPr="00EA7ED2" w:rsidRDefault="00EA7ED2" w:rsidP="00EA7ED2">
            <w:pPr>
              <w:pStyle w:val="TableNText"/>
              <w:spacing w:before="60" w:after="60" w:line="240" w:lineRule="auto"/>
              <w:rPr>
                <w:rFonts w:asciiTheme="majorHAnsi" w:hAnsiTheme="majorHAnsi" w:cstheme="majorHAnsi"/>
              </w:rPr>
            </w:pPr>
            <w:r w:rsidRPr="00EA7ED2">
              <w:rPr>
                <w:rFonts w:asciiTheme="majorHAnsi" w:hAnsiTheme="majorHAnsi" w:cstheme="majorHAnsi"/>
              </w:rPr>
              <w:t>-0.02%</w:t>
            </w:r>
          </w:p>
        </w:tc>
      </w:tr>
      <w:tr w:rsidR="00C33798" w:rsidRPr="004A357C" w14:paraId="59BC5B1E" w14:textId="77777777" w:rsidTr="007D0601">
        <w:trPr>
          <w:cnfStyle w:val="000000100000" w:firstRow="0" w:lastRow="0" w:firstColumn="0" w:lastColumn="0" w:oddVBand="0" w:evenVBand="0" w:oddHBand="1" w:evenHBand="0" w:firstRowFirstColumn="0" w:firstRowLastColumn="0" w:lastRowFirstColumn="0" w:lastRowLastColumn="0"/>
        </w:trPr>
        <w:tc>
          <w:tcPr>
            <w:tcW w:w="2149" w:type="dxa"/>
          </w:tcPr>
          <w:p w14:paraId="244FEA51" w14:textId="028CF766" w:rsidR="00EA7ED2" w:rsidRPr="004A357C" w:rsidRDefault="00EA7ED2" w:rsidP="00EA7ED2">
            <w:pPr>
              <w:pStyle w:val="TableNText"/>
              <w:spacing w:before="60" w:after="60" w:line="240" w:lineRule="auto"/>
              <w:rPr>
                <w:rFonts w:asciiTheme="majorHAnsi" w:hAnsiTheme="majorHAnsi" w:cstheme="majorHAnsi"/>
              </w:rPr>
            </w:pPr>
            <w:r w:rsidRPr="004A357C">
              <w:rPr>
                <w:rFonts w:asciiTheme="majorHAnsi" w:hAnsiTheme="majorHAnsi" w:cstheme="majorHAnsi"/>
              </w:rPr>
              <w:t>04 – Neurosurgical</w:t>
            </w:r>
          </w:p>
        </w:tc>
        <w:tc>
          <w:tcPr>
            <w:tcW w:w="1009" w:type="dxa"/>
          </w:tcPr>
          <w:p w14:paraId="28DCE2A5" w14:textId="1BB612DD" w:rsidR="00EA7ED2" w:rsidRPr="004A357C" w:rsidRDefault="00EA7ED2" w:rsidP="00EA7ED2">
            <w:pPr>
              <w:pStyle w:val="TableNText"/>
              <w:spacing w:before="60" w:after="60" w:line="240" w:lineRule="auto"/>
            </w:pPr>
            <w:r w:rsidRPr="00DD19EC">
              <w:t>24</w:t>
            </w:r>
            <w:r>
              <w:t>,</w:t>
            </w:r>
            <w:r w:rsidRPr="00DD19EC">
              <w:t>182</w:t>
            </w:r>
          </w:p>
        </w:tc>
        <w:tc>
          <w:tcPr>
            <w:tcW w:w="1000" w:type="dxa"/>
          </w:tcPr>
          <w:p w14:paraId="3CEF96C7" w14:textId="7EAC5A9E" w:rsidR="00EA7ED2" w:rsidRPr="004A357C" w:rsidRDefault="00EA7ED2" w:rsidP="00EA7ED2">
            <w:pPr>
              <w:pStyle w:val="TableNText"/>
              <w:spacing w:before="60" w:after="60" w:line="240" w:lineRule="auto"/>
            </w:pPr>
            <w:r w:rsidRPr="00DD19EC">
              <w:t>85</w:t>
            </w:r>
          </w:p>
        </w:tc>
        <w:tc>
          <w:tcPr>
            <w:tcW w:w="1004" w:type="dxa"/>
          </w:tcPr>
          <w:p w14:paraId="4E782B08" w14:textId="44B55400" w:rsidR="00EA7ED2" w:rsidRPr="004A357C" w:rsidRDefault="00EA7ED2" w:rsidP="00EA7ED2">
            <w:pPr>
              <w:pStyle w:val="TableNText"/>
              <w:spacing w:before="60" w:after="60" w:line="240" w:lineRule="auto"/>
            </w:pPr>
            <w:r w:rsidRPr="00DD19EC">
              <w:t>0.35%</w:t>
            </w:r>
          </w:p>
        </w:tc>
        <w:tc>
          <w:tcPr>
            <w:tcW w:w="1011" w:type="dxa"/>
          </w:tcPr>
          <w:p w14:paraId="7317AA78" w14:textId="579F96A7" w:rsidR="00EA7ED2" w:rsidRPr="004A357C" w:rsidRDefault="00EA7ED2" w:rsidP="00EA7ED2">
            <w:pPr>
              <w:pStyle w:val="TableNText"/>
              <w:spacing w:before="60" w:after="60" w:line="240" w:lineRule="auto"/>
            </w:pPr>
            <w:r w:rsidRPr="00DD19EC">
              <w:t>25</w:t>
            </w:r>
            <w:r>
              <w:t>,</w:t>
            </w:r>
            <w:r w:rsidRPr="00DD19EC">
              <w:t>263</w:t>
            </w:r>
          </w:p>
        </w:tc>
        <w:tc>
          <w:tcPr>
            <w:tcW w:w="1002" w:type="dxa"/>
          </w:tcPr>
          <w:p w14:paraId="6DF3B241" w14:textId="76FC16D8" w:rsidR="00EA7ED2" w:rsidRPr="004A357C" w:rsidRDefault="00EA7ED2" w:rsidP="00EA7ED2">
            <w:pPr>
              <w:pStyle w:val="TableNText"/>
              <w:spacing w:before="60" w:after="60" w:line="240" w:lineRule="auto"/>
            </w:pPr>
            <w:r w:rsidRPr="00DD19EC">
              <w:t>22</w:t>
            </w:r>
          </w:p>
        </w:tc>
        <w:tc>
          <w:tcPr>
            <w:tcW w:w="1004" w:type="dxa"/>
          </w:tcPr>
          <w:p w14:paraId="390A60C6" w14:textId="2506AF2B" w:rsidR="00EA7ED2" w:rsidRPr="004A357C" w:rsidRDefault="00EA7ED2" w:rsidP="00EA7ED2">
            <w:pPr>
              <w:pStyle w:val="TableNText"/>
              <w:spacing w:before="60" w:after="60" w:line="240" w:lineRule="auto"/>
            </w:pPr>
            <w:r w:rsidRPr="00DD19EC">
              <w:t>0.09%</w:t>
            </w:r>
          </w:p>
        </w:tc>
        <w:tc>
          <w:tcPr>
            <w:tcW w:w="1006" w:type="dxa"/>
          </w:tcPr>
          <w:p w14:paraId="5E2F5AD4" w14:textId="5FC0D188" w:rsidR="00EA7ED2" w:rsidRPr="00EA7ED2" w:rsidRDefault="00EA7ED2" w:rsidP="00EA7ED2">
            <w:pPr>
              <w:pStyle w:val="TableNText"/>
              <w:spacing w:before="60" w:after="60" w:line="240" w:lineRule="auto"/>
              <w:rPr>
                <w:rFonts w:asciiTheme="majorHAnsi" w:hAnsiTheme="majorHAnsi" w:cstheme="majorHAnsi"/>
              </w:rPr>
            </w:pPr>
            <w:r w:rsidRPr="00EA7ED2">
              <w:rPr>
                <w:rFonts w:asciiTheme="majorHAnsi" w:hAnsiTheme="majorHAnsi" w:cstheme="majorHAnsi"/>
              </w:rPr>
              <w:t>-0.26%</w:t>
            </w:r>
          </w:p>
        </w:tc>
      </w:tr>
      <w:tr w:rsidR="00C33798" w:rsidRPr="004A357C" w14:paraId="28C387A7" w14:textId="77777777" w:rsidTr="007D0601">
        <w:trPr>
          <w:cnfStyle w:val="000000010000" w:firstRow="0" w:lastRow="0" w:firstColumn="0" w:lastColumn="0" w:oddVBand="0" w:evenVBand="0" w:oddHBand="0" w:evenHBand="1" w:firstRowFirstColumn="0" w:firstRowLastColumn="0" w:lastRowFirstColumn="0" w:lastRowLastColumn="0"/>
        </w:trPr>
        <w:tc>
          <w:tcPr>
            <w:tcW w:w="2149" w:type="dxa"/>
          </w:tcPr>
          <w:p w14:paraId="2A008184" w14:textId="74FBA3F9" w:rsidR="00EA7ED2" w:rsidRPr="004A357C" w:rsidRDefault="00EA7ED2" w:rsidP="00EA7ED2">
            <w:pPr>
              <w:pStyle w:val="TableNText"/>
              <w:spacing w:before="60" w:after="60" w:line="240" w:lineRule="auto"/>
              <w:rPr>
                <w:rFonts w:asciiTheme="majorHAnsi" w:hAnsiTheme="majorHAnsi" w:cstheme="majorHAnsi"/>
              </w:rPr>
            </w:pPr>
            <w:r w:rsidRPr="004A357C">
              <w:rPr>
                <w:rFonts w:asciiTheme="majorHAnsi" w:hAnsiTheme="majorHAnsi" w:cstheme="majorHAnsi"/>
              </w:rPr>
              <w:t>05 – Urogenital</w:t>
            </w:r>
          </w:p>
        </w:tc>
        <w:tc>
          <w:tcPr>
            <w:tcW w:w="1009" w:type="dxa"/>
          </w:tcPr>
          <w:p w14:paraId="707562D7" w14:textId="32FE7503" w:rsidR="00EA7ED2" w:rsidRPr="004A357C" w:rsidRDefault="00EA7ED2" w:rsidP="00EA7ED2">
            <w:pPr>
              <w:pStyle w:val="TableNText"/>
              <w:spacing w:before="60" w:after="60" w:line="240" w:lineRule="auto"/>
            </w:pPr>
            <w:r w:rsidRPr="00DD19EC">
              <w:t>44</w:t>
            </w:r>
            <w:r>
              <w:t>,</w:t>
            </w:r>
            <w:r w:rsidRPr="00DD19EC">
              <w:t>738</w:t>
            </w:r>
          </w:p>
        </w:tc>
        <w:tc>
          <w:tcPr>
            <w:tcW w:w="1000" w:type="dxa"/>
          </w:tcPr>
          <w:p w14:paraId="625DD3A8" w14:textId="46BA7034" w:rsidR="00EA7ED2" w:rsidRPr="004A357C" w:rsidRDefault="00EA7ED2" w:rsidP="00EA7ED2">
            <w:pPr>
              <w:pStyle w:val="TableNText"/>
              <w:spacing w:before="60" w:after="60" w:line="240" w:lineRule="auto"/>
            </w:pPr>
            <w:r w:rsidRPr="00DD19EC">
              <w:t>148</w:t>
            </w:r>
          </w:p>
        </w:tc>
        <w:tc>
          <w:tcPr>
            <w:tcW w:w="1004" w:type="dxa"/>
          </w:tcPr>
          <w:p w14:paraId="448DB01E" w14:textId="3DE7690E" w:rsidR="00EA7ED2" w:rsidRPr="004A357C" w:rsidRDefault="00EA7ED2" w:rsidP="00EA7ED2">
            <w:pPr>
              <w:pStyle w:val="TableNText"/>
              <w:spacing w:before="60" w:after="60" w:line="240" w:lineRule="auto"/>
            </w:pPr>
            <w:r w:rsidRPr="00DD19EC">
              <w:t>0.33%</w:t>
            </w:r>
          </w:p>
        </w:tc>
        <w:tc>
          <w:tcPr>
            <w:tcW w:w="1011" w:type="dxa"/>
          </w:tcPr>
          <w:p w14:paraId="0AAA51CF" w14:textId="20637583" w:rsidR="00EA7ED2" w:rsidRPr="004A357C" w:rsidRDefault="00EA7ED2" w:rsidP="00EA7ED2">
            <w:pPr>
              <w:pStyle w:val="TableNText"/>
              <w:spacing w:before="60" w:after="60" w:line="240" w:lineRule="auto"/>
            </w:pPr>
            <w:r w:rsidRPr="00DD19EC">
              <w:t>47</w:t>
            </w:r>
            <w:r>
              <w:t>,</w:t>
            </w:r>
            <w:r w:rsidRPr="00DD19EC">
              <w:t>955</w:t>
            </w:r>
          </w:p>
        </w:tc>
        <w:tc>
          <w:tcPr>
            <w:tcW w:w="1002" w:type="dxa"/>
          </w:tcPr>
          <w:p w14:paraId="43111CAF" w14:textId="3AD3EC14" w:rsidR="00EA7ED2" w:rsidRPr="004A357C" w:rsidRDefault="00EA7ED2" w:rsidP="00EA7ED2">
            <w:pPr>
              <w:pStyle w:val="TableNText"/>
              <w:spacing w:before="60" w:after="60" w:line="240" w:lineRule="auto"/>
            </w:pPr>
            <w:r w:rsidRPr="00DD19EC">
              <w:t>73</w:t>
            </w:r>
          </w:p>
        </w:tc>
        <w:tc>
          <w:tcPr>
            <w:tcW w:w="1004" w:type="dxa"/>
          </w:tcPr>
          <w:p w14:paraId="02863F0B" w14:textId="030525DB" w:rsidR="00EA7ED2" w:rsidRPr="004A357C" w:rsidRDefault="00EA7ED2" w:rsidP="00EA7ED2">
            <w:pPr>
              <w:pStyle w:val="TableNText"/>
              <w:spacing w:before="60" w:after="60" w:line="240" w:lineRule="auto"/>
            </w:pPr>
            <w:r w:rsidRPr="00DD19EC">
              <w:t>0.15%</w:t>
            </w:r>
          </w:p>
        </w:tc>
        <w:tc>
          <w:tcPr>
            <w:tcW w:w="1006" w:type="dxa"/>
          </w:tcPr>
          <w:p w14:paraId="732D37D3" w14:textId="03574172" w:rsidR="00EA7ED2" w:rsidRPr="00EA7ED2" w:rsidRDefault="00EA7ED2" w:rsidP="00EA7ED2">
            <w:pPr>
              <w:pStyle w:val="TableNText"/>
              <w:spacing w:before="60" w:after="60" w:line="240" w:lineRule="auto"/>
              <w:rPr>
                <w:rFonts w:asciiTheme="majorHAnsi" w:hAnsiTheme="majorHAnsi" w:cstheme="majorHAnsi"/>
              </w:rPr>
            </w:pPr>
            <w:r w:rsidRPr="00EA7ED2">
              <w:rPr>
                <w:rFonts w:asciiTheme="majorHAnsi" w:hAnsiTheme="majorHAnsi" w:cstheme="majorHAnsi"/>
              </w:rPr>
              <w:t>-0.18%</w:t>
            </w:r>
          </w:p>
        </w:tc>
      </w:tr>
      <w:tr w:rsidR="00C33798" w:rsidRPr="004A357C" w14:paraId="3C3AAF67" w14:textId="77777777" w:rsidTr="007D0601">
        <w:trPr>
          <w:cnfStyle w:val="000000100000" w:firstRow="0" w:lastRow="0" w:firstColumn="0" w:lastColumn="0" w:oddVBand="0" w:evenVBand="0" w:oddHBand="1" w:evenHBand="0" w:firstRowFirstColumn="0" w:firstRowLastColumn="0" w:lastRowFirstColumn="0" w:lastRowLastColumn="0"/>
        </w:trPr>
        <w:tc>
          <w:tcPr>
            <w:tcW w:w="2149" w:type="dxa"/>
          </w:tcPr>
          <w:p w14:paraId="7037CEBB" w14:textId="74CE6FD5" w:rsidR="00EA7ED2" w:rsidRPr="004A357C" w:rsidRDefault="00EA7ED2" w:rsidP="00EA7ED2">
            <w:pPr>
              <w:pStyle w:val="TableNText"/>
              <w:spacing w:before="60" w:after="60" w:line="240" w:lineRule="auto"/>
              <w:rPr>
                <w:rFonts w:asciiTheme="majorHAnsi" w:hAnsiTheme="majorHAnsi" w:cstheme="majorHAnsi"/>
              </w:rPr>
            </w:pPr>
            <w:r w:rsidRPr="004A357C">
              <w:rPr>
                <w:rFonts w:asciiTheme="majorHAnsi" w:hAnsiTheme="majorHAnsi" w:cstheme="majorHAnsi"/>
              </w:rPr>
              <w:t>06 – Specialist Orthopaedic</w:t>
            </w:r>
          </w:p>
        </w:tc>
        <w:tc>
          <w:tcPr>
            <w:tcW w:w="1009" w:type="dxa"/>
          </w:tcPr>
          <w:p w14:paraId="2802DD90" w14:textId="66DBCDED" w:rsidR="00EA7ED2" w:rsidRPr="004A357C" w:rsidRDefault="00EA7ED2" w:rsidP="00EA7ED2">
            <w:pPr>
              <w:pStyle w:val="TableNText"/>
              <w:spacing w:before="60" w:after="60" w:line="240" w:lineRule="auto"/>
            </w:pPr>
            <w:r w:rsidRPr="00DD19EC">
              <w:t>654</w:t>
            </w:r>
            <w:r>
              <w:t>,</w:t>
            </w:r>
            <w:r w:rsidRPr="00DD19EC">
              <w:t>345</w:t>
            </w:r>
          </w:p>
        </w:tc>
        <w:tc>
          <w:tcPr>
            <w:tcW w:w="1000" w:type="dxa"/>
          </w:tcPr>
          <w:p w14:paraId="10FA9A15" w14:textId="3A14E921" w:rsidR="00EA7ED2" w:rsidRPr="004A357C" w:rsidRDefault="00EA7ED2" w:rsidP="00EA7ED2">
            <w:pPr>
              <w:pStyle w:val="TableNText"/>
              <w:spacing w:before="60" w:after="60" w:line="240" w:lineRule="auto"/>
            </w:pPr>
            <w:r w:rsidRPr="00DD19EC">
              <w:t>2</w:t>
            </w:r>
            <w:r>
              <w:t>,</w:t>
            </w:r>
            <w:r w:rsidRPr="00DD19EC">
              <w:t>505</w:t>
            </w:r>
          </w:p>
        </w:tc>
        <w:tc>
          <w:tcPr>
            <w:tcW w:w="1004" w:type="dxa"/>
          </w:tcPr>
          <w:p w14:paraId="78F5D704" w14:textId="3B8A39C2" w:rsidR="00EA7ED2" w:rsidRPr="004A357C" w:rsidRDefault="00EA7ED2" w:rsidP="00EA7ED2">
            <w:pPr>
              <w:pStyle w:val="TableNText"/>
              <w:spacing w:before="60" w:after="60" w:line="240" w:lineRule="auto"/>
            </w:pPr>
            <w:r w:rsidRPr="00DD19EC">
              <w:t>0.38%</w:t>
            </w:r>
          </w:p>
        </w:tc>
        <w:tc>
          <w:tcPr>
            <w:tcW w:w="1011" w:type="dxa"/>
          </w:tcPr>
          <w:p w14:paraId="0A46A7EC" w14:textId="229FEB33" w:rsidR="00EA7ED2" w:rsidRPr="004A357C" w:rsidRDefault="00EA7ED2" w:rsidP="00EA7ED2">
            <w:pPr>
              <w:pStyle w:val="TableNText"/>
              <w:spacing w:before="60" w:after="60" w:line="240" w:lineRule="auto"/>
            </w:pPr>
            <w:r w:rsidRPr="00DD19EC">
              <w:t>679</w:t>
            </w:r>
            <w:r>
              <w:t>,</w:t>
            </w:r>
            <w:r w:rsidRPr="00DD19EC">
              <w:t>617</w:t>
            </w:r>
          </w:p>
        </w:tc>
        <w:tc>
          <w:tcPr>
            <w:tcW w:w="1002" w:type="dxa"/>
          </w:tcPr>
          <w:p w14:paraId="53A4B8C3" w14:textId="7B814F7B" w:rsidR="00EA7ED2" w:rsidRPr="004A357C" w:rsidRDefault="00EA7ED2" w:rsidP="00EA7ED2">
            <w:pPr>
              <w:pStyle w:val="TableNText"/>
              <w:spacing w:before="60" w:after="60" w:line="240" w:lineRule="auto"/>
            </w:pPr>
            <w:r w:rsidRPr="00DD19EC">
              <w:t>1</w:t>
            </w:r>
            <w:r>
              <w:t>,</w:t>
            </w:r>
            <w:r w:rsidRPr="00DD19EC">
              <w:t>346</w:t>
            </w:r>
          </w:p>
        </w:tc>
        <w:tc>
          <w:tcPr>
            <w:tcW w:w="1004" w:type="dxa"/>
          </w:tcPr>
          <w:p w14:paraId="7150FB3C" w14:textId="74EE917A" w:rsidR="00EA7ED2" w:rsidRPr="004A357C" w:rsidRDefault="00EA7ED2" w:rsidP="00EA7ED2">
            <w:pPr>
              <w:pStyle w:val="TableNText"/>
              <w:spacing w:before="60" w:after="60" w:line="240" w:lineRule="auto"/>
            </w:pPr>
            <w:r w:rsidRPr="00DD19EC">
              <w:t>0.20%</w:t>
            </w:r>
          </w:p>
        </w:tc>
        <w:tc>
          <w:tcPr>
            <w:tcW w:w="1006" w:type="dxa"/>
          </w:tcPr>
          <w:p w14:paraId="4AC32A4D" w14:textId="3765E00E" w:rsidR="00EA7ED2" w:rsidRPr="00EA7ED2" w:rsidRDefault="00EA7ED2" w:rsidP="00EA7ED2">
            <w:pPr>
              <w:pStyle w:val="TableNText"/>
              <w:spacing w:before="60" w:after="60" w:line="240" w:lineRule="auto"/>
              <w:rPr>
                <w:rFonts w:asciiTheme="majorHAnsi" w:hAnsiTheme="majorHAnsi" w:cstheme="majorHAnsi"/>
              </w:rPr>
            </w:pPr>
            <w:r w:rsidRPr="00EA7ED2">
              <w:rPr>
                <w:rFonts w:asciiTheme="majorHAnsi" w:hAnsiTheme="majorHAnsi" w:cstheme="majorHAnsi"/>
              </w:rPr>
              <w:t>-0.18%</w:t>
            </w:r>
          </w:p>
        </w:tc>
      </w:tr>
      <w:tr w:rsidR="00C33798" w:rsidRPr="004A357C" w14:paraId="230B0818" w14:textId="77777777" w:rsidTr="007D0601">
        <w:trPr>
          <w:cnfStyle w:val="000000010000" w:firstRow="0" w:lastRow="0" w:firstColumn="0" w:lastColumn="0" w:oddVBand="0" w:evenVBand="0" w:oddHBand="0" w:evenHBand="1" w:firstRowFirstColumn="0" w:firstRowLastColumn="0" w:lastRowFirstColumn="0" w:lastRowLastColumn="0"/>
        </w:trPr>
        <w:tc>
          <w:tcPr>
            <w:tcW w:w="2149" w:type="dxa"/>
          </w:tcPr>
          <w:p w14:paraId="3267DDAF" w14:textId="2EA53032" w:rsidR="00EA7ED2" w:rsidRPr="004A357C" w:rsidRDefault="00EA7ED2" w:rsidP="00EA7ED2">
            <w:pPr>
              <w:pStyle w:val="TableNText"/>
              <w:spacing w:before="60" w:after="60" w:line="240" w:lineRule="auto"/>
              <w:rPr>
                <w:rFonts w:asciiTheme="majorHAnsi" w:hAnsiTheme="majorHAnsi" w:cstheme="majorHAnsi"/>
              </w:rPr>
            </w:pPr>
            <w:r w:rsidRPr="004A357C">
              <w:rPr>
                <w:rFonts w:asciiTheme="majorHAnsi" w:hAnsiTheme="majorHAnsi" w:cstheme="majorHAnsi"/>
              </w:rPr>
              <w:t>07 – Plastic and Reconstructive</w:t>
            </w:r>
          </w:p>
        </w:tc>
        <w:tc>
          <w:tcPr>
            <w:tcW w:w="1009" w:type="dxa"/>
          </w:tcPr>
          <w:p w14:paraId="55B03F31" w14:textId="1977F523" w:rsidR="00EA7ED2" w:rsidRPr="004A357C" w:rsidRDefault="00EA7ED2" w:rsidP="00EA7ED2">
            <w:pPr>
              <w:pStyle w:val="TableNText"/>
              <w:spacing w:before="60" w:after="60" w:line="240" w:lineRule="auto"/>
            </w:pPr>
            <w:r w:rsidRPr="00DD19EC">
              <w:t>139</w:t>
            </w:r>
            <w:r>
              <w:t>,</w:t>
            </w:r>
            <w:r w:rsidRPr="00DD19EC">
              <w:t>605</w:t>
            </w:r>
          </w:p>
        </w:tc>
        <w:tc>
          <w:tcPr>
            <w:tcW w:w="1000" w:type="dxa"/>
          </w:tcPr>
          <w:p w14:paraId="6575129D" w14:textId="58C50F35" w:rsidR="00EA7ED2" w:rsidRPr="004A357C" w:rsidRDefault="00EA7ED2" w:rsidP="00EA7ED2">
            <w:pPr>
              <w:pStyle w:val="TableNText"/>
              <w:spacing w:before="60" w:after="60" w:line="240" w:lineRule="auto"/>
            </w:pPr>
            <w:r w:rsidRPr="00DD19EC">
              <w:t>550</w:t>
            </w:r>
          </w:p>
        </w:tc>
        <w:tc>
          <w:tcPr>
            <w:tcW w:w="1004" w:type="dxa"/>
          </w:tcPr>
          <w:p w14:paraId="57580CBE" w14:textId="673E53E1" w:rsidR="00EA7ED2" w:rsidRPr="004A357C" w:rsidRDefault="00EA7ED2" w:rsidP="00EA7ED2">
            <w:pPr>
              <w:pStyle w:val="TableNText"/>
              <w:spacing w:before="60" w:after="60" w:line="240" w:lineRule="auto"/>
            </w:pPr>
            <w:r w:rsidRPr="00DD19EC">
              <w:t>0.39%</w:t>
            </w:r>
          </w:p>
        </w:tc>
        <w:tc>
          <w:tcPr>
            <w:tcW w:w="1011" w:type="dxa"/>
          </w:tcPr>
          <w:p w14:paraId="67EDAA97" w14:textId="6C0EB760" w:rsidR="00EA7ED2" w:rsidRPr="004A357C" w:rsidRDefault="00EA7ED2" w:rsidP="00EA7ED2">
            <w:pPr>
              <w:pStyle w:val="TableNText"/>
              <w:spacing w:before="60" w:after="60" w:line="240" w:lineRule="auto"/>
            </w:pPr>
            <w:r w:rsidRPr="00DD19EC">
              <w:t>144</w:t>
            </w:r>
            <w:r>
              <w:t>,</w:t>
            </w:r>
            <w:r w:rsidRPr="00DD19EC">
              <w:t>054</w:t>
            </w:r>
          </w:p>
        </w:tc>
        <w:tc>
          <w:tcPr>
            <w:tcW w:w="1002" w:type="dxa"/>
          </w:tcPr>
          <w:p w14:paraId="23B64D55" w14:textId="46B702C0" w:rsidR="00EA7ED2" w:rsidRPr="004A357C" w:rsidRDefault="00EA7ED2" w:rsidP="00EA7ED2">
            <w:pPr>
              <w:pStyle w:val="TableNText"/>
              <w:spacing w:before="60" w:after="60" w:line="240" w:lineRule="auto"/>
            </w:pPr>
            <w:r w:rsidRPr="00DD19EC">
              <w:t>328</w:t>
            </w:r>
          </w:p>
        </w:tc>
        <w:tc>
          <w:tcPr>
            <w:tcW w:w="1004" w:type="dxa"/>
          </w:tcPr>
          <w:p w14:paraId="23C16DA1" w14:textId="46407073" w:rsidR="00EA7ED2" w:rsidRPr="004A357C" w:rsidRDefault="00EA7ED2" w:rsidP="00EA7ED2">
            <w:pPr>
              <w:pStyle w:val="TableNText"/>
              <w:spacing w:before="60" w:after="60" w:line="240" w:lineRule="auto"/>
            </w:pPr>
            <w:r w:rsidRPr="00DD19EC">
              <w:t>0.23%</w:t>
            </w:r>
          </w:p>
        </w:tc>
        <w:tc>
          <w:tcPr>
            <w:tcW w:w="1006" w:type="dxa"/>
          </w:tcPr>
          <w:p w14:paraId="4E97725C" w14:textId="39C8356E" w:rsidR="00EA7ED2" w:rsidRPr="00EA7ED2" w:rsidRDefault="00EA7ED2" w:rsidP="00EA7ED2">
            <w:pPr>
              <w:pStyle w:val="TableNText"/>
              <w:spacing w:before="60" w:after="60" w:line="240" w:lineRule="auto"/>
              <w:rPr>
                <w:rFonts w:asciiTheme="majorHAnsi" w:hAnsiTheme="majorHAnsi" w:cstheme="majorHAnsi"/>
              </w:rPr>
            </w:pPr>
            <w:r w:rsidRPr="00EA7ED2">
              <w:rPr>
                <w:rFonts w:asciiTheme="majorHAnsi" w:hAnsiTheme="majorHAnsi" w:cstheme="majorHAnsi"/>
              </w:rPr>
              <w:t>-0.17%</w:t>
            </w:r>
          </w:p>
        </w:tc>
      </w:tr>
      <w:tr w:rsidR="00C33798" w:rsidRPr="004A357C" w14:paraId="5C8BC6CA" w14:textId="77777777" w:rsidTr="007D0601">
        <w:trPr>
          <w:cnfStyle w:val="000000100000" w:firstRow="0" w:lastRow="0" w:firstColumn="0" w:lastColumn="0" w:oddVBand="0" w:evenVBand="0" w:oddHBand="1" w:evenHBand="0" w:firstRowFirstColumn="0" w:firstRowLastColumn="0" w:lastRowFirstColumn="0" w:lastRowLastColumn="0"/>
        </w:trPr>
        <w:tc>
          <w:tcPr>
            <w:tcW w:w="2149" w:type="dxa"/>
          </w:tcPr>
          <w:p w14:paraId="79423DEF" w14:textId="1236C4B6" w:rsidR="00EA7ED2" w:rsidRPr="004A357C" w:rsidRDefault="00EA7ED2" w:rsidP="00EA7ED2">
            <w:pPr>
              <w:pStyle w:val="TableNText"/>
              <w:spacing w:before="60" w:after="60" w:line="240" w:lineRule="auto"/>
              <w:rPr>
                <w:rFonts w:asciiTheme="majorHAnsi" w:hAnsiTheme="majorHAnsi" w:cstheme="majorHAnsi"/>
              </w:rPr>
            </w:pPr>
            <w:r w:rsidRPr="004A357C">
              <w:rPr>
                <w:rFonts w:asciiTheme="majorHAnsi" w:hAnsiTheme="majorHAnsi" w:cstheme="majorHAnsi"/>
              </w:rPr>
              <w:t>08 – Cardiac</w:t>
            </w:r>
          </w:p>
        </w:tc>
        <w:tc>
          <w:tcPr>
            <w:tcW w:w="1009" w:type="dxa"/>
          </w:tcPr>
          <w:p w14:paraId="7D4EE305" w14:textId="2A03F2BE" w:rsidR="00EA7ED2" w:rsidRPr="004A357C" w:rsidRDefault="00EA7ED2" w:rsidP="00EA7ED2">
            <w:pPr>
              <w:pStyle w:val="TableNText"/>
              <w:spacing w:before="60" w:after="60" w:line="240" w:lineRule="auto"/>
            </w:pPr>
            <w:r w:rsidRPr="00DD19EC">
              <w:t>77</w:t>
            </w:r>
            <w:r>
              <w:t>,</w:t>
            </w:r>
            <w:r w:rsidRPr="00DD19EC">
              <w:t>932</w:t>
            </w:r>
          </w:p>
        </w:tc>
        <w:tc>
          <w:tcPr>
            <w:tcW w:w="1000" w:type="dxa"/>
          </w:tcPr>
          <w:p w14:paraId="566837EB" w14:textId="090EC702" w:rsidR="00EA7ED2" w:rsidRPr="004A357C" w:rsidRDefault="00EA7ED2" w:rsidP="00EA7ED2">
            <w:pPr>
              <w:pStyle w:val="TableNText"/>
              <w:spacing w:before="60" w:after="60" w:line="240" w:lineRule="auto"/>
            </w:pPr>
            <w:r w:rsidRPr="00DD19EC">
              <w:t>824</w:t>
            </w:r>
          </w:p>
        </w:tc>
        <w:tc>
          <w:tcPr>
            <w:tcW w:w="1004" w:type="dxa"/>
          </w:tcPr>
          <w:p w14:paraId="77360B02" w14:textId="5CB76285" w:rsidR="00EA7ED2" w:rsidRPr="004A357C" w:rsidRDefault="00EA7ED2" w:rsidP="00EA7ED2">
            <w:pPr>
              <w:pStyle w:val="TableNText"/>
              <w:spacing w:before="60" w:after="60" w:line="240" w:lineRule="auto"/>
            </w:pPr>
            <w:r w:rsidRPr="00DD19EC">
              <w:t>1.06%</w:t>
            </w:r>
          </w:p>
        </w:tc>
        <w:tc>
          <w:tcPr>
            <w:tcW w:w="1011" w:type="dxa"/>
          </w:tcPr>
          <w:p w14:paraId="6F51475B" w14:textId="0B9DD264" w:rsidR="00EA7ED2" w:rsidRPr="004A357C" w:rsidRDefault="00EA7ED2" w:rsidP="00EA7ED2">
            <w:pPr>
              <w:pStyle w:val="TableNText"/>
              <w:spacing w:before="60" w:after="60" w:line="240" w:lineRule="auto"/>
            </w:pPr>
            <w:r w:rsidRPr="00DD19EC">
              <w:t>81</w:t>
            </w:r>
            <w:r>
              <w:t>,</w:t>
            </w:r>
            <w:r w:rsidRPr="00DD19EC">
              <w:t>282</w:t>
            </w:r>
          </w:p>
        </w:tc>
        <w:tc>
          <w:tcPr>
            <w:tcW w:w="1002" w:type="dxa"/>
          </w:tcPr>
          <w:p w14:paraId="1C2B632D" w14:textId="3E282DE1" w:rsidR="00EA7ED2" w:rsidRPr="004A357C" w:rsidRDefault="00EA7ED2" w:rsidP="00EA7ED2">
            <w:pPr>
              <w:pStyle w:val="TableNText"/>
              <w:spacing w:before="60" w:after="60" w:line="240" w:lineRule="auto"/>
            </w:pPr>
            <w:r w:rsidRPr="00DD19EC">
              <w:t>961</w:t>
            </w:r>
          </w:p>
        </w:tc>
        <w:tc>
          <w:tcPr>
            <w:tcW w:w="1004" w:type="dxa"/>
          </w:tcPr>
          <w:p w14:paraId="4788653A" w14:textId="6D2A2F04" w:rsidR="00EA7ED2" w:rsidRPr="004A357C" w:rsidRDefault="00EA7ED2" w:rsidP="00EA7ED2">
            <w:pPr>
              <w:pStyle w:val="TableNText"/>
              <w:spacing w:before="60" w:after="60" w:line="240" w:lineRule="auto"/>
            </w:pPr>
            <w:r w:rsidRPr="00DD19EC">
              <w:t>1.18%</w:t>
            </w:r>
          </w:p>
        </w:tc>
        <w:tc>
          <w:tcPr>
            <w:tcW w:w="1006" w:type="dxa"/>
          </w:tcPr>
          <w:p w14:paraId="56A03E88" w14:textId="5B688B33" w:rsidR="00EA7ED2" w:rsidRPr="00EA7ED2" w:rsidRDefault="00EA7ED2" w:rsidP="00EA7ED2">
            <w:pPr>
              <w:pStyle w:val="TableNText"/>
              <w:spacing w:before="60" w:after="60" w:line="240" w:lineRule="auto"/>
              <w:rPr>
                <w:rFonts w:asciiTheme="majorHAnsi" w:hAnsiTheme="majorHAnsi" w:cstheme="majorHAnsi"/>
              </w:rPr>
            </w:pPr>
            <w:r w:rsidRPr="00EA7ED2">
              <w:rPr>
                <w:rFonts w:asciiTheme="majorHAnsi" w:hAnsiTheme="majorHAnsi" w:cstheme="majorHAnsi"/>
              </w:rPr>
              <w:t>0.12%</w:t>
            </w:r>
          </w:p>
        </w:tc>
      </w:tr>
      <w:tr w:rsidR="00C33798" w:rsidRPr="004A357C" w14:paraId="35B46C10" w14:textId="77777777" w:rsidTr="007D0601">
        <w:trPr>
          <w:cnfStyle w:val="000000010000" w:firstRow="0" w:lastRow="0" w:firstColumn="0" w:lastColumn="0" w:oddVBand="0" w:evenVBand="0" w:oddHBand="0" w:evenHBand="1" w:firstRowFirstColumn="0" w:firstRowLastColumn="0" w:lastRowFirstColumn="0" w:lastRowLastColumn="0"/>
        </w:trPr>
        <w:tc>
          <w:tcPr>
            <w:tcW w:w="2149" w:type="dxa"/>
          </w:tcPr>
          <w:p w14:paraId="795615FC" w14:textId="5A2525B9" w:rsidR="00EA7ED2" w:rsidRPr="004A357C" w:rsidRDefault="00EA7ED2" w:rsidP="00EA7ED2">
            <w:pPr>
              <w:pStyle w:val="TableNText"/>
              <w:spacing w:before="60" w:after="60" w:line="240" w:lineRule="auto"/>
              <w:rPr>
                <w:rFonts w:asciiTheme="majorHAnsi" w:hAnsiTheme="majorHAnsi" w:cstheme="majorHAnsi"/>
              </w:rPr>
            </w:pPr>
            <w:r w:rsidRPr="004A357C">
              <w:rPr>
                <w:rFonts w:asciiTheme="majorHAnsi" w:hAnsiTheme="majorHAnsi" w:cstheme="majorHAnsi"/>
              </w:rPr>
              <w:t>09 – Cardiothoracic</w:t>
            </w:r>
          </w:p>
        </w:tc>
        <w:tc>
          <w:tcPr>
            <w:tcW w:w="1009" w:type="dxa"/>
          </w:tcPr>
          <w:p w14:paraId="7696663F" w14:textId="7484313F" w:rsidR="00EA7ED2" w:rsidRPr="004A357C" w:rsidRDefault="00EA7ED2" w:rsidP="00EA7ED2">
            <w:pPr>
              <w:pStyle w:val="TableNText"/>
              <w:spacing w:before="60" w:after="60" w:line="240" w:lineRule="auto"/>
            </w:pPr>
            <w:r w:rsidRPr="00DD19EC">
              <w:t>9</w:t>
            </w:r>
            <w:r>
              <w:t>,</w:t>
            </w:r>
            <w:r w:rsidRPr="00DD19EC">
              <w:t>098</w:t>
            </w:r>
          </w:p>
        </w:tc>
        <w:tc>
          <w:tcPr>
            <w:tcW w:w="1000" w:type="dxa"/>
          </w:tcPr>
          <w:p w14:paraId="02DD68EA" w14:textId="4A7D2A9F" w:rsidR="00EA7ED2" w:rsidRPr="004A357C" w:rsidRDefault="00EA7ED2" w:rsidP="00EA7ED2">
            <w:pPr>
              <w:pStyle w:val="TableNText"/>
              <w:spacing w:before="60" w:after="60" w:line="240" w:lineRule="auto"/>
            </w:pPr>
            <w:r w:rsidRPr="00DD19EC">
              <w:t>185</w:t>
            </w:r>
          </w:p>
        </w:tc>
        <w:tc>
          <w:tcPr>
            <w:tcW w:w="1004" w:type="dxa"/>
          </w:tcPr>
          <w:p w14:paraId="030E8D63" w14:textId="22B1E107" w:rsidR="00EA7ED2" w:rsidRPr="004A357C" w:rsidRDefault="00EA7ED2" w:rsidP="00EA7ED2">
            <w:pPr>
              <w:pStyle w:val="TableNText"/>
              <w:spacing w:before="60" w:after="60" w:line="240" w:lineRule="auto"/>
            </w:pPr>
            <w:r w:rsidRPr="00DD19EC">
              <w:t>2.03%</w:t>
            </w:r>
          </w:p>
        </w:tc>
        <w:tc>
          <w:tcPr>
            <w:tcW w:w="1011" w:type="dxa"/>
          </w:tcPr>
          <w:p w14:paraId="6052C12B" w14:textId="6927DC6D" w:rsidR="00EA7ED2" w:rsidRPr="004A357C" w:rsidRDefault="00EA7ED2" w:rsidP="00EA7ED2">
            <w:pPr>
              <w:pStyle w:val="TableNText"/>
              <w:spacing w:before="60" w:after="60" w:line="240" w:lineRule="auto"/>
            </w:pPr>
            <w:r w:rsidRPr="00DD19EC">
              <w:t>9827</w:t>
            </w:r>
          </w:p>
        </w:tc>
        <w:tc>
          <w:tcPr>
            <w:tcW w:w="1002" w:type="dxa"/>
          </w:tcPr>
          <w:p w14:paraId="61C973EB" w14:textId="6EDBE1A7" w:rsidR="00EA7ED2" w:rsidRPr="004A357C" w:rsidRDefault="00EA7ED2" w:rsidP="00EA7ED2">
            <w:pPr>
              <w:pStyle w:val="TableNText"/>
              <w:spacing w:before="60" w:after="60" w:line="240" w:lineRule="auto"/>
            </w:pPr>
            <w:r w:rsidRPr="00DD19EC">
              <w:t>258</w:t>
            </w:r>
          </w:p>
        </w:tc>
        <w:tc>
          <w:tcPr>
            <w:tcW w:w="1004" w:type="dxa"/>
          </w:tcPr>
          <w:p w14:paraId="0870E6C0" w14:textId="5BB17309" w:rsidR="00EA7ED2" w:rsidRPr="004A357C" w:rsidRDefault="00EA7ED2" w:rsidP="00EA7ED2">
            <w:pPr>
              <w:pStyle w:val="TableNText"/>
              <w:spacing w:before="60" w:after="60" w:line="240" w:lineRule="auto"/>
            </w:pPr>
            <w:r w:rsidRPr="00DD19EC">
              <w:t>2.63%</w:t>
            </w:r>
          </w:p>
        </w:tc>
        <w:tc>
          <w:tcPr>
            <w:tcW w:w="1006" w:type="dxa"/>
          </w:tcPr>
          <w:p w14:paraId="6E510833" w14:textId="5A9DD7F8" w:rsidR="00EA7ED2" w:rsidRPr="00EA7ED2" w:rsidRDefault="00EA7ED2" w:rsidP="00EA7ED2">
            <w:pPr>
              <w:pStyle w:val="TableNText"/>
              <w:spacing w:before="60" w:after="60" w:line="240" w:lineRule="auto"/>
              <w:rPr>
                <w:rFonts w:asciiTheme="majorHAnsi" w:hAnsiTheme="majorHAnsi" w:cstheme="majorHAnsi"/>
              </w:rPr>
            </w:pPr>
            <w:r w:rsidRPr="00EA7ED2">
              <w:rPr>
                <w:rFonts w:asciiTheme="majorHAnsi" w:hAnsiTheme="majorHAnsi" w:cstheme="majorHAnsi"/>
              </w:rPr>
              <w:t>0.59%</w:t>
            </w:r>
          </w:p>
        </w:tc>
      </w:tr>
      <w:tr w:rsidR="00C33798" w:rsidRPr="004A357C" w14:paraId="50A7E8D4" w14:textId="77777777" w:rsidTr="007D0601">
        <w:trPr>
          <w:cnfStyle w:val="000000100000" w:firstRow="0" w:lastRow="0" w:firstColumn="0" w:lastColumn="0" w:oddVBand="0" w:evenVBand="0" w:oddHBand="1" w:evenHBand="0" w:firstRowFirstColumn="0" w:firstRowLastColumn="0" w:lastRowFirstColumn="0" w:lastRowLastColumn="0"/>
        </w:trPr>
        <w:tc>
          <w:tcPr>
            <w:tcW w:w="2149" w:type="dxa"/>
          </w:tcPr>
          <w:p w14:paraId="65A26C11" w14:textId="5E251F78" w:rsidR="00EA7ED2" w:rsidRPr="004A357C" w:rsidRDefault="00EA7ED2" w:rsidP="00EA7ED2">
            <w:pPr>
              <w:pStyle w:val="TableNText"/>
              <w:spacing w:before="60" w:after="60" w:line="240" w:lineRule="auto"/>
              <w:rPr>
                <w:rFonts w:asciiTheme="majorHAnsi" w:hAnsiTheme="majorHAnsi" w:cstheme="majorHAnsi"/>
              </w:rPr>
            </w:pPr>
            <w:r w:rsidRPr="004A357C">
              <w:rPr>
                <w:rFonts w:asciiTheme="majorHAnsi" w:hAnsiTheme="majorHAnsi" w:cstheme="majorHAnsi"/>
              </w:rPr>
              <w:t>10 – Vascular</w:t>
            </w:r>
          </w:p>
        </w:tc>
        <w:tc>
          <w:tcPr>
            <w:tcW w:w="1009" w:type="dxa"/>
          </w:tcPr>
          <w:p w14:paraId="2318A23E" w14:textId="0E623002" w:rsidR="00EA7ED2" w:rsidRPr="004A357C" w:rsidRDefault="00EA7ED2" w:rsidP="00EA7ED2">
            <w:pPr>
              <w:pStyle w:val="TableNText"/>
              <w:spacing w:before="60" w:after="60" w:line="240" w:lineRule="auto"/>
            </w:pPr>
            <w:r w:rsidRPr="00DD19EC">
              <w:t>36</w:t>
            </w:r>
            <w:r>
              <w:t>,</w:t>
            </w:r>
            <w:r w:rsidRPr="00DD19EC">
              <w:t>389</w:t>
            </w:r>
          </w:p>
        </w:tc>
        <w:tc>
          <w:tcPr>
            <w:tcW w:w="1000" w:type="dxa"/>
          </w:tcPr>
          <w:p w14:paraId="0314E4BE" w14:textId="651F502F" w:rsidR="00EA7ED2" w:rsidRPr="004A357C" w:rsidRDefault="00EA7ED2" w:rsidP="00EA7ED2">
            <w:pPr>
              <w:pStyle w:val="TableNText"/>
              <w:spacing w:before="60" w:after="60" w:line="240" w:lineRule="auto"/>
            </w:pPr>
            <w:r w:rsidRPr="00DD19EC">
              <w:t>85</w:t>
            </w:r>
          </w:p>
        </w:tc>
        <w:tc>
          <w:tcPr>
            <w:tcW w:w="1004" w:type="dxa"/>
          </w:tcPr>
          <w:p w14:paraId="5397F3B0" w14:textId="1CAA7B5C" w:rsidR="00EA7ED2" w:rsidRPr="004A357C" w:rsidRDefault="00EA7ED2" w:rsidP="00EA7ED2">
            <w:pPr>
              <w:pStyle w:val="TableNText"/>
              <w:spacing w:before="60" w:after="60" w:line="240" w:lineRule="auto"/>
            </w:pPr>
            <w:r w:rsidRPr="00DD19EC">
              <w:t>0.23%</w:t>
            </w:r>
          </w:p>
        </w:tc>
        <w:tc>
          <w:tcPr>
            <w:tcW w:w="1011" w:type="dxa"/>
          </w:tcPr>
          <w:p w14:paraId="076C764B" w14:textId="409D0B30" w:rsidR="00EA7ED2" w:rsidRPr="004A357C" w:rsidRDefault="00EA7ED2" w:rsidP="00EA7ED2">
            <w:pPr>
              <w:pStyle w:val="TableNText"/>
              <w:spacing w:before="60" w:after="60" w:line="240" w:lineRule="auto"/>
            </w:pPr>
            <w:r w:rsidRPr="00DD19EC">
              <w:t>37</w:t>
            </w:r>
            <w:r>
              <w:t>,</w:t>
            </w:r>
            <w:r w:rsidRPr="00DD19EC">
              <w:t>223</w:t>
            </w:r>
          </w:p>
        </w:tc>
        <w:tc>
          <w:tcPr>
            <w:tcW w:w="1002" w:type="dxa"/>
          </w:tcPr>
          <w:p w14:paraId="6702CD12" w14:textId="2E1B6780" w:rsidR="00EA7ED2" w:rsidRPr="004A357C" w:rsidRDefault="00EA7ED2" w:rsidP="00EA7ED2">
            <w:pPr>
              <w:pStyle w:val="TableNText"/>
              <w:spacing w:before="60" w:after="60" w:line="240" w:lineRule="auto"/>
            </w:pPr>
            <w:r w:rsidRPr="00DD19EC">
              <w:t>47</w:t>
            </w:r>
          </w:p>
        </w:tc>
        <w:tc>
          <w:tcPr>
            <w:tcW w:w="1004" w:type="dxa"/>
          </w:tcPr>
          <w:p w14:paraId="718223B9" w14:textId="7B5106BE" w:rsidR="00EA7ED2" w:rsidRPr="004A357C" w:rsidRDefault="00EA7ED2" w:rsidP="00EA7ED2">
            <w:pPr>
              <w:pStyle w:val="TableNText"/>
              <w:spacing w:before="60" w:after="60" w:line="240" w:lineRule="auto"/>
            </w:pPr>
            <w:r w:rsidRPr="00DD19EC">
              <w:t>0.13%</w:t>
            </w:r>
          </w:p>
        </w:tc>
        <w:tc>
          <w:tcPr>
            <w:tcW w:w="1006" w:type="dxa"/>
          </w:tcPr>
          <w:p w14:paraId="28A15789" w14:textId="40C61B32" w:rsidR="00EA7ED2" w:rsidRPr="00EA7ED2" w:rsidRDefault="00EA7ED2" w:rsidP="00EA7ED2">
            <w:pPr>
              <w:pStyle w:val="TableNText"/>
              <w:spacing w:before="60" w:after="60" w:line="240" w:lineRule="auto"/>
              <w:rPr>
                <w:rFonts w:asciiTheme="majorHAnsi" w:hAnsiTheme="majorHAnsi" w:cstheme="majorHAnsi"/>
              </w:rPr>
            </w:pPr>
            <w:r w:rsidRPr="00EA7ED2">
              <w:rPr>
                <w:rFonts w:asciiTheme="majorHAnsi" w:hAnsiTheme="majorHAnsi" w:cstheme="majorHAnsi"/>
              </w:rPr>
              <w:t>-0.11%</w:t>
            </w:r>
          </w:p>
        </w:tc>
      </w:tr>
      <w:tr w:rsidR="00C33798" w:rsidRPr="004A357C" w14:paraId="5F2A6F56" w14:textId="77777777" w:rsidTr="007D0601">
        <w:trPr>
          <w:cnfStyle w:val="000000010000" w:firstRow="0" w:lastRow="0" w:firstColumn="0" w:lastColumn="0" w:oddVBand="0" w:evenVBand="0" w:oddHBand="0" w:evenHBand="1" w:firstRowFirstColumn="0" w:firstRowLastColumn="0" w:lastRowFirstColumn="0" w:lastRowLastColumn="0"/>
        </w:trPr>
        <w:tc>
          <w:tcPr>
            <w:tcW w:w="2149" w:type="dxa"/>
          </w:tcPr>
          <w:p w14:paraId="549BE07C" w14:textId="513522B2" w:rsidR="00EA7ED2" w:rsidRPr="004A357C" w:rsidRDefault="00EA7ED2" w:rsidP="00EA7ED2">
            <w:pPr>
              <w:pStyle w:val="TableNText"/>
              <w:spacing w:before="60" w:after="60" w:line="240" w:lineRule="auto"/>
              <w:rPr>
                <w:rFonts w:asciiTheme="majorHAnsi" w:hAnsiTheme="majorHAnsi" w:cstheme="majorHAnsi"/>
              </w:rPr>
            </w:pPr>
            <w:r w:rsidRPr="004A357C">
              <w:rPr>
                <w:rFonts w:asciiTheme="majorHAnsi" w:hAnsiTheme="majorHAnsi" w:cstheme="majorHAnsi"/>
              </w:rPr>
              <w:t>11 – Hip</w:t>
            </w:r>
          </w:p>
        </w:tc>
        <w:tc>
          <w:tcPr>
            <w:tcW w:w="1009" w:type="dxa"/>
          </w:tcPr>
          <w:p w14:paraId="7AFFDC38" w14:textId="67D8626A" w:rsidR="00EA7ED2" w:rsidRPr="004A357C" w:rsidRDefault="00EA7ED2" w:rsidP="00EA7ED2">
            <w:pPr>
              <w:pStyle w:val="TableNText"/>
              <w:spacing w:before="60" w:after="60" w:line="240" w:lineRule="auto"/>
            </w:pPr>
            <w:r w:rsidRPr="00DD19EC">
              <w:t>150</w:t>
            </w:r>
            <w:r>
              <w:t>,</w:t>
            </w:r>
            <w:r w:rsidRPr="00DD19EC">
              <w:t>559</w:t>
            </w:r>
          </w:p>
        </w:tc>
        <w:tc>
          <w:tcPr>
            <w:tcW w:w="1000" w:type="dxa"/>
          </w:tcPr>
          <w:p w14:paraId="44B0551E" w14:textId="587027CC" w:rsidR="00EA7ED2" w:rsidRPr="004A357C" w:rsidRDefault="00EA7ED2" w:rsidP="00EA7ED2">
            <w:pPr>
              <w:pStyle w:val="TableNText"/>
              <w:spacing w:before="60" w:after="60" w:line="240" w:lineRule="auto"/>
            </w:pPr>
            <w:r w:rsidRPr="00DD19EC">
              <w:t>296</w:t>
            </w:r>
          </w:p>
        </w:tc>
        <w:tc>
          <w:tcPr>
            <w:tcW w:w="1004" w:type="dxa"/>
          </w:tcPr>
          <w:p w14:paraId="3BBE34A5" w14:textId="45111327" w:rsidR="00EA7ED2" w:rsidRPr="004A357C" w:rsidRDefault="00EA7ED2" w:rsidP="00EA7ED2">
            <w:pPr>
              <w:pStyle w:val="TableNText"/>
              <w:spacing w:before="60" w:after="60" w:line="240" w:lineRule="auto"/>
            </w:pPr>
            <w:r w:rsidRPr="00DD19EC">
              <w:t>0.20%</w:t>
            </w:r>
          </w:p>
        </w:tc>
        <w:tc>
          <w:tcPr>
            <w:tcW w:w="1011" w:type="dxa"/>
          </w:tcPr>
          <w:p w14:paraId="0AF66221" w14:textId="63C30781" w:rsidR="00EA7ED2" w:rsidRPr="004A357C" w:rsidRDefault="00EA7ED2" w:rsidP="00EA7ED2">
            <w:pPr>
              <w:pStyle w:val="TableNText"/>
              <w:spacing w:before="60" w:after="60" w:line="240" w:lineRule="auto"/>
            </w:pPr>
            <w:r w:rsidRPr="00DD19EC">
              <w:t>154</w:t>
            </w:r>
            <w:r>
              <w:t>,</w:t>
            </w:r>
            <w:r w:rsidRPr="00DD19EC">
              <w:t>886</w:t>
            </w:r>
          </w:p>
        </w:tc>
        <w:tc>
          <w:tcPr>
            <w:tcW w:w="1002" w:type="dxa"/>
          </w:tcPr>
          <w:p w14:paraId="291F4AB4" w14:textId="57798FE7" w:rsidR="00EA7ED2" w:rsidRPr="004A357C" w:rsidRDefault="00EA7ED2" w:rsidP="00EA7ED2">
            <w:pPr>
              <w:pStyle w:val="TableNText"/>
              <w:spacing w:before="60" w:after="60" w:line="240" w:lineRule="auto"/>
            </w:pPr>
            <w:r w:rsidRPr="00DD19EC">
              <w:t>124</w:t>
            </w:r>
          </w:p>
        </w:tc>
        <w:tc>
          <w:tcPr>
            <w:tcW w:w="1004" w:type="dxa"/>
          </w:tcPr>
          <w:p w14:paraId="3081B681" w14:textId="241F3146" w:rsidR="00EA7ED2" w:rsidRPr="004A357C" w:rsidRDefault="00EA7ED2" w:rsidP="00EA7ED2">
            <w:pPr>
              <w:pStyle w:val="TableNText"/>
              <w:spacing w:before="60" w:after="60" w:line="240" w:lineRule="auto"/>
            </w:pPr>
            <w:r w:rsidRPr="00DD19EC">
              <w:t>0.08%</w:t>
            </w:r>
          </w:p>
        </w:tc>
        <w:tc>
          <w:tcPr>
            <w:tcW w:w="1006" w:type="dxa"/>
          </w:tcPr>
          <w:p w14:paraId="7B4347E7" w14:textId="57B3EFF3" w:rsidR="00EA7ED2" w:rsidRPr="00EA7ED2" w:rsidRDefault="00EA7ED2" w:rsidP="00EA7ED2">
            <w:pPr>
              <w:pStyle w:val="TableNText"/>
              <w:spacing w:before="60" w:after="60" w:line="240" w:lineRule="auto"/>
              <w:rPr>
                <w:rFonts w:asciiTheme="majorHAnsi" w:hAnsiTheme="majorHAnsi" w:cstheme="majorHAnsi"/>
              </w:rPr>
            </w:pPr>
            <w:r w:rsidRPr="00EA7ED2">
              <w:rPr>
                <w:rFonts w:asciiTheme="majorHAnsi" w:hAnsiTheme="majorHAnsi" w:cstheme="majorHAnsi"/>
              </w:rPr>
              <w:t>-0.12%</w:t>
            </w:r>
          </w:p>
        </w:tc>
      </w:tr>
      <w:tr w:rsidR="00C33798" w:rsidRPr="004A357C" w14:paraId="5DF9A82D" w14:textId="77777777" w:rsidTr="007D0601">
        <w:trPr>
          <w:cnfStyle w:val="000000100000" w:firstRow="0" w:lastRow="0" w:firstColumn="0" w:lastColumn="0" w:oddVBand="0" w:evenVBand="0" w:oddHBand="1" w:evenHBand="0" w:firstRowFirstColumn="0" w:firstRowLastColumn="0" w:lastRowFirstColumn="0" w:lastRowLastColumn="0"/>
        </w:trPr>
        <w:tc>
          <w:tcPr>
            <w:tcW w:w="2149" w:type="dxa"/>
          </w:tcPr>
          <w:p w14:paraId="79FE3159" w14:textId="7E80FA46" w:rsidR="00EA7ED2" w:rsidRPr="004A357C" w:rsidRDefault="00EA7ED2" w:rsidP="00EA7ED2">
            <w:pPr>
              <w:pStyle w:val="TableNText"/>
              <w:spacing w:before="60" w:after="60" w:line="240" w:lineRule="auto"/>
              <w:rPr>
                <w:rFonts w:asciiTheme="majorHAnsi" w:hAnsiTheme="majorHAnsi" w:cstheme="majorHAnsi"/>
              </w:rPr>
            </w:pPr>
            <w:r w:rsidRPr="004A357C">
              <w:rPr>
                <w:rFonts w:asciiTheme="majorHAnsi" w:hAnsiTheme="majorHAnsi" w:cstheme="majorHAnsi"/>
              </w:rPr>
              <w:t>12 – Knee</w:t>
            </w:r>
          </w:p>
        </w:tc>
        <w:tc>
          <w:tcPr>
            <w:tcW w:w="1009" w:type="dxa"/>
          </w:tcPr>
          <w:p w14:paraId="27B80DE2" w14:textId="7344645B" w:rsidR="00EA7ED2" w:rsidRPr="004A357C" w:rsidRDefault="00EA7ED2" w:rsidP="00EA7ED2">
            <w:pPr>
              <w:pStyle w:val="TableNText"/>
              <w:spacing w:before="60" w:after="60" w:line="240" w:lineRule="auto"/>
            </w:pPr>
            <w:r w:rsidRPr="00DD19EC">
              <w:t>182</w:t>
            </w:r>
            <w:r>
              <w:t>,</w:t>
            </w:r>
            <w:r w:rsidRPr="00DD19EC">
              <w:t>625</w:t>
            </w:r>
          </w:p>
        </w:tc>
        <w:tc>
          <w:tcPr>
            <w:tcW w:w="1000" w:type="dxa"/>
          </w:tcPr>
          <w:p w14:paraId="5AF955F7" w14:textId="41A0B5EF" w:rsidR="00EA7ED2" w:rsidRPr="004A357C" w:rsidRDefault="00EA7ED2" w:rsidP="00EA7ED2">
            <w:pPr>
              <w:pStyle w:val="TableNText"/>
              <w:spacing w:before="60" w:after="60" w:line="240" w:lineRule="auto"/>
            </w:pPr>
            <w:r w:rsidRPr="00DD19EC">
              <w:t>513</w:t>
            </w:r>
          </w:p>
        </w:tc>
        <w:tc>
          <w:tcPr>
            <w:tcW w:w="1004" w:type="dxa"/>
          </w:tcPr>
          <w:p w14:paraId="2A63CDC8" w14:textId="6BFEF484" w:rsidR="00EA7ED2" w:rsidRPr="004A357C" w:rsidRDefault="00EA7ED2" w:rsidP="00EA7ED2">
            <w:pPr>
              <w:pStyle w:val="TableNText"/>
              <w:spacing w:before="60" w:after="60" w:line="240" w:lineRule="auto"/>
            </w:pPr>
            <w:r w:rsidRPr="00DD19EC">
              <w:t>0.28%</w:t>
            </w:r>
          </w:p>
        </w:tc>
        <w:tc>
          <w:tcPr>
            <w:tcW w:w="1011" w:type="dxa"/>
          </w:tcPr>
          <w:p w14:paraId="51DA3E75" w14:textId="4C03BC40" w:rsidR="00EA7ED2" w:rsidRPr="004A357C" w:rsidRDefault="00EA7ED2" w:rsidP="00EA7ED2">
            <w:pPr>
              <w:pStyle w:val="TableNText"/>
              <w:spacing w:before="60" w:after="60" w:line="240" w:lineRule="auto"/>
            </w:pPr>
            <w:r w:rsidRPr="00DD19EC">
              <w:t>196</w:t>
            </w:r>
            <w:r>
              <w:t>,</w:t>
            </w:r>
            <w:r w:rsidRPr="00DD19EC">
              <w:t>533</w:t>
            </w:r>
          </w:p>
        </w:tc>
        <w:tc>
          <w:tcPr>
            <w:tcW w:w="1002" w:type="dxa"/>
          </w:tcPr>
          <w:p w14:paraId="3C9AEF50" w14:textId="542A8093" w:rsidR="00EA7ED2" w:rsidRPr="004A357C" w:rsidRDefault="00EA7ED2" w:rsidP="00EA7ED2">
            <w:pPr>
              <w:pStyle w:val="TableNText"/>
              <w:spacing w:before="60" w:after="60" w:line="240" w:lineRule="auto"/>
            </w:pPr>
            <w:r w:rsidRPr="00DD19EC">
              <w:t>170</w:t>
            </w:r>
          </w:p>
        </w:tc>
        <w:tc>
          <w:tcPr>
            <w:tcW w:w="1004" w:type="dxa"/>
          </w:tcPr>
          <w:p w14:paraId="1EDB9D9E" w14:textId="1C3C9FB8" w:rsidR="00EA7ED2" w:rsidRPr="004A357C" w:rsidRDefault="00EA7ED2" w:rsidP="00EA7ED2">
            <w:pPr>
              <w:pStyle w:val="TableNText"/>
              <w:spacing w:before="60" w:after="60" w:line="240" w:lineRule="auto"/>
            </w:pPr>
            <w:r w:rsidRPr="00DD19EC">
              <w:t>0.09%</w:t>
            </w:r>
          </w:p>
        </w:tc>
        <w:tc>
          <w:tcPr>
            <w:tcW w:w="1006" w:type="dxa"/>
          </w:tcPr>
          <w:p w14:paraId="6A3A69CC" w14:textId="05DD29A1" w:rsidR="00EA7ED2" w:rsidRPr="00EA7ED2" w:rsidRDefault="00EA7ED2" w:rsidP="00EA7ED2">
            <w:pPr>
              <w:pStyle w:val="TableNText"/>
              <w:spacing w:before="60" w:after="60" w:line="240" w:lineRule="auto"/>
              <w:rPr>
                <w:rFonts w:asciiTheme="majorHAnsi" w:hAnsiTheme="majorHAnsi" w:cstheme="majorHAnsi"/>
              </w:rPr>
            </w:pPr>
            <w:r w:rsidRPr="00EA7ED2">
              <w:rPr>
                <w:rFonts w:asciiTheme="majorHAnsi" w:hAnsiTheme="majorHAnsi" w:cstheme="majorHAnsi"/>
              </w:rPr>
              <w:t>-0.19%</w:t>
            </w:r>
          </w:p>
        </w:tc>
      </w:tr>
      <w:tr w:rsidR="00C33798" w:rsidRPr="004A357C" w14:paraId="3D85D613" w14:textId="77777777" w:rsidTr="007D0601">
        <w:trPr>
          <w:cnfStyle w:val="000000010000" w:firstRow="0" w:lastRow="0" w:firstColumn="0" w:lastColumn="0" w:oddVBand="0" w:evenVBand="0" w:oddHBand="0" w:evenHBand="1" w:firstRowFirstColumn="0" w:firstRowLastColumn="0" w:lastRowFirstColumn="0" w:lastRowLastColumn="0"/>
        </w:trPr>
        <w:tc>
          <w:tcPr>
            <w:tcW w:w="2149" w:type="dxa"/>
          </w:tcPr>
          <w:p w14:paraId="4DB5A3DC" w14:textId="350E5A0C" w:rsidR="00EA7ED2" w:rsidRPr="004A357C" w:rsidRDefault="00EA7ED2" w:rsidP="00EA7ED2">
            <w:pPr>
              <w:pStyle w:val="TableNText"/>
              <w:spacing w:before="60" w:after="60" w:line="240" w:lineRule="auto"/>
              <w:rPr>
                <w:rFonts w:asciiTheme="majorHAnsi" w:hAnsiTheme="majorHAnsi" w:cstheme="majorHAnsi"/>
              </w:rPr>
            </w:pPr>
            <w:r w:rsidRPr="004A357C">
              <w:rPr>
                <w:rFonts w:asciiTheme="majorHAnsi" w:hAnsiTheme="majorHAnsi" w:cstheme="majorHAnsi"/>
              </w:rPr>
              <w:t>13 – Spinal</w:t>
            </w:r>
          </w:p>
        </w:tc>
        <w:tc>
          <w:tcPr>
            <w:tcW w:w="1009" w:type="dxa"/>
          </w:tcPr>
          <w:p w14:paraId="4C5BFCC6" w14:textId="21CAEDD2" w:rsidR="00EA7ED2" w:rsidRPr="004A357C" w:rsidRDefault="00EA7ED2" w:rsidP="00EA7ED2">
            <w:pPr>
              <w:pStyle w:val="TableNText"/>
              <w:spacing w:before="60" w:after="60" w:line="240" w:lineRule="auto"/>
            </w:pPr>
            <w:r w:rsidRPr="00DD19EC">
              <w:t>138</w:t>
            </w:r>
            <w:r>
              <w:t>,</w:t>
            </w:r>
            <w:r w:rsidRPr="00DD19EC">
              <w:t>810</w:t>
            </w:r>
          </w:p>
        </w:tc>
        <w:tc>
          <w:tcPr>
            <w:tcW w:w="1000" w:type="dxa"/>
          </w:tcPr>
          <w:p w14:paraId="7FFD0733" w14:textId="3A7F9E40" w:rsidR="00EA7ED2" w:rsidRPr="004A357C" w:rsidRDefault="00EA7ED2" w:rsidP="00EA7ED2">
            <w:pPr>
              <w:pStyle w:val="TableNText"/>
              <w:spacing w:before="60" w:after="60" w:line="240" w:lineRule="auto"/>
            </w:pPr>
            <w:r w:rsidRPr="00DD19EC">
              <w:t>229</w:t>
            </w:r>
          </w:p>
        </w:tc>
        <w:tc>
          <w:tcPr>
            <w:tcW w:w="1004" w:type="dxa"/>
          </w:tcPr>
          <w:p w14:paraId="290A367A" w14:textId="4E2FA687" w:rsidR="00EA7ED2" w:rsidRPr="004A357C" w:rsidRDefault="00EA7ED2" w:rsidP="00EA7ED2">
            <w:pPr>
              <w:pStyle w:val="TableNText"/>
              <w:spacing w:before="60" w:after="60" w:line="240" w:lineRule="auto"/>
            </w:pPr>
            <w:r w:rsidRPr="00DD19EC">
              <w:t>0.16%</w:t>
            </w:r>
          </w:p>
        </w:tc>
        <w:tc>
          <w:tcPr>
            <w:tcW w:w="1011" w:type="dxa"/>
          </w:tcPr>
          <w:p w14:paraId="07D89F0B" w14:textId="4659BBAA" w:rsidR="00EA7ED2" w:rsidRPr="004A357C" w:rsidRDefault="00EA7ED2" w:rsidP="00EA7ED2">
            <w:pPr>
              <w:pStyle w:val="TableNText"/>
              <w:spacing w:before="60" w:after="60" w:line="240" w:lineRule="auto"/>
            </w:pPr>
            <w:r w:rsidRPr="00DD19EC">
              <w:t>142</w:t>
            </w:r>
            <w:r>
              <w:t>,</w:t>
            </w:r>
            <w:r w:rsidRPr="00DD19EC">
              <w:t>190</w:t>
            </w:r>
          </w:p>
        </w:tc>
        <w:tc>
          <w:tcPr>
            <w:tcW w:w="1002" w:type="dxa"/>
          </w:tcPr>
          <w:p w14:paraId="1C5A2FBB" w14:textId="367CD0BA" w:rsidR="00EA7ED2" w:rsidRPr="004A357C" w:rsidRDefault="00EA7ED2" w:rsidP="00EA7ED2">
            <w:pPr>
              <w:pStyle w:val="TableNText"/>
              <w:spacing w:before="60" w:after="60" w:line="240" w:lineRule="auto"/>
            </w:pPr>
            <w:r w:rsidRPr="00DD19EC">
              <w:t>384</w:t>
            </w:r>
          </w:p>
        </w:tc>
        <w:tc>
          <w:tcPr>
            <w:tcW w:w="1004" w:type="dxa"/>
          </w:tcPr>
          <w:p w14:paraId="4AE5DE64" w14:textId="1E32BDC1" w:rsidR="00EA7ED2" w:rsidRPr="004A357C" w:rsidRDefault="00EA7ED2" w:rsidP="00EA7ED2">
            <w:pPr>
              <w:pStyle w:val="TableNText"/>
              <w:spacing w:before="60" w:after="60" w:line="240" w:lineRule="auto"/>
            </w:pPr>
            <w:r w:rsidRPr="00DD19EC">
              <w:t>0.27%</w:t>
            </w:r>
          </w:p>
        </w:tc>
        <w:tc>
          <w:tcPr>
            <w:tcW w:w="1006" w:type="dxa"/>
          </w:tcPr>
          <w:p w14:paraId="6F918AC7" w14:textId="59016F13" w:rsidR="00EA7ED2" w:rsidRPr="00EA7ED2" w:rsidRDefault="00EA7ED2" w:rsidP="00EA7ED2">
            <w:pPr>
              <w:pStyle w:val="TableNText"/>
              <w:spacing w:before="60" w:after="60" w:line="240" w:lineRule="auto"/>
              <w:rPr>
                <w:rFonts w:asciiTheme="majorHAnsi" w:hAnsiTheme="majorHAnsi" w:cstheme="majorHAnsi"/>
              </w:rPr>
            </w:pPr>
            <w:r w:rsidRPr="00EA7ED2">
              <w:rPr>
                <w:rFonts w:asciiTheme="majorHAnsi" w:hAnsiTheme="majorHAnsi" w:cstheme="majorHAnsi"/>
              </w:rPr>
              <w:t>0.11%</w:t>
            </w:r>
          </w:p>
        </w:tc>
      </w:tr>
    </w:tbl>
    <w:p w14:paraId="24070C6E" w14:textId="77777777" w:rsidR="0024585F" w:rsidRPr="004A357C" w:rsidRDefault="0024585F" w:rsidP="0024585F"/>
    <w:p w14:paraId="703E4994" w14:textId="64EC1FDA" w:rsidR="000057EC" w:rsidRPr="004A357C" w:rsidRDefault="000057EC" w:rsidP="00861628">
      <w:pPr>
        <w:pStyle w:val="xAppendixLevel3"/>
      </w:pPr>
      <w:r w:rsidRPr="004A357C">
        <w:rPr>
          <w:color w:val="F25E21" w:themeColor="accent2"/>
        </w:rPr>
        <w:t xml:space="preserve">Measure 3.2: </w:t>
      </w:r>
      <w:r w:rsidR="0024585F" w:rsidRPr="004A357C">
        <w:t>Average</w:t>
      </w:r>
      <w:r w:rsidRPr="004A357C">
        <w:t xml:space="preserve"> gap payment for PL</w:t>
      </w:r>
      <w:r w:rsidR="0024585F" w:rsidRPr="004A357C">
        <w:t>-listed</w:t>
      </w:r>
      <w:r w:rsidRPr="004A357C">
        <w:t xml:space="preserve"> items</w:t>
      </w:r>
    </w:p>
    <w:p w14:paraId="12B2CBBA" w14:textId="3BF47337" w:rsidR="000057EC" w:rsidRPr="004A357C" w:rsidRDefault="0024585F" w:rsidP="00B50EE7">
      <w:pPr>
        <w:pStyle w:val="Caption"/>
      </w:pPr>
      <w:bookmarkStart w:id="118" w:name="_Ref202360874"/>
      <w:r w:rsidRPr="004A357C">
        <w:t xml:space="preserve">Table </w:t>
      </w:r>
      <w:r w:rsidR="002604D0">
        <w:fldChar w:fldCharType="begin"/>
      </w:r>
      <w:r w:rsidR="002604D0">
        <w:instrText xml:space="preserve"> SEQ Table \* ARABIC </w:instrText>
      </w:r>
      <w:r w:rsidR="002604D0">
        <w:fldChar w:fldCharType="separate"/>
      </w:r>
      <w:r w:rsidR="0092693A">
        <w:rPr>
          <w:noProof/>
        </w:rPr>
        <w:t>14</w:t>
      </w:r>
      <w:r w:rsidR="002604D0">
        <w:fldChar w:fldCharType="end"/>
      </w:r>
      <w:bookmarkEnd w:id="118"/>
      <w:r w:rsidRPr="004A357C">
        <w:t xml:space="preserve"> | Value of gap in Part A categories</w:t>
      </w:r>
      <w:r w:rsidR="00AD7A96" w:rsidRPr="004A357C">
        <w:rPr>
          <w:rStyle w:val="FootnoteReference"/>
        </w:rPr>
        <w:footnoteReference w:id="153"/>
      </w:r>
    </w:p>
    <w:tbl>
      <w:tblPr>
        <w:tblStyle w:val="NOUSSideHeader1"/>
        <w:tblW w:w="5000" w:type="pct"/>
        <w:tblLook w:val="04A0" w:firstRow="1" w:lastRow="0" w:firstColumn="1" w:lastColumn="0" w:noHBand="0" w:noVBand="1"/>
      </w:tblPr>
      <w:tblGrid>
        <w:gridCol w:w="2148"/>
        <w:gridCol w:w="1006"/>
        <w:gridCol w:w="1005"/>
        <w:gridCol w:w="1006"/>
        <w:gridCol w:w="1006"/>
        <w:gridCol w:w="1002"/>
        <w:gridCol w:w="1006"/>
        <w:gridCol w:w="1006"/>
      </w:tblGrid>
      <w:tr w:rsidR="000106F0" w:rsidRPr="00A57904" w14:paraId="7F7597CB" w14:textId="77777777" w:rsidTr="0045505D">
        <w:trPr>
          <w:cnfStyle w:val="100000000000" w:firstRow="1" w:lastRow="0" w:firstColumn="0" w:lastColumn="0" w:oddVBand="0" w:evenVBand="0" w:oddHBand="0" w:evenHBand="0" w:firstRowFirstColumn="0" w:firstRowLastColumn="0" w:lastRowFirstColumn="0" w:lastRowLastColumn="0"/>
        </w:trPr>
        <w:tc>
          <w:tcPr>
            <w:tcW w:w="2148" w:type="dxa"/>
          </w:tcPr>
          <w:p w14:paraId="446E86D8" w14:textId="77777777" w:rsidR="000106F0" w:rsidRPr="00A57904" w:rsidRDefault="000106F0" w:rsidP="0045505D">
            <w:pPr>
              <w:pStyle w:val="TableNheader"/>
              <w:spacing w:before="60" w:after="60" w:line="240" w:lineRule="auto"/>
              <w:rPr>
                <w:szCs w:val="18"/>
              </w:rPr>
            </w:pPr>
          </w:p>
        </w:tc>
        <w:tc>
          <w:tcPr>
            <w:tcW w:w="1006" w:type="dxa"/>
            <w:tcBorders>
              <w:right w:val="single" w:sz="8" w:space="0" w:color="E6E6E1" w:themeColor="accent5"/>
            </w:tcBorders>
          </w:tcPr>
          <w:p w14:paraId="5F37EE8C" w14:textId="77777777" w:rsidR="000106F0" w:rsidRPr="000B07F4" w:rsidRDefault="000106F0" w:rsidP="0045505D">
            <w:pPr>
              <w:pStyle w:val="TableNheader"/>
              <w:spacing w:before="60" w:after="60" w:line="240" w:lineRule="auto"/>
              <w:rPr>
                <w:szCs w:val="18"/>
              </w:rPr>
            </w:pPr>
            <w:r w:rsidRPr="000B07F4">
              <w:rPr>
                <w:szCs w:val="18"/>
              </w:rPr>
              <w:t>FY23</w:t>
            </w:r>
          </w:p>
        </w:tc>
        <w:tc>
          <w:tcPr>
            <w:tcW w:w="1005" w:type="dxa"/>
            <w:tcBorders>
              <w:left w:val="single" w:sz="8" w:space="0" w:color="E6E6E1" w:themeColor="accent5"/>
              <w:right w:val="single" w:sz="8" w:space="0" w:color="E6E6E1" w:themeColor="accent5"/>
            </w:tcBorders>
          </w:tcPr>
          <w:p w14:paraId="7FC76824" w14:textId="77777777" w:rsidR="000106F0" w:rsidRPr="00A57904" w:rsidRDefault="000106F0" w:rsidP="0045505D">
            <w:pPr>
              <w:pStyle w:val="TableNheader"/>
              <w:spacing w:before="60" w:after="60" w:line="240" w:lineRule="auto"/>
              <w:rPr>
                <w:sz w:val="15"/>
                <w:szCs w:val="15"/>
              </w:rPr>
            </w:pPr>
          </w:p>
        </w:tc>
        <w:tc>
          <w:tcPr>
            <w:tcW w:w="1006" w:type="dxa"/>
            <w:tcBorders>
              <w:left w:val="single" w:sz="8" w:space="0" w:color="E6E6E1" w:themeColor="accent5"/>
            </w:tcBorders>
          </w:tcPr>
          <w:p w14:paraId="1FF333E0" w14:textId="77777777" w:rsidR="000106F0" w:rsidRPr="00A57904" w:rsidRDefault="000106F0" w:rsidP="0045505D">
            <w:pPr>
              <w:pStyle w:val="TableNheader"/>
              <w:spacing w:before="60" w:after="60" w:line="240" w:lineRule="auto"/>
              <w:rPr>
                <w:sz w:val="15"/>
                <w:szCs w:val="15"/>
              </w:rPr>
            </w:pPr>
          </w:p>
        </w:tc>
        <w:tc>
          <w:tcPr>
            <w:tcW w:w="1006" w:type="dxa"/>
            <w:tcBorders>
              <w:right w:val="single" w:sz="8" w:space="0" w:color="E6E6E1" w:themeColor="accent5"/>
            </w:tcBorders>
          </w:tcPr>
          <w:p w14:paraId="5019E986" w14:textId="77777777" w:rsidR="000106F0" w:rsidRPr="00A57904" w:rsidRDefault="000106F0" w:rsidP="0045505D">
            <w:pPr>
              <w:pStyle w:val="TableNheader"/>
              <w:spacing w:before="60" w:after="60" w:line="240" w:lineRule="auto"/>
              <w:rPr>
                <w:sz w:val="15"/>
                <w:szCs w:val="15"/>
              </w:rPr>
            </w:pPr>
            <w:r w:rsidRPr="000B07F4">
              <w:rPr>
                <w:szCs w:val="18"/>
              </w:rPr>
              <w:t>FY2</w:t>
            </w:r>
            <w:r>
              <w:rPr>
                <w:szCs w:val="18"/>
              </w:rPr>
              <w:t>4</w:t>
            </w:r>
          </w:p>
        </w:tc>
        <w:tc>
          <w:tcPr>
            <w:tcW w:w="1002" w:type="dxa"/>
            <w:tcBorders>
              <w:left w:val="single" w:sz="8" w:space="0" w:color="E6E6E1" w:themeColor="accent5"/>
              <w:right w:val="single" w:sz="8" w:space="0" w:color="E6E6E1" w:themeColor="accent5"/>
            </w:tcBorders>
          </w:tcPr>
          <w:p w14:paraId="0D2088A8" w14:textId="77777777" w:rsidR="000106F0" w:rsidRPr="00A57904" w:rsidRDefault="000106F0" w:rsidP="0045505D">
            <w:pPr>
              <w:pStyle w:val="TableNheader"/>
              <w:spacing w:before="60" w:after="60" w:line="240" w:lineRule="auto"/>
              <w:rPr>
                <w:sz w:val="15"/>
                <w:szCs w:val="15"/>
              </w:rPr>
            </w:pPr>
          </w:p>
        </w:tc>
        <w:tc>
          <w:tcPr>
            <w:tcW w:w="1006" w:type="dxa"/>
            <w:tcBorders>
              <w:left w:val="single" w:sz="8" w:space="0" w:color="E6E6E1" w:themeColor="accent5"/>
              <w:right w:val="single" w:sz="8" w:space="0" w:color="E6E6E1" w:themeColor="accent5"/>
            </w:tcBorders>
          </w:tcPr>
          <w:p w14:paraId="342759BE" w14:textId="77777777" w:rsidR="000106F0" w:rsidRPr="00A57904" w:rsidRDefault="000106F0" w:rsidP="0045505D">
            <w:pPr>
              <w:pStyle w:val="TableNheader"/>
              <w:spacing w:before="60" w:after="60" w:line="240" w:lineRule="auto"/>
              <w:rPr>
                <w:sz w:val="15"/>
                <w:szCs w:val="15"/>
              </w:rPr>
            </w:pPr>
          </w:p>
        </w:tc>
        <w:tc>
          <w:tcPr>
            <w:tcW w:w="1006" w:type="dxa"/>
            <w:tcBorders>
              <w:left w:val="single" w:sz="8" w:space="0" w:color="E6E6E1" w:themeColor="accent5"/>
            </w:tcBorders>
          </w:tcPr>
          <w:p w14:paraId="64AA9727" w14:textId="77777777" w:rsidR="000106F0" w:rsidRPr="00A57904" w:rsidRDefault="000106F0" w:rsidP="0045505D">
            <w:pPr>
              <w:pStyle w:val="TableNheader"/>
              <w:spacing w:before="60" w:after="60" w:line="240" w:lineRule="auto"/>
              <w:rPr>
                <w:sz w:val="15"/>
                <w:szCs w:val="15"/>
              </w:rPr>
            </w:pPr>
          </w:p>
        </w:tc>
      </w:tr>
      <w:tr w:rsidR="000106F0" w:rsidRPr="00A57904" w14:paraId="4B6242C5" w14:textId="77777777" w:rsidTr="0045505D">
        <w:trPr>
          <w:cnfStyle w:val="000000100000" w:firstRow="0" w:lastRow="0" w:firstColumn="0" w:lastColumn="0" w:oddVBand="0" w:evenVBand="0" w:oddHBand="1" w:evenHBand="0" w:firstRowFirstColumn="0" w:firstRowLastColumn="0" w:lastRowFirstColumn="0" w:lastRowLastColumn="0"/>
        </w:trPr>
        <w:tc>
          <w:tcPr>
            <w:tcW w:w="2148" w:type="dxa"/>
            <w:tcBorders>
              <w:right w:val="single" w:sz="8" w:space="0" w:color="FFFFFF" w:themeColor="background1"/>
            </w:tcBorders>
            <w:shd w:val="clear" w:color="auto" w:fill="E6E6E1" w:themeFill="accent5"/>
          </w:tcPr>
          <w:p w14:paraId="5D4D44C6" w14:textId="77777777" w:rsidR="000106F0" w:rsidRPr="00A57904" w:rsidRDefault="000106F0" w:rsidP="0045505D">
            <w:pPr>
              <w:pStyle w:val="TableNheader"/>
              <w:spacing w:before="60" w:after="60" w:line="240" w:lineRule="auto"/>
              <w:rPr>
                <w:sz w:val="17"/>
                <w:szCs w:val="17"/>
              </w:rPr>
            </w:pPr>
            <w:r w:rsidRPr="00A57904">
              <w:rPr>
                <w:szCs w:val="18"/>
              </w:rPr>
              <w:t>Categories</w:t>
            </w:r>
          </w:p>
        </w:tc>
        <w:tc>
          <w:tcPr>
            <w:tcW w:w="1006" w:type="dxa"/>
            <w:tcBorders>
              <w:left w:val="single" w:sz="8" w:space="0" w:color="FFFFFF" w:themeColor="background1"/>
              <w:right w:val="single" w:sz="8" w:space="0" w:color="FFFFFF" w:themeColor="background1"/>
            </w:tcBorders>
            <w:shd w:val="clear" w:color="auto" w:fill="E6E6E1" w:themeFill="accent5"/>
          </w:tcPr>
          <w:p w14:paraId="78544DD9" w14:textId="77777777" w:rsidR="000106F0" w:rsidRPr="00A57904" w:rsidRDefault="000106F0" w:rsidP="0045505D">
            <w:pPr>
              <w:pStyle w:val="TableNheader"/>
              <w:spacing w:before="60" w:after="60" w:line="240" w:lineRule="auto"/>
              <w:rPr>
                <w:sz w:val="15"/>
                <w:szCs w:val="15"/>
              </w:rPr>
            </w:pPr>
            <w:r w:rsidRPr="00A57904">
              <w:rPr>
                <w:sz w:val="15"/>
                <w:szCs w:val="15"/>
              </w:rPr>
              <w:t>Avg benefit</w:t>
            </w:r>
          </w:p>
        </w:tc>
        <w:tc>
          <w:tcPr>
            <w:tcW w:w="1005" w:type="dxa"/>
            <w:tcBorders>
              <w:left w:val="single" w:sz="8" w:space="0" w:color="FFFFFF" w:themeColor="background1"/>
              <w:right w:val="single" w:sz="8" w:space="0" w:color="FFFFFF" w:themeColor="background1"/>
            </w:tcBorders>
            <w:shd w:val="clear" w:color="auto" w:fill="E6E6E1" w:themeFill="accent5"/>
          </w:tcPr>
          <w:p w14:paraId="553B6994" w14:textId="77777777" w:rsidR="000106F0" w:rsidRPr="00A57904" w:rsidRDefault="000106F0" w:rsidP="0045505D">
            <w:pPr>
              <w:pStyle w:val="TableNheader"/>
              <w:spacing w:before="60" w:after="60" w:line="240" w:lineRule="auto"/>
              <w:rPr>
                <w:sz w:val="15"/>
                <w:szCs w:val="15"/>
              </w:rPr>
            </w:pPr>
            <w:r w:rsidRPr="00A57904">
              <w:rPr>
                <w:sz w:val="15"/>
                <w:szCs w:val="15"/>
              </w:rPr>
              <w:t>Avg gap where gap was paid</w:t>
            </w:r>
          </w:p>
        </w:tc>
        <w:tc>
          <w:tcPr>
            <w:tcW w:w="1006" w:type="dxa"/>
            <w:tcBorders>
              <w:left w:val="single" w:sz="8" w:space="0" w:color="FFFFFF" w:themeColor="background1"/>
              <w:right w:val="single" w:sz="8" w:space="0" w:color="FFFFFF" w:themeColor="background1"/>
            </w:tcBorders>
            <w:shd w:val="clear" w:color="auto" w:fill="E6E6E1" w:themeFill="accent5"/>
          </w:tcPr>
          <w:p w14:paraId="634E3465" w14:textId="77777777" w:rsidR="000106F0" w:rsidRPr="00A57904" w:rsidRDefault="000106F0" w:rsidP="0045505D">
            <w:pPr>
              <w:pStyle w:val="TableNheader"/>
              <w:spacing w:before="60" w:after="60" w:line="240" w:lineRule="auto"/>
              <w:rPr>
                <w:sz w:val="15"/>
                <w:szCs w:val="15"/>
              </w:rPr>
            </w:pPr>
            <w:r w:rsidRPr="00A57904">
              <w:rPr>
                <w:sz w:val="15"/>
                <w:szCs w:val="15"/>
              </w:rPr>
              <w:t>Avg gap relative to avg benefit</w:t>
            </w:r>
          </w:p>
        </w:tc>
        <w:tc>
          <w:tcPr>
            <w:tcW w:w="1006" w:type="dxa"/>
            <w:tcBorders>
              <w:left w:val="single" w:sz="8" w:space="0" w:color="FFFFFF" w:themeColor="background1"/>
              <w:right w:val="single" w:sz="8" w:space="0" w:color="FFFFFF" w:themeColor="background1"/>
            </w:tcBorders>
            <w:shd w:val="clear" w:color="auto" w:fill="E6E6E1" w:themeFill="accent5"/>
          </w:tcPr>
          <w:p w14:paraId="4A3CFA88" w14:textId="77777777" w:rsidR="000106F0" w:rsidRPr="00A57904" w:rsidRDefault="000106F0" w:rsidP="0045505D">
            <w:pPr>
              <w:pStyle w:val="TableNheader"/>
              <w:spacing w:before="60" w:after="60" w:line="240" w:lineRule="auto"/>
              <w:rPr>
                <w:sz w:val="15"/>
                <w:szCs w:val="15"/>
              </w:rPr>
            </w:pPr>
            <w:r w:rsidRPr="00A57904">
              <w:rPr>
                <w:sz w:val="15"/>
                <w:szCs w:val="15"/>
              </w:rPr>
              <w:t>Avg benefit</w:t>
            </w:r>
          </w:p>
        </w:tc>
        <w:tc>
          <w:tcPr>
            <w:tcW w:w="1002" w:type="dxa"/>
            <w:tcBorders>
              <w:left w:val="single" w:sz="8" w:space="0" w:color="FFFFFF" w:themeColor="background1"/>
              <w:right w:val="single" w:sz="8" w:space="0" w:color="FFFFFF" w:themeColor="background1"/>
            </w:tcBorders>
            <w:shd w:val="clear" w:color="auto" w:fill="E6E6E1" w:themeFill="accent5"/>
          </w:tcPr>
          <w:p w14:paraId="20640634" w14:textId="77777777" w:rsidR="000106F0" w:rsidRPr="00A57904" w:rsidRDefault="000106F0" w:rsidP="0045505D">
            <w:pPr>
              <w:pStyle w:val="TableNheader"/>
              <w:spacing w:before="60" w:after="60" w:line="240" w:lineRule="auto"/>
              <w:rPr>
                <w:sz w:val="15"/>
                <w:szCs w:val="15"/>
              </w:rPr>
            </w:pPr>
            <w:r w:rsidRPr="00A57904">
              <w:rPr>
                <w:sz w:val="15"/>
                <w:szCs w:val="15"/>
              </w:rPr>
              <w:t>Avg gap where gap was paid</w:t>
            </w:r>
          </w:p>
        </w:tc>
        <w:tc>
          <w:tcPr>
            <w:tcW w:w="1006" w:type="dxa"/>
            <w:tcBorders>
              <w:left w:val="single" w:sz="8" w:space="0" w:color="FFFFFF" w:themeColor="background1"/>
              <w:right w:val="single" w:sz="8" w:space="0" w:color="FFFFFF" w:themeColor="background1"/>
            </w:tcBorders>
            <w:shd w:val="clear" w:color="auto" w:fill="E6E6E1" w:themeFill="accent5"/>
          </w:tcPr>
          <w:p w14:paraId="384EC7B7" w14:textId="77777777" w:rsidR="000106F0" w:rsidRPr="00A57904" w:rsidRDefault="000106F0" w:rsidP="0045505D">
            <w:pPr>
              <w:pStyle w:val="TableNheader"/>
              <w:spacing w:before="60" w:after="60" w:line="240" w:lineRule="auto"/>
              <w:rPr>
                <w:sz w:val="15"/>
                <w:szCs w:val="15"/>
              </w:rPr>
            </w:pPr>
            <w:r w:rsidRPr="00A57904">
              <w:rPr>
                <w:sz w:val="15"/>
                <w:szCs w:val="15"/>
              </w:rPr>
              <w:t>Avg gap relative to avg benefit</w:t>
            </w:r>
          </w:p>
        </w:tc>
        <w:tc>
          <w:tcPr>
            <w:tcW w:w="1006" w:type="dxa"/>
            <w:tcBorders>
              <w:left w:val="single" w:sz="8" w:space="0" w:color="FFFFFF" w:themeColor="background1"/>
            </w:tcBorders>
            <w:shd w:val="clear" w:color="auto" w:fill="E6E6E1" w:themeFill="accent5"/>
          </w:tcPr>
          <w:p w14:paraId="4150949E" w14:textId="77777777" w:rsidR="000106F0" w:rsidRPr="00A57904" w:rsidRDefault="000106F0" w:rsidP="0045505D">
            <w:pPr>
              <w:pStyle w:val="TableNheader"/>
              <w:spacing w:before="60" w:after="60" w:line="240" w:lineRule="auto"/>
              <w:rPr>
                <w:sz w:val="15"/>
                <w:szCs w:val="15"/>
              </w:rPr>
            </w:pPr>
            <w:r w:rsidRPr="00A57904">
              <w:rPr>
                <w:sz w:val="15"/>
                <w:szCs w:val="15"/>
              </w:rPr>
              <w:t>Change in avg gap to avg benefit</w:t>
            </w:r>
          </w:p>
        </w:tc>
      </w:tr>
      <w:tr w:rsidR="000106F0" w:rsidRPr="004A357C" w14:paraId="47958009" w14:textId="77777777" w:rsidTr="0045505D">
        <w:trPr>
          <w:cnfStyle w:val="000000010000" w:firstRow="0" w:lastRow="0" w:firstColumn="0" w:lastColumn="0" w:oddVBand="0" w:evenVBand="0" w:oddHBand="0" w:evenHBand="1" w:firstRowFirstColumn="0" w:firstRowLastColumn="0" w:lastRowFirstColumn="0" w:lastRowLastColumn="0"/>
        </w:trPr>
        <w:tc>
          <w:tcPr>
            <w:tcW w:w="2148" w:type="dxa"/>
          </w:tcPr>
          <w:p w14:paraId="13A86373" w14:textId="77777777" w:rsidR="000106F0" w:rsidRPr="004A357C" w:rsidRDefault="000106F0" w:rsidP="0045505D">
            <w:pPr>
              <w:pStyle w:val="TableNText"/>
              <w:spacing w:before="60" w:after="60" w:line="240" w:lineRule="auto"/>
              <w:rPr>
                <w:rFonts w:asciiTheme="majorHAnsi" w:hAnsiTheme="majorHAnsi" w:cstheme="majorHAnsi"/>
                <w:b/>
              </w:rPr>
            </w:pPr>
            <w:r w:rsidRPr="004A357C">
              <w:rPr>
                <w:rFonts w:asciiTheme="majorHAnsi" w:hAnsiTheme="majorHAnsi" w:cstheme="majorHAnsi"/>
              </w:rPr>
              <w:t>01 – Ophthalmic</w:t>
            </w:r>
          </w:p>
        </w:tc>
        <w:tc>
          <w:tcPr>
            <w:tcW w:w="1006" w:type="dxa"/>
          </w:tcPr>
          <w:p w14:paraId="3DFBEB20" w14:textId="77777777" w:rsidR="000106F0" w:rsidRPr="004A357C" w:rsidRDefault="000106F0" w:rsidP="0045505D">
            <w:pPr>
              <w:pStyle w:val="TableNText"/>
              <w:spacing w:before="60" w:after="60" w:line="240" w:lineRule="auto"/>
              <w:rPr>
                <w:b/>
              </w:rPr>
            </w:pPr>
            <w:r w:rsidRPr="004A357C">
              <w:t>$290</w:t>
            </w:r>
          </w:p>
        </w:tc>
        <w:tc>
          <w:tcPr>
            <w:tcW w:w="1005" w:type="dxa"/>
          </w:tcPr>
          <w:p w14:paraId="0477F4E2" w14:textId="77777777" w:rsidR="000106F0" w:rsidRPr="004A357C" w:rsidRDefault="000106F0" w:rsidP="0045505D">
            <w:pPr>
              <w:pStyle w:val="TableNText"/>
              <w:spacing w:before="60" w:after="60" w:line="240" w:lineRule="auto"/>
              <w:rPr>
                <w:b/>
              </w:rPr>
            </w:pPr>
            <w:r w:rsidRPr="004A357C">
              <w:t>$40</w:t>
            </w:r>
          </w:p>
        </w:tc>
        <w:tc>
          <w:tcPr>
            <w:tcW w:w="1006" w:type="dxa"/>
          </w:tcPr>
          <w:p w14:paraId="08FA35CE" w14:textId="77777777" w:rsidR="000106F0" w:rsidRPr="004A357C" w:rsidRDefault="000106F0" w:rsidP="0045505D">
            <w:pPr>
              <w:pStyle w:val="TableNText"/>
              <w:spacing w:before="60" w:after="60" w:line="240" w:lineRule="auto"/>
              <w:rPr>
                <w:b/>
              </w:rPr>
            </w:pPr>
            <w:r w:rsidRPr="004A357C">
              <w:t>14%</w:t>
            </w:r>
          </w:p>
        </w:tc>
        <w:tc>
          <w:tcPr>
            <w:tcW w:w="1006" w:type="dxa"/>
          </w:tcPr>
          <w:p w14:paraId="01EEE00E" w14:textId="77777777" w:rsidR="000106F0" w:rsidRPr="004A357C" w:rsidRDefault="000106F0" w:rsidP="0045505D">
            <w:pPr>
              <w:pStyle w:val="TableNText"/>
              <w:spacing w:before="60" w:after="60" w:line="240" w:lineRule="auto"/>
              <w:rPr>
                <w:b/>
              </w:rPr>
            </w:pPr>
            <w:r w:rsidRPr="004A357C">
              <w:t>$290</w:t>
            </w:r>
          </w:p>
        </w:tc>
        <w:tc>
          <w:tcPr>
            <w:tcW w:w="1002" w:type="dxa"/>
          </w:tcPr>
          <w:p w14:paraId="44161FC0" w14:textId="77777777" w:rsidR="000106F0" w:rsidRPr="004A357C" w:rsidRDefault="000106F0" w:rsidP="0045505D">
            <w:pPr>
              <w:pStyle w:val="TableNText"/>
              <w:spacing w:before="60" w:after="60" w:line="240" w:lineRule="auto"/>
              <w:rPr>
                <w:b/>
              </w:rPr>
            </w:pPr>
            <w:r w:rsidRPr="004A357C">
              <w:t>$40</w:t>
            </w:r>
          </w:p>
        </w:tc>
        <w:tc>
          <w:tcPr>
            <w:tcW w:w="1006" w:type="dxa"/>
          </w:tcPr>
          <w:p w14:paraId="1FCCD81B" w14:textId="77777777" w:rsidR="000106F0" w:rsidRPr="004A357C" w:rsidRDefault="000106F0" w:rsidP="0045505D">
            <w:pPr>
              <w:pStyle w:val="TableNText"/>
              <w:spacing w:before="60" w:after="60" w:line="240" w:lineRule="auto"/>
              <w:rPr>
                <w:b/>
              </w:rPr>
            </w:pPr>
            <w:r w:rsidRPr="004A357C">
              <w:t>14%</w:t>
            </w:r>
          </w:p>
        </w:tc>
        <w:tc>
          <w:tcPr>
            <w:tcW w:w="1006" w:type="dxa"/>
          </w:tcPr>
          <w:p w14:paraId="108B35A4" w14:textId="77777777" w:rsidR="000106F0" w:rsidRPr="004A357C" w:rsidRDefault="000106F0" w:rsidP="0045505D">
            <w:pPr>
              <w:pStyle w:val="TableNText"/>
              <w:spacing w:before="60" w:after="60" w:line="240" w:lineRule="auto"/>
              <w:rPr>
                <w:rFonts w:asciiTheme="majorHAnsi" w:hAnsiTheme="majorHAnsi" w:cstheme="majorHAnsi"/>
                <w:b/>
              </w:rPr>
            </w:pPr>
            <w:r w:rsidRPr="004A357C">
              <w:rPr>
                <w:rFonts w:asciiTheme="majorHAnsi" w:hAnsiTheme="majorHAnsi" w:cstheme="majorHAnsi"/>
              </w:rPr>
              <w:t>0%</w:t>
            </w:r>
          </w:p>
        </w:tc>
      </w:tr>
      <w:tr w:rsidR="000106F0" w:rsidRPr="004A357C" w14:paraId="6F259CA4" w14:textId="77777777" w:rsidTr="0045505D">
        <w:trPr>
          <w:cnfStyle w:val="000000100000" w:firstRow="0" w:lastRow="0" w:firstColumn="0" w:lastColumn="0" w:oddVBand="0" w:evenVBand="0" w:oddHBand="1" w:evenHBand="0" w:firstRowFirstColumn="0" w:firstRowLastColumn="0" w:lastRowFirstColumn="0" w:lastRowLastColumn="0"/>
        </w:trPr>
        <w:tc>
          <w:tcPr>
            <w:tcW w:w="2148" w:type="dxa"/>
          </w:tcPr>
          <w:p w14:paraId="4D5DC098" w14:textId="77777777" w:rsidR="000106F0" w:rsidRPr="004A357C" w:rsidRDefault="000106F0" w:rsidP="0045505D">
            <w:pPr>
              <w:pStyle w:val="TableNText"/>
              <w:spacing w:before="60" w:after="60" w:line="240" w:lineRule="auto"/>
              <w:rPr>
                <w:rFonts w:asciiTheme="majorHAnsi" w:hAnsiTheme="majorHAnsi" w:cstheme="majorHAnsi"/>
                <w:b/>
              </w:rPr>
            </w:pPr>
            <w:r w:rsidRPr="004A357C">
              <w:rPr>
                <w:rFonts w:asciiTheme="majorHAnsi" w:hAnsiTheme="majorHAnsi" w:cstheme="majorHAnsi"/>
              </w:rPr>
              <w:t>02 – Ear; Nose &amp; Throat</w:t>
            </w:r>
          </w:p>
        </w:tc>
        <w:tc>
          <w:tcPr>
            <w:tcW w:w="1006" w:type="dxa"/>
          </w:tcPr>
          <w:p w14:paraId="20B27391" w14:textId="77777777" w:rsidR="000106F0" w:rsidRPr="004A357C" w:rsidRDefault="000106F0" w:rsidP="0045505D">
            <w:pPr>
              <w:pStyle w:val="TableNText"/>
              <w:spacing w:before="60" w:after="60" w:line="240" w:lineRule="auto"/>
              <w:rPr>
                <w:b/>
              </w:rPr>
            </w:pPr>
            <w:r w:rsidRPr="004A357C">
              <w:t>$680</w:t>
            </w:r>
          </w:p>
        </w:tc>
        <w:tc>
          <w:tcPr>
            <w:tcW w:w="1005" w:type="dxa"/>
          </w:tcPr>
          <w:p w14:paraId="79084E2D" w14:textId="77777777" w:rsidR="000106F0" w:rsidRPr="004A357C" w:rsidRDefault="000106F0" w:rsidP="0045505D">
            <w:pPr>
              <w:pStyle w:val="TableNText"/>
              <w:spacing w:before="60" w:after="60" w:line="240" w:lineRule="auto"/>
              <w:rPr>
                <w:b/>
              </w:rPr>
            </w:pPr>
            <w:r w:rsidRPr="004A357C">
              <w:t>$10</w:t>
            </w:r>
          </w:p>
        </w:tc>
        <w:tc>
          <w:tcPr>
            <w:tcW w:w="1006" w:type="dxa"/>
          </w:tcPr>
          <w:p w14:paraId="4EABFFA5" w14:textId="77777777" w:rsidR="000106F0" w:rsidRPr="004A357C" w:rsidRDefault="000106F0" w:rsidP="0045505D">
            <w:pPr>
              <w:pStyle w:val="TableNText"/>
              <w:spacing w:before="60" w:after="60" w:line="240" w:lineRule="auto"/>
              <w:rPr>
                <w:b/>
              </w:rPr>
            </w:pPr>
            <w:r w:rsidRPr="004A357C">
              <w:t>1%</w:t>
            </w:r>
          </w:p>
        </w:tc>
        <w:tc>
          <w:tcPr>
            <w:tcW w:w="1006" w:type="dxa"/>
          </w:tcPr>
          <w:p w14:paraId="377B3AFA" w14:textId="77777777" w:rsidR="000106F0" w:rsidRPr="004A357C" w:rsidRDefault="000106F0" w:rsidP="0045505D">
            <w:pPr>
              <w:pStyle w:val="TableNText"/>
              <w:spacing w:before="60" w:after="60" w:line="240" w:lineRule="auto"/>
              <w:rPr>
                <w:b/>
              </w:rPr>
            </w:pPr>
            <w:r w:rsidRPr="004A357C">
              <w:t>$650</w:t>
            </w:r>
          </w:p>
        </w:tc>
        <w:tc>
          <w:tcPr>
            <w:tcW w:w="1002" w:type="dxa"/>
          </w:tcPr>
          <w:p w14:paraId="0D926117" w14:textId="77777777" w:rsidR="000106F0" w:rsidRPr="004A357C" w:rsidRDefault="000106F0" w:rsidP="0045505D">
            <w:pPr>
              <w:pStyle w:val="TableNText"/>
              <w:spacing w:before="60" w:after="60" w:line="240" w:lineRule="auto"/>
              <w:rPr>
                <w:b/>
              </w:rPr>
            </w:pPr>
            <w:r w:rsidRPr="004A357C">
              <w:t>$300</w:t>
            </w:r>
          </w:p>
        </w:tc>
        <w:tc>
          <w:tcPr>
            <w:tcW w:w="1006" w:type="dxa"/>
          </w:tcPr>
          <w:p w14:paraId="43A361C8" w14:textId="77777777" w:rsidR="000106F0" w:rsidRPr="004A357C" w:rsidRDefault="000106F0" w:rsidP="0045505D">
            <w:pPr>
              <w:pStyle w:val="TableNText"/>
              <w:spacing w:before="60" w:after="60" w:line="240" w:lineRule="auto"/>
              <w:rPr>
                <w:b/>
              </w:rPr>
            </w:pPr>
            <w:r w:rsidRPr="004A357C">
              <w:t>46%</w:t>
            </w:r>
          </w:p>
        </w:tc>
        <w:tc>
          <w:tcPr>
            <w:tcW w:w="1006" w:type="dxa"/>
          </w:tcPr>
          <w:p w14:paraId="6DEB18DC" w14:textId="77777777" w:rsidR="000106F0" w:rsidRPr="004A357C" w:rsidRDefault="000106F0" w:rsidP="0045505D">
            <w:pPr>
              <w:pStyle w:val="TableNText"/>
              <w:spacing w:before="60" w:after="60" w:line="240" w:lineRule="auto"/>
              <w:rPr>
                <w:rFonts w:asciiTheme="majorHAnsi" w:hAnsiTheme="majorHAnsi" w:cstheme="majorHAnsi"/>
                <w:b/>
              </w:rPr>
            </w:pPr>
            <w:r w:rsidRPr="004A357C">
              <w:rPr>
                <w:rFonts w:asciiTheme="majorHAnsi" w:hAnsiTheme="majorHAnsi" w:cstheme="majorHAnsi"/>
              </w:rPr>
              <w:t>45%</w:t>
            </w:r>
          </w:p>
        </w:tc>
      </w:tr>
      <w:tr w:rsidR="000106F0" w:rsidRPr="004A357C" w14:paraId="2675C13B" w14:textId="77777777" w:rsidTr="0045505D">
        <w:trPr>
          <w:cnfStyle w:val="000000010000" w:firstRow="0" w:lastRow="0" w:firstColumn="0" w:lastColumn="0" w:oddVBand="0" w:evenVBand="0" w:oddHBand="0" w:evenHBand="1" w:firstRowFirstColumn="0" w:firstRowLastColumn="0" w:lastRowFirstColumn="0" w:lastRowLastColumn="0"/>
        </w:trPr>
        <w:tc>
          <w:tcPr>
            <w:tcW w:w="2148" w:type="dxa"/>
          </w:tcPr>
          <w:p w14:paraId="10F72F00" w14:textId="77777777" w:rsidR="000106F0" w:rsidRPr="004A357C" w:rsidRDefault="000106F0" w:rsidP="0045505D">
            <w:pPr>
              <w:pStyle w:val="TableNText"/>
              <w:spacing w:before="60" w:after="60" w:line="240" w:lineRule="auto"/>
              <w:rPr>
                <w:rFonts w:asciiTheme="majorHAnsi" w:hAnsiTheme="majorHAnsi" w:cstheme="majorHAnsi"/>
              </w:rPr>
            </w:pPr>
            <w:r w:rsidRPr="004A357C">
              <w:rPr>
                <w:rFonts w:asciiTheme="majorHAnsi" w:hAnsiTheme="majorHAnsi" w:cstheme="majorHAnsi"/>
              </w:rPr>
              <w:t>03 – General Miscellaneous</w:t>
            </w:r>
          </w:p>
        </w:tc>
        <w:tc>
          <w:tcPr>
            <w:tcW w:w="1006" w:type="dxa"/>
          </w:tcPr>
          <w:p w14:paraId="75D2CA5E" w14:textId="77777777" w:rsidR="000106F0" w:rsidRPr="004A357C" w:rsidRDefault="000106F0" w:rsidP="0045505D">
            <w:pPr>
              <w:pStyle w:val="TableNText"/>
              <w:spacing w:before="60" w:after="60" w:line="240" w:lineRule="auto"/>
            </w:pPr>
            <w:r w:rsidRPr="004A357C">
              <w:t>$310</w:t>
            </w:r>
          </w:p>
        </w:tc>
        <w:tc>
          <w:tcPr>
            <w:tcW w:w="1005" w:type="dxa"/>
          </w:tcPr>
          <w:p w14:paraId="32AA8145" w14:textId="77777777" w:rsidR="000106F0" w:rsidRPr="004A357C" w:rsidRDefault="000106F0" w:rsidP="0045505D">
            <w:pPr>
              <w:pStyle w:val="TableNText"/>
              <w:spacing w:before="60" w:after="60" w:line="240" w:lineRule="auto"/>
            </w:pPr>
            <w:r w:rsidRPr="004A357C">
              <w:t>$30</w:t>
            </w:r>
          </w:p>
        </w:tc>
        <w:tc>
          <w:tcPr>
            <w:tcW w:w="1006" w:type="dxa"/>
          </w:tcPr>
          <w:p w14:paraId="522DF720" w14:textId="77777777" w:rsidR="000106F0" w:rsidRPr="004A357C" w:rsidRDefault="000106F0" w:rsidP="0045505D">
            <w:pPr>
              <w:pStyle w:val="TableNText"/>
              <w:spacing w:before="60" w:after="60" w:line="240" w:lineRule="auto"/>
            </w:pPr>
            <w:r w:rsidRPr="004A357C">
              <w:t>10%</w:t>
            </w:r>
          </w:p>
        </w:tc>
        <w:tc>
          <w:tcPr>
            <w:tcW w:w="1006" w:type="dxa"/>
          </w:tcPr>
          <w:p w14:paraId="486E7645" w14:textId="77777777" w:rsidR="000106F0" w:rsidRPr="004A357C" w:rsidRDefault="000106F0" w:rsidP="0045505D">
            <w:pPr>
              <w:pStyle w:val="TableNText"/>
              <w:spacing w:before="60" w:after="60" w:line="240" w:lineRule="auto"/>
            </w:pPr>
            <w:r w:rsidRPr="004A357C">
              <w:t>$300</w:t>
            </w:r>
          </w:p>
        </w:tc>
        <w:tc>
          <w:tcPr>
            <w:tcW w:w="1002" w:type="dxa"/>
          </w:tcPr>
          <w:p w14:paraId="50BC0145" w14:textId="77777777" w:rsidR="000106F0" w:rsidRPr="004A357C" w:rsidRDefault="000106F0" w:rsidP="0045505D">
            <w:pPr>
              <w:pStyle w:val="TableNText"/>
              <w:spacing w:before="60" w:after="60" w:line="240" w:lineRule="auto"/>
            </w:pPr>
            <w:r w:rsidRPr="004A357C">
              <w:t>$20</w:t>
            </w:r>
          </w:p>
        </w:tc>
        <w:tc>
          <w:tcPr>
            <w:tcW w:w="1006" w:type="dxa"/>
          </w:tcPr>
          <w:p w14:paraId="5789837D" w14:textId="77777777" w:rsidR="000106F0" w:rsidRPr="004A357C" w:rsidRDefault="000106F0" w:rsidP="0045505D">
            <w:pPr>
              <w:pStyle w:val="TableNText"/>
              <w:spacing w:before="60" w:after="60" w:line="240" w:lineRule="auto"/>
            </w:pPr>
            <w:r w:rsidRPr="004A357C">
              <w:t>7%</w:t>
            </w:r>
          </w:p>
        </w:tc>
        <w:tc>
          <w:tcPr>
            <w:tcW w:w="1006" w:type="dxa"/>
          </w:tcPr>
          <w:p w14:paraId="518640EE" w14:textId="77777777" w:rsidR="000106F0" w:rsidRPr="004A357C" w:rsidRDefault="000106F0" w:rsidP="0045505D">
            <w:pPr>
              <w:pStyle w:val="TableNText"/>
              <w:spacing w:before="60" w:after="60" w:line="240" w:lineRule="auto"/>
              <w:rPr>
                <w:rFonts w:asciiTheme="majorHAnsi" w:hAnsiTheme="majorHAnsi" w:cstheme="majorHAnsi"/>
              </w:rPr>
            </w:pPr>
            <w:r w:rsidRPr="004A357C">
              <w:rPr>
                <w:rFonts w:asciiTheme="majorHAnsi" w:hAnsiTheme="majorHAnsi" w:cstheme="majorHAnsi"/>
              </w:rPr>
              <w:t>-3%</w:t>
            </w:r>
          </w:p>
        </w:tc>
      </w:tr>
      <w:tr w:rsidR="000106F0" w:rsidRPr="004A357C" w14:paraId="7F49D584" w14:textId="77777777" w:rsidTr="0045505D">
        <w:trPr>
          <w:cnfStyle w:val="000000100000" w:firstRow="0" w:lastRow="0" w:firstColumn="0" w:lastColumn="0" w:oddVBand="0" w:evenVBand="0" w:oddHBand="1" w:evenHBand="0" w:firstRowFirstColumn="0" w:firstRowLastColumn="0" w:lastRowFirstColumn="0" w:lastRowLastColumn="0"/>
        </w:trPr>
        <w:tc>
          <w:tcPr>
            <w:tcW w:w="2148" w:type="dxa"/>
          </w:tcPr>
          <w:p w14:paraId="0E82B4F3" w14:textId="77777777" w:rsidR="000106F0" w:rsidRPr="004A357C" w:rsidRDefault="000106F0" w:rsidP="0045505D">
            <w:pPr>
              <w:pStyle w:val="TableNText"/>
              <w:spacing w:before="60" w:after="60" w:line="240" w:lineRule="auto"/>
              <w:rPr>
                <w:rFonts w:asciiTheme="majorHAnsi" w:hAnsiTheme="majorHAnsi" w:cstheme="majorHAnsi"/>
              </w:rPr>
            </w:pPr>
            <w:r w:rsidRPr="004A357C">
              <w:rPr>
                <w:rFonts w:asciiTheme="majorHAnsi" w:hAnsiTheme="majorHAnsi" w:cstheme="majorHAnsi"/>
              </w:rPr>
              <w:t>04 – Neurosurgical</w:t>
            </w:r>
          </w:p>
        </w:tc>
        <w:tc>
          <w:tcPr>
            <w:tcW w:w="1006" w:type="dxa"/>
          </w:tcPr>
          <w:p w14:paraId="476490D0" w14:textId="77777777" w:rsidR="000106F0" w:rsidRPr="004A357C" w:rsidRDefault="000106F0" w:rsidP="0045505D">
            <w:pPr>
              <w:pStyle w:val="TableNText"/>
              <w:spacing w:before="60" w:after="60" w:line="240" w:lineRule="auto"/>
            </w:pPr>
            <w:r w:rsidRPr="004A357C">
              <w:t>$2,500</w:t>
            </w:r>
          </w:p>
        </w:tc>
        <w:tc>
          <w:tcPr>
            <w:tcW w:w="1005" w:type="dxa"/>
          </w:tcPr>
          <w:p w14:paraId="781460CA" w14:textId="77777777" w:rsidR="000106F0" w:rsidRPr="004A357C" w:rsidRDefault="000106F0" w:rsidP="0045505D">
            <w:pPr>
              <w:pStyle w:val="TableNText"/>
              <w:spacing w:before="60" w:after="60" w:line="240" w:lineRule="auto"/>
            </w:pPr>
            <w:r w:rsidRPr="004A357C">
              <w:t>$770</w:t>
            </w:r>
          </w:p>
        </w:tc>
        <w:tc>
          <w:tcPr>
            <w:tcW w:w="1006" w:type="dxa"/>
          </w:tcPr>
          <w:p w14:paraId="40D20E6F" w14:textId="77777777" w:rsidR="000106F0" w:rsidRPr="004A357C" w:rsidRDefault="000106F0" w:rsidP="0045505D">
            <w:pPr>
              <w:pStyle w:val="TableNText"/>
              <w:spacing w:before="60" w:after="60" w:line="240" w:lineRule="auto"/>
            </w:pPr>
            <w:r w:rsidRPr="004A357C">
              <w:t>31%</w:t>
            </w:r>
          </w:p>
        </w:tc>
        <w:tc>
          <w:tcPr>
            <w:tcW w:w="1006" w:type="dxa"/>
          </w:tcPr>
          <w:p w14:paraId="55808546" w14:textId="77777777" w:rsidR="000106F0" w:rsidRPr="004A357C" w:rsidRDefault="000106F0" w:rsidP="0045505D">
            <w:pPr>
              <w:pStyle w:val="TableNText"/>
              <w:spacing w:before="60" w:after="60" w:line="240" w:lineRule="auto"/>
            </w:pPr>
            <w:r w:rsidRPr="004A357C">
              <w:t>$2,500</w:t>
            </w:r>
          </w:p>
        </w:tc>
        <w:tc>
          <w:tcPr>
            <w:tcW w:w="1002" w:type="dxa"/>
          </w:tcPr>
          <w:p w14:paraId="3E85BD2D" w14:textId="77777777" w:rsidR="000106F0" w:rsidRPr="004A357C" w:rsidRDefault="000106F0" w:rsidP="0045505D">
            <w:pPr>
              <w:pStyle w:val="TableNText"/>
              <w:spacing w:before="60" w:after="60" w:line="240" w:lineRule="auto"/>
            </w:pPr>
            <w:r w:rsidRPr="004A357C">
              <w:t>$2,100</w:t>
            </w:r>
          </w:p>
        </w:tc>
        <w:tc>
          <w:tcPr>
            <w:tcW w:w="1006" w:type="dxa"/>
          </w:tcPr>
          <w:p w14:paraId="2BB72CA8" w14:textId="77777777" w:rsidR="000106F0" w:rsidRPr="004A357C" w:rsidRDefault="000106F0" w:rsidP="0045505D">
            <w:pPr>
              <w:pStyle w:val="TableNText"/>
              <w:spacing w:before="60" w:after="60" w:line="240" w:lineRule="auto"/>
            </w:pPr>
            <w:r w:rsidRPr="004A357C">
              <w:t>84%</w:t>
            </w:r>
          </w:p>
        </w:tc>
        <w:tc>
          <w:tcPr>
            <w:tcW w:w="1006" w:type="dxa"/>
          </w:tcPr>
          <w:p w14:paraId="2D39038C" w14:textId="77777777" w:rsidR="000106F0" w:rsidRPr="004A357C" w:rsidRDefault="000106F0" w:rsidP="0045505D">
            <w:pPr>
              <w:pStyle w:val="TableNText"/>
              <w:spacing w:before="60" w:after="60" w:line="240" w:lineRule="auto"/>
              <w:rPr>
                <w:rFonts w:asciiTheme="majorHAnsi" w:hAnsiTheme="majorHAnsi" w:cstheme="majorHAnsi"/>
              </w:rPr>
            </w:pPr>
            <w:r w:rsidRPr="004A357C">
              <w:rPr>
                <w:rFonts w:asciiTheme="majorHAnsi" w:hAnsiTheme="majorHAnsi" w:cstheme="majorHAnsi"/>
              </w:rPr>
              <w:t>53%</w:t>
            </w:r>
          </w:p>
        </w:tc>
      </w:tr>
      <w:tr w:rsidR="000106F0" w:rsidRPr="004A357C" w14:paraId="21B85772" w14:textId="77777777" w:rsidTr="0045505D">
        <w:trPr>
          <w:cnfStyle w:val="000000010000" w:firstRow="0" w:lastRow="0" w:firstColumn="0" w:lastColumn="0" w:oddVBand="0" w:evenVBand="0" w:oddHBand="0" w:evenHBand="1" w:firstRowFirstColumn="0" w:firstRowLastColumn="0" w:lastRowFirstColumn="0" w:lastRowLastColumn="0"/>
        </w:trPr>
        <w:tc>
          <w:tcPr>
            <w:tcW w:w="2148" w:type="dxa"/>
          </w:tcPr>
          <w:p w14:paraId="4E9129FB" w14:textId="77777777" w:rsidR="000106F0" w:rsidRPr="004A357C" w:rsidRDefault="000106F0" w:rsidP="0045505D">
            <w:pPr>
              <w:pStyle w:val="TableNText"/>
              <w:spacing w:before="60" w:after="60" w:line="240" w:lineRule="auto"/>
              <w:rPr>
                <w:rFonts w:asciiTheme="majorHAnsi" w:hAnsiTheme="majorHAnsi" w:cstheme="majorHAnsi"/>
              </w:rPr>
            </w:pPr>
            <w:r w:rsidRPr="004A357C">
              <w:rPr>
                <w:rFonts w:asciiTheme="majorHAnsi" w:hAnsiTheme="majorHAnsi" w:cstheme="majorHAnsi"/>
              </w:rPr>
              <w:t>05 – Urogenital</w:t>
            </w:r>
          </w:p>
        </w:tc>
        <w:tc>
          <w:tcPr>
            <w:tcW w:w="1006" w:type="dxa"/>
          </w:tcPr>
          <w:p w14:paraId="320453EE" w14:textId="77777777" w:rsidR="000106F0" w:rsidRPr="004A357C" w:rsidRDefault="000106F0" w:rsidP="0045505D">
            <w:pPr>
              <w:pStyle w:val="TableNText"/>
              <w:spacing w:before="60" w:after="60" w:line="240" w:lineRule="auto"/>
            </w:pPr>
            <w:r w:rsidRPr="004A357C">
              <w:t>$770</w:t>
            </w:r>
          </w:p>
        </w:tc>
        <w:tc>
          <w:tcPr>
            <w:tcW w:w="1005" w:type="dxa"/>
          </w:tcPr>
          <w:p w14:paraId="6B14B1D1" w14:textId="77777777" w:rsidR="000106F0" w:rsidRPr="004A357C" w:rsidRDefault="000106F0" w:rsidP="0045505D">
            <w:pPr>
              <w:pStyle w:val="TableNText"/>
              <w:spacing w:before="60" w:after="60" w:line="240" w:lineRule="auto"/>
            </w:pPr>
            <w:r w:rsidRPr="004A357C">
              <w:t>$130</w:t>
            </w:r>
          </w:p>
        </w:tc>
        <w:tc>
          <w:tcPr>
            <w:tcW w:w="1006" w:type="dxa"/>
          </w:tcPr>
          <w:p w14:paraId="13F68F65" w14:textId="77777777" w:rsidR="000106F0" w:rsidRPr="004A357C" w:rsidRDefault="000106F0" w:rsidP="0045505D">
            <w:pPr>
              <w:pStyle w:val="TableNText"/>
              <w:spacing w:before="60" w:after="60" w:line="240" w:lineRule="auto"/>
            </w:pPr>
            <w:r w:rsidRPr="004A357C">
              <w:t>17%</w:t>
            </w:r>
          </w:p>
        </w:tc>
        <w:tc>
          <w:tcPr>
            <w:tcW w:w="1006" w:type="dxa"/>
          </w:tcPr>
          <w:p w14:paraId="74E7E1E4" w14:textId="77777777" w:rsidR="000106F0" w:rsidRPr="004A357C" w:rsidRDefault="000106F0" w:rsidP="0045505D">
            <w:pPr>
              <w:pStyle w:val="TableNText"/>
              <w:spacing w:before="60" w:after="60" w:line="240" w:lineRule="auto"/>
            </w:pPr>
            <w:r w:rsidRPr="004A357C">
              <w:t>$880</w:t>
            </w:r>
          </w:p>
        </w:tc>
        <w:tc>
          <w:tcPr>
            <w:tcW w:w="1002" w:type="dxa"/>
          </w:tcPr>
          <w:p w14:paraId="7ED1DD9D" w14:textId="77777777" w:rsidR="000106F0" w:rsidRPr="004A357C" w:rsidRDefault="000106F0" w:rsidP="0045505D">
            <w:pPr>
              <w:pStyle w:val="TableNText"/>
              <w:spacing w:before="60" w:after="60" w:line="240" w:lineRule="auto"/>
            </w:pPr>
            <w:r w:rsidRPr="004A357C">
              <w:t>$130</w:t>
            </w:r>
          </w:p>
        </w:tc>
        <w:tc>
          <w:tcPr>
            <w:tcW w:w="1006" w:type="dxa"/>
          </w:tcPr>
          <w:p w14:paraId="542FBE8E" w14:textId="77777777" w:rsidR="000106F0" w:rsidRPr="004A357C" w:rsidRDefault="000106F0" w:rsidP="0045505D">
            <w:pPr>
              <w:pStyle w:val="TableNText"/>
              <w:spacing w:before="60" w:after="60" w:line="240" w:lineRule="auto"/>
            </w:pPr>
            <w:r w:rsidRPr="004A357C">
              <w:t>15%</w:t>
            </w:r>
          </w:p>
        </w:tc>
        <w:tc>
          <w:tcPr>
            <w:tcW w:w="1006" w:type="dxa"/>
          </w:tcPr>
          <w:p w14:paraId="46AE246E" w14:textId="77777777" w:rsidR="000106F0" w:rsidRPr="004A357C" w:rsidRDefault="000106F0" w:rsidP="0045505D">
            <w:pPr>
              <w:pStyle w:val="TableNText"/>
              <w:spacing w:before="60" w:after="60" w:line="240" w:lineRule="auto"/>
              <w:rPr>
                <w:rFonts w:asciiTheme="majorHAnsi" w:hAnsiTheme="majorHAnsi" w:cstheme="majorHAnsi"/>
              </w:rPr>
            </w:pPr>
            <w:r w:rsidRPr="004A357C">
              <w:rPr>
                <w:rFonts w:asciiTheme="majorHAnsi" w:hAnsiTheme="majorHAnsi" w:cstheme="majorHAnsi"/>
              </w:rPr>
              <w:t>-2%</w:t>
            </w:r>
          </w:p>
        </w:tc>
      </w:tr>
      <w:tr w:rsidR="000106F0" w:rsidRPr="004A357C" w14:paraId="5D300572" w14:textId="77777777" w:rsidTr="0045505D">
        <w:trPr>
          <w:cnfStyle w:val="000000100000" w:firstRow="0" w:lastRow="0" w:firstColumn="0" w:lastColumn="0" w:oddVBand="0" w:evenVBand="0" w:oddHBand="1" w:evenHBand="0" w:firstRowFirstColumn="0" w:firstRowLastColumn="0" w:lastRowFirstColumn="0" w:lastRowLastColumn="0"/>
        </w:trPr>
        <w:tc>
          <w:tcPr>
            <w:tcW w:w="2148" w:type="dxa"/>
          </w:tcPr>
          <w:p w14:paraId="37FF6ED5" w14:textId="77777777" w:rsidR="000106F0" w:rsidRPr="004A357C" w:rsidRDefault="000106F0" w:rsidP="0045505D">
            <w:pPr>
              <w:pStyle w:val="TableNText"/>
              <w:spacing w:before="60" w:after="60" w:line="240" w:lineRule="auto"/>
              <w:rPr>
                <w:rFonts w:asciiTheme="majorHAnsi" w:hAnsiTheme="majorHAnsi" w:cstheme="majorHAnsi"/>
              </w:rPr>
            </w:pPr>
            <w:r w:rsidRPr="004A357C">
              <w:rPr>
                <w:rFonts w:asciiTheme="majorHAnsi" w:hAnsiTheme="majorHAnsi" w:cstheme="majorHAnsi"/>
              </w:rPr>
              <w:t>06 – Specialist Orthopaedic</w:t>
            </w:r>
          </w:p>
        </w:tc>
        <w:tc>
          <w:tcPr>
            <w:tcW w:w="1006" w:type="dxa"/>
          </w:tcPr>
          <w:p w14:paraId="5D4BA09E" w14:textId="77777777" w:rsidR="000106F0" w:rsidRPr="004A357C" w:rsidRDefault="000106F0" w:rsidP="0045505D">
            <w:pPr>
              <w:pStyle w:val="TableNText"/>
              <w:spacing w:before="60" w:after="60" w:line="240" w:lineRule="auto"/>
            </w:pPr>
            <w:r w:rsidRPr="004A357C">
              <w:t>$370</w:t>
            </w:r>
          </w:p>
        </w:tc>
        <w:tc>
          <w:tcPr>
            <w:tcW w:w="1005" w:type="dxa"/>
          </w:tcPr>
          <w:p w14:paraId="395DB2ED" w14:textId="77777777" w:rsidR="000106F0" w:rsidRPr="004A357C" w:rsidRDefault="000106F0" w:rsidP="0045505D">
            <w:pPr>
              <w:pStyle w:val="TableNText"/>
              <w:spacing w:before="60" w:after="60" w:line="240" w:lineRule="auto"/>
            </w:pPr>
            <w:r w:rsidRPr="004A357C">
              <w:t>$70</w:t>
            </w:r>
          </w:p>
        </w:tc>
        <w:tc>
          <w:tcPr>
            <w:tcW w:w="1006" w:type="dxa"/>
          </w:tcPr>
          <w:p w14:paraId="5AA60CA8" w14:textId="77777777" w:rsidR="000106F0" w:rsidRPr="004A357C" w:rsidRDefault="000106F0" w:rsidP="0045505D">
            <w:pPr>
              <w:pStyle w:val="TableNText"/>
              <w:spacing w:before="60" w:after="60" w:line="240" w:lineRule="auto"/>
            </w:pPr>
            <w:r w:rsidRPr="004A357C">
              <w:t>19%</w:t>
            </w:r>
          </w:p>
        </w:tc>
        <w:tc>
          <w:tcPr>
            <w:tcW w:w="1006" w:type="dxa"/>
          </w:tcPr>
          <w:p w14:paraId="2F406BB7" w14:textId="77777777" w:rsidR="000106F0" w:rsidRPr="004A357C" w:rsidRDefault="000106F0" w:rsidP="0045505D">
            <w:pPr>
              <w:pStyle w:val="TableNText"/>
              <w:spacing w:before="60" w:after="60" w:line="240" w:lineRule="auto"/>
            </w:pPr>
            <w:r w:rsidRPr="004A357C">
              <w:t>$360</w:t>
            </w:r>
          </w:p>
        </w:tc>
        <w:tc>
          <w:tcPr>
            <w:tcW w:w="1002" w:type="dxa"/>
          </w:tcPr>
          <w:p w14:paraId="5571076C" w14:textId="77777777" w:rsidR="000106F0" w:rsidRPr="004A357C" w:rsidRDefault="000106F0" w:rsidP="0045505D">
            <w:pPr>
              <w:pStyle w:val="TableNText"/>
              <w:spacing w:before="60" w:after="60" w:line="240" w:lineRule="auto"/>
            </w:pPr>
            <w:r w:rsidRPr="004A357C">
              <w:t>$100</w:t>
            </w:r>
          </w:p>
        </w:tc>
        <w:tc>
          <w:tcPr>
            <w:tcW w:w="1006" w:type="dxa"/>
          </w:tcPr>
          <w:p w14:paraId="6C36A00F" w14:textId="77777777" w:rsidR="000106F0" w:rsidRPr="004A357C" w:rsidRDefault="000106F0" w:rsidP="0045505D">
            <w:pPr>
              <w:pStyle w:val="TableNText"/>
              <w:spacing w:before="60" w:after="60" w:line="240" w:lineRule="auto"/>
            </w:pPr>
            <w:r w:rsidRPr="004A357C">
              <w:t>28%</w:t>
            </w:r>
          </w:p>
        </w:tc>
        <w:tc>
          <w:tcPr>
            <w:tcW w:w="1006" w:type="dxa"/>
          </w:tcPr>
          <w:p w14:paraId="06A759E3" w14:textId="77777777" w:rsidR="000106F0" w:rsidRPr="004A357C" w:rsidRDefault="000106F0" w:rsidP="0045505D">
            <w:pPr>
              <w:pStyle w:val="TableNText"/>
              <w:spacing w:before="60" w:after="60" w:line="240" w:lineRule="auto"/>
              <w:rPr>
                <w:rFonts w:asciiTheme="majorHAnsi" w:hAnsiTheme="majorHAnsi" w:cstheme="majorHAnsi"/>
              </w:rPr>
            </w:pPr>
            <w:r w:rsidRPr="004A357C">
              <w:rPr>
                <w:rFonts w:asciiTheme="majorHAnsi" w:hAnsiTheme="majorHAnsi" w:cstheme="majorHAnsi"/>
              </w:rPr>
              <w:t>9%</w:t>
            </w:r>
          </w:p>
        </w:tc>
      </w:tr>
      <w:tr w:rsidR="000106F0" w:rsidRPr="004A357C" w14:paraId="2082EA50" w14:textId="77777777" w:rsidTr="0045505D">
        <w:trPr>
          <w:cnfStyle w:val="000000010000" w:firstRow="0" w:lastRow="0" w:firstColumn="0" w:lastColumn="0" w:oddVBand="0" w:evenVBand="0" w:oddHBand="0" w:evenHBand="1" w:firstRowFirstColumn="0" w:firstRowLastColumn="0" w:lastRowFirstColumn="0" w:lastRowLastColumn="0"/>
        </w:trPr>
        <w:tc>
          <w:tcPr>
            <w:tcW w:w="2148" w:type="dxa"/>
          </w:tcPr>
          <w:p w14:paraId="164DD828" w14:textId="77777777" w:rsidR="000106F0" w:rsidRPr="004A357C" w:rsidRDefault="000106F0" w:rsidP="0045505D">
            <w:pPr>
              <w:pStyle w:val="TableNText"/>
              <w:spacing w:before="60" w:after="60" w:line="240" w:lineRule="auto"/>
              <w:rPr>
                <w:rFonts w:asciiTheme="majorHAnsi" w:hAnsiTheme="majorHAnsi" w:cstheme="majorHAnsi"/>
              </w:rPr>
            </w:pPr>
            <w:r w:rsidRPr="004A357C">
              <w:rPr>
                <w:rFonts w:asciiTheme="majorHAnsi" w:hAnsiTheme="majorHAnsi" w:cstheme="majorHAnsi"/>
              </w:rPr>
              <w:t>07 – Plastic and Reconstructive</w:t>
            </w:r>
          </w:p>
        </w:tc>
        <w:tc>
          <w:tcPr>
            <w:tcW w:w="1006" w:type="dxa"/>
          </w:tcPr>
          <w:p w14:paraId="436A4608" w14:textId="77777777" w:rsidR="000106F0" w:rsidRPr="004A357C" w:rsidRDefault="000106F0" w:rsidP="0045505D">
            <w:pPr>
              <w:pStyle w:val="TableNText"/>
              <w:spacing w:before="60" w:after="60" w:line="240" w:lineRule="auto"/>
            </w:pPr>
            <w:r w:rsidRPr="004A357C">
              <w:t>$370</w:t>
            </w:r>
          </w:p>
        </w:tc>
        <w:tc>
          <w:tcPr>
            <w:tcW w:w="1005" w:type="dxa"/>
          </w:tcPr>
          <w:p w14:paraId="5F0D7007" w14:textId="77777777" w:rsidR="000106F0" w:rsidRPr="004A357C" w:rsidRDefault="000106F0" w:rsidP="0045505D">
            <w:pPr>
              <w:pStyle w:val="TableNText"/>
              <w:spacing w:before="60" w:after="60" w:line="240" w:lineRule="auto"/>
            </w:pPr>
            <w:r w:rsidRPr="004A357C">
              <w:t>$410</w:t>
            </w:r>
          </w:p>
        </w:tc>
        <w:tc>
          <w:tcPr>
            <w:tcW w:w="1006" w:type="dxa"/>
          </w:tcPr>
          <w:p w14:paraId="218FB58E" w14:textId="77777777" w:rsidR="000106F0" w:rsidRPr="004A357C" w:rsidRDefault="000106F0" w:rsidP="0045505D">
            <w:pPr>
              <w:pStyle w:val="TableNText"/>
              <w:spacing w:before="60" w:after="60" w:line="240" w:lineRule="auto"/>
            </w:pPr>
            <w:r w:rsidRPr="004A357C">
              <w:t>111%</w:t>
            </w:r>
          </w:p>
        </w:tc>
        <w:tc>
          <w:tcPr>
            <w:tcW w:w="1006" w:type="dxa"/>
          </w:tcPr>
          <w:p w14:paraId="2134C97A" w14:textId="77777777" w:rsidR="000106F0" w:rsidRPr="004A357C" w:rsidRDefault="000106F0" w:rsidP="0045505D">
            <w:pPr>
              <w:pStyle w:val="TableNText"/>
              <w:spacing w:before="60" w:after="60" w:line="240" w:lineRule="auto"/>
            </w:pPr>
            <w:r w:rsidRPr="004A357C">
              <w:t>$360</w:t>
            </w:r>
          </w:p>
        </w:tc>
        <w:tc>
          <w:tcPr>
            <w:tcW w:w="1002" w:type="dxa"/>
          </w:tcPr>
          <w:p w14:paraId="01220C57" w14:textId="77777777" w:rsidR="000106F0" w:rsidRPr="004A357C" w:rsidRDefault="000106F0" w:rsidP="0045505D">
            <w:pPr>
              <w:pStyle w:val="TableNText"/>
              <w:spacing w:before="60" w:after="60" w:line="240" w:lineRule="auto"/>
            </w:pPr>
            <w:r w:rsidRPr="004A357C">
              <w:t>$790</w:t>
            </w:r>
          </w:p>
        </w:tc>
        <w:tc>
          <w:tcPr>
            <w:tcW w:w="1006" w:type="dxa"/>
          </w:tcPr>
          <w:p w14:paraId="12400FDE" w14:textId="77777777" w:rsidR="000106F0" w:rsidRPr="004A357C" w:rsidRDefault="000106F0" w:rsidP="0045505D">
            <w:pPr>
              <w:pStyle w:val="TableNText"/>
              <w:spacing w:before="60" w:after="60" w:line="240" w:lineRule="auto"/>
            </w:pPr>
            <w:r w:rsidRPr="004A357C">
              <w:t>219%</w:t>
            </w:r>
          </w:p>
        </w:tc>
        <w:tc>
          <w:tcPr>
            <w:tcW w:w="1006" w:type="dxa"/>
          </w:tcPr>
          <w:p w14:paraId="3EAD7C36" w14:textId="77777777" w:rsidR="000106F0" w:rsidRPr="004A357C" w:rsidRDefault="000106F0" w:rsidP="0045505D">
            <w:pPr>
              <w:pStyle w:val="TableNText"/>
              <w:spacing w:before="60" w:after="60" w:line="240" w:lineRule="auto"/>
              <w:rPr>
                <w:rFonts w:asciiTheme="majorHAnsi" w:hAnsiTheme="majorHAnsi" w:cstheme="majorHAnsi"/>
              </w:rPr>
            </w:pPr>
            <w:r w:rsidRPr="004A357C">
              <w:rPr>
                <w:rFonts w:asciiTheme="majorHAnsi" w:hAnsiTheme="majorHAnsi" w:cstheme="majorHAnsi"/>
              </w:rPr>
              <w:t>109%</w:t>
            </w:r>
          </w:p>
        </w:tc>
      </w:tr>
      <w:tr w:rsidR="000106F0" w:rsidRPr="004A357C" w14:paraId="4DEC5FF5" w14:textId="77777777" w:rsidTr="0045505D">
        <w:trPr>
          <w:cnfStyle w:val="000000100000" w:firstRow="0" w:lastRow="0" w:firstColumn="0" w:lastColumn="0" w:oddVBand="0" w:evenVBand="0" w:oddHBand="1" w:evenHBand="0" w:firstRowFirstColumn="0" w:firstRowLastColumn="0" w:lastRowFirstColumn="0" w:lastRowLastColumn="0"/>
        </w:trPr>
        <w:tc>
          <w:tcPr>
            <w:tcW w:w="2148" w:type="dxa"/>
          </w:tcPr>
          <w:p w14:paraId="5963D42E" w14:textId="77777777" w:rsidR="000106F0" w:rsidRPr="004A357C" w:rsidRDefault="000106F0" w:rsidP="0045505D">
            <w:pPr>
              <w:pStyle w:val="TableNText"/>
              <w:spacing w:before="60" w:after="60" w:line="240" w:lineRule="auto"/>
              <w:rPr>
                <w:rFonts w:asciiTheme="majorHAnsi" w:hAnsiTheme="majorHAnsi" w:cstheme="majorHAnsi"/>
              </w:rPr>
            </w:pPr>
            <w:r w:rsidRPr="004A357C">
              <w:rPr>
                <w:rFonts w:asciiTheme="majorHAnsi" w:hAnsiTheme="majorHAnsi" w:cstheme="majorHAnsi"/>
              </w:rPr>
              <w:t>08 – Cardiac</w:t>
            </w:r>
          </w:p>
        </w:tc>
        <w:tc>
          <w:tcPr>
            <w:tcW w:w="1006" w:type="dxa"/>
          </w:tcPr>
          <w:p w14:paraId="65CFCFBC" w14:textId="77777777" w:rsidR="000106F0" w:rsidRPr="004A357C" w:rsidRDefault="000106F0" w:rsidP="0045505D">
            <w:pPr>
              <w:pStyle w:val="TableNText"/>
              <w:spacing w:before="60" w:after="60" w:line="240" w:lineRule="auto"/>
            </w:pPr>
            <w:r w:rsidRPr="004A357C">
              <w:t>$4,600</w:t>
            </w:r>
          </w:p>
        </w:tc>
        <w:tc>
          <w:tcPr>
            <w:tcW w:w="1005" w:type="dxa"/>
          </w:tcPr>
          <w:p w14:paraId="70615621" w14:textId="77777777" w:rsidR="000106F0" w:rsidRPr="004A357C" w:rsidRDefault="000106F0" w:rsidP="0045505D">
            <w:pPr>
              <w:pStyle w:val="TableNText"/>
              <w:spacing w:before="60" w:after="60" w:line="240" w:lineRule="auto"/>
            </w:pPr>
            <w:r w:rsidRPr="004A357C">
              <w:t>$470</w:t>
            </w:r>
          </w:p>
        </w:tc>
        <w:tc>
          <w:tcPr>
            <w:tcW w:w="1006" w:type="dxa"/>
          </w:tcPr>
          <w:p w14:paraId="61323356" w14:textId="77777777" w:rsidR="000106F0" w:rsidRPr="004A357C" w:rsidRDefault="000106F0" w:rsidP="0045505D">
            <w:pPr>
              <w:pStyle w:val="TableNText"/>
              <w:spacing w:before="60" w:after="60" w:line="240" w:lineRule="auto"/>
            </w:pPr>
            <w:r w:rsidRPr="004A357C">
              <w:t>10%</w:t>
            </w:r>
          </w:p>
        </w:tc>
        <w:tc>
          <w:tcPr>
            <w:tcW w:w="1006" w:type="dxa"/>
          </w:tcPr>
          <w:p w14:paraId="5DE8541D" w14:textId="77777777" w:rsidR="000106F0" w:rsidRPr="004A357C" w:rsidRDefault="000106F0" w:rsidP="0045505D">
            <w:pPr>
              <w:pStyle w:val="TableNText"/>
              <w:spacing w:before="60" w:after="60" w:line="240" w:lineRule="auto"/>
            </w:pPr>
            <w:r w:rsidRPr="004A357C">
              <w:t>$4,200</w:t>
            </w:r>
          </w:p>
        </w:tc>
        <w:tc>
          <w:tcPr>
            <w:tcW w:w="1002" w:type="dxa"/>
          </w:tcPr>
          <w:p w14:paraId="34EFCFA0" w14:textId="77777777" w:rsidR="000106F0" w:rsidRPr="004A357C" w:rsidRDefault="000106F0" w:rsidP="0045505D">
            <w:pPr>
              <w:pStyle w:val="TableNText"/>
              <w:spacing w:before="60" w:after="60" w:line="240" w:lineRule="auto"/>
            </w:pPr>
            <w:r w:rsidRPr="004A357C">
              <w:t>$410</w:t>
            </w:r>
          </w:p>
        </w:tc>
        <w:tc>
          <w:tcPr>
            <w:tcW w:w="1006" w:type="dxa"/>
          </w:tcPr>
          <w:p w14:paraId="6EFD06F6" w14:textId="77777777" w:rsidR="000106F0" w:rsidRPr="004A357C" w:rsidRDefault="000106F0" w:rsidP="0045505D">
            <w:pPr>
              <w:pStyle w:val="TableNText"/>
              <w:spacing w:before="60" w:after="60" w:line="240" w:lineRule="auto"/>
            </w:pPr>
            <w:r w:rsidRPr="004A357C">
              <w:t>10%</w:t>
            </w:r>
          </w:p>
        </w:tc>
        <w:tc>
          <w:tcPr>
            <w:tcW w:w="1006" w:type="dxa"/>
          </w:tcPr>
          <w:p w14:paraId="7C010366" w14:textId="77777777" w:rsidR="000106F0" w:rsidRPr="004A357C" w:rsidRDefault="000106F0" w:rsidP="0045505D">
            <w:pPr>
              <w:pStyle w:val="TableNText"/>
              <w:spacing w:before="60" w:after="60" w:line="240" w:lineRule="auto"/>
              <w:rPr>
                <w:rFonts w:asciiTheme="majorHAnsi" w:hAnsiTheme="majorHAnsi" w:cstheme="majorHAnsi"/>
              </w:rPr>
            </w:pPr>
            <w:r w:rsidRPr="004A357C">
              <w:rPr>
                <w:rFonts w:asciiTheme="majorHAnsi" w:hAnsiTheme="majorHAnsi" w:cstheme="majorHAnsi"/>
              </w:rPr>
              <w:t>0%</w:t>
            </w:r>
          </w:p>
        </w:tc>
      </w:tr>
      <w:tr w:rsidR="000106F0" w:rsidRPr="004A357C" w14:paraId="6FA67256" w14:textId="77777777" w:rsidTr="0045505D">
        <w:trPr>
          <w:cnfStyle w:val="000000010000" w:firstRow="0" w:lastRow="0" w:firstColumn="0" w:lastColumn="0" w:oddVBand="0" w:evenVBand="0" w:oddHBand="0" w:evenHBand="1" w:firstRowFirstColumn="0" w:firstRowLastColumn="0" w:lastRowFirstColumn="0" w:lastRowLastColumn="0"/>
        </w:trPr>
        <w:tc>
          <w:tcPr>
            <w:tcW w:w="2148" w:type="dxa"/>
          </w:tcPr>
          <w:p w14:paraId="002A163F" w14:textId="77777777" w:rsidR="000106F0" w:rsidRPr="004A357C" w:rsidRDefault="000106F0" w:rsidP="0045505D">
            <w:pPr>
              <w:pStyle w:val="TableNText"/>
              <w:spacing w:before="60" w:after="60" w:line="240" w:lineRule="auto"/>
              <w:rPr>
                <w:rFonts w:asciiTheme="majorHAnsi" w:hAnsiTheme="majorHAnsi" w:cstheme="majorHAnsi"/>
              </w:rPr>
            </w:pPr>
            <w:r w:rsidRPr="004A357C">
              <w:rPr>
                <w:rFonts w:asciiTheme="majorHAnsi" w:hAnsiTheme="majorHAnsi" w:cstheme="majorHAnsi"/>
              </w:rPr>
              <w:t>09 – Cardiothoracic</w:t>
            </w:r>
          </w:p>
        </w:tc>
        <w:tc>
          <w:tcPr>
            <w:tcW w:w="1006" w:type="dxa"/>
          </w:tcPr>
          <w:p w14:paraId="69A41300" w14:textId="77777777" w:rsidR="000106F0" w:rsidRPr="004A357C" w:rsidRDefault="000106F0" w:rsidP="0045505D">
            <w:pPr>
              <w:pStyle w:val="TableNText"/>
              <w:spacing w:before="60" w:after="60" w:line="240" w:lineRule="auto"/>
            </w:pPr>
            <w:r w:rsidRPr="004A357C">
              <w:t>$2,400</w:t>
            </w:r>
          </w:p>
        </w:tc>
        <w:tc>
          <w:tcPr>
            <w:tcW w:w="1005" w:type="dxa"/>
          </w:tcPr>
          <w:p w14:paraId="5679D5F8" w14:textId="77777777" w:rsidR="000106F0" w:rsidRPr="004A357C" w:rsidRDefault="000106F0" w:rsidP="0045505D">
            <w:pPr>
              <w:pStyle w:val="TableNText"/>
              <w:spacing w:before="60" w:after="60" w:line="240" w:lineRule="auto"/>
            </w:pPr>
            <w:r w:rsidRPr="004A357C">
              <w:t>$360</w:t>
            </w:r>
          </w:p>
        </w:tc>
        <w:tc>
          <w:tcPr>
            <w:tcW w:w="1006" w:type="dxa"/>
          </w:tcPr>
          <w:p w14:paraId="1B1273B2" w14:textId="77777777" w:rsidR="000106F0" w:rsidRPr="004A357C" w:rsidRDefault="000106F0" w:rsidP="0045505D">
            <w:pPr>
              <w:pStyle w:val="TableNText"/>
              <w:spacing w:before="60" w:after="60" w:line="240" w:lineRule="auto"/>
            </w:pPr>
            <w:r w:rsidRPr="004A357C">
              <w:t>15%</w:t>
            </w:r>
          </w:p>
        </w:tc>
        <w:tc>
          <w:tcPr>
            <w:tcW w:w="1006" w:type="dxa"/>
          </w:tcPr>
          <w:p w14:paraId="2DED3D05" w14:textId="77777777" w:rsidR="000106F0" w:rsidRPr="004A357C" w:rsidRDefault="000106F0" w:rsidP="0045505D">
            <w:pPr>
              <w:pStyle w:val="TableNText"/>
              <w:spacing w:before="60" w:after="60" w:line="240" w:lineRule="auto"/>
            </w:pPr>
            <w:r w:rsidRPr="004A357C">
              <w:t>$2,300</w:t>
            </w:r>
          </w:p>
        </w:tc>
        <w:tc>
          <w:tcPr>
            <w:tcW w:w="1002" w:type="dxa"/>
          </w:tcPr>
          <w:p w14:paraId="014ABBFE" w14:textId="77777777" w:rsidR="000106F0" w:rsidRPr="004A357C" w:rsidRDefault="000106F0" w:rsidP="0045505D">
            <w:pPr>
              <w:pStyle w:val="TableNText"/>
              <w:spacing w:before="60" w:after="60" w:line="240" w:lineRule="auto"/>
            </w:pPr>
            <w:r w:rsidRPr="004A357C">
              <w:t>$280</w:t>
            </w:r>
          </w:p>
        </w:tc>
        <w:tc>
          <w:tcPr>
            <w:tcW w:w="1006" w:type="dxa"/>
          </w:tcPr>
          <w:p w14:paraId="2B1AA437" w14:textId="77777777" w:rsidR="000106F0" w:rsidRPr="004A357C" w:rsidRDefault="000106F0" w:rsidP="0045505D">
            <w:pPr>
              <w:pStyle w:val="TableNText"/>
              <w:spacing w:before="60" w:after="60" w:line="240" w:lineRule="auto"/>
            </w:pPr>
            <w:r w:rsidRPr="004A357C">
              <w:t>12%</w:t>
            </w:r>
          </w:p>
        </w:tc>
        <w:tc>
          <w:tcPr>
            <w:tcW w:w="1006" w:type="dxa"/>
          </w:tcPr>
          <w:p w14:paraId="381A9A83" w14:textId="77777777" w:rsidR="000106F0" w:rsidRPr="004A357C" w:rsidRDefault="000106F0" w:rsidP="0045505D">
            <w:pPr>
              <w:pStyle w:val="TableNText"/>
              <w:spacing w:before="60" w:after="60" w:line="240" w:lineRule="auto"/>
              <w:rPr>
                <w:rFonts w:asciiTheme="majorHAnsi" w:hAnsiTheme="majorHAnsi" w:cstheme="majorHAnsi"/>
              </w:rPr>
            </w:pPr>
            <w:r w:rsidRPr="004A357C">
              <w:rPr>
                <w:rFonts w:asciiTheme="majorHAnsi" w:hAnsiTheme="majorHAnsi" w:cstheme="majorHAnsi"/>
              </w:rPr>
              <w:t>-3%</w:t>
            </w:r>
          </w:p>
        </w:tc>
      </w:tr>
      <w:tr w:rsidR="000106F0" w:rsidRPr="004A357C" w14:paraId="56A57116" w14:textId="77777777" w:rsidTr="0045505D">
        <w:trPr>
          <w:cnfStyle w:val="000000100000" w:firstRow="0" w:lastRow="0" w:firstColumn="0" w:lastColumn="0" w:oddVBand="0" w:evenVBand="0" w:oddHBand="1" w:evenHBand="0" w:firstRowFirstColumn="0" w:firstRowLastColumn="0" w:lastRowFirstColumn="0" w:lastRowLastColumn="0"/>
        </w:trPr>
        <w:tc>
          <w:tcPr>
            <w:tcW w:w="2148" w:type="dxa"/>
          </w:tcPr>
          <w:p w14:paraId="5F7D2E33" w14:textId="77777777" w:rsidR="000106F0" w:rsidRPr="004A357C" w:rsidRDefault="000106F0" w:rsidP="0045505D">
            <w:pPr>
              <w:pStyle w:val="TableNText"/>
              <w:spacing w:before="60" w:after="60" w:line="240" w:lineRule="auto"/>
              <w:rPr>
                <w:rFonts w:asciiTheme="majorHAnsi" w:hAnsiTheme="majorHAnsi" w:cstheme="majorHAnsi"/>
              </w:rPr>
            </w:pPr>
            <w:r w:rsidRPr="004A357C">
              <w:rPr>
                <w:rFonts w:asciiTheme="majorHAnsi" w:hAnsiTheme="majorHAnsi" w:cstheme="majorHAnsi"/>
              </w:rPr>
              <w:t>10 – Vascular</w:t>
            </w:r>
          </w:p>
        </w:tc>
        <w:tc>
          <w:tcPr>
            <w:tcW w:w="1006" w:type="dxa"/>
          </w:tcPr>
          <w:p w14:paraId="6062362A" w14:textId="77777777" w:rsidR="000106F0" w:rsidRPr="004A357C" w:rsidRDefault="000106F0" w:rsidP="0045505D">
            <w:pPr>
              <w:pStyle w:val="TableNText"/>
              <w:spacing w:before="60" w:after="60" w:line="240" w:lineRule="auto"/>
            </w:pPr>
            <w:r w:rsidRPr="004A357C">
              <w:t>$1,300</w:t>
            </w:r>
          </w:p>
        </w:tc>
        <w:tc>
          <w:tcPr>
            <w:tcW w:w="1005" w:type="dxa"/>
          </w:tcPr>
          <w:p w14:paraId="32C4C8B8" w14:textId="77777777" w:rsidR="000106F0" w:rsidRPr="004A357C" w:rsidRDefault="000106F0" w:rsidP="0045505D">
            <w:pPr>
              <w:pStyle w:val="TableNText"/>
              <w:spacing w:before="60" w:after="60" w:line="240" w:lineRule="auto"/>
            </w:pPr>
            <w:r w:rsidRPr="004A357C">
              <w:t>$460</w:t>
            </w:r>
          </w:p>
        </w:tc>
        <w:tc>
          <w:tcPr>
            <w:tcW w:w="1006" w:type="dxa"/>
          </w:tcPr>
          <w:p w14:paraId="4254FE0E" w14:textId="77777777" w:rsidR="000106F0" w:rsidRPr="004A357C" w:rsidRDefault="000106F0" w:rsidP="0045505D">
            <w:pPr>
              <w:pStyle w:val="TableNText"/>
              <w:spacing w:before="60" w:after="60" w:line="240" w:lineRule="auto"/>
            </w:pPr>
            <w:r w:rsidRPr="004A357C">
              <w:t>35%</w:t>
            </w:r>
          </w:p>
        </w:tc>
        <w:tc>
          <w:tcPr>
            <w:tcW w:w="1006" w:type="dxa"/>
          </w:tcPr>
          <w:p w14:paraId="51A3364D" w14:textId="77777777" w:rsidR="000106F0" w:rsidRPr="004A357C" w:rsidRDefault="000106F0" w:rsidP="0045505D">
            <w:pPr>
              <w:pStyle w:val="TableNText"/>
              <w:spacing w:before="60" w:after="60" w:line="240" w:lineRule="auto"/>
            </w:pPr>
            <w:r w:rsidRPr="004A357C">
              <w:t>$1,300</w:t>
            </w:r>
          </w:p>
        </w:tc>
        <w:tc>
          <w:tcPr>
            <w:tcW w:w="1002" w:type="dxa"/>
          </w:tcPr>
          <w:p w14:paraId="7D67124B" w14:textId="77777777" w:rsidR="000106F0" w:rsidRPr="004A357C" w:rsidRDefault="000106F0" w:rsidP="0045505D">
            <w:pPr>
              <w:pStyle w:val="TableNText"/>
              <w:spacing w:before="60" w:after="60" w:line="240" w:lineRule="auto"/>
            </w:pPr>
            <w:r w:rsidRPr="004A357C">
              <w:t>$150</w:t>
            </w:r>
          </w:p>
        </w:tc>
        <w:tc>
          <w:tcPr>
            <w:tcW w:w="1006" w:type="dxa"/>
          </w:tcPr>
          <w:p w14:paraId="7635BDC8" w14:textId="77777777" w:rsidR="000106F0" w:rsidRPr="004A357C" w:rsidRDefault="000106F0" w:rsidP="0045505D">
            <w:pPr>
              <w:pStyle w:val="TableNText"/>
              <w:spacing w:before="60" w:after="60" w:line="240" w:lineRule="auto"/>
            </w:pPr>
            <w:r w:rsidRPr="004A357C">
              <w:t>12%</w:t>
            </w:r>
          </w:p>
        </w:tc>
        <w:tc>
          <w:tcPr>
            <w:tcW w:w="1006" w:type="dxa"/>
          </w:tcPr>
          <w:p w14:paraId="06BE8949" w14:textId="77777777" w:rsidR="000106F0" w:rsidRPr="004A357C" w:rsidRDefault="000106F0" w:rsidP="0045505D">
            <w:pPr>
              <w:pStyle w:val="TableNText"/>
              <w:spacing w:before="60" w:after="60" w:line="240" w:lineRule="auto"/>
              <w:rPr>
                <w:rFonts w:asciiTheme="majorHAnsi" w:hAnsiTheme="majorHAnsi" w:cstheme="majorHAnsi"/>
              </w:rPr>
            </w:pPr>
            <w:r w:rsidRPr="004A357C">
              <w:rPr>
                <w:rFonts w:asciiTheme="majorHAnsi" w:hAnsiTheme="majorHAnsi" w:cstheme="majorHAnsi"/>
              </w:rPr>
              <w:t>-24%</w:t>
            </w:r>
          </w:p>
        </w:tc>
      </w:tr>
      <w:tr w:rsidR="000106F0" w:rsidRPr="004A357C" w14:paraId="5D294488" w14:textId="77777777" w:rsidTr="0045505D">
        <w:trPr>
          <w:cnfStyle w:val="000000010000" w:firstRow="0" w:lastRow="0" w:firstColumn="0" w:lastColumn="0" w:oddVBand="0" w:evenVBand="0" w:oddHBand="0" w:evenHBand="1" w:firstRowFirstColumn="0" w:firstRowLastColumn="0" w:lastRowFirstColumn="0" w:lastRowLastColumn="0"/>
        </w:trPr>
        <w:tc>
          <w:tcPr>
            <w:tcW w:w="2148" w:type="dxa"/>
          </w:tcPr>
          <w:p w14:paraId="23F04258" w14:textId="77777777" w:rsidR="000106F0" w:rsidRPr="004A357C" w:rsidRDefault="000106F0" w:rsidP="0045505D">
            <w:pPr>
              <w:pStyle w:val="TableNText"/>
              <w:spacing w:before="60" w:after="60" w:line="240" w:lineRule="auto"/>
              <w:rPr>
                <w:rFonts w:asciiTheme="majorHAnsi" w:hAnsiTheme="majorHAnsi" w:cstheme="majorHAnsi"/>
              </w:rPr>
            </w:pPr>
            <w:r w:rsidRPr="004A357C">
              <w:rPr>
                <w:rFonts w:asciiTheme="majorHAnsi" w:hAnsiTheme="majorHAnsi" w:cstheme="majorHAnsi"/>
              </w:rPr>
              <w:t>11 – Hip</w:t>
            </w:r>
          </w:p>
        </w:tc>
        <w:tc>
          <w:tcPr>
            <w:tcW w:w="1006" w:type="dxa"/>
          </w:tcPr>
          <w:p w14:paraId="532DEC48" w14:textId="77777777" w:rsidR="000106F0" w:rsidRPr="004A357C" w:rsidRDefault="000106F0" w:rsidP="0045505D">
            <w:pPr>
              <w:pStyle w:val="TableNText"/>
              <w:spacing w:before="60" w:after="60" w:line="240" w:lineRule="auto"/>
            </w:pPr>
            <w:r w:rsidRPr="004A357C">
              <w:t>$1,600</w:t>
            </w:r>
          </w:p>
        </w:tc>
        <w:tc>
          <w:tcPr>
            <w:tcW w:w="1005" w:type="dxa"/>
          </w:tcPr>
          <w:p w14:paraId="23CE567B" w14:textId="77777777" w:rsidR="000106F0" w:rsidRPr="004A357C" w:rsidRDefault="000106F0" w:rsidP="0045505D">
            <w:pPr>
              <w:pStyle w:val="TableNText"/>
              <w:spacing w:before="60" w:after="60" w:line="240" w:lineRule="auto"/>
            </w:pPr>
            <w:r w:rsidRPr="004A357C">
              <w:t>$270</w:t>
            </w:r>
          </w:p>
        </w:tc>
        <w:tc>
          <w:tcPr>
            <w:tcW w:w="1006" w:type="dxa"/>
          </w:tcPr>
          <w:p w14:paraId="3DD87BBC" w14:textId="77777777" w:rsidR="000106F0" w:rsidRPr="004A357C" w:rsidRDefault="000106F0" w:rsidP="0045505D">
            <w:pPr>
              <w:pStyle w:val="TableNText"/>
              <w:spacing w:before="60" w:after="60" w:line="240" w:lineRule="auto"/>
            </w:pPr>
            <w:r w:rsidRPr="004A357C">
              <w:t>17%</w:t>
            </w:r>
          </w:p>
        </w:tc>
        <w:tc>
          <w:tcPr>
            <w:tcW w:w="1006" w:type="dxa"/>
          </w:tcPr>
          <w:p w14:paraId="350FA6FA" w14:textId="77777777" w:rsidR="000106F0" w:rsidRPr="004A357C" w:rsidRDefault="000106F0" w:rsidP="0045505D">
            <w:pPr>
              <w:pStyle w:val="TableNText"/>
              <w:spacing w:before="60" w:after="60" w:line="240" w:lineRule="auto"/>
            </w:pPr>
            <w:r w:rsidRPr="004A357C">
              <w:t>$1,600</w:t>
            </w:r>
          </w:p>
        </w:tc>
        <w:tc>
          <w:tcPr>
            <w:tcW w:w="1002" w:type="dxa"/>
          </w:tcPr>
          <w:p w14:paraId="348589D5" w14:textId="77777777" w:rsidR="000106F0" w:rsidRPr="004A357C" w:rsidRDefault="000106F0" w:rsidP="0045505D">
            <w:pPr>
              <w:pStyle w:val="TableNText"/>
              <w:spacing w:before="60" w:after="60" w:line="240" w:lineRule="auto"/>
            </w:pPr>
            <w:r w:rsidRPr="004A357C">
              <w:t>$400</w:t>
            </w:r>
          </w:p>
        </w:tc>
        <w:tc>
          <w:tcPr>
            <w:tcW w:w="1006" w:type="dxa"/>
          </w:tcPr>
          <w:p w14:paraId="02056F06" w14:textId="77777777" w:rsidR="000106F0" w:rsidRPr="004A357C" w:rsidRDefault="000106F0" w:rsidP="0045505D">
            <w:pPr>
              <w:pStyle w:val="TableNText"/>
              <w:spacing w:before="60" w:after="60" w:line="240" w:lineRule="auto"/>
            </w:pPr>
            <w:r w:rsidRPr="004A357C">
              <w:t>25%</w:t>
            </w:r>
          </w:p>
        </w:tc>
        <w:tc>
          <w:tcPr>
            <w:tcW w:w="1006" w:type="dxa"/>
          </w:tcPr>
          <w:p w14:paraId="2580E6F6" w14:textId="77777777" w:rsidR="000106F0" w:rsidRPr="004A357C" w:rsidRDefault="000106F0" w:rsidP="0045505D">
            <w:pPr>
              <w:pStyle w:val="TableNText"/>
              <w:spacing w:before="60" w:after="60" w:line="240" w:lineRule="auto"/>
              <w:rPr>
                <w:rFonts w:asciiTheme="majorHAnsi" w:hAnsiTheme="majorHAnsi" w:cstheme="majorHAnsi"/>
              </w:rPr>
            </w:pPr>
            <w:r w:rsidRPr="004A357C">
              <w:rPr>
                <w:rFonts w:asciiTheme="majorHAnsi" w:hAnsiTheme="majorHAnsi" w:cstheme="majorHAnsi"/>
              </w:rPr>
              <w:t>8%</w:t>
            </w:r>
          </w:p>
        </w:tc>
      </w:tr>
      <w:tr w:rsidR="000106F0" w:rsidRPr="004A357C" w14:paraId="4F16BAF3" w14:textId="77777777" w:rsidTr="0045505D">
        <w:trPr>
          <w:cnfStyle w:val="000000100000" w:firstRow="0" w:lastRow="0" w:firstColumn="0" w:lastColumn="0" w:oddVBand="0" w:evenVBand="0" w:oddHBand="1" w:evenHBand="0" w:firstRowFirstColumn="0" w:firstRowLastColumn="0" w:lastRowFirstColumn="0" w:lastRowLastColumn="0"/>
        </w:trPr>
        <w:tc>
          <w:tcPr>
            <w:tcW w:w="2148" w:type="dxa"/>
          </w:tcPr>
          <w:p w14:paraId="13370C19" w14:textId="77777777" w:rsidR="000106F0" w:rsidRPr="004A357C" w:rsidRDefault="000106F0" w:rsidP="0045505D">
            <w:pPr>
              <w:pStyle w:val="TableNText"/>
              <w:spacing w:before="60" w:after="60" w:line="240" w:lineRule="auto"/>
              <w:rPr>
                <w:rFonts w:asciiTheme="majorHAnsi" w:hAnsiTheme="majorHAnsi" w:cstheme="majorHAnsi"/>
              </w:rPr>
            </w:pPr>
            <w:r w:rsidRPr="004A357C">
              <w:rPr>
                <w:rFonts w:asciiTheme="majorHAnsi" w:hAnsiTheme="majorHAnsi" w:cstheme="majorHAnsi"/>
              </w:rPr>
              <w:t>12 – Knee</w:t>
            </w:r>
          </w:p>
        </w:tc>
        <w:tc>
          <w:tcPr>
            <w:tcW w:w="1006" w:type="dxa"/>
          </w:tcPr>
          <w:p w14:paraId="41D7C3C5" w14:textId="77777777" w:rsidR="000106F0" w:rsidRPr="004A357C" w:rsidRDefault="000106F0" w:rsidP="0045505D">
            <w:pPr>
              <w:pStyle w:val="TableNText"/>
              <w:spacing w:before="60" w:after="60" w:line="240" w:lineRule="auto"/>
            </w:pPr>
            <w:r w:rsidRPr="004A357C">
              <w:t>$1,700</w:t>
            </w:r>
          </w:p>
        </w:tc>
        <w:tc>
          <w:tcPr>
            <w:tcW w:w="1005" w:type="dxa"/>
          </w:tcPr>
          <w:p w14:paraId="0D7E283F" w14:textId="77777777" w:rsidR="000106F0" w:rsidRPr="004A357C" w:rsidRDefault="000106F0" w:rsidP="0045505D">
            <w:pPr>
              <w:pStyle w:val="TableNText"/>
              <w:spacing w:before="60" w:after="60" w:line="240" w:lineRule="auto"/>
            </w:pPr>
            <w:r w:rsidRPr="004A357C">
              <w:t>$540</w:t>
            </w:r>
          </w:p>
        </w:tc>
        <w:tc>
          <w:tcPr>
            <w:tcW w:w="1006" w:type="dxa"/>
          </w:tcPr>
          <w:p w14:paraId="3BDABDE5" w14:textId="77777777" w:rsidR="000106F0" w:rsidRPr="004A357C" w:rsidRDefault="000106F0" w:rsidP="0045505D">
            <w:pPr>
              <w:pStyle w:val="TableNText"/>
              <w:spacing w:before="60" w:after="60" w:line="240" w:lineRule="auto"/>
            </w:pPr>
            <w:r w:rsidRPr="004A357C">
              <w:t>32%</w:t>
            </w:r>
          </w:p>
        </w:tc>
        <w:tc>
          <w:tcPr>
            <w:tcW w:w="1006" w:type="dxa"/>
          </w:tcPr>
          <w:p w14:paraId="51B3DF32" w14:textId="77777777" w:rsidR="000106F0" w:rsidRPr="004A357C" w:rsidRDefault="000106F0" w:rsidP="0045505D">
            <w:pPr>
              <w:pStyle w:val="TableNText"/>
              <w:spacing w:before="60" w:after="60" w:line="240" w:lineRule="auto"/>
            </w:pPr>
            <w:r w:rsidRPr="004A357C">
              <w:t>$1,600</w:t>
            </w:r>
          </w:p>
        </w:tc>
        <w:tc>
          <w:tcPr>
            <w:tcW w:w="1002" w:type="dxa"/>
          </w:tcPr>
          <w:p w14:paraId="7C86554E" w14:textId="77777777" w:rsidR="000106F0" w:rsidRPr="004A357C" w:rsidRDefault="000106F0" w:rsidP="0045505D">
            <w:pPr>
              <w:pStyle w:val="TableNText"/>
              <w:spacing w:before="60" w:after="60" w:line="240" w:lineRule="auto"/>
            </w:pPr>
            <w:r w:rsidRPr="004A357C">
              <w:t>$780</w:t>
            </w:r>
          </w:p>
        </w:tc>
        <w:tc>
          <w:tcPr>
            <w:tcW w:w="1006" w:type="dxa"/>
          </w:tcPr>
          <w:p w14:paraId="488390DD" w14:textId="77777777" w:rsidR="000106F0" w:rsidRPr="004A357C" w:rsidRDefault="000106F0" w:rsidP="0045505D">
            <w:pPr>
              <w:pStyle w:val="TableNText"/>
              <w:spacing w:before="60" w:after="60" w:line="240" w:lineRule="auto"/>
            </w:pPr>
            <w:r w:rsidRPr="004A357C">
              <w:t>49%</w:t>
            </w:r>
          </w:p>
        </w:tc>
        <w:tc>
          <w:tcPr>
            <w:tcW w:w="1006" w:type="dxa"/>
          </w:tcPr>
          <w:p w14:paraId="7A594E1D" w14:textId="77777777" w:rsidR="000106F0" w:rsidRPr="004A357C" w:rsidRDefault="000106F0" w:rsidP="0045505D">
            <w:pPr>
              <w:pStyle w:val="TableNText"/>
              <w:spacing w:before="60" w:after="60" w:line="240" w:lineRule="auto"/>
              <w:rPr>
                <w:rFonts w:asciiTheme="majorHAnsi" w:hAnsiTheme="majorHAnsi" w:cstheme="majorHAnsi"/>
              </w:rPr>
            </w:pPr>
            <w:r w:rsidRPr="004A357C">
              <w:rPr>
                <w:rFonts w:asciiTheme="majorHAnsi" w:hAnsiTheme="majorHAnsi" w:cstheme="majorHAnsi"/>
              </w:rPr>
              <w:t>17%</w:t>
            </w:r>
          </w:p>
        </w:tc>
      </w:tr>
      <w:tr w:rsidR="000106F0" w:rsidRPr="004A357C" w14:paraId="40D14687" w14:textId="77777777" w:rsidTr="0045505D">
        <w:trPr>
          <w:cnfStyle w:val="000000010000" w:firstRow="0" w:lastRow="0" w:firstColumn="0" w:lastColumn="0" w:oddVBand="0" w:evenVBand="0" w:oddHBand="0" w:evenHBand="1" w:firstRowFirstColumn="0" w:firstRowLastColumn="0" w:lastRowFirstColumn="0" w:lastRowLastColumn="0"/>
        </w:trPr>
        <w:tc>
          <w:tcPr>
            <w:tcW w:w="2148" w:type="dxa"/>
          </w:tcPr>
          <w:p w14:paraId="360EE567" w14:textId="77777777" w:rsidR="000106F0" w:rsidRPr="004A357C" w:rsidRDefault="000106F0" w:rsidP="0045505D">
            <w:pPr>
              <w:pStyle w:val="TableNText"/>
              <w:spacing w:before="60" w:after="60" w:line="240" w:lineRule="auto"/>
              <w:rPr>
                <w:rFonts w:asciiTheme="majorHAnsi" w:hAnsiTheme="majorHAnsi" w:cstheme="majorHAnsi"/>
              </w:rPr>
            </w:pPr>
            <w:r w:rsidRPr="004A357C">
              <w:rPr>
                <w:rFonts w:asciiTheme="majorHAnsi" w:hAnsiTheme="majorHAnsi" w:cstheme="majorHAnsi"/>
              </w:rPr>
              <w:t>13 – Spinal</w:t>
            </w:r>
          </w:p>
        </w:tc>
        <w:tc>
          <w:tcPr>
            <w:tcW w:w="1006" w:type="dxa"/>
          </w:tcPr>
          <w:p w14:paraId="7483742F" w14:textId="77777777" w:rsidR="000106F0" w:rsidRPr="004A357C" w:rsidRDefault="000106F0" w:rsidP="0045505D">
            <w:pPr>
              <w:pStyle w:val="TableNText"/>
              <w:spacing w:before="60" w:after="60" w:line="240" w:lineRule="auto"/>
            </w:pPr>
            <w:r w:rsidRPr="004A357C">
              <w:t>$840</w:t>
            </w:r>
          </w:p>
        </w:tc>
        <w:tc>
          <w:tcPr>
            <w:tcW w:w="1005" w:type="dxa"/>
          </w:tcPr>
          <w:p w14:paraId="720D321F" w14:textId="77777777" w:rsidR="000106F0" w:rsidRPr="004A357C" w:rsidRDefault="000106F0" w:rsidP="0045505D">
            <w:pPr>
              <w:pStyle w:val="TableNText"/>
              <w:spacing w:before="60" w:after="60" w:line="240" w:lineRule="auto"/>
            </w:pPr>
            <w:r w:rsidRPr="004A357C">
              <w:t>$240</w:t>
            </w:r>
          </w:p>
        </w:tc>
        <w:tc>
          <w:tcPr>
            <w:tcW w:w="1006" w:type="dxa"/>
          </w:tcPr>
          <w:p w14:paraId="7F48C39F" w14:textId="77777777" w:rsidR="000106F0" w:rsidRPr="004A357C" w:rsidRDefault="000106F0" w:rsidP="0045505D">
            <w:pPr>
              <w:pStyle w:val="TableNText"/>
              <w:spacing w:before="60" w:after="60" w:line="240" w:lineRule="auto"/>
            </w:pPr>
            <w:r w:rsidRPr="004A357C">
              <w:t>29%</w:t>
            </w:r>
          </w:p>
        </w:tc>
        <w:tc>
          <w:tcPr>
            <w:tcW w:w="1006" w:type="dxa"/>
          </w:tcPr>
          <w:p w14:paraId="2585AE6A" w14:textId="77777777" w:rsidR="000106F0" w:rsidRPr="004A357C" w:rsidRDefault="000106F0" w:rsidP="0045505D">
            <w:pPr>
              <w:pStyle w:val="TableNText"/>
              <w:spacing w:before="60" w:after="60" w:line="240" w:lineRule="auto"/>
            </w:pPr>
            <w:r w:rsidRPr="004A357C">
              <w:t>$840</w:t>
            </w:r>
          </w:p>
        </w:tc>
        <w:tc>
          <w:tcPr>
            <w:tcW w:w="1002" w:type="dxa"/>
          </w:tcPr>
          <w:p w14:paraId="1480D188" w14:textId="77777777" w:rsidR="000106F0" w:rsidRPr="004A357C" w:rsidRDefault="000106F0" w:rsidP="0045505D">
            <w:pPr>
              <w:pStyle w:val="TableNText"/>
              <w:spacing w:before="60" w:after="60" w:line="240" w:lineRule="auto"/>
            </w:pPr>
            <w:r w:rsidRPr="004A357C">
              <w:t>$100</w:t>
            </w:r>
          </w:p>
        </w:tc>
        <w:tc>
          <w:tcPr>
            <w:tcW w:w="1006" w:type="dxa"/>
          </w:tcPr>
          <w:p w14:paraId="2CF30AA6" w14:textId="77777777" w:rsidR="000106F0" w:rsidRPr="004A357C" w:rsidRDefault="000106F0" w:rsidP="0045505D">
            <w:pPr>
              <w:pStyle w:val="TableNText"/>
              <w:spacing w:before="60" w:after="60" w:line="240" w:lineRule="auto"/>
            </w:pPr>
            <w:r w:rsidRPr="004A357C">
              <w:t>12%</w:t>
            </w:r>
          </w:p>
        </w:tc>
        <w:tc>
          <w:tcPr>
            <w:tcW w:w="1006" w:type="dxa"/>
          </w:tcPr>
          <w:p w14:paraId="02EC5DA5" w14:textId="77777777" w:rsidR="000106F0" w:rsidRPr="004A357C" w:rsidRDefault="000106F0" w:rsidP="0045505D">
            <w:pPr>
              <w:pStyle w:val="TableNText"/>
              <w:spacing w:before="60" w:after="60" w:line="240" w:lineRule="auto"/>
              <w:rPr>
                <w:rFonts w:asciiTheme="majorHAnsi" w:hAnsiTheme="majorHAnsi" w:cstheme="majorHAnsi"/>
              </w:rPr>
            </w:pPr>
            <w:r w:rsidRPr="004A357C">
              <w:rPr>
                <w:rFonts w:asciiTheme="majorHAnsi" w:hAnsiTheme="majorHAnsi" w:cstheme="majorHAnsi"/>
              </w:rPr>
              <w:t>-17%</w:t>
            </w:r>
          </w:p>
        </w:tc>
      </w:tr>
    </w:tbl>
    <w:p w14:paraId="7AECC9B1" w14:textId="77777777" w:rsidR="0024585F" w:rsidRPr="004A357C" w:rsidRDefault="0024585F" w:rsidP="0024585F">
      <w:pPr>
        <w:rPr>
          <w:lang w:eastAsia="en-AU"/>
        </w:rPr>
      </w:pPr>
    </w:p>
    <w:p w14:paraId="2FC30F57" w14:textId="3882327C" w:rsidR="003F5E17" w:rsidRPr="004A357C" w:rsidRDefault="003F5E17" w:rsidP="003F5E17">
      <w:pPr>
        <w:pStyle w:val="xAppendixLevel2"/>
      </w:pPr>
      <w:bookmarkStart w:id="119" w:name="_Toc237002821"/>
      <w:r w:rsidRPr="004A357C">
        <w:t>Indicator 6: Change in PHI premium increases</w:t>
      </w:r>
      <w:bookmarkEnd w:id="119"/>
    </w:p>
    <w:p w14:paraId="35C25477" w14:textId="2DD4D9E5" w:rsidR="003F5E17" w:rsidRPr="004A357C" w:rsidRDefault="003F5E17" w:rsidP="00861628">
      <w:pPr>
        <w:pStyle w:val="xAppendixLevel3"/>
      </w:pPr>
      <w:r w:rsidRPr="004A357C">
        <w:rPr>
          <w:color w:val="F25E21" w:themeColor="accent2"/>
        </w:rPr>
        <w:t xml:space="preserve">Measure 6.1: </w:t>
      </w:r>
      <w:r w:rsidR="000B4404" w:rsidRPr="004A357C">
        <w:t>PHI premium price changes over time</w:t>
      </w:r>
    </w:p>
    <w:p w14:paraId="78144893" w14:textId="1F6947C6" w:rsidR="00AB7A80" w:rsidRPr="004A357C" w:rsidRDefault="00AB7A80" w:rsidP="00B50EE7">
      <w:pPr>
        <w:pStyle w:val="Caption"/>
      </w:pPr>
      <w:r w:rsidRPr="004A357C">
        <w:t xml:space="preserve">Figure </w:t>
      </w:r>
      <w:r w:rsidR="005539DD">
        <w:fldChar w:fldCharType="begin"/>
      </w:r>
      <w:r w:rsidR="005539DD">
        <w:instrText xml:space="preserve"> SEQ Figure \* ARABIC </w:instrText>
      </w:r>
      <w:r w:rsidR="005539DD">
        <w:fldChar w:fldCharType="separate"/>
      </w:r>
      <w:r w:rsidR="0092693A">
        <w:rPr>
          <w:noProof/>
        </w:rPr>
        <w:t>37</w:t>
      </w:r>
      <w:r w:rsidR="005539DD">
        <w:fldChar w:fldCharType="end"/>
      </w:r>
      <w:r w:rsidRPr="004A357C">
        <w:t xml:space="preserve"> | Average year-on-year premium revenue changes for HT PHI per policy and person (as % of prior year)</w:t>
      </w:r>
      <w:r w:rsidRPr="004A357C">
        <w:rPr>
          <w:rStyle w:val="FootnoteReference"/>
        </w:rPr>
        <w:footnoteReference w:id="154"/>
      </w:r>
    </w:p>
    <w:p w14:paraId="3D31397F" w14:textId="77F19D6E" w:rsidR="00AB7A80" w:rsidRPr="004A357C" w:rsidRDefault="0023255F" w:rsidP="00AB7A80">
      <w:r w:rsidRPr="0023255F">
        <w:rPr>
          <w:noProof/>
        </w:rPr>
        <w:drawing>
          <wp:inline distT="0" distB="0" distL="0" distR="0" wp14:anchorId="0B31744F" wp14:editId="290BED6E">
            <wp:extent cx="5832475" cy="2985770"/>
            <wp:effectExtent l="0" t="0" r="0" b="5080"/>
            <wp:docPr id="124279285" name="Picture 1" descr="Chart showing growth in premium revenue changes per policy and person from FY16 to FY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79285" name="Picture 1" descr="Chart showing growth in premium revenue changes per policy and person from FY16 to FY25."/>
                    <pic:cNvPicPr/>
                  </pic:nvPicPr>
                  <pic:blipFill>
                    <a:blip r:embed="rId61"/>
                    <a:stretch>
                      <a:fillRect/>
                    </a:stretch>
                  </pic:blipFill>
                  <pic:spPr>
                    <a:xfrm>
                      <a:off x="0" y="0"/>
                      <a:ext cx="5832475" cy="2985770"/>
                    </a:xfrm>
                    <a:prstGeom prst="rect">
                      <a:avLst/>
                    </a:prstGeom>
                  </pic:spPr>
                </pic:pic>
              </a:graphicData>
            </a:graphic>
          </wp:inline>
        </w:drawing>
      </w:r>
    </w:p>
    <w:p w14:paraId="394E0077" w14:textId="292A1967" w:rsidR="003F5E17" w:rsidRPr="004A357C" w:rsidRDefault="003F5E17" w:rsidP="003F5E17">
      <w:pPr>
        <w:pStyle w:val="xAppendixLevel2"/>
      </w:pPr>
      <w:bookmarkStart w:id="120" w:name="_Ref202192358"/>
      <w:bookmarkStart w:id="121" w:name="_Toc237002822"/>
      <w:r w:rsidRPr="004A357C">
        <w:t xml:space="preserve">Indicator 7: </w:t>
      </w:r>
      <w:r w:rsidR="00E11AEC" w:rsidRPr="004A357C">
        <w:t>Change in PHI coverage and for whom</w:t>
      </w:r>
      <w:bookmarkEnd w:id="120"/>
      <w:bookmarkEnd w:id="121"/>
    </w:p>
    <w:p w14:paraId="682E90F6" w14:textId="1A94DEA2" w:rsidR="00956FD5" w:rsidRPr="004A357C" w:rsidRDefault="00956FD5" w:rsidP="00861628">
      <w:pPr>
        <w:pStyle w:val="xAppendixLevel3"/>
      </w:pPr>
      <w:r w:rsidRPr="004A357C">
        <w:rPr>
          <w:color w:val="F25E21" w:themeColor="accent2"/>
        </w:rPr>
        <w:t xml:space="preserve">Measure 7.2: </w:t>
      </w:r>
      <w:r w:rsidRPr="004A357C">
        <w:t>Utilisation of PL items by privately insured patients</w:t>
      </w:r>
    </w:p>
    <w:p w14:paraId="06243241" w14:textId="2F92AEE8" w:rsidR="00F84584" w:rsidRPr="004A357C" w:rsidRDefault="00F84584" w:rsidP="00B50EE7">
      <w:pPr>
        <w:pStyle w:val="Caption"/>
      </w:pPr>
      <w:bookmarkStart w:id="122" w:name="_Ref202188951"/>
      <w:r w:rsidRPr="004A357C">
        <w:t xml:space="preserve">Figure </w:t>
      </w:r>
      <w:r w:rsidR="005539DD">
        <w:fldChar w:fldCharType="begin"/>
      </w:r>
      <w:r w:rsidR="005539DD">
        <w:instrText xml:space="preserve"> SEQ Figure \* ARABIC </w:instrText>
      </w:r>
      <w:r w:rsidR="005539DD">
        <w:fldChar w:fldCharType="separate"/>
      </w:r>
      <w:r w:rsidR="0092693A">
        <w:rPr>
          <w:noProof/>
        </w:rPr>
        <w:t>38</w:t>
      </w:r>
      <w:r w:rsidR="005539DD">
        <w:fldChar w:fldCharType="end"/>
      </w:r>
      <w:bookmarkEnd w:id="122"/>
      <w:r w:rsidRPr="004A357C">
        <w:t xml:space="preserve"> | Average prostheses utilisation per 1000 HT PHI members by age</w:t>
      </w:r>
      <w:r w:rsidRPr="00FB712C">
        <w:rPr>
          <w:rStyle w:val="FootnoteReference"/>
        </w:rPr>
        <w:footnoteReference w:id="155"/>
      </w:r>
      <w:r w:rsidRPr="004A357C">
        <w:rPr>
          <w:vertAlign w:val="superscript"/>
        </w:rPr>
        <w:t>,</w:t>
      </w:r>
      <w:r w:rsidRPr="00FB712C">
        <w:rPr>
          <w:rStyle w:val="FootnoteReference"/>
        </w:rPr>
        <w:footnoteReference w:id="156"/>
      </w:r>
    </w:p>
    <w:p w14:paraId="24C16FD8" w14:textId="43EF3896" w:rsidR="000E5700" w:rsidRPr="004A357C" w:rsidRDefault="000E5700" w:rsidP="00F84584">
      <w:pPr>
        <w:rPr>
          <w:lang w:eastAsia="en-AU"/>
        </w:rPr>
      </w:pPr>
      <w:r w:rsidRPr="000E5700">
        <w:rPr>
          <w:noProof/>
          <w:lang w:eastAsia="en-AU"/>
        </w:rPr>
        <w:drawing>
          <wp:inline distT="0" distB="0" distL="0" distR="0" wp14:anchorId="4B5AB087" wp14:editId="2891AEDD">
            <wp:extent cx="5832475" cy="3020060"/>
            <wp:effectExtent l="0" t="0" r="0" b="8890"/>
            <wp:docPr id="229986130" name="Picture 1" descr="Chart showing average prostheses utilisation per 1,000 insured members by age coh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986130" name="Picture 1" descr="Chart showing average prostheses utilisation per 1,000 insured members by age cohort."/>
                    <pic:cNvPicPr/>
                  </pic:nvPicPr>
                  <pic:blipFill>
                    <a:blip r:embed="rId62"/>
                    <a:stretch>
                      <a:fillRect/>
                    </a:stretch>
                  </pic:blipFill>
                  <pic:spPr>
                    <a:xfrm>
                      <a:off x="0" y="0"/>
                      <a:ext cx="5832475" cy="3020060"/>
                    </a:xfrm>
                    <a:prstGeom prst="rect">
                      <a:avLst/>
                    </a:prstGeom>
                  </pic:spPr>
                </pic:pic>
              </a:graphicData>
            </a:graphic>
          </wp:inline>
        </w:drawing>
      </w:r>
    </w:p>
    <w:p w14:paraId="6B307D74" w14:textId="28B179F2" w:rsidR="00E14A9B" w:rsidRPr="004A357C" w:rsidRDefault="00E14A9B" w:rsidP="00FB712C">
      <w:pPr>
        <w:pStyle w:val="xAppendixLevel2"/>
        <w:spacing w:before="480"/>
      </w:pPr>
      <w:bookmarkStart w:id="123" w:name="_Toc204695321"/>
      <w:bookmarkStart w:id="124" w:name="_Toc204767306"/>
      <w:bookmarkStart w:id="125" w:name="_Ref202884080"/>
      <w:bookmarkStart w:id="126" w:name="_Toc237002823"/>
      <w:bookmarkEnd w:id="123"/>
      <w:bookmarkEnd w:id="124"/>
      <w:r w:rsidRPr="004A357C">
        <w:t xml:space="preserve">Indicator </w:t>
      </w:r>
      <w:r w:rsidR="00090F9D" w:rsidRPr="004A357C">
        <w:t>9</w:t>
      </w:r>
      <w:r w:rsidRPr="004A357C">
        <w:t>: Implementation of PL regrouping</w:t>
      </w:r>
      <w:bookmarkEnd w:id="125"/>
      <w:bookmarkEnd w:id="126"/>
    </w:p>
    <w:p w14:paraId="1E617AC9" w14:textId="17A0A3CB" w:rsidR="00E14A9B" w:rsidRPr="004A357C" w:rsidRDefault="00E14A9B" w:rsidP="00861628">
      <w:pPr>
        <w:pStyle w:val="xAppendixLevel3"/>
      </w:pPr>
      <w:r w:rsidRPr="004A357C">
        <w:rPr>
          <w:color w:val="F25E21" w:themeColor="accent2"/>
        </w:rPr>
        <w:t xml:space="preserve">Measure 9.2: </w:t>
      </w:r>
      <w:r w:rsidRPr="004A357C">
        <w:t>Number of PL items and benefit groups</w:t>
      </w:r>
    </w:p>
    <w:p w14:paraId="1CB02E63" w14:textId="3639A9C6" w:rsidR="00E14A9B" w:rsidRPr="004A357C" w:rsidRDefault="00317D5C" w:rsidP="00E14A9B">
      <w:pPr>
        <w:rPr>
          <w:lang w:eastAsia="en-AU"/>
        </w:rPr>
      </w:pPr>
      <w:r w:rsidRPr="004A357C">
        <w:rPr>
          <w:lang w:eastAsia="en-AU"/>
        </w:rPr>
        <w:fldChar w:fldCharType="begin"/>
      </w:r>
      <w:r w:rsidRPr="004A357C">
        <w:rPr>
          <w:lang w:eastAsia="en-AU"/>
        </w:rPr>
        <w:instrText xml:space="preserve"> REF _Ref199403615 \h </w:instrText>
      </w:r>
      <w:r w:rsidRPr="004A357C">
        <w:rPr>
          <w:lang w:eastAsia="en-AU"/>
        </w:rPr>
      </w:r>
      <w:r w:rsidRPr="004A357C">
        <w:rPr>
          <w:lang w:eastAsia="en-AU"/>
        </w:rPr>
        <w:fldChar w:fldCharType="separate"/>
      </w:r>
      <w:r w:rsidR="0092693A" w:rsidRPr="004A357C">
        <w:t xml:space="preserve">Table </w:t>
      </w:r>
      <w:r w:rsidR="0092693A">
        <w:rPr>
          <w:noProof/>
        </w:rPr>
        <w:t>15</w:t>
      </w:r>
      <w:r w:rsidRPr="004A357C">
        <w:rPr>
          <w:lang w:eastAsia="en-AU"/>
        </w:rPr>
        <w:fldChar w:fldCharType="end"/>
      </w:r>
      <w:r w:rsidRPr="004A357C">
        <w:rPr>
          <w:lang w:eastAsia="en-AU"/>
        </w:rPr>
        <w:t xml:space="preserve"> </w:t>
      </w:r>
      <w:r w:rsidR="00C80BAF" w:rsidRPr="004A357C">
        <w:rPr>
          <w:lang w:eastAsia="en-AU"/>
        </w:rPr>
        <w:t xml:space="preserve">below summarises the number of items per category in the </w:t>
      </w:r>
      <w:r w:rsidR="00806F0A">
        <w:rPr>
          <w:lang w:eastAsia="en-AU"/>
        </w:rPr>
        <w:t>July</w:t>
      </w:r>
      <w:r w:rsidR="00C80BAF" w:rsidRPr="004A357C">
        <w:rPr>
          <w:lang w:eastAsia="en-AU"/>
        </w:rPr>
        <w:t xml:space="preserve"> 202</w:t>
      </w:r>
      <w:r w:rsidR="00806F0A">
        <w:rPr>
          <w:lang w:eastAsia="en-AU"/>
        </w:rPr>
        <w:t>5</w:t>
      </w:r>
      <w:r w:rsidR="00C80BAF" w:rsidRPr="004A357C">
        <w:rPr>
          <w:lang w:eastAsia="en-AU"/>
        </w:rPr>
        <w:t xml:space="preserve"> PL. The overall number of items declined from the July 2021 </w:t>
      </w:r>
      <w:r w:rsidR="00280F19">
        <w:rPr>
          <w:lang w:eastAsia="en-AU"/>
        </w:rPr>
        <w:t>PL</w:t>
      </w:r>
      <w:r w:rsidR="00C80BAF" w:rsidRPr="004A357C">
        <w:rPr>
          <w:lang w:eastAsia="en-AU"/>
        </w:rPr>
        <w:t xml:space="preserve"> (see</w:t>
      </w:r>
      <w:r w:rsidR="00740FEC">
        <w:rPr>
          <w:lang w:eastAsia="en-AU"/>
        </w:rPr>
        <w:t xml:space="preserve"> </w:t>
      </w:r>
      <w:r w:rsidR="00531ED5" w:rsidRPr="004A357C">
        <w:rPr>
          <w:lang w:eastAsia="en-AU"/>
        </w:rPr>
        <w:fldChar w:fldCharType="begin"/>
      </w:r>
      <w:r w:rsidR="00531ED5" w:rsidRPr="004A357C">
        <w:rPr>
          <w:lang w:eastAsia="en-AU"/>
        </w:rPr>
        <w:instrText xml:space="preserve"> REF _Ref199404735 \h  \* MERGEFORMAT </w:instrText>
      </w:r>
      <w:r w:rsidR="00531ED5" w:rsidRPr="004A357C">
        <w:rPr>
          <w:lang w:eastAsia="en-AU"/>
        </w:rPr>
      </w:r>
      <w:r w:rsidR="00531ED5" w:rsidRPr="004A357C">
        <w:rPr>
          <w:lang w:eastAsia="en-AU"/>
        </w:rPr>
        <w:fldChar w:fldCharType="separate"/>
      </w:r>
      <w:r w:rsidR="0092693A" w:rsidRPr="004A357C">
        <w:t xml:space="preserve">Figure </w:t>
      </w:r>
      <w:r w:rsidR="0092693A">
        <w:t>39</w:t>
      </w:r>
      <w:r w:rsidR="00531ED5" w:rsidRPr="004A357C">
        <w:rPr>
          <w:lang w:eastAsia="en-AU"/>
        </w:rPr>
        <w:fldChar w:fldCharType="end"/>
      </w:r>
      <w:r w:rsidR="00C80BAF" w:rsidRPr="004A357C">
        <w:rPr>
          <w:lang w:eastAsia="en-AU"/>
        </w:rPr>
        <w:t>)</w:t>
      </w:r>
      <w:r w:rsidR="00F67435" w:rsidRPr="004A357C">
        <w:rPr>
          <w:lang w:eastAsia="en-AU"/>
        </w:rPr>
        <w:t xml:space="preserve">. </w:t>
      </w:r>
      <w:r w:rsidR="00976E89" w:rsidRPr="004A357C">
        <w:rPr>
          <w:lang w:eastAsia="en-AU"/>
        </w:rPr>
        <w:t xml:space="preserve">Part C was the only part with an increase in the number of items, growing from 116 </w:t>
      </w:r>
      <w:r w:rsidR="00241263" w:rsidRPr="004A357C">
        <w:rPr>
          <w:lang w:eastAsia="en-AU"/>
        </w:rPr>
        <w:t xml:space="preserve">in July 2023 </w:t>
      </w:r>
      <w:r w:rsidR="00976E89" w:rsidRPr="004A357C">
        <w:rPr>
          <w:lang w:eastAsia="en-AU"/>
        </w:rPr>
        <w:t>to 14</w:t>
      </w:r>
      <w:r w:rsidR="00280F19">
        <w:rPr>
          <w:lang w:eastAsia="en-AU"/>
        </w:rPr>
        <w:t>3</w:t>
      </w:r>
      <w:r w:rsidR="00241263" w:rsidRPr="004A357C">
        <w:rPr>
          <w:lang w:eastAsia="en-AU"/>
        </w:rPr>
        <w:t xml:space="preserve"> in </w:t>
      </w:r>
      <w:r w:rsidR="00280F19">
        <w:rPr>
          <w:lang w:eastAsia="en-AU"/>
        </w:rPr>
        <w:t>July</w:t>
      </w:r>
      <w:r w:rsidR="00241263" w:rsidRPr="004A357C">
        <w:rPr>
          <w:lang w:eastAsia="en-AU"/>
        </w:rPr>
        <w:t xml:space="preserve"> 202</w:t>
      </w:r>
      <w:r w:rsidR="00280F19">
        <w:rPr>
          <w:lang w:eastAsia="en-AU"/>
        </w:rPr>
        <w:t>5</w:t>
      </w:r>
      <w:r w:rsidR="00241263" w:rsidRPr="004A357C">
        <w:rPr>
          <w:lang w:eastAsia="en-AU"/>
        </w:rPr>
        <w:t>.</w:t>
      </w:r>
    </w:p>
    <w:p w14:paraId="24CA839F" w14:textId="0FBFE24F" w:rsidR="00E14A9B" w:rsidRPr="004A357C" w:rsidRDefault="00E14A9B" w:rsidP="00B50EE7">
      <w:pPr>
        <w:pStyle w:val="Caption"/>
      </w:pPr>
      <w:bookmarkStart w:id="127" w:name="_Ref199403615"/>
      <w:r w:rsidRPr="004A357C">
        <w:t xml:space="preserve">Table </w:t>
      </w:r>
      <w:r w:rsidR="002604D0">
        <w:fldChar w:fldCharType="begin"/>
      </w:r>
      <w:r w:rsidR="002604D0">
        <w:instrText xml:space="preserve"> SEQ Table \* ARABIC </w:instrText>
      </w:r>
      <w:r w:rsidR="002604D0">
        <w:fldChar w:fldCharType="separate"/>
      </w:r>
      <w:r w:rsidR="0092693A">
        <w:rPr>
          <w:noProof/>
        </w:rPr>
        <w:t>15</w:t>
      </w:r>
      <w:r w:rsidR="002604D0">
        <w:fldChar w:fldCharType="end"/>
      </w:r>
      <w:bookmarkEnd w:id="127"/>
      <w:r w:rsidRPr="004A357C">
        <w:t xml:space="preserve"> | Number of items per category in the </w:t>
      </w:r>
      <w:r w:rsidR="008E6599">
        <w:t xml:space="preserve">July </w:t>
      </w:r>
      <w:r w:rsidRPr="004A357C">
        <w:t>202</w:t>
      </w:r>
      <w:r w:rsidR="008E6599">
        <w:t>5</w:t>
      </w:r>
      <w:r w:rsidRPr="004A357C">
        <w:t xml:space="preserve"> PL</w:t>
      </w:r>
      <w:r w:rsidR="00433DE8" w:rsidRPr="004A357C">
        <w:rPr>
          <w:rStyle w:val="FootnoteReference"/>
        </w:rPr>
        <w:footnoteReference w:id="157"/>
      </w:r>
    </w:p>
    <w:tbl>
      <w:tblPr>
        <w:tblStyle w:val="NOUSSideHeader1"/>
        <w:tblW w:w="5000" w:type="pct"/>
        <w:tblLook w:val="04A0" w:firstRow="1" w:lastRow="0" w:firstColumn="1" w:lastColumn="0" w:noHBand="0" w:noVBand="1"/>
      </w:tblPr>
      <w:tblGrid>
        <w:gridCol w:w="820"/>
        <w:gridCol w:w="3798"/>
        <w:gridCol w:w="917"/>
        <w:gridCol w:w="904"/>
        <w:gridCol w:w="904"/>
        <w:gridCol w:w="904"/>
        <w:gridCol w:w="938"/>
      </w:tblGrid>
      <w:tr w:rsidR="008C2D2F" w:rsidRPr="004A357C" w14:paraId="1D922B27" w14:textId="77777777" w:rsidTr="00425B92">
        <w:trPr>
          <w:cnfStyle w:val="100000000000" w:firstRow="1" w:lastRow="0" w:firstColumn="0" w:lastColumn="0" w:oddVBand="0" w:evenVBand="0" w:oddHBand="0" w:evenHBand="0" w:firstRowFirstColumn="0" w:firstRowLastColumn="0" w:lastRowFirstColumn="0" w:lastRowLastColumn="0"/>
          <w:trHeight w:val="162"/>
        </w:trPr>
        <w:tc>
          <w:tcPr>
            <w:tcW w:w="820" w:type="dxa"/>
          </w:tcPr>
          <w:p w14:paraId="2D83799F" w14:textId="77777777" w:rsidR="00F01DF3" w:rsidRPr="004A357C" w:rsidRDefault="00F01DF3" w:rsidP="00FB712C">
            <w:pPr>
              <w:spacing w:before="60" w:after="60"/>
              <w:rPr>
                <w:rFonts w:asciiTheme="majorHAnsi" w:hAnsiTheme="majorHAnsi" w:cstheme="majorHAnsi"/>
                <w:b/>
                <w:sz w:val="18"/>
                <w:szCs w:val="18"/>
              </w:rPr>
            </w:pPr>
          </w:p>
        </w:tc>
        <w:tc>
          <w:tcPr>
            <w:tcW w:w="3798" w:type="dxa"/>
          </w:tcPr>
          <w:p w14:paraId="27DD8C20" w14:textId="77777777" w:rsidR="00F01DF3" w:rsidRPr="004A357C" w:rsidRDefault="00F01DF3" w:rsidP="00FB712C">
            <w:pPr>
              <w:pStyle w:val="TableNheader"/>
              <w:spacing w:before="60" w:after="60" w:line="240" w:lineRule="auto"/>
              <w:rPr>
                <w:b/>
              </w:rPr>
            </w:pPr>
            <w:r w:rsidRPr="004A357C">
              <w:t>Category</w:t>
            </w:r>
          </w:p>
        </w:tc>
        <w:tc>
          <w:tcPr>
            <w:tcW w:w="917" w:type="dxa"/>
          </w:tcPr>
          <w:p w14:paraId="79556669" w14:textId="77777777" w:rsidR="00F01DF3" w:rsidRPr="004A357C" w:rsidRDefault="00F01DF3" w:rsidP="00FB712C">
            <w:pPr>
              <w:pStyle w:val="TableNheader"/>
              <w:spacing w:before="60" w:after="60" w:line="240" w:lineRule="auto"/>
              <w:jc w:val="center"/>
              <w:rPr>
                <w:b/>
              </w:rPr>
            </w:pPr>
            <w:r w:rsidRPr="004A357C">
              <w:t>Part A</w:t>
            </w:r>
          </w:p>
        </w:tc>
        <w:tc>
          <w:tcPr>
            <w:tcW w:w="904" w:type="dxa"/>
          </w:tcPr>
          <w:p w14:paraId="5C46D296" w14:textId="77777777" w:rsidR="00F01DF3" w:rsidRPr="004A357C" w:rsidRDefault="00F01DF3" w:rsidP="00FB712C">
            <w:pPr>
              <w:pStyle w:val="TableNheader"/>
              <w:spacing w:before="60" w:after="60" w:line="240" w:lineRule="auto"/>
              <w:jc w:val="center"/>
              <w:rPr>
                <w:b/>
              </w:rPr>
            </w:pPr>
            <w:r w:rsidRPr="004A357C">
              <w:t>Part B</w:t>
            </w:r>
          </w:p>
        </w:tc>
        <w:tc>
          <w:tcPr>
            <w:tcW w:w="904" w:type="dxa"/>
          </w:tcPr>
          <w:p w14:paraId="2409BBDB" w14:textId="77777777" w:rsidR="00F01DF3" w:rsidRPr="004A357C" w:rsidRDefault="00F01DF3" w:rsidP="00FB712C">
            <w:pPr>
              <w:pStyle w:val="TableNheader"/>
              <w:spacing w:before="60" w:after="60" w:line="240" w:lineRule="auto"/>
              <w:jc w:val="center"/>
            </w:pPr>
            <w:r w:rsidRPr="004A357C">
              <w:t>Part C</w:t>
            </w:r>
          </w:p>
        </w:tc>
        <w:tc>
          <w:tcPr>
            <w:tcW w:w="904" w:type="dxa"/>
          </w:tcPr>
          <w:p w14:paraId="24788199" w14:textId="77777777" w:rsidR="00F01DF3" w:rsidRPr="004A357C" w:rsidRDefault="00F01DF3" w:rsidP="00FB712C">
            <w:pPr>
              <w:pStyle w:val="TableNheader"/>
              <w:spacing w:before="60" w:after="60" w:line="240" w:lineRule="auto"/>
              <w:jc w:val="center"/>
              <w:rPr>
                <w:b/>
              </w:rPr>
            </w:pPr>
            <w:r w:rsidRPr="004A357C">
              <w:t>Part D</w:t>
            </w:r>
          </w:p>
        </w:tc>
        <w:tc>
          <w:tcPr>
            <w:tcW w:w="938" w:type="dxa"/>
          </w:tcPr>
          <w:p w14:paraId="3E109789" w14:textId="77777777" w:rsidR="00F01DF3" w:rsidRPr="004A357C" w:rsidRDefault="00F01DF3" w:rsidP="00FB712C">
            <w:pPr>
              <w:pStyle w:val="TableNheader"/>
              <w:spacing w:before="60" w:after="60" w:line="240" w:lineRule="auto"/>
              <w:jc w:val="center"/>
              <w:rPr>
                <w:b/>
              </w:rPr>
            </w:pPr>
            <w:r w:rsidRPr="004A357C">
              <w:t>Total</w:t>
            </w:r>
          </w:p>
        </w:tc>
      </w:tr>
      <w:tr w:rsidR="00425B92" w:rsidRPr="004A357C" w14:paraId="3A6DFC0C" w14:textId="77777777" w:rsidTr="00425B92">
        <w:trPr>
          <w:cnfStyle w:val="000000100000" w:firstRow="0" w:lastRow="0" w:firstColumn="0" w:lastColumn="0" w:oddVBand="0" w:evenVBand="0" w:oddHBand="1" w:evenHBand="0" w:firstRowFirstColumn="0" w:firstRowLastColumn="0" w:lastRowFirstColumn="0" w:lastRowLastColumn="0"/>
        </w:trPr>
        <w:tc>
          <w:tcPr>
            <w:tcW w:w="820" w:type="dxa"/>
            <w:vMerge w:val="restart"/>
            <w:textDirection w:val="btLr"/>
          </w:tcPr>
          <w:p w14:paraId="0B8E3C7B" w14:textId="77777777" w:rsidR="00425B92" w:rsidRPr="004A357C" w:rsidRDefault="00425B92" w:rsidP="00425B92">
            <w:pPr>
              <w:pStyle w:val="TableNheader"/>
              <w:spacing w:before="60" w:after="60" w:line="240" w:lineRule="auto"/>
              <w:jc w:val="center"/>
            </w:pPr>
            <w:r w:rsidRPr="004A357C">
              <w:t>Parts A, C and D</w:t>
            </w:r>
          </w:p>
        </w:tc>
        <w:tc>
          <w:tcPr>
            <w:tcW w:w="3798" w:type="dxa"/>
          </w:tcPr>
          <w:p w14:paraId="6AB2EED5" w14:textId="043DC880" w:rsidR="00425B92" w:rsidRPr="004A357C" w:rsidRDefault="00425B92" w:rsidP="00425B92">
            <w:pPr>
              <w:pStyle w:val="TableNText"/>
              <w:spacing w:before="60" w:after="60" w:line="240" w:lineRule="auto"/>
              <w:rPr>
                <w:rFonts w:ascii="Segoe UI Semibold" w:hAnsi="Segoe UI Semibold" w:cs="Segoe UI Semibold"/>
              </w:rPr>
            </w:pPr>
            <w:r w:rsidRPr="004A357C">
              <w:rPr>
                <w:rFonts w:ascii="Segoe UI Semibold" w:hAnsi="Segoe UI Semibold" w:cs="Segoe UI Semibold"/>
              </w:rPr>
              <w:t xml:space="preserve">01 </w:t>
            </w:r>
            <w:r w:rsidRPr="004A357C">
              <w:rPr>
                <w:rFonts w:asciiTheme="majorHAnsi" w:hAnsiTheme="majorHAnsi" w:cstheme="majorHAnsi"/>
              </w:rPr>
              <w:t>–</w:t>
            </w:r>
            <w:r w:rsidRPr="004A357C">
              <w:rPr>
                <w:rFonts w:ascii="Segoe UI Semibold" w:hAnsi="Segoe UI Semibold" w:cs="Segoe UI Semibold"/>
              </w:rPr>
              <w:t xml:space="preserve"> Ophthalmic</w:t>
            </w:r>
          </w:p>
        </w:tc>
        <w:tc>
          <w:tcPr>
            <w:tcW w:w="917" w:type="dxa"/>
            <w:vAlign w:val="top"/>
          </w:tcPr>
          <w:p w14:paraId="6D814B66" w14:textId="4FE1473D" w:rsidR="00425B92" w:rsidRPr="004A357C" w:rsidRDefault="00425B92" w:rsidP="00425B92">
            <w:pPr>
              <w:pStyle w:val="TableNText"/>
              <w:spacing w:before="60" w:after="60" w:line="240" w:lineRule="auto"/>
              <w:jc w:val="center"/>
            </w:pPr>
            <w:r w:rsidRPr="00D62920">
              <w:t>369</w:t>
            </w:r>
          </w:p>
        </w:tc>
        <w:tc>
          <w:tcPr>
            <w:tcW w:w="904" w:type="dxa"/>
            <w:vAlign w:val="top"/>
          </w:tcPr>
          <w:p w14:paraId="14368916" w14:textId="3979C61E" w:rsidR="00425B92" w:rsidRPr="004A357C" w:rsidRDefault="00425B92" w:rsidP="00425B92">
            <w:pPr>
              <w:pStyle w:val="TableNText"/>
              <w:spacing w:before="60" w:after="60" w:line="240" w:lineRule="auto"/>
              <w:jc w:val="center"/>
            </w:pPr>
            <w:r w:rsidRPr="00D62920">
              <w:t>-</w:t>
            </w:r>
          </w:p>
        </w:tc>
        <w:tc>
          <w:tcPr>
            <w:tcW w:w="904" w:type="dxa"/>
            <w:vAlign w:val="top"/>
          </w:tcPr>
          <w:p w14:paraId="0B35BC61" w14:textId="46AF428E" w:rsidR="00425B92" w:rsidRPr="004A357C" w:rsidRDefault="00425B92" w:rsidP="00425B92">
            <w:pPr>
              <w:pStyle w:val="TableNText"/>
              <w:spacing w:before="60" w:after="60" w:line="240" w:lineRule="auto"/>
              <w:jc w:val="center"/>
            </w:pPr>
            <w:r w:rsidRPr="00D62920">
              <w:t>-</w:t>
            </w:r>
          </w:p>
        </w:tc>
        <w:tc>
          <w:tcPr>
            <w:tcW w:w="904" w:type="dxa"/>
            <w:vAlign w:val="top"/>
          </w:tcPr>
          <w:p w14:paraId="27888F3C" w14:textId="28117E08" w:rsidR="00425B92" w:rsidRPr="004A357C" w:rsidRDefault="00425B92" w:rsidP="00425B92">
            <w:pPr>
              <w:pStyle w:val="TableNText"/>
              <w:spacing w:before="60" w:after="60" w:line="240" w:lineRule="auto"/>
              <w:jc w:val="center"/>
            </w:pPr>
            <w:r w:rsidRPr="00D62920">
              <w:t>-</w:t>
            </w:r>
          </w:p>
        </w:tc>
        <w:tc>
          <w:tcPr>
            <w:tcW w:w="938" w:type="dxa"/>
            <w:vAlign w:val="top"/>
          </w:tcPr>
          <w:p w14:paraId="3CEBBAE7" w14:textId="638C2090" w:rsidR="00425B92" w:rsidRPr="004A357C" w:rsidRDefault="00425B92" w:rsidP="00425B92">
            <w:pPr>
              <w:pStyle w:val="TableNText"/>
              <w:spacing w:before="60" w:after="60" w:line="240" w:lineRule="auto"/>
              <w:jc w:val="center"/>
              <w:rPr>
                <w:rFonts w:ascii="Segoe UI Semibold" w:hAnsi="Segoe UI Semibold" w:cs="Segoe UI Semibold"/>
              </w:rPr>
            </w:pPr>
            <w:r w:rsidRPr="00D62920">
              <w:t>369</w:t>
            </w:r>
          </w:p>
        </w:tc>
      </w:tr>
      <w:tr w:rsidR="00425B92" w:rsidRPr="004A357C" w14:paraId="7D845280" w14:textId="77777777" w:rsidTr="00425B92">
        <w:trPr>
          <w:cnfStyle w:val="000000010000" w:firstRow="0" w:lastRow="0" w:firstColumn="0" w:lastColumn="0" w:oddVBand="0" w:evenVBand="0" w:oddHBand="0" w:evenHBand="1" w:firstRowFirstColumn="0" w:firstRowLastColumn="0" w:lastRowFirstColumn="0" w:lastRowLastColumn="0"/>
        </w:trPr>
        <w:tc>
          <w:tcPr>
            <w:tcW w:w="820" w:type="dxa"/>
            <w:vMerge/>
          </w:tcPr>
          <w:p w14:paraId="286B20D1" w14:textId="77777777" w:rsidR="00425B92" w:rsidRPr="004A357C" w:rsidRDefault="00425B92" w:rsidP="00425B92">
            <w:pPr>
              <w:pStyle w:val="TableNheader"/>
              <w:spacing w:before="60" w:after="60" w:line="240" w:lineRule="auto"/>
              <w:jc w:val="center"/>
            </w:pPr>
          </w:p>
        </w:tc>
        <w:tc>
          <w:tcPr>
            <w:tcW w:w="3798" w:type="dxa"/>
          </w:tcPr>
          <w:p w14:paraId="30D6BE34" w14:textId="51419BF5" w:rsidR="00425B92" w:rsidRPr="004A357C" w:rsidRDefault="00425B92" w:rsidP="00425B92">
            <w:pPr>
              <w:pStyle w:val="TableNText"/>
              <w:spacing w:before="60" w:after="60" w:line="240" w:lineRule="auto"/>
              <w:rPr>
                <w:rFonts w:ascii="Segoe UI Semibold" w:hAnsi="Segoe UI Semibold" w:cs="Segoe UI Semibold"/>
              </w:rPr>
            </w:pPr>
            <w:r w:rsidRPr="004A357C">
              <w:rPr>
                <w:rFonts w:ascii="Segoe UI Semibold" w:hAnsi="Segoe UI Semibold" w:cs="Segoe UI Semibold"/>
              </w:rPr>
              <w:t xml:space="preserve">02 </w:t>
            </w:r>
            <w:r w:rsidRPr="004A357C">
              <w:rPr>
                <w:rFonts w:asciiTheme="majorHAnsi" w:hAnsiTheme="majorHAnsi" w:cstheme="majorHAnsi"/>
              </w:rPr>
              <w:t>–</w:t>
            </w:r>
            <w:r w:rsidRPr="004A357C">
              <w:rPr>
                <w:rFonts w:ascii="Segoe UI Semibold" w:hAnsi="Segoe UI Semibold" w:cs="Segoe UI Semibold"/>
              </w:rPr>
              <w:t xml:space="preserve"> Ear, Nose &amp; Throat</w:t>
            </w:r>
          </w:p>
        </w:tc>
        <w:tc>
          <w:tcPr>
            <w:tcW w:w="917" w:type="dxa"/>
            <w:vAlign w:val="top"/>
          </w:tcPr>
          <w:p w14:paraId="394BA749" w14:textId="105CB688" w:rsidR="00425B92" w:rsidRPr="004A357C" w:rsidRDefault="00425B92" w:rsidP="00425B92">
            <w:pPr>
              <w:pStyle w:val="TableNText"/>
              <w:spacing w:before="60" w:after="60" w:line="240" w:lineRule="auto"/>
              <w:jc w:val="center"/>
            </w:pPr>
            <w:r w:rsidRPr="00D62920">
              <w:t>162</w:t>
            </w:r>
          </w:p>
        </w:tc>
        <w:tc>
          <w:tcPr>
            <w:tcW w:w="904" w:type="dxa"/>
            <w:vAlign w:val="top"/>
          </w:tcPr>
          <w:p w14:paraId="265D5F8E" w14:textId="75C988F5" w:rsidR="00425B92" w:rsidRPr="004A357C" w:rsidRDefault="00425B92" w:rsidP="00425B92">
            <w:pPr>
              <w:pStyle w:val="TableNText"/>
              <w:spacing w:before="60" w:after="60" w:line="240" w:lineRule="auto"/>
              <w:jc w:val="center"/>
            </w:pPr>
            <w:r w:rsidRPr="00D62920">
              <w:t>-</w:t>
            </w:r>
          </w:p>
        </w:tc>
        <w:tc>
          <w:tcPr>
            <w:tcW w:w="904" w:type="dxa"/>
            <w:vAlign w:val="top"/>
          </w:tcPr>
          <w:p w14:paraId="6727A1BA" w14:textId="1A148474" w:rsidR="00425B92" w:rsidRPr="004A357C" w:rsidRDefault="00425B92" w:rsidP="00425B92">
            <w:pPr>
              <w:pStyle w:val="TableNText"/>
              <w:spacing w:before="60" w:after="60" w:line="240" w:lineRule="auto"/>
              <w:jc w:val="center"/>
            </w:pPr>
            <w:r w:rsidRPr="00D62920">
              <w:t>-</w:t>
            </w:r>
          </w:p>
        </w:tc>
        <w:tc>
          <w:tcPr>
            <w:tcW w:w="904" w:type="dxa"/>
            <w:vAlign w:val="top"/>
          </w:tcPr>
          <w:p w14:paraId="76743FEC" w14:textId="07106BF7" w:rsidR="00425B92" w:rsidRPr="004A357C" w:rsidRDefault="00425B92" w:rsidP="00425B92">
            <w:pPr>
              <w:pStyle w:val="TableNText"/>
              <w:spacing w:before="60" w:after="60" w:line="240" w:lineRule="auto"/>
              <w:jc w:val="center"/>
            </w:pPr>
            <w:r w:rsidRPr="00D62920">
              <w:t>-</w:t>
            </w:r>
          </w:p>
        </w:tc>
        <w:tc>
          <w:tcPr>
            <w:tcW w:w="938" w:type="dxa"/>
            <w:vAlign w:val="top"/>
          </w:tcPr>
          <w:p w14:paraId="64C53B64" w14:textId="5A8DBF51" w:rsidR="00425B92" w:rsidRPr="004A357C" w:rsidRDefault="00425B92" w:rsidP="00425B92">
            <w:pPr>
              <w:pStyle w:val="TableNText"/>
              <w:spacing w:before="60" w:after="60" w:line="240" w:lineRule="auto"/>
              <w:jc w:val="center"/>
              <w:rPr>
                <w:rFonts w:ascii="Segoe UI Semibold" w:hAnsi="Segoe UI Semibold" w:cs="Segoe UI Semibold"/>
              </w:rPr>
            </w:pPr>
            <w:r w:rsidRPr="00D62920">
              <w:t>162</w:t>
            </w:r>
          </w:p>
        </w:tc>
      </w:tr>
      <w:tr w:rsidR="00425B92" w:rsidRPr="004A357C" w14:paraId="2D6DA4AF" w14:textId="77777777" w:rsidTr="00425B92">
        <w:trPr>
          <w:cnfStyle w:val="000000100000" w:firstRow="0" w:lastRow="0" w:firstColumn="0" w:lastColumn="0" w:oddVBand="0" w:evenVBand="0" w:oddHBand="1" w:evenHBand="0" w:firstRowFirstColumn="0" w:firstRowLastColumn="0" w:lastRowFirstColumn="0" w:lastRowLastColumn="0"/>
        </w:trPr>
        <w:tc>
          <w:tcPr>
            <w:tcW w:w="820" w:type="dxa"/>
            <w:vMerge/>
          </w:tcPr>
          <w:p w14:paraId="585DFD46" w14:textId="77777777" w:rsidR="00425B92" w:rsidRPr="004A357C" w:rsidRDefault="00425B92" w:rsidP="00425B92">
            <w:pPr>
              <w:pStyle w:val="TableNheader"/>
              <w:spacing w:before="60" w:after="60" w:line="240" w:lineRule="auto"/>
              <w:jc w:val="center"/>
            </w:pPr>
          </w:p>
        </w:tc>
        <w:tc>
          <w:tcPr>
            <w:tcW w:w="3798" w:type="dxa"/>
          </w:tcPr>
          <w:p w14:paraId="28CA3B2D" w14:textId="5D08EE74" w:rsidR="00425B92" w:rsidRPr="004A357C" w:rsidRDefault="00425B92" w:rsidP="00425B92">
            <w:pPr>
              <w:pStyle w:val="TableNText"/>
              <w:spacing w:before="60" w:after="60" w:line="240" w:lineRule="auto"/>
              <w:rPr>
                <w:rFonts w:ascii="Segoe UI Semibold" w:hAnsi="Segoe UI Semibold" w:cs="Segoe UI Semibold"/>
              </w:rPr>
            </w:pPr>
            <w:r w:rsidRPr="004A357C">
              <w:rPr>
                <w:rFonts w:ascii="Segoe UI Semibold" w:hAnsi="Segoe UI Semibold" w:cs="Segoe UI Semibold"/>
              </w:rPr>
              <w:t xml:space="preserve">03 </w:t>
            </w:r>
            <w:r w:rsidRPr="004A357C">
              <w:rPr>
                <w:rFonts w:asciiTheme="majorHAnsi" w:hAnsiTheme="majorHAnsi" w:cstheme="majorHAnsi"/>
              </w:rPr>
              <w:t>–</w:t>
            </w:r>
            <w:r w:rsidRPr="004A357C">
              <w:rPr>
                <w:rFonts w:ascii="Segoe UI Semibold" w:hAnsi="Segoe UI Semibold" w:cs="Segoe UI Semibold"/>
              </w:rPr>
              <w:t xml:space="preserve"> General Miscellaneous</w:t>
            </w:r>
          </w:p>
        </w:tc>
        <w:tc>
          <w:tcPr>
            <w:tcW w:w="917" w:type="dxa"/>
            <w:vAlign w:val="top"/>
          </w:tcPr>
          <w:p w14:paraId="714CF188" w14:textId="6A5CF2FC" w:rsidR="00425B92" w:rsidRPr="004A357C" w:rsidRDefault="00425B92" w:rsidP="00425B92">
            <w:pPr>
              <w:pStyle w:val="TableNText"/>
              <w:spacing w:before="60" w:after="60" w:line="240" w:lineRule="auto"/>
              <w:jc w:val="center"/>
            </w:pPr>
            <w:r w:rsidRPr="00D62920">
              <w:t>314</w:t>
            </w:r>
          </w:p>
        </w:tc>
        <w:tc>
          <w:tcPr>
            <w:tcW w:w="904" w:type="dxa"/>
            <w:vAlign w:val="top"/>
          </w:tcPr>
          <w:p w14:paraId="2FDAD37C" w14:textId="309E850F" w:rsidR="00425B92" w:rsidRPr="004A357C" w:rsidRDefault="00425B92" w:rsidP="00425B92">
            <w:pPr>
              <w:pStyle w:val="TableNText"/>
              <w:spacing w:before="60" w:after="60" w:line="240" w:lineRule="auto"/>
              <w:jc w:val="center"/>
            </w:pPr>
            <w:r w:rsidRPr="00D62920">
              <w:t>-</w:t>
            </w:r>
          </w:p>
        </w:tc>
        <w:tc>
          <w:tcPr>
            <w:tcW w:w="904" w:type="dxa"/>
            <w:vAlign w:val="top"/>
          </w:tcPr>
          <w:p w14:paraId="78F0173B" w14:textId="1B451DD4" w:rsidR="00425B92" w:rsidRPr="004A357C" w:rsidRDefault="00425B92" w:rsidP="00425B92">
            <w:pPr>
              <w:pStyle w:val="TableNText"/>
              <w:spacing w:before="60" w:after="60" w:line="240" w:lineRule="auto"/>
              <w:jc w:val="center"/>
            </w:pPr>
            <w:r w:rsidRPr="00D62920">
              <w:t>12</w:t>
            </w:r>
          </w:p>
        </w:tc>
        <w:tc>
          <w:tcPr>
            <w:tcW w:w="904" w:type="dxa"/>
            <w:vAlign w:val="top"/>
          </w:tcPr>
          <w:p w14:paraId="2DB834CF" w14:textId="26BB70D6" w:rsidR="00425B92" w:rsidRPr="004A357C" w:rsidRDefault="00425B92" w:rsidP="00425B92">
            <w:pPr>
              <w:pStyle w:val="TableNText"/>
              <w:spacing w:before="60" w:after="60" w:line="240" w:lineRule="auto"/>
              <w:jc w:val="center"/>
            </w:pPr>
            <w:r w:rsidRPr="00D62920">
              <w:t>432</w:t>
            </w:r>
          </w:p>
        </w:tc>
        <w:tc>
          <w:tcPr>
            <w:tcW w:w="938" w:type="dxa"/>
            <w:vAlign w:val="top"/>
          </w:tcPr>
          <w:p w14:paraId="0ECEC524" w14:textId="7C3AC273" w:rsidR="00425B92" w:rsidRPr="004A357C" w:rsidRDefault="00425B92" w:rsidP="00425B92">
            <w:pPr>
              <w:pStyle w:val="TableNText"/>
              <w:spacing w:before="60" w:after="60" w:line="240" w:lineRule="auto"/>
              <w:jc w:val="center"/>
              <w:rPr>
                <w:rFonts w:ascii="Segoe UI Semibold" w:hAnsi="Segoe UI Semibold" w:cs="Segoe UI Semibold"/>
              </w:rPr>
            </w:pPr>
            <w:r w:rsidRPr="00D62920">
              <w:t>758</w:t>
            </w:r>
          </w:p>
        </w:tc>
      </w:tr>
      <w:tr w:rsidR="00425B92" w:rsidRPr="004A357C" w14:paraId="70B8E82A" w14:textId="77777777" w:rsidTr="00425B92">
        <w:trPr>
          <w:cnfStyle w:val="000000010000" w:firstRow="0" w:lastRow="0" w:firstColumn="0" w:lastColumn="0" w:oddVBand="0" w:evenVBand="0" w:oddHBand="0" w:evenHBand="1" w:firstRowFirstColumn="0" w:firstRowLastColumn="0" w:lastRowFirstColumn="0" w:lastRowLastColumn="0"/>
        </w:trPr>
        <w:tc>
          <w:tcPr>
            <w:tcW w:w="820" w:type="dxa"/>
            <w:vMerge/>
          </w:tcPr>
          <w:p w14:paraId="6253A6AA" w14:textId="77777777" w:rsidR="00425B92" w:rsidRPr="004A357C" w:rsidRDefault="00425B92" w:rsidP="00425B92">
            <w:pPr>
              <w:pStyle w:val="TableNheader"/>
              <w:spacing w:before="60" w:after="60" w:line="240" w:lineRule="auto"/>
              <w:jc w:val="center"/>
            </w:pPr>
          </w:p>
        </w:tc>
        <w:tc>
          <w:tcPr>
            <w:tcW w:w="3798" w:type="dxa"/>
          </w:tcPr>
          <w:p w14:paraId="3E2DA079" w14:textId="3AB0B9EC" w:rsidR="00425B92" w:rsidRPr="004A357C" w:rsidRDefault="00425B92" w:rsidP="00425B92">
            <w:pPr>
              <w:pStyle w:val="TableNText"/>
              <w:spacing w:before="60" w:after="60" w:line="240" w:lineRule="auto"/>
              <w:rPr>
                <w:rFonts w:ascii="Segoe UI Semibold" w:hAnsi="Segoe UI Semibold" w:cs="Segoe UI Semibold"/>
              </w:rPr>
            </w:pPr>
            <w:r w:rsidRPr="004A357C">
              <w:rPr>
                <w:rFonts w:ascii="Segoe UI Semibold" w:hAnsi="Segoe UI Semibold" w:cs="Segoe UI Semibold"/>
              </w:rPr>
              <w:t xml:space="preserve">04 </w:t>
            </w:r>
            <w:r w:rsidRPr="004A357C">
              <w:rPr>
                <w:rFonts w:asciiTheme="majorHAnsi" w:hAnsiTheme="majorHAnsi" w:cstheme="majorHAnsi"/>
              </w:rPr>
              <w:t>–</w:t>
            </w:r>
            <w:r w:rsidRPr="004A357C">
              <w:rPr>
                <w:rFonts w:ascii="Segoe UI Semibold" w:hAnsi="Segoe UI Semibold" w:cs="Segoe UI Semibold"/>
              </w:rPr>
              <w:t xml:space="preserve"> Neurosurgical</w:t>
            </w:r>
          </w:p>
        </w:tc>
        <w:tc>
          <w:tcPr>
            <w:tcW w:w="917" w:type="dxa"/>
            <w:vAlign w:val="top"/>
          </w:tcPr>
          <w:p w14:paraId="77721E31" w14:textId="1AC7F5E2" w:rsidR="00425B92" w:rsidRPr="004A357C" w:rsidRDefault="00425B92" w:rsidP="00425B92">
            <w:pPr>
              <w:pStyle w:val="TableNText"/>
              <w:spacing w:before="60" w:after="60" w:line="240" w:lineRule="auto"/>
              <w:jc w:val="center"/>
            </w:pPr>
            <w:r w:rsidRPr="00D62920">
              <w:t>407</w:t>
            </w:r>
          </w:p>
        </w:tc>
        <w:tc>
          <w:tcPr>
            <w:tcW w:w="904" w:type="dxa"/>
            <w:vAlign w:val="top"/>
          </w:tcPr>
          <w:p w14:paraId="6FFD2EA4" w14:textId="571AC1EF" w:rsidR="00425B92" w:rsidRPr="004A357C" w:rsidRDefault="00425B92" w:rsidP="00425B92">
            <w:pPr>
              <w:pStyle w:val="TableNText"/>
              <w:spacing w:before="60" w:after="60" w:line="240" w:lineRule="auto"/>
              <w:jc w:val="center"/>
            </w:pPr>
            <w:r w:rsidRPr="00D62920">
              <w:t>-</w:t>
            </w:r>
          </w:p>
        </w:tc>
        <w:tc>
          <w:tcPr>
            <w:tcW w:w="904" w:type="dxa"/>
            <w:vAlign w:val="top"/>
          </w:tcPr>
          <w:p w14:paraId="5EF338B2" w14:textId="5CE9E440" w:rsidR="00425B92" w:rsidRPr="004A357C" w:rsidRDefault="00425B92" w:rsidP="00425B92">
            <w:pPr>
              <w:pStyle w:val="TableNText"/>
              <w:spacing w:before="60" w:after="60" w:line="240" w:lineRule="auto"/>
              <w:jc w:val="center"/>
            </w:pPr>
            <w:r w:rsidRPr="00D62920">
              <w:t>-</w:t>
            </w:r>
          </w:p>
        </w:tc>
        <w:tc>
          <w:tcPr>
            <w:tcW w:w="904" w:type="dxa"/>
            <w:vAlign w:val="top"/>
          </w:tcPr>
          <w:p w14:paraId="33D2ECE4" w14:textId="05BB8099" w:rsidR="00425B92" w:rsidRPr="004A357C" w:rsidRDefault="00425B92" w:rsidP="00425B92">
            <w:pPr>
              <w:pStyle w:val="TableNText"/>
              <w:spacing w:before="60" w:after="60" w:line="240" w:lineRule="auto"/>
              <w:jc w:val="center"/>
            </w:pPr>
            <w:r w:rsidRPr="00D62920">
              <w:t>4</w:t>
            </w:r>
          </w:p>
        </w:tc>
        <w:tc>
          <w:tcPr>
            <w:tcW w:w="938" w:type="dxa"/>
            <w:vAlign w:val="top"/>
          </w:tcPr>
          <w:p w14:paraId="3DD6B3B4" w14:textId="2EB50D16" w:rsidR="00425B92" w:rsidRPr="004A357C" w:rsidRDefault="00425B92" w:rsidP="00425B92">
            <w:pPr>
              <w:pStyle w:val="TableNText"/>
              <w:spacing w:before="60" w:after="60" w:line="240" w:lineRule="auto"/>
              <w:jc w:val="center"/>
              <w:rPr>
                <w:rFonts w:ascii="Segoe UI Semibold" w:hAnsi="Segoe UI Semibold" w:cs="Segoe UI Semibold"/>
              </w:rPr>
            </w:pPr>
            <w:r w:rsidRPr="00D62920">
              <w:t>411</w:t>
            </w:r>
          </w:p>
        </w:tc>
      </w:tr>
      <w:tr w:rsidR="00425B92" w:rsidRPr="004A357C" w14:paraId="7E2919C9" w14:textId="77777777" w:rsidTr="00425B92">
        <w:trPr>
          <w:cnfStyle w:val="000000100000" w:firstRow="0" w:lastRow="0" w:firstColumn="0" w:lastColumn="0" w:oddVBand="0" w:evenVBand="0" w:oddHBand="1" w:evenHBand="0" w:firstRowFirstColumn="0" w:firstRowLastColumn="0" w:lastRowFirstColumn="0" w:lastRowLastColumn="0"/>
        </w:trPr>
        <w:tc>
          <w:tcPr>
            <w:tcW w:w="820" w:type="dxa"/>
            <w:vMerge/>
          </w:tcPr>
          <w:p w14:paraId="00AF830E" w14:textId="77777777" w:rsidR="00425B92" w:rsidRPr="004A357C" w:rsidRDefault="00425B92" w:rsidP="00425B92">
            <w:pPr>
              <w:pStyle w:val="TableNheader"/>
              <w:spacing w:before="60" w:after="60" w:line="240" w:lineRule="auto"/>
              <w:jc w:val="center"/>
            </w:pPr>
          </w:p>
        </w:tc>
        <w:tc>
          <w:tcPr>
            <w:tcW w:w="3798" w:type="dxa"/>
          </w:tcPr>
          <w:p w14:paraId="684363DC" w14:textId="28D96E26" w:rsidR="00425B92" w:rsidRPr="004A357C" w:rsidRDefault="00425B92" w:rsidP="00425B92">
            <w:pPr>
              <w:pStyle w:val="TableNText"/>
              <w:spacing w:before="60" w:after="60" w:line="240" w:lineRule="auto"/>
              <w:rPr>
                <w:rFonts w:ascii="Segoe UI Semibold" w:hAnsi="Segoe UI Semibold" w:cs="Segoe UI Semibold"/>
              </w:rPr>
            </w:pPr>
            <w:r w:rsidRPr="004A357C">
              <w:rPr>
                <w:rFonts w:ascii="Segoe UI Semibold" w:hAnsi="Segoe UI Semibold" w:cs="Segoe UI Semibold"/>
              </w:rPr>
              <w:t xml:space="preserve">05 </w:t>
            </w:r>
            <w:r w:rsidRPr="004A357C">
              <w:rPr>
                <w:rFonts w:asciiTheme="majorHAnsi" w:hAnsiTheme="majorHAnsi" w:cstheme="majorHAnsi"/>
              </w:rPr>
              <w:t>–</w:t>
            </w:r>
            <w:r w:rsidRPr="004A357C">
              <w:rPr>
                <w:rFonts w:ascii="Segoe UI Semibold" w:hAnsi="Segoe UI Semibold" w:cs="Segoe UI Semibold"/>
              </w:rPr>
              <w:t xml:space="preserve"> Urogenital</w:t>
            </w:r>
          </w:p>
        </w:tc>
        <w:tc>
          <w:tcPr>
            <w:tcW w:w="917" w:type="dxa"/>
            <w:vAlign w:val="top"/>
          </w:tcPr>
          <w:p w14:paraId="7C5ADC77" w14:textId="60061A83" w:rsidR="00425B92" w:rsidRPr="004A357C" w:rsidRDefault="00425B92" w:rsidP="00425B92">
            <w:pPr>
              <w:pStyle w:val="TableNText"/>
              <w:spacing w:before="60" w:after="60" w:line="240" w:lineRule="auto"/>
              <w:jc w:val="center"/>
            </w:pPr>
            <w:r w:rsidRPr="00D62920">
              <w:t>162</w:t>
            </w:r>
          </w:p>
        </w:tc>
        <w:tc>
          <w:tcPr>
            <w:tcW w:w="904" w:type="dxa"/>
            <w:vAlign w:val="top"/>
          </w:tcPr>
          <w:p w14:paraId="44C8BBF7" w14:textId="1952AB25" w:rsidR="00425B92" w:rsidRPr="004A357C" w:rsidRDefault="00425B92" w:rsidP="00425B92">
            <w:pPr>
              <w:pStyle w:val="TableNText"/>
              <w:spacing w:before="60" w:after="60" w:line="240" w:lineRule="auto"/>
              <w:jc w:val="center"/>
            </w:pPr>
            <w:r w:rsidRPr="00D62920">
              <w:t>-</w:t>
            </w:r>
          </w:p>
        </w:tc>
        <w:tc>
          <w:tcPr>
            <w:tcW w:w="904" w:type="dxa"/>
            <w:vAlign w:val="top"/>
          </w:tcPr>
          <w:p w14:paraId="63DFBA96" w14:textId="2878EC06" w:rsidR="00425B92" w:rsidRPr="004A357C" w:rsidRDefault="00425B92" w:rsidP="00425B92">
            <w:pPr>
              <w:pStyle w:val="TableNText"/>
              <w:spacing w:before="60" w:after="60" w:line="240" w:lineRule="auto"/>
              <w:jc w:val="center"/>
            </w:pPr>
            <w:r w:rsidRPr="00D62920">
              <w:t>1</w:t>
            </w:r>
          </w:p>
        </w:tc>
        <w:tc>
          <w:tcPr>
            <w:tcW w:w="904" w:type="dxa"/>
            <w:vAlign w:val="top"/>
          </w:tcPr>
          <w:p w14:paraId="1905EDC0" w14:textId="174FC4CE" w:rsidR="00425B92" w:rsidRPr="004A357C" w:rsidRDefault="00425B92" w:rsidP="00425B92">
            <w:pPr>
              <w:pStyle w:val="TableNText"/>
              <w:spacing w:before="60" w:after="60" w:line="240" w:lineRule="auto"/>
              <w:jc w:val="center"/>
            </w:pPr>
            <w:r w:rsidRPr="00D62920">
              <w:t>-</w:t>
            </w:r>
          </w:p>
        </w:tc>
        <w:tc>
          <w:tcPr>
            <w:tcW w:w="938" w:type="dxa"/>
            <w:vAlign w:val="top"/>
          </w:tcPr>
          <w:p w14:paraId="137EAFC0" w14:textId="62A2520E" w:rsidR="00425B92" w:rsidRPr="004A357C" w:rsidRDefault="00425B92" w:rsidP="00425B92">
            <w:pPr>
              <w:pStyle w:val="TableNText"/>
              <w:spacing w:before="60" w:after="60" w:line="240" w:lineRule="auto"/>
              <w:jc w:val="center"/>
              <w:rPr>
                <w:rFonts w:ascii="Segoe UI Semibold" w:hAnsi="Segoe UI Semibold" w:cs="Segoe UI Semibold"/>
              </w:rPr>
            </w:pPr>
            <w:r w:rsidRPr="00D62920">
              <w:t>163</w:t>
            </w:r>
          </w:p>
        </w:tc>
      </w:tr>
      <w:tr w:rsidR="00425B92" w:rsidRPr="004A357C" w14:paraId="73A79D66" w14:textId="77777777" w:rsidTr="00425B92">
        <w:trPr>
          <w:cnfStyle w:val="000000010000" w:firstRow="0" w:lastRow="0" w:firstColumn="0" w:lastColumn="0" w:oddVBand="0" w:evenVBand="0" w:oddHBand="0" w:evenHBand="1" w:firstRowFirstColumn="0" w:firstRowLastColumn="0" w:lastRowFirstColumn="0" w:lastRowLastColumn="0"/>
        </w:trPr>
        <w:tc>
          <w:tcPr>
            <w:tcW w:w="820" w:type="dxa"/>
            <w:vMerge/>
          </w:tcPr>
          <w:p w14:paraId="09CF2756" w14:textId="77777777" w:rsidR="00425B92" w:rsidRPr="004A357C" w:rsidRDefault="00425B92" w:rsidP="00425B92">
            <w:pPr>
              <w:pStyle w:val="TableNheader"/>
              <w:spacing w:before="60" w:after="60" w:line="240" w:lineRule="auto"/>
              <w:jc w:val="center"/>
            </w:pPr>
          </w:p>
        </w:tc>
        <w:tc>
          <w:tcPr>
            <w:tcW w:w="3798" w:type="dxa"/>
          </w:tcPr>
          <w:p w14:paraId="6B24D6B2" w14:textId="3863725C" w:rsidR="00425B92" w:rsidRPr="004A357C" w:rsidRDefault="00425B92" w:rsidP="00425B92">
            <w:pPr>
              <w:pStyle w:val="TableNText"/>
              <w:spacing w:before="60" w:after="60" w:line="240" w:lineRule="auto"/>
              <w:rPr>
                <w:rFonts w:ascii="Segoe UI Semibold" w:hAnsi="Segoe UI Semibold" w:cs="Segoe UI Semibold"/>
              </w:rPr>
            </w:pPr>
            <w:r w:rsidRPr="004A357C">
              <w:rPr>
                <w:rFonts w:ascii="Segoe UI Semibold" w:hAnsi="Segoe UI Semibold" w:cs="Segoe UI Semibold"/>
              </w:rPr>
              <w:t xml:space="preserve">06 </w:t>
            </w:r>
            <w:r w:rsidRPr="004A357C">
              <w:rPr>
                <w:rFonts w:asciiTheme="majorHAnsi" w:hAnsiTheme="majorHAnsi" w:cstheme="majorHAnsi"/>
              </w:rPr>
              <w:t>–</w:t>
            </w:r>
            <w:r w:rsidRPr="004A357C">
              <w:rPr>
                <w:rFonts w:ascii="Segoe UI Semibold" w:hAnsi="Segoe UI Semibold" w:cs="Segoe UI Semibold"/>
              </w:rPr>
              <w:t xml:space="preserve"> Specialist Orthopaedic</w:t>
            </w:r>
          </w:p>
        </w:tc>
        <w:tc>
          <w:tcPr>
            <w:tcW w:w="917" w:type="dxa"/>
            <w:vAlign w:val="top"/>
          </w:tcPr>
          <w:p w14:paraId="7F4D5D4D" w14:textId="209FFE14" w:rsidR="00425B92" w:rsidRPr="004A357C" w:rsidRDefault="00425B92" w:rsidP="00425B92">
            <w:pPr>
              <w:pStyle w:val="TableNText"/>
              <w:spacing w:before="60" w:after="60" w:line="240" w:lineRule="auto"/>
              <w:jc w:val="center"/>
            </w:pPr>
            <w:r w:rsidRPr="00D62920">
              <w:t>3459</w:t>
            </w:r>
          </w:p>
        </w:tc>
        <w:tc>
          <w:tcPr>
            <w:tcW w:w="904" w:type="dxa"/>
            <w:vAlign w:val="top"/>
          </w:tcPr>
          <w:p w14:paraId="56014FE1" w14:textId="04618C32" w:rsidR="00425B92" w:rsidRPr="004A357C" w:rsidRDefault="00425B92" w:rsidP="00425B92">
            <w:pPr>
              <w:pStyle w:val="TableNText"/>
              <w:spacing w:before="60" w:after="60" w:line="240" w:lineRule="auto"/>
              <w:jc w:val="center"/>
            </w:pPr>
            <w:r w:rsidRPr="00D62920">
              <w:t>-</w:t>
            </w:r>
          </w:p>
        </w:tc>
        <w:tc>
          <w:tcPr>
            <w:tcW w:w="904" w:type="dxa"/>
            <w:vAlign w:val="top"/>
          </w:tcPr>
          <w:p w14:paraId="0B623CCA" w14:textId="5B690A97" w:rsidR="00425B92" w:rsidRPr="004A357C" w:rsidRDefault="00425B92" w:rsidP="00425B92">
            <w:pPr>
              <w:pStyle w:val="TableNText"/>
              <w:spacing w:before="60" w:after="60" w:line="240" w:lineRule="auto"/>
              <w:jc w:val="center"/>
            </w:pPr>
            <w:r w:rsidRPr="00D62920">
              <w:t>-</w:t>
            </w:r>
          </w:p>
        </w:tc>
        <w:tc>
          <w:tcPr>
            <w:tcW w:w="904" w:type="dxa"/>
            <w:vAlign w:val="top"/>
          </w:tcPr>
          <w:p w14:paraId="52C2C0E3" w14:textId="06CD3EA1" w:rsidR="00425B92" w:rsidRPr="004A357C" w:rsidRDefault="00425B92" w:rsidP="00425B92">
            <w:pPr>
              <w:pStyle w:val="TableNText"/>
              <w:spacing w:before="60" w:after="60" w:line="240" w:lineRule="auto"/>
              <w:jc w:val="center"/>
            </w:pPr>
            <w:r w:rsidRPr="00D62920">
              <w:t>-</w:t>
            </w:r>
          </w:p>
        </w:tc>
        <w:tc>
          <w:tcPr>
            <w:tcW w:w="938" w:type="dxa"/>
            <w:vAlign w:val="top"/>
          </w:tcPr>
          <w:p w14:paraId="146EA473" w14:textId="0D81565D" w:rsidR="00425B92" w:rsidRPr="004A357C" w:rsidRDefault="00425B92" w:rsidP="00425B92">
            <w:pPr>
              <w:pStyle w:val="TableNText"/>
              <w:spacing w:before="60" w:after="60" w:line="240" w:lineRule="auto"/>
              <w:jc w:val="center"/>
              <w:rPr>
                <w:rFonts w:ascii="Segoe UI Semibold" w:hAnsi="Segoe UI Semibold" w:cs="Segoe UI Semibold"/>
              </w:rPr>
            </w:pPr>
            <w:r w:rsidRPr="00D62920">
              <w:t>3</w:t>
            </w:r>
            <w:r w:rsidR="00E62C2B">
              <w:t>,</w:t>
            </w:r>
            <w:r w:rsidRPr="00D62920">
              <w:t>459</w:t>
            </w:r>
          </w:p>
        </w:tc>
      </w:tr>
      <w:tr w:rsidR="00425B92" w:rsidRPr="004A357C" w14:paraId="2C17B6C0" w14:textId="77777777" w:rsidTr="00425B92">
        <w:trPr>
          <w:cnfStyle w:val="000000100000" w:firstRow="0" w:lastRow="0" w:firstColumn="0" w:lastColumn="0" w:oddVBand="0" w:evenVBand="0" w:oddHBand="1" w:evenHBand="0" w:firstRowFirstColumn="0" w:firstRowLastColumn="0" w:lastRowFirstColumn="0" w:lastRowLastColumn="0"/>
        </w:trPr>
        <w:tc>
          <w:tcPr>
            <w:tcW w:w="820" w:type="dxa"/>
            <w:vMerge/>
          </w:tcPr>
          <w:p w14:paraId="004E5928" w14:textId="77777777" w:rsidR="00425B92" w:rsidRPr="004A357C" w:rsidRDefault="00425B92" w:rsidP="00425B92">
            <w:pPr>
              <w:pStyle w:val="TableNheader"/>
              <w:spacing w:before="60" w:after="60" w:line="240" w:lineRule="auto"/>
              <w:jc w:val="center"/>
            </w:pPr>
          </w:p>
        </w:tc>
        <w:tc>
          <w:tcPr>
            <w:tcW w:w="3798" w:type="dxa"/>
          </w:tcPr>
          <w:p w14:paraId="58BEF3D3" w14:textId="5A2702FF" w:rsidR="00425B92" w:rsidRPr="004A357C" w:rsidRDefault="00425B92" w:rsidP="00425B92">
            <w:pPr>
              <w:pStyle w:val="TableNText"/>
              <w:spacing w:before="60" w:after="60" w:line="240" w:lineRule="auto"/>
              <w:rPr>
                <w:rFonts w:ascii="Segoe UI Semibold" w:hAnsi="Segoe UI Semibold" w:cs="Segoe UI Semibold"/>
              </w:rPr>
            </w:pPr>
            <w:r w:rsidRPr="004A357C">
              <w:rPr>
                <w:rFonts w:ascii="Segoe UI Semibold" w:hAnsi="Segoe UI Semibold" w:cs="Segoe UI Semibold"/>
              </w:rPr>
              <w:t xml:space="preserve">07 </w:t>
            </w:r>
            <w:r w:rsidRPr="004A357C">
              <w:rPr>
                <w:rFonts w:asciiTheme="majorHAnsi" w:hAnsiTheme="majorHAnsi" w:cstheme="majorHAnsi"/>
              </w:rPr>
              <w:t>–</w:t>
            </w:r>
            <w:r w:rsidRPr="004A357C">
              <w:rPr>
                <w:rFonts w:ascii="Segoe UI Semibold" w:hAnsi="Segoe UI Semibold" w:cs="Segoe UI Semibold"/>
              </w:rPr>
              <w:t xml:space="preserve"> Plastic and Reconstructive</w:t>
            </w:r>
          </w:p>
        </w:tc>
        <w:tc>
          <w:tcPr>
            <w:tcW w:w="917" w:type="dxa"/>
            <w:vAlign w:val="top"/>
          </w:tcPr>
          <w:p w14:paraId="309CCA82" w14:textId="30B1942C" w:rsidR="00425B92" w:rsidRPr="004A357C" w:rsidRDefault="00425B92" w:rsidP="00425B92">
            <w:pPr>
              <w:pStyle w:val="TableNText"/>
              <w:spacing w:before="60" w:after="60" w:line="240" w:lineRule="auto"/>
              <w:jc w:val="center"/>
            </w:pPr>
            <w:r w:rsidRPr="00D62920">
              <w:t>712</w:t>
            </w:r>
          </w:p>
        </w:tc>
        <w:tc>
          <w:tcPr>
            <w:tcW w:w="904" w:type="dxa"/>
            <w:vAlign w:val="top"/>
          </w:tcPr>
          <w:p w14:paraId="0A11B1D3" w14:textId="13E7C605" w:rsidR="00425B92" w:rsidRPr="004A357C" w:rsidRDefault="00425B92" w:rsidP="00425B92">
            <w:pPr>
              <w:pStyle w:val="TableNText"/>
              <w:spacing w:before="60" w:after="60" w:line="240" w:lineRule="auto"/>
              <w:jc w:val="center"/>
            </w:pPr>
            <w:r w:rsidRPr="00D62920">
              <w:t>-</w:t>
            </w:r>
          </w:p>
        </w:tc>
        <w:tc>
          <w:tcPr>
            <w:tcW w:w="904" w:type="dxa"/>
            <w:vAlign w:val="top"/>
          </w:tcPr>
          <w:p w14:paraId="63DFA1E6" w14:textId="67380047" w:rsidR="00425B92" w:rsidRPr="004A357C" w:rsidRDefault="00425B92" w:rsidP="00425B92">
            <w:pPr>
              <w:pStyle w:val="TableNText"/>
              <w:spacing w:before="60" w:after="60" w:line="240" w:lineRule="auto"/>
              <w:jc w:val="center"/>
            </w:pPr>
            <w:r w:rsidRPr="00D62920">
              <w:t>-</w:t>
            </w:r>
          </w:p>
        </w:tc>
        <w:tc>
          <w:tcPr>
            <w:tcW w:w="904" w:type="dxa"/>
            <w:vAlign w:val="top"/>
          </w:tcPr>
          <w:p w14:paraId="1552E1E1" w14:textId="540AEC50" w:rsidR="00425B92" w:rsidRPr="004A357C" w:rsidRDefault="00425B92" w:rsidP="00425B92">
            <w:pPr>
              <w:pStyle w:val="TableNText"/>
              <w:spacing w:before="60" w:after="60" w:line="240" w:lineRule="auto"/>
              <w:jc w:val="center"/>
            </w:pPr>
            <w:r w:rsidRPr="00D62920">
              <w:t>-</w:t>
            </w:r>
          </w:p>
        </w:tc>
        <w:tc>
          <w:tcPr>
            <w:tcW w:w="938" w:type="dxa"/>
            <w:vAlign w:val="top"/>
          </w:tcPr>
          <w:p w14:paraId="27B028BE" w14:textId="45EAA105" w:rsidR="00425B92" w:rsidRPr="004A357C" w:rsidRDefault="00425B92" w:rsidP="00425B92">
            <w:pPr>
              <w:pStyle w:val="TableNText"/>
              <w:spacing w:before="60" w:after="60" w:line="240" w:lineRule="auto"/>
              <w:jc w:val="center"/>
              <w:rPr>
                <w:rFonts w:ascii="Segoe UI Semibold" w:hAnsi="Segoe UI Semibold" w:cs="Segoe UI Semibold"/>
              </w:rPr>
            </w:pPr>
            <w:r w:rsidRPr="00D62920">
              <w:t>712</w:t>
            </w:r>
          </w:p>
        </w:tc>
      </w:tr>
      <w:tr w:rsidR="00425B92" w:rsidRPr="004A357C" w14:paraId="44A23702" w14:textId="77777777" w:rsidTr="00425B92">
        <w:trPr>
          <w:cnfStyle w:val="000000010000" w:firstRow="0" w:lastRow="0" w:firstColumn="0" w:lastColumn="0" w:oddVBand="0" w:evenVBand="0" w:oddHBand="0" w:evenHBand="1" w:firstRowFirstColumn="0" w:firstRowLastColumn="0" w:lastRowFirstColumn="0" w:lastRowLastColumn="0"/>
        </w:trPr>
        <w:tc>
          <w:tcPr>
            <w:tcW w:w="820" w:type="dxa"/>
            <w:vMerge/>
          </w:tcPr>
          <w:p w14:paraId="24CAA04B" w14:textId="77777777" w:rsidR="00425B92" w:rsidRPr="004A357C" w:rsidRDefault="00425B92" w:rsidP="00425B92">
            <w:pPr>
              <w:pStyle w:val="TableNheader"/>
              <w:spacing w:before="60" w:after="60" w:line="240" w:lineRule="auto"/>
              <w:jc w:val="center"/>
            </w:pPr>
          </w:p>
        </w:tc>
        <w:tc>
          <w:tcPr>
            <w:tcW w:w="3798" w:type="dxa"/>
          </w:tcPr>
          <w:p w14:paraId="0C742E19" w14:textId="25AAC6BB" w:rsidR="00425B92" w:rsidRPr="004A357C" w:rsidRDefault="00425B92" w:rsidP="00425B92">
            <w:pPr>
              <w:pStyle w:val="TableNText"/>
              <w:spacing w:before="60" w:after="60" w:line="240" w:lineRule="auto"/>
              <w:rPr>
                <w:rFonts w:ascii="Segoe UI Semibold" w:hAnsi="Segoe UI Semibold" w:cs="Segoe UI Semibold"/>
              </w:rPr>
            </w:pPr>
            <w:r w:rsidRPr="004A357C">
              <w:rPr>
                <w:rFonts w:ascii="Segoe UI Semibold" w:hAnsi="Segoe UI Semibold" w:cs="Segoe UI Semibold"/>
              </w:rPr>
              <w:t xml:space="preserve">08 </w:t>
            </w:r>
            <w:r w:rsidRPr="004A357C">
              <w:rPr>
                <w:rFonts w:asciiTheme="majorHAnsi" w:hAnsiTheme="majorHAnsi" w:cstheme="majorHAnsi"/>
              </w:rPr>
              <w:t>–</w:t>
            </w:r>
            <w:r w:rsidRPr="004A357C">
              <w:rPr>
                <w:rFonts w:ascii="Segoe UI Semibold" w:hAnsi="Segoe UI Semibold" w:cs="Segoe UI Semibold"/>
              </w:rPr>
              <w:t xml:space="preserve"> Cardiac</w:t>
            </w:r>
          </w:p>
        </w:tc>
        <w:tc>
          <w:tcPr>
            <w:tcW w:w="917" w:type="dxa"/>
            <w:vAlign w:val="top"/>
          </w:tcPr>
          <w:p w14:paraId="6019282E" w14:textId="2E7518A4" w:rsidR="00425B92" w:rsidRPr="004A357C" w:rsidRDefault="00425B92" w:rsidP="00425B92">
            <w:pPr>
              <w:pStyle w:val="TableNText"/>
              <w:spacing w:before="60" w:after="60" w:line="240" w:lineRule="auto"/>
              <w:jc w:val="center"/>
            </w:pPr>
            <w:r w:rsidRPr="00D62920">
              <w:t>319</w:t>
            </w:r>
          </w:p>
        </w:tc>
        <w:tc>
          <w:tcPr>
            <w:tcW w:w="904" w:type="dxa"/>
            <w:vAlign w:val="top"/>
          </w:tcPr>
          <w:p w14:paraId="40276845" w14:textId="55E54115" w:rsidR="00425B92" w:rsidRPr="004A357C" w:rsidRDefault="00425B92" w:rsidP="00425B92">
            <w:pPr>
              <w:pStyle w:val="TableNText"/>
              <w:spacing w:before="60" w:after="60" w:line="240" w:lineRule="auto"/>
              <w:jc w:val="center"/>
            </w:pPr>
            <w:r w:rsidRPr="00D62920">
              <w:t>-</w:t>
            </w:r>
          </w:p>
        </w:tc>
        <w:tc>
          <w:tcPr>
            <w:tcW w:w="904" w:type="dxa"/>
            <w:vAlign w:val="top"/>
          </w:tcPr>
          <w:p w14:paraId="42D7E6B3" w14:textId="036BDAC0" w:rsidR="00425B92" w:rsidRPr="004A357C" w:rsidRDefault="00425B92" w:rsidP="00425B92">
            <w:pPr>
              <w:pStyle w:val="TableNText"/>
              <w:spacing w:before="60" w:after="60" w:line="240" w:lineRule="auto"/>
              <w:jc w:val="center"/>
            </w:pPr>
            <w:r w:rsidRPr="00D62920">
              <w:t>106</w:t>
            </w:r>
          </w:p>
        </w:tc>
        <w:tc>
          <w:tcPr>
            <w:tcW w:w="904" w:type="dxa"/>
            <w:vAlign w:val="top"/>
          </w:tcPr>
          <w:p w14:paraId="6FBA2D60" w14:textId="14A5F9CD" w:rsidR="00425B92" w:rsidRPr="004A357C" w:rsidRDefault="00425B92" w:rsidP="00425B92">
            <w:pPr>
              <w:pStyle w:val="TableNText"/>
              <w:spacing w:before="60" w:after="60" w:line="240" w:lineRule="auto"/>
              <w:jc w:val="center"/>
            </w:pPr>
            <w:r w:rsidRPr="00D62920">
              <w:t>-</w:t>
            </w:r>
          </w:p>
        </w:tc>
        <w:tc>
          <w:tcPr>
            <w:tcW w:w="938" w:type="dxa"/>
            <w:vAlign w:val="top"/>
          </w:tcPr>
          <w:p w14:paraId="546BBF99" w14:textId="71D09E04" w:rsidR="00425B92" w:rsidRPr="004A357C" w:rsidRDefault="00425B92" w:rsidP="00425B92">
            <w:pPr>
              <w:pStyle w:val="TableNText"/>
              <w:spacing w:before="60" w:after="60" w:line="240" w:lineRule="auto"/>
              <w:jc w:val="center"/>
              <w:rPr>
                <w:rFonts w:ascii="Segoe UI Semibold" w:hAnsi="Segoe UI Semibold" w:cs="Segoe UI Semibold"/>
              </w:rPr>
            </w:pPr>
            <w:r w:rsidRPr="00D62920">
              <w:t>425</w:t>
            </w:r>
          </w:p>
        </w:tc>
      </w:tr>
      <w:tr w:rsidR="00425B92" w:rsidRPr="004A357C" w14:paraId="3C556062" w14:textId="77777777" w:rsidTr="00425B92">
        <w:trPr>
          <w:cnfStyle w:val="000000100000" w:firstRow="0" w:lastRow="0" w:firstColumn="0" w:lastColumn="0" w:oddVBand="0" w:evenVBand="0" w:oddHBand="1" w:evenHBand="0" w:firstRowFirstColumn="0" w:firstRowLastColumn="0" w:lastRowFirstColumn="0" w:lastRowLastColumn="0"/>
        </w:trPr>
        <w:tc>
          <w:tcPr>
            <w:tcW w:w="820" w:type="dxa"/>
            <w:vMerge/>
          </w:tcPr>
          <w:p w14:paraId="1E252D2F" w14:textId="77777777" w:rsidR="00425B92" w:rsidRPr="004A357C" w:rsidRDefault="00425B92" w:rsidP="00425B92">
            <w:pPr>
              <w:pStyle w:val="TableNheader"/>
              <w:spacing w:before="60" w:after="60" w:line="240" w:lineRule="auto"/>
              <w:jc w:val="center"/>
            </w:pPr>
          </w:p>
        </w:tc>
        <w:tc>
          <w:tcPr>
            <w:tcW w:w="3798" w:type="dxa"/>
          </w:tcPr>
          <w:p w14:paraId="1343154E" w14:textId="2396C276" w:rsidR="00425B92" w:rsidRPr="004A357C" w:rsidRDefault="00425B92" w:rsidP="00425B92">
            <w:pPr>
              <w:pStyle w:val="TableNText"/>
              <w:spacing w:before="60" w:after="60" w:line="240" w:lineRule="auto"/>
              <w:rPr>
                <w:rFonts w:ascii="Segoe UI Semibold" w:hAnsi="Segoe UI Semibold" w:cs="Segoe UI Semibold"/>
              </w:rPr>
            </w:pPr>
            <w:r w:rsidRPr="004A357C">
              <w:rPr>
                <w:rFonts w:ascii="Segoe UI Semibold" w:hAnsi="Segoe UI Semibold" w:cs="Segoe UI Semibold"/>
              </w:rPr>
              <w:t xml:space="preserve">09 </w:t>
            </w:r>
            <w:r w:rsidRPr="004A357C">
              <w:rPr>
                <w:rFonts w:asciiTheme="majorHAnsi" w:hAnsiTheme="majorHAnsi" w:cstheme="majorHAnsi"/>
              </w:rPr>
              <w:t>–</w:t>
            </w:r>
            <w:r w:rsidRPr="004A357C">
              <w:rPr>
                <w:rFonts w:ascii="Segoe UI Semibold" w:hAnsi="Segoe UI Semibold" w:cs="Segoe UI Semibold"/>
              </w:rPr>
              <w:t xml:space="preserve"> Cardiothoracic</w:t>
            </w:r>
          </w:p>
        </w:tc>
        <w:tc>
          <w:tcPr>
            <w:tcW w:w="917" w:type="dxa"/>
            <w:vAlign w:val="top"/>
          </w:tcPr>
          <w:p w14:paraId="0F9511C7" w14:textId="358F752E" w:rsidR="00425B92" w:rsidRPr="004A357C" w:rsidRDefault="00425B92" w:rsidP="00425B92">
            <w:pPr>
              <w:pStyle w:val="TableNText"/>
              <w:spacing w:before="60" w:after="60" w:line="240" w:lineRule="auto"/>
              <w:jc w:val="center"/>
            </w:pPr>
            <w:r w:rsidRPr="00D62920">
              <w:t>101</w:t>
            </w:r>
          </w:p>
        </w:tc>
        <w:tc>
          <w:tcPr>
            <w:tcW w:w="904" w:type="dxa"/>
            <w:vAlign w:val="top"/>
          </w:tcPr>
          <w:p w14:paraId="64D7BADC" w14:textId="1D69C53B" w:rsidR="00425B92" w:rsidRPr="004A357C" w:rsidRDefault="00425B92" w:rsidP="00425B92">
            <w:pPr>
              <w:pStyle w:val="TableNText"/>
              <w:spacing w:before="60" w:after="60" w:line="240" w:lineRule="auto"/>
              <w:jc w:val="center"/>
            </w:pPr>
            <w:r w:rsidRPr="00D62920">
              <w:t>-</w:t>
            </w:r>
          </w:p>
        </w:tc>
        <w:tc>
          <w:tcPr>
            <w:tcW w:w="904" w:type="dxa"/>
            <w:vAlign w:val="top"/>
          </w:tcPr>
          <w:p w14:paraId="43287345" w14:textId="4FBBF724" w:rsidR="00425B92" w:rsidRPr="004A357C" w:rsidRDefault="00425B92" w:rsidP="00425B92">
            <w:pPr>
              <w:pStyle w:val="TableNText"/>
              <w:spacing w:before="60" w:after="60" w:line="240" w:lineRule="auto"/>
              <w:jc w:val="center"/>
            </w:pPr>
            <w:r w:rsidRPr="00D62920">
              <w:t>18</w:t>
            </w:r>
          </w:p>
        </w:tc>
        <w:tc>
          <w:tcPr>
            <w:tcW w:w="904" w:type="dxa"/>
            <w:vAlign w:val="top"/>
          </w:tcPr>
          <w:p w14:paraId="01DB06BF" w14:textId="504D6E86" w:rsidR="00425B92" w:rsidRPr="004A357C" w:rsidRDefault="00425B92" w:rsidP="00425B92">
            <w:pPr>
              <w:pStyle w:val="TableNText"/>
              <w:spacing w:before="60" w:after="60" w:line="240" w:lineRule="auto"/>
              <w:jc w:val="center"/>
            </w:pPr>
            <w:r w:rsidRPr="00D62920">
              <w:t>-</w:t>
            </w:r>
          </w:p>
        </w:tc>
        <w:tc>
          <w:tcPr>
            <w:tcW w:w="938" w:type="dxa"/>
            <w:vAlign w:val="top"/>
          </w:tcPr>
          <w:p w14:paraId="4A9E7759" w14:textId="23020D44" w:rsidR="00425B92" w:rsidRPr="004A357C" w:rsidRDefault="00425B92" w:rsidP="00425B92">
            <w:pPr>
              <w:pStyle w:val="TableNText"/>
              <w:spacing w:before="60" w:after="60" w:line="240" w:lineRule="auto"/>
              <w:jc w:val="center"/>
              <w:rPr>
                <w:rFonts w:ascii="Segoe UI Semibold" w:hAnsi="Segoe UI Semibold" w:cs="Segoe UI Semibold"/>
              </w:rPr>
            </w:pPr>
            <w:r w:rsidRPr="00D62920">
              <w:t>119</w:t>
            </w:r>
          </w:p>
        </w:tc>
      </w:tr>
      <w:tr w:rsidR="00425B92" w:rsidRPr="004A357C" w14:paraId="5807679A" w14:textId="77777777" w:rsidTr="00425B92">
        <w:trPr>
          <w:cnfStyle w:val="000000010000" w:firstRow="0" w:lastRow="0" w:firstColumn="0" w:lastColumn="0" w:oddVBand="0" w:evenVBand="0" w:oddHBand="0" w:evenHBand="1" w:firstRowFirstColumn="0" w:firstRowLastColumn="0" w:lastRowFirstColumn="0" w:lastRowLastColumn="0"/>
        </w:trPr>
        <w:tc>
          <w:tcPr>
            <w:tcW w:w="820" w:type="dxa"/>
            <w:vMerge/>
          </w:tcPr>
          <w:p w14:paraId="325F7249" w14:textId="77777777" w:rsidR="00425B92" w:rsidRPr="004A357C" w:rsidRDefault="00425B92" w:rsidP="00425B92">
            <w:pPr>
              <w:pStyle w:val="TableNheader"/>
              <w:spacing w:before="60" w:after="60" w:line="240" w:lineRule="auto"/>
              <w:jc w:val="center"/>
            </w:pPr>
          </w:p>
        </w:tc>
        <w:tc>
          <w:tcPr>
            <w:tcW w:w="3798" w:type="dxa"/>
          </w:tcPr>
          <w:p w14:paraId="12B01677" w14:textId="69AEEA21" w:rsidR="00425B92" w:rsidRPr="004A357C" w:rsidRDefault="00425B92" w:rsidP="00425B92">
            <w:pPr>
              <w:pStyle w:val="TableNText"/>
              <w:spacing w:before="60" w:after="60" w:line="240" w:lineRule="auto"/>
              <w:rPr>
                <w:rFonts w:ascii="Segoe UI Semibold" w:hAnsi="Segoe UI Semibold" w:cs="Segoe UI Semibold"/>
              </w:rPr>
            </w:pPr>
            <w:r w:rsidRPr="004A357C">
              <w:rPr>
                <w:rFonts w:ascii="Segoe UI Semibold" w:hAnsi="Segoe UI Semibold" w:cs="Segoe UI Semibold"/>
              </w:rPr>
              <w:t xml:space="preserve">10 </w:t>
            </w:r>
            <w:r w:rsidRPr="004A357C">
              <w:rPr>
                <w:rFonts w:asciiTheme="majorHAnsi" w:hAnsiTheme="majorHAnsi" w:cstheme="majorHAnsi"/>
              </w:rPr>
              <w:t>–</w:t>
            </w:r>
            <w:r w:rsidRPr="004A357C">
              <w:rPr>
                <w:rFonts w:ascii="Segoe UI Semibold" w:hAnsi="Segoe UI Semibold" w:cs="Segoe UI Semibold"/>
              </w:rPr>
              <w:t xml:space="preserve"> Vascular</w:t>
            </w:r>
          </w:p>
        </w:tc>
        <w:tc>
          <w:tcPr>
            <w:tcW w:w="917" w:type="dxa"/>
            <w:vAlign w:val="top"/>
          </w:tcPr>
          <w:p w14:paraId="085A92B3" w14:textId="0DC1E4BF" w:rsidR="00425B92" w:rsidRPr="004A357C" w:rsidRDefault="00425B92" w:rsidP="00425B92">
            <w:pPr>
              <w:pStyle w:val="TableNText"/>
              <w:spacing w:before="60" w:after="60" w:line="240" w:lineRule="auto"/>
              <w:jc w:val="center"/>
            </w:pPr>
            <w:r w:rsidRPr="00D62920">
              <w:t>306</w:t>
            </w:r>
          </w:p>
        </w:tc>
        <w:tc>
          <w:tcPr>
            <w:tcW w:w="904" w:type="dxa"/>
            <w:vAlign w:val="top"/>
          </w:tcPr>
          <w:p w14:paraId="15BA8ABD" w14:textId="291DC745" w:rsidR="00425B92" w:rsidRPr="004A357C" w:rsidRDefault="00425B92" w:rsidP="00425B92">
            <w:pPr>
              <w:pStyle w:val="TableNText"/>
              <w:spacing w:before="60" w:after="60" w:line="240" w:lineRule="auto"/>
              <w:jc w:val="center"/>
            </w:pPr>
            <w:r w:rsidRPr="00D62920">
              <w:t>-</w:t>
            </w:r>
          </w:p>
        </w:tc>
        <w:tc>
          <w:tcPr>
            <w:tcW w:w="904" w:type="dxa"/>
            <w:vAlign w:val="top"/>
          </w:tcPr>
          <w:p w14:paraId="3069207F" w14:textId="1F701752" w:rsidR="00425B92" w:rsidRPr="004A357C" w:rsidRDefault="00425B92" w:rsidP="00425B92">
            <w:pPr>
              <w:pStyle w:val="TableNText"/>
              <w:spacing w:before="60" w:after="60" w:line="240" w:lineRule="auto"/>
              <w:jc w:val="center"/>
            </w:pPr>
            <w:r w:rsidRPr="00D62920">
              <w:t>6</w:t>
            </w:r>
          </w:p>
        </w:tc>
        <w:tc>
          <w:tcPr>
            <w:tcW w:w="904" w:type="dxa"/>
            <w:vAlign w:val="top"/>
          </w:tcPr>
          <w:p w14:paraId="4C106594" w14:textId="431A6A57" w:rsidR="00425B92" w:rsidRPr="004A357C" w:rsidRDefault="00425B92" w:rsidP="00425B92">
            <w:pPr>
              <w:pStyle w:val="TableNText"/>
              <w:spacing w:before="60" w:after="60" w:line="240" w:lineRule="auto"/>
              <w:jc w:val="center"/>
            </w:pPr>
            <w:r w:rsidRPr="00D62920">
              <w:t>69</w:t>
            </w:r>
          </w:p>
        </w:tc>
        <w:tc>
          <w:tcPr>
            <w:tcW w:w="938" w:type="dxa"/>
            <w:vAlign w:val="top"/>
          </w:tcPr>
          <w:p w14:paraId="2C15B682" w14:textId="0F4DEE13" w:rsidR="00425B92" w:rsidRPr="004A357C" w:rsidRDefault="00425B92" w:rsidP="00425B92">
            <w:pPr>
              <w:pStyle w:val="TableNText"/>
              <w:spacing w:before="60" w:after="60" w:line="240" w:lineRule="auto"/>
              <w:jc w:val="center"/>
              <w:rPr>
                <w:rFonts w:ascii="Segoe UI Semibold" w:hAnsi="Segoe UI Semibold" w:cs="Segoe UI Semibold"/>
              </w:rPr>
            </w:pPr>
            <w:r w:rsidRPr="00D62920">
              <w:t>381</w:t>
            </w:r>
          </w:p>
        </w:tc>
      </w:tr>
      <w:tr w:rsidR="00425B92" w:rsidRPr="004A357C" w14:paraId="1434230D" w14:textId="77777777" w:rsidTr="00425B92">
        <w:trPr>
          <w:cnfStyle w:val="000000100000" w:firstRow="0" w:lastRow="0" w:firstColumn="0" w:lastColumn="0" w:oddVBand="0" w:evenVBand="0" w:oddHBand="1" w:evenHBand="0" w:firstRowFirstColumn="0" w:firstRowLastColumn="0" w:lastRowFirstColumn="0" w:lastRowLastColumn="0"/>
        </w:trPr>
        <w:tc>
          <w:tcPr>
            <w:tcW w:w="820" w:type="dxa"/>
            <w:vMerge/>
          </w:tcPr>
          <w:p w14:paraId="2F1E58A3" w14:textId="77777777" w:rsidR="00425B92" w:rsidRPr="004A357C" w:rsidRDefault="00425B92" w:rsidP="00425B92">
            <w:pPr>
              <w:pStyle w:val="TableNheader"/>
              <w:spacing w:before="60" w:after="60" w:line="240" w:lineRule="auto"/>
              <w:jc w:val="center"/>
            </w:pPr>
          </w:p>
        </w:tc>
        <w:tc>
          <w:tcPr>
            <w:tcW w:w="3798" w:type="dxa"/>
          </w:tcPr>
          <w:p w14:paraId="3A3B28F3" w14:textId="7658D5D7" w:rsidR="00425B92" w:rsidRPr="004A357C" w:rsidRDefault="00425B92" w:rsidP="00425B92">
            <w:pPr>
              <w:pStyle w:val="TableNText"/>
              <w:spacing w:before="60" w:after="60" w:line="240" w:lineRule="auto"/>
              <w:rPr>
                <w:rFonts w:ascii="Segoe UI Semibold" w:hAnsi="Segoe UI Semibold" w:cs="Segoe UI Semibold"/>
              </w:rPr>
            </w:pPr>
            <w:r w:rsidRPr="004A357C">
              <w:rPr>
                <w:rFonts w:ascii="Segoe UI Semibold" w:hAnsi="Segoe UI Semibold" w:cs="Segoe UI Semibold"/>
              </w:rPr>
              <w:t xml:space="preserve">11 </w:t>
            </w:r>
            <w:r w:rsidRPr="004A357C">
              <w:rPr>
                <w:rFonts w:asciiTheme="majorHAnsi" w:hAnsiTheme="majorHAnsi" w:cstheme="majorHAnsi"/>
              </w:rPr>
              <w:t>–</w:t>
            </w:r>
            <w:r w:rsidRPr="004A357C">
              <w:rPr>
                <w:rFonts w:ascii="Segoe UI Semibold" w:hAnsi="Segoe UI Semibold" w:cs="Segoe UI Semibold"/>
              </w:rPr>
              <w:t xml:space="preserve"> Hip</w:t>
            </w:r>
          </w:p>
        </w:tc>
        <w:tc>
          <w:tcPr>
            <w:tcW w:w="917" w:type="dxa"/>
            <w:vAlign w:val="top"/>
          </w:tcPr>
          <w:p w14:paraId="0A9ED3EA" w14:textId="5EDF045B" w:rsidR="00425B92" w:rsidRPr="004A357C" w:rsidRDefault="00425B92" w:rsidP="00425B92">
            <w:pPr>
              <w:pStyle w:val="TableNText"/>
              <w:spacing w:before="60" w:after="60" w:line="240" w:lineRule="auto"/>
              <w:jc w:val="center"/>
            </w:pPr>
            <w:r w:rsidRPr="00D62920">
              <w:t>668</w:t>
            </w:r>
          </w:p>
        </w:tc>
        <w:tc>
          <w:tcPr>
            <w:tcW w:w="904" w:type="dxa"/>
            <w:vAlign w:val="top"/>
          </w:tcPr>
          <w:p w14:paraId="0A345F20" w14:textId="02A32974" w:rsidR="00425B92" w:rsidRPr="004A357C" w:rsidRDefault="00425B92" w:rsidP="00425B92">
            <w:pPr>
              <w:pStyle w:val="TableNText"/>
              <w:spacing w:before="60" w:after="60" w:line="240" w:lineRule="auto"/>
              <w:jc w:val="center"/>
            </w:pPr>
            <w:r w:rsidRPr="00D62920">
              <w:t>-</w:t>
            </w:r>
          </w:p>
        </w:tc>
        <w:tc>
          <w:tcPr>
            <w:tcW w:w="904" w:type="dxa"/>
            <w:vAlign w:val="top"/>
          </w:tcPr>
          <w:p w14:paraId="1631FB0F" w14:textId="09E3D8D6" w:rsidR="00425B92" w:rsidRPr="004A357C" w:rsidRDefault="00425B92" w:rsidP="00425B92">
            <w:pPr>
              <w:pStyle w:val="TableNText"/>
              <w:spacing w:before="60" w:after="60" w:line="240" w:lineRule="auto"/>
              <w:jc w:val="center"/>
            </w:pPr>
            <w:r w:rsidRPr="00D62920">
              <w:t>-</w:t>
            </w:r>
          </w:p>
        </w:tc>
        <w:tc>
          <w:tcPr>
            <w:tcW w:w="904" w:type="dxa"/>
            <w:vAlign w:val="top"/>
          </w:tcPr>
          <w:p w14:paraId="16793D47" w14:textId="42243CD1" w:rsidR="00425B92" w:rsidRPr="004A357C" w:rsidRDefault="00425B92" w:rsidP="00425B92">
            <w:pPr>
              <w:pStyle w:val="TableNText"/>
              <w:spacing w:before="60" w:after="60" w:line="240" w:lineRule="auto"/>
              <w:jc w:val="center"/>
            </w:pPr>
            <w:r w:rsidRPr="00D62920">
              <w:t>-</w:t>
            </w:r>
          </w:p>
        </w:tc>
        <w:tc>
          <w:tcPr>
            <w:tcW w:w="938" w:type="dxa"/>
            <w:vAlign w:val="top"/>
          </w:tcPr>
          <w:p w14:paraId="44308391" w14:textId="7C458123" w:rsidR="00425B92" w:rsidRPr="004A357C" w:rsidRDefault="00425B92" w:rsidP="00425B92">
            <w:pPr>
              <w:pStyle w:val="TableNText"/>
              <w:spacing w:before="60" w:after="60" w:line="240" w:lineRule="auto"/>
              <w:jc w:val="center"/>
              <w:rPr>
                <w:rFonts w:ascii="Segoe UI Semibold" w:hAnsi="Segoe UI Semibold" w:cs="Segoe UI Semibold"/>
              </w:rPr>
            </w:pPr>
            <w:r w:rsidRPr="00D62920">
              <w:t>668</w:t>
            </w:r>
          </w:p>
        </w:tc>
      </w:tr>
      <w:tr w:rsidR="00425B92" w:rsidRPr="004A357C" w14:paraId="0374135D" w14:textId="77777777" w:rsidTr="00425B92">
        <w:trPr>
          <w:cnfStyle w:val="000000010000" w:firstRow="0" w:lastRow="0" w:firstColumn="0" w:lastColumn="0" w:oddVBand="0" w:evenVBand="0" w:oddHBand="0" w:evenHBand="1" w:firstRowFirstColumn="0" w:firstRowLastColumn="0" w:lastRowFirstColumn="0" w:lastRowLastColumn="0"/>
        </w:trPr>
        <w:tc>
          <w:tcPr>
            <w:tcW w:w="820" w:type="dxa"/>
            <w:vMerge/>
          </w:tcPr>
          <w:p w14:paraId="2F31673D" w14:textId="77777777" w:rsidR="00425B92" w:rsidRPr="004A357C" w:rsidRDefault="00425B92" w:rsidP="00425B92">
            <w:pPr>
              <w:pStyle w:val="TableNheader"/>
              <w:spacing w:before="60" w:after="60" w:line="240" w:lineRule="auto"/>
              <w:jc w:val="center"/>
            </w:pPr>
          </w:p>
        </w:tc>
        <w:tc>
          <w:tcPr>
            <w:tcW w:w="3798" w:type="dxa"/>
          </w:tcPr>
          <w:p w14:paraId="15526DDF" w14:textId="4910A1D9" w:rsidR="00425B92" w:rsidRPr="004A357C" w:rsidRDefault="00425B92" w:rsidP="00425B92">
            <w:pPr>
              <w:pStyle w:val="TableNText"/>
              <w:spacing w:before="60" w:after="60" w:line="240" w:lineRule="auto"/>
              <w:rPr>
                <w:rFonts w:ascii="Segoe UI Semibold" w:hAnsi="Segoe UI Semibold" w:cs="Segoe UI Semibold"/>
              </w:rPr>
            </w:pPr>
            <w:r w:rsidRPr="004A357C">
              <w:rPr>
                <w:rFonts w:ascii="Segoe UI Semibold" w:hAnsi="Segoe UI Semibold" w:cs="Segoe UI Semibold"/>
              </w:rPr>
              <w:t xml:space="preserve">12 </w:t>
            </w:r>
            <w:r w:rsidRPr="004A357C">
              <w:rPr>
                <w:rFonts w:asciiTheme="majorHAnsi" w:hAnsiTheme="majorHAnsi" w:cstheme="majorHAnsi"/>
              </w:rPr>
              <w:t>–</w:t>
            </w:r>
            <w:r w:rsidRPr="004A357C">
              <w:rPr>
                <w:rFonts w:ascii="Segoe UI Semibold" w:hAnsi="Segoe UI Semibold" w:cs="Segoe UI Semibold"/>
              </w:rPr>
              <w:t xml:space="preserve"> Knee</w:t>
            </w:r>
          </w:p>
        </w:tc>
        <w:tc>
          <w:tcPr>
            <w:tcW w:w="917" w:type="dxa"/>
            <w:vAlign w:val="top"/>
          </w:tcPr>
          <w:p w14:paraId="164DCE45" w14:textId="483E4A56" w:rsidR="00425B92" w:rsidRPr="004A357C" w:rsidRDefault="00425B92" w:rsidP="00425B92">
            <w:pPr>
              <w:pStyle w:val="TableNText"/>
              <w:spacing w:before="60" w:after="60" w:line="240" w:lineRule="auto"/>
              <w:jc w:val="center"/>
            </w:pPr>
            <w:r w:rsidRPr="00D62920">
              <w:t>720</w:t>
            </w:r>
          </w:p>
        </w:tc>
        <w:tc>
          <w:tcPr>
            <w:tcW w:w="904" w:type="dxa"/>
            <w:vAlign w:val="top"/>
          </w:tcPr>
          <w:p w14:paraId="41EEE0C4" w14:textId="30C55D05" w:rsidR="00425B92" w:rsidRPr="004A357C" w:rsidRDefault="00425B92" w:rsidP="00425B92">
            <w:pPr>
              <w:pStyle w:val="TableNText"/>
              <w:spacing w:before="60" w:after="60" w:line="240" w:lineRule="auto"/>
              <w:jc w:val="center"/>
            </w:pPr>
            <w:r w:rsidRPr="00D62920">
              <w:t>-</w:t>
            </w:r>
          </w:p>
        </w:tc>
        <w:tc>
          <w:tcPr>
            <w:tcW w:w="904" w:type="dxa"/>
            <w:vAlign w:val="top"/>
          </w:tcPr>
          <w:p w14:paraId="0431A5C9" w14:textId="53132AC0" w:rsidR="00425B92" w:rsidRPr="004A357C" w:rsidRDefault="00425B92" w:rsidP="00425B92">
            <w:pPr>
              <w:pStyle w:val="TableNText"/>
              <w:spacing w:before="60" w:after="60" w:line="240" w:lineRule="auto"/>
              <w:jc w:val="center"/>
            </w:pPr>
            <w:r w:rsidRPr="00D62920">
              <w:t>-</w:t>
            </w:r>
          </w:p>
        </w:tc>
        <w:tc>
          <w:tcPr>
            <w:tcW w:w="904" w:type="dxa"/>
            <w:vAlign w:val="top"/>
          </w:tcPr>
          <w:p w14:paraId="7FB1B6AE" w14:textId="60232A69" w:rsidR="00425B92" w:rsidRPr="004A357C" w:rsidRDefault="00425B92" w:rsidP="00425B92">
            <w:pPr>
              <w:pStyle w:val="TableNText"/>
              <w:spacing w:before="60" w:after="60" w:line="240" w:lineRule="auto"/>
              <w:jc w:val="center"/>
            </w:pPr>
            <w:r w:rsidRPr="00D62920">
              <w:t>-</w:t>
            </w:r>
          </w:p>
        </w:tc>
        <w:tc>
          <w:tcPr>
            <w:tcW w:w="938" w:type="dxa"/>
            <w:vAlign w:val="top"/>
          </w:tcPr>
          <w:p w14:paraId="5FBA26EC" w14:textId="7B3985BD" w:rsidR="00425B92" w:rsidRPr="004A357C" w:rsidRDefault="00425B92" w:rsidP="00425B92">
            <w:pPr>
              <w:pStyle w:val="TableNText"/>
              <w:spacing w:before="60" w:after="60" w:line="240" w:lineRule="auto"/>
              <w:jc w:val="center"/>
              <w:rPr>
                <w:rFonts w:ascii="Segoe UI Semibold" w:hAnsi="Segoe UI Semibold" w:cs="Segoe UI Semibold"/>
              </w:rPr>
            </w:pPr>
            <w:r w:rsidRPr="00D62920">
              <w:t>720</w:t>
            </w:r>
          </w:p>
        </w:tc>
      </w:tr>
      <w:tr w:rsidR="00425B92" w:rsidRPr="004A357C" w14:paraId="3E9678AD" w14:textId="77777777" w:rsidTr="00425B92">
        <w:trPr>
          <w:cnfStyle w:val="000000100000" w:firstRow="0" w:lastRow="0" w:firstColumn="0" w:lastColumn="0" w:oddVBand="0" w:evenVBand="0" w:oddHBand="1" w:evenHBand="0" w:firstRowFirstColumn="0" w:firstRowLastColumn="0" w:lastRowFirstColumn="0" w:lastRowLastColumn="0"/>
        </w:trPr>
        <w:tc>
          <w:tcPr>
            <w:tcW w:w="820" w:type="dxa"/>
            <w:vMerge/>
          </w:tcPr>
          <w:p w14:paraId="17179248" w14:textId="77777777" w:rsidR="00425B92" w:rsidRPr="004A357C" w:rsidRDefault="00425B92" w:rsidP="00425B92">
            <w:pPr>
              <w:pStyle w:val="TableNheader"/>
              <w:spacing w:before="60" w:after="60" w:line="240" w:lineRule="auto"/>
              <w:jc w:val="center"/>
            </w:pPr>
          </w:p>
        </w:tc>
        <w:tc>
          <w:tcPr>
            <w:tcW w:w="3798" w:type="dxa"/>
          </w:tcPr>
          <w:p w14:paraId="7E53902C" w14:textId="1E1DEEB5" w:rsidR="00425B92" w:rsidRPr="004A357C" w:rsidRDefault="00425B92" w:rsidP="00425B92">
            <w:pPr>
              <w:pStyle w:val="TableNText"/>
              <w:spacing w:before="60" w:after="60" w:line="240" w:lineRule="auto"/>
              <w:rPr>
                <w:rFonts w:ascii="Segoe UI Semibold" w:hAnsi="Segoe UI Semibold" w:cs="Segoe UI Semibold"/>
              </w:rPr>
            </w:pPr>
            <w:r w:rsidRPr="004A357C">
              <w:rPr>
                <w:rFonts w:ascii="Segoe UI Semibold" w:hAnsi="Segoe UI Semibold" w:cs="Segoe UI Semibold"/>
              </w:rPr>
              <w:t xml:space="preserve">13 </w:t>
            </w:r>
            <w:r w:rsidRPr="004A357C">
              <w:rPr>
                <w:rFonts w:asciiTheme="majorHAnsi" w:hAnsiTheme="majorHAnsi" w:cstheme="majorHAnsi"/>
              </w:rPr>
              <w:t>–</w:t>
            </w:r>
            <w:r w:rsidRPr="004A357C">
              <w:rPr>
                <w:rFonts w:ascii="Segoe UI Semibold" w:hAnsi="Segoe UI Semibold" w:cs="Segoe UI Semibold"/>
              </w:rPr>
              <w:t xml:space="preserve"> Spinal</w:t>
            </w:r>
          </w:p>
        </w:tc>
        <w:tc>
          <w:tcPr>
            <w:tcW w:w="917" w:type="dxa"/>
            <w:vAlign w:val="top"/>
          </w:tcPr>
          <w:p w14:paraId="66CED4C7" w14:textId="036AC4B2" w:rsidR="00425B92" w:rsidRPr="004A357C" w:rsidRDefault="00425B92" w:rsidP="00425B92">
            <w:pPr>
              <w:pStyle w:val="TableNText"/>
              <w:spacing w:before="60" w:after="60" w:line="240" w:lineRule="auto"/>
              <w:jc w:val="center"/>
            </w:pPr>
            <w:r w:rsidRPr="00D62920">
              <w:t>1</w:t>
            </w:r>
            <w:r>
              <w:t>,</w:t>
            </w:r>
            <w:r w:rsidRPr="00D62920">
              <w:t>803</w:t>
            </w:r>
          </w:p>
        </w:tc>
        <w:tc>
          <w:tcPr>
            <w:tcW w:w="904" w:type="dxa"/>
            <w:vAlign w:val="top"/>
          </w:tcPr>
          <w:p w14:paraId="27C5CC9B" w14:textId="6EB6F881" w:rsidR="00425B92" w:rsidRPr="004A357C" w:rsidRDefault="00425B92" w:rsidP="00425B92">
            <w:pPr>
              <w:pStyle w:val="TableNText"/>
              <w:spacing w:before="60" w:after="60" w:line="240" w:lineRule="auto"/>
              <w:jc w:val="center"/>
            </w:pPr>
            <w:r w:rsidRPr="00D62920">
              <w:t>-</w:t>
            </w:r>
          </w:p>
        </w:tc>
        <w:tc>
          <w:tcPr>
            <w:tcW w:w="904" w:type="dxa"/>
            <w:vAlign w:val="top"/>
          </w:tcPr>
          <w:p w14:paraId="6A4728E1" w14:textId="48560E96" w:rsidR="00425B92" w:rsidRPr="004A357C" w:rsidRDefault="00425B92" w:rsidP="00425B92">
            <w:pPr>
              <w:pStyle w:val="TableNText"/>
              <w:spacing w:before="60" w:after="60" w:line="240" w:lineRule="auto"/>
              <w:jc w:val="center"/>
            </w:pPr>
            <w:r w:rsidRPr="00D62920">
              <w:t>-</w:t>
            </w:r>
          </w:p>
        </w:tc>
        <w:tc>
          <w:tcPr>
            <w:tcW w:w="904" w:type="dxa"/>
            <w:vAlign w:val="top"/>
          </w:tcPr>
          <w:p w14:paraId="46F82005" w14:textId="7CF77D68" w:rsidR="00425B92" w:rsidRPr="004A357C" w:rsidRDefault="00425B92" w:rsidP="00425B92">
            <w:pPr>
              <w:pStyle w:val="TableNText"/>
              <w:spacing w:before="60" w:after="60" w:line="240" w:lineRule="auto"/>
              <w:jc w:val="center"/>
            </w:pPr>
            <w:r w:rsidRPr="00D62920">
              <w:t>-</w:t>
            </w:r>
          </w:p>
        </w:tc>
        <w:tc>
          <w:tcPr>
            <w:tcW w:w="938" w:type="dxa"/>
            <w:vAlign w:val="top"/>
          </w:tcPr>
          <w:p w14:paraId="37F14951" w14:textId="32B965C0" w:rsidR="00425B92" w:rsidRPr="004A357C" w:rsidRDefault="00425B92" w:rsidP="00425B92">
            <w:pPr>
              <w:pStyle w:val="TableNText"/>
              <w:spacing w:before="60" w:after="60" w:line="240" w:lineRule="auto"/>
              <w:jc w:val="center"/>
              <w:rPr>
                <w:rFonts w:ascii="Segoe UI Semibold" w:hAnsi="Segoe UI Semibold" w:cs="Segoe UI Semibold"/>
              </w:rPr>
            </w:pPr>
            <w:r w:rsidRPr="00D62920">
              <w:t>1</w:t>
            </w:r>
            <w:r w:rsidR="00E62C2B">
              <w:t>,</w:t>
            </w:r>
            <w:r w:rsidRPr="00D62920">
              <w:t>803</w:t>
            </w:r>
          </w:p>
        </w:tc>
      </w:tr>
      <w:tr w:rsidR="00425B92" w:rsidRPr="004A357C" w14:paraId="1FD00AF1" w14:textId="77777777" w:rsidTr="00425B92">
        <w:trPr>
          <w:cnfStyle w:val="000000010000" w:firstRow="0" w:lastRow="0" w:firstColumn="0" w:lastColumn="0" w:oddVBand="0" w:evenVBand="0" w:oddHBand="0" w:evenHBand="1" w:firstRowFirstColumn="0" w:firstRowLastColumn="0" w:lastRowFirstColumn="0" w:lastRowLastColumn="0"/>
        </w:trPr>
        <w:tc>
          <w:tcPr>
            <w:tcW w:w="820" w:type="dxa"/>
            <w:vMerge w:val="restart"/>
            <w:textDirection w:val="btLr"/>
          </w:tcPr>
          <w:p w14:paraId="2DA04CEE" w14:textId="77777777" w:rsidR="00425B92" w:rsidRPr="004A357C" w:rsidRDefault="00425B92" w:rsidP="00425B92">
            <w:pPr>
              <w:pStyle w:val="TableNheader"/>
              <w:spacing w:before="60" w:after="60" w:line="240" w:lineRule="auto"/>
              <w:jc w:val="center"/>
            </w:pPr>
            <w:r w:rsidRPr="004A357C">
              <w:t>Part B</w:t>
            </w:r>
          </w:p>
        </w:tc>
        <w:tc>
          <w:tcPr>
            <w:tcW w:w="3798" w:type="dxa"/>
          </w:tcPr>
          <w:p w14:paraId="79B41642" w14:textId="7D5B464E" w:rsidR="00425B92" w:rsidRPr="004A357C" w:rsidRDefault="00425B92" w:rsidP="00425B92">
            <w:pPr>
              <w:pStyle w:val="TableNText"/>
              <w:spacing w:before="60" w:after="60" w:line="240" w:lineRule="auto"/>
              <w:rPr>
                <w:rFonts w:ascii="Segoe UI Semibold" w:hAnsi="Segoe UI Semibold" w:cs="Segoe UI Semibold"/>
              </w:rPr>
            </w:pPr>
            <w:r w:rsidRPr="004A357C">
              <w:rPr>
                <w:rFonts w:ascii="Segoe UI Semibold" w:hAnsi="Segoe UI Semibold" w:cs="Segoe UI Semibold"/>
              </w:rPr>
              <w:t xml:space="preserve">01 </w:t>
            </w:r>
            <w:r w:rsidRPr="004A357C">
              <w:rPr>
                <w:rFonts w:asciiTheme="majorHAnsi" w:hAnsiTheme="majorHAnsi" w:cstheme="majorHAnsi"/>
              </w:rPr>
              <w:t>–</w:t>
            </w:r>
            <w:r w:rsidRPr="004A357C">
              <w:rPr>
                <w:rFonts w:ascii="Segoe UI Semibold" w:hAnsi="Segoe UI Semibold" w:cs="Segoe UI Semibold"/>
              </w:rPr>
              <w:t xml:space="preserve"> Cardio-thoracic</w:t>
            </w:r>
          </w:p>
        </w:tc>
        <w:tc>
          <w:tcPr>
            <w:tcW w:w="917" w:type="dxa"/>
            <w:vAlign w:val="top"/>
          </w:tcPr>
          <w:p w14:paraId="0CC6CCFA" w14:textId="60F1E9BD" w:rsidR="00425B92" w:rsidRPr="004A357C" w:rsidRDefault="00425B92" w:rsidP="00425B92">
            <w:pPr>
              <w:pStyle w:val="TableNText"/>
              <w:spacing w:before="60" w:after="60" w:line="240" w:lineRule="auto"/>
              <w:jc w:val="center"/>
            </w:pPr>
            <w:r w:rsidRPr="00D62920">
              <w:t>-</w:t>
            </w:r>
          </w:p>
        </w:tc>
        <w:tc>
          <w:tcPr>
            <w:tcW w:w="904" w:type="dxa"/>
            <w:vAlign w:val="top"/>
          </w:tcPr>
          <w:p w14:paraId="41B254FB" w14:textId="25FBF15E" w:rsidR="00425B92" w:rsidRPr="004A357C" w:rsidRDefault="00425B92" w:rsidP="00425B92">
            <w:pPr>
              <w:pStyle w:val="TableNText"/>
              <w:spacing w:before="60" w:after="60" w:line="240" w:lineRule="auto"/>
              <w:jc w:val="center"/>
            </w:pPr>
            <w:r w:rsidRPr="00D62920">
              <w:t>11</w:t>
            </w:r>
          </w:p>
        </w:tc>
        <w:tc>
          <w:tcPr>
            <w:tcW w:w="904" w:type="dxa"/>
            <w:vAlign w:val="top"/>
          </w:tcPr>
          <w:p w14:paraId="717309EE" w14:textId="1594AEB3" w:rsidR="00425B92" w:rsidRPr="004A357C" w:rsidRDefault="00425B92" w:rsidP="00425B92">
            <w:pPr>
              <w:pStyle w:val="TableNText"/>
              <w:spacing w:before="60" w:after="60" w:line="240" w:lineRule="auto"/>
              <w:jc w:val="center"/>
            </w:pPr>
            <w:r w:rsidRPr="00D62920">
              <w:t>-</w:t>
            </w:r>
          </w:p>
        </w:tc>
        <w:tc>
          <w:tcPr>
            <w:tcW w:w="904" w:type="dxa"/>
            <w:vAlign w:val="top"/>
          </w:tcPr>
          <w:p w14:paraId="6550ED1D" w14:textId="5DFA1963" w:rsidR="00425B92" w:rsidRPr="004A357C" w:rsidRDefault="00425B92" w:rsidP="00425B92">
            <w:pPr>
              <w:pStyle w:val="TableNText"/>
              <w:spacing w:before="60" w:after="60" w:line="240" w:lineRule="auto"/>
              <w:jc w:val="center"/>
            </w:pPr>
            <w:r w:rsidRPr="00D62920">
              <w:t>-</w:t>
            </w:r>
          </w:p>
        </w:tc>
        <w:tc>
          <w:tcPr>
            <w:tcW w:w="938" w:type="dxa"/>
            <w:vAlign w:val="top"/>
          </w:tcPr>
          <w:p w14:paraId="6CA562E6" w14:textId="28F21760" w:rsidR="00425B92" w:rsidRPr="004A357C" w:rsidRDefault="00425B92" w:rsidP="00425B92">
            <w:pPr>
              <w:pStyle w:val="TableNText"/>
              <w:spacing w:before="60" w:after="60" w:line="240" w:lineRule="auto"/>
              <w:jc w:val="center"/>
              <w:rPr>
                <w:rFonts w:ascii="Segoe UI Semibold" w:hAnsi="Segoe UI Semibold" w:cs="Segoe UI Semibold"/>
              </w:rPr>
            </w:pPr>
            <w:r w:rsidRPr="00D62920">
              <w:t>11</w:t>
            </w:r>
          </w:p>
        </w:tc>
      </w:tr>
      <w:tr w:rsidR="00425B92" w:rsidRPr="004A357C" w14:paraId="004DEFD5" w14:textId="77777777" w:rsidTr="00425B92">
        <w:trPr>
          <w:cnfStyle w:val="000000100000" w:firstRow="0" w:lastRow="0" w:firstColumn="0" w:lastColumn="0" w:oddVBand="0" w:evenVBand="0" w:oddHBand="1" w:evenHBand="0" w:firstRowFirstColumn="0" w:firstRowLastColumn="0" w:lastRowFirstColumn="0" w:lastRowLastColumn="0"/>
        </w:trPr>
        <w:tc>
          <w:tcPr>
            <w:tcW w:w="820" w:type="dxa"/>
            <w:vMerge/>
          </w:tcPr>
          <w:p w14:paraId="0B407CEC" w14:textId="77777777" w:rsidR="00425B92" w:rsidRPr="004A357C" w:rsidRDefault="00425B92" w:rsidP="00425B92">
            <w:pPr>
              <w:spacing w:before="60" w:after="60"/>
              <w:rPr>
                <w:sz w:val="18"/>
                <w:szCs w:val="18"/>
              </w:rPr>
            </w:pPr>
          </w:p>
        </w:tc>
        <w:tc>
          <w:tcPr>
            <w:tcW w:w="3798" w:type="dxa"/>
          </w:tcPr>
          <w:p w14:paraId="44051425" w14:textId="31A51326" w:rsidR="00425B92" w:rsidRPr="004A357C" w:rsidRDefault="00425B92" w:rsidP="00425B92">
            <w:pPr>
              <w:pStyle w:val="TableNText"/>
              <w:spacing w:before="60" w:after="60" w:line="240" w:lineRule="auto"/>
              <w:rPr>
                <w:rFonts w:ascii="Segoe UI Semibold" w:hAnsi="Segoe UI Semibold" w:cs="Segoe UI Semibold"/>
              </w:rPr>
            </w:pPr>
            <w:r w:rsidRPr="004A357C">
              <w:rPr>
                <w:rFonts w:ascii="Segoe UI Semibold" w:hAnsi="Segoe UI Semibold" w:cs="Segoe UI Semibold"/>
              </w:rPr>
              <w:t xml:space="preserve">02 </w:t>
            </w:r>
            <w:r w:rsidRPr="004A357C">
              <w:rPr>
                <w:rFonts w:asciiTheme="majorHAnsi" w:hAnsiTheme="majorHAnsi" w:cstheme="majorHAnsi"/>
              </w:rPr>
              <w:t>–</w:t>
            </w:r>
            <w:r w:rsidRPr="004A357C">
              <w:rPr>
                <w:rFonts w:ascii="Segoe UI Semibold" w:hAnsi="Segoe UI Semibold" w:cs="Segoe UI Semibold"/>
              </w:rPr>
              <w:t xml:space="preserve"> Ophthalmic</w:t>
            </w:r>
          </w:p>
        </w:tc>
        <w:tc>
          <w:tcPr>
            <w:tcW w:w="917" w:type="dxa"/>
            <w:vAlign w:val="top"/>
          </w:tcPr>
          <w:p w14:paraId="11E2A1F1" w14:textId="06215A65" w:rsidR="00425B92" w:rsidRPr="004A357C" w:rsidRDefault="00425B92" w:rsidP="00425B92">
            <w:pPr>
              <w:pStyle w:val="TableNText"/>
              <w:spacing w:before="60" w:after="60" w:line="240" w:lineRule="auto"/>
              <w:jc w:val="center"/>
            </w:pPr>
            <w:r w:rsidRPr="00D62920">
              <w:t>-</w:t>
            </w:r>
          </w:p>
        </w:tc>
        <w:tc>
          <w:tcPr>
            <w:tcW w:w="904" w:type="dxa"/>
            <w:vAlign w:val="top"/>
          </w:tcPr>
          <w:p w14:paraId="3E6B4D81" w14:textId="2942A611" w:rsidR="00425B92" w:rsidRPr="004A357C" w:rsidRDefault="00425B92" w:rsidP="00425B92">
            <w:pPr>
              <w:pStyle w:val="TableNText"/>
              <w:spacing w:before="60" w:after="60" w:line="240" w:lineRule="auto"/>
              <w:jc w:val="center"/>
            </w:pPr>
            <w:r w:rsidRPr="00D62920">
              <w:t>21</w:t>
            </w:r>
          </w:p>
        </w:tc>
        <w:tc>
          <w:tcPr>
            <w:tcW w:w="904" w:type="dxa"/>
            <w:vAlign w:val="top"/>
          </w:tcPr>
          <w:p w14:paraId="3589151F" w14:textId="2836A278" w:rsidR="00425B92" w:rsidRPr="004A357C" w:rsidRDefault="00425B92" w:rsidP="00425B92">
            <w:pPr>
              <w:pStyle w:val="TableNText"/>
              <w:spacing w:before="60" w:after="60" w:line="240" w:lineRule="auto"/>
              <w:jc w:val="center"/>
            </w:pPr>
            <w:r w:rsidRPr="00D62920">
              <w:t>-</w:t>
            </w:r>
          </w:p>
        </w:tc>
        <w:tc>
          <w:tcPr>
            <w:tcW w:w="904" w:type="dxa"/>
            <w:vAlign w:val="top"/>
          </w:tcPr>
          <w:p w14:paraId="66FC1622" w14:textId="4D575F0D" w:rsidR="00425B92" w:rsidRPr="004A357C" w:rsidRDefault="00425B92" w:rsidP="00425B92">
            <w:pPr>
              <w:pStyle w:val="TableNText"/>
              <w:spacing w:before="60" w:after="60" w:line="240" w:lineRule="auto"/>
              <w:jc w:val="center"/>
            </w:pPr>
            <w:r w:rsidRPr="00D62920">
              <w:t>-</w:t>
            </w:r>
          </w:p>
        </w:tc>
        <w:tc>
          <w:tcPr>
            <w:tcW w:w="938" w:type="dxa"/>
            <w:vAlign w:val="top"/>
          </w:tcPr>
          <w:p w14:paraId="6FEA0851" w14:textId="3D591B0E" w:rsidR="00425B92" w:rsidRPr="004A357C" w:rsidRDefault="00425B92" w:rsidP="00425B92">
            <w:pPr>
              <w:pStyle w:val="TableNText"/>
              <w:spacing w:before="60" w:after="60" w:line="240" w:lineRule="auto"/>
              <w:jc w:val="center"/>
              <w:rPr>
                <w:rFonts w:ascii="Segoe UI Semibold" w:hAnsi="Segoe UI Semibold" w:cs="Segoe UI Semibold"/>
              </w:rPr>
            </w:pPr>
            <w:r w:rsidRPr="00D62920">
              <w:t>21</w:t>
            </w:r>
          </w:p>
        </w:tc>
      </w:tr>
      <w:tr w:rsidR="00425B92" w:rsidRPr="004A357C" w14:paraId="00FA13B9" w14:textId="77777777" w:rsidTr="00425B92">
        <w:trPr>
          <w:cnfStyle w:val="000000010000" w:firstRow="0" w:lastRow="0" w:firstColumn="0" w:lastColumn="0" w:oddVBand="0" w:evenVBand="0" w:oddHBand="0" w:evenHBand="1" w:firstRowFirstColumn="0" w:firstRowLastColumn="0" w:lastRowFirstColumn="0" w:lastRowLastColumn="0"/>
        </w:trPr>
        <w:tc>
          <w:tcPr>
            <w:tcW w:w="820" w:type="dxa"/>
            <w:vMerge/>
          </w:tcPr>
          <w:p w14:paraId="48F68124" w14:textId="77777777" w:rsidR="00425B92" w:rsidRPr="004A357C" w:rsidRDefault="00425B92" w:rsidP="00425B92">
            <w:pPr>
              <w:spacing w:before="60" w:after="60"/>
              <w:rPr>
                <w:sz w:val="18"/>
                <w:szCs w:val="18"/>
              </w:rPr>
            </w:pPr>
          </w:p>
        </w:tc>
        <w:tc>
          <w:tcPr>
            <w:tcW w:w="3798" w:type="dxa"/>
          </w:tcPr>
          <w:p w14:paraId="33C515DA" w14:textId="24DC798A" w:rsidR="00425B92" w:rsidRPr="004A357C" w:rsidRDefault="00425B92" w:rsidP="00425B92">
            <w:pPr>
              <w:pStyle w:val="TableNText"/>
              <w:spacing w:before="60" w:after="60" w:line="240" w:lineRule="auto"/>
              <w:rPr>
                <w:rFonts w:ascii="Segoe UI Semibold" w:hAnsi="Segoe UI Semibold" w:cs="Segoe UI Semibold"/>
              </w:rPr>
            </w:pPr>
            <w:r w:rsidRPr="004A357C">
              <w:rPr>
                <w:rFonts w:ascii="Segoe UI Semibold" w:hAnsi="Segoe UI Semibold" w:cs="Segoe UI Semibold"/>
              </w:rPr>
              <w:t xml:space="preserve">03 </w:t>
            </w:r>
            <w:r w:rsidRPr="004A357C">
              <w:rPr>
                <w:rFonts w:asciiTheme="majorHAnsi" w:hAnsiTheme="majorHAnsi" w:cstheme="majorHAnsi"/>
              </w:rPr>
              <w:t>–</w:t>
            </w:r>
            <w:r w:rsidRPr="004A357C">
              <w:rPr>
                <w:rFonts w:ascii="Segoe UI Semibold" w:hAnsi="Segoe UI Semibold" w:cs="Segoe UI Semibold"/>
              </w:rPr>
              <w:t xml:space="preserve"> Orthopaedic</w:t>
            </w:r>
          </w:p>
        </w:tc>
        <w:tc>
          <w:tcPr>
            <w:tcW w:w="917" w:type="dxa"/>
            <w:vAlign w:val="top"/>
          </w:tcPr>
          <w:p w14:paraId="2AE410E8" w14:textId="3EC0462B" w:rsidR="00425B92" w:rsidRPr="004A357C" w:rsidRDefault="00425B92" w:rsidP="00425B92">
            <w:pPr>
              <w:pStyle w:val="TableNText"/>
              <w:spacing w:before="60" w:after="60" w:line="240" w:lineRule="auto"/>
              <w:jc w:val="center"/>
            </w:pPr>
            <w:r w:rsidRPr="00D62920">
              <w:t>-</w:t>
            </w:r>
          </w:p>
        </w:tc>
        <w:tc>
          <w:tcPr>
            <w:tcW w:w="904" w:type="dxa"/>
            <w:vAlign w:val="top"/>
          </w:tcPr>
          <w:p w14:paraId="0A695D6A" w14:textId="417D2ED0" w:rsidR="00425B92" w:rsidRPr="004A357C" w:rsidRDefault="00425B92" w:rsidP="00425B92">
            <w:pPr>
              <w:pStyle w:val="TableNText"/>
              <w:spacing w:before="60" w:after="60" w:line="240" w:lineRule="auto"/>
              <w:jc w:val="center"/>
            </w:pPr>
            <w:r w:rsidRPr="00D62920">
              <w:t>552</w:t>
            </w:r>
          </w:p>
        </w:tc>
        <w:tc>
          <w:tcPr>
            <w:tcW w:w="904" w:type="dxa"/>
            <w:vAlign w:val="top"/>
          </w:tcPr>
          <w:p w14:paraId="073169C7" w14:textId="2D6D1531" w:rsidR="00425B92" w:rsidRPr="004A357C" w:rsidRDefault="00425B92" w:rsidP="00425B92">
            <w:pPr>
              <w:pStyle w:val="TableNText"/>
              <w:spacing w:before="60" w:after="60" w:line="240" w:lineRule="auto"/>
              <w:jc w:val="center"/>
            </w:pPr>
            <w:r w:rsidRPr="00D62920">
              <w:t>-</w:t>
            </w:r>
          </w:p>
        </w:tc>
        <w:tc>
          <w:tcPr>
            <w:tcW w:w="904" w:type="dxa"/>
            <w:vAlign w:val="top"/>
          </w:tcPr>
          <w:p w14:paraId="0DB3A899" w14:textId="4CE24687" w:rsidR="00425B92" w:rsidRPr="004A357C" w:rsidRDefault="00425B92" w:rsidP="00425B92">
            <w:pPr>
              <w:pStyle w:val="TableNText"/>
              <w:spacing w:before="60" w:after="60" w:line="240" w:lineRule="auto"/>
              <w:jc w:val="center"/>
            </w:pPr>
            <w:r w:rsidRPr="00D62920">
              <w:t>-</w:t>
            </w:r>
          </w:p>
        </w:tc>
        <w:tc>
          <w:tcPr>
            <w:tcW w:w="938" w:type="dxa"/>
            <w:vAlign w:val="top"/>
          </w:tcPr>
          <w:p w14:paraId="4057BCFD" w14:textId="065F144F" w:rsidR="00425B92" w:rsidRPr="004A357C" w:rsidRDefault="00425B92" w:rsidP="00425B92">
            <w:pPr>
              <w:pStyle w:val="TableNText"/>
              <w:spacing w:before="60" w:after="60" w:line="240" w:lineRule="auto"/>
              <w:jc w:val="center"/>
              <w:rPr>
                <w:rFonts w:ascii="Segoe UI Semibold" w:hAnsi="Segoe UI Semibold" w:cs="Segoe UI Semibold"/>
              </w:rPr>
            </w:pPr>
            <w:r w:rsidRPr="00D62920">
              <w:t>552</w:t>
            </w:r>
          </w:p>
        </w:tc>
      </w:tr>
      <w:tr w:rsidR="00425B92" w:rsidRPr="004A357C" w14:paraId="7542155D" w14:textId="77777777" w:rsidTr="00425B92">
        <w:trPr>
          <w:cnfStyle w:val="000000100000" w:firstRow="0" w:lastRow="0" w:firstColumn="0" w:lastColumn="0" w:oddVBand="0" w:evenVBand="0" w:oddHBand="1" w:evenHBand="0" w:firstRowFirstColumn="0" w:firstRowLastColumn="0" w:lastRowFirstColumn="0" w:lastRowLastColumn="0"/>
        </w:trPr>
        <w:tc>
          <w:tcPr>
            <w:tcW w:w="820" w:type="dxa"/>
            <w:vMerge/>
          </w:tcPr>
          <w:p w14:paraId="14D36392" w14:textId="77777777" w:rsidR="00425B92" w:rsidRPr="004A357C" w:rsidRDefault="00425B92" w:rsidP="00425B92">
            <w:pPr>
              <w:spacing w:before="60" w:after="60"/>
              <w:rPr>
                <w:sz w:val="18"/>
                <w:szCs w:val="18"/>
              </w:rPr>
            </w:pPr>
          </w:p>
        </w:tc>
        <w:tc>
          <w:tcPr>
            <w:tcW w:w="3798" w:type="dxa"/>
          </w:tcPr>
          <w:p w14:paraId="0C9F96D5" w14:textId="392F69B7" w:rsidR="00425B92" w:rsidRPr="004A357C" w:rsidRDefault="00425B92" w:rsidP="00425B92">
            <w:pPr>
              <w:pStyle w:val="TableNText"/>
              <w:spacing w:before="60" w:after="60" w:line="240" w:lineRule="auto"/>
              <w:rPr>
                <w:rFonts w:ascii="Segoe UI Semibold" w:hAnsi="Segoe UI Semibold" w:cs="Segoe UI Semibold"/>
              </w:rPr>
            </w:pPr>
            <w:r w:rsidRPr="004A357C">
              <w:rPr>
                <w:rFonts w:ascii="Segoe UI Semibold" w:hAnsi="Segoe UI Semibold" w:cs="Segoe UI Semibold"/>
              </w:rPr>
              <w:t xml:space="preserve">04 </w:t>
            </w:r>
            <w:r w:rsidRPr="004A357C">
              <w:rPr>
                <w:rFonts w:asciiTheme="majorHAnsi" w:hAnsiTheme="majorHAnsi" w:cstheme="majorHAnsi"/>
              </w:rPr>
              <w:t>–</w:t>
            </w:r>
            <w:r w:rsidRPr="004A357C">
              <w:rPr>
                <w:rFonts w:ascii="Segoe UI Semibold" w:hAnsi="Segoe UI Semibold" w:cs="Segoe UI Semibold"/>
              </w:rPr>
              <w:t xml:space="preserve"> Dermatologic</w:t>
            </w:r>
          </w:p>
        </w:tc>
        <w:tc>
          <w:tcPr>
            <w:tcW w:w="917" w:type="dxa"/>
            <w:vAlign w:val="top"/>
          </w:tcPr>
          <w:p w14:paraId="616A3099" w14:textId="36CA5BAD" w:rsidR="00425B92" w:rsidRPr="004A357C" w:rsidRDefault="00425B92" w:rsidP="00425B92">
            <w:pPr>
              <w:pStyle w:val="TableNText"/>
              <w:spacing w:before="60" w:after="60" w:line="240" w:lineRule="auto"/>
              <w:jc w:val="center"/>
            </w:pPr>
            <w:r w:rsidRPr="00D62920">
              <w:t>-</w:t>
            </w:r>
          </w:p>
        </w:tc>
        <w:tc>
          <w:tcPr>
            <w:tcW w:w="904" w:type="dxa"/>
            <w:vAlign w:val="top"/>
          </w:tcPr>
          <w:p w14:paraId="41D73D27" w14:textId="05367AB4" w:rsidR="00425B92" w:rsidRPr="004A357C" w:rsidRDefault="00425B92" w:rsidP="00425B92">
            <w:pPr>
              <w:pStyle w:val="TableNText"/>
              <w:spacing w:before="60" w:after="60" w:line="240" w:lineRule="auto"/>
              <w:jc w:val="center"/>
            </w:pPr>
            <w:r w:rsidRPr="00D62920">
              <w:t>18</w:t>
            </w:r>
          </w:p>
        </w:tc>
        <w:tc>
          <w:tcPr>
            <w:tcW w:w="904" w:type="dxa"/>
            <w:vAlign w:val="top"/>
          </w:tcPr>
          <w:p w14:paraId="7951E1F9" w14:textId="33A0C92E" w:rsidR="00425B92" w:rsidRPr="004A357C" w:rsidRDefault="00425B92" w:rsidP="00425B92">
            <w:pPr>
              <w:pStyle w:val="TableNText"/>
              <w:spacing w:before="60" w:after="60" w:line="240" w:lineRule="auto"/>
              <w:jc w:val="center"/>
            </w:pPr>
            <w:r w:rsidRPr="00D62920">
              <w:t>-</w:t>
            </w:r>
          </w:p>
        </w:tc>
        <w:tc>
          <w:tcPr>
            <w:tcW w:w="904" w:type="dxa"/>
            <w:vAlign w:val="top"/>
          </w:tcPr>
          <w:p w14:paraId="5557015F" w14:textId="14A903F3" w:rsidR="00425B92" w:rsidRPr="004A357C" w:rsidRDefault="00425B92" w:rsidP="00425B92">
            <w:pPr>
              <w:pStyle w:val="TableNText"/>
              <w:spacing w:before="60" w:after="60" w:line="240" w:lineRule="auto"/>
              <w:jc w:val="center"/>
            </w:pPr>
            <w:r w:rsidRPr="00D62920">
              <w:t>-</w:t>
            </w:r>
          </w:p>
        </w:tc>
        <w:tc>
          <w:tcPr>
            <w:tcW w:w="938" w:type="dxa"/>
            <w:vAlign w:val="top"/>
          </w:tcPr>
          <w:p w14:paraId="05DC735B" w14:textId="037E9EAF" w:rsidR="00425B92" w:rsidRPr="004A357C" w:rsidRDefault="00425B92" w:rsidP="00425B92">
            <w:pPr>
              <w:pStyle w:val="TableNText"/>
              <w:spacing w:before="60" w:after="60" w:line="240" w:lineRule="auto"/>
              <w:jc w:val="center"/>
              <w:rPr>
                <w:rFonts w:ascii="Segoe UI Semibold" w:hAnsi="Segoe UI Semibold" w:cs="Segoe UI Semibold"/>
              </w:rPr>
            </w:pPr>
            <w:r w:rsidRPr="00D62920">
              <w:t>18</w:t>
            </w:r>
          </w:p>
        </w:tc>
      </w:tr>
      <w:tr w:rsidR="00425B92" w:rsidRPr="004A357C" w14:paraId="4046CDB7" w14:textId="77777777" w:rsidTr="00425B92">
        <w:trPr>
          <w:cnfStyle w:val="000000010000" w:firstRow="0" w:lastRow="0" w:firstColumn="0" w:lastColumn="0" w:oddVBand="0" w:evenVBand="0" w:oddHBand="0" w:evenHBand="1" w:firstRowFirstColumn="0" w:firstRowLastColumn="0" w:lastRowFirstColumn="0" w:lastRowLastColumn="0"/>
        </w:trPr>
        <w:tc>
          <w:tcPr>
            <w:tcW w:w="820" w:type="dxa"/>
          </w:tcPr>
          <w:p w14:paraId="777C559B" w14:textId="77777777" w:rsidR="00425B92" w:rsidRPr="004A357C" w:rsidRDefault="00425B92" w:rsidP="00425B92">
            <w:pPr>
              <w:spacing w:before="60" w:after="60"/>
              <w:rPr>
                <w:sz w:val="18"/>
                <w:szCs w:val="18"/>
              </w:rPr>
            </w:pPr>
          </w:p>
        </w:tc>
        <w:tc>
          <w:tcPr>
            <w:tcW w:w="3798" w:type="dxa"/>
          </w:tcPr>
          <w:p w14:paraId="77ED1FA1" w14:textId="52917CAD" w:rsidR="00425B92" w:rsidRPr="004A357C" w:rsidRDefault="00425B92" w:rsidP="00425B92">
            <w:pPr>
              <w:pStyle w:val="TableNText"/>
              <w:spacing w:before="60" w:after="60" w:line="240" w:lineRule="auto"/>
              <w:rPr>
                <w:rFonts w:ascii="Segoe UI Semibold" w:hAnsi="Segoe UI Semibold" w:cs="Segoe UI Semibold"/>
              </w:rPr>
            </w:pPr>
            <w:r w:rsidRPr="004A357C">
              <w:rPr>
                <w:rFonts w:ascii="Segoe UI Semibold" w:hAnsi="Segoe UI Semibold" w:cs="Segoe UI Semibold"/>
              </w:rPr>
              <w:t>Total</w:t>
            </w:r>
          </w:p>
        </w:tc>
        <w:tc>
          <w:tcPr>
            <w:tcW w:w="917" w:type="dxa"/>
            <w:vAlign w:val="top"/>
          </w:tcPr>
          <w:p w14:paraId="5EE35B4C" w14:textId="32089AF6" w:rsidR="00425B92" w:rsidRPr="004A357C" w:rsidRDefault="00425B92" w:rsidP="00425B92">
            <w:pPr>
              <w:pStyle w:val="TableNText"/>
              <w:spacing w:before="60" w:after="60" w:line="240" w:lineRule="auto"/>
              <w:jc w:val="center"/>
              <w:rPr>
                <w:rFonts w:asciiTheme="majorHAnsi" w:hAnsiTheme="majorHAnsi" w:cstheme="majorHAnsi"/>
              </w:rPr>
            </w:pPr>
            <w:r w:rsidRPr="00D62920">
              <w:t>9</w:t>
            </w:r>
            <w:r>
              <w:t>,</w:t>
            </w:r>
            <w:r w:rsidRPr="00D62920">
              <w:t>502</w:t>
            </w:r>
          </w:p>
        </w:tc>
        <w:tc>
          <w:tcPr>
            <w:tcW w:w="904" w:type="dxa"/>
            <w:vAlign w:val="top"/>
          </w:tcPr>
          <w:p w14:paraId="53325D88" w14:textId="0563CD70" w:rsidR="00425B92" w:rsidRPr="004A357C" w:rsidRDefault="00425B92" w:rsidP="00425B92">
            <w:pPr>
              <w:pStyle w:val="TableNText"/>
              <w:spacing w:before="60" w:after="60" w:line="240" w:lineRule="auto"/>
              <w:jc w:val="center"/>
              <w:rPr>
                <w:rFonts w:asciiTheme="majorHAnsi" w:hAnsiTheme="majorHAnsi" w:cstheme="majorHAnsi"/>
              </w:rPr>
            </w:pPr>
            <w:r w:rsidRPr="00D62920">
              <w:t>602</w:t>
            </w:r>
          </w:p>
        </w:tc>
        <w:tc>
          <w:tcPr>
            <w:tcW w:w="904" w:type="dxa"/>
            <w:vAlign w:val="top"/>
          </w:tcPr>
          <w:p w14:paraId="4E3B0BF6" w14:textId="33F14665" w:rsidR="00425B92" w:rsidRPr="004A357C" w:rsidRDefault="00425B92" w:rsidP="00425B92">
            <w:pPr>
              <w:pStyle w:val="TableNText"/>
              <w:spacing w:before="60" w:after="60" w:line="240" w:lineRule="auto"/>
              <w:jc w:val="center"/>
              <w:rPr>
                <w:rFonts w:asciiTheme="majorHAnsi" w:hAnsiTheme="majorHAnsi" w:cstheme="majorHAnsi"/>
              </w:rPr>
            </w:pPr>
            <w:r w:rsidRPr="00D62920">
              <w:t>143</w:t>
            </w:r>
          </w:p>
        </w:tc>
        <w:tc>
          <w:tcPr>
            <w:tcW w:w="904" w:type="dxa"/>
            <w:vAlign w:val="top"/>
          </w:tcPr>
          <w:p w14:paraId="4A46C93D" w14:textId="3B95DA53" w:rsidR="00425B92" w:rsidRPr="004A357C" w:rsidRDefault="00425B92" w:rsidP="00425B92">
            <w:pPr>
              <w:pStyle w:val="TableNText"/>
              <w:spacing w:before="60" w:after="60" w:line="240" w:lineRule="auto"/>
              <w:jc w:val="center"/>
              <w:rPr>
                <w:rFonts w:asciiTheme="majorHAnsi" w:hAnsiTheme="majorHAnsi" w:cstheme="majorHAnsi"/>
              </w:rPr>
            </w:pPr>
            <w:r w:rsidRPr="00D62920">
              <w:t>505</w:t>
            </w:r>
          </w:p>
        </w:tc>
        <w:tc>
          <w:tcPr>
            <w:tcW w:w="938" w:type="dxa"/>
            <w:vAlign w:val="top"/>
          </w:tcPr>
          <w:p w14:paraId="18A30014" w14:textId="0F2D8EFC" w:rsidR="00425B92" w:rsidRPr="004A357C" w:rsidRDefault="00425B92" w:rsidP="00425B92">
            <w:pPr>
              <w:pStyle w:val="TableNText"/>
              <w:spacing w:before="60" w:after="60" w:line="240" w:lineRule="auto"/>
              <w:jc w:val="center"/>
              <w:rPr>
                <w:rFonts w:asciiTheme="majorHAnsi" w:hAnsiTheme="majorHAnsi" w:cstheme="majorHAnsi"/>
              </w:rPr>
            </w:pPr>
            <w:r w:rsidRPr="00D62920">
              <w:t>10</w:t>
            </w:r>
            <w:r>
              <w:t>,</w:t>
            </w:r>
            <w:r w:rsidRPr="00D62920">
              <w:t>752</w:t>
            </w:r>
          </w:p>
        </w:tc>
      </w:tr>
    </w:tbl>
    <w:p w14:paraId="4E8CEAD6" w14:textId="6D057DC5" w:rsidR="00E14A9B" w:rsidRPr="004A357C" w:rsidRDefault="00112DD5" w:rsidP="00B50EE7">
      <w:pPr>
        <w:pStyle w:val="Caption"/>
      </w:pPr>
      <w:bookmarkStart w:id="128" w:name="_Ref199404735"/>
      <w:bookmarkStart w:id="129" w:name="_Ref199404732"/>
      <w:r w:rsidRPr="004A357C">
        <w:t xml:space="preserve">Figure </w:t>
      </w:r>
      <w:r w:rsidR="005539DD">
        <w:fldChar w:fldCharType="begin"/>
      </w:r>
      <w:r w:rsidR="005539DD">
        <w:instrText xml:space="preserve"> SEQ Figure \* ARABIC </w:instrText>
      </w:r>
      <w:r w:rsidR="005539DD">
        <w:fldChar w:fldCharType="separate"/>
      </w:r>
      <w:r w:rsidR="0092693A">
        <w:rPr>
          <w:noProof/>
        </w:rPr>
        <w:t>39</w:t>
      </w:r>
      <w:r w:rsidR="005539DD">
        <w:fldChar w:fldCharType="end"/>
      </w:r>
      <w:bookmarkEnd w:id="128"/>
      <w:r w:rsidRPr="004A357C">
        <w:t xml:space="preserve"> | Number of PL items (Parts A, C and D)</w:t>
      </w:r>
      <w:r w:rsidR="00845296" w:rsidRPr="004A357C">
        <w:rPr>
          <w:rStyle w:val="FootnoteReference"/>
        </w:rPr>
        <w:footnoteReference w:id="158"/>
      </w:r>
      <w:bookmarkEnd w:id="129"/>
    </w:p>
    <w:p w14:paraId="233DC626" w14:textId="465C5F2B" w:rsidR="00112DD5" w:rsidRPr="004A357C" w:rsidRDefault="00CB2F8A" w:rsidP="00112DD5">
      <w:pPr>
        <w:rPr>
          <w:lang w:eastAsia="en-AU"/>
        </w:rPr>
      </w:pPr>
      <w:r w:rsidRPr="00CB2F8A">
        <w:rPr>
          <w:noProof/>
          <w:lang w:eastAsia="en-AU"/>
        </w:rPr>
        <w:drawing>
          <wp:inline distT="0" distB="0" distL="0" distR="0" wp14:anchorId="60BBC7B7" wp14:editId="7A73232B">
            <wp:extent cx="5832475" cy="2891790"/>
            <wp:effectExtent l="0" t="0" r="0" b="3810"/>
            <wp:docPr id="1669002161" name="Picture 1" descr="Chart showing number of PL items (Parts A, C, D) declining 2021 to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002161" name="Picture 1" descr="Chart showing number of PL items (Parts A, C, D) declining 2021 to 2025."/>
                    <pic:cNvPicPr/>
                  </pic:nvPicPr>
                  <pic:blipFill>
                    <a:blip r:embed="rId63"/>
                    <a:stretch>
                      <a:fillRect/>
                    </a:stretch>
                  </pic:blipFill>
                  <pic:spPr>
                    <a:xfrm>
                      <a:off x="0" y="0"/>
                      <a:ext cx="5832475" cy="2891790"/>
                    </a:xfrm>
                    <a:prstGeom prst="rect">
                      <a:avLst/>
                    </a:prstGeom>
                  </pic:spPr>
                </pic:pic>
              </a:graphicData>
            </a:graphic>
          </wp:inline>
        </w:drawing>
      </w:r>
    </w:p>
    <w:p w14:paraId="1597428A" w14:textId="335EAFAD" w:rsidR="003B26A6" w:rsidRPr="004A357C" w:rsidRDefault="003B26A6" w:rsidP="00FB712C">
      <w:pPr>
        <w:spacing w:before="240"/>
        <w:rPr>
          <w:lang w:eastAsia="en-AU"/>
        </w:rPr>
      </w:pPr>
      <w:r w:rsidRPr="003749DD">
        <w:rPr>
          <w:lang w:eastAsia="en-AU"/>
        </w:rPr>
        <w:fldChar w:fldCharType="begin"/>
      </w:r>
      <w:r w:rsidRPr="003749DD">
        <w:rPr>
          <w:lang w:eastAsia="en-AU"/>
        </w:rPr>
        <w:instrText xml:space="preserve"> REF _Ref199404735 \h </w:instrText>
      </w:r>
      <w:r w:rsidR="003749DD">
        <w:rPr>
          <w:lang w:eastAsia="en-AU"/>
        </w:rPr>
        <w:instrText xml:space="preserve"> \* MERGEFORMAT </w:instrText>
      </w:r>
      <w:r w:rsidRPr="003749DD">
        <w:rPr>
          <w:lang w:eastAsia="en-AU"/>
        </w:rPr>
      </w:r>
      <w:r w:rsidRPr="003749DD">
        <w:rPr>
          <w:lang w:eastAsia="en-AU"/>
        </w:rPr>
        <w:fldChar w:fldCharType="separate"/>
      </w:r>
      <w:r w:rsidR="0092693A" w:rsidRPr="004A357C">
        <w:t xml:space="preserve">Figure </w:t>
      </w:r>
      <w:r w:rsidR="0092693A">
        <w:rPr>
          <w:noProof/>
        </w:rPr>
        <w:t>39</w:t>
      </w:r>
      <w:r w:rsidRPr="003749DD">
        <w:rPr>
          <w:lang w:eastAsia="en-AU"/>
        </w:rPr>
        <w:fldChar w:fldCharType="end"/>
      </w:r>
      <w:r w:rsidRPr="003749DD">
        <w:rPr>
          <w:lang w:eastAsia="en-AU"/>
        </w:rPr>
        <w:t xml:space="preserve"> </w:t>
      </w:r>
      <w:r w:rsidR="00104637" w:rsidRPr="003749DD">
        <w:rPr>
          <w:lang w:eastAsia="en-AU"/>
        </w:rPr>
        <w:t xml:space="preserve">shows that the number of PL items in Parts A, C and D declined by </w:t>
      </w:r>
      <w:r w:rsidR="00DF7F50" w:rsidRPr="003749DD">
        <w:rPr>
          <w:lang w:eastAsia="en-AU"/>
        </w:rPr>
        <w:t>6.9</w:t>
      </w:r>
      <w:r w:rsidR="00104637" w:rsidRPr="003749DD">
        <w:rPr>
          <w:lang w:eastAsia="en-AU"/>
        </w:rPr>
        <w:t xml:space="preserve">% from the July 2021 PL to the </w:t>
      </w:r>
      <w:r w:rsidR="00DF7F50" w:rsidRPr="003749DD">
        <w:rPr>
          <w:lang w:eastAsia="en-AU"/>
        </w:rPr>
        <w:t>July 2025</w:t>
      </w:r>
      <w:r w:rsidR="00104637" w:rsidRPr="003749DD">
        <w:rPr>
          <w:lang w:eastAsia="en-AU"/>
        </w:rPr>
        <w:t xml:space="preserve"> PL. This reflects a reversal of the trend in the 10 years preceding the July 2021 baseline, where the number of items increased by 1.</w:t>
      </w:r>
      <w:r w:rsidR="003749DD" w:rsidRPr="003749DD">
        <w:rPr>
          <w:lang w:eastAsia="en-AU"/>
        </w:rPr>
        <w:t>1</w:t>
      </w:r>
      <w:r w:rsidR="00104637" w:rsidRPr="003749DD">
        <w:rPr>
          <w:lang w:eastAsia="en-AU"/>
        </w:rPr>
        <w:t>% per annum.</w:t>
      </w:r>
    </w:p>
    <w:p w14:paraId="31B6BC6F" w14:textId="0DB5A3BA" w:rsidR="00261869" w:rsidRDefault="00261869" w:rsidP="00F56D06">
      <w:pPr>
        <w:pStyle w:val="Caption"/>
      </w:pPr>
      <w:bookmarkStart w:id="130" w:name="_Ref199404801"/>
      <w:r w:rsidRPr="004A357C">
        <w:t xml:space="preserve">Figure </w:t>
      </w:r>
      <w:r w:rsidR="005539DD">
        <w:fldChar w:fldCharType="begin"/>
      </w:r>
      <w:r w:rsidR="005539DD">
        <w:instrText xml:space="preserve"> SEQ Figure \* ARABIC </w:instrText>
      </w:r>
      <w:r w:rsidR="005539DD">
        <w:fldChar w:fldCharType="separate"/>
      </w:r>
      <w:r w:rsidR="0092693A">
        <w:rPr>
          <w:noProof/>
        </w:rPr>
        <w:t>40</w:t>
      </w:r>
      <w:r w:rsidR="005539DD">
        <w:fldChar w:fldCharType="end"/>
      </w:r>
      <w:bookmarkEnd w:id="130"/>
      <w:r w:rsidRPr="004A357C">
        <w:t xml:space="preserve"> | Number of benefit groups (Parts A, C and D)</w:t>
      </w:r>
      <w:r w:rsidR="0032303C" w:rsidRPr="004A357C">
        <w:rPr>
          <w:rStyle w:val="FootnoteReference"/>
        </w:rPr>
        <w:footnoteReference w:id="159"/>
      </w:r>
    </w:p>
    <w:p w14:paraId="0713BCA7" w14:textId="0B942AA9" w:rsidR="00F56D06" w:rsidRPr="004A357C" w:rsidRDefault="00F56D06" w:rsidP="00261869">
      <w:pPr>
        <w:rPr>
          <w:lang w:eastAsia="en-AU"/>
        </w:rPr>
      </w:pPr>
      <w:r w:rsidRPr="00F56D06">
        <w:rPr>
          <w:noProof/>
          <w:lang w:eastAsia="en-AU"/>
        </w:rPr>
        <w:drawing>
          <wp:inline distT="0" distB="0" distL="0" distR="0" wp14:anchorId="4E353AB5" wp14:editId="27964D6C">
            <wp:extent cx="5832475" cy="2904490"/>
            <wp:effectExtent l="0" t="0" r="0" b="0"/>
            <wp:docPr id="1009363786" name="Picture 1" descr="Chart showing number of PL benefit groups (Parts A, C, D) declining 2021 to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363786" name="Picture 1" descr="Chart showing number of PL benefit groups (Parts A, C, D) declining 2021 to 2025."/>
                    <pic:cNvPicPr/>
                  </pic:nvPicPr>
                  <pic:blipFill>
                    <a:blip r:embed="rId64"/>
                    <a:stretch>
                      <a:fillRect/>
                    </a:stretch>
                  </pic:blipFill>
                  <pic:spPr>
                    <a:xfrm>
                      <a:off x="0" y="0"/>
                      <a:ext cx="5832475" cy="2904490"/>
                    </a:xfrm>
                    <a:prstGeom prst="rect">
                      <a:avLst/>
                    </a:prstGeom>
                  </pic:spPr>
                </pic:pic>
              </a:graphicData>
            </a:graphic>
          </wp:inline>
        </w:drawing>
      </w:r>
    </w:p>
    <w:p w14:paraId="5CE8A554" w14:textId="6949F11E" w:rsidR="003B26A6" w:rsidRPr="004A357C" w:rsidRDefault="00104637" w:rsidP="00FB712C">
      <w:pPr>
        <w:spacing w:before="240"/>
        <w:rPr>
          <w:lang w:eastAsia="en-AU"/>
        </w:rPr>
      </w:pPr>
      <w:r w:rsidRPr="003749DD">
        <w:rPr>
          <w:lang w:eastAsia="en-AU"/>
        </w:rPr>
        <w:t xml:space="preserve">Likewise, </w:t>
      </w:r>
      <w:r w:rsidR="003B26A6" w:rsidRPr="003749DD">
        <w:rPr>
          <w:lang w:eastAsia="en-AU"/>
        </w:rPr>
        <w:fldChar w:fldCharType="begin"/>
      </w:r>
      <w:r w:rsidR="003B26A6" w:rsidRPr="003749DD">
        <w:rPr>
          <w:lang w:eastAsia="en-AU"/>
        </w:rPr>
        <w:instrText xml:space="preserve"> REF _Ref199404801 \h </w:instrText>
      </w:r>
      <w:r w:rsidR="00D808FF" w:rsidRPr="003749DD">
        <w:rPr>
          <w:lang w:eastAsia="en-AU"/>
        </w:rPr>
        <w:instrText xml:space="preserve"> \* MERGEFORMAT </w:instrText>
      </w:r>
      <w:r w:rsidR="003B26A6" w:rsidRPr="003749DD">
        <w:rPr>
          <w:lang w:eastAsia="en-AU"/>
        </w:rPr>
      </w:r>
      <w:r w:rsidR="003B26A6" w:rsidRPr="003749DD">
        <w:rPr>
          <w:lang w:eastAsia="en-AU"/>
        </w:rPr>
        <w:fldChar w:fldCharType="separate"/>
      </w:r>
      <w:r w:rsidR="0092693A" w:rsidRPr="004A357C">
        <w:t xml:space="preserve">Figure </w:t>
      </w:r>
      <w:r w:rsidR="0092693A">
        <w:rPr>
          <w:noProof/>
        </w:rPr>
        <w:t>40</w:t>
      </w:r>
      <w:r w:rsidR="003B26A6" w:rsidRPr="003749DD">
        <w:rPr>
          <w:lang w:eastAsia="en-AU"/>
        </w:rPr>
        <w:fldChar w:fldCharType="end"/>
      </w:r>
      <w:r w:rsidR="000B496F" w:rsidRPr="003749DD">
        <w:t xml:space="preserve"> </w:t>
      </w:r>
      <w:r w:rsidR="000B496F" w:rsidRPr="003749DD">
        <w:rPr>
          <w:lang w:eastAsia="en-AU"/>
        </w:rPr>
        <w:t xml:space="preserve">shows that the number of benefit groups declined by </w:t>
      </w:r>
      <w:r w:rsidR="003749DD" w:rsidRPr="003749DD">
        <w:rPr>
          <w:lang w:eastAsia="en-AU"/>
        </w:rPr>
        <w:t>4</w:t>
      </w:r>
      <w:r w:rsidR="000B496F" w:rsidRPr="003749DD">
        <w:rPr>
          <w:lang w:eastAsia="en-AU"/>
        </w:rPr>
        <w:t>.</w:t>
      </w:r>
      <w:r w:rsidR="003749DD" w:rsidRPr="003749DD">
        <w:rPr>
          <w:lang w:eastAsia="en-AU"/>
        </w:rPr>
        <w:t>4</w:t>
      </w:r>
      <w:r w:rsidR="000B496F" w:rsidRPr="003749DD">
        <w:rPr>
          <w:lang w:eastAsia="en-AU"/>
        </w:rPr>
        <w:t xml:space="preserve">% from the July 2021 PL to the </w:t>
      </w:r>
      <w:r w:rsidR="003749DD" w:rsidRPr="003749DD">
        <w:rPr>
          <w:lang w:eastAsia="en-AU"/>
        </w:rPr>
        <w:t>July 2025</w:t>
      </w:r>
      <w:r w:rsidR="000B496F" w:rsidRPr="003749DD">
        <w:rPr>
          <w:lang w:eastAsia="en-AU"/>
        </w:rPr>
        <w:t xml:space="preserve"> PL.</w:t>
      </w:r>
    </w:p>
    <w:p w14:paraId="1462D22E" w14:textId="65C508EB" w:rsidR="002625ED" w:rsidRPr="004A357C" w:rsidRDefault="00B408E1" w:rsidP="00B50EE7">
      <w:pPr>
        <w:pStyle w:val="Caption"/>
      </w:pPr>
      <w:bookmarkStart w:id="131" w:name="_Ref199404802"/>
      <w:r w:rsidRPr="004A357C">
        <w:t xml:space="preserve">Figure </w:t>
      </w:r>
      <w:r w:rsidR="005539DD">
        <w:fldChar w:fldCharType="begin"/>
      </w:r>
      <w:r w:rsidR="005539DD">
        <w:instrText xml:space="preserve"> SEQ Figure \* ARABIC </w:instrText>
      </w:r>
      <w:r w:rsidR="005539DD">
        <w:fldChar w:fldCharType="separate"/>
      </w:r>
      <w:r w:rsidR="0092693A">
        <w:rPr>
          <w:noProof/>
        </w:rPr>
        <w:t>41</w:t>
      </w:r>
      <w:r w:rsidR="005539DD">
        <w:fldChar w:fldCharType="end"/>
      </w:r>
      <w:bookmarkEnd w:id="131"/>
      <w:r w:rsidRPr="004A357C">
        <w:t xml:space="preserve"> | Average items per benefit group (Parts A, C and D)</w:t>
      </w:r>
      <w:r w:rsidR="003B26A6" w:rsidRPr="004A357C">
        <w:rPr>
          <w:rStyle w:val="FootnoteReference"/>
        </w:rPr>
        <w:footnoteReference w:id="160"/>
      </w:r>
    </w:p>
    <w:p w14:paraId="1D6273AF" w14:textId="5BB1DB86" w:rsidR="00B408E1" w:rsidRPr="004A357C" w:rsidRDefault="00DF7F50" w:rsidP="00B408E1">
      <w:r w:rsidRPr="00DF7F50">
        <w:rPr>
          <w:noProof/>
        </w:rPr>
        <w:drawing>
          <wp:inline distT="0" distB="0" distL="0" distR="0" wp14:anchorId="513F8696" wp14:editId="1D8950D9">
            <wp:extent cx="5832475" cy="2893060"/>
            <wp:effectExtent l="0" t="0" r="0" b="2540"/>
            <wp:docPr id="160262419" name="Picture 1" descr="Chart showing average items per PL benefit group remaining s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62419" name="Picture 1" descr="Chart showing average items per PL benefit group remaining stable."/>
                    <pic:cNvPicPr/>
                  </pic:nvPicPr>
                  <pic:blipFill>
                    <a:blip r:embed="rId65"/>
                    <a:stretch>
                      <a:fillRect/>
                    </a:stretch>
                  </pic:blipFill>
                  <pic:spPr>
                    <a:xfrm>
                      <a:off x="0" y="0"/>
                      <a:ext cx="5832475" cy="2893060"/>
                    </a:xfrm>
                    <a:prstGeom prst="rect">
                      <a:avLst/>
                    </a:prstGeom>
                  </pic:spPr>
                </pic:pic>
              </a:graphicData>
            </a:graphic>
          </wp:inline>
        </w:drawing>
      </w:r>
    </w:p>
    <w:p w14:paraId="548549C3" w14:textId="1FEA2B4E" w:rsidR="002625ED" w:rsidRDefault="000B496F" w:rsidP="00FB712C">
      <w:pPr>
        <w:spacing w:before="240"/>
      </w:pPr>
      <w:r w:rsidRPr="004A357C">
        <w:fldChar w:fldCharType="begin"/>
      </w:r>
      <w:r w:rsidRPr="004A357C">
        <w:instrText xml:space="preserve"> REF _Ref199404802 \h </w:instrText>
      </w:r>
      <w:r w:rsidRPr="004A357C">
        <w:fldChar w:fldCharType="separate"/>
      </w:r>
      <w:r w:rsidR="0092693A" w:rsidRPr="004A357C">
        <w:t xml:space="preserve">Figure </w:t>
      </w:r>
      <w:r w:rsidR="0092693A">
        <w:rPr>
          <w:noProof/>
        </w:rPr>
        <w:t>41</w:t>
      </w:r>
      <w:r w:rsidRPr="004A357C">
        <w:fldChar w:fldCharType="end"/>
      </w:r>
      <w:r w:rsidRPr="004A357C">
        <w:t xml:space="preserve"> shows that the average items per benefit group has held relatively steady </w:t>
      </w:r>
      <w:r w:rsidR="00E5200A" w:rsidRPr="004A357C">
        <w:t>over</w:t>
      </w:r>
      <w:r w:rsidRPr="004A357C">
        <w:t xml:space="preserve"> the reform period. This reflects both the number of items and the number of benefit groups decreasing.</w:t>
      </w:r>
    </w:p>
    <w:sectPr w:rsidR="002625ED" w:rsidSect="007B157A">
      <w:pgSz w:w="11907" w:h="16839" w:code="9"/>
      <w:pgMar w:top="1247" w:right="1361" w:bottom="1304" w:left="136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814D6" w14:textId="77777777" w:rsidR="00F469F8" w:rsidRPr="004A357C" w:rsidRDefault="00F469F8" w:rsidP="00302076">
      <w:pPr>
        <w:spacing w:after="0"/>
      </w:pPr>
      <w:r w:rsidRPr="004A357C">
        <w:separator/>
      </w:r>
    </w:p>
  </w:endnote>
  <w:endnote w:type="continuationSeparator" w:id="0">
    <w:p w14:paraId="4500FFBA" w14:textId="77777777" w:rsidR="00F469F8" w:rsidRPr="004A357C" w:rsidRDefault="00F469F8" w:rsidP="00302076">
      <w:pPr>
        <w:spacing w:after="0"/>
      </w:pPr>
      <w:r w:rsidRPr="004A357C">
        <w:continuationSeparator/>
      </w:r>
    </w:p>
  </w:endnote>
  <w:endnote w:type="continuationNotice" w:id="1">
    <w:p w14:paraId="31462459" w14:textId="77777777" w:rsidR="00F469F8" w:rsidRPr="004A357C" w:rsidRDefault="00F469F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egoe UI Semibold">
    <w:panose1 w:val="020B07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ource Sans Pro">
    <w:charset w:val="00"/>
    <w:family w:val="swiss"/>
    <w:pitch w:val="variable"/>
    <w:sig w:usb0="600002F7" w:usb1="02000001" w:usb2="00000000" w:usb3="00000000" w:csb0="0000019F" w:csb1="00000000"/>
  </w:font>
  <w:font w:name="Yu Mincho">
    <w:charset w:val="80"/>
    <w:family w:val="roman"/>
    <w:pitch w:val="variable"/>
    <w:sig w:usb0="800002E7" w:usb1="2AC7FCFF" w:usb2="00000012" w:usb3="00000000" w:csb0="0002009F" w:csb1="00000000"/>
  </w:font>
  <w:font w:name="Lucida Console">
    <w:panose1 w:val="020B0609040504020204"/>
    <w:charset w:val="00"/>
    <w:family w:val="modern"/>
    <w:pitch w:val="fixed"/>
    <w:sig w:usb0="8000028F" w:usb1="00001800" w:usb2="00000000" w:usb3="00000000" w:csb0="0000001F" w:csb1="00000000"/>
  </w:font>
  <w:font w:name="Bahnschrift Light SemiCondensed">
    <w:panose1 w:val="020B0502040204020203"/>
    <w:charset w:val="00"/>
    <w:family w:val="swiss"/>
    <w:pitch w:val="variable"/>
    <w:sig w:usb0="A00002C7" w:usb1="00000002" w:usb2="00000000" w:usb3="00000000" w:csb0="0000019F" w:csb1="00000000"/>
  </w:font>
  <w:font w:name="Segoe UI Semilight">
    <w:panose1 w:val="020B0402040204020203"/>
    <w:charset w:val="00"/>
    <w:family w:val="swiss"/>
    <w:pitch w:val="variable"/>
    <w:sig w:usb0="E4002EFF" w:usb1="C000E47F" w:usb2="00000009" w:usb3="00000000" w:csb0="000001FF" w:csb1="00000000"/>
  </w:font>
  <w:font w:name="Nirmala UI Semilight">
    <w:panose1 w:val="020B0402040204020203"/>
    <w:charset w:val="00"/>
    <w:family w:val="swiss"/>
    <w:pitch w:val="variable"/>
    <w:sig w:usb0="80FF8023" w:usb1="0200004A" w:usb2="00000200" w:usb3="00000000" w:csb0="00000001"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43F07" w14:textId="292EE9A6" w:rsidR="00394185" w:rsidRDefault="00394185">
    <w:pPr>
      <w:pStyle w:val="Footer"/>
    </w:pPr>
    <w:r>
      <w:rPr>
        <w:noProof/>
      </w:rPr>
      <mc:AlternateContent>
        <mc:Choice Requires="wps">
          <w:drawing>
            <wp:anchor distT="0" distB="0" distL="0" distR="0" simplePos="0" relativeHeight="251666435" behindDoc="0" locked="0" layoutInCell="1" allowOverlap="1" wp14:anchorId="07C6570E" wp14:editId="4DE09216">
              <wp:simplePos x="635" y="635"/>
              <wp:positionH relativeFrom="page">
                <wp:align>center</wp:align>
              </wp:positionH>
              <wp:positionV relativeFrom="page">
                <wp:align>bottom</wp:align>
              </wp:positionV>
              <wp:extent cx="622300" cy="376555"/>
              <wp:effectExtent l="0" t="0" r="6350" b="0"/>
              <wp:wrapNone/>
              <wp:docPr id="1947130747"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AAF296D" w14:textId="6CD5030D" w:rsidR="00394185" w:rsidRPr="00394185" w:rsidRDefault="00394185" w:rsidP="00394185">
                          <w:pPr>
                            <w:spacing w:after="0"/>
                            <w:rPr>
                              <w:rFonts w:ascii="Aptos" w:eastAsia="Aptos" w:hAnsi="Aptos" w:cs="Aptos"/>
                              <w:noProof/>
                              <w:color w:val="FF0000"/>
                              <w:sz w:val="24"/>
                              <w:szCs w:val="24"/>
                            </w:rPr>
                          </w:pPr>
                          <w:r w:rsidRPr="00394185">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7C6570E" id="_x0000_t202" coordsize="21600,21600" o:spt="202" path="m,l,21600r21600,l21600,xe">
              <v:stroke joinstyle="miter"/>
              <v:path gradientshapeok="t" o:connecttype="rect"/>
            </v:shapetype>
            <v:shape id="Text Box 12" o:spid="_x0000_s1031" type="#_x0000_t202" alt="OFFICIAL" style="position:absolute;margin-left:0;margin-top:0;width:49pt;height:29.65pt;z-index:25166643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AZZg4pDAIAABwEAAAO&#10;AAAAAAAAAAAAAAAAAC4CAABkcnMvZTJvRG9jLnhtbFBLAQItABQABgAIAAAAIQBpiNsP2QAAAAMB&#10;AAAPAAAAAAAAAAAAAAAAAGYEAABkcnMvZG93bnJldi54bWxQSwUGAAAAAAQABADzAAAAbAUAAAAA&#10;" filled="f" stroked="f">
              <v:fill o:detectmouseclick="t"/>
              <v:textbox style="mso-fit-shape-to-text:t" inset="0,0,0,15pt">
                <w:txbxContent>
                  <w:p w14:paraId="3AAF296D" w14:textId="6CD5030D" w:rsidR="00394185" w:rsidRPr="00394185" w:rsidRDefault="00394185" w:rsidP="00394185">
                    <w:pPr>
                      <w:spacing w:after="0"/>
                      <w:rPr>
                        <w:rFonts w:ascii="Aptos" w:eastAsia="Aptos" w:hAnsi="Aptos" w:cs="Aptos"/>
                        <w:noProof/>
                        <w:color w:val="FF0000"/>
                        <w:sz w:val="24"/>
                        <w:szCs w:val="24"/>
                      </w:rPr>
                    </w:pPr>
                    <w:r w:rsidRPr="00394185">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9A275" w14:textId="36345E13" w:rsidR="00865A27" w:rsidRPr="00602824" w:rsidRDefault="00394185" w:rsidP="00FD4AB1">
    <w:pPr>
      <w:pStyle w:val="Footer"/>
      <w:rPr>
        <w:rFonts w:ascii="Segoe UI Semibold" w:hAnsi="Segoe UI Semibold" w:cs="Segoe UI"/>
        <w:b/>
      </w:rPr>
    </w:pPr>
    <w:r>
      <w:rPr>
        <w:noProof/>
        <w:color w:val="808080" w:themeColor="background1" w:themeShade="80"/>
        <w:szCs w:val="15"/>
        <w:lang w:eastAsia="en-AU"/>
      </w:rPr>
      <mc:AlternateContent>
        <mc:Choice Requires="wps">
          <w:drawing>
            <wp:anchor distT="0" distB="0" distL="0" distR="0" simplePos="0" relativeHeight="251667459" behindDoc="0" locked="0" layoutInCell="1" allowOverlap="1" wp14:anchorId="1209DAEB" wp14:editId="0F0A9FF3">
              <wp:simplePos x="863600" y="10102850"/>
              <wp:positionH relativeFrom="page">
                <wp:align>center</wp:align>
              </wp:positionH>
              <wp:positionV relativeFrom="page">
                <wp:align>bottom</wp:align>
              </wp:positionV>
              <wp:extent cx="622300" cy="376555"/>
              <wp:effectExtent l="0" t="0" r="6350" b="0"/>
              <wp:wrapNone/>
              <wp:docPr id="1263352316" name="Text Box 1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DF1FD31" w14:textId="578B1984" w:rsidR="00394185" w:rsidRPr="00394185" w:rsidRDefault="00394185" w:rsidP="00394185">
                          <w:pPr>
                            <w:spacing w:after="0"/>
                            <w:rPr>
                              <w:rFonts w:ascii="Aptos" w:eastAsia="Aptos" w:hAnsi="Aptos" w:cs="Aptos"/>
                              <w:noProof/>
                              <w:color w:val="FF0000"/>
                              <w:sz w:val="24"/>
                              <w:szCs w:val="24"/>
                            </w:rPr>
                          </w:pPr>
                          <w:r w:rsidRPr="00394185">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209DAEB" id="_x0000_t202" coordsize="21600,21600" o:spt="202" path="m,l,21600r21600,l21600,xe">
              <v:stroke joinstyle="miter"/>
              <v:path gradientshapeok="t" o:connecttype="rect"/>
            </v:shapetype>
            <v:shape id="Text Box 13" o:spid="_x0000_s1032" type="#_x0000_t202" alt="OFFICIAL" style="position:absolute;margin-left:0;margin-top:0;width:49pt;height:29.65pt;z-index:25166745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4DF1FD31" w14:textId="578B1984" w:rsidR="00394185" w:rsidRPr="00394185" w:rsidRDefault="00394185" w:rsidP="00394185">
                    <w:pPr>
                      <w:spacing w:after="0"/>
                      <w:rPr>
                        <w:rFonts w:ascii="Aptos" w:eastAsia="Aptos" w:hAnsi="Aptos" w:cs="Aptos"/>
                        <w:noProof/>
                        <w:color w:val="FF0000"/>
                        <w:sz w:val="24"/>
                        <w:szCs w:val="24"/>
                      </w:rPr>
                    </w:pPr>
                    <w:r w:rsidRPr="00394185">
                      <w:rPr>
                        <w:rFonts w:ascii="Aptos" w:eastAsia="Aptos" w:hAnsi="Aptos" w:cs="Aptos"/>
                        <w:noProof/>
                        <w:color w:val="FF0000"/>
                        <w:sz w:val="24"/>
                        <w:szCs w:val="24"/>
                      </w:rPr>
                      <w:t>OFFICIAL</w:t>
                    </w:r>
                  </w:p>
                </w:txbxContent>
              </v:textbox>
              <w10:wrap anchorx="page" anchory="page"/>
            </v:shape>
          </w:pict>
        </mc:Fallback>
      </mc:AlternateContent>
    </w:r>
    <w:r w:rsidR="00865A27" w:rsidRPr="00602824">
      <w:rPr>
        <w:color w:val="808080" w:themeColor="background1" w:themeShade="80"/>
        <w:szCs w:val="15"/>
        <w:lang w:eastAsia="en-AU"/>
      </w:rPr>
      <w:t xml:space="preserve">Nous Group | </w:t>
    </w:r>
    <w:sdt>
      <w:sdtPr>
        <w:rPr>
          <w:color w:val="808080" w:themeColor="background1" w:themeShade="80"/>
          <w:szCs w:val="15"/>
          <w:lang w:eastAsia="en-AU"/>
        </w:rPr>
        <w:alias w:val="Title"/>
        <w:id w:val="-1274856872"/>
        <w:dataBinding w:prefixMappings="xmlns:ns0='http://purl.org/dc/elements/1.1/' xmlns:ns1='http://schemas.openxmlformats.org/package/2006/metadata/core-properties' " w:xpath="/ns1:coreProperties[1]/ns0:title[1]" w:storeItemID="{6C3C8BC8-F283-45AE-878A-BAB7291924A1}"/>
        <w:text/>
      </w:sdtPr>
      <w:sdtContent>
        <w:r w:rsidR="00153530">
          <w:rPr>
            <w:color w:val="808080" w:themeColor="background1" w:themeShade="80"/>
            <w:szCs w:val="15"/>
            <w:lang w:eastAsia="en-AU"/>
          </w:rPr>
          <w:t>Final Evaluation of the Prescribed List Reforms</w:t>
        </w:r>
      </w:sdtContent>
    </w:sdt>
    <w:r w:rsidR="00865A27" w:rsidRPr="00602824">
      <w:rPr>
        <w:color w:val="808080" w:themeColor="background1" w:themeShade="80"/>
        <w:szCs w:val="15"/>
        <w:lang w:eastAsia="en-AU"/>
      </w:rPr>
      <w:t xml:space="preserve"> | </w:t>
    </w:r>
    <w:sdt>
      <w:sdtPr>
        <w:rPr>
          <w:color w:val="808080" w:themeColor="background1" w:themeShade="80"/>
          <w:szCs w:val="15"/>
          <w:lang w:eastAsia="en-AU"/>
        </w:rPr>
        <w:alias w:val="Publish Date"/>
        <w:id w:val="-1714653380"/>
        <w:dataBinding w:prefixMappings="xmlns:ns0='http://schemas.microsoft.com/office/2006/coverPageProps' " w:xpath="/ns0:CoverPageProperties[1]/ns0:PublishDate[1]" w:storeItemID="{55AF091B-3C7A-41E3-B477-F2FDAA23CFDA}"/>
        <w:date w:fullDate="2026-06-16T00:00:00Z">
          <w:dateFormat w:val="d MMMM yyyy"/>
          <w:lid w:val="en-AU"/>
          <w:storeMappedDataAs w:val="dateTime"/>
          <w:calendar w:val="gregorian"/>
        </w:date>
      </w:sdtPr>
      <w:sdtContent>
        <w:r w:rsidR="006466C3">
          <w:rPr>
            <w:color w:val="808080" w:themeColor="background1" w:themeShade="80"/>
            <w:szCs w:val="15"/>
            <w:lang w:eastAsia="en-AU"/>
          </w:rPr>
          <w:t>16 June 2026</w:t>
        </w:r>
      </w:sdtContent>
    </w:sdt>
    <w:r w:rsidR="00865A27" w:rsidRPr="00602824">
      <w:rPr>
        <w:rFonts w:ascii="Segoe UI Semibold" w:hAnsi="Segoe UI Semibold" w:cs="Segoe UI"/>
        <w:color w:val="A5A5A5"/>
      </w:rPr>
      <w:ptab w:relativeTo="margin" w:alignment="right" w:leader="none"/>
    </w:r>
    <w:r w:rsidR="00865A27" w:rsidRPr="00602824">
      <w:rPr>
        <w:rFonts w:cs="Segoe UI"/>
        <w:color w:val="A5A5A5"/>
      </w:rPr>
      <w:t xml:space="preserve">| </w:t>
    </w:r>
    <w:r w:rsidR="00865A27" w:rsidRPr="00602824">
      <w:rPr>
        <w:rFonts w:cs="Segoe UI"/>
        <w:color w:val="A5A5A5"/>
        <w:sz w:val="16"/>
        <w:szCs w:val="16"/>
      </w:rPr>
      <w:fldChar w:fldCharType="begin"/>
    </w:r>
    <w:r w:rsidR="00865A27" w:rsidRPr="00602824">
      <w:rPr>
        <w:rFonts w:cs="Segoe UI"/>
        <w:color w:val="A5A5A5"/>
        <w:sz w:val="16"/>
        <w:szCs w:val="16"/>
      </w:rPr>
      <w:instrText xml:space="preserve"> PAGE  \* roman  \* MERGEFORMAT </w:instrText>
    </w:r>
    <w:r w:rsidR="00865A27" w:rsidRPr="00602824">
      <w:rPr>
        <w:rFonts w:cs="Segoe UI"/>
        <w:color w:val="A5A5A5"/>
        <w:sz w:val="16"/>
        <w:szCs w:val="16"/>
      </w:rPr>
      <w:fldChar w:fldCharType="separate"/>
    </w:r>
    <w:r w:rsidR="00836AA0" w:rsidRPr="00FB712C">
      <w:rPr>
        <w:rFonts w:cs="Segoe UI"/>
        <w:color w:val="A5A5A5"/>
        <w:sz w:val="16"/>
        <w:szCs w:val="16"/>
      </w:rPr>
      <w:t>i</w:t>
    </w:r>
    <w:proofErr w:type="spellStart"/>
    <w:r w:rsidR="00836AA0" w:rsidRPr="00FB712C">
      <w:rPr>
        <w:rFonts w:cs="Segoe UI"/>
        <w:color w:val="A5A5A5"/>
        <w:sz w:val="16"/>
        <w:szCs w:val="16"/>
      </w:rPr>
      <w:t>i</w:t>
    </w:r>
    <w:proofErr w:type="spellEnd"/>
    <w:r w:rsidR="00865A27" w:rsidRPr="00602824">
      <w:rPr>
        <w:rFonts w:cs="Segoe UI"/>
        <w:color w:val="A5A5A5"/>
        <w:sz w:val="16"/>
        <w:szCs w:val="16"/>
      </w:rPr>
      <w:fldChar w:fldCharType="end"/>
    </w:r>
    <w:r w:rsidR="00865A27" w:rsidRPr="00602824">
      <w:rPr>
        <w:rFonts w:cs="Segoe UI"/>
        <w:color w:val="A5A5A5"/>
        <w:sz w:val="16"/>
        <w:szCs w:val="16"/>
      </w:rPr>
      <w:t xml:space="preserve"> </w:t>
    </w:r>
    <w:r w:rsidR="00865A27" w:rsidRPr="00602824">
      <w:rPr>
        <w:rFonts w:cs="Segoe UI"/>
        <w:color w:val="A5A5A5"/>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8DBB4" w14:textId="679EA752" w:rsidR="00394185" w:rsidRDefault="00394185">
    <w:pPr>
      <w:pStyle w:val="Footer"/>
    </w:pPr>
    <w:r>
      <w:rPr>
        <w:noProof/>
      </w:rPr>
      <mc:AlternateContent>
        <mc:Choice Requires="wps">
          <w:drawing>
            <wp:anchor distT="0" distB="0" distL="0" distR="0" simplePos="0" relativeHeight="251665411" behindDoc="0" locked="0" layoutInCell="1" allowOverlap="1" wp14:anchorId="4C85F5E4" wp14:editId="039F5A4C">
              <wp:simplePos x="635" y="635"/>
              <wp:positionH relativeFrom="page">
                <wp:align>center</wp:align>
              </wp:positionH>
              <wp:positionV relativeFrom="page">
                <wp:align>bottom</wp:align>
              </wp:positionV>
              <wp:extent cx="622300" cy="376555"/>
              <wp:effectExtent l="0" t="0" r="6350" b="0"/>
              <wp:wrapNone/>
              <wp:docPr id="612950973"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91F36FE" w14:textId="3D8D9C7E" w:rsidR="00394185" w:rsidRPr="00394185" w:rsidRDefault="00394185" w:rsidP="00394185">
                          <w:pPr>
                            <w:spacing w:after="0"/>
                            <w:rPr>
                              <w:rFonts w:ascii="Aptos" w:eastAsia="Aptos" w:hAnsi="Aptos" w:cs="Aptos"/>
                              <w:noProof/>
                              <w:color w:val="FF0000"/>
                              <w:sz w:val="24"/>
                              <w:szCs w:val="24"/>
                            </w:rPr>
                          </w:pPr>
                          <w:r w:rsidRPr="00394185">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C85F5E4" id="_x0000_t202" coordsize="21600,21600" o:spt="202" path="m,l,21600r21600,l21600,xe">
              <v:stroke joinstyle="miter"/>
              <v:path gradientshapeok="t" o:connecttype="rect"/>
            </v:shapetype>
            <v:shape id="Text Box 11" o:spid="_x0000_s1034" type="#_x0000_t202" alt="OFFICIAL" style="position:absolute;margin-left:0;margin-top:0;width:49pt;height:29.65pt;z-index:25166541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" filled="f" stroked="f">
              <v:fill o:detectmouseclick="t"/>
              <v:textbox style="mso-fit-shape-to-text:t" inset="0,0,0,15pt">
                <w:txbxContent>
                  <w:p w14:paraId="791F36FE" w14:textId="3D8D9C7E" w:rsidR="00394185" w:rsidRPr="00394185" w:rsidRDefault="00394185" w:rsidP="00394185">
                    <w:pPr>
                      <w:spacing w:after="0"/>
                      <w:rPr>
                        <w:rFonts w:ascii="Aptos" w:eastAsia="Aptos" w:hAnsi="Aptos" w:cs="Aptos"/>
                        <w:noProof/>
                        <w:color w:val="FF0000"/>
                        <w:sz w:val="24"/>
                        <w:szCs w:val="24"/>
                      </w:rPr>
                    </w:pPr>
                    <w:r w:rsidRPr="00394185">
                      <w:rPr>
                        <w:rFonts w:ascii="Aptos" w:eastAsia="Aptos" w:hAnsi="Aptos" w:cs="Aptos"/>
                        <w:noProof/>
                        <w:color w:val="FF0000"/>
                        <w:sz w:val="24"/>
                        <w:szCs w:val="24"/>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E0C04" w14:textId="5CA5F4F5" w:rsidR="009A5C5D" w:rsidRPr="00602824" w:rsidRDefault="00294C7F">
    <w:pPr>
      <w:pStyle w:val="Footer"/>
      <w:rPr>
        <w:rFonts w:cs="Segoe UI"/>
        <w:b/>
      </w:rPr>
    </w:pPr>
    <w:r w:rsidRPr="00602824">
      <w:rPr>
        <w:rFonts w:cs="Segoe UI"/>
        <w:color w:val="808080" w:themeColor="background1" w:themeShade="80"/>
        <w:szCs w:val="15"/>
        <w:lang w:eastAsia="en-AU"/>
      </w:rPr>
      <w:t xml:space="preserve">Nous Group | </w:t>
    </w:r>
    <w:sdt>
      <w:sdtPr>
        <w:rPr>
          <w:rFonts w:cs="Segoe UI"/>
          <w:color w:val="808080" w:themeColor="background1" w:themeShade="80"/>
          <w:szCs w:val="15"/>
          <w:lang w:eastAsia="en-AU"/>
        </w:rPr>
        <w:alias w:val="Title"/>
        <w:id w:val="-1627392194"/>
        <w:dataBinding w:prefixMappings="xmlns:ns0='http://purl.org/dc/elements/1.1/' xmlns:ns1='http://schemas.openxmlformats.org/package/2006/metadata/core-properties' " w:xpath="/ns1:coreProperties[1]/ns0:title[1]" w:storeItemID="{6C3C8BC8-F283-45AE-878A-BAB7291924A1}"/>
        <w:text/>
      </w:sdtPr>
      <w:sdtContent>
        <w:r w:rsidR="00153530">
          <w:rPr>
            <w:rFonts w:cs="Segoe UI"/>
            <w:color w:val="808080" w:themeColor="background1" w:themeShade="80"/>
            <w:szCs w:val="15"/>
            <w:lang w:eastAsia="en-AU"/>
          </w:rPr>
          <w:t>Final Evaluation of the Prescribed List Reforms</w:t>
        </w:r>
      </w:sdtContent>
    </w:sdt>
    <w:r w:rsidRPr="00602824">
      <w:rPr>
        <w:rFonts w:cs="Segoe UI"/>
        <w:color w:val="808080" w:themeColor="background1" w:themeShade="80"/>
        <w:szCs w:val="15"/>
        <w:lang w:eastAsia="en-AU"/>
      </w:rPr>
      <w:t xml:space="preserve"> | </w:t>
    </w:r>
    <w:r w:rsidR="006466C3">
      <w:rPr>
        <w:rFonts w:cs="Segoe UI"/>
        <w:color w:val="808080" w:themeColor="background1" w:themeShade="80"/>
        <w:szCs w:val="15"/>
        <w:lang w:eastAsia="en-AU"/>
      </w:rPr>
      <w:t>16</w:t>
    </w:r>
    <w:r w:rsidR="00D25184">
      <w:rPr>
        <w:rFonts w:cs="Segoe UI"/>
        <w:color w:val="808080" w:themeColor="background1" w:themeShade="80"/>
        <w:szCs w:val="15"/>
        <w:lang w:eastAsia="en-AU"/>
      </w:rPr>
      <w:t xml:space="preserve"> June 2026</w:t>
    </w:r>
    <w:r w:rsidR="003B464C" w:rsidRPr="00602824">
      <w:rPr>
        <w:rFonts w:cs="Segoe UI"/>
        <w:color w:val="A5A5A5"/>
      </w:rPr>
      <w:ptab w:relativeTo="margin" w:alignment="right" w:leader="none"/>
    </w:r>
    <w:r w:rsidR="004A7360" w:rsidRPr="00602824">
      <w:rPr>
        <w:rFonts w:cs="Segoe UI"/>
        <w:color w:val="A5A5A5"/>
      </w:rPr>
      <w:t>|</w:t>
    </w:r>
    <w:r w:rsidR="008C0E64">
      <w:rPr>
        <w:rFonts w:cs="Segoe UI"/>
        <w:color w:val="A5A5A5"/>
      </w:rPr>
      <w:t xml:space="preserve"> </w:t>
    </w:r>
    <w:r w:rsidR="008C0E64" w:rsidRPr="008C0E64">
      <w:rPr>
        <w:rFonts w:cs="Segoe UI"/>
        <w:color w:val="A5A5A5"/>
      </w:rPr>
      <w:fldChar w:fldCharType="begin"/>
    </w:r>
    <w:r w:rsidR="008C0E64" w:rsidRPr="008C0E64">
      <w:rPr>
        <w:rFonts w:cs="Segoe UI"/>
        <w:color w:val="A5A5A5"/>
      </w:rPr>
      <w:instrText xml:space="preserve"> PAGE   \* MERGEFORMAT </w:instrText>
    </w:r>
    <w:r w:rsidR="008C0E64" w:rsidRPr="008C0E64">
      <w:rPr>
        <w:rFonts w:cs="Segoe UI"/>
        <w:color w:val="A5A5A5"/>
      </w:rPr>
      <w:fldChar w:fldCharType="separate"/>
    </w:r>
    <w:r w:rsidR="008C0E64" w:rsidRPr="008C0E64">
      <w:rPr>
        <w:rFonts w:cs="Segoe UI"/>
        <w:noProof/>
        <w:color w:val="A5A5A5"/>
      </w:rPr>
      <w:t>1</w:t>
    </w:r>
    <w:r w:rsidR="008C0E64" w:rsidRPr="008C0E64">
      <w:rPr>
        <w:rFonts w:cs="Segoe UI"/>
        <w:noProof/>
        <w:color w:val="A5A5A5"/>
      </w:rPr>
      <w:fldChar w:fldCharType="end"/>
    </w:r>
    <w:r w:rsidR="003B464C" w:rsidRPr="00602824">
      <w:rPr>
        <w:rFonts w:cs="Segoe UI"/>
        <w:color w:val="A5A5A5"/>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F36D39" w14:textId="77777777" w:rsidR="00F469F8" w:rsidRPr="004A357C" w:rsidRDefault="00F469F8" w:rsidP="00302076">
      <w:pPr>
        <w:spacing w:after="0"/>
      </w:pPr>
      <w:r w:rsidRPr="004A357C">
        <w:separator/>
      </w:r>
    </w:p>
  </w:footnote>
  <w:footnote w:type="continuationSeparator" w:id="0">
    <w:p w14:paraId="05B83F4F" w14:textId="77777777" w:rsidR="00F469F8" w:rsidRPr="004A357C" w:rsidRDefault="00F469F8" w:rsidP="00302076">
      <w:pPr>
        <w:spacing w:after="0"/>
      </w:pPr>
      <w:r w:rsidRPr="004A357C">
        <w:continuationSeparator/>
      </w:r>
    </w:p>
  </w:footnote>
  <w:footnote w:type="continuationNotice" w:id="1">
    <w:p w14:paraId="1AD75DD8" w14:textId="77777777" w:rsidR="00F469F8" w:rsidRPr="004A357C" w:rsidRDefault="00F469F8">
      <w:pPr>
        <w:spacing w:after="0"/>
      </w:pPr>
    </w:p>
  </w:footnote>
  <w:footnote w:id="2">
    <w:p w14:paraId="441DB763" w14:textId="7177418F" w:rsidR="00AA54A5" w:rsidRPr="00574B4C" w:rsidRDefault="00AA54A5">
      <w:r w:rsidRPr="00AE66C5">
        <w:rPr>
          <w:rStyle w:val="FootnoteReference"/>
        </w:rPr>
        <w:footnoteRef/>
      </w:r>
      <w:r w:rsidRPr="00AE66C5">
        <w:t xml:space="preserve"> </w:t>
      </w:r>
      <w:r w:rsidR="001B476B" w:rsidRPr="00AE66C5">
        <w:t>Department</w:t>
      </w:r>
      <w:r w:rsidR="001B476B" w:rsidRPr="001B476B">
        <w:t xml:space="preserve"> of Health and Aged Care, Historical background of the 2021-2025 Prostheses </w:t>
      </w:r>
      <w:r w:rsidR="001B476B" w:rsidRPr="00574B4C">
        <w:t>List Reform, 2022.</w:t>
      </w:r>
    </w:p>
  </w:footnote>
  <w:footnote w:id="3">
    <w:p w14:paraId="4FACA17D" w14:textId="6A7D30A1" w:rsidR="002B6098" w:rsidRPr="00574B4C" w:rsidRDefault="002B6098" w:rsidP="002B6098">
      <w:r w:rsidRPr="00574B4C">
        <w:rPr>
          <w:rStyle w:val="FootnoteReference"/>
        </w:rPr>
        <w:footnoteRef/>
      </w:r>
      <w:r w:rsidRPr="00574B4C">
        <w:t xml:space="preserve"> </w:t>
      </w:r>
      <w:r w:rsidR="00750DAD" w:rsidRPr="00574B4C">
        <w:t>Department of Health, Disability and Ageing,</w:t>
      </w:r>
      <w:r w:rsidRPr="00574B4C">
        <w:t xml:space="preserve"> </w:t>
      </w:r>
      <w:r w:rsidR="0032554C" w:rsidRPr="00574B4C">
        <w:t xml:space="preserve">Interim Evaluation #1 of the Prescribed List Reforms, 11 December 2024. </w:t>
      </w:r>
      <w:r w:rsidR="00670F03" w:rsidRPr="00574B4C">
        <w:t>https://www.health.gov.au/resources/publications/interim-evaluation-1-of-the-prescribed-list-reforms</w:t>
      </w:r>
    </w:p>
  </w:footnote>
  <w:footnote w:id="4">
    <w:p w14:paraId="2CBC1F10" w14:textId="40B381FD" w:rsidR="002B6098" w:rsidRDefault="002B6098" w:rsidP="002B6098">
      <w:r w:rsidRPr="00574B4C">
        <w:rPr>
          <w:rStyle w:val="FootnoteReference"/>
        </w:rPr>
        <w:footnoteRef/>
      </w:r>
      <w:r w:rsidRPr="00574B4C">
        <w:t xml:space="preserve"> </w:t>
      </w:r>
      <w:r w:rsidR="0032554C" w:rsidRPr="00574B4C">
        <w:t>Department of Health, Disability and Ageing, Interim Evaluation #</w:t>
      </w:r>
      <w:r w:rsidR="002F2DBF" w:rsidRPr="00574B4C">
        <w:t>2</w:t>
      </w:r>
      <w:r w:rsidR="0032554C" w:rsidRPr="00574B4C">
        <w:t xml:space="preserve"> of the Prescribed List Reforms, </w:t>
      </w:r>
      <w:r w:rsidR="002F2DBF" w:rsidRPr="00574B4C">
        <w:t>8 October 2025</w:t>
      </w:r>
      <w:r w:rsidR="0032554C" w:rsidRPr="00574B4C">
        <w:t>.</w:t>
      </w:r>
      <w:r w:rsidRPr="00574B4C">
        <w:t xml:space="preserve"> </w:t>
      </w:r>
      <w:r w:rsidR="00143F63" w:rsidRPr="00574B4C">
        <w:t>https://www.health.gov.au/resources/publications/interim-evaluation-2-of-the-prescribed-list-reforms</w:t>
      </w:r>
    </w:p>
  </w:footnote>
  <w:footnote w:id="5">
    <w:p w14:paraId="47A8B899" w14:textId="112FAAEF" w:rsidR="00624A15" w:rsidRDefault="00624A15" w:rsidP="00624A15">
      <w:r>
        <w:rPr>
          <w:rStyle w:val="FootnoteReference"/>
        </w:rPr>
        <w:footnoteRef/>
      </w:r>
      <w:r>
        <w:t xml:space="preserve"> </w:t>
      </w:r>
      <w:r w:rsidR="009C02E8" w:rsidRPr="009C02E8">
        <w:t>Independent Health and Aged Care Pricing Authority, Analysis on prescribed list benefit reductions for general use items (GUIs) and projected savings, 20 January 2025; Independent Health and Aged Care Pricing Authority (IHACPA) analysis on prescribed list benefit reductions, 15 December 2025</w:t>
      </w:r>
      <w:r>
        <w:t>.</w:t>
      </w:r>
    </w:p>
  </w:footnote>
  <w:footnote w:id="6">
    <w:p w14:paraId="6859344A" w14:textId="0BBBCCD7" w:rsidR="00141842" w:rsidRDefault="00141842">
      <w:r>
        <w:rPr>
          <w:rStyle w:val="FootnoteReference"/>
        </w:rPr>
        <w:footnoteRef/>
      </w:r>
      <w:r>
        <w:t xml:space="preserve"> </w:t>
      </w:r>
      <w:r w:rsidRPr="00141842">
        <w:t>Independent Health and Aged Care Pricing Authority, Updated estimates of projected benefits and savings associated with Prescribed List reforms, 13 December 2023.</w:t>
      </w:r>
    </w:p>
  </w:footnote>
  <w:footnote w:id="7">
    <w:p w14:paraId="5E7264C9" w14:textId="49DCEC9F" w:rsidR="00953B27" w:rsidRDefault="00953B27">
      <w:r>
        <w:rPr>
          <w:rStyle w:val="FootnoteReference"/>
        </w:rPr>
        <w:footnoteRef/>
      </w:r>
      <w:r>
        <w:t xml:space="preserve"> </w:t>
      </w:r>
      <w:r w:rsidRPr="00953B27">
        <w:t>Department of Health and Aged Care</w:t>
      </w:r>
      <w:r>
        <w:t xml:space="preserve">, </w:t>
      </w:r>
      <w:r w:rsidRPr="00953B27">
        <w:t>Memorandum of Understanding for the policy parameters of the Prostheses List Reforms</w:t>
      </w:r>
      <w:r>
        <w:t xml:space="preserve">, 2022. </w:t>
      </w:r>
      <w:r w:rsidRPr="00953B27">
        <w:t>https://www.health.gov.au/sites/default/files/documents/2022/03/memorandum-of-understanding-for-the-policy-parameters-of-the-prostheses-list-reforms.pdf</w:t>
      </w:r>
    </w:p>
  </w:footnote>
  <w:footnote w:id="8">
    <w:p w14:paraId="0A1F53C3" w14:textId="77777777" w:rsidR="006D254B" w:rsidRDefault="006D254B" w:rsidP="006D254B">
      <w:r>
        <w:rPr>
          <w:rStyle w:val="FootnoteReference"/>
        </w:rPr>
        <w:footnoteRef/>
      </w:r>
      <w:r>
        <w:t xml:space="preserve"> Independent Health and Aged Care Pricing Authority, Updated estimates of projected benefits and savings associated with Prescribed List reforms, 13 December 2023.</w:t>
      </w:r>
    </w:p>
  </w:footnote>
  <w:footnote w:id="9">
    <w:p w14:paraId="0B9C109D" w14:textId="77777777" w:rsidR="001267C8" w:rsidRDefault="001267C8" w:rsidP="001267C8">
      <w:r>
        <w:rPr>
          <w:rStyle w:val="FootnoteReference"/>
        </w:rPr>
        <w:footnoteRef/>
      </w:r>
      <w:r>
        <w:t xml:space="preserve"> Ibid.</w:t>
      </w:r>
    </w:p>
  </w:footnote>
  <w:footnote w:id="10">
    <w:p w14:paraId="3FF663FF" w14:textId="7C3321C5" w:rsidR="00B80BC5" w:rsidRPr="004A357C" w:rsidRDefault="00B80BC5" w:rsidP="00B80BC5">
      <w:r w:rsidRPr="004A357C">
        <w:rPr>
          <w:rStyle w:val="FootnoteReference"/>
        </w:rPr>
        <w:footnoteRef/>
      </w:r>
      <w:r w:rsidRPr="004A357C">
        <w:t xml:space="preserve"> Department of Health, Disability and Ageing, Baseline evaluation of the Prostheses List reforms – Final report, 2024, https://www.health.gov.au/resources/publications/baseline-evaluation-of-the-prostheses-list-reforms-final-report</w:t>
      </w:r>
    </w:p>
  </w:footnote>
  <w:footnote w:id="11">
    <w:p w14:paraId="5BDF7943" w14:textId="7BA56D5D" w:rsidR="00397216" w:rsidRPr="004A357C" w:rsidRDefault="00397216" w:rsidP="00397216">
      <w:r w:rsidRPr="004A357C">
        <w:rPr>
          <w:rStyle w:val="FootnoteReference"/>
        </w:rPr>
        <w:footnoteRef/>
      </w:r>
      <w:r w:rsidRPr="004A357C">
        <w:t xml:space="preserve"> Department of Health, Disability and Ageing, Interim Evaluation #1 of the Prescribed List Reforms, 2024, https://www.health.gov.au/resources/publications/interim-evaluation-1-of-the-prescribed-list-reforms</w:t>
      </w:r>
    </w:p>
  </w:footnote>
  <w:footnote w:id="12">
    <w:p w14:paraId="3713E7C8" w14:textId="0B021FD4" w:rsidR="004735F3" w:rsidRDefault="004735F3">
      <w:r>
        <w:rPr>
          <w:rStyle w:val="FootnoteReference"/>
        </w:rPr>
        <w:footnoteRef/>
      </w:r>
      <w:r>
        <w:t xml:space="preserve"> </w:t>
      </w:r>
      <w:r w:rsidR="002806D4" w:rsidRPr="004A357C">
        <w:t>Department of Health, Disability and Ageing, Interim Evaluation #</w:t>
      </w:r>
      <w:r w:rsidR="002806D4">
        <w:t>2</w:t>
      </w:r>
      <w:r w:rsidR="002806D4" w:rsidRPr="004A357C">
        <w:t xml:space="preserve"> of the Prescribed List Reforms, 202</w:t>
      </w:r>
      <w:r w:rsidR="002806D4">
        <w:t>5</w:t>
      </w:r>
      <w:r w:rsidR="002806D4" w:rsidRPr="004A357C">
        <w:t>, https://www.health.gov.au/resources/publications/interim-evaluation-</w:t>
      </w:r>
      <w:r w:rsidR="002806D4">
        <w:t>2</w:t>
      </w:r>
      <w:r w:rsidR="002806D4" w:rsidRPr="004A357C">
        <w:t>-of-the-prescribed-list-reforms</w:t>
      </w:r>
    </w:p>
  </w:footnote>
  <w:footnote w:id="13">
    <w:p w14:paraId="75CFDB9E" w14:textId="559B1993" w:rsidR="00713B33" w:rsidRDefault="00713B33" w:rsidP="00713B33">
      <w:r>
        <w:rPr>
          <w:rStyle w:val="FootnoteReference"/>
        </w:rPr>
        <w:footnoteRef/>
      </w:r>
      <w:r>
        <w:t xml:space="preserve"> </w:t>
      </w:r>
      <w:r w:rsidRPr="00602824">
        <w:t>Whil</w:t>
      </w:r>
      <w:r w:rsidR="006C3A32">
        <w:t>e</w:t>
      </w:r>
      <w:r w:rsidRPr="00602824">
        <w:t xml:space="preserve"> efforts have been made to capture the essential content and key themes, the summaries in this report may not reflect all the nuances and particulars of the written feedback provided to the evaluation.</w:t>
      </w:r>
    </w:p>
  </w:footnote>
  <w:footnote w:id="14">
    <w:p w14:paraId="2D42EDAE" w14:textId="77777777" w:rsidR="00287A84" w:rsidRPr="004A357C" w:rsidRDefault="00287A84" w:rsidP="00287A84">
      <w:r w:rsidRPr="004A357C">
        <w:rPr>
          <w:rStyle w:val="FootnoteReference"/>
        </w:rPr>
        <w:footnoteRef/>
      </w:r>
      <w:r w:rsidRPr="004A357C">
        <w:t xml:space="preserve"> Independent Health and Aged Care Pricing Authority, Benchmark Price for Prostheses in Australian Public Hospitals 2020-21, 2022.</w:t>
      </w:r>
    </w:p>
  </w:footnote>
  <w:footnote w:id="15">
    <w:p w14:paraId="7BA4F57D" w14:textId="77777777" w:rsidR="00287A84" w:rsidRPr="004A357C" w:rsidRDefault="00287A84" w:rsidP="00287A84">
      <w:r w:rsidRPr="004A357C">
        <w:rPr>
          <w:rStyle w:val="FootnoteReference"/>
        </w:rPr>
        <w:footnoteRef/>
      </w:r>
      <w:r w:rsidRPr="004A357C">
        <w:t xml:space="preserve"> The Honourable Greg Hunt MP &amp; the Medical Technology Association of Australia Limited, Memorandum of Understanding for the policy parameters of the Prostheses List Reforms, 2022.</w:t>
      </w:r>
    </w:p>
  </w:footnote>
  <w:footnote w:id="16">
    <w:p w14:paraId="6674C9C6" w14:textId="77777777" w:rsidR="007E4702" w:rsidRPr="004A357C" w:rsidRDefault="007E4702" w:rsidP="007E4702">
      <w:r w:rsidRPr="004A357C">
        <w:rPr>
          <w:rStyle w:val="FootnoteReference"/>
        </w:rPr>
        <w:footnoteRef/>
      </w:r>
      <w:r w:rsidRPr="004A357C">
        <w:t xml:space="preserve"> Department of Health, Disability and Ageing, Interim Evaluation #1 of the Prescribed List Reforms, 2024, https://www.health.gov.au/resources/publications/interim-evaluation-1-of-the-prescribed-list-reforms?language=en.</w:t>
      </w:r>
    </w:p>
  </w:footnote>
  <w:footnote w:id="17">
    <w:p w14:paraId="51C77C52" w14:textId="54D2BFBE" w:rsidR="00287A84" w:rsidRPr="004A357C" w:rsidRDefault="00287A84" w:rsidP="00287A84">
      <w:r w:rsidRPr="004A357C">
        <w:rPr>
          <w:rStyle w:val="FootnoteReference"/>
        </w:rPr>
        <w:footnoteRef/>
      </w:r>
      <w:r w:rsidRPr="004A357C">
        <w:t xml:space="preserve"> Based on data provided by the Department on </w:t>
      </w:r>
      <w:r>
        <w:t>31 July</w:t>
      </w:r>
      <w:r w:rsidRPr="004A357C">
        <w:t xml:space="preserve"> 2025 that excluded Part C and CIED items, comparing the benefits of the August 2024 PL to the benefits prior to the reforms. The evaluation supplemented this data with analysis of Part C and CIED items to calculate the total.</w:t>
      </w:r>
      <w:r w:rsidR="00E6723E">
        <w:t xml:space="preserve"> Part B </w:t>
      </w:r>
      <w:r w:rsidR="00DD6666">
        <w:t xml:space="preserve">items </w:t>
      </w:r>
      <w:r w:rsidR="00E6723E">
        <w:t xml:space="preserve">are not included in the </w:t>
      </w:r>
      <w:r w:rsidR="00DD6666">
        <w:t>calculation.</w:t>
      </w:r>
    </w:p>
  </w:footnote>
  <w:footnote w:id="18">
    <w:p w14:paraId="6CF924EA" w14:textId="77777777" w:rsidR="00287A84" w:rsidRPr="004A357C" w:rsidRDefault="00287A84" w:rsidP="00287A84">
      <w:r w:rsidRPr="004A357C">
        <w:rPr>
          <w:rStyle w:val="FootnoteReference"/>
        </w:rPr>
        <w:footnoteRef/>
      </w:r>
      <w:r w:rsidRPr="004A357C">
        <w:t xml:space="preserve"> While Nous is unable to verify whether every item with a benefit above 7% of its public benchmark was reduced (or above 0% for GUIs), the 51.</w:t>
      </w:r>
      <w:r>
        <w:t>1</w:t>
      </w:r>
      <w:r w:rsidRPr="004A357C">
        <w:t xml:space="preserve">% figure aligns with other aggregate data provided to </w:t>
      </w:r>
      <w:r>
        <w:t>the evaluation</w:t>
      </w:r>
      <w:r w:rsidRPr="004A357C">
        <w:t xml:space="preserve"> by the Department of the prevalence of gaps between PL benefits and public benchmarks.</w:t>
      </w:r>
    </w:p>
  </w:footnote>
  <w:footnote w:id="19">
    <w:p w14:paraId="2D0A0EA8" w14:textId="77777777" w:rsidR="00287A84" w:rsidRPr="004A357C" w:rsidRDefault="00287A84" w:rsidP="00287A84">
      <w:r w:rsidRPr="004A357C">
        <w:rPr>
          <w:rStyle w:val="FootnoteReference"/>
        </w:rPr>
        <w:footnoteRef/>
      </w:r>
      <w:r w:rsidRPr="004A357C">
        <w:t xml:space="preserve"> Data supplied by the Department, </w:t>
      </w:r>
      <w:r>
        <w:t xml:space="preserve">31 July </w:t>
      </w:r>
      <w:r w:rsidRPr="004A357C">
        <w:t>2025.</w:t>
      </w:r>
    </w:p>
  </w:footnote>
  <w:footnote w:id="20">
    <w:p w14:paraId="75E1215D" w14:textId="77777777" w:rsidR="00287A84" w:rsidRPr="004A357C" w:rsidRDefault="00287A84" w:rsidP="00287A84">
      <w:r w:rsidRPr="004A357C">
        <w:rPr>
          <w:rStyle w:val="FootnoteReference"/>
        </w:rPr>
        <w:footnoteRef/>
      </w:r>
      <w:r w:rsidRPr="004A357C">
        <w:t xml:space="preserve"> Data supplied by the Department, </w:t>
      </w:r>
      <w:r>
        <w:t>31</w:t>
      </w:r>
      <w:r w:rsidRPr="004A357C">
        <w:t xml:space="preserve"> </w:t>
      </w:r>
      <w:r>
        <w:t>July</w:t>
      </w:r>
      <w:r w:rsidRPr="004A357C">
        <w:t xml:space="preserve"> 2025.</w:t>
      </w:r>
    </w:p>
  </w:footnote>
  <w:footnote w:id="21">
    <w:p w14:paraId="58C9E0EC" w14:textId="77777777" w:rsidR="00287A84" w:rsidRPr="004A357C" w:rsidRDefault="00287A84" w:rsidP="00287A84">
      <w:r w:rsidRPr="004A357C">
        <w:rPr>
          <w:rStyle w:val="FootnoteReference"/>
        </w:rPr>
        <w:footnoteRef/>
      </w:r>
      <w:r w:rsidRPr="004A357C">
        <w:t xml:space="preserve"> The Department omitted CIEDs from data and analysis shared with the evaluation.</w:t>
      </w:r>
    </w:p>
  </w:footnote>
  <w:footnote w:id="22">
    <w:p w14:paraId="53C6AC8D" w14:textId="77777777" w:rsidR="00287A84" w:rsidRPr="004A357C" w:rsidRDefault="00287A84" w:rsidP="00287A84">
      <w:r w:rsidRPr="004A357C">
        <w:rPr>
          <w:rStyle w:val="FootnoteReference"/>
        </w:rPr>
        <w:footnoteRef/>
      </w:r>
      <w:r w:rsidRPr="004A357C">
        <w:t xml:space="preserve"> Analysis of the gap between Weighted Average Prices and August 2024 PL benefits, supplied by the Department on </w:t>
      </w:r>
      <w:r>
        <w:t>31</w:t>
      </w:r>
      <w:r w:rsidRPr="004A357C">
        <w:t xml:space="preserve"> </w:t>
      </w:r>
      <w:r>
        <w:t>July</w:t>
      </w:r>
      <w:r w:rsidRPr="004A357C">
        <w:t xml:space="preserve"> 2025.</w:t>
      </w:r>
    </w:p>
  </w:footnote>
  <w:footnote w:id="23">
    <w:p w14:paraId="07D68FDE" w14:textId="77777777" w:rsidR="00287A84" w:rsidRPr="004A357C" w:rsidRDefault="00287A84" w:rsidP="00287A84">
      <w:r w:rsidRPr="004A357C">
        <w:rPr>
          <w:rStyle w:val="FootnoteReference"/>
        </w:rPr>
        <w:footnoteRef/>
      </w:r>
      <w:r w:rsidRPr="004A357C">
        <w:t xml:space="preserve"> Ibid.</w:t>
      </w:r>
    </w:p>
  </w:footnote>
  <w:footnote w:id="24">
    <w:p w14:paraId="6630A1A9" w14:textId="77777777" w:rsidR="00E7563E" w:rsidRPr="004A357C" w:rsidRDefault="00E7563E" w:rsidP="00E7563E">
      <w:r w:rsidRPr="004A357C">
        <w:rPr>
          <w:rStyle w:val="FootnoteReference"/>
        </w:rPr>
        <w:footnoteRef/>
      </w:r>
      <w:r w:rsidRPr="004A357C">
        <w:t xml:space="preserve"> Department of Health, Disability and Ageing, Prescribed List of Medical Devices and Human Tissue Products</w:t>
      </w:r>
      <w:r w:rsidRPr="007D72A0">
        <w:t xml:space="preserve"> Part A (Medical Devices), various</w:t>
      </w:r>
      <w:r w:rsidRPr="004A357C">
        <w:t xml:space="preserve"> editions</w:t>
      </w:r>
      <w:r w:rsidRPr="007D72A0">
        <w:t>;</w:t>
      </w:r>
      <w:r w:rsidRPr="004A357C">
        <w:t xml:space="preserve"> </w:t>
      </w:r>
      <w:proofErr w:type="spellStart"/>
      <w:r w:rsidRPr="004A357C">
        <w:t>Pharmac</w:t>
      </w:r>
      <w:proofErr w:type="spellEnd"/>
      <w:r w:rsidRPr="004A357C">
        <w:t xml:space="preserve">, Hospital Medical Devices Schedule, </w:t>
      </w:r>
      <w:r w:rsidRPr="007D72A0">
        <w:t>various</w:t>
      </w:r>
      <w:r w:rsidRPr="004A357C">
        <w:t xml:space="preserve"> editions; </w:t>
      </w:r>
      <w:proofErr w:type="spellStart"/>
      <w:r w:rsidRPr="004A357C">
        <w:t>l'Assurance</w:t>
      </w:r>
      <w:proofErr w:type="spellEnd"/>
      <w:r w:rsidRPr="004A357C">
        <w:t xml:space="preserve"> </w:t>
      </w:r>
      <w:proofErr w:type="spellStart"/>
      <w:r w:rsidRPr="004A357C">
        <w:t>Maladie</w:t>
      </w:r>
      <w:proofErr w:type="spellEnd"/>
      <w:r w:rsidRPr="004A357C">
        <w:t xml:space="preserve">, </w:t>
      </w:r>
      <w:proofErr w:type="spellStart"/>
      <w:r w:rsidRPr="004A357C">
        <w:t>Liste</w:t>
      </w:r>
      <w:proofErr w:type="spellEnd"/>
      <w:r w:rsidRPr="004A357C">
        <w:t xml:space="preserve"> des </w:t>
      </w:r>
      <w:proofErr w:type="spellStart"/>
      <w:r w:rsidRPr="004A357C">
        <w:t>Produits</w:t>
      </w:r>
      <w:proofErr w:type="spellEnd"/>
      <w:r w:rsidRPr="004A357C">
        <w:t xml:space="preserve"> et </w:t>
      </w:r>
      <w:proofErr w:type="spellStart"/>
      <w:r w:rsidRPr="004A357C">
        <w:t>Prestations</w:t>
      </w:r>
      <w:proofErr w:type="spellEnd"/>
      <w:r w:rsidRPr="004A357C">
        <w:t>, http://www.codage.ext.cnamts.fr/codif/tips/index.php?p_site=AMELI.</w:t>
      </w:r>
      <w:r w:rsidRPr="007D72A0">
        <w:t xml:space="preserve"> The earliest update after 1 July was used for each year</w:t>
      </w:r>
      <w:r w:rsidRPr="004A357C">
        <w:t>.</w:t>
      </w:r>
    </w:p>
  </w:footnote>
  <w:footnote w:id="25">
    <w:p w14:paraId="72B6B924" w14:textId="77777777" w:rsidR="00E7563E" w:rsidRPr="004A357C" w:rsidRDefault="00E7563E" w:rsidP="00E7563E">
      <w:r w:rsidRPr="004A357C">
        <w:rPr>
          <w:rStyle w:val="FootnoteReference"/>
        </w:rPr>
        <w:footnoteRef/>
      </w:r>
      <w:r w:rsidRPr="004A357C">
        <w:t xml:space="preserve"> Ibid.</w:t>
      </w:r>
    </w:p>
  </w:footnote>
  <w:footnote w:id="26">
    <w:p w14:paraId="66E997BB" w14:textId="77777777" w:rsidR="00E7563E" w:rsidRDefault="00E7563E" w:rsidP="00E7563E">
      <w:r>
        <w:rPr>
          <w:rStyle w:val="FootnoteReference"/>
        </w:rPr>
        <w:footnoteRef/>
      </w:r>
      <w:r>
        <w:t xml:space="preserve"> </w:t>
      </w:r>
      <w:r w:rsidRPr="00DC680D">
        <w:t xml:space="preserve">French and NZ prices are slightly different to the </w:t>
      </w:r>
      <w:r>
        <w:t>same figures cited</w:t>
      </w:r>
      <w:r w:rsidRPr="00DC680D">
        <w:t xml:space="preserve"> in the </w:t>
      </w:r>
      <w:r w:rsidRPr="005A0377">
        <w:rPr>
          <w:i/>
          <w:iCs/>
        </w:rPr>
        <w:t>Interim Evaluation #1</w:t>
      </w:r>
      <w:r w:rsidRPr="00DC680D">
        <w:t xml:space="preserve"> and </w:t>
      </w:r>
      <w:r w:rsidRPr="005A0377">
        <w:rPr>
          <w:i/>
          <w:iCs/>
        </w:rPr>
        <w:t>Interim Evaluation #2</w:t>
      </w:r>
      <w:r w:rsidRPr="00DC680D">
        <w:t xml:space="preserve"> reports due to a new exchange rate being used.</w:t>
      </w:r>
    </w:p>
  </w:footnote>
  <w:footnote w:id="27">
    <w:p w14:paraId="2A6ED24D" w14:textId="77777777" w:rsidR="00E7563E" w:rsidRPr="004A357C" w:rsidRDefault="00E7563E" w:rsidP="00E7563E">
      <w:r w:rsidRPr="004A357C">
        <w:rPr>
          <w:rStyle w:val="FootnoteReference"/>
        </w:rPr>
        <w:footnoteRef/>
      </w:r>
      <w:r w:rsidRPr="004A357C">
        <w:t xml:space="preserve"> Indeed, the same set of IHACPA benchmarks the Department used to calculate the benefit reductions were then used to evaluate their success, with only a summary of the gap supplied to the evaluation for use in reporting.</w:t>
      </w:r>
    </w:p>
  </w:footnote>
  <w:footnote w:id="28">
    <w:p w14:paraId="78FD8431" w14:textId="77777777" w:rsidR="00C86DB2" w:rsidRPr="004A357C" w:rsidRDefault="00C86DB2" w:rsidP="00C86DB2">
      <w:r w:rsidRPr="004A357C">
        <w:rPr>
          <w:rStyle w:val="FootnoteReference"/>
        </w:rPr>
        <w:footnoteRef/>
      </w:r>
      <w:r w:rsidRPr="004A357C">
        <w:t xml:space="preserve"> Department of Health, Disability and Ageing, Baseline evaluation of the Prostheses List reforms – Final report, 2024, https://www.health.gov.au/resources/publications/baseline-evaluation-of-the-prostheses-list-reforms-final-report?language=en.</w:t>
      </w:r>
    </w:p>
  </w:footnote>
  <w:footnote w:id="29">
    <w:p w14:paraId="377070DA" w14:textId="3D614EFA" w:rsidR="00287A84" w:rsidRDefault="00287A84" w:rsidP="00287A84">
      <w:r>
        <w:rPr>
          <w:rStyle w:val="FootnoteReference"/>
        </w:rPr>
        <w:footnoteRef/>
      </w:r>
      <w:r>
        <w:t xml:space="preserve"> </w:t>
      </w:r>
      <w:r w:rsidR="005A0377">
        <w:t xml:space="preserve">See </w:t>
      </w:r>
      <w:r w:rsidR="005A0377" w:rsidRPr="005A0377">
        <w:rPr>
          <w:i/>
          <w:iCs/>
        </w:rPr>
        <w:t>Interim Evaluation #1</w:t>
      </w:r>
      <w:r w:rsidR="005A0377" w:rsidRPr="00DC680D">
        <w:t xml:space="preserve"> and </w:t>
      </w:r>
      <w:r w:rsidR="005A0377" w:rsidRPr="005A0377">
        <w:rPr>
          <w:i/>
          <w:iCs/>
        </w:rPr>
        <w:t>Interim Evaluation #2</w:t>
      </w:r>
      <w:r w:rsidR="005A0377">
        <w:t xml:space="preserve"> reports</w:t>
      </w:r>
      <w:r>
        <w:t xml:space="preserve"> for a full discussion of the model and the exploration of alternatives.</w:t>
      </w:r>
    </w:p>
  </w:footnote>
  <w:footnote w:id="30">
    <w:p w14:paraId="6FA61BEE" w14:textId="77777777" w:rsidR="00287A84" w:rsidRDefault="00287A84" w:rsidP="00287A84">
      <w:r>
        <w:rPr>
          <w:rStyle w:val="FootnoteReference"/>
        </w:rPr>
        <w:footnoteRef/>
      </w:r>
      <w:r>
        <w:t xml:space="preserve"> Medical Services Advisory Committee (MSAC), Public</w:t>
      </w:r>
      <w:r w:rsidRPr="00866A4A">
        <w:t xml:space="preserve"> Summary Document Application No. 1724 – Cardiac technical support services provided by industry employed technicians</w:t>
      </w:r>
      <w:r>
        <w:t>, 2023.</w:t>
      </w:r>
    </w:p>
  </w:footnote>
  <w:footnote w:id="31">
    <w:p w14:paraId="528A7744" w14:textId="77777777" w:rsidR="00287A84" w:rsidRPr="004A357C" w:rsidRDefault="00287A84" w:rsidP="00287A84">
      <w:r w:rsidRPr="004A357C">
        <w:rPr>
          <w:rStyle w:val="FootnoteReference"/>
        </w:rPr>
        <w:footnoteRef/>
      </w:r>
      <w:r w:rsidRPr="004A357C">
        <w:t xml:space="preserve"> Stakeholder engagements, 2025.</w:t>
      </w:r>
    </w:p>
  </w:footnote>
  <w:footnote w:id="32">
    <w:p w14:paraId="250E44A5" w14:textId="77777777" w:rsidR="00287A84" w:rsidRPr="004A357C" w:rsidRDefault="00287A84" w:rsidP="00287A84">
      <w:r w:rsidRPr="004A357C">
        <w:rPr>
          <w:rStyle w:val="FootnoteReference"/>
        </w:rPr>
        <w:footnoteRef/>
      </w:r>
      <w:r w:rsidRPr="004A357C">
        <w:t xml:space="preserve"> The Honourable Greg Hunt MP &amp; the Medical Technology Association of Australia Limited, Memorandum of Understanding for the policy parameters of the Prostheses List Reforms, 2022.</w:t>
      </w:r>
    </w:p>
  </w:footnote>
  <w:footnote w:id="33">
    <w:p w14:paraId="2F6C38B9" w14:textId="77777777" w:rsidR="00287A84" w:rsidRPr="0055144B" w:rsidRDefault="00287A84" w:rsidP="00287A84">
      <w:r w:rsidRPr="004A31FA">
        <w:rPr>
          <w:rStyle w:val="FootnoteReference"/>
        </w:rPr>
        <w:footnoteRef/>
      </w:r>
      <w:r w:rsidRPr="0055144B">
        <w:rPr>
          <w:b/>
          <w:bCs/>
        </w:rPr>
        <w:t xml:space="preserve"> </w:t>
      </w:r>
      <w:hyperlink r:id="rId1" w:history="1">
        <w:r w:rsidRPr="004A31FA">
          <w:t>Department</w:t>
        </w:r>
      </w:hyperlink>
      <w:r>
        <w:t xml:space="preserve"> of Health and Aged Care, PHI Circular 21/22 </w:t>
      </w:r>
      <w:r w:rsidRPr="00EB089F">
        <w:t>Prostheses List Reform – Schedule of Prostheses List Price Reductions</w:t>
      </w:r>
      <w:r>
        <w:t>, 2022.</w:t>
      </w:r>
    </w:p>
  </w:footnote>
  <w:footnote w:id="34">
    <w:p w14:paraId="65C8CF52" w14:textId="77777777" w:rsidR="00287A84" w:rsidRDefault="00287A84" w:rsidP="00287A84">
      <w:r>
        <w:rPr>
          <w:rStyle w:val="FootnoteReference"/>
        </w:rPr>
        <w:footnoteRef/>
      </w:r>
      <w:r>
        <w:t xml:space="preserve"> D</w:t>
      </w:r>
      <w:hyperlink r:id="rId2" w:history="1">
        <w:r w:rsidRPr="004A31FA">
          <w:t>epartment</w:t>
        </w:r>
      </w:hyperlink>
      <w:r>
        <w:t xml:space="preserve"> of Health and Aged Care, PHI Circular 29/23 Benefit reductions to Cardiac Implantable Electronic Devices, 2023.</w:t>
      </w:r>
    </w:p>
  </w:footnote>
  <w:footnote w:id="35">
    <w:p w14:paraId="63C66CE1" w14:textId="77777777" w:rsidR="00287A84" w:rsidRDefault="00287A84" w:rsidP="00287A84">
      <w:r>
        <w:rPr>
          <w:rStyle w:val="FootnoteReference"/>
        </w:rPr>
        <w:footnoteRef/>
      </w:r>
      <w:r>
        <w:t xml:space="preserve"> D</w:t>
      </w:r>
      <w:hyperlink r:id="rId3" w:history="1">
        <w:r w:rsidRPr="004A31FA">
          <w:t>epartment</w:t>
        </w:r>
      </w:hyperlink>
      <w:r>
        <w:t xml:space="preserve"> of Health and Aged Care, PHI Circular 27/24 Benefit reductions to Cardiac Implantable Electronic Devices, 2024.</w:t>
      </w:r>
    </w:p>
  </w:footnote>
  <w:footnote w:id="36">
    <w:p w14:paraId="4E4BE9C0" w14:textId="77777777" w:rsidR="00287A84" w:rsidRDefault="00287A84" w:rsidP="00287A84">
      <w:r>
        <w:rPr>
          <w:rStyle w:val="FootnoteReference"/>
        </w:rPr>
        <w:footnoteRef/>
      </w:r>
      <w:r>
        <w:t xml:space="preserve"> Communication with the Department, 2024. </w:t>
      </w:r>
    </w:p>
  </w:footnote>
  <w:footnote w:id="37">
    <w:p w14:paraId="515347CF" w14:textId="77777777" w:rsidR="00287A84" w:rsidRDefault="00287A84" w:rsidP="00287A84">
      <w:r>
        <w:rPr>
          <w:rStyle w:val="FootnoteReference"/>
        </w:rPr>
        <w:footnoteRef/>
      </w:r>
      <w:r>
        <w:t xml:space="preserve"> </w:t>
      </w:r>
      <w:r>
        <w:rPr>
          <w:lang w:eastAsia="en-AU"/>
        </w:rPr>
        <w:t xml:space="preserve">This advice </w:t>
      </w:r>
      <w:r w:rsidRPr="00CC2386">
        <w:rPr>
          <w:lang w:eastAsia="en-AU"/>
        </w:rPr>
        <w:t>follow</w:t>
      </w:r>
      <w:r>
        <w:rPr>
          <w:lang w:eastAsia="en-AU"/>
        </w:rPr>
        <w:t>ed</w:t>
      </w:r>
      <w:r w:rsidRPr="00CC2386">
        <w:rPr>
          <w:lang w:eastAsia="en-AU"/>
        </w:rPr>
        <w:t xml:space="preserve"> their assessment of the MTAA Cardiac Forum’s application No. 1724 – Cardiac technical support services provided by industry employed technicians</w:t>
      </w:r>
      <w:r w:rsidRPr="00CC2386">
        <w:rPr>
          <w:i/>
          <w:iCs/>
          <w:lang w:eastAsia="en-AU"/>
        </w:rPr>
        <w:t>.</w:t>
      </w:r>
    </w:p>
  </w:footnote>
  <w:footnote w:id="38">
    <w:p w14:paraId="02F6C0F8" w14:textId="77777777" w:rsidR="00287A84" w:rsidRDefault="00287A84" w:rsidP="00287A84">
      <w:r>
        <w:rPr>
          <w:rStyle w:val="FootnoteReference"/>
        </w:rPr>
        <w:footnoteRef/>
      </w:r>
      <w:r>
        <w:t xml:space="preserve"> Medical Services Advisory Committee (MSAC), Public</w:t>
      </w:r>
      <w:r w:rsidRPr="00866A4A">
        <w:t xml:space="preserve"> Summary Document Application No. 1724 – Cardiac technical support services provided by industry employed technicians</w:t>
      </w:r>
      <w:r>
        <w:t>, 2023.</w:t>
      </w:r>
    </w:p>
  </w:footnote>
  <w:footnote w:id="39">
    <w:p w14:paraId="4F55ABBB" w14:textId="77777777" w:rsidR="00287A84" w:rsidRDefault="00287A84" w:rsidP="00287A84">
      <w:r>
        <w:rPr>
          <w:rStyle w:val="FootnoteReference"/>
        </w:rPr>
        <w:footnoteRef/>
      </w:r>
      <w:r>
        <w:t xml:space="preserve"> Ibid. </w:t>
      </w:r>
    </w:p>
  </w:footnote>
  <w:footnote w:id="40">
    <w:p w14:paraId="24AA0346" w14:textId="7C32CC5F" w:rsidR="00287A84" w:rsidRDefault="00287A84" w:rsidP="00287A84">
      <w:r>
        <w:rPr>
          <w:rStyle w:val="FootnoteReference"/>
        </w:rPr>
        <w:footnoteRef/>
      </w:r>
      <w:r>
        <w:t xml:space="preserve"> D</w:t>
      </w:r>
      <w:hyperlink r:id="rId4" w:history="1">
        <w:r w:rsidRPr="004A31FA">
          <w:t>epartment</w:t>
        </w:r>
      </w:hyperlink>
      <w:r>
        <w:t xml:space="preserve"> of Health and Aged Care, PHI Circular 27/24 Benefit reductions to Cardiac Implantable Electronic Devices, 2024</w:t>
      </w:r>
      <w:r w:rsidR="00112FCF">
        <w:t>.</w:t>
      </w:r>
    </w:p>
  </w:footnote>
  <w:footnote w:id="41">
    <w:p w14:paraId="294C52D9" w14:textId="77777777" w:rsidR="00287A84" w:rsidRPr="004A357C" w:rsidRDefault="00287A84" w:rsidP="00287A84">
      <w:r w:rsidRPr="004A357C">
        <w:rPr>
          <w:rStyle w:val="FootnoteReference"/>
        </w:rPr>
        <w:footnoteRef/>
      </w:r>
      <w:r w:rsidRPr="004A357C">
        <w:t xml:space="preserve"> Stakeholder engagements, 2025.</w:t>
      </w:r>
    </w:p>
  </w:footnote>
  <w:footnote w:id="42">
    <w:p w14:paraId="0AB6E490" w14:textId="17D66DA9" w:rsidR="008F4F42" w:rsidRPr="004A357C" w:rsidRDefault="008F4F42">
      <w:r w:rsidRPr="004A357C">
        <w:rPr>
          <w:rStyle w:val="FootnoteReference"/>
        </w:rPr>
        <w:footnoteRef/>
      </w:r>
      <w:r w:rsidR="00F9500E" w:rsidRPr="004A357C">
        <w:t xml:space="preserve"> </w:t>
      </w:r>
      <w:r w:rsidRPr="004A357C">
        <w:t xml:space="preserve">Department of Health, Disability and Ageing, Hospital </w:t>
      </w:r>
      <w:proofErr w:type="spellStart"/>
      <w:r w:rsidRPr="004A357C">
        <w:t>Casemix</w:t>
      </w:r>
      <w:proofErr w:type="spellEnd"/>
      <w:r w:rsidRPr="004A357C">
        <w:t xml:space="preserve"> Protocol Dataset, 2025.</w:t>
      </w:r>
    </w:p>
  </w:footnote>
  <w:footnote w:id="43">
    <w:p w14:paraId="7754BBA0" w14:textId="77777777" w:rsidR="00FF4B47" w:rsidRPr="004A357C" w:rsidRDefault="00FF4B47">
      <w:r w:rsidRPr="004A357C">
        <w:rPr>
          <w:rStyle w:val="FootnoteReference"/>
        </w:rPr>
        <w:footnoteRef/>
      </w:r>
      <w:r w:rsidRPr="004A357C">
        <w:t xml:space="preserve"> </w:t>
      </w:r>
      <w:r w:rsidR="00E94B50" w:rsidRPr="004A357C">
        <w:t xml:space="preserve">Note that the incidence of gap payments cannot always be equated with out-of-pocket charges. In some instances, third parties, such as the Department of Veterans' Affairs, workers' compensation insurers, or motor vehicle insurance providers, cover the gap for consumers (therefore, not representing an ‘out-of-pocket’ cost). Conversely, there are out-of-pocket charges related to PL-listed items that are not included in these gap payments. As the HCP1 data set is from PHI reporting, it does not capture instances where consumers are charged out-of-pocket for PL-listed items </w:t>
      </w:r>
      <w:proofErr w:type="gramStart"/>
      <w:r w:rsidR="00E94B50" w:rsidRPr="004A357C">
        <w:t>as a result of</w:t>
      </w:r>
      <w:proofErr w:type="gramEnd"/>
      <w:r w:rsidR="00E94B50" w:rsidRPr="004A357C">
        <w:t xml:space="preserve"> a surgery or procedure not being uncovered under their policy.</w:t>
      </w:r>
    </w:p>
  </w:footnote>
  <w:footnote w:id="44">
    <w:p w14:paraId="2250E108" w14:textId="5973CD93" w:rsidR="00073ACD" w:rsidRPr="004A357C" w:rsidRDefault="00073ACD" w:rsidP="00073ACD">
      <w:r w:rsidRPr="004A357C">
        <w:rPr>
          <w:rStyle w:val="FootnoteReference"/>
        </w:rPr>
        <w:footnoteRef/>
      </w:r>
      <w:r w:rsidRPr="004A357C">
        <w:t xml:space="preserve"> Department of Health, Disability and Ageing, Hospital </w:t>
      </w:r>
      <w:proofErr w:type="spellStart"/>
      <w:r w:rsidRPr="004A357C">
        <w:t>Casemix</w:t>
      </w:r>
      <w:proofErr w:type="spellEnd"/>
      <w:r w:rsidRPr="004A357C">
        <w:t xml:space="preserve"> Protocol Dataset, 2025.</w:t>
      </w:r>
      <w:r w:rsidR="00CD5CE4" w:rsidRPr="004A357C">
        <w:t xml:space="preserve"> </w:t>
      </w:r>
      <w:r w:rsidR="00823D2E" w:rsidRPr="004A357C">
        <w:t xml:space="preserve">Note </w:t>
      </w:r>
      <w:r w:rsidR="006B3C95" w:rsidRPr="004A357C">
        <w:t>that 3</w:t>
      </w:r>
      <w:r w:rsidR="00E06C75">
        <w:t>3</w:t>
      </w:r>
      <w:r w:rsidR="006B3C95" w:rsidRPr="004A357C">
        <w:t>%</w:t>
      </w:r>
      <w:r w:rsidR="00823D2E" w:rsidRPr="004A357C">
        <w:t xml:space="preserve"> is the </w:t>
      </w:r>
      <w:r w:rsidR="00273A7B" w:rsidRPr="004A357C">
        <w:t>FY2</w:t>
      </w:r>
      <w:r w:rsidR="00DE71F9" w:rsidRPr="004A357C">
        <w:t>4</w:t>
      </w:r>
      <w:r w:rsidR="00273A7B" w:rsidRPr="004A357C">
        <w:t xml:space="preserve"> </w:t>
      </w:r>
      <w:r w:rsidR="00B50847">
        <w:t xml:space="preserve">weighted </w:t>
      </w:r>
      <w:r w:rsidR="00823D2E" w:rsidRPr="004A357C">
        <w:t xml:space="preserve">monthly average </w:t>
      </w:r>
      <w:r w:rsidR="00273A7B" w:rsidRPr="004A357C">
        <w:t xml:space="preserve">gap payment </w:t>
      </w:r>
      <w:r w:rsidR="00286572" w:rsidRPr="004A357C">
        <w:t>(</w:t>
      </w:r>
      <w:r w:rsidR="00086717" w:rsidRPr="004A357C">
        <w:t>where</w:t>
      </w:r>
      <w:r w:rsidR="00286572" w:rsidRPr="004A357C">
        <w:t xml:space="preserve"> a gap was paid) relative to the FY2</w:t>
      </w:r>
      <w:r w:rsidR="00DE71F9" w:rsidRPr="004A357C">
        <w:t>4</w:t>
      </w:r>
      <w:r w:rsidR="00B50847">
        <w:t xml:space="preserve"> weighted</w:t>
      </w:r>
      <w:r w:rsidR="00286572" w:rsidRPr="004A357C">
        <w:t xml:space="preserve"> monthly average benefit.</w:t>
      </w:r>
    </w:p>
  </w:footnote>
  <w:footnote w:id="45">
    <w:p w14:paraId="18201138" w14:textId="77777777" w:rsidR="006648D8" w:rsidRDefault="006648D8" w:rsidP="006648D8">
      <w:r w:rsidRPr="008900AA">
        <w:rPr>
          <w:rStyle w:val="FootnoteReference"/>
        </w:rPr>
        <w:footnoteRef/>
      </w:r>
      <w:r w:rsidRPr="008900AA">
        <w:t xml:space="preserve"> </w:t>
      </w:r>
      <w:r w:rsidRPr="001B3BEE">
        <w:t>Menzies Centre for Health Policy &amp; University of Sydney, Options for a revised framework for setting and reviewing benefits for the Prostheses List, 2020.</w:t>
      </w:r>
    </w:p>
  </w:footnote>
  <w:footnote w:id="46">
    <w:p w14:paraId="2141401A" w14:textId="77777777" w:rsidR="006648D8" w:rsidRDefault="006648D8" w:rsidP="006648D8">
      <w:r>
        <w:rPr>
          <w:rStyle w:val="FootnoteReference"/>
        </w:rPr>
        <w:footnoteRef/>
      </w:r>
      <w:r>
        <w:t xml:space="preserve"> Department of Health and Aged Care, </w:t>
      </w:r>
      <w:r w:rsidRPr="00157476">
        <w:t>The Prescribed List of Medical Devices and Human Tissue Products Guide</w:t>
      </w:r>
      <w:r>
        <w:t xml:space="preserve"> (Draft), 2023.</w:t>
      </w:r>
    </w:p>
  </w:footnote>
  <w:footnote w:id="47">
    <w:p w14:paraId="10535287" w14:textId="20EDB79E" w:rsidR="008B1449" w:rsidRPr="004A357C" w:rsidRDefault="008B1449">
      <w:r w:rsidRPr="004A357C">
        <w:rPr>
          <w:rStyle w:val="FootnoteReference"/>
        </w:rPr>
        <w:footnoteRef/>
      </w:r>
      <w:r w:rsidRPr="004A357C">
        <w:t xml:space="preserve"> Department of Health, Disability and Ageing, Prostheses List Part A (Prostheses), Part C (Other), and Part D (General Use Items), </w:t>
      </w:r>
      <w:r w:rsidR="00AE7F22">
        <w:t xml:space="preserve">July </w:t>
      </w:r>
      <w:r w:rsidRPr="004A357C">
        <w:t>202</w:t>
      </w:r>
      <w:r w:rsidR="00AE7F22">
        <w:t>5</w:t>
      </w:r>
      <w:r w:rsidRPr="004A357C">
        <w:t xml:space="preserve"> edition.</w:t>
      </w:r>
    </w:p>
  </w:footnote>
  <w:footnote w:id="48">
    <w:p w14:paraId="141D2033" w14:textId="6D61F744" w:rsidR="00AF75E5" w:rsidRPr="004A357C" w:rsidRDefault="00AF75E5">
      <w:r w:rsidRPr="004A357C">
        <w:rPr>
          <w:rStyle w:val="FootnoteReference"/>
        </w:rPr>
        <w:footnoteRef/>
      </w:r>
      <w:r w:rsidRPr="004A357C">
        <w:t xml:space="preserve"> Stakeholder submission, 2025.</w:t>
      </w:r>
    </w:p>
  </w:footnote>
  <w:footnote w:id="49">
    <w:p w14:paraId="1491A743" w14:textId="17B79CA6" w:rsidR="00513E95" w:rsidRPr="004A357C" w:rsidRDefault="00513E95">
      <w:r w:rsidRPr="004A357C">
        <w:rPr>
          <w:rStyle w:val="FootnoteReference"/>
        </w:rPr>
        <w:footnoteRef/>
      </w:r>
      <w:r w:rsidRPr="004A357C">
        <w:t xml:space="preserve"> Stakeholder consultation, 2025.</w:t>
      </w:r>
    </w:p>
  </w:footnote>
  <w:footnote w:id="50">
    <w:p w14:paraId="6A9F56B3" w14:textId="7E0828CD" w:rsidR="00313AB5" w:rsidRPr="004A357C" w:rsidRDefault="00313AB5" w:rsidP="00313AB5">
      <w:r w:rsidRPr="004A357C">
        <w:rPr>
          <w:rStyle w:val="FootnoteReference"/>
        </w:rPr>
        <w:footnoteRef/>
      </w:r>
      <w:r w:rsidRPr="004A357C">
        <w:t xml:space="preserve"> </w:t>
      </w:r>
      <w:r w:rsidR="008F4F42" w:rsidRPr="004A357C">
        <w:t xml:space="preserve">Department of Health, Disability and Ageing, Hospital </w:t>
      </w:r>
      <w:proofErr w:type="spellStart"/>
      <w:r w:rsidR="008F4F42" w:rsidRPr="004A357C">
        <w:t>Casemix</w:t>
      </w:r>
      <w:proofErr w:type="spellEnd"/>
      <w:r w:rsidR="008F4F42" w:rsidRPr="004A357C">
        <w:t xml:space="preserve"> Protocol Dataset, 2025.</w:t>
      </w:r>
    </w:p>
  </w:footnote>
  <w:footnote w:id="51">
    <w:p w14:paraId="7B69E827" w14:textId="77777777" w:rsidR="0069487A" w:rsidRPr="004A357C" w:rsidRDefault="0069487A" w:rsidP="0069487A">
      <w:r w:rsidRPr="004A357C">
        <w:rPr>
          <w:rStyle w:val="FootnoteReference"/>
        </w:rPr>
        <w:footnoteRef/>
      </w:r>
      <w:r w:rsidRPr="004A357C">
        <w:t xml:space="preserve"> Stakeholder consultations, 2025.</w:t>
      </w:r>
    </w:p>
  </w:footnote>
  <w:footnote w:id="52">
    <w:p w14:paraId="51C88643" w14:textId="6D760214" w:rsidR="000658AC" w:rsidRPr="004A357C" w:rsidRDefault="000658AC" w:rsidP="000658AC">
      <w:r w:rsidRPr="004A357C">
        <w:rPr>
          <w:rStyle w:val="FootnoteReference"/>
        </w:rPr>
        <w:footnoteRef/>
      </w:r>
      <w:r w:rsidRPr="004A357C">
        <w:t xml:space="preserve"> </w:t>
      </w:r>
      <w:r w:rsidR="00981C65" w:rsidRPr="00981C65">
        <w:t>Independent Health and Aged Care Pricing Authority, Analysis on prescribed list benefit reductions for general use items (GUIs) and projected savings, 20 January 2025</w:t>
      </w:r>
      <w:r w:rsidR="006037E3">
        <w:t xml:space="preserve">; </w:t>
      </w:r>
      <w:r w:rsidR="006037E3" w:rsidRPr="006037E3">
        <w:t>Independent Health and Aged Care Pricing Authority (IHACPA) analysis on prescribed list benefit reductions, 15 December 2025.</w:t>
      </w:r>
    </w:p>
  </w:footnote>
  <w:footnote w:id="53">
    <w:p w14:paraId="76D9C0C0" w14:textId="7228F374" w:rsidR="007C5064" w:rsidRPr="004A357C" w:rsidRDefault="007C5064" w:rsidP="007C5064">
      <w:r w:rsidRPr="004A357C">
        <w:rPr>
          <w:rStyle w:val="FootnoteReference"/>
        </w:rPr>
        <w:footnoteRef/>
      </w:r>
      <w:r w:rsidRPr="004A357C">
        <w:t xml:space="preserve"> </w:t>
      </w:r>
      <w:r w:rsidR="004F6EE1">
        <w:t>I</w:t>
      </w:r>
      <w:r w:rsidR="004F6EE1" w:rsidRPr="004A357C">
        <w:t>ndependent Health and Aged Care Pricing Authority, Updated estimates of projected benefits and savings associated with Prescribed List reforms, 13 December 2023</w:t>
      </w:r>
      <w:r w:rsidRPr="004A357C">
        <w:t>. Note that these estimates are limited to insurer savings and do not reflect any offsetting costs that may have emerged elsewhere in the health system.</w:t>
      </w:r>
    </w:p>
  </w:footnote>
  <w:footnote w:id="54">
    <w:p w14:paraId="4BAC582F" w14:textId="77777777" w:rsidR="003C233D" w:rsidRPr="004A357C" w:rsidRDefault="003C233D">
      <w:r w:rsidRPr="004A357C">
        <w:rPr>
          <w:rStyle w:val="FootnoteReference"/>
        </w:rPr>
        <w:footnoteRef/>
      </w:r>
      <w:r w:rsidRPr="004A357C">
        <w:t xml:space="preserve"> </w:t>
      </w:r>
      <w:r w:rsidR="00CA19C6" w:rsidRPr="004A357C">
        <w:t>The Honourable Greg Hunt MP &amp; the Medical Technology Association of Australia Limited, Memorandum of Understanding for the policy parameters of the Prostheses List Reforms, 2022.</w:t>
      </w:r>
    </w:p>
  </w:footnote>
  <w:footnote w:id="55">
    <w:p w14:paraId="586E5677" w14:textId="287FE732" w:rsidR="008D1D21" w:rsidRPr="004A357C" w:rsidRDefault="008D1D21" w:rsidP="008D1D21">
      <w:r w:rsidRPr="004A357C">
        <w:rPr>
          <w:rStyle w:val="FootnoteReference"/>
        </w:rPr>
        <w:footnoteRef/>
      </w:r>
      <w:r w:rsidRPr="004A357C">
        <w:t xml:space="preserve"> Department of Health</w:t>
      </w:r>
      <w:r w:rsidR="003512CD" w:rsidRPr="004A357C">
        <w:t>, Disability</w:t>
      </w:r>
      <w:r w:rsidRPr="004A357C">
        <w:t xml:space="preserve"> and </w:t>
      </w:r>
      <w:r w:rsidR="003512CD" w:rsidRPr="004A357C">
        <w:t>Ageing</w:t>
      </w:r>
      <w:r w:rsidRPr="004A357C">
        <w:t>, Interim Evaluation #1 of the Prescribed List Reforms, 2024, https://www.health.gov.au/resources/publications/interim-evaluation-1-of-the-prescribed-list-reforms?language=en.</w:t>
      </w:r>
    </w:p>
  </w:footnote>
  <w:footnote w:id="56">
    <w:p w14:paraId="57F9FE85" w14:textId="77777777" w:rsidR="003733AE" w:rsidRPr="004A357C" w:rsidRDefault="003733AE" w:rsidP="003733AE">
      <w:r w:rsidRPr="004A357C">
        <w:rPr>
          <w:rStyle w:val="FootnoteReference"/>
        </w:rPr>
        <w:footnoteRef/>
      </w:r>
      <w:r w:rsidRPr="004A357C">
        <w:t xml:space="preserve"> Independent Health and Aged Care Pricing Authority, Updated estimates of projected benefits and savings associated with Prescribed List reforms, 13 December 2023.</w:t>
      </w:r>
    </w:p>
  </w:footnote>
  <w:footnote w:id="57">
    <w:p w14:paraId="69DD01AD" w14:textId="0103AC45" w:rsidR="0054049B" w:rsidRPr="004A357C" w:rsidRDefault="0054049B" w:rsidP="0054049B">
      <w:r w:rsidRPr="004A357C">
        <w:rPr>
          <w:rStyle w:val="FootnoteReference"/>
        </w:rPr>
        <w:footnoteRef/>
      </w:r>
      <w:r w:rsidRPr="004A357C">
        <w:t xml:space="preserve"> Department of Health</w:t>
      </w:r>
      <w:r w:rsidR="003512CD" w:rsidRPr="004A357C">
        <w:t>, Disability</w:t>
      </w:r>
      <w:r w:rsidRPr="004A357C">
        <w:t xml:space="preserve"> and </w:t>
      </w:r>
      <w:r w:rsidR="003512CD" w:rsidRPr="004A357C">
        <w:t>Ageing</w:t>
      </w:r>
      <w:r w:rsidRPr="004A357C">
        <w:t>, Interim Evaluation #1 of the Prescribed List Reforms, 2024, https://www.health.gov.au/resources/publications/interim-evaluation-1-of-the-prescribed-list-reforms?language=en.</w:t>
      </w:r>
    </w:p>
  </w:footnote>
  <w:footnote w:id="58">
    <w:p w14:paraId="5BB63383" w14:textId="44A0C8DF" w:rsidR="00816B6F" w:rsidRPr="004A357C" w:rsidRDefault="00816B6F">
      <w:r w:rsidRPr="004A357C">
        <w:rPr>
          <w:rStyle w:val="FootnoteReference"/>
        </w:rPr>
        <w:footnoteRef/>
      </w:r>
      <w:r w:rsidRPr="004A357C">
        <w:t xml:space="preserve"> </w:t>
      </w:r>
      <w:r w:rsidR="000421F5">
        <w:t>Australian Prudential Regulation Authority</w:t>
      </w:r>
      <w:r w:rsidRPr="004A357C">
        <w:t>, Annual private health insurance performance statistics database - 2023-24, December 2024.</w:t>
      </w:r>
    </w:p>
  </w:footnote>
  <w:footnote w:id="59">
    <w:p w14:paraId="250CAFB0" w14:textId="2607C3BC" w:rsidR="00FA6F24" w:rsidRPr="004A357C" w:rsidRDefault="00FA6F24" w:rsidP="00FA6F24">
      <w:r w:rsidRPr="004A357C">
        <w:rPr>
          <w:rStyle w:val="FootnoteReference"/>
        </w:rPr>
        <w:footnoteRef/>
      </w:r>
      <w:r w:rsidRPr="004A357C">
        <w:t xml:space="preserve"> </w:t>
      </w:r>
      <w:r w:rsidR="000421F5">
        <w:t>Australian Prudential Regulation Authority</w:t>
      </w:r>
      <w:r w:rsidRPr="004A357C">
        <w:t xml:space="preserve">, Annual private health insurance </w:t>
      </w:r>
      <w:r w:rsidR="00A13BD1" w:rsidRPr="004A357C">
        <w:t>membership and benefit</w:t>
      </w:r>
      <w:r w:rsidRPr="004A357C">
        <w:t xml:space="preserve"> statistics, December 2024; Independent Health and Aged Care Pricing Authority, Updated estimates of projected benefits and savings associated with Prescribed List reforms, November 2023.</w:t>
      </w:r>
    </w:p>
  </w:footnote>
  <w:footnote w:id="60">
    <w:p w14:paraId="08DEE38A" w14:textId="3C4E07C6" w:rsidR="00FA6F24" w:rsidRPr="004A357C" w:rsidRDefault="00FA6F24" w:rsidP="00FA6F24">
      <w:r w:rsidRPr="004A357C">
        <w:rPr>
          <w:rStyle w:val="FootnoteReference"/>
        </w:rPr>
        <w:footnoteRef/>
      </w:r>
      <w:r w:rsidRPr="004A357C">
        <w:t xml:space="preserve"> </w:t>
      </w:r>
      <w:r w:rsidR="00697901" w:rsidRPr="004A357C">
        <w:t xml:space="preserve">Benefit reduction savings are based on IHACPA’s </w:t>
      </w:r>
      <w:r w:rsidR="00C05D38" w:rsidRPr="004A357C">
        <w:rPr>
          <w:i/>
          <w:iCs/>
        </w:rPr>
        <w:t>Updated estimates of</w:t>
      </w:r>
      <w:r w:rsidR="00697901" w:rsidRPr="004A357C">
        <w:rPr>
          <w:i/>
        </w:rPr>
        <w:t xml:space="preserve"> projected </w:t>
      </w:r>
      <w:r w:rsidR="00C05D38" w:rsidRPr="004A357C">
        <w:rPr>
          <w:i/>
          <w:iCs/>
        </w:rPr>
        <w:t xml:space="preserve">benefits and </w:t>
      </w:r>
      <w:r w:rsidR="00697901" w:rsidRPr="004A357C">
        <w:rPr>
          <w:i/>
        </w:rPr>
        <w:t xml:space="preserve">savings </w:t>
      </w:r>
      <w:r w:rsidR="00C05D38" w:rsidRPr="004A357C">
        <w:rPr>
          <w:i/>
          <w:iCs/>
        </w:rPr>
        <w:t xml:space="preserve">associated with Prescribed List reforms </w:t>
      </w:r>
      <w:r w:rsidR="00C05D38" w:rsidRPr="004A357C">
        <w:t>(</w:t>
      </w:r>
      <w:r w:rsidR="00697901" w:rsidRPr="004A357C">
        <w:t xml:space="preserve">Table </w:t>
      </w:r>
      <w:r w:rsidR="00010853">
        <w:t>3</w:t>
      </w:r>
      <w:r w:rsidR="00697901" w:rsidRPr="004A357C">
        <w:t xml:space="preserve"> – </w:t>
      </w:r>
      <w:r w:rsidR="00010853">
        <w:t>5</w:t>
      </w:r>
      <w:r w:rsidR="00697901" w:rsidRPr="004A357C">
        <w:t>% annual growth in utilisation</w:t>
      </w:r>
      <w:r w:rsidR="00C05D38" w:rsidRPr="004A357C">
        <w:t>)</w:t>
      </w:r>
      <w:r w:rsidR="00697901" w:rsidRPr="004A357C">
        <w:t xml:space="preserve">. A </w:t>
      </w:r>
      <w:r w:rsidR="00010853">
        <w:t>5</w:t>
      </w:r>
      <w:r w:rsidR="00697901" w:rsidRPr="004A357C">
        <w:t>% annual growth rate is also applied to benefit outlays in both the base and counterfactual scenarios.</w:t>
      </w:r>
    </w:p>
  </w:footnote>
  <w:footnote w:id="61">
    <w:p w14:paraId="00949B9B" w14:textId="1E3DDAD4" w:rsidR="00B01D77" w:rsidRPr="004A357C" w:rsidRDefault="00B01D77" w:rsidP="00B01D77">
      <w:r w:rsidRPr="004A357C">
        <w:rPr>
          <w:rStyle w:val="FootnoteReference"/>
        </w:rPr>
        <w:footnoteRef/>
      </w:r>
      <w:r w:rsidRPr="004A357C">
        <w:t xml:space="preserve"> </w:t>
      </w:r>
      <w:r w:rsidR="000421F5">
        <w:t>Australian Prudential Regulation Authority</w:t>
      </w:r>
      <w:r w:rsidRPr="004A357C">
        <w:t>, Annual private health insurance membership and benefit statistics, December 202</w:t>
      </w:r>
      <w:r w:rsidR="00035A42">
        <w:t>5</w:t>
      </w:r>
      <w:r w:rsidRPr="004A357C">
        <w:t xml:space="preserve">; Australian Prudential Regulation Authority, Quarterly Private Health Insurance Medical Device </w:t>
      </w:r>
      <w:proofErr w:type="gramStart"/>
      <w:r w:rsidRPr="004A357C">
        <w:t>Or</w:t>
      </w:r>
      <w:proofErr w:type="gramEnd"/>
      <w:r w:rsidRPr="004A357C">
        <w:t xml:space="preserve"> Human Tissue Products, </w:t>
      </w:r>
      <w:r w:rsidR="00035A42">
        <w:t>December</w:t>
      </w:r>
      <w:r w:rsidRPr="004A357C">
        <w:t xml:space="preserve"> 2025.</w:t>
      </w:r>
    </w:p>
  </w:footnote>
  <w:footnote w:id="62">
    <w:p w14:paraId="33000599" w14:textId="24935EB0" w:rsidR="009D1C51" w:rsidRPr="004A357C" w:rsidRDefault="009D1C51" w:rsidP="009D1C51">
      <w:r w:rsidRPr="004A357C">
        <w:rPr>
          <w:rStyle w:val="FootnoteReference"/>
        </w:rPr>
        <w:footnoteRef/>
      </w:r>
      <w:r w:rsidRPr="004A357C">
        <w:t xml:space="preserve"> </w:t>
      </w:r>
      <w:r w:rsidR="000421F5">
        <w:t>Australian Prudential Regulation Authority</w:t>
      </w:r>
      <w:r w:rsidRPr="004A357C">
        <w:t>, Annual private health insurance membership and benefit statistics, December 202</w:t>
      </w:r>
      <w:r w:rsidR="004A0168">
        <w:t>5</w:t>
      </w:r>
      <w:r w:rsidRPr="004A357C">
        <w:t>.</w:t>
      </w:r>
    </w:p>
  </w:footnote>
  <w:footnote w:id="63">
    <w:p w14:paraId="1F35BD3A" w14:textId="6BB423BF" w:rsidR="00745776" w:rsidRPr="004A357C" w:rsidRDefault="00745776">
      <w:r w:rsidRPr="004A357C">
        <w:rPr>
          <w:rStyle w:val="FootnoteReference"/>
        </w:rPr>
        <w:footnoteRef/>
      </w:r>
      <w:r w:rsidRPr="004A357C">
        <w:t xml:space="preserve"> </w:t>
      </w:r>
      <w:r w:rsidR="000421F5">
        <w:t>Australian Prudential Regulation Authority</w:t>
      </w:r>
      <w:r w:rsidRPr="004A357C">
        <w:t>, Annual private health insurance membership and benefit statistics, December 202</w:t>
      </w:r>
      <w:r w:rsidR="00E2217A">
        <w:t>5</w:t>
      </w:r>
      <w:r w:rsidRPr="004A357C">
        <w:t>.</w:t>
      </w:r>
    </w:p>
  </w:footnote>
  <w:footnote w:id="64">
    <w:p w14:paraId="51C29A18" w14:textId="0A66AF61" w:rsidR="008C5BC6" w:rsidRPr="004A357C" w:rsidRDefault="008C5BC6">
      <w:r w:rsidRPr="004A357C">
        <w:rPr>
          <w:rStyle w:val="FootnoteReference"/>
        </w:rPr>
        <w:footnoteRef/>
      </w:r>
      <w:r w:rsidRPr="004A357C">
        <w:t xml:space="preserve"> </w:t>
      </w:r>
      <w:r w:rsidR="006A3F13">
        <w:t>Ibid</w:t>
      </w:r>
      <w:r w:rsidRPr="004A357C">
        <w:t>.</w:t>
      </w:r>
    </w:p>
  </w:footnote>
  <w:footnote w:id="65">
    <w:p w14:paraId="7D8ACB83" w14:textId="0E7D4C02" w:rsidR="0008230D" w:rsidRPr="004A357C" w:rsidRDefault="0008230D" w:rsidP="0008230D">
      <w:r w:rsidRPr="004A357C">
        <w:rPr>
          <w:rStyle w:val="FootnoteReference"/>
        </w:rPr>
        <w:footnoteRef/>
      </w:r>
      <w:r w:rsidRPr="004A357C">
        <w:t xml:space="preserve"> </w:t>
      </w:r>
      <w:r w:rsidR="006A3F13">
        <w:t>Ibid</w:t>
      </w:r>
      <w:r w:rsidRPr="004A357C">
        <w:t>.</w:t>
      </w:r>
    </w:p>
  </w:footnote>
  <w:footnote w:id="66">
    <w:p w14:paraId="752F1490" w14:textId="413F703F" w:rsidR="00AA2430" w:rsidRPr="004A357C" w:rsidRDefault="00AA2430">
      <w:r w:rsidRPr="004A357C">
        <w:rPr>
          <w:rStyle w:val="FootnoteReference"/>
        </w:rPr>
        <w:footnoteRef/>
      </w:r>
      <w:r w:rsidRPr="004A357C">
        <w:t xml:space="preserve"> Stakeholder consultation, 2025.</w:t>
      </w:r>
    </w:p>
  </w:footnote>
  <w:footnote w:id="67">
    <w:p w14:paraId="2661FAD4" w14:textId="48792D1A" w:rsidR="0054628B" w:rsidRPr="004A357C" w:rsidRDefault="0054628B">
      <w:r w:rsidRPr="004A357C">
        <w:rPr>
          <w:rStyle w:val="FootnoteReference"/>
        </w:rPr>
        <w:footnoteRef/>
      </w:r>
      <w:r w:rsidRPr="004A357C">
        <w:t xml:space="preserve"> </w:t>
      </w:r>
      <w:r w:rsidR="00396F1A" w:rsidRPr="00FB712C">
        <w:t>Department of Health</w:t>
      </w:r>
      <w:r w:rsidR="003512CD" w:rsidRPr="00FB712C">
        <w:t>, Disability</w:t>
      </w:r>
      <w:r w:rsidR="00396F1A" w:rsidRPr="00FB712C">
        <w:t xml:space="preserve"> and </w:t>
      </w:r>
      <w:r w:rsidR="003512CD" w:rsidRPr="00FB712C">
        <w:t>Ageing</w:t>
      </w:r>
      <w:r w:rsidR="00396F1A" w:rsidRPr="00FB712C">
        <w:t>, List of historical premium price changes by insurer for 202</w:t>
      </w:r>
      <w:r w:rsidR="0050225A">
        <w:t>5</w:t>
      </w:r>
      <w:r w:rsidR="00396F1A" w:rsidRPr="00FB712C">
        <w:t>, 202</w:t>
      </w:r>
      <w:r w:rsidR="0050225A">
        <w:t>5</w:t>
      </w:r>
      <w:r w:rsidR="00396F1A" w:rsidRPr="00FB712C">
        <w:t>.</w:t>
      </w:r>
    </w:p>
  </w:footnote>
  <w:footnote w:id="68">
    <w:p w14:paraId="4FAF0EE9" w14:textId="0A209C9E" w:rsidR="00C253A3" w:rsidRPr="004A357C" w:rsidRDefault="00C253A3">
      <w:r w:rsidRPr="004A357C">
        <w:rPr>
          <w:rStyle w:val="FootnoteReference"/>
        </w:rPr>
        <w:footnoteRef/>
      </w:r>
      <w:r w:rsidRPr="004A357C">
        <w:t xml:space="preserve"> Stakeholder submissions, 2025.</w:t>
      </w:r>
    </w:p>
  </w:footnote>
  <w:footnote w:id="69">
    <w:p w14:paraId="67355924" w14:textId="42AB37F8" w:rsidR="00455391" w:rsidRPr="004A357C" w:rsidRDefault="00455391" w:rsidP="00455391">
      <w:r w:rsidRPr="004A357C">
        <w:rPr>
          <w:rStyle w:val="FootnoteReference"/>
        </w:rPr>
        <w:footnoteRef/>
      </w:r>
      <w:r w:rsidRPr="004A357C">
        <w:t xml:space="preserve"> </w:t>
      </w:r>
      <w:r w:rsidR="000421F5">
        <w:t>Australian Prudential Regulation Authority</w:t>
      </w:r>
      <w:r w:rsidRPr="004A357C">
        <w:t xml:space="preserve">, Annual private health insurance membership and benefit statistics, </w:t>
      </w:r>
      <w:r w:rsidR="00A161F8">
        <w:t>2021–2025 editions</w:t>
      </w:r>
      <w:r w:rsidRPr="004A357C">
        <w:t xml:space="preserve"> </w:t>
      </w:r>
      <w:r w:rsidRPr="004A357C">
        <w:rPr>
          <w:i/>
          <w:iCs/>
        </w:rPr>
        <w:t>(prostheses benefits data)</w:t>
      </w:r>
      <w:r w:rsidRPr="004A357C">
        <w:t xml:space="preserve">; </w:t>
      </w:r>
      <w:r w:rsidR="000421F5">
        <w:t>Australian Prudential Regulation Authority</w:t>
      </w:r>
      <w:r w:rsidRPr="004A357C">
        <w:t>, Annual private health insurance performance statistics database</w:t>
      </w:r>
      <w:r w:rsidR="00A161F8">
        <w:t xml:space="preserve">, </w:t>
      </w:r>
      <w:r w:rsidRPr="004A357C">
        <w:t>2024</w:t>
      </w:r>
      <w:r w:rsidR="00A161F8">
        <w:t>–2025 editions</w:t>
      </w:r>
      <w:r w:rsidRPr="004A357C">
        <w:t xml:space="preserve"> </w:t>
      </w:r>
      <w:r w:rsidRPr="004A357C">
        <w:rPr>
          <w:i/>
          <w:iCs/>
        </w:rPr>
        <w:t>(FY24</w:t>
      </w:r>
      <w:r w:rsidR="00A161F8">
        <w:rPr>
          <w:i/>
          <w:iCs/>
        </w:rPr>
        <w:t xml:space="preserve"> and FY25</w:t>
      </w:r>
      <w:r w:rsidRPr="004A357C">
        <w:rPr>
          <w:i/>
          <w:iCs/>
        </w:rPr>
        <w:t xml:space="preserve"> data)</w:t>
      </w:r>
      <w:r w:rsidRPr="004A357C">
        <w:t xml:space="preserve">; Australian Prudential Regulation Authority, Operations of Private Health Insurers Annual Report, </w:t>
      </w:r>
      <w:r w:rsidR="002763D3">
        <w:t xml:space="preserve">2021–2023 editions </w:t>
      </w:r>
      <w:r w:rsidRPr="004A357C">
        <w:rPr>
          <w:i/>
          <w:iCs/>
        </w:rPr>
        <w:t>(FY</w:t>
      </w:r>
      <w:r w:rsidR="002763D3">
        <w:rPr>
          <w:i/>
          <w:iCs/>
        </w:rPr>
        <w:t>21–</w:t>
      </w:r>
      <w:r w:rsidRPr="004A357C">
        <w:rPr>
          <w:i/>
          <w:iCs/>
        </w:rPr>
        <w:t>23 data)</w:t>
      </w:r>
      <w:r w:rsidRPr="004A357C">
        <w:t>.</w:t>
      </w:r>
      <w:r w:rsidR="00A86454">
        <w:t xml:space="preserve"> </w:t>
      </w:r>
      <w:r w:rsidR="00A86454" w:rsidRPr="00A86454">
        <w:t>Business expenses are limited to claims handling and other expenses related to health insurance business (HIB). Profit is before tax and excludes net investment income and non-HIB revenue.</w:t>
      </w:r>
    </w:p>
  </w:footnote>
  <w:footnote w:id="70">
    <w:p w14:paraId="64BAFB6F" w14:textId="3641258C" w:rsidR="001C1891" w:rsidRPr="004A357C" w:rsidRDefault="001C1891">
      <w:r w:rsidRPr="004A357C">
        <w:rPr>
          <w:rStyle w:val="FootnoteReference"/>
        </w:rPr>
        <w:footnoteRef/>
      </w:r>
      <w:r w:rsidRPr="004A357C">
        <w:t xml:space="preserve"> Stakeholder submission, 2025.</w:t>
      </w:r>
    </w:p>
  </w:footnote>
  <w:footnote w:id="71">
    <w:p w14:paraId="6CE94D52" w14:textId="32A01F72" w:rsidR="001655DB" w:rsidRPr="004A357C" w:rsidRDefault="001655DB" w:rsidP="001655DB">
      <w:r w:rsidRPr="004A357C">
        <w:rPr>
          <w:rStyle w:val="FootnoteReference"/>
        </w:rPr>
        <w:footnoteRef/>
      </w:r>
      <w:r w:rsidRPr="004A357C">
        <w:t xml:space="preserve"> </w:t>
      </w:r>
      <w:r w:rsidR="000421F5">
        <w:t>Australian Prudential Regulation Authority</w:t>
      </w:r>
      <w:r w:rsidRPr="004A357C">
        <w:t>, Annual private health insurance membership and benefit statistics, December 202</w:t>
      </w:r>
      <w:r w:rsidR="00846DFC">
        <w:t>5</w:t>
      </w:r>
      <w:r w:rsidRPr="004A357C">
        <w:t>.</w:t>
      </w:r>
    </w:p>
  </w:footnote>
  <w:footnote w:id="72">
    <w:p w14:paraId="799309A3" w14:textId="2F75EA10" w:rsidR="00014E11" w:rsidRPr="004A357C" w:rsidRDefault="00014E11">
      <w:r w:rsidRPr="004A357C">
        <w:rPr>
          <w:rStyle w:val="FootnoteReference"/>
        </w:rPr>
        <w:footnoteRef/>
      </w:r>
      <w:r w:rsidRPr="004A357C">
        <w:t xml:space="preserve"> </w:t>
      </w:r>
      <w:r w:rsidR="0068356B" w:rsidRPr="004A357C">
        <w:t>Department of Health, Disability and Ageing, PHI 77/24 – Private Health Insurance (Medical Devices and Human Tissue Products) Rules (No. 2) 2024</w:t>
      </w:r>
      <w:r w:rsidR="00B01FBC" w:rsidRPr="004A357C">
        <w:t>, 24 October 2024.</w:t>
      </w:r>
      <w:r w:rsidRPr="004A357C">
        <w:t xml:space="preserve"> https://www.health.gov.au/news/phi-circulars/phi-circular-7724-private-health-insurance-medical-devices-and-human-tissue-products-rules-no-2-2024</w:t>
      </w:r>
    </w:p>
  </w:footnote>
  <w:footnote w:id="73">
    <w:p w14:paraId="77AF3474" w14:textId="1FED76A7" w:rsidR="00014E11" w:rsidRPr="004A357C" w:rsidRDefault="00014E11">
      <w:r w:rsidRPr="004A357C">
        <w:rPr>
          <w:rStyle w:val="FootnoteReference"/>
        </w:rPr>
        <w:footnoteRef/>
      </w:r>
      <w:r w:rsidRPr="004A357C">
        <w:t xml:space="preserve"> </w:t>
      </w:r>
      <w:r w:rsidR="005D5C03" w:rsidRPr="004A357C">
        <w:t xml:space="preserve">Parliament of Australia, Private Health Insurance (Medical Devices and Human Tissue Products) Rules (No. 1) </w:t>
      </w:r>
      <w:r w:rsidRPr="004A357C">
        <w:t xml:space="preserve">2024 </w:t>
      </w:r>
      <w:r w:rsidR="005D5C03" w:rsidRPr="004A357C">
        <w:t xml:space="preserve">[replacement explanatory statement], 4 October 2024. </w:t>
      </w:r>
      <w:r w:rsidRPr="004A357C">
        <w:t>https://www.aph.gov.au/Parliamentary_Business/Tabled_Documents/7627</w:t>
      </w:r>
    </w:p>
  </w:footnote>
  <w:footnote w:id="74">
    <w:p w14:paraId="397A9667" w14:textId="77FB69AB" w:rsidR="00014E11" w:rsidRPr="004A357C" w:rsidRDefault="00014E11">
      <w:r w:rsidRPr="004A357C">
        <w:rPr>
          <w:rStyle w:val="FootnoteReference"/>
        </w:rPr>
        <w:footnoteRef/>
      </w:r>
      <w:r w:rsidRPr="004A357C">
        <w:t xml:space="preserve"> </w:t>
      </w:r>
      <w:r w:rsidR="00B01FBC" w:rsidRPr="004A357C">
        <w:t xml:space="preserve">Department of Health, Disability and Ageing, PHI </w:t>
      </w:r>
      <w:r w:rsidR="00DD78C3" w:rsidRPr="004A357C">
        <w:t>30</w:t>
      </w:r>
      <w:r w:rsidR="00B01FBC" w:rsidRPr="004A357C">
        <w:t xml:space="preserve">/24 – </w:t>
      </w:r>
      <w:r w:rsidR="004745FB" w:rsidRPr="004A357C">
        <w:t>General use items on the Prescribed List</w:t>
      </w:r>
      <w:r w:rsidR="00B01FBC" w:rsidRPr="004A357C">
        <w:t xml:space="preserve">, </w:t>
      </w:r>
      <w:r w:rsidR="00DD78C3" w:rsidRPr="004A357C">
        <w:t>1 May</w:t>
      </w:r>
      <w:r w:rsidR="00B01FBC" w:rsidRPr="004A357C">
        <w:t xml:space="preserve"> 2024.</w:t>
      </w:r>
      <w:r w:rsidRPr="004A357C">
        <w:t xml:space="preserve"> </w:t>
      </w:r>
      <w:r w:rsidR="00813055" w:rsidRPr="004A357C">
        <w:t>https://www.health.gov.au/news/phi-circulars/phi-3024-general-use-items-on-the-prescribed-list</w:t>
      </w:r>
    </w:p>
  </w:footnote>
  <w:footnote w:id="75">
    <w:p w14:paraId="12CCBBC4" w14:textId="671EEA04" w:rsidR="00814FCB" w:rsidRPr="004A357C" w:rsidRDefault="00814FCB" w:rsidP="00814FCB">
      <w:r w:rsidRPr="004A357C">
        <w:rPr>
          <w:rStyle w:val="FootnoteReference"/>
        </w:rPr>
        <w:footnoteRef/>
      </w:r>
      <w:r w:rsidRPr="004A357C">
        <w:t xml:space="preserve"> Therapeutic Goods Administration, Guidance on boundary and combination products, 20</w:t>
      </w:r>
      <w:r w:rsidR="008E03E5" w:rsidRPr="004A357C">
        <w:t>2</w:t>
      </w:r>
      <w:r w:rsidRPr="004A357C">
        <w:t xml:space="preserve">3. </w:t>
      </w:r>
    </w:p>
  </w:footnote>
  <w:footnote w:id="76">
    <w:p w14:paraId="05CE59FA" w14:textId="200010CB" w:rsidR="003564ED" w:rsidRPr="004A357C" w:rsidRDefault="003564ED">
      <w:r w:rsidRPr="004A357C">
        <w:rPr>
          <w:rStyle w:val="FootnoteReference"/>
        </w:rPr>
        <w:footnoteRef/>
      </w:r>
      <w:r w:rsidRPr="004A357C">
        <w:t xml:space="preserve"> Department of Health, Disability and Ageing, PHI 41/25 – Regrouping of Part A of the Prescribed List, 12 May 2025. https://www.health.gov.au/news/phi-circulars/phi-4125-regrouping-of-part-a-of-the-prescribed-list</w:t>
      </w:r>
    </w:p>
  </w:footnote>
  <w:footnote w:id="77">
    <w:p w14:paraId="1E1CD20A" w14:textId="2A95E8EB" w:rsidR="00FE78BA" w:rsidRPr="004A357C" w:rsidRDefault="00FE78BA" w:rsidP="00FE78BA">
      <w:r w:rsidRPr="004A357C">
        <w:rPr>
          <w:rStyle w:val="FootnoteReference"/>
        </w:rPr>
        <w:footnoteRef/>
      </w:r>
      <w:r w:rsidRPr="004A357C">
        <w:t xml:space="preserve"> Department of Health</w:t>
      </w:r>
      <w:r w:rsidR="00F54F06" w:rsidRPr="004A357C">
        <w:t xml:space="preserve">, </w:t>
      </w:r>
      <w:r w:rsidR="00347155" w:rsidRPr="004A357C">
        <w:t>Disability</w:t>
      </w:r>
      <w:r w:rsidRPr="004A357C">
        <w:t xml:space="preserve"> and </w:t>
      </w:r>
      <w:r w:rsidR="00347155" w:rsidRPr="004A357C">
        <w:t>Ageing</w:t>
      </w:r>
      <w:r w:rsidRPr="004A357C">
        <w:t xml:space="preserve">, Prostheses List Compliance Strategy, 2022. </w:t>
      </w:r>
      <w:r w:rsidR="00F54F06" w:rsidRPr="004A357C">
        <w:t>https://consultations.health.gov.au/technology-assessment-access-division/prostheses-list-compliance-and-assurance-strategy.</w:t>
      </w:r>
    </w:p>
  </w:footnote>
  <w:footnote w:id="78">
    <w:p w14:paraId="52B28E1E" w14:textId="77777777" w:rsidR="00FE78BA" w:rsidRPr="004A357C" w:rsidRDefault="00FE78BA" w:rsidP="00FE78BA">
      <w:r w:rsidRPr="004A357C">
        <w:rPr>
          <w:rStyle w:val="FootnoteReference"/>
        </w:rPr>
        <w:footnoteRef/>
      </w:r>
      <w:r w:rsidRPr="004A357C">
        <w:t xml:space="preserve"> House of Representatives, Explanatory Memorandum, Private Health Insurance Legislation Amendment (Medical Device </w:t>
      </w:r>
      <w:proofErr w:type="gramStart"/>
      <w:r w:rsidRPr="004A357C">
        <w:t>And</w:t>
      </w:r>
      <w:proofErr w:type="gramEnd"/>
      <w:r w:rsidRPr="004A357C">
        <w:t xml:space="preserve"> Human Tissue Product List </w:t>
      </w:r>
      <w:proofErr w:type="gramStart"/>
      <w:r w:rsidRPr="004A357C">
        <w:t>And</w:t>
      </w:r>
      <w:proofErr w:type="gramEnd"/>
      <w:r w:rsidRPr="004A357C">
        <w:t xml:space="preserve"> Cost Recovery) Bill 2022, 2022.</w:t>
      </w:r>
    </w:p>
  </w:footnote>
  <w:footnote w:id="79">
    <w:p w14:paraId="4B48B698" w14:textId="5AC3A7BB" w:rsidR="00B5127B" w:rsidRDefault="00B5127B" w:rsidP="00B5127B">
      <w:r w:rsidRPr="001A3379">
        <w:rPr>
          <w:rStyle w:val="FootnoteReference"/>
        </w:rPr>
        <w:footnoteRef/>
      </w:r>
      <w:r w:rsidRPr="001A3379">
        <w:rPr>
          <w:rStyle w:val="FootnoteReference"/>
        </w:rPr>
        <w:t xml:space="preserve"> </w:t>
      </w:r>
      <w:r w:rsidR="009D21A5" w:rsidRPr="006B3951">
        <w:t>Department of Health, Prostheses List Reforms – Consultation Paper No 1, 2021.</w:t>
      </w:r>
    </w:p>
  </w:footnote>
  <w:footnote w:id="80">
    <w:p w14:paraId="2702EF7D" w14:textId="411AE33F" w:rsidR="00FE78BA" w:rsidRPr="004A357C" w:rsidRDefault="00FE78BA" w:rsidP="00FE78BA">
      <w:pPr>
        <w:rPr>
          <w:b/>
          <w:bCs/>
        </w:rPr>
      </w:pPr>
      <w:r w:rsidRPr="004A357C">
        <w:rPr>
          <w:rStyle w:val="FootnoteReference"/>
        </w:rPr>
        <w:footnoteRef/>
      </w:r>
      <w:r w:rsidRPr="004A357C">
        <w:t xml:space="preserve"> Response to stakeholder information request for evaluation, 2024.</w:t>
      </w:r>
    </w:p>
  </w:footnote>
  <w:footnote w:id="81">
    <w:p w14:paraId="237FDB35" w14:textId="77777777" w:rsidR="00E36776" w:rsidRPr="004A357C" w:rsidRDefault="00E36776" w:rsidP="00E36776">
      <w:r w:rsidRPr="004A357C">
        <w:rPr>
          <w:rStyle w:val="FootnoteReference"/>
        </w:rPr>
        <w:footnoteRef/>
      </w:r>
      <w:r w:rsidRPr="004A357C">
        <w:t xml:space="preserve"> Department of Health, Disability and Ageing, PHI 41/25 – Regrouping of Part A of the Prescribed List, 12 May 2025, https://www.health.gov.au/news/phi-circulars/phi-4125-regrouping-of-part-a-of-the-prescribed-list.  </w:t>
      </w:r>
    </w:p>
  </w:footnote>
  <w:footnote w:id="82">
    <w:p w14:paraId="52B687D3" w14:textId="77777777" w:rsidR="00F262C3" w:rsidRPr="004A357C" w:rsidRDefault="00F262C3" w:rsidP="00F262C3">
      <w:r w:rsidRPr="004A357C">
        <w:rPr>
          <w:rStyle w:val="FootnoteReference"/>
        </w:rPr>
        <w:footnoteRef/>
      </w:r>
      <w:r w:rsidRPr="004A357C">
        <w:t xml:space="preserve"> The Honourable Greg Hunt MP &amp; the Medical Technology Association of Australia Limited, Memorandum of Understanding for the policy parameters of the Prostheses List Reforms, 2022.</w:t>
      </w:r>
    </w:p>
  </w:footnote>
  <w:footnote w:id="83">
    <w:p w14:paraId="0C7292D8" w14:textId="551913EA" w:rsidR="003528E1" w:rsidRPr="004A357C" w:rsidRDefault="003528E1">
      <w:r w:rsidRPr="004A357C">
        <w:rPr>
          <w:rStyle w:val="FootnoteReference"/>
        </w:rPr>
        <w:footnoteRef/>
      </w:r>
      <w:r w:rsidRPr="004A357C">
        <w:t xml:space="preserve"> Department of Health, Disability and Ageing, PHI </w:t>
      </w:r>
      <w:r w:rsidR="00F0167B" w:rsidRPr="004A357C">
        <w:t>5</w:t>
      </w:r>
      <w:r w:rsidRPr="004A357C">
        <w:t>1/2</w:t>
      </w:r>
      <w:r w:rsidR="00F0167B" w:rsidRPr="004A357C">
        <w:t>3</w:t>
      </w:r>
      <w:r w:rsidRPr="004A357C">
        <w:t xml:space="preserve"> – Regrouping of Part A of the Prescribed List, </w:t>
      </w:r>
      <w:r w:rsidR="00F0167B" w:rsidRPr="004A357C">
        <w:t>26 July 2023</w:t>
      </w:r>
      <w:r w:rsidRPr="004A357C">
        <w:t xml:space="preserve">, </w:t>
      </w:r>
      <w:r w:rsidR="00F0167B" w:rsidRPr="004A357C">
        <w:t>https://www.health.gov.au/news/phi-circulars/phi-5123-regrouping-of-part-a-of-the-prescribed-list</w:t>
      </w:r>
    </w:p>
  </w:footnote>
  <w:footnote w:id="84">
    <w:p w14:paraId="2E8E5761" w14:textId="77777777" w:rsidR="00C86AB9" w:rsidRPr="004A357C" w:rsidRDefault="00C86AB9" w:rsidP="00C86AB9">
      <w:r w:rsidRPr="004A357C">
        <w:rPr>
          <w:rStyle w:val="FootnoteReference"/>
        </w:rPr>
        <w:footnoteRef/>
      </w:r>
      <w:r w:rsidRPr="004A357C">
        <w:t xml:space="preserve"> Department of Health, Disability and Ageing, PHI 41/25 – Regrouping of Part A of the Prescribed List, 12 May 2025. https://www.health.gov.au/news/phi-circulars/phi-4125-regrouping-of-part-a-of-the-prescribed-list</w:t>
      </w:r>
    </w:p>
  </w:footnote>
  <w:footnote w:id="85">
    <w:p w14:paraId="5ECC23DB" w14:textId="77777777" w:rsidR="00030A2D" w:rsidRDefault="00030A2D" w:rsidP="00030A2D">
      <w:r>
        <w:rPr>
          <w:rStyle w:val="FootnoteReference"/>
        </w:rPr>
        <w:footnoteRef/>
      </w:r>
      <w:r>
        <w:t xml:space="preserve"> Stakeholder consultation, 2024</w:t>
      </w:r>
      <w:r w:rsidRPr="002F26D0">
        <w:t>.</w:t>
      </w:r>
    </w:p>
  </w:footnote>
  <w:footnote w:id="86">
    <w:p w14:paraId="7FC5ED6F" w14:textId="77777777" w:rsidR="00861972" w:rsidRDefault="00861972" w:rsidP="00861972">
      <w:r>
        <w:rPr>
          <w:rStyle w:val="FootnoteReference"/>
        </w:rPr>
        <w:footnoteRef/>
      </w:r>
      <w:r>
        <w:t xml:space="preserve"> Ernst &amp; Young, Review of the General Miscellaneous Category of the Prostheses List, 2020.</w:t>
      </w:r>
    </w:p>
  </w:footnote>
  <w:footnote w:id="87">
    <w:p w14:paraId="79918CFC" w14:textId="1D4D424F" w:rsidR="00035A36" w:rsidRDefault="00035A36" w:rsidP="00035A36">
      <w:r w:rsidRPr="00C6098C">
        <w:rPr>
          <w:rStyle w:val="FootnoteReference"/>
        </w:rPr>
        <w:footnoteRef/>
      </w:r>
      <w:r w:rsidRPr="00C6098C">
        <w:t xml:space="preserve"> We have taken a broader view of the baseline period for GUIs, noting their potential removal was the subject of consultations and reports prior to the announcement of the PL reforms </w:t>
      </w:r>
      <w:proofErr w:type="gramStart"/>
      <w:r w:rsidRPr="00C6098C">
        <w:t>in</w:t>
      </w:r>
      <w:proofErr w:type="gramEnd"/>
      <w:r w:rsidRPr="00C6098C">
        <w:t xml:space="preserve"> 11 May 2021, and these continued into 2022. Notwithstanding further changes that were to come, the </w:t>
      </w:r>
      <w:r w:rsidR="003477DE">
        <w:t>MOU</w:t>
      </w:r>
      <w:r w:rsidRPr="00C6098C">
        <w:t xml:space="preserve"> between the Minister and the MTAA in March 2022 formalised an agreed process for how GUIs were to </w:t>
      </w:r>
      <w:r>
        <w:t xml:space="preserve">be </w:t>
      </w:r>
      <w:r w:rsidRPr="00C6098C">
        <w:t>treated as part of the reform agenda</w:t>
      </w:r>
      <w:r w:rsidR="00D70DCB">
        <w:t>.</w:t>
      </w:r>
    </w:p>
  </w:footnote>
  <w:footnote w:id="88">
    <w:p w14:paraId="6EC955AB" w14:textId="28CDC8ED" w:rsidR="003564ED" w:rsidRPr="004A357C" w:rsidRDefault="003564ED">
      <w:r w:rsidRPr="004A357C">
        <w:rPr>
          <w:rStyle w:val="FootnoteReference"/>
        </w:rPr>
        <w:footnoteRef/>
      </w:r>
      <w:r w:rsidRPr="004A357C">
        <w:t xml:space="preserve"> The Hon Mark Butler MP, Ensuring lower surgery costs and continued access to healthcare through general use items, 1 May 2024. https://www.health.gov.au/ministers/the-hon-mark-butler-mp/media/ensuring-lower-surgery-costs-and-continued-access-to-healthcare-through-general-use-items</w:t>
      </w:r>
    </w:p>
  </w:footnote>
  <w:footnote w:id="89">
    <w:p w14:paraId="3416232C" w14:textId="19585344" w:rsidR="003564ED" w:rsidRPr="004A357C" w:rsidRDefault="003564ED">
      <w:r w:rsidRPr="004A357C">
        <w:rPr>
          <w:rStyle w:val="FootnoteReference"/>
        </w:rPr>
        <w:footnoteRef/>
      </w:r>
      <w:r w:rsidRPr="004A357C">
        <w:t xml:space="preserve"> Department of Health, Disability and Ageing, PHI 71/24 – Removal of medicines and accessories to medicines from the Prescribed List, 11 October 2024. https://www.health.gov.au/news/phi-circulars/phi-7224-removal-of-medicines-and-accessories-to-medicines-from-the-prescribed-list</w:t>
      </w:r>
    </w:p>
  </w:footnote>
  <w:footnote w:id="90">
    <w:p w14:paraId="0F9F6D12" w14:textId="77777777" w:rsidR="00675700" w:rsidRPr="004A357C" w:rsidRDefault="00675700" w:rsidP="00675700">
      <w:r w:rsidRPr="004A357C">
        <w:rPr>
          <w:rStyle w:val="FootnoteReference"/>
        </w:rPr>
        <w:footnoteRef/>
      </w:r>
      <w:r w:rsidRPr="004A357C">
        <w:t xml:space="preserve"> Department of Health, Disability and Ageing, Historical background of the 2021-2025 Prostheses List reform, 18 March 2022. https://www.health.gov.au/resources/publications/historical-background-of-the-prostheses-list-reform-2021-2025?language=en.</w:t>
      </w:r>
    </w:p>
  </w:footnote>
  <w:footnote w:id="91">
    <w:p w14:paraId="43E26324" w14:textId="77777777" w:rsidR="00C90997" w:rsidRPr="004A357C" w:rsidRDefault="00C90997" w:rsidP="00C90997">
      <w:r w:rsidRPr="004A357C">
        <w:rPr>
          <w:rStyle w:val="FootnoteReference"/>
        </w:rPr>
        <w:footnoteRef/>
      </w:r>
      <w:r w:rsidRPr="004A357C">
        <w:t xml:space="preserve"> IHACPA, Consultation Paper on Bundling Arrangements for the General Use Items on the Prostheses List, 2022. </w:t>
      </w:r>
    </w:p>
  </w:footnote>
  <w:footnote w:id="92">
    <w:p w14:paraId="77C2A057" w14:textId="456FF631" w:rsidR="00DC6A53" w:rsidRPr="004A357C" w:rsidRDefault="00DC6A53">
      <w:r w:rsidRPr="004A357C">
        <w:rPr>
          <w:rStyle w:val="FootnoteReference"/>
        </w:rPr>
        <w:footnoteRef/>
      </w:r>
      <w:r w:rsidRPr="004A357C">
        <w:t xml:space="preserve"> Department of Health, Disability and Ageing, Hospital </w:t>
      </w:r>
      <w:proofErr w:type="spellStart"/>
      <w:r w:rsidRPr="004A357C">
        <w:t>Casemix</w:t>
      </w:r>
      <w:proofErr w:type="spellEnd"/>
      <w:r w:rsidRPr="004A357C">
        <w:t xml:space="preserve"> Protocol Dataset, 2025.</w:t>
      </w:r>
    </w:p>
  </w:footnote>
  <w:footnote w:id="93">
    <w:p w14:paraId="3854974B" w14:textId="14DA0A05" w:rsidR="00DC6A53" w:rsidRPr="004A357C" w:rsidRDefault="00DC6A53">
      <w:r w:rsidRPr="004A357C">
        <w:rPr>
          <w:rStyle w:val="FootnoteReference"/>
        </w:rPr>
        <w:footnoteRef/>
      </w:r>
      <w:r w:rsidRPr="004A357C">
        <w:t xml:space="preserve"> GUI population is based on item codes listed in Part D on the August 2024 PL. Benefits used in calculations are from the PL update at the start of the period (e.g. July 2020 update for FY21). </w:t>
      </w:r>
      <w:r w:rsidR="000548B1">
        <w:t xml:space="preserve">Items without all four years of benefit levels were removed from the analysis. </w:t>
      </w:r>
      <w:r w:rsidR="00E356F0" w:rsidRPr="004A357C">
        <w:t xml:space="preserve">Value is calculated as utilisation * PL benefit; weighted average benefit </w:t>
      </w:r>
      <w:r w:rsidR="0068708F" w:rsidRPr="004A357C">
        <w:t>is calculated as total value / total utilisation.</w:t>
      </w:r>
    </w:p>
  </w:footnote>
  <w:footnote w:id="94">
    <w:p w14:paraId="6E28A7D8" w14:textId="77777777" w:rsidR="005016E7" w:rsidRPr="004A357C" w:rsidRDefault="005016E7" w:rsidP="005016E7">
      <w:r w:rsidRPr="004A357C">
        <w:rPr>
          <w:rStyle w:val="FootnoteReference"/>
        </w:rPr>
        <w:footnoteRef/>
      </w:r>
      <w:r w:rsidRPr="004A357C">
        <w:t xml:space="preserve"> Response to stakeholder information request for the evaluation, 2024.</w:t>
      </w:r>
    </w:p>
  </w:footnote>
  <w:footnote w:id="95">
    <w:p w14:paraId="4CEBD5F2" w14:textId="445B8756" w:rsidR="0003052B" w:rsidRPr="004A357C" w:rsidRDefault="0003052B" w:rsidP="0003052B">
      <w:r w:rsidRPr="004A357C">
        <w:rPr>
          <w:rStyle w:val="FootnoteReference"/>
        </w:rPr>
        <w:footnoteRef/>
      </w:r>
      <w:r w:rsidRPr="004A357C">
        <w:t xml:space="preserve"> Department of Health</w:t>
      </w:r>
      <w:r w:rsidR="00282598" w:rsidRPr="004A357C">
        <w:t>, Disability</w:t>
      </w:r>
      <w:r w:rsidRPr="004A357C">
        <w:t xml:space="preserve"> and Aged Care, Prostheses List Reforms - Consultation Paper 3 - A modernised fit-for-purpose listing process, </w:t>
      </w:r>
      <w:r w:rsidR="001633FB" w:rsidRPr="004A357C">
        <w:t xml:space="preserve">14 January </w:t>
      </w:r>
      <w:r w:rsidRPr="004A357C">
        <w:t>2022.</w:t>
      </w:r>
    </w:p>
  </w:footnote>
  <w:footnote w:id="96">
    <w:p w14:paraId="1C0BA1B6" w14:textId="154A900F" w:rsidR="00574305" w:rsidRPr="004A357C" w:rsidRDefault="00574305">
      <w:r w:rsidRPr="004A357C">
        <w:rPr>
          <w:rStyle w:val="FootnoteReference"/>
        </w:rPr>
        <w:footnoteRef/>
      </w:r>
      <w:r w:rsidRPr="004A357C">
        <w:t xml:space="preserve"> Department of Health, Disability and Ageing, Prescribed List of Medical Devices and Human Tissue Products Guide – Draft, 21 December 2023. https://www.health.gov.au/resources/publications/prescribed-list-of-medical-devices-and-human-tissue-products-guide-draft?language=en.</w:t>
      </w:r>
    </w:p>
  </w:footnote>
  <w:footnote w:id="97">
    <w:p w14:paraId="38C94690" w14:textId="77777777" w:rsidR="0053131F" w:rsidRPr="004A357C" w:rsidRDefault="0053131F" w:rsidP="0053131F">
      <w:r w:rsidRPr="004A357C">
        <w:rPr>
          <w:rStyle w:val="FootnoteReference"/>
        </w:rPr>
        <w:footnoteRef/>
      </w:r>
      <w:r w:rsidRPr="004A357C">
        <w:t xml:space="preserve"> Department of Health, Disability and Ageing, Prescribed List Application Training, 27 November 2023. https://www.health.gov.au/resources/publications/prescribed-list-application-training?language=en.</w:t>
      </w:r>
    </w:p>
  </w:footnote>
  <w:footnote w:id="98">
    <w:p w14:paraId="77661AE1" w14:textId="4BA6521C" w:rsidR="005C15A9" w:rsidRPr="004A357C" w:rsidRDefault="005C15A9">
      <w:r w:rsidRPr="004A357C">
        <w:rPr>
          <w:rStyle w:val="FootnoteReference"/>
        </w:rPr>
        <w:footnoteRef/>
      </w:r>
      <w:r w:rsidRPr="004A357C">
        <w:t xml:space="preserve"> HPP applications data. Applications to delist</w:t>
      </w:r>
      <w:r w:rsidR="00D02198">
        <w:t xml:space="preserve"> or</w:t>
      </w:r>
      <w:r w:rsidRPr="004A357C">
        <w:t xml:space="preserve"> transfer </w:t>
      </w:r>
      <w:r w:rsidR="00D02198">
        <w:t>are</w:t>
      </w:r>
      <w:r w:rsidRPr="004A357C">
        <w:t xml:space="preserve"> not included.</w:t>
      </w:r>
    </w:p>
  </w:footnote>
  <w:footnote w:id="99">
    <w:p w14:paraId="396CD470" w14:textId="1BCE6EC4" w:rsidR="005C15A9" w:rsidRPr="004A357C" w:rsidRDefault="005C15A9">
      <w:r w:rsidRPr="004A357C">
        <w:rPr>
          <w:rStyle w:val="FootnoteReference"/>
        </w:rPr>
        <w:footnoteRef/>
      </w:r>
      <w:r w:rsidRPr="004A357C">
        <w:t xml:space="preserve"> Ibid.</w:t>
      </w:r>
    </w:p>
  </w:footnote>
  <w:footnote w:id="100">
    <w:p w14:paraId="35015A94" w14:textId="510BBD8F" w:rsidR="00C225EA" w:rsidRDefault="00C225EA">
      <w:r>
        <w:rPr>
          <w:rStyle w:val="FootnoteReference"/>
        </w:rPr>
        <w:footnoteRef/>
      </w:r>
      <w:r>
        <w:t xml:space="preserve"> Ibid.</w:t>
      </w:r>
    </w:p>
  </w:footnote>
  <w:footnote w:id="101">
    <w:p w14:paraId="11D70539" w14:textId="77777777" w:rsidR="00797821" w:rsidRPr="004A357C" w:rsidRDefault="00797821" w:rsidP="00797821">
      <w:r w:rsidRPr="004A357C">
        <w:rPr>
          <w:rStyle w:val="FootnoteReference"/>
        </w:rPr>
        <w:footnoteRef/>
      </w:r>
      <w:r w:rsidRPr="004A357C">
        <w:t xml:space="preserve"> Department of Health and Ageing, Review of health technology assessment in Australia, 2009.</w:t>
      </w:r>
    </w:p>
  </w:footnote>
  <w:footnote w:id="102">
    <w:p w14:paraId="71BAB707" w14:textId="77777777" w:rsidR="00D24F90" w:rsidRPr="00B44334" w:rsidRDefault="00D24F90" w:rsidP="00D24F90">
      <w:r w:rsidRPr="00B44334">
        <w:rPr>
          <w:rStyle w:val="FootnoteReference"/>
        </w:rPr>
        <w:footnoteRef/>
      </w:r>
      <w:r w:rsidRPr="00B44334">
        <w:t xml:space="preserve"> Department of Health and Aged Care, The Prostheses List reforms, https://www.health.gov.au/topics/private-health-insurance/the-prostheses-list/the-prostheses-list-reforms, accessed 14 February 2024.</w:t>
      </w:r>
    </w:p>
  </w:footnote>
  <w:footnote w:id="103">
    <w:p w14:paraId="7F2151AA" w14:textId="18BC2276" w:rsidR="000C655E" w:rsidRPr="004A357C" w:rsidRDefault="000C655E">
      <w:r w:rsidRPr="004A357C">
        <w:rPr>
          <w:rStyle w:val="FootnoteReference"/>
        </w:rPr>
        <w:footnoteRef/>
      </w:r>
      <w:r w:rsidRPr="004A357C">
        <w:t xml:space="preserve"> </w:t>
      </w:r>
      <w:r w:rsidR="008D583C" w:rsidRPr="004A357C">
        <w:t>Department of Health, Disability and Ageing, Prescribed List post-listing review framework, 12 December 2024.</w:t>
      </w:r>
      <w:r w:rsidRPr="004A357C">
        <w:t xml:space="preserve"> https://www.health.gov.au/resources/publications/prescribed-list-post-listing-review-framework?language=en</w:t>
      </w:r>
      <w:r w:rsidR="008D583C" w:rsidRPr="004A357C">
        <w:t>.</w:t>
      </w:r>
    </w:p>
  </w:footnote>
  <w:footnote w:id="104">
    <w:p w14:paraId="567C3335" w14:textId="7D7129CF" w:rsidR="000464D0" w:rsidRPr="004A357C" w:rsidRDefault="000464D0" w:rsidP="000464D0">
      <w:r w:rsidRPr="004A357C">
        <w:rPr>
          <w:rStyle w:val="FootnoteReference"/>
        </w:rPr>
        <w:footnoteRef/>
      </w:r>
      <w:r w:rsidRPr="004A357C">
        <w:t xml:space="preserve"> </w:t>
      </w:r>
      <w:r w:rsidR="00185D56" w:rsidRPr="004A357C">
        <w:t>Department of Health, Disability and Ageing, Metal-backed patellae – Prescribed List post-listing review, 5 July 2024. https://www.health.gov.au/our-work/metal-backed-patellae-prescribed-list-post-listing-review</w:t>
      </w:r>
    </w:p>
  </w:footnote>
  <w:footnote w:id="105">
    <w:p w14:paraId="75C54B6C" w14:textId="0F4602B0" w:rsidR="000464D0" w:rsidRPr="004A357C" w:rsidRDefault="000464D0" w:rsidP="000464D0">
      <w:r w:rsidRPr="004A357C">
        <w:rPr>
          <w:rStyle w:val="FootnoteReference"/>
        </w:rPr>
        <w:footnoteRef/>
      </w:r>
      <w:r w:rsidRPr="004A357C">
        <w:t xml:space="preserve"> </w:t>
      </w:r>
      <w:r w:rsidR="001D0C2B" w:rsidRPr="004A357C">
        <w:t xml:space="preserve">Department of Health, Disability and Ageing, Surgical guides and </w:t>
      </w:r>
      <w:proofErr w:type="spellStart"/>
      <w:r w:rsidR="001D0C2B" w:rsidRPr="004A357C">
        <w:t>biomodels</w:t>
      </w:r>
      <w:proofErr w:type="spellEnd"/>
      <w:r w:rsidR="001D0C2B" w:rsidRPr="004A357C">
        <w:t xml:space="preserve"> – Prescribed List post-listing review, 23 June 2025.</w:t>
      </w:r>
      <w:r w:rsidRPr="004A357C">
        <w:t xml:space="preserve"> https://www.health.gov.au/our-work/surgical-guides-and-biomodels-prescribed-list-post-listing-review</w:t>
      </w:r>
    </w:p>
  </w:footnote>
  <w:footnote w:id="106">
    <w:p w14:paraId="3786F220" w14:textId="77777777" w:rsidR="00912D6C" w:rsidRPr="004A357C" w:rsidRDefault="00912D6C" w:rsidP="00912D6C">
      <w:r w:rsidRPr="004A357C">
        <w:rPr>
          <w:rStyle w:val="FootnoteReference"/>
        </w:rPr>
        <w:footnoteRef/>
      </w:r>
      <w:r w:rsidRPr="004A357C">
        <w:t xml:space="preserve"> Department of Health, Disability and Ageing, PHI 74/23 – Prescribed List – Private Health Insurance (Medical Devices and Human Tissue Products) Amendment Rules (No. 2) 2023, 13 November 2023. https://www.health.gov.au/news/phi-circulars/phi-7423-prescribed-list-private-health-insurance-medical-devices-and-human-tissue-products-amendment-rules-no-2-2023</w:t>
      </w:r>
    </w:p>
  </w:footnote>
  <w:footnote w:id="107">
    <w:p w14:paraId="7EB34A29" w14:textId="374B3CE4" w:rsidR="009F0214" w:rsidRDefault="009F0214" w:rsidP="009F0214">
      <w:r>
        <w:rPr>
          <w:rStyle w:val="FootnoteReference"/>
        </w:rPr>
        <w:footnoteRef/>
      </w:r>
      <w:r>
        <w:t xml:space="preserve"> </w:t>
      </w:r>
      <w:r w:rsidRPr="004A357C">
        <w:t xml:space="preserve">Department of Health, Disability and Ageing, </w:t>
      </w:r>
      <w:r>
        <w:t xml:space="preserve">Surgical guides and </w:t>
      </w:r>
      <w:proofErr w:type="spellStart"/>
      <w:r>
        <w:t>biomodels</w:t>
      </w:r>
      <w:proofErr w:type="spellEnd"/>
      <w:r>
        <w:t xml:space="preserve"> post</w:t>
      </w:r>
      <w:r w:rsidR="00B13A7D">
        <w:t xml:space="preserve"> </w:t>
      </w:r>
      <w:r>
        <w:t>listing review</w:t>
      </w:r>
      <w:r w:rsidRPr="004A357C">
        <w:t xml:space="preserve">, </w:t>
      </w:r>
      <w:r>
        <w:t>Department report – DRAFT May 2026</w:t>
      </w:r>
      <w:r w:rsidRPr="004A357C">
        <w:t xml:space="preserve">. </w:t>
      </w:r>
      <w:r w:rsidR="0020084C">
        <w:t xml:space="preserve">Accessed 6 June 2026. </w:t>
      </w:r>
      <w:r w:rsidR="0020084C" w:rsidRPr="0020084C">
        <w:t>https://www.health.gov.au/sites/default/files/2026-05/surgical-guides-and-biomodels-post-listing-review---draft-report.pdf</w:t>
      </w:r>
    </w:p>
  </w:footnote>
  <w:footnote w:id="108">
    <w:p w14:paraId="5CCAE986" w14:textId="3022A9A6" w:rsidR="000464D0" w:rsidRPr="004A357C" w:rsidRDefault="000464D0" w:rsidP="000464D0">
      <w:r w:rsidRPr="004A357C">
        <w:rPr>
          <w:rStyle w:val="FootnoteReference"/>
        </w:rPr>
        <w:footnoteRef/>
      </w:r>
      <w:r w:rsidRPr="004A357C">
        <w:t xml:space="preserve"> </w:t>
      </w:r>
      <w:r w:rsidR="006C0468" w:rsidRPr="004A357C">
        <w:t>Department of Health, Disability and Ageing, Spinal cord stimulators – Prescribed List post-listing review, 14 March 2025</w:t>
      </w:r>
      <w:r w:rsidR="0061452A">
        <w:t>.</w:t>
      </w:r>
      <w:r w:rsidR="00244897" w:rsidRPr="004A357C">
        <w:t xml:space="preserve"> https://www.health.gov.au/our-work/spinal-cord-stimulators-prescribed-list-post-listing-review</w:t>
      </w:r>
    </w:p>
  </w:footnote>
  <w:footnote w:id="109">
    <w:p w14:paraId="47F3AAC9" w14:textId="76B30F41" w:rsidR="00CF507E" w:rsidRDefault="00CF507E">
      <w:r>
        <w:rPr>
          <w:rStyle w:val="FootnoteReference"/>
        </w:rPr>
        <w:footnoteRef/>
      </w:r>
      <w:r>
        <w:t xml:space="preserve"> </w:t>
      </w:r>
      <w:r w:rsidRPr="00CF507E">
        <w:t>Department of Health, Disability and Ageing, PHI 09/26 Spinal Cord Stimulator post-listing review impact assessment, 16 February 2026</w:t>
      </w:r>
      <w:r w:rsidR="003A26E4">
        <w:t xml:space="preserve">. </w:t>
      </w:r>
      <w:r w:rsidRPr="00CF507E">
        <w:t>https://www.health.gov.au/news/phi-circulars/phi-0926-spinal-cord-stimulator-post-listing-review-impact-assessment</w:t>
      </w:r>
    </w:p>
  </w:footnote>
  <w:footnote w:id="110">
    <w:p w14:paraId="6F6D93E4" w14:textId="08FA3027" w:rsidR="000464D0" w:rsidRPr="004A357C" w:rsidRDefault="000464D0" w:rsidP="000464D0">
      <w:r w:rsidRPr="004A357C">
        <w:rPr>
          <w:rStyle w:val="FootnoteReference"/>
        </w:rPr>
        <w:footnoteRef/>
      </w:r>
      <w:r w:rsidRPr="004A357C">
        <w:t xml:space="preserve"> </w:t>
      </w:r>
      <w:r w:rsidR="00213A34" w:rsidRPr="004A357C">
        <w:t xml:space="preserve">Department of Health, Disability and Ageing, </w:t>
      </w:r>
      <w:proofErr w:type="spellStart"/>
      <w:r w:rsidR="00213A34" w:rsidRPr="004A357C">
        <w:t>Urogynaecological</w:t>
      </w:r>
      <w:proofErr w:type="spellEnd"/>
      <w:r w:rsidR="00213A34" w:rsidRPr="004A357C">
        <w:t xml:space="preserve"> mesh devices (mid-urethral slings) – Prescribed List post-listing review, 5 July 2024. https://www.health.gov.au/our-work/urogynaecological-mesh-devices-mid-urethral-slings-prescribed-list-post-listing-review</w:t>
      </w:r>
    </w:p>
  </w:footnote>
  <w:footnote w:id="111">
    <w:p w14:paraId="6B80404F" w14:textId="77777777" w:rsidR="00B62607" w:rsidRDefault="00B62607" w:rsidP="00B62607">
      <w:r>
        <w:rPr>
          <w:rStyle w:val="FootnoteReference"/>
        </w:rPr>
        <w:footnoteRef/>
      </w:r>
      <w:r>
        <w:t xml:space="preserve"> Department of Health and Aged Care, The Prescribed List of Medical Devices and Human Tissue Products Guide (Draft), 2023.</w:t>
      </w:r>
    </w:p>
  </w:footnote>
  <w:footnote w:id="112">
    <w:p w14:paraId="447C14DE" w14:textId="77777777" w:rsidR="00424442" w:rsidRPr="004A357C" w:rsidRDefault="00424442" w:rsidP="00424442">
      <w:r w:rsidRPr="004A357C">
        <w:rPr>
          <w:rStyle w:val="FootnoteReference"/>
        </w:rPr>
        <w:footnoteRef/>
      </w:r>
      <w:r w:rsidRPr="004A357C">
        <w:t xml:space="preserve"> Department of Health, Disability and Ageing, PHI 12/24 – Updates to the 2024-35 Prescribed List CRIS and cost recovery levy, 10 February 2025. https://www.health.gov.au/news/phi-circulars/phi-1225-updates-to-the-2024-25-prescribed-list-cris-and-cost-recovery-levy.</w:t>
      </w:r>
    </w:p>
  </w:footnote>
  <w:footnote w:id="113">
    <w:p w14:paraId="03DEEC35" w14:textId="77777777" w:rsidR="00424442" w:rsidRPr="004A357C" w:rsidRDefault="00424442" w:rsidP="00424442">
      <w:r w:rsidRPr="004A357C">
        <w:rPr>
          <w:rStyle w:val="FootnoteReference"/>
        </w:rPr>
        <w:footnoteRef/>
      </w:r>
      <w:r w:rsidRPr="004A357C">
        <w:t xml:space="preserve"> Department of Health, Disability and Ageing, Cost Recovery Implementation Statement Administration of the Prescribed List of Medical Devices and Human Tissue Products 1 July 2025 to 30 June 2026 Version 1.1, 2025. https://www.health.gov.au/sites/default/files/2025-07/cost-recovery-implementation-statement-administration-of-the-prescribed-list-of-medical-devices-and-human-tissue-products.pdf</w:t>
      </w:r>
    </w:p>
  </w:footnote>
  <w:footnote w:id="114">
    <w:p w14:paraId="008ADB78" w14:textId="59BE007B" w:rsidR="00FC4A7C" w:rsidRPr="009F7459" w:rsidRDefault="00FC4A7C" w:rsidP="00FC4A7C">
      <w:r>
        <w:rPr>
          <w:rStyle w:val="FootnoteReference"/>
        </w:rPr>
        <w:footnoteRef/>
      </w:r>
      <w:r>
        <w:t xml:space="preserve"> </w:t>
      </w:r>
      <w:r w:rsidR="009F7459" w:rsidRPr="009F7459">
        <w:t xml:space="preserve">Australia Medical Association, AMA submission on the surgical guides and </w:t>
      </w:r>
      <w:proofErr w:type="spellStart"/>
      <w:r w:rsidR="009F7459" w:rsidRPr="009F7459">
        <w:t>biomodels</w:t>
      </w:r>
      <w:proofErr w:type="spellEnd"/>
      <w:r w:rsidR="009F7459" w:rsidRPr="009F7459">
        <w:t xml:space="preserve"> post-listing review Stage 2 draft report, 3 April 2025. https://www.ama.com.au/articles/ama-submission-surgical-guides-and-biomodels-post-listing-review-stage-2-draft-report</w:t>
      </w:r>
      <w:r w:rsidRPr="009F7459">
        <w:t xml:space="preserve"> </w:t>
      </w:r>
    </w:p>
  </w:footnote>
  <w:footnote w:id="115">
    <w:p w14:paraId="334FDEE3" w14:textId="65DA2045" w:rsidR="000463F1" w:rsidRPr="005E2AE3" w:rsidRDefault="000463F1" w:rsidP="000463F1">
      <w:r w:rsidRPr="009F7459">
        <w:rPr>
          <w:rStyle w:val="FootnoteReference"/>
        </w:rPr>
        <w:footnoteRef/>
      </w:r>
      <w:r w:rsidRPr="009F7459">
        <w:t xml:space="preserve"> </w:t>
      </w:r>
      <w:r w:rsidR="009F7459">
        <w:t>Ibid.</w:t>
      </w:r>
    </w:p>
  </w:footnote>
  <w:footnote w:id="116">
    <w:p w14:paraId="174830E5" w14:textId="33B6DC9F" w:rsidR="00F64072" w:rsidRPr="004A357C" w:rsidRDefault="00F64072">
      <w:r w:rsidRPr="004A357C">
        <w:rPr>
          <w:rStyle w:val="FootnoteReference"/>
        </w:rPr>
        <w:footnoteRef/>
      </w:r>
      <w:r w:rsidRPr="004A357C">
        <w:t xml:space="preserve"> Department of Health, Disability and Ageing, Prescribed List post-listing review framework, 12 December 2024. https://www.health.gov.au/resources/publications/prescribed-list-post-listing-review-framework?language=en.</w:t>
      </w:r>
    </w:p>
  </w:footnote>
  <w:footnote w:id="117">
    <w:p w14:paraId="023A68A8" w14:textId="77777777" w:rsidR="00143C97" w:rsidRDefault="00143C97" w:rsidP="00143C97">
      <w:r>
        <w:rPr>
          <w:rStyle w:val="FootnoteReference"/>
        </w:rPr>
        <w:footnoteRef/>
      </w:r>
      <w:r>
        <w:t xml:space="preserve"> </w:t>
      </w:r>
      <w:r w:rsidRPr="007231AE">
        <w:t>Department of Health, Disability and Ageing, The Prescribed List Post-</w:t>
      </w:r>
      <w:proofErr w:type="gramStart"/>
      <w:r w:rsidRPr="007231AE">
        <w:t>listing</w:t>
      </w:r>
      <w:proofErr w:type="gramEnd"/>
      <w:r w:rsidRPr="007231AE">
        <w:t xml:space="preserve"> Review Framework, January 2026</w:t>
      </w:r>
      <w:r>
        <w:t xml:space="preserve">. </w:t>
      </w:r>
      <w:r w:rsidRPr="00863300">
        <w:t>https://www.health.gov.au/sites/default/files/2026-01/prescribed-list-post-listing-review-framework.pdf</w:t>
      </w:r>
    </w:p>
  </w:footnote>
  <w:footnote w:id="118">
    <w:p w14:paraId="0D948932" w14:textId="62AB7C69" w:rsidR="006D02D4" w:rsidRDefault="006D02D4" w:rsidP="006D02D4">
      <w:r>
        <w:rPr>
          <w:rStyle w:val="FootnoteReference"/>
        </w:rPr>
        <w:footnoteRef/>
      </w:r>
      <w:r>
        <w:t xml:space="preserve"> Department </w:t>
      </w:r>
      <w:r w:rsidRPr="00D977A9">
        <w:t xml:space="preserve">of Health and Aged Care, </w:t>
      </w:r>
      <w:r>
        <w:t>Pr</w:t>
      </w:r>
      <w:r w:rsidR="004A0010">
        <w:t>escribed</w:t>
      </w:r>
      <w:r>
        <w:t xml:space="preserve"> List Compliance Strategy, 2023. </w:t>
      </w:r>
    </w:p>
  </w:footnote>
  <w:footnote w:id="119">
    <w:p w14:paraId="6076FDF8" w14:textId="77777777" w:rsidR="004F0654" w:rsidRDefault="004F0654" w:rsidP="004F0654">
      <w:r>
        <w:rPr>
          <w:rStyle w:val="FootnoteReference"/>
        </w:rPr>
        <w:footnoteRef/>
      </w:r>
      <w:r>
        <w:t xml:space="preserve"> </w:t>
      </w:r>
      <w:r w:rsidRPr="004A357C">
        <w:t>Department of Health, Disability and Ageing</w:t>
      </w:r>
      <w:r>
        <w:t xml:space="preserve">, Consultation Paper 7 – </w:t>
      </w:r>
      <w:r w:rsidRPr="00EC780E">
        <w:t>Proposed measures for compliance, assurance and information sharing</w:t>
      </w:r>
      <w:r>
        <w:t xml:space="preserve">, September 2024. </w:t>
      </w:r>
      <w:r w:rsidRPr="004F0654">
        <w:t>https://www.health.gov.au/resources/publications/consultation-paper-7-proposed-measures-for-compliance-assurance-and-information-sharing</w:t>
      </w:r>
    </w:p>
  </w:footnote>
  <w:footnote w:id="120">
    <w:p w14:paraId="581B0696" w14:textId="77777777" w:rsidR="00A25DE1" w:rsidRDefault="00A25DE1" w:rsidP="00A25DE1">
      <w:r>
        <w:rPr>
          <w:rStyle w:val="FootnoteReference"/>
        </w:rPr>
        <w:footnoteRef/>
      </w:r>
      <w:r>
        <w:t xml:space="preserve"> Department of Health, Disability and Ageing, </w:t>
      </w:r>
      <w:r w:rsidRPr="00A25DE1">
        <w:t>Consultation Paper 8a – Gifts, benefits and discounts reporting requirement</w:t>
      </w:r>
      <w:r>
        <w:t xml:space="preserve">, September 2024. </w:t>
      </w:r>
      <w:r w:rsidRPr="00A25DE1">
        <w:t>https://www.health.gov.au/resources/publications/consultation-paper-8a-gifts-benefits-and-discounts-reporting-requirement</w:t>
      </w:r>
    </w:p>
  </w:footnote>
  <w:footnote w:id="121">
    <w:p w14:paraId="7A258FD0" w14:textId="77777777" w:rsidR="00515F19" w:rsidRDefault="00515F19" w:rsidP="00515F19">
      <w:r>
        <w:rPr>
          <w:rStyle w:val="FootnoteReference"/>
        </w:rPr>
        <w:footnoteRef/>
      </w:r>
      <w:r>
        <w:t xml:space="preserve"> Department of Health, Disability and Ageing, Consultation Paper 8b – Alignment of amount charged for supply of a device with corresponding PL benefit, September 2024. </w:t>
      </w:r>
      <w:r w:rsidRPr="00A20F29">
        <w:t>https://www.health.gov.au/resources/publications/consultation-paper-8b-alignment-of-amount-charged-for-supply-of-a-device-with-corresponding-pl-benefit</w:t>
      </w:r>
    </w:p>
  </w:footnote>
  <w:footnote w:id="122">
    <w:p w14:paraId="00002A4B" w14:textId="05026099" w:rsidR="00CD47C8" w:rsidRPr="004A357C" w:rsidRDefault="00CD47C8">
      <w:r w:rsidRPr="004A357C">
        <w:rPr>
          <w:rStyle w:val="FootnoteReference"/>
        </w:rPr>
        <w:footnoteRef/>
      </w:r>
      <w:r w:rsidRPr="004A357C">
        <w:t xml:space="preserve"> </w:t>
      </w:r>
      <w:r w:rsidR="00177AC4" w:rsidRPr="004A357C">
        <w:t>Department of Health, Disability and Ageing, PHI 05/25 – Outcome of Consultation Papers 8a and 8b, 9 January 2025.</w:t>
      </w:r>
      <w:r w:rsidRPr="004A357C">
        <w:t xml:space="preserve"> https://www.health.gov.au/news/phi-circulars/phi-0525-outcome-of-consultation-papers-8a-and-8b</w:t>
      </w:r>
    </w:p>
  </w:footnote>
  <w:footnote w:id="123">
    <w:p w14:paraId="5CB0083F" w14:textId="31618399" w:rsidR="006E5FE3" w:rsidRDefault="006E5FE3">
      <w:r>
        <w:rPr>
          <w:rStyle w:val="FootnoteReference"/>
        </w:rPr>
        <w:footnoteRef/>
      </w:r>
      <w:r>
        <w:t xml:space="preserve"> Department </w:t>
      </w:r>
      <w:r w:rsidRPr="00D977A9">
        <w:t>of Health</w:t>
      </w:r>
      <w:r>
        <w:t>, Disability and Ageing</w:t>
      </w:r>
      <w:r w:rsidRPr="00D977A9">
        <w:t xml:space="preserve">, </w:t>
      </w:r>
      <w:r>
        <w:t>Prescribed List Compliance Strategy – Safeguarding the Prescribed List, 2 July 2025.</w:t>
      </w:r>
      <w:r w:rsidR="00C91330">
        <w:t xml:space="preserve"> </w:t>
      </w:r>
      <w:r w:rsidR="00C91330" w:rsidRPr="00C91330">
        <w:t>https://www.health.gov.au/resources/publications/prescribed-list-compliance-strategy-safeguarding-the-prescribed-list</w:t>
      </w:r>
    </w:p>
  </w:footnote>
  <w:footnote w:id="124">
    <w:p w14:paraId="2F734BBF" w14:textId="5C4A544A" w:rsidR="00E52FD7" w:rsidRPr="004A357C" w:rsidRDefault="00E52FD7" w:rsidP="00E52FD7">
      <w:r w:rsidRPr="004A357C">
        <w:rPr>
          <w:rStyle w:val="FootnoteReference"/>
        </w:rPr>
        <w:footnoteRef/>
      </w:r>
      <w:r w:rsidRPr="004A357C">
        <w:t xml:space="preserve"> Department of Health, Disability and Ageing, P</w:t>
      </w:r>
      <w:r w:rsidR="0007427F">
        <w:t>r</w:t>
      </w:r>
      <w:r w:rsidR="00BE69DD">
        <w:t>escribed</w:t>
      </w:r>
      <w:r w:rsidRPr="004A357C">
        <w:t xml:space="preserve"> List Compliance Strategy</w:t>
      </w:r>
      <w:r w:rsidR="00BE69DD">
        <w:t xml:space="preserve"> – Safeguarding the Prescribed List</w:t>
      </w:r>
      <w:r w:rsidRPr="004A357C">
        <w:t>, 18 May 2023. https://www.health.gov.au/resources/publications/prescribed-list-compliance-strategy-safeguarding-the-prescribed-list</w:t>
      </w:r>
    </w:p>
  </w:footnote>
  <w:footnote w:id="125">
    <w:p w14:paraId="40A23ECA" w14:textId="21A088F6" w:rsidR="00EC780E" w:rsidRDefault="00EC780E" w:rsidP="00EC780E">
      <w:r>
        <w:rPr>
          <w:rStyle w:val="FootnoteReference"/>
        </w:rPr>
        <w:footnoteRef/>
      </w:r>
      <w:r>
        <w:t xml:space="preserve"> </w:t>
      </w:r>
      <w:r w:rsidR="00332316" w:rsidRPr="004A357C">
        <w:t>Department of Health, Disability and Ageing</w:t>
      </w:r>
      <w:r>
        <w:t xml:space="preserve">, Consultation Paper 7 – </w:t>
      </w:r>
      <w:r w:rsidRPr="00EC780E">
        <w:t>Proposed measures for compliance, assurance and information sharing</w:t>
      </w:r>
      <w:r>
        <w:t xml:space="preserve">, September 2024. </w:t>
      </w:r>
      <w:r w:rsidR="004F0654" w:rsidRPr="004F0654">
        <w:t>https://www.health.gov.au/resources/publications/consultation-paper-7-proposed-measures-for-compliance-assurance-and-information-sharing</w:t>
      </w:r>
    </w:p>
  </w:footnote>
  <w:footnote w:id="126">
    <w:p w14:paraId="3070E6B5" w14:textId="77777777" w:rsidR="004B7FBE" w:rsidRPr="004A357C" w:rsidRDefault="004B7FBE" w:rsidP="004B7FBE">
      <w:r w:rsidRPr="004A357C">
        <w:rPr>
          <w:rStyle w:val="FootnoteReference"/>
        </w:rPr>
        <w:footnoteRef/>
      </w:r>
      <w:r w:rsidRPr="004A357C">
        <w:t xml:space="preserve"> Stakeholder input to the evaluation, 2025.</w:t>
      </w:r>
    </w:p>
  </w:footnote>
  <w:footnote w:id="127">
    <w:p w14:paraId="513AF30C" w14:textId="54737AB2" w:rsidR="00CF29F8" w:rsidRDefault="00CF29F8">
      <w:r>
        <w:rPr>
          <w:rStyle w:val="FootnoteReference"/>
        </w:rPr>
        <w:footnoteRef/>
      </w:r>
      <w:r>
        <w:t xml:space="preserve"> Department of Health, Disability and Ageing, </w:t>
      </w:r>
      <w:r w:rsidR="00A25DE1" w:rsidRPr="00A25DE1">
        <w:t>Consultation Paper 8a – Gifts, benefits and discounts reporting requirement</w:t>
      </w:r>
      <w:r>
        <w:t xml:space="preserve">, September 2024. </w:t>
      </w:r>
      <w:r w:rsidR="00A25DE1" w:rsidRPr="00A25DE1">
        <w:t>https://www.health.gov.au/resources/publications/consultation-paper-8a-gifts-benefits-and-discounts-reporting-requirement</w:t>
      </w:r>
    </w:p>
  </w:footnote>
  <w:footnote w:id="128">
    <w:p w14:paraId="70079DC1" w14:textId="174E839C" w:rsidR="00297FB1" w:rsidRDefault="00297FB1" w:rsidP="00297FB1">
      <w:r>
        <w:rPr>
          <w:rStyle w:val="FootnoteReference"/>
        </w:rPr>
        <w:footnoteRef/>
      </w:r>
      <w:r>
        <w:t xml:space="preserve"> Department of Health</w:t>
      </w:r>
      <w:r w:rsidR="009D2C5F">
        <w:t>, Disability and Ageing</w:t>
      </w:r>
      <w:r>
        <w:t xml:space="preserve">, Consultation Paper 8b – Alignment of amount charged for supply of a device with corresponding PL benefit, </w:t>
      </w:r>
      <w:r w:rsidR="006A77E1">
        <w:t xml:space="preserve">September </w:t>
      </w:r>
      <w:r>
        <w:t>2024.</w:t>
      </w:r>
      <w:r w:rsidR="006A77E1">
        <w:t xml:space="preserve"> </w:t>
      </w:r>
      <w:r w:rsidR="00A20F29" w:rsidRPr="00A20F29">
        <w:t>https://www.health.gov.au/resources/publications/consultation-paper-8b-alignment-of-amount-charged-for-supply-of-a-device-with-corresponding-pl-benefit</w:t>
      </w:r>
    </w:p>
  </w:footnote>
  <w:footnote w:id="129">
    <w:p w14:paraId="07B74AB9" w14:textId="77777777" w:rsidR="00725FB5" w:rsidRPr="004A357C" w:rsidRDefault="00725FB5" w:rsidP="00725FB5">
      <w:r w:rsidRPr="004A357C">
        <w:rPr>
          <w:rStyle w:val="FootnoteReference"/>
        </w:rPr>
        <w:footnoteRef/>
      </w:r>
      <w:r w:rsidRPr="004A357C">
        <w:t xml:space="preserve"> Department of Health, Disability and Ageing, PHI 05/25 – Outcome of Consultation Papers 8a and 8b, 9 January 2025. https://www.health.gov.au/news/phi-circulars/phi-0525-outcome-of-consultation-papers-8a-and-8b.</w:t>
      </w:r>
    </w:p>
  </w:footnote>
  <w:footnote w:id="130">
    <w:p w14:paraId="257E5342" w14:textId="77777777" w:rsidR="00CA1325" w:rsidRPr="004A357C" w:rsidRDefault="00CA1325" w:rsidP="00CA1325">
      <w:r w:rsidRPr="004A357C">
        <w:rPr>
          <w:rStyle w:val="FootnoteReference"/>
        </w:rPr>
        <w:footnoteRef/>
      </w:r>
      <w:r w:rsidRPr="004A357C">
        <w:t xml:space="preserve"> Stakeholder input to the evaluation, 2025.</w:t>
      </w:r>
    </w:p>
  </w:footnote>
  <w:footnote w:id="131">
    <w:p w14:paraId="53055427" w14:textId="77777777" w:rsidR="002C31E9" w:rsidRDefault="002C31E9" w:rsidP="002C31E9">
      <w:r>
        <w:rPr>
          <w:rStyle w:val="FootnoteReference"/>
        </w:rPr>
        <w:footnoteRef/>
      </w:r>
      <w:r>
        <w:t xml:space="preserve"> Department </w:t>
      </w:r>
      <w:r w:rsidRPr="00D977A9">
        <w:t>of Health</w:t>
      </w:r>
      <w:r>
        <w:t>, Disability and Ageing</w:t>
      </w:r>
      <w:r w:rsidRPr="00D977A9">
        <w:t xml:space="preserve">, </w:t>
      </w:r>
      <w:r>
        <w:t xml:space="preserve">Prescribed List Compliance Strategy – Safeguarding the Prescribed List, 2 July 2025. </w:t>
      </w:r>
      <w:r w:rsidRPr="00C91330">
        <w:t>https://www.health.gov.au/resources/publications/prescribed-list-compliance-strategy-safeguarding-the-prescribed-list</w:t>
      </w:r>
    </w:p>
  </w:footnote>
  <w:footnote w:id="132">
    <w:p w14:paraId="6D37FD0F" w14:textId="77777777" w:rsidR="00F87809" w:rsidRPr="004A357C" w:rsidRDefault="00F87809" w:rsidP="00F87809">
      <w:r w:rsidRPr="004A357C">
        <w:rPr>
          <w:rStyle w:val="FootnoteReference"/>
        </w:rPr>
        <w:footnoteRef/>
      </w:r>
      <w:r w:rsidRPr="004A357C">
        <w:t xml:space="preserve"> Department of Health, Disability and Ageing, Cost recovery fees and charges for the Prescribed List, 3 July 2025. https://www.health.gov.au/our-work/the-prescribed-list/cost-recovery.</w:t>
      </w:r>
    </w:p>
  </w:footnote>
  <w:footnote w:id="133">
    <w:p w14:paraId="37D95594" w14:textId="77777777" w:rsidR="00370B14" w:rsidRPr="005E2AE3" w:rsidRDefault="00370B14" w:rsidP="00370B14">
      <w:r>
        <w:rPr>
          <w:rStyle w:val="FootnoteReference"/>
        </w:rPr>
        <w:footnoteRef/>
      </w:r>
      <w:r>
        <w:t xml:space="preserve"> Federal Register of Legislation. </w:t>
      </w:r>
      <w:r w:rsidRPr="005E2AE3">
        <w:t>Private Health Insurance (Medical Devices and Human Tissue Products Levy) Rules 2025. https://www.legislation.gov.au/F2025L00284/asmade/text</w:t>
      </w:r>
    </w:p>
  </w:footnote>
  <w:footnote w:id="134">
    <w:p w14:paraId="5969601F" w14:textId="77777777" w:rsidR="00370B14" w:rsidRPr="004A357C" w:rsidRDefault="00370B14" w:rsidP="00370B14">
      <w:r w:rsidRPr="004A357C">
        <w:rPr>
          <w:rStyle w:val="FootnoteReference"/>
        </w:rPr>
        <w:footnoteRef/>
      </w:r>
      <w:r w:rsidRPr="004A357C">
        <w:t xml:space="preserve"> Department of Health, Disability and Ageing, PHI 12/24 – Updates to the 2024-35 Prescribed List CRIS and cost recovery levy, 10 February 2025. https://www.health.gov.au/news/phi-circulars/phi-1225-updates-to-the-2024-25-prescribed-list-cris-and-cost-recovery-levy.</w:t>
      </w:r>
    </w:p>
  </w:footnote>
  <w:footnote w:id="135">
    <w:p w14:paraId="5366069E" w14:textId="77777777" w:rsidR="00453E86" w:rsidRPr="004A357C" w:rsidRDefault="00453E86" w:rsidP="00453E86">
      <w:r w:rsidRPr="004A357C">
        <w:rPr>
          <w:rStyle w:val="FootnoteReference"/>
        </w:rPr>
        <w:footnoteRef/>
      </w:r>
      <w:r w:rsidRPr="004A357C">
        <w:t xml:space="preserve"> Ibid.</w:t>
      </w:r>
    </w:p>
  </w:footnote>
  <w:footnote w:id="136">
    <w:p w14:paraId="5EB88EB0" w14:textId="77777777" w:rsidR="00C46973" w:rsidRPr="004A357C" w:rsidRDefault="00C46973" w:rsidP="00C46973">
      <w:r w:rsidRPr="004A357C">
        <w:rPr>
          <w:rStyle w:val="FootnoteReference"/>
        </w:rPr>
        <w:footnoteRef/>
      </w:r>
      <w:r w:rsidRPr="004A357C">
        <w:t xml:space="preserve"> Department of Health, Disability and Ageing, Regulation Impact Statement (RIS): Improving the Private Health Insurance Prostheses List, 2021.</w:t>
      </w:r>
    </w:p>
  </w:footnote>
  <w:footnote w:id="137">
    <w:p w14:paraId="7317A029" w14:textId="77777777" w:rsidR="00176CCB" w:rsidRPr="004A357C" w:rsidRDefault="00176CCB" w:rsidP="00176CCB">
      <w:r w:rsidRPr="004A357C">
        <w:rPr>
          <w:rStyle w:val="FootnoteReference"/>
        </w:rPr>
        <w:footnoteRef/>
      </w:r>
      <w:r w:rsidRPr="004A357C">
        <w:t xml:space="preserve"> Department of Health, Disability and Ageing, Cost Recovery Implementation Statement: Administration of the Prescribed List of Medical Devices and Human Tissue Products 1 July 2025 to 30 June 2026, Version 1.1. </w:t>
      </w:r>
    </w:p>
  </w:footnote>
  <w:footnote w:id="138">
    <w:p w14:paraId="6D6668F5" w14:textId="09E5FA4B" w:rsidR="006B3BCE" w:rsidRDefault="006B3BCE">
      <w:r>
        <w:rPr>
          <w:rStyle w:val="FootnoteReference"/>
        </w:rPr>
        <w:footnoteRef/>
      </w:r>
      <w:r>
        <w:t xml:space="preserve"> </w:t>
      </w:r>
      <w:r w:rsidR="00DE73B6" w:rsidRPr="004A357C">
        <w:t xml:space="preserve">Department of Health, Disability and Ageing, PHI </w:t>
      </w:r>
      <w:r w:rsidR="00DE73B6">
        <w:t>33</w:t>
      </w:r>
      <w:r w:rsidR="00DE73B6" w:rsidRPr="004A357C">
        <w:t>/</w:t>
      </w:r>
      <w:r w:rsidR="00DE73B6">
        <w:t>26</w:t>
      </w:r>
      <w:r w:rsidR="00DE73B6" w:rsidRPr="004A357C">
        <w:t xml:space="preserve"> – </w:t>
      </w:r>
      <w:r w:rsidR="00DE73B6" w:rsidRPr="00DE73B6">
        <w:t>Consultation on draft Prescribed List Cost Recovery Implementation Statement (CRIS)</w:t>
      </w:r>
      <w:r w:rsidR="00DE73B6" w:rsidRPr="004A357C">
        <w:t xml:space="preserve">, </w:t>
      </w:r>
      <w:r w:rsidR="00DE73B6">
        <w:t>18 May 2026</w:t>
      </w:r>
      <w:r w:rsidR="00DE73B6" w:rsidRPr="004A357C">
        <w:t xml:space="preserve">. </w:t>
      </w:r>
      <w:r w:rsidR="00072E73" w:rsidRPr="00072E73">
        <w:t>https://www.health.gov.au/news/phi-circulars/phi-3326-consultation-on-draft-prescribed-list-cost-recovery-implementation-statement-cris</w:t>
      </w:r>
    </w:p>
  </w:footnote>
  <w:footnote w:id="139">
    <w:p w14:paraId="5BB95D31" w14:textId="77F86405" w:rsidR="003D325A" w:rsidRPr="004A357C" w:rsidRDefault="003D325A">
      <w:r w:rsidRPr="004A357C">
        <w:rPr>
          <w:rStyle w:val="FootnoteReference"/>
        </w:rPr>
        <w:footnoteRef/>
      </w:r>
      <w:r w:rsidRPr="004A357C">
        <w:t xml:space="preserve"> </w:t>
      </w:r>
      <w:r w:rsidR="009B300B" w:rsidRPr="004A357C">
        <w:t xml:space="preserve">Data supplied by the Department, </w:t>
      </w:r>
      <w:r w:rsidR="008545A3">
        <w:t xml:space="preserve">31 July </w:t>
      </w:r>
      <w:r w:rsidR="009B300B" w:rsidRPr="004A357C">
        <w:t>2025.</w:t>
      </w:r>
      <w:r w:rsidR="00C8576F" w:rsidRPr="004A357C">
        <w:t xml:space="preserve"> </w:t>
      </w:r>
      <w:r w:rsidR="006128AD" w:rsidRPr="004A357C">
        <w:t>For indicators 1 and 2, the evaluation has used ‘benefit groups’ to refer to all items within a category, sub-category, group and sub-group that share the same benefit, within $2 (e.g. two items in A.01.01.01.01 with a benefit of $100 are considered as being in one benefit group, even if they have different suffix values). This is to align with IHACPA’s methodology for calculating the Weighted Average Prices and benefit reductions.</w:t>
      </w:r>
    </w:p>
  </w:footnote>
  <w:footnote w:id="140">
    <w:p w14:paraId="16170803" w14:textId="7FE6FE65" w:rsidR="00A14CFD" w:rsidRPr="004A357C" w:rsidRDefault="00A14CFD">
      <w:r w:rsidRPr="004A357C">
        <w:rPr>
          <w:rStyle w:val="FootnoteReference"/>
        </w:rPr>
        <w:footnoteRef/>
      </w:r>
      <w:r w:rsidRPr="004A357C">
        <w:t xml:space="preserve"> Evaluation team conversations with the Department, 2024.</w:t>
      </w:r>
      <w:r w:rsidR="00CE31BE" w:rsidRPr="004A357C">
        <w:t xml:space="preserve"> Additional factors included historical billing code changes, corrections to an error on the August 2022 PL update (~$1.6 million adjustment), and corrections to fix some date-related errors. The parameters </w:t>
      </w:r>
      <w:r w:rsidR="009F6DCA" w:rsidRPr="004A357C">
        <w:t>and advice given to IHACPA has not been shared with the evaluation.</w:t>
      </w:r>
    </w:p>
  </w:footnote>
  <w:footnote w:id="141">
    <w:p w14:paraId="3DC1DBC6" w14:textId="0C6110E9" w:rsidR="00C90CED" w:rsidRPr="004A357C" w:rsidRDefault="00C90CED" w:rsidP="00C90CED">
      <w:r w:rsidRPr="004A357C">
        <w:rPr>
          <w:rStyle w:val="FootnoteReference"/>
        </w:rPr>
        <w:footnoteRef/>
      </w:r>
      <w:r w:rsidRPr="004A357C">
        <w:t xml:space="preserve"> Department of Health</w:t>
      </w:r>
      <w:r w:rsidR="003512CD" w:rsidRPr="004A357C">
        <w:t>, Disability</w:t>
      </w:r>
      <w:r w:rsidRPr="004A357C">
        <w:t xml:space="preserve"> and </w:t>
      </w:r>
      <w:r w:rsidR="003512CD" w:rsidRPr="004A357C">
        <w:t>Ageing</w:t>
      </w:r>
      <w:r w:rsidRPr="004A357C">
        <w:t>, Interim Evaluation #1 of the Prescribed List Reforms, 2024, https://www.health.gov.au/resources/publications/interim-evaluation-1-of-the-prescribed-list-reforms?language=en.</w:t>
      </w:r>
    </w:p>
  </w:footnote>
  <w:footnote w:id="142">
    <w:p w14:paraId="79716A8C" w14:textId="341C255E" w:rsidR="009A1FC8" w:rsidRPr="004A357C" w:rsidRDefault="009A1FC8">
      <w:r w:rsidRPr="004A357C">
        <w:rPr>
          <w:rStyle w:val="FootnoteReference"/>
        </w:rPr>
        <w:footnoteRef/>
      </w:r>
      <w:r w:rsidRPr="004A357C">
        <w:t xml:space="preserve"> Independent Health and Aged Care Pricing Authority, Updated estimates of projected benefits and savings associated with Prescribed List reforms, 13 December 2023.</w:t>
      </w:r>
    </w:p>
  </w:footnote>
  <w:footnote w:id="143">
    <w:p w14:paraId="26876CE9" w14:textId="2C2B06EC" w:rsidR="00F065B8" w:rsidRDefault="00F065B8">
      <w:r>
        <w:rPr>
          <w:rStyle w:val="FootnoteReference"/>
        </w:rPr>
        <w:footnoteRef/>
      </w:r>
      <w:r>
        <w:t xml:space="preserve"> </w:t>
      </w:r>
      <w:r w:rsidR="0011535E" w:rsidRPr="0011535E">
        <w:t>Independent Health and Aged Care Pricing Authority, Analysis on prescribed list benefit reductions for general use items (GUIs) and projected savings, 20 January 2025</w:t>
      </w:r>
      <w:r w:rsidR="00FC15C4">
        <w:t xml:space="preserve">; </w:t>
      </w:r>
      <w:r w:rsidR="00FC15C4" w:rsidRPr="0011535E">
        <w:t xml:space="preserve">Analysis on prescribed list benefit reductions, </w:t>
      </w:r>
      <w:r w:rsidR="00FC15C4">
        <w:t xml:space="preserve">15 December </w:t>
      </w:r>
      <w:r w:rsidR="00FC15C4" w:rsidRPr="0011535E">
        <w:t>2025</w:t>
      </w:r>
      <w:r w:rsidR="00FC15C4">
        <w:t>.</w:t>
      </w:r>
    </w:p>
  </w:footnote>
  <w:footnote w:id="144">
    <w:p w14:paraId="1BA9FCC6" w14:textId="351D6F86" w:rsidR="00D27A39" w:rsidRPr="004A357C" w:rsidRDefault="00D27A39">
      <w:r w:rsidRPr="004A357C">
        <w:rPr>
          <w:rStyle w:val="FootnoteReference"/>
        </w:rPr>
        <w:footnoteRef/>
      </w:r>
      <w:r w:rsidRPr="004A357C">
        <w:t xml:space="preserve"> Data supplied by the Department, </w:t>
      </w:r>
      <w:r w:rsidR="00156B70">
        <w:t>31</w:t>
      </w:r>
      <w:r w:rsidRPr="004A357C">
        <w:t xml:space="preserve"> </w:t>
      </w:r>
      <w:r w:rsidR="00156B70">
        <w:t>July</w:t>
      </w:r>
      <w:r w:rsidRPr="004A357C">
        <w:t xml:space="preserve"> 2025. Comparison made to baseline figures.</w:t>
      </w:r>
    </w:p>
  </w:footnote>
  <w:footnote w:id="145">
    <w:p w14:paraId="7E2A30CF" w14:textId="43759F2D" w:rsidR="0038467C" w:rsidRPr="004A357C" w:rsidRDefault="0038467C">
      <w:r w:rsidRPr="004A357C">
        <w:rPr>
          <w:rStyle w:val="FootnoteReference"/>
        </w:rPr>
        <w:footnoteRef/>
      </w:r>
      <w:r w:rsidRPr="004A357C">
        <w:t xml:space="preserve"> </w:t>
      </w:r>
      <w:proofErr w:type="spellStart"/>
      <w:r w:rsidR="00FC1995" w:rsidRPr="004A357C">
        <w:t>l'Assurance</w:t>
      </w:r>
      <w:proofErr w:type="spellEnd"/>
      <w:r w:rsidR="00FC1995" w:rsidRPr="004A357C">
        <w:t xml:space="preserve"> </w:t>
      </w:r>
      <w:proofErr w:type="spellStart"/>
      <w:r w:rsidR="00FC1995" w:rsidRPr="004A357C">
        <w:t>Maladie</w:t>
      </w:r>
      <w:proofErr w:type="spellEnd"/>
      <w:r w:rsidR="00FC1995" w:rsidRPr="004A357C">
        <w:t xml:space="preserve">, </w:t>
      </w:r>
      <w:proofErr w:type="spellStart"/>
      <w:r w:rsidR="00FC1995" w:rsidRPr="004A357C">
        <w:t>Liste</w:t>
      </w:r>
      <w:proofErr w:type="spellEnd"/>
      <w:r w:rsidR="00FC1995" w:rsidRPr="004A357C">
        <w:t xml:space="preserve"> des </w:t>
      </w:r>
      <w:proofErr w:type="spellStart"/>
      <w:r w:rsidR="00FC1995" w:rsidRPr="004A357C">
        <w:t>Produits</w:t>
      </w:r>
      <w:proofErr w:type="spellEnd"/>
      <w:r w:rsidR="00FC1995" w:rsidRPr="004A357C">
        <w:t xml:space="preserve"> et </w:t>
      </w:r>
      <w:proofErr w:type="spellStart"/>
      <w:r w:rsidR="00FC1995" w:rsidRPr="004A357C">
        <w:t>Prestations</w:t>
      </w:r>
      <w:proofErr w:type="spellEnd"/>
      <w:r w:rsidR="00FC1995" w:rsidRPr="004A357C">
        <w:t xml:space="preserve">, http://www.codage.ext.cnamts.fr/codif/tips/index.php?p_site=AMELI. The </w:t>
      </w:r>
      <w:proofErr w:type="spellStart"/>
      <w:r w:rsidR="00FC1995" w:rsidRPr="004A357C">
        <w:t>Liste</w:t>
      </w:r>
      <w:proofErr w:type="spellEnd"/>
      <w:r w:rsidR="00FC1995" w:rsidRPr="004A357C">
        <w:t xml:space="preserve"> des </w:t>
      </w:r>
      <w:proofErr w:type="spellStart"/>
      <w:r w:rsidR="00FC1995" w:rsidRPr="004A357C">
        <w:t>Produits</w:t>
      </w:r>
      <w:proofErr w:type="spellEnd"/>
      <w:r w:rsidR="00FC1995" w:rsidRPr="004A357C">
        <w:t xml:space="preserve"> et </w:t>
      </w:r>
      <w:proofErr w:type="spellStart"/>
      <w:r w:rsidR="00FC1995" w:rsidRPr="004A357C">
        <w:t>Prestations</w:t>
      </w:r>
      <w:proofErr w:type="spellEnd"/>
      <w:r w:rsidR="00FC1995" w:rsidRPr="004A357C">
        <w:t xml:space="preserve"> (LPP) is a list of medical device and human tissue products that guides reimbursement for the French national health insurance system. It has a comparable scope to the PL and it prices products at a higher level of grouping than the PL.</w:t>
      </w:r>
    </w:p>
  </w:footnote>
  <w:footnote w:id="146">
    <w:p w14:paraId="0B7C6B7E" w14:textId="44AE4104" w:rsidR="00263E20" w:rsidRPr="004A357C" w:rsidRDefault="00263E20">
      <w:r w:rsidRPr="004A357C">
        <w:rPr>
          <w:rStyle w:val="FootnoteReference"/>
        </w:rPr>
        <w:footnoteRef/>
      </w:r>
      <w:r w:rsidRPr="004A357C">
        <w:t xml:space="preserve"> </w:t>
      </w:r>
      <w:proofErr w:type="spellStart"/>
      <w:r w:rsidRPr="004A357C">
        <w:t>Pharmac</w:t>
      </w:r>
      <w:proofErr w:type="spellEnd"/>
      <w:r w:rsidRPr="004A357C">
        <w:t xml:space="preserve">, Hospital Medical Devices Schedule, </w:t>
      </w:r>
      <w:r w:rsidR="006553F7" w:rsidRPr="004A357C">
        <w:t>multiple</w:t>
      </w:r>
      <w:r w:rsidRPr="004A357C">
        <w:t xml:space="preserve"> editions. The </w:t>
      </w:r>
      <w:proofErr w:type="spellStart"/>
      <w:r w:rsidRPr="004A357C">
        <w:t>Pharmac</w:t>
      </w:r>
      <w:proofErr w:type="spellEnd"/>
      <w:r w:rsidRPr="004A357C">
        <w:t xml:space="preserve"> Hospital Medical Devices Schedule (</w:t>
      </w:r>
      <w:proofErr w:type="spellStart"/>
      <w:r w:rsidRPr="004A357C">
        <w:t>Pharmac</w:t>
      </w:r>
      <w:proofErr w:type="spellEnd"/>
      <w:r w:rsidRPr="004A357C">
        <w:t xml:space="preserve">) is a list of contracted medical devices products for New Zealand public hospitals. It has a narrower scope than the PL </w:t>
      </w:r>
      <w:r w:rsidR="006553F7" w:rsidRPr="004A357C">
        <w:t xml:space="preserve">at baseline, </w:t>
      </w:r>
      <w:r w:rsidRPr="004A357C">
        <w:t>and it prices products on an individual basis, not in concert with equivalent products within a group like the PL and LPP.</w:t>
      </w:r>
    </w:p>
  </w:footnote>
  <w:footnote w:id="147">
    <w:p w14:paraId="3EEE1A6B" w14:textId="5BB265A2" w:rsidR="000E7B10" w:rsidRPr="004A357C" w:rsidRDefault="000E7B10">
      <w:r w:rsidRPr="004A357C">
        <w:rPr>
          <w:rStyle w:val="FootnoteReference"/>
        </w:rPr>
        <w:footnoteRef/>
      </w:r>
      <w:r w:rsidRPr="004A357C">
        <w:t xml:space="preserve"> Department of Health</w:t>
      </w:r>
      <w:r w:rsidR="003512CD" w:rsidRPr="004A357C">
        <w:t>, Disability</w:t>
      </w:r>
      <w:r w:rsidRPr="004A357C">
        <w:t xml:space="preserve"> and </w:t>
      </w:r>
      <w:r w:rsidR="003512CD" w:rsidRPr="004A357C">
        <w:t>Ageing</w:t>
      </w:r>
      <w:r w:rsidRPr="004A357C">
        <w:t>, Interim Evaluation #1 of the Prescribed List Reforms</w:t>
      </w:r>
      <w:r w:rsidR="00695453" w:rsidRPr="004A357C">
        <w:t>, 2024, https://www.health.gov.au/resources/publications/interim-evaluation-1-of-the-prescribed-list-reforms?language=en</w:t>
      </w:r>
      <w:r w:rsidR="00C6581E" w:rsidRPr="004A357C">
        <w:t>.</w:t>
      </w:r>
    </w:p>
  </w:footnote>
  <w:footnote w:id="148">
    <w:p w14:paraId="5AAC13F2" w14:textId="3D71C2DA" w:rsidR="007449EF" w:rsidRDefault="007449EF">
      <w:r>
        <w:rPr>
          <w:rStyle w:val="FootnoteReference"/>
        </w:rPr>
        <w:footnoteRef/>
      </w:r>
      <w:r>
        <w:t xml:space="preserve"> </w:t>
      </w:r>
      <w:r w:rsidR="00D85C28">
        <w:t>Past</w:t>
      </w:r>
      <w:r>
        <w:t xml:space="preserve"> French and NZ prices are </w:t>
      </w:r>
      <w:r w:rsidR="00AC5B5F">
        <w:t xml:space="preserve">slightly different to the same charts in the Interim Evaluation #1 and Interim Evaluation #2 reports </w:t>
      </w:r>
      <w:r w:rsidR="00D85C28">
        <w:t>due to a new exchange rate being used.</w:t>
      </w:r>
    </w:p>
  </w:footnote>
  <w:footnote w:id="149">
    <w:p w14:paraId="1DEEBF09" w14:textId="0AAAC101" w:rsidR="0089102A" w:rsidRPr="004A357C" w:rsidRDefault="0089102A">
      <w:r w:rsidRPr="004A357C">
        <w:rPr>
          <w:rStyle w:val="FootnoteReference"/>
        </w:rPr>
        <w:footnoteRef/>
      </w:r>
      <w:r w:rsidRPr="004A357C">
        <w:t xml:space="preserve"> </w:t>
      </w:r>
      <w:r w:rsidR="001A1510" w:rsidRPr="004A357C">
        <w:t>Department of Health</w:t>
      </w:r>
      <w:r w:rsidR="003512CD" w:rsidRPr="004A357C">
        <w:t>, Disability</w:t>
      </w:r>
      <w:r w:rsidR="001A1510" w:rsidRPr="004A357C">
        <w:t xml:space="preserve"> and </w:t>
      </w:r>
      <w:r w:rsidR="003512CD" w:rsidRPr="004A357C">
        <w:t>Ageing</w:t>
      </w:r>
      <w:r w:rsidR="001A1510" w:rsidRPr="004A357C">
        <w:t xml:space="preserve">, </w:t>
      </w:r>
      <w:r w:rsidR="003C1582">
        <w:t>Prescribed</w:t>
      </w:r>
      <w:r w:rsidR="001A1510" w:rsidRPr="004A357C">
        <w:t xml:space="preserve"> List </w:t>
      </w:r>
      <w:r w:rsidR="003C1582">
        <w:t>of Medical Devices and Human Tissue Products</w:t>
      </w:r>
      <w:r w:rsidR="001A1510" w:rsidRPr="004A357C">
        <w:t xml:space="preserve"> Part A (</w:t>
      </w:r>
      <w:r w:rsidR="00157383">
        <w:t>Medical Devices</w:t>
      </w:r>
      <w:r w:rsidR="001A1510" w:rsidRPr="004A357C">
        <w:t xml:space="preserve">), </w:t>
      </w:r>
      <w:r w:rsidR="00E23488">
        <w:t>various</w:t>
      </w:r>
      <w:r w:rsidR="001A1510" w:rsidRPr="004A357C">
        <w:t xml:space="preserve"> editions; </w:t>
      </w:r>
      <w:proofErr w:type="spellStart"/>
      <w:r w:rsidR="001A1510" w:rsidRPr="004A357C">
        <w:t>Pharmac</w:t>
      </w:r>
      <w:proofErr w:type="spellEnd"/>
      <w:r w:rsidR="001A1510" w:rsidRPr="004A357C">
        <w:t xml:space="preserve">, Hospital Medical Devices Schedule, </w:t>
      </w:r>
      <w:r w:rsidR="00E23488">
        <w:t>various</w:t>
      </w:r>
      <w:r w:rsidR="001A1510" w:rsidRPr="004A357C">
        <w:t xml:space="preserve"> editions; </w:t>
      </w:r>
      <w:proofErr w:type="spellStart"/>
      <w:r w:rsidR="001A1510" w:rsidRPr="004A357C">
        <w:t>l'Assurance</w:t>
      </w:r>
      <w:proofErr w:type="spellEnd"/>
      <w:r w:rsidR="001A1510" w:rsidRPr="004A357C">
        <w:t xml:space="preserve"> </w:t>
      </w:r>
      <w:proofErr w:type="spellStart"/>
      <w:r w:rsidR="001A1510" w:rsidRPr="004A357C">
        <w:t>Maladie</w:t>
      </w:r>
      <w:proofErr w:type="spellEnd"/>
      <w:r w:rsidR="001A1510" w:rsidRPr="004A357C">
        <w:t xml:space="preserve">, </w:t>
      </w:r>
      <w:proofErr w:type="spellStart"/>
      <w:r w:rsidR="001A1510" w:rsidRPr="004A357C">
        <w:t>Liste</w:t>
      </w:r>
      <w:proofErr w:type="spellEnd"/>
      <w:r w:rsidR="001A1510" w:rsidRPr="004A357C">
        <w:t xml:space="preserve"> des </w:t>
      </w:r>
      <w:proofErr w:type="spellStart"/>
      <w:r w:rsidR="001A1510" w:rsidRPr="004A357C">
        <w:t>Produits</w:t>
      </w:r>
      <w:proofErr w:type="spellEnd"/>
      <w:r w:rsidR="001A1510" w:rsidRPr="004A357C">
        <w:t xml:space="preserve"> et </w:t>
      </w:r>
      <w:proofErr w:type="spellStart"/>
      <w:r w:rsidR="001A1510" w:rsidRPr="004A357C">
        <w:t>Prestations</w:t>
      </w:r>
      <w:proofErr w:type="spellEnd"/>
      <w:r w:rsidR="001A1510" w:rsidRPr="004A357C">
        <w:t>, http://www.codage.ext.cnamts.fr/codif/tips/index.php?p_site=AMELI.</w:t>
      </w:r>
      <w:r w:rsidR="00E23488">
        <w:t xml:space="preserve"> </w:t>
      </w:r>
      <w:r w:rsidR="0099662E">
        <w:t>The</w:t>
      </w:r>
      <w:r w:rsidR="00A921A3">
        <w:t xml:space="preserve"> </w:t>
      </w:r>
      <w:r w:rsidR="0099662E">
        <w:t>earliest</w:t>
      </w:r>
      <w:r w:rsidR="00CF4401">
        <w:t xml:space="preserve"> update after 1 July</w:t>
      </w:r>
      <w:r w:rsidR="0099662E">
        <w:t xml:space="preserve"> was used for each year</w:t>
      </w:r>
      <w:r w:rsidR="00A921A3">
        <w:t>.</w:t>
      </w:r>
    </w:p>
  </w:footnote>
  <w:footnote w:id="150">
    <w:p w14:paraId="009E6E77" w14:textId="0F7EC550" w:rsidR="004B39E4" w:rsidRPr="004A357C" w:rsidRDefault="004B39E4">
      <w:r w:rsidRPr="004A357C">
        <w:rPr>
          <w:rStyle w:val="FootnoteReference"/>
        </w:rPr>
        <w:footnoteRef/>
      </w:r>
      <w:r w:rsidRPr="004A357C">
        <w:t xml:space="preserve"> Ibid.</w:t>
      </w:r>
    </w:p>
  </w:footnote>
  <w:footnote w:id="151">
    <w:p w14:paraId="5D1E7B2E" w14:textId="2EB7DB30" w:rsidR="004B39E4" w:rsidRPr="004A357C" w:rsidRDefault="004B39E4">
      <w:r w:rsidRPr="004A357C">
        <w:rPr>
          <w:rStyle w:val="FootnoteReference"/>
        </w:rPr>
        <w:footnoteRef/>
      </w:r>
      <w:r w:rsidRPr="004A357C">
        <w:t xml:space="preserve"> Ibid.</w:t>
      </w:r>
    </w:p>
  </w:footnote>
  <w:footnote w:id="152">
    <w:p w14:paraId="657A8E4A" w14:textId="3D49784D" w:rsidR="007E4C69" w:rsidRPr="004A357C" w:rsidRDefault="007E4C69">
      <w:r w:rsidRPr="004A357C">
        <w:rPr>
          <w:rStyle w:val="FootnoteReference"/>
        </w:rPr>
        <w:footnoteRef/>
      </w:r>
      <w:r w:rsidRPr="004A357C">
        <w:t xml:space="preserve"> Department of Health</w:t>
      </w:r>
      <w:r w:rsidR="00EE1430" w:rsidRPr="004A357C">
        <w:t>, Disability</w:t>
      </w:r>
      <w:r w:rsidRPr="004A357C">
        <w:t xml:space="preserve"> and </w:t>
      </w:r>
      <w:r w:rsidR="00EE1430" w:rsidRPr="004A357C">
        <w:t>Ageing</w:t>
      </w:r>
      <w:r w:rsidRPr="004A357C">
        <w:t xml:space="preserve">, Hospital </w:t>
      </w:r>
      <w:proofErr w:type="spellStart"/>
      <w:r w:rsidRPr="004A357C">
        <w:t>Casemix</w:t>
      </w:r>
      <w:proofErr w:type="spellEnd"/>
      <w:r w:rsidRPr="004A357C">
        <w:t xml:space="preserve"> Protocol Dataset, 2025.</w:t>
      </w:r>
    </w:p>
  </w:footnote>
  <w:footnote w:id="153">
    <w:p w14:paraId="064990A3" w14:textId="5FC4B949" w:rsidR="00AD7A96" w:rsidRPr="004A357C" w:rsidRDefault="00AD7A96" w:rsidP="00AD7A96">
      <w:r w:rsidRPr="004A357C">
        <w:rPr>
          <w:rStyle w:val="FootnoteReference"/>
        </w:rPr>
        <w:footnoteRef/>
      </w:r>
      <w:r w:rsidRPr="004A357C">
        <w:t xml:space="preserve"> Department of Health</w:t>
      </w:r>
      <w:r w:rsidR="00EE1430" w:rsidRPr="004A357C">
        <w:t>, Disability</w:t>
      </w:r>
      <w:r w:rsidRPr="004A357C">
        <w:t xml:space="preserve"> and </w:t>
      </w:r>
      <w:r w:rsidR="00EE1430" w:rsidRPr="004A357C">
        <w:t>Ageing</w:t>
      </w:r>
      <w:r w:rsidRPr="004A357C">
        <w:t xml:space="preserve">, Hospital </w:t>
      </w:r>
      <w:proofErr w:type="spellStart"/>
      <w:r w:rsidRPr="004A357C">
        <w:t>Casemix</w:t>
      </w:r>
      <w:proofErr w:type="spellEnd"/>
      <w:r w:rsidRPr="004A357C">
        <w:t xml:space="preserve"> Protocol Dataset, 2025.</w:t>
      </w:r>
    </w:p>
  </w:footnote>
  <w:footnote w:id="154">
    <w:p w14:paraId="17B50649" w14:textId="1F5DC7CB" w:rsidR="00AB7A80" w:rsidRPr="004A357C" w:rsidRDefault="00AB7A80" w:rsidP="00AB7A80">
      <w:r w:rsidRPr="004A357C">
        <w:rPr>
          <w:rStyle w:val="FootnoteReference"/>
        </w:rPr>
        <w:footnoteRef/>
      </w:r>
      <w:r w:rsidRPr="004A357C">
        <w:t xml:space="preserve"> </w:t>
      </w:r>
      <w:r w:rsidR="000421F5">
        <w:t>Australian Prudential Regulation Authority</w:t>
      </w:r>
      <w:r w:rsidRPr="004A357C">
        <w:t>, Annual private health insurance membership and benefit statistics, December 202</w:t>
      </w:r>
      <w:r w:rsidR="0023255F">
        <w:t>5</w:t>
      </w:r>
      <w:r w:rsidRPr="004A357C">
        <w:t xml:space="preserve">; </w:t>
      </w:r>
      <w:r w:rsidR="000421F5">
        <w:t>Australian Prudential Regulation Authority</w:t>
      </w:r>
      <w:r w:rsidRPr="004A357C">
        <w:t>, Annual private health insurance performance statistics database - 202</w:t>
      </w:r>
      <w:r w:rsidR="0023255F">
        <w:t>4</w:t>
      </w:r>
      <w:r w:rsidRPr="004A357C">
        <w:t>-2</w:t>
      </w:r>
      <w:r w:rsidR="0023255F">
        <w:t>5</w:t>
      </w:r>
      <w:r w:rsidRPr="004A357C">
        <w:t>, December 202</w:t>
      </w:r>
      <w:r w:rsidR="000864A5">
        <w:t xml:space="preserve">5 </w:t>
      </w:r>
      <w:r w:rsidRPr="004A357C">
        <w:rPr>
          <w:i/>
          <w:iCs/>
        </w:rPr>
        <w:t>(for FY24</w:t>
      </w:r>
      <w:r w:rsidR="000864A5">
        <w:rPr>
          <w:i/>
          <w:iCs/>
        </w:rPr>
        <w:t xml:space="preserve"> and FY25</w:t>
      </w:r>
      <w:r w:rsidRPr="004A357C">
        <w:rPr>
          <w:i/>
          <w:iCs/>
        </w:rPr>
        <w:t xml:space="preserve"> HT premium revenue)</w:t>
      </w:r>
      <w:r w:rsidRPr="004A357C">
        <w:t xml:space="preserve">; Australian Prudential Regulation Authority, Operations of Private Health Insurers Annual Report; 2014-15 to 2022-23 editions </w:t>
      </w:r>
      <w:r w:rsidRPr="004A357C">
        <w:rPr>
          <w:i/>
          <w:iCs/>
        </w:rPr>
        <w:t>(for FY15-23 HT premium revenue)</w:t>
      </w:r>
      <w:r w:rsidRPr="004A357C">
        <w:t>.</w:t>
      </w:r>
    </w:p>
  </w:footnote>
  <w:footnote w:id="155">
    <w:p w14:paraId="7139024F" w14:textId="3A696A64" w:rsidR="00F84584" w:rsidRPr="004A357C" w:rsidRDefault="00F84584" w:rsidP="00F84584">
      <w:r w:rsidRPr="004A357C">
        <w:rPr>
          <w:rStyle w:val="FootnoteReference"/>
        </w:rPr>
        <w:footnoteRef/>
      </w:r>
      <w:r w:rsidRPr="004A357C">
        <w:t xml:space="preserve"> </w:t>
      </w:r>
      <w:r w:rsidR="000421F5">
        <w:t>Australian Prudential Regulation Authority</w:t>
      </w:r>
      <w:r w:rsidRPr="004A357C">
        <w:t xml:space="preserve">, Annual private health insurance membership and benefit statistics, December 2024; Australian Prudential Regulation Authority, Quarterly Private Health Insurance Medical Device </w:t>
      </w:r>
      <w:proofErr w:type="gramStart"/>
      <w:r w:rsidRPr="004A357C">
        <w:t>Or</w:t>
      </w:r>
      <w:proofErr w:type="gramEnd"/>
      <w:r w:rsidRPr="004A357C">
        <w:t xml:space="preserve"> Human Tissue Products, March 2025.</w:t>
      </w:r>
    </w:p>
  </w:footnote>
  <w:footnote w:id="156">
    <w:p w14:paraId="331A8A75" w14:textId="77777777" w:rsidR="00F84584" w:rsidRPr="004A357C" w:rsidRDefault="00F84584" w:rsidP="00F84584">
      <w:r w:rsidRPr="004A357C">
        <w:rPr>
          <w:rStyle w:val="FootnoteReference"/>
        </w:rPr>
        <w:footnoteRef/>
      </w:r>
      <w:r w:rsidRPr="004A357C">
        <w:t xml:space="preserve"> Utilisation is calculated by dividing HT prostheses benefits for each category by the average prostheses benefit across all categories for the relevant financial year, as APRA does not publish prostheses utilisation by age. HT population coverage for each age bracket is then divided by the utilisation figure to obtain the average.</w:t>
      </w:r>
    </w:p>
  </w:footnote>
  <w:footnote w:id="157">
    <w:p w14:paraId="6FCBBB99" w14:textId="063EF2BA" w:rsidR="00433DE8" w:rsidRPr="004A357C" w:rsidRDefault="00433DE8">
      <w:r w:rsidRPr="004A357C">
        <w:rPr>
          <w:rStyle w:val="FootnoteReference"/>
        </w:rPr>
        <w:footnoteRef/>
      </w:r>
      <w:r w:rsidRPr="004A357C">
        <w:t xml:space="preserve"> </w:t>
      </w:r>
      <w:r w:rsidR="00317D5C" w:rsidRPr="004A357C">
        <w:t>Department of Health</w:t>
      </w:r>
      <w:r w:rsidR="003512CD" w:rsidRPr="004A357C">
        <w:t>, Disability</w:t>
      </w:r>
      <w:r w:rsidR="00317D5C" w:rsidRPr="004A357C">
        <w:t xml:space="preserve"> and </w:t>
      </w:r>
      <w:r w:rsidR="003512CD" w:rsidRPr="004A357C">
        <w:t>Ageing</w:t>
      </w:r>
      <w:r w:rsidR="00317D5C" w:rsidRPr="004A357C">
        <w:t xml:space="preserve">, Prostheses List Part A (Prostheses), Part B (Human Tissue), Part C (Other), and Part D (General Use Items), </w:t>
      </w:r>
      <w:r w:rsidR="00E62C2B">
        <w:t xml:space="preserve">July </w:t>
      </w:r>
      <w:r w:rsidR="00317D5C" w:rsidRPr="004A357C">
        <w:t>202</w:t>
      </w:r>
      <w:r w:rsidR="00E62C2B">
        <w:t>5</w:t>
      </w:r>
      <w:r w:rsidR="00317D5C" w:rsidRPr="004A357C">
        <w:t xml:space="preserve"> edition.</w:t>
      </w:r>
    </w:p>
  </w:footnote>
  <w:footnote w:id="158">
    <w:p w14:paraId="033F33A3" w14:textId="66EB2C49" w:rsidR="00845296" w:rsidRPr="004A357C" w:rsidRDefault="00845296">
      <w:r w:rsidRPr="004A357C">
        <w:rPr>
          <w:rStyle w:val="FootnoteReference"/>
        </w:rPr>
        <w:footnoteRef/>
      </w:r>
      <w:r w:rsidRPr="004A357C">
        <w:t xml:space="preserve"> Department of Health</w:t>
      </w:r>
      <w:r w:rsidR="003512CD" w:rsidRPr="004A357C">
        <w:t>, Disability</w:t>
      </w:r>
      <w:r w:rsidRPr="004A357C">
        <w:t xml:space="preserve"> and </w:t>
      </w:r>
      <w:r w:rsidR="003512CD" w:rsidRPr="004A357C">
        <w:t>Ageing</w:t>
      </w:r>
      <w:r w:rsidRPr="004A357C">
        <w:t xml:space="preserve">, Prostheses List Part A (Prostheses), Part C (Other), and Part D (General Use Items), </w:t>
      </w:r>
      <w:r w:rsidR="00707777">
        <w:t>various</w:t>
      </w:r>
      <w:r w:rsidRPr="004A357C">
        <w:t xml:space="preserve"> edition</w:t>
      </w:r>
      <w:r w:rsidR="003749DD">
        <w:t>s</w:t>
      </w:r>
      <w:r w:rsidRPr="004A357C">
        <w:t>.</w:t>
      </w:r>
    </w:p>
  </w:footnote>
  <w:footnote w:id="159">
    <w:p w14:paraId="0E243EEE" w14:textId="2D61DB92" w:rsidR="0032303C" w:rsidRPr="004A357C" w:rsidRDefault="0032303C">
      <w:r w:rsidRPr="004A357C">
        <w:rPr>
          <w:rStyle w:val="FootnoteReference"/>
        </w:rPr>
        <w:footnoteRef/>
      </w:r>
      <w:r w:rsidRPr="004A357C">
        <w:t xml:space="preserve"> </w:t>
      </w:r>
      <w:r w:rsidR="00531ED5" w:rsidRPr="004A357C">
        <w:t>Ibid</w:t>
      </w:r>
      <w:r w:rsidRPr="004A357C">
        <w:t>.</w:t>
      </w:r>
      <w:r w:rsidR="00531ED5" w:rsidRPr="004A357C">
        <w:t xml:space="preserve"> The evaluation has used ‘benefit groups’ here to refer to all items within a category, sub-category, group and sub-group that share the same benefit.</w:t>
      </w:r>
    </w:p>
  </w:footnote>
  <w:footnote w:id="160">
    <w:p w14:paraId="1FC028EE" w14:textId="68B7CA32" w:rsidR="003B26A6" w:rsidRDefault="003B26A6">
      <w:r w:rsidRPr="004A357C">
        <w:rPr>
          <w:rStyle w:val="FootnoteReference"/>
        </w:rPr>
        <w:footnoteRef/>
      </w:r>
      <w:r w:rsidRPr="004A357C">
        <w:t xml:space="preserve"> 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25E0F" w14:textId="410FAFB2" w:rsidR="00394185" w:rsidRDefault="00394185">
    <w:pPr>
      <w:pStyle w:val="Header"/>
    </w:pPr>
    <w:r>
      <w:rPr>
        <w:noProof/>
      </w:rPr>
      <mc:AlternateContent>
        <mc:Choice Requires="wps">
          <w:drawing>
            <wp:anchor distT="0" distB="0" distL="0" distR="0" simplePos="0" relativeHeight="251660291" behindDoc="0" locked="0" layoutInCell="1" allowOverlap="1" wp14:anchorId="11D41097" wp14:editId="2A31AB63">
              <wp:simplePos x="635" y="635"/>
              <wp:positionH relativeFrom="page">
                <wp:align>center</wp:align>
              </wp:positionH>
              <wp:positionV relativeFrom="page">
                <wp:align>top</wp:align>
              </wp:positionV>
              <wp:extent cx="622300" cy="376555"/>
              <wp:effectExtent l="0" t="0" r="6350" b="4445"/>
              <wp:wrapNone/>
              <wp:docPr id="2076589548"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C183AFD" w14:textId="789BEB1A" w:rsidR="00394185" w:rsidRPr="00394185" w:rsidRDefault="00394185" w:rsidP="00394185">
                          <w:pPr>
                            <w:spacing w:after="0"/>
                            <w:rPr>
                              <w:rFonts w:ascii="Aptos" w:eastAsia="Aptos" w:hAnsi="Aptos" w:cs="Aptos"/>
                              <w:noProof/>
                              <w:color w:val="FF0000"/>
                              <w:sz w:val="24"/>
                              <w:szCs w:val="24"/>
                            </w:rPr>
                          </w:pPr>
                          <w:r w:rsidRPr="00394185">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1D41097" id="_x0000_t202" coordsize="21600,21600" o:spt="202" path="m,l,21600r21600,l21600,xe">
              <v:stroke joinstyle="miter"/>
              <v:path gradientshapeok="t" o:connecttype="rect"/>
            </v:shapetype>
            <v:shape id="Text Box 6" o:spid="_x0000_s1030" type="#_x0000_t202" alt="OFFICIAL" style="position:absolute;margin-left:0;margin-top:0;width:49pt;height:29.65pt;z-index:25166029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fill o:detectmouseclick="t"/>
              <v:textbox style="mso-fit-shape-to-text:t" inset="0,15pt,0,0">
                <w:txbxContent>
                  <w:p w14:paraId="6C183AFD" w14:textId="789BEB1A" w:rsidR="00394185" w:rsidRPr="00394185" w:rsidRDefault="00394185" w:rsidP="00394185">
                    <w:pPr>
                      <w:spacing w:after="0"/>
                      <w:rPr>
                        <w:rFonts w:ascii="Aptos" w:eastAsia="Aptos" w:hAnsi="Aptos" w:cs="Aptos"/>
                        <w:noProof/>
                        <w:color w:val="FF0000"/>
                        <w:sz w:val="24"/>
                        <w:szCs w:val="24"/>
                      </w:rPr>
                    </w:pPr>
                    <w:r w:rsidRPr="00394185">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9E686" w14:textId="5259CCFA" w:rsidR="007B157A" w:rsidRPr="007B157A" w:rsidRDefault="007B157A" w:rsidP="007B157A">
    <w:r w:rsidRPr="00AC7E3F">
      <w:rPr>
        <w:noProof/>
        <w:sz w:val="20"/>
        <w:szCs w:val="20"/>
        <w:lang w:eastAsia="en-AU"/>
      </w:rPr>
      <w:drawing>
        <wp:anchor distT="0" distB="0" distL="114300" distR="114300" simplePos="0" relativeHeight="251658243" behindDoc="0" locked="0" layoutInCell="1" allowOverlap="1" wp14:anchorId="5A1EE518" wp14:editId="5A19707B">
          <wp:simplePos x="0" y="0"/>
          <wp:positionH relativeFrom="page">
            <wp:align>center</wp:align>
          </wp:positionH>
          <wp:positionV relativeFrom="page">
            <wp:posOffset>0</wp:posOffset>
          </wp:positionV>
          <wp:extent cx="10753200" cy="115200"/>
          <wp:effectExtent l="0" t="0" r="0" b="0"/>
          <wp:wrapNone/>
          <wp:docPr id="1377287156" name="Picture 13772871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77287156" name="Picture 1377287156">
                    <a:extLst>
                      <a:ext uri="{C183D7F6-B498-43B3-948B-1728B52AA6E4}">
                        <adec:decorative xmlns:adec="http://schemas.microsoft.com/office/drawing/2017/decorative" val="1"/>
                      </a:ext>
                    </a:extLst>
                  </pic:cNvPr>
                  <pic:cNvPicPr preferRelativeResize="0"/>
                </pic:nvPicPr>
                <pic:blipFill>
                  <a:blip r:embed="rId1" cstate="print">
                    <a:extLst>
                      <a:ext uri="{28A0092B-C50C-407E-A947-70E740481C1C}">
                        <a14:useLocalDpi xmlns:a14="http://schemas.microsoft.com/office/drawing/2010/main" val="0"/>
                      </a:ext>
                    </a:extLst>
                  </a:blip>
                  <a:stretch>
                    <a:fillRect/>
                  </a:stretch>
                </pic:blipFill>
                <pic:spPr>
                  <a:xfrm>
                    <a:off x="0" y="0"/>
                    <a:ext cx="10753200" cy="115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858B5" w14:textId="64632F0B" w:rsidR="00394185" w:rsidRDefault="00394185">
    <w:pPr>
      <w:pStyle w:val="Header"/>
    </w:pPr>
    <w:r>
      <w:rPr>
        <w:noProof/>
      </w:rPr>
      <mc:AlternateContent>
        <mc:Choice Requires="wps">
          <w:drawing>
            <wp:anchor distT="0" distB="0" distL="0" distR="0" simplePos="0" relativeHeight="251659267" behindDoc="0" locked="0" layoutInCell="1" allowOverlap="1" wp14:anchorId="4C10B647" wp14:editId="6860F1E2">
              <wp:simplePos x="635" y="635"/>
              <wp:positionH relativeFrom="page">
                <wp:align>center</wp:align>
              </wp:positionH>
              <wp:positionV relativeFrom="page">
                <wp:align>top</wp:align>
              </wp:positionV>
              <wp:extent cx="622300" cy="376555"/>
              <wp:effectExtent l="0" t="0" r="6350" b="4445"/>
              <wp:wrapNone/>
              <wp:docPr id="1900280561"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B9979B0" w14:textId="79DE36F1" w:rsidR="00394185" w:rsidRPr="00394185" w:rsidRDefault="00394185" w:rsidP="00394185">
                          <w:pPr>
                            <w:spacing w:after="0"/>
                            <w:rPr>
                              <w:rFonts w:ascii="Aptos" w:eastAsia="Aptos" w:hAnsi="Aptos" w:cs="Aptos"/>
                              <w:noProof/>
                              <w:color w:val="FF0000"/>
                              <w:sz w:val="24"/>
                              <w:szCs w:val="24"/>
                            </w:rPr>
                          </w:pPr>
                          <w:r w:rsidRPr="00394185">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C10B647" id="_x0000_t202" coordsize="21600,21600" o:spt="202" path="m,l,21600r21600,l21600,xe">
              <v:stroke joinstyle="miter"/>
              <v:path gradientshapeok="t" o:connecttype="rect"/>
            </v:shapetype>
            <v:shape id="Text Box 5" o:spid="_x0000_s1033" type="#_x0000_t202" alt="OFFICIAL" style="position:absolute;margin-left:0;margin-top:0;width:49pt;height:29.65pt;z-index:25165926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" filled="f" stroked="f">
              <v:fill o:detectmouseclick="t"/>
              <v:textbox style="mso-fit-shape-to-text:t" inset="0,15pt,0,0">
                <w:txbxContent>
                  <w:p w14:paraId="6B9979B0" w14:textId="79DE36F1" w:rsidR="00394185" w:rsidRPr="00394185" w:rsidRDefault="00394185" w:rsidP="00394185">
                    <w:pPr>
                      <w:spacing w:after="0"/>
                      <w:rPr>
                        <w:rFonts w:ascii="Aptos" w:eastAsia="Aptos" w:hAnsi="Aptos" w:cs="Aptos"/>
                        <w:noProof/>
                        <w:color w:val="FF0000"/>
                        <w:sz w:val="24"/>
                        <w:szCs w:val="24"/>
                      </w:rPr>
                    </w:pPr>
                    <w:r w:rsidRPr="00394185">
                      <w:rPr>
                        <w:rFonts w:ascii="Aptos" w:eastAsia="Aptos" w:hAnsi="Aptos" w:cs="Aptos"/>
                        <w:noProof/>
                        <w:color w:val="FF0000"/>
                        <w:sz w:val="24"/>
                        <w:szCs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FD79D" w14:textId="0A27F558" w:rsidR="002F0197" w:rsidRPr="00602824" w:rsidRDefault="002F0197">
    <w:r w:rsidRPr="00AC7E3F">
      <w:rPr>
        <w:noProof/>
        <w:sz w:val="20"/>
        <w:szCs w:val="20"/>
        <w:lang w:eastAsia="en-AU"/>
      </w:rPr>
      <w:drawing>
        <wp:anchor distT="0" distB="0" distL="114300" distR="114300" simplePos="0" relativeHeight="251658240" behindDoc="0" locked="0" layoutInCell="1" allowOverlap="1" wp14:anchorId="70EF7AAC" wp14:editId="39FBD503">
          <wp:simplePos x="0" y="0"/>
          <wp:positionH relativeFrom="page">
            <wp:align>center</wp:align>
          </wp:positionH>
          <wp:positionV relativeFrom="page">
            <wp:posOffset>0</wp:posOffset>
          </wp:positionV>
          <wp:extent cx="10753200" cy="115200"/>
          <wp:effectExtent l="0" t="0" r="0" b="0"/>
          <wp:wrapNone/>
          <wp:docPr id="553603925" name="Picture 5536039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3603925" name="Picture 553603925">
                    <a:extLst>
                      <a:ext uri="{C183D7F6-B498-43B3-948B-1728B52AA6E4}">
                        <adec:decorative xmlns:adec="http://schemas.microsoft.com/office/drawing/2017/decorative" val="1"/>
                      </a:ext>
                    </a:extLst>
                  </pic:cNvPr>
                  <pic:cNvPicPr preferRelativeResize="0"/>
                </pic:nvPicPr>
                <pic:blipFill>
                  <a:blip r:embed="rId1" cstate="print">
                    <a:extLst>
                      <a:ext uri="{28A0092B-C50C-407E-A947-70E740481C1C}">
                        <a14:useLocalDpi xmlns:a14="http://schemas.microsoft.com/office/drawing/2010/main" val="0"/>
                      </a:ext>
                    </a:extLst>
                  </a:blip>
                  <a:stretch>
                    <a:fillRect/>
                  </a:stretch>
                </pic:blipFill>
                <pic:spPr>
                  <a:xfrm>
                    <a:off x="0" y="0"/>
                    <a:ext cx="10753200" cy="115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08EDE" w14:textId="5B225206" w:rsidR="004440B3" w:rsidRPr="00602824" w:rsidRDefault="004440B3">
    <w:r w:rsidRPr="00AC7E3F">
      <w:rPr>
        <w:noProof/>
        <w:sz w:val="20"/>
        <w:szCs w:val="20"/>
        <w:lang w:eastAsia="en-AU"/>
      </w:rPr>
      <w:drawing>
        <wp:anchor distT="0" distB="0" distL="114300" distR="114300" simplePos="0" relativeHeight="251658241" behindDoc="0" locked="0" layoutInCell="1" allowOverlap="1" wp14:anchorId="3BE590E6" wp14:editId="4EB1A1D8">
          <wp:simplePos x="0" y="0"/>
          <wp:positionH relativeFrom="page">
            <wp:align>center</wp:align>
          </wp:positionH>
          <wp:positionV relativeFrom="page">
            <wp:posOffset>0</wp:posOffset>
          </wp:positionV>
          <wp:extent cx="10753200" cy="115200"/>
          <wp:effectExtent l="0" t="0" r="0" b="0"/>
          <wp:wrapNone/>
          <wp:docPr id="999463941" name="Picture 9994639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9463941" name="Picture 999463941">
                    <a:extLst>
                      <a:ext uri="{C183D7F6-B498-43B3-948B-1728B52AA6E4}">
                        <adec:decorative xmlns:adec="http://schemas.microsoft.com/office/drawing/2017/decorative" val="1"/>
                      </a:ext>
                    </a:extLst>
                  </pic:cNvPr>
                  <pic:cNvPicPr preferRelativeResize="0"/>
                </pic:nvPicPr>
                <pic:blipFill>
                  <a:blip r:embed="rId1" cstate="print">
                    <a:extLst>
                      <a:ext uri="{28A0092B-C50C-407E-A947-70E740481C1C}">
                        <a14:useLocalDpi xmlns:a14="http://schemas.microsoft.com/office/drawing/2010/main" val="0"/>
                      </a:ext>
                    </a:extLst>
                  </a:blip>
                  <a:stretch>
                    <a:fillRect/>
                  </a:stretch>
                </pic:blipFill>
                <pic:spPr>
                  <a:xfrm>
                    <a:off x="0" y="0"/>
                    <a:ext cx="10753200" cy="115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1955C" w14:textId="5F2A5F06" w:rsidR="00EC455E" w:rsidRPr="00602824" w:rsidRDefault="00EC455E">
    <w:r w:rsidRPr="00AC7E3F">
      <w:rPr>
        <w:noProof/>
        <w:sz w:val="20"/>
        <w:szCs w:val="20"/>
        <w:lang w:eastAsia="en-AU"/>
      </w:rPr>
      <w:drawing>
        <wp:anchor distT="0" distB="0" distL="114300" distR="114300" simplePos="0" relativeHeight="251658242" behindDoc="0" locked="0" layoutInCell="1" allowOverlap="1" wp14:anchorId="36BBA4CB" wp14:editId="778C4E54">
          <wp:simplePos x="0" y="0"/>
          <wp:positionH relativeFrom="page">
            <wp:align>center</wp:align>
          </wp:positionH>
          <wp:positionV relativeFrom="page">
            <wp:posOffset>0</wp:posOffset>
          </wp:positionV>
          <wp:extent cx="10753200" cy="115200"/>
          <wp:effectExtent l="0" t="0" r="0" b="0"/>
          <wp:wrapNone/>
          <wp:docPr id="2101362861" name="Picture 21013628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01362861" name="Picture 2101362861">
                    <a:extLst>
                      <a:ext uri="{C183D7F6-B498-43B3-948B-1728B52AA6E4}">
                        <adec:decorative xmlns:adec="http://schemas.microsoft.com/office/drawing/2017/decorative" val="1"/>
                      </a:ext>
                    </a:extLst>
                  </pic:cNvPr>
                  <pic:cNvPicPr preferRelativeResize="0"/>
                </pic:nvPicPr>
                <pic:blipFill>
                  <a:blip r:embed="rId1" cstate="print">
                    <a:extLst>
                      <a:ext uri="{28A0092B-C50C-407E-A947-70E740481C1C}">
                        <a14:useLocalDpi xmlns:a14="http://schemas.microsoft.com/office/drawing/2010/main" val="0"/>
                      </a:ext>
                    </a:extLst>
                  </a:blip>
                  <a:stretch>
                    <a:fillRect/>
                  </a:stretch>
                </pic:blipFill>
                <pic:spPr>
                  <a:xfrm>
                    <a:off x="0" y="0"/>
                    <a:ext cx="10753200" cy="115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C4EEA4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9A31A2"/>
    <w:multiLevelType w:val="multilevel"/>
    <w:tmpl w:val="D876E1E6"/>
    <w:lvl w:ilvl="0">
      <w:start w:val="1"/>
      <w:numFmt w:val="decimal"/>
      <w:pStyle w:val="Heading1"/>
      <w:lvlText w:val="%1"/>
      <w:lvlJc w:val="left"/>
      <w:pPr>
        <w:ind w:left="360" w:hanging="360"/>
      </w:pPr>
      <w:rPr>
        <w:rFonts w:ascii="Segoe UI" w:hAnsi="Segoe UI" w:hint="default"/>
        <w:b/>
        <w:i w:val="0"/>
        <w:sz w:val="36"/>
        <w:szCs w:val="96"/>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0" w:firstLine="0"/>
      </w:pPr>
      <w:rPr>
        <w:rFonts w:hint="default"/>
      </w:rPr>
    </w:lvl>
    <w:lvl w:ilvl="3">
      <w:start w:val="1"/>
      <w:numFmt w:val="decimal"/>
      <w:lvlText w:val="%1.%2.%3.%4"/>
      <w:lvlJc w:val="left"/>
      <w:pPr>
        <w:ind w:left="864" w:hanging="864"/>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 w15:restartNumberingAfterBreak="0">
    <w:nsid w:val="130E2EF9"/>
    <w:multiLevelType w:val="hybridMultilevel"/>
    <w:tmpl w:val="A132758A"/>
    <w:lvl w:ilvl="0" w:tplc="D408B966">
      <w:start w:val="1"/>
      <w:numFmt w:val="bullet"/>
      <w:pStyle w:val="TableExp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3625D8B"/>
    <w:multiLevelType w:val="hybridMultilevel"/>
    <w:tmpl w:val="F4482672"/>
    <w:lvl w:ilvl="0" w:tplc="608E9972">
      <w:start w:val="1"/>
      <w:numFmt w:val="decimal"/>
      <w:pStyle w:val="Listnumbered"/>
      <w:lvlText w:val="%1."/>
      <w:lvlJc w:val="left"/>
      <w:pPr>
        <w:ind w:left="454" w:hanging="397"/>
      </w:pPr>
      <w:rPr>
        <w:rFonts w:hint="default"/>
      </w:rPr>
    </w:lvl>
    <w:lvl w:ilvl="1" w:tplc="0C090019">
      <w:start w:val="1"/>
      <w:numFmt w:val="lowerLetter"/>
      <w:lvlText w:val="%2."/>
      <w:lvlJc w:val="left"/>
      <w:pPr>
        <w:ind w:left="851" w:hanging="397"/>
      </w:pPr>
      <w:rPr>
        <w:rFonts w:hint="default"/>
      </w:rPr>
    </w:lvl>
    <w:lvl w:ilvl="2" w:tplc="0C09001B">
      <w:start w:val="1"/>
      <w:numFmt w:val="lowerRoman"/>
      <w:lvlText w:val="%3."/>
      <w:lvlJc w:val="right"/>
      <w:pPr>
        <w:ind w:left="1304" w:hanging="340"/>
      </w:pPr>
      <w:rPr>
        <w:rFonts w:hint="default"/>
      </w:rPr>
    </w:lvl>
    <w:lvl w:ilvl="3" w:tplc="0C09000F">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4" w15:restartNumberingAfterBreak="0">
    <w:nsid w:val="376A2698"/>
    <w:multiLevelType w:val="hybridMultilevel"/>
    <w:tmpl w:val="88F80222"/>
    <w:lvl w:ilvl="0" w:tplc="9E3E472C">
      <w:start w:val="1"/>
      <w:numFmt w:val="decimal"/>
      <w:pStyle w:val="TableNListnumbered"/>
      <w:lvlText w:val="%1."/>
      <w:lvlJc w:val="left"/>
      <w:pPr>
        <w:ind w:left="284" w:hanging="284"/>
      </w:pPr>
      <w:rPr>
        <w:rFonts w:hint="default"/>
      </w:rPr>
    </w:lvl>
    <w:lvl w:ilvl="1" w:tplc="0C090019">
      <w:start w:val="1"/>
      <w:numFmt w:val="lowerLetter"/>
      <w:lvlText w:val="%2."/>
      <w:lvlJc w:val="left"/>
      <w:pPr>
        <w:ind w:left="510" w:hanging="283"/>
      </w:pPr>
      <w:rPr>
        <w:rFonts w:hint="default"/>
      </w:rPr>
    </w:lvl>
    <w:lvl w:ilvl="2" w:tplc="0C09001B">
      <w:start w:val="1"/>
      <w:numFmt w:val="lowerRoman"/>
      <w:lvlText w:val="%3."/>
      <w:lvlJc w:val="right"/>
      <w:pPr>
        <w:ind w:left="737" w:hanging="113"/>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9D1413D"/>
    <w:multiLevelType w:val="multilevel"/>
    <w:tmpl w:val="BAEECF26"/>
    <w:lvl w:ilvl="0">
      <w:start w:val="1"/>
      <w:numFmt w:val="bullet"/>
      <w:lvlText w:val=""/>
      <w:lvlJc w:val="left"/>
      <w:pPr>
        <w:ind w:left="227" w:hanging="227"/>
      </w:pPr>
      <w:rPr>
        <w:rFonts w:ascii="Symbol" w:hAnsi="Symbol" w:hint="default"/>
        <w:color w:val="auto"/>
        <w:position w:val="0"/>
        <w:sz w:val="16"/>
      </w:rPr>
    </w:lvl>
    <w:lvl w:ilvl="1">
      <w:start w:val="1"/>
      <w:numFmt w:val="bullet"/>
      <w:lvlText w:val=""/>
      <w:lvlJc w:val="left"/>
      <w:pPr>
        <w:ind w:left="510" w:hanging="226"/>
      </w:pPr>
      <w:rPr>
        <w:rFonts w:ascii="Symbol" w:hAnsi="Symbol" w:hint="default"/>
        <w:color w:val="auto"/>
        <w:position w:val="0"/>
        <w:sz w:val="16"/>
      </w:rPr>
    </w:lvl>
    <w:lvl w:ilvl="2">
      <w:start w:val="1"/>
      <w:numFmt w:val="bullet"/>
      <w:lvlText w:val=""/>
      <w:lvlJc w:val="left"/>
      <w:pPr>
        <w:ind w:left="794" w:hanging="227"/>
      </w:pPr>
      <w:rPr>
        <w:rFonts w:ascii="Symbol" w:hAnsi="Symbol" w:hint="default"/>
        <w:color w:val="auto"/>
        <w:position w:val="4"/>
        <w:sz w:val="16"/>
      </w:rPr>
    </w:lvl>
    <w:lvl w:ilvl="3">
      <w:start w:val="1"/>
      <w:numFmt w:val="bullet"/>
      <w:lvlText w:val=""/>
      <w:lvlJc w:val="left"/>
      <w:pPr>
        <w:ind w:left="680" w:hanging="170"/>
      </w:pPr>
      <w:rPr>
        <w:rFonts w:ascii="Wingdings 2" w:hAnsi="Wingdings 2" w:hint="default"/>
        <w:color w:val="404040" w:themeColor="text1" w:themeTint="BF"/>
        <w:position w:val="4"/>
        <w:sz w:val="10"/>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6" w15:restartNumberingAfterBreak="0">
    <w:nsid w:val="428C2FDF"/>
    <w:multiLevelType w:val="hybridMultilevel"/>
    <w:tmpl w:val="F79E27E0"/>
    <w:lvl w:ilvl="0" w:tplc="370EA3D8">
      <w:start w:val="1"/>
      <w:numFmt w:val="bullet"/>
      <w:pStyle w:val="longformcalloutbullet"/>
      <w:lvlText w:val=""/>
      <w:lvlJc w:val="left"/>
      <w:pPr>
        <w:ind w:left="720" w:hanging="360"/>
      </w:pPr>
      <w:rPr>
        <w:rFonts w:ascii="Symbol" w:hAnsi="Symbol" w:hint="default"/>
        <w:color w:val="00264D" w:themeColor="background2"/>
        <w:sz w:val="1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AB30710"/>
    <w:multiLevelType w:val="hybridMultilevel"/>
    <w:tmpl w:val="7DA0F9D0"/>
    <w:lvl w:ilvl="0" w:tplc="50924516">
      <w:start w:val="1"/>
      <w:numFmt w:val="decimal"/>
      <w:pStyle w:val="longformcalloutnumber"/>
      <w:lvlText w:val="%1."/>
      <w:lvlJc w:val="left"/>
      <w:pPr>
        <w:ind w:left="720" w:hanging="360"/>
      </w:pPr>
      <w:rPr>
        <w:rFonts w:hint="default"/>
        <w:b w:val="0"/>
        <w:color w:val="00264D" w:themeColor="background2"/>
        <w:sz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71A16EBA"/>
    <w:multiLevelType w:val="multilevel"/>
    <w:tmpl w:val="8DC8AF3C"/>
    <w:lvl w:ilvl="0">
      <w:start w:val="1"/>
      <w:numFmt w:val="upperLetter"/>
      <w:pStyle w:val="xAppendixLevel1"/>
      <w:lvlText w:val="Appendix %1"/>
      <w:lvlJc w:val="left"/>
      <w:pPr>
        <w:ind w:left="2268" w:hanging="2268"/>
      </w:pPr>
    </w:lvl>
    <w:lvl w:ilvl="1">
      <w:start w:val="1"/>
      <w:numFmt w:val="decimal"/>
      <w:pStyle w:val="xAppendixLevel2"/>
      <w:lvlText w:val="%1.%2"/>
      <w:lvlJc w:val="left"/>
      <w:pPr>
        <w:ind w:left="851" w:hanging="851"/>
      </w:pPr>
      <w:rPr>
        <w:rFonts w:hint="default"/>
        <w:color w:val="00264D"/>
        <w:sz w:val="30"/>
        <w:szCs w:val="30"/>
      </w:rPr>
    </w:lvl>
    <w:lvl w:ilvl="2">
      <w:start w:val="1"/>
      <w:numFmt w:val="decimal"/>
      <w:lvlText w:val="%1.%2.%3"/>
      <w:lvlJc w:val="left"/>
      <w:pPr>
        <w:ind w:left="851" w:hanging="851"/>
      </w:pPr>
      <w:rPr>
        <w:rFonts w:hint="default"/>
        <w:color w:val="00264D"/>
        <w:sz w:val="28"/>
        <w:szCs w:val="28"/>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79B7218E"/>
    <w:multiLevelType w:val="hybridMultilevel"/>
    <w:tmpl w:val="FE8E525E"/>
    <w:lvl w:ilvl="0" w:tplc="3D506FDA">
      <w:start w:val="1"/>
      <w:numFmt w:val="bullet"/>
      <w:pStyle w:val="Bullet"/>
      <w:lvlText w:val=""/>
      <w:lvlJc w:val="left"/>
      <w:pPr>
        <w:ind w:left="3884" w:hanging="340"/>
      </w:pPr>
      <w:rPr>
        <w:rFonts w:ascii="Symbol" w:hAnsi="Symbol" w:hint="default"/>
        <w:sz w:val="16"/>
      </w:rPr>
    </w:lvl>
    <w:lvl w:ilvl="1" w:tplc="168E9C4C">
      <w:start w:val="1"/>
      <w:numFmt w:val="bullet"/>
      <w:lvlText w:val=""/>
      <w:lvlJc w:val="left"/>
      <w:pPr>
        <w:ind w:left="680" w:hanging="340"/>
      </w:pPr>
      <w:rPr>
        <w:rFonts w:ascii="Symbol" w:hAnsi="Symbol" w:hint="default"/>
        <w:sz w:val="16"/>
      </w:rPr>
    </w:lvl>
    <w:lvl w:ilvl="2" w:tplc="B88EB012">
      <w:start w:val="1"/>
      <w:numFmt w:val="bullet"/>
      <w:lvlText w:val=""/>
      <w:lvlJc w:val="left"/>
      <w:pPr>
        <w:ind w:left="1134" w:hanging="454"/>
      </w:pPr>
      <w:rPr>
        <w:rFonts w:ascii="Symbol" w:hAnsi="Symbol" w:hint="default"/>
        <w:sz w:val="16"/>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49589232">
    <w:abstractNumId w:val="9"/>
  </w:num>
  <w:num w:numId="2" w16cid:durableId="826366527">
    <w:abstractNumId w:val="3"/>
  </w:num>
  <w:num w:numId="3" w16cid:durableId="2049336720">
    <w:abstractNumId w:val="5"/>
  </w:num>
  <w:num w:numId="4" w16cid:durableId="1431777580">
    <w:abstractNumId w:val="4"/>
  </w:num>
  <w:num w:numId="5" w16cid:durableId="293558453">
    <w:abstractNumId w:val="1"/>
  </w:num>
  <w:num w:numId="6" w16cid:durableId="1641884330">
    <w:abstractNumId w:val="3"/>
    <w:lvlOverride w:ilvl="0">
      <w:startOverride w:val="1"/>
    </w:lvlOverride>
  </w:num>
  <w:num w:numId="7" w16cid:durableId="1007444748">
    <w:abstractNumId w:val="6"/>
  </w:num>
  <w:num w:numId="8" w16cid:durableId="1021393297">
    <w:abstractNumId w:val="7"/>
  </w:num>
  <w:num w:numId="9" w16cid:durableId="1970165654">
    <w:abstractNumId w:val="2"/>
  </w:num>
  <w:num w:numId="10" w16cid:durableId="1677803211">
    <w:abstractNumId w:val="5"/>
  </w:num>
  <w:num w:numId="11" w16cid:durableId="1834223194">
    <w:abstractNumId w:val="8"/>
  </w:num>
  <w:num w:numId="12" w16cid:durableId="802041064">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2A3"/>
    <w:rsid w:val="00000094"/>
    <w:rsid w:val="000002BE"/>
    <w:rsid w:val="00000314"/>
    <w:rsid w:val="000005F2"/>
    <w:rsid w:val="00000876"/>
    <w:rsid w:val="0000095D"/>
    <w:rsid w:val="00000B7A"/>
    <w:rsid w:val="00000B95"/>
    <w:rsid w:val="00000F32"/>
    <w:rsid w:val="00000F86"/>
    <w:rsid w:val="00001103"/>
    <w:rsid w:val="000011D4"/>
    <w:rsid w:val="000012C5"/>
    <w:rsid w:val="0000161B"/>
    <w:rsid w:val="00001729"/>
    <w:rsid w:val="0000181E"/>
    <w:rsid w:val="0000189F"/>
    <w:rsid w:val="0000196A"/>
    <w:rsid w:val="00001B0B"/>
    <w:rsid w:val="00001C49"/>
    <w:rsid w:val="00001CCD"/>
    <w:rsid w:val="00001FC8"/>
    <w:rsid w:val="000020E4"/>
    <w:rsid w:val="0000229C"/>
    <w:rsid w:val="000023A3"/>
    <w:rsid w:val="000023C3"/>
    <w:rsid w:val="0000241F"/>
    <w:rsid w:val="0000245A"/>
    <w:rsid w:val="0000272D"/>
    <w:rsid w:val="000027D3"/>
    <w:rsid w:val="000028E2"/>
    <w:rsid w:val="000028E8"/>
    <w:rsid w:val="000028F8"/>
    <w:rsid w:val="00002AF9"/>
    <w:rsid w:val="00002BA3"/>
    <w:rsid w:val="00002BC7"/>
    <w:rsid w:val="00002C92"/>
    <w:rsid w:val="00002CA2"/>
    <w:rsid w:val="00002D9D"/>
    <w:rsid w:val="00002DB6"/>
    <w:rsid w:val="00002F6D"/>
    <w:rsid w:val="00002FC2"/>
    <w:rsid w:val="00003242"/>
    <w:rsid w:val="00003265"/>
    <w:rsid w:val="00003A98"/>
    <w:rsid w:val="00003B54"/>
    <w:rsid w:val="00003B62"/>
    <w:rsid w:val="00003C2F"/>
    <w:rsid w:val="00004048"/>
    <w:rsid w:val="00004148"/>
    <w:rsid w:val="0000426C"/>
    <w:rsid w:val="00004563"/>
    <w:rsid w:val="00004766"/>
    <w:rsid w:val="00005102"/>
    <w:rsid w:val="00005104"/>
    <w:rsid w:val="0000537F"/>
    <w:rsid w:val="000056D0"/>
    <w:rsid w:val="000057EC"/>
    <w:rsid w:val="00006275"/>
    <w:rsid w:val="0000638B"/>
    <w:rsid w:val="0000683B"/>
    <w:rsid w:val="000068B4"/>
    <w:rsid w:val="000069E5"/>
    <w:rsid w:val="00006BD6"/>
    <w:rsid w:val="00006FF8"/>
    <w:rsid w:val="0000707C"/>
    <w:rsid w:val="000073F3"/>
    <w:rsid w:val="00007408"/>
    <w:rsid w:val="00007446"/>
    <w:rsid w:val="00007456"/>
    <w:rsid w:val="000074B3"/>
    <w:rsid w:val="00007611"/>
    <w:rsid w:val="0000775D"/>
    <w:rsid w:val="00007931"/>
    <w:rsid w:val="000079C1"/>
    <w:rsid w:val="00007A3E"/>
    <w:rsid w:val="00010181"/>
    <w:rsid w:val="000102F0"/>
    <w:rsid w:val="00010487"/>
    <w:rsid w:val="000105BE"/>
    <w:rsid w:val="000106F0"/>
    <w:rsid w:val="00010853"/>
    <w:rsid w:val="00010996"/>
    <w:rsid w:val="00010A88"/>
    <w:rsid w:val="00010A9D"/>
    <w:rsid w:val="00010C82"/>
    <w:rsid w:val="00010D10"/>
    <w:rsid w:val="00010D48"/>
    <w:rsid w:val="000111AB"/>
    <w:rsid w:val="00011253"/>
    <w:rsid w:val="000112EA"/>
    <w:rsid w:val="000112F1"/>
    <w:rsid w:val="000114FD"/>
    <w:rsid w:val="000117AB"/>
    <w:rsid w:val="00011898"/>
    <w:rsid w:val="000119A2"/>
    <w:rsid w:val="00011B05"/>
    <w:rsid w:val="00011C87"/>
    <w:rsid w:val="00011D32"/>
    <w:rsid w:val="00011D43"/>
    <w:rsid w:val="00011DA4"/>
    <w:rsid w:val="00011E0E"/>
    <w:rsid w:val="00011E40"/>
    <w:rsid w:val="00011F6C"/>
    <w:rsid w:val="00011F82"/>
    <w:rsid w:val="00012074"/>
    <w:rsid w:val="000121AD"/>
    <w:rsid w:val="000124A4"/>
    <w:rsid w:val="0001254C"/>
    <w:rsid w:val="0001262A"/>
    <w:rsid w:val="000127A9"/>
    <w:rsid w:val="000128EF"/>
    <w:rsid w:val="00012A1E"/>
    <w:rsid w:val="00012DD2"/>
    <w:rsid w:val="00012E75"/>
    <w:rsid w:val="00012ECF"/>
    <w:rsid w:val="00013271"/>
    <w:rsid w:val="00013498"/>
    <w:rsid w:val="000134F9"/>
    <w:rsid w:val="00013627"/>
    <w:rsid w:val="00013638"/>
    <w:rsid w:val="000137DD"/>
    <w:rsid w:val="000137FA"/>
    <w:rsid w:val="00013B6F"/>
    <w:rsid w:val="00013C53"/>
    <w:rsid w:val="00013D7E"/>
    <w:rsid w:val="00013E26"/>
    <w:rsid w:val="00013EEE"/>
    <w:rsid w:val="00014219"/>
    <w:rsid w:val="0001431A"/>
    <w:rsid w:val="00014538"/>
    <w:rsid w:val="000149A5"/>
    <w:rsid w:val="000149EE"/>
    <w:rsid w:val="00014B2F"/>
    <w:rsid w:val="00014C03"/>
    <w:rsid w:val="00014C93"/>
    <w:rsid w:val="00014E11"/>
    <w:rsid w:val="00014FDD"/>
    <w:rsid w:val="00015199"/>
    <w:rsid w:val="000151A8"/>
    <w:rsid w:val="00015205"/>
    <w:rsid w:val="00015243"/>
    <w:rsid w:val="0001543A"/>
    <w:rsid w:val="0001544E"/>
    <w:rsid w:val="000154C9"/>
    <w:rsid w:val="000159FF"/>
    <w:rsid w:val="00015B77"/>
    <w:rsid w:val="00015BFD"/>
    <w:rsid w:val="00015CA8"/>
    <w:rsid w:val="00015D76"/>
    <w:rsid w:val="00015D9F"/>
    <w:rsid w:val="0001670B"/>
    <w:rsid w:val="00016A67"/>
    <w:rsid w:val="00016A6C"/>
    <w:rsid w:val="00016B01"/>
    <w:rsid w:val="00016F0A"/>
    <w:rsid w:val="00016F7A"/>
    <w:rsid w:val="00016FE3"/>
    <w:rsid w:val="000171E8"/>
    <w:rsid w:val="00017217"/>
    <w:rsid w:val="0001726E"/>
    <w:rsid w:val="00017567"/>
    <w:rsid w:val="000175E4"/>
    <w:rsid w:val="00017738"/>
    <w:rsid w:val="000177DD"/>
    <w:rsid w:val="000178CE"/>
    <w:rsid w:val="00017E84"/>
    <w:rsid w:val="0002003B"/>
    <w:rsid w:val="00020B8F"/>
    <w:rsid w:val="00020BB3"/>
    <w:rsid w:val="00020CBF"/>
    <w:rsid w:val="00020E6B"/>
    <w:rsid w:val="00020F56"/>
    <w:rsid w:val="00020F99"/>
    <w:rsid w:val="00020FC0"/>
    <w:rsid w:val="00021078"/>
    <w:rsid w:val="00021265"/>
    <w:rsid w:val="00021359"/>
    <w:rsid w:val="000218C8"/>
    <w:rsid w:val="000219CD"/>
    <w:rsid w:val="00021C58"/>
    <w:rsid w:val="00021EDF"/>
    <w:rsid w:val="00022452"/>
    <w:rsid w:val="000226D5"/>
    <w:rsid w:val="0002275E"/>
    <w:rsid w:val="0002276D"/>
    <w:rsid w:val="00022A92"/>
    <w:rsid w:val="00022E9D"/>
    <w:rsid w:val="00022EBB"/>
    <w:rsid w:val="00022EBF"/>
    <w:rsid w:val="00022F4A"/>
    <w:rsid w:val="00022FD7"/>
    <w:rsid w:val="000231B4"/>
    <w:rsid w:val="000233E6"/>
    <w:rsid w:val="0002342E"/>
    <w:rsid w:val="00023660"/>
    <w:rsid w:val="0002377E"/>
    <w:rsid w:val="000237A8"/>
    <w:rsid w:val="00023A23"/>
    <w:rsid w:val="00023B1A"/>
    <w:rsid w:val="00023D0D"/>
    <w:rsid w:val="00024091"/>
    <w:rsid w:val="00024251"/>
    <w:rsid w:val="000245A1"/>
    <w:rsid w:val="0002475C"/>
    <w:rsid w:val="00024817"/>
    <w:rsid w:val="00024830"/>
    <w:rsid w:val="000249AF"/>
    <w:rsid w:val="00024A79"/>
    <w:rsid w:val="00024CA0"/>
    <w:rsid w:val="00024E50"/>
    <w:rsid w:val="00024EC7"/>
    <w:rsid w:val="00024F3F"/>
    <w:rsid w:val="00024F5B"/>
    <w:rsid w:val="00025174"/>
    <w:rsid w:val="000251D9"/>
    <w:rsid w:val="0002537C"/>
    <w:rsid w:val="000253D0"/>
    <w:rsid w:val="00025614"/>
    <w:rsid w:val="00025705"/>
    <w:rsid w:val="000258F8"/>
    <w:rsid w:val="00025903"/>
    <w:rsid w:val="00025913"/>
    <w:rsid w:val="0002592F"/>
    <w:rsid w:val="00025ED4"/>
    <w:rsid w:val="00025F70"/>
    <w:rsid w:val="0002603C"/>
    <w:rsid w:val="0002608F"/>
    <w:rsid w:val="00026096"/>
    <w:rsid w:val="000260DB"/>
    <w:rsid w:val="0002649A"/>
    <w:rsid w:val="000265A9"/>
    <w:rsid w:val="000266F9"/>
    <w:rsid w:val="00026779"/>
    <w:rsid w:val="00026D2D"/>
    <w:rsid w:val="0002729E"/>
    <w:rsid w:val="000273A5"/>
    <w:rsid w:val="00027432"/>
    <w:rsid w:val="00027759"/>
    <w:rsid w:val="000278C9"/>
    <w:rsid w:val="00027A24"/>
    <w:rsid w:val="00027F8B"/>
    <w:rsid w:val="0003002F"/>
    <w:rsid w:val="0003041A"/>
    <w:rsid w:val="0003052B"/>
    <w:rsid w:val="00030A2D"/>
    <w:rsid w:val="00030CC4"/>
    <w:rsid w:val="00030D4B"/>
    <w:rsid w:val="00030D62"/>
    <w:rsid w:val="00030FB0"/>
    <w:rsid w:val="0003114A"/>
    <w:rsid w:val="00031640"/>
    <w:rsid w:val="0003165D"/>
    <w:rsid w:val="00031775"/>
    <w:rsid w:val="000317A1"/>
    <w:rsid w:val="00031AA0"/>
    <w:rsid w:val="00031DAD"/>
    <w:rsid w:val="00031DF9"/>
    <w:rsid w:val="00031F33"/>
    <w:rsid w:val="00031F3A"/>
    <w:rsid w:val="0003205A"/>
    <w:rsid w:val="00032139"/>
    <w:rsid w:val="00032215"/>
    <w:rsid w:val="0003237D"/>
    <w:rsid w:val="0003238C"/>
    <w:rsid w:val="000323A8"/>
    <w:rsid w:val="00032691"/>
    <w:rsid w:val="0003277F"/>
    <w:rsid w:val="000329AC"/>
    <w:rsid w:val="00032B3C"/>
    <w:rsid w:val="00032C7B"/>
    <w:rsid w:val="00032DDF"/>
    <w:rsid w:val="00032EBD"/>
    <w:rsid w:val="00032EBF"/>
    <w:rsid w:val="00032F52"/>
    <w:rsid w:val="00033011"/>
    <w:rsid w:val="00033725"/>
    <w:rsid w:val="00033A99"/>
    <w:rsid w:val="00033B6A"/>
    <w:rsid w:val="00033B75"/>
    <w:rsid w:val="00033B8D"/>
    <w:rsid w:val="00033BAA"/>
    <w:rsid w:val="00033F76"/>
    <w:rsid w:val="00034094"/>
    <w:rsid w:val="000341CD"/>
    <w:rsid w:val="000344E5"/>
    <w:rsid w:val="00034507"/>
    <w:rsid w:val="0003478B"/>
    <w:rsid w:val="000348E2"/>
    <w:rsid w:val="000349DE"/>
    <w:rsid w:val="000349F7"/>
    <w:rsid w:val="00034A99"/>
    <w:rsid w:val="00035236"/>
    <w:rsid w:val="00035508"/>
    <w:rsid w:val="000355BB"/>
    <w:rsid w:val="0003577B"/>
    <w:rsid w:val="00035A36"/>
    <w:rsid w:val="00035A42"/>
    <w:rsid w:val="00035CB6"/>
    <w:rsid w:val="00035D7F"/>
    <w:rsid w:val="0003639D"/>
    <w:rsid w:val="00036411"/>
    <w:rsid w:val="00036501"/>
    <w:rsid w:val="00036535"/>
    <w:rsid w:val="00036773"/>
    <w:rsid w:val="000369A6"/>
    <w:rsid w:val="00036A58"/>
    <w:rsid w:val="00036A7D"/>
    <w:rsid w:val="00036B3F"/>
    <w:rsid w:val="00036C3D"/>
    <w:rsid w:val="00036CD8"/>
    <w:rsid w:val="00036D55"/>
    <w:rsid w:val="00036E3D"/>
    <w:rsid w:val="000371AF"/>
    <w:rsid w:val="0003728A"/>
    <w:rsid w:val="00037589"/>
    <w:rsid w:val="000377F0"/>
    <w:rsid w:val="00037964"/>
    <w:rsid w:val="000379CD"/>
    <w:rsid w:val="00037AD6"/>
    <w:rsid w:val="00037C03"/>
    <w:rsid w:val="00037CC9"/>
    <w:rsid w:val="00037EF2"/>
    <w:rsid w:val="0004033A"/>
    <w:rsid w:val="00040516"/>
    <w:rsid w:val="000406B5"/>
    <w:rsid w:val="000406C4"/>
    <w:rsid w:val="000407AE"/>
    <w:rsid w:val="00040861"/>
    <w:rsid w:val="00040906"/>
    <w:rsid w:val="000409D2"/>
    <w:rsid w:val="00040D51"/>
    <w:rsid w:val="00040D6C"/>
    <w:rsid w:val="00041071"/>
    <w:rsid w:val="000410D4"/>
    <w:rsid w:val="00041458"/>
    <w:rsid w:val="00041483"/>
    <w:rsid w:val="000414F1"/>
    <w:rsid w:val="000418DB"/>
    <w:rsid w:val="00041957"/>
    <w:rsid w:val="000419BA"/>
    <w:rsid w:val="00041A74"/>
    <w:rsid w:val="00041B8A"/>
    <w:rsid w:val="00041C20"/>
    <w:rsid w:val="00041CC0"/>
    <w:rsid w:val="00041EA5"/>
    <w:rsid w:val="00041F96"/>
    <w:rsid w:val="00042062"/>
    <w:rsid w:val="0004210E"/>
    <w:rsid w:val="000421F5"/>
    <w:rsid w:val="00042300"/>
    <w:rsid w:val="00042406"/>
    <w:rsid w:val="000424CD"/>
    <w:rsid w:val="0004278E"/>
    <w:rsid w:val="00042909"/>
    <w:rsid w:val="00042963"/>
    <w:rsid w:val="00042A95"/>
    <w:rsid w:val="00042B82"/>
    <w:rsid w:val="00042C69"/>
    <w:rsid w:val="00042F40"/>
    <w:rsid w:val="00043178"/>
    <w:rsid w:val="00043194"/>
    <w:rsid w:val="000437E2"/>
    <w:rsid w:val="0004381C"/>
    <w:rsid w:val="00043B93"/>
    <w:rsid w:val="00043BA6"/>
    <w:rsid w:val="00043DED"/>
    <w:rsid w:val="0004417E"/>
    <w:rsid w:val="000441F1"/>
    <w:rsid w:val="00044B3D"/>
    <w:rsid w:val="00044BD0"/>
    <w:rsid w:val="00044C03"/>
    <w:rsid w:val="00044CD4"/>
    <w:rsid w:val="00044D69"/>
    <w:rsid w:val="00044E91"/>
    <w:rsid w:val="00044F51"/>
    <w:rsid w:val="0004502E"/>
    <w:rsid w:val="00045401"/>
    <w:rsid w:val="000457CC"/>
    <w:rsid w:val="000459B9"/>
    <w:rsid w:val="000459D8"/>
    <w:rsid w:val="00045E6C"/>
    <w:rsid w:val="00045EA2"/>
    <w:rsid w:val="00045F07"/>
    <w:rsid w:val="0004617A"/>
    <w:rsid w:val="000461A0"/>
    <w:rsid w:val="000461AC"/>
    <w:rsid w:val="00046313"/>
    <w:rsid w:val="000463F1"/>
    <w:rsid w:val="000464D0"/>
    <w:rsid w:val="000464F5"/>
    <w:rsid w:val="00046505"/>
    <w:rsid w:val="00046530"/>
    <w:rsid w:val="00046557"/>
    <w:rsid w:val="000466C6"/>
    <w:rsid w:val="00046C86"/>
    <w:rsid w:val="00046D82"/>
    <w:rsid w:val="00046E6F"/>
    <w:rsid w:val="00046E8D"/>
    <w:rsid w:val="000470CA"/>
    <w:rsid w:val="00047304"/>
    <w:rsid w:val="0004745C"/>
    <w:rsid w:val="000474CC"/>
    <w:rsid w:val="000476A4"/>
    <w:rsid w:val="00047963"/>
    <w:rsid w:val="00047A48"/>
    <w:rsid w:val="00047AB0"/>
    <w:rsid w:val="00047AF1"/>
    <w:rsid w:val="00047B26"/>
    <w:rsid w:val="00047D62"/>
    <w:rsid w:val="000502C6"/>
    <w:rsid w:val="000502E9"/>
    <w:rsid w:val="000503F3"/>
    <w:rsid w:val="00050573"/>
    <w:rsid w:val="000506F5"/>
    <w:rsid w:val="000508C1"/>
    <w:rsid w:val="00050B41"/>
    <w:rsid w:val="00050D67"/>
    <w:rsid w:val="00050FE8"/>
    <w:rsid w:val="0005106D"/>
    <w:rsid w:val="00051124"/>
    <w:rsid w:val="00051207"/>
    <w:rsid w:val="000513FF"/>
    <w:rsid w:val="000515E7"/>
    <w:rsid w:val="00051747"/>
    <w:rsid w:val="00051825"/>
    <w:rsid w:val="0005183F"/>
    <w:rsid w:val="00051CAD"/>
    <w:rsid w:val="00051E58"/>
    <w:rsid w:val="00051EFA"/>
    <w:rsid w:val="00051F9F"/>
    <w:rsid w:val="00052123"/>
    <w:rsid w:val="00052274"/>
    <w:rsid w:val="00052448"/>
    <w:rsid w:val="0005244E"/>
    <w:rsid w:val="000526D6"/>
    <w:rsid w:val="00052BC4"/>
    <w:rsid w:val="00052E46"/>
    <w:rsid w:val="00053558"/>
    <w:rsid w:val="00053775"/>
    <w:rsid w:val="000539EE"/>
    <w:rsid w:val="00053A83"/>
    <w:rsid w:val="00053BEA"/>
    <w:rsid w:val="00053D39"/>
    <w:rsid w:val="00053FC7"/>
    <w:rsid w:val="00053FE1"/>
    <w:rsid w:val="0005433B"/>
    <w:rsid w:val="000543ED"/>
    <w:rsid w:val="0005457A"/>
    <w:rsid w:val="00054633"/>
    <w:rsid w:val="00054887"/>
    <w:rsid w:val="000548B1"/>
    <w:rsid w:val="00054B60"/>
    <w:rsid w:val="00054BD8"/>
    <w:rsid w:val="00054BDE"/>
    <w:rsid w:val="00054C4A"/>
    <w:rsid w:val="00054C97"/>
    <w:rsid w:val="00054F1B"/>
    <w:rsid w:val="000551F5"/>
    <w:rsid w:val="00055229"/>
    <w:rsid w:val="00055386"/>
    <w:rsid w:val="000553BA"/>
    <w:rsid w:val="00055410"/>
    <w:rsid w:val="000554EC"/>
    <w:rsid w:val="00055561"/>
    <w:rsid w:val="0005556E"/>
    <w:rsid w:val="00055681"/>
    <w:rsid w:val="0005576D"/>
    <w:rsid w:val="000559B2"/>
    <w:rsid w:val="00055AFD"/>
    <w:rsid w:val="00055CB1"/>
    <w:rsid w:val="00055D1F"/>
    <w:rsid w:val="00055D84"/>
    <w:rsid w:val="000566F0"/>
    <w:rsid w:val="000568B4"/>
    <w:rsid w:val="000568EF"/>
    <w:rsid w:val="00056E7B"/>
    <w:rsid w:val="000570DD"/>
    <w:rsid w:val="00057489"/>
    <w:rsid w:val="0005757A"/>
    <w:rsid w:val="00057629"/>
    <w:rsid w:val="00057737"/>
    <w:rsid w:val="000578AE"/>
    <w:rsid w:val="0005794F"/>
    <w:rsid w:val="00057B40"/>
    <w:rsid w:val="00057CE3"/>
    <w:rsid w:val="00057F00"/>
    <w:rsid w:val="00057FCF"/>
    <w:rsid w:val="00057FD5"/>
    <w:rsid w:val="00060128"/>
    <w:rsid w:val="0006026A"/>
    <w:rsid w:val="0006042E"/>
    <w:rsid w:val="00060522"/>
    <w:rsid w:val="000605F7"/>
    <w:rsid w:val="0006064A"/>
    <w:rsid w:val="000606C9"/>
    <w:rsid w:val="0006070E"/>
    <w:rsid w:val="00060789"/>
    <w:rsid w:val="00060914"/>
    <w:rsid w:val="00060918"/>
    <w:rsid w:val="000609E8"/>
    <w:rsid w:val="00060AF9"/>
    <w:rsid w:val="00060C2B"/>
    <w:rsid w:val="00060CAD"/>
    <w:rsid w:val="00060CD0"/>
    <w:rsid w:val="00060D0A"/>
    <w:rsid w:val="00060E37"/>
    <w:rsid w:val="000610BD"/>
    <w:rsid w:val="00061344"/>
    <w:rsid w:val="0006164C"/>
    <w:rsid w:val="0006184E"/>
    <w:rsid w:val="000618DE"/>
    <w:rsid w:val="00061D32"/>
    <w:rsid w:val="00061E8B"/>
    <w:rsid w:val="00061FD2"/>
    <w:rsid w:val="00062373"/>
    <w:rsid w:val="000623DD"/>
    <w:rsid w:val="0006242C"/>
    <w:rsid w:val="00062552"/>
    <w:rsid w:val="000625C2"/>
    <w:rsid w:val="00062B11"/>
    <w:rsid w:val="00063067"/>
    <w:rsid w:val="0006345B"/>
    <w:rsid w:val="0006348B"/>
    <w:rsid w:val="0006358C"/>
    <w:rsid w:val="000638A2"/>
    <w:rsid w:val="00063A45"/>
    <w:rsid w:val="00063CD9"/>
    <w:rsid w:val="00063EAF"/>
    <w:rsid w:val="000640B9"/>
    <w:rsid w:val="00064601"/>
    <w:rsid w:val="000647C6"/>
    <w:rsid w:val="000647E5"/>
    <w:rsid w:val="00064C6B"/>
    <w:rsid w:val="00064CC1"/>
    <w:rsid w:val="00064E03"/>
    <w:rsid w:val="00064ECB"/>
    <w:rsid w:val="00064FF9"/>
    <w:rsid w:val="0006513C"/>
    <w:rsid w:val="0006514C"/>
    <w:rsid w:val="00065183"/>
    <w:rsid w:val="000655A9"/>
    <w:rsid w:val="0006574C"/>
    <w:rsid w:val="00065804"/>
    <w:rsid w:val="000658AC"/>
    <w:rsid w:val="00065B83"/>
    <w:rsid w:val="00065C01"/>
    <w:rsid w:val="00065CB8"/>
    <w:rsid w:val="00065D9F"/>
    <w:rsid w:val="0006602B"/>
    <w:rsid w:val="00066079"/>
    <w:rsid w:val="000661BB"/>
    <w:rsid w:val="000661DD"/>
    <w:rsid w:val="000662E1"/>
    <w:rsid w:val="00066322"/>
    <w:rsid w:val="00066426"/>
    <w:rsid w:val="000665A4"/>
    <w:rsid w:val="000665B4"/>
    <w:rsid w:val="00066601"/>
    <w:rsid w:val="0006673D"/>
    <w:rsid w:val="00066935"/>
    <w:rsid w:val="00066BBE"/>
    <w:rsid w:val="00066F56"/>
    <w:rsid w:val="000673BA"/>
    <w:rsid w:val="00067601"/>
    <w:rsid w:val="000678C7"/>
    <w:rsid w:val="000678F0"/>
    <w:rsid w:val="00067B5E"/>
    <w:rsid w:val="00067B77"/>
    <w:rsid w:val="00067D91"/>
    <w:rsid w:val="00067DB2"/>
    <w:rsid w:val="00070044"/>
    <w:rsid w:val="0007007B"/>
    <w:rsid w:val="00070121"/>
    <w:rsid w:val="00070293"/>
    <w:rsid w:val="00070928"/>
    <w:rsid w:val="00070B71"/>
    <w:rsid w:val="00070C1D"/>
    <w:rsid w:val="00070C5F"/>
    <w:rsid w:val="00070C9C"/>
    <w:rsid w:val="00070CA2"/>
    <w:rsid w:val="00070D62"/>
    <w:rsid w:val="00070FFD"/>
    <w:rsid w:val="00071158"/>
    <w:rsid w:val="000714EF"/>
    <w:rsid w:val="00071538"/>
    <w:rsid w:val="0007169B"/>
    <w:rsid w:val="00071834"/>
    <w:rsid w:val="00071896"/>
    <w:rsid w:val="000719B7"/>
    <w:rsid w:val="000719F1"/>
    <w:rsid w:val="00071A02"/>
    <w:rsid w:val="00071A21"/>
    <w:rsid w:val="00071C00"/>
    <w:rsid w:val="00071CBC"/>
    <w:rsid w:val="00071D3E"/>
    <w:rsid w:val="00071DFF"/>
    <w:rsid w:val="00072082"/>
    <w:rsid w:val="00072434"/>
    <w:rsid w:val="00072497"/>
    <w:rsid w:val="000724DB"/>
    <w:rsid w:val="000725E2"/>
    <w:rsid w:val="00072797"/>
    <w:rsid w:val="000727D0"/>
    <w:rsid w:val="000728F6"/>
    <w:rsid w:val="00072965"/>
    <w:rsid w:val="000729F0"/>
    <w:rsid w:val="00072ADB"/>
    <w:rsid w:val="00072ADF"/>
    <w:rsid w:val="00072DC2"/>
    <w:rsid w:val="00072E73"/>
    <w:rsid w:val="00072EDF"/>
    <w:rsid w:val="00073203"/>
    <w:rsid w:val="00073759"/>
    <w:rsid w:val="00073A28"/>
    <w:rsid w:val="00073ACD"/>
    <w:rsid w:val="00073B36"/>
    <w:rsid w:val="00073C20"/>
    <w:rsid w:val="00073CAA"/>
    <w:rsid w:val="00073D49"/>
    <w:rsid w:val="00073D62"/>
    <w:rsid w:val="00073E00"/>
    <w:rsid w:val="00074204"/>
    <w:rsid w:val="0007427F"/>
    <w:rsid w:val="000745F7"/>
    <w:rsid w:val="000745FF"/>
    <w:rsid w:val="00074726"/>
    <w:rsid w:val="00074D11"/>
    <w:rsid w:val="00074F0D"/>
    <w:rsid w:val="00075014"/>
    <w:rsid w:val="0007510A"/>
    <w:rsid w:val="000752AE"/>
    <w:rsid w:val="0007557D"/>
    <w:rsid w:val="00075898"/>
    <w:rsid w:val="00075930"/>
    <w:rsid w:val="00075949"/>
    <w:rsid w:val="0007598A"/>
    <w:rsid w:val="00075BC7"/>
    <w:rsid w:val="00075F51"/>
    <w:rsid w:val="00076196"/>
    <w:rsid w:val="000762E6"/>
    <w:rsid w:val="0007634F"/>
    <w:rsid w:val="000768FE"/>
    <w:rsid w:val="00076900"/>
    <w:rsid w:val="00076ACD"/>
    <w:rsid w:val="00076B1C"/>
    <w:rsid w:val="00076C89"/>
    <w:rsid w:val="00076CE5"/>
    <w:rsid w:val="00076D0B"/>
    <w:rsid w:val="00076DAE"/>
    <w:rsid w:val="000770AD"/>
    <w:rsid w:val="000771C4"/>
    <w:rsid w:val="00077A00"/>
    <w:rsid w:val="00077BAB"/>
    <w:rsid w:val="00077BCA"/>
    <w:rsid w:val="00077E46"/>
    <w:rsid w:val="00077EF7"/>
    <w:rsid w:val="000801BC"/>
    <w:rsid w:val="000802F0"/>
    <w:rsid w:val="0008043B"/>
    <w:rsid w:val="0008064D"/>
    <w:rsid w:val="0008070A"/>
    <w:rsid w:val="00080781"/>
    <w:rsid w:val="00080B64"/>
    <w:rsid w:val="00080FE2"/>
    <w:rsid w:val="0008110A"/>
    <w:rsid w:val="000811EA"/>
    <w:rsid w:val="00081221"/>
    <w:rsid w:val="0008131C"/>
    <w:rsid w:val="00081372"/>
    <w:rsid w:val="000813EB"/>
    <w:rsid w:val="000814F4"/>
    <w:rsid w:val="00081704"/>
    <w:rsid w:val="00081C4A"/>
    <w:rsid w:val="00081CD9"/>
    <w:rsid w:val="00081D09"/>
    <w:rsid w:val="00081E46"/>
    <w:rsid w:val="00081E8E"/>
    <w:rsid w:val="00081EAF"/>
    <w:rsid w:val="000821E7"/>
    <w:rsid w:val="0008230D"/>
    <w:rsid w:val="0008239C"/>
    <w:rsid w:val="0008248C"/>
    <w:rsid w:val="00082529"/>
    <w:rsid w:val="00082615"/>
    <w:rsid w:val="00082649"/>
    <w:rsid w:val="000826A5"/>
    <w:rsid w:val="000826D3"/>
    <w:rsid w:val="00082BCC"/>
    <w:rsid w:val="00082BFC"/>
    <w:rsid w:val="00082C5E"/>
    <w:rsid w:val="00082CF4"/>
    <w:rsid w:val="00082CF8"/>
    <w:rsid w:val="00082EBC"/>
    <w:rsid w:val="0008310D"/>
    <w:rsid w:val="00083244"/>
    <w:rsid w:val="00083729"/>
    <w:rsid w:val="000837EE"/>
    <w:rsid w:val="000838FC"/>
    <w:rsid w:val="0008394E"/>
    <w:rsid w:val="00083D0C"/>
    <w:rsid w:val="00083F7A"/>
    <w:rsid w:val="00083FC0"/>
    <w:rsid w:val="00084284"/>
    <w:rsid w:val="000843D8"/>
    <w:rsid w:val="000844E0"/>
    <w:rsid w:val="00084566"/>
    <w:rsid w:val="00084885"/>
    <w:rsid w:val="00084D55"/>
    <w:rsid w:val="00084F48"/>
    <w:rsid w:val="000850D7"/>
    <w:rsid w:val="00085380"/>
    <w:rsid w:val="00085488"/>
    <w:rsid w:val="000854A8"/>
    <w:rsid w:val="00085707"/>
    <w:rsid w:val="0008573F"/>
    <w:rsid w:val="00085798"/>
    <w:rsid w:val="00085A03"/>
    <w:rsid w:val="00085A67"/>
    <w:rsid w:val="00085A84"/>
    <w:rsid w:val="00085AF2"/>
    <w:rsid w:val="00085B69"/>
    <w:rsid w:val="00085C6F"/>
    <w:rsid w:val="00085CC1"/>
    <w:rsid w:val="00085D16"/>
    <w:rsid w:val="00086016"/>
    <w:rsid w:val="0008606C"/>
    <w:rsid w:val="000864A5"/>
    <w:rsid w:val="000865BD"/>
    <w:rsid w:val="00086655"/>
    <w:rsid w:val="00086717"/>
    <w:rsid w:val="00086723"/>
    <w:rsid w:val="00086A22"/>
    <w:rsid w:val="00086F4E"/>
    <w:rsid w:val="00086FC2"/>
    <w:rsid w:val="0008715E"/>
    <w:rsid w:val="000871A0"/>
    <w:rsid w:val="000872F0"/>
    <w:rsid w:val="00087439"/>
    <w:rsid w:val="00087456"/>
    <w:rsid w:val="000876CF"/>
    <w:rsid w:val="0008792D"/>
    <w:rsid w:val="00087D3E"/>
    <w:rsid w:val="00087D74"/>
    <w:rsid w:val="00087F7B"/>
    <w:rsid w:val="00087FE1"/>
    <w:rsid w:val="000901AF"/>
    <w:rsid w:val="00090216"/>
    <w:rsid w:val="00090256"/>
    <w:rsid w:val="000902E8"/>
    <w:rsid w:val="00090316"/>
    <w:rsid w:val="00090413"/>
    <w:rsid w:val="000904DD"/>
    <w:rsid w:val="00090638"/>
    <w:rsid w:val="000906B1"/>
    <w:rsid w:val="000906BA"/>
    <w:rsid w:val="000906FF"/>
    <w:rsid w:val="000909C0"/>
    <w:rsid w:val="00090A50"/>
    <w:rsid w:val="00090F76"/>
    <w:rsid w:val="00090F9D"/>
    <w:rsid w:val="00090FE3"/>
    <w:rsid w:val="00091018"/>
    <w:rsid w:val="0009104B"/>
    <w:rsid w:val="000910DA"/>
    <w:rsid w:val="00091104"/>
    <w:rsid w:val="0009120C"/>
    <w:rsid w:val="000913ED"/>
    <w:rsid w:val="00091458"/>
    <w:rsid w:val="000914D5"/>
    <w:rsid w:val="000916EB"/>
    <w:rsid w:val="00091730"/>
    <w:rsid w:val="000917AF"/>
    <w:rsid w:val="000919F9"/>
    <w:rsid w:val="00091C57"/>
    <w:rsid w:val="00091CCF"/>
    <w:rsid w:val="00091E0D"/>
    <w:rsid w:val="00091F73"/>
    <w:rsid w:val="00092126"/>
    <w:rsid w:val="000921AE"/>
    <w:rsid w:val="000921CA"/>
    <w:rsid w:val="000924EB"/>
    <w:rsid w:val="00092665"/>
    <w:rsid w:val="00092883"/>
    <w:rsid w:val="0009289B"/>
    <w:rsid w:val="00092A3E"/>
    <w:rsid w:val="00092A44"/>
    <w:rsid w:val="00092B7C"/>
    <w:rsid w:val="00092C55"/>
    <w:rsid w:val="00092CCB"/>
    <w:rsid w:val="00092FAB"/>
    <w:rsid w:val="00093436"/>
    <w:rsid w:val="0009355A"/>
    <w:rsid w:val="000936F5"/>
    <w:rsid w:val="00093892"/>
    <w:rsid w:val="0009396D"/>
    <w:rsid w:val="00093A69"/>
    <w:rsid w:val="00093DE0"/>
    <w:rsid w:val="0009457B"/>
    <w:rsid w:val="00094803"/>
    <w:rsid w:val="000948BC"/>
    <w:rsid w:val="00094981"/>
    <w:rsid w:val="00094996"/>
    <w:rsid w:val="000949D1"/>
    <w:rsid w:val="00094BA2"/>
    <w:rsid w:val="00094E76"/>
    <w:rsid w:val="0009504C"/>
    <w:rsid w:val="000953C7"/>
    <w:rsid w:val="00095410"/>
    <w:rsid w:val="00095473"/>
    <w:rsid w:val="00095626"/>
    <w:rsid w:val="000956F8"/>
    <w:rsid w:val="0009574C"/>
    <w:rsid w:val="0009576C"/>
    <w:rsid w:val="000958A4"/>
    <w:rsid w:val="00095ED6"/>
    <w:rsid w:val="00095F07"/>
    <w:rsid w:val="00095F87"/>
    <w:rsid w:val="00095F90"/>
    <w:rsid w:val="000963E9"/>
    <w:rsid w:val="0009652E"/>
    <w:rsid w:val="00096597"/>
    <w:rsid w:val="0009665B"/>
    <w:rsid w:val="00096984"/>
    <w:rsid w:val="00096A05"/>
    <w:rsid w:val="00096ABF"/>
    <w:rsid w:val="00096D34"/>
    <w:rsid w:val="00096DCF"/>
    <w:rsid w:val="00097027"/>
    <w:rsid w:val="00097031"/>
    <w:rsid w:val="000970BF"/>
    <w:rsid w:val="000970F6"/>
    <w:rsid w:val="00097151"/>
    <w:rsid w:val="00097182"/>
    <w:rsid w:val="000972C8"/>
    <w:rsid w:val="00097485"/>
    <w:rsid w:val="00097552"/>
    <w:rsid w:val="00097739"/>
    <w:rsid w:val="000977BC"/>
    <w:rsid w:val="00097939"/>
    <w:rsid w:val="00097BAD"/>
    <w:rsid w:val="00097F62"/>
    <w:rsid w:val="000A0414"/>
    <w:rsid w:val="000A054C"/>
    <w:rsid w:val="000A05B2"/>
    <w:rsid w:val="000A08E9"/>
    <w:rsid w:val="000A08FD"/>
    <w:rsid w:val="000A0AA9"/>
    <w:rsid w:val="000A0B06"/>
    <w:rsid w:val="000A0CD3"/>
    <w:rsid w:val="000A0D7F"/>
    <w:rsid w:val="000A0F43"/>
    <w:rsid w:val="000A11FB"/>
    <w:rsid w:val="000A1282"/>
    <w:rsid w:val="000A12B8"/>
    <w:rsid w:val="000A14D4"/>
    <w:rsid w:val="000A1951"/>
    <w:rsid w:val="000A1CD3"/>
    <w:rsid w:val="000A1D6A"/>
    <w:rsid w:val="000A1E36"/>
    <w:rsid w:val="000A222D"/>
    <w:rsid w:val="000A260E"/>
    <w:rsid w:val="000A26EF"/>
    <w:rsid w:val="000A2706"/>
    <w:rsid w:val="000A2757"/>
    <w:rsid w:val="000A2762"/>
    <w:rsid w:val="000A2B6D"/>
    <w:rsid w:val="000A2CED"/>
    <w:rsid w:val="000A2DA8"/>
    <w:rsid w:val="000A2E73"/>
    <w:rsid w:val="000A2EAB"/>
    <w:rsid w:val="000A3680"/>
    <w:rsid w:val="000A3830"/>
    <w:rsid w:val="000A3895"/>
    <w:rsid w:val="000A3907"/>
    <w:rsid w:val="000A39BD"/>
    <w:rsid w:val="000A3CA7"/>
    <w:rsid w:val="000A3E26"/>
    <w:rsid w:val="000A3E7D"/>
    <w:rsid w:val="000A3E90"/>
    <w:rsid w:val="000A3F5B"/>
    <w:rsid w:val="000A4097"/>
    <w:rsid w:val="000A422F"/>
    <w:rsid w:val="000A4406"/>
    <w:rsid w:val="000A477D"/>
    <w:rsid w:val="000A48F9"/>
    <w:rsid w:val="000A490E"/>
    <w:rsid w:val="000A49E4"/>
    <w:rsid w:val="000A4C28"/>
    <w:rsid w:val="000A4C47"/>
    <w:rsid w:val="000A52B0"/>
    <w:rsid w:val="000A580C"/>
    <w:rsid w:val="000A5927"/>
    <w:rsid w:val="000A59A7"/>
    <w:rsid w:val="000A5AD1"/>
    <w:rsid w:val="000A5B56"/>
    <w:rsid w:val="000A5BD6"/>
    <w:rsid w:val="000A6056"/>
    <w:rsid w:val="000A60C9"/>
    <w:rsid w:val="000A649D"/>
    <w:rsid w:val="000A69CF"/>
    <w:rsid w:val="000A7110"/>
    <w:rsid w:val="000A71F6"/>
    <w:rsid w:val="000A7490"/>
    <w:rsid w:val="000A749B"/>
    <w:rsid w:val="000A7544"/>
    <w:rsid w:val="000A763D"/>
    <w:rsid w:val="000A7735"/>
    <w:rsid w:val="000A777F"/>
    <w:rsid w:val="000A7817"/>
    <w:rsid w:val="000A7847"/>
    <w:rsid w:val="000A797D"/>
    <w:rsid w:val="000A79AE"/>
    <w:rsid w:val="000A7AAF"/>
    <w:rsid w:val="000A7AE1"/>
    <w:rsid w:val="000A7BB2"/>
    <w:rsid w:val="000A7BCE"/>
    <w:rsid w:val="000A7C26"/>
    <w:rsid w:val="000A7DA7"/>
    <w:rsid w:val="000A7DD7"/>
    <w:rsid w:val="000A7FD1"/>
    <w:rsid w:val="000B0375"/>
    <w:rsid w:val="000B07F4"/>
    <w:rsid w:val="000B0950"/>
    <w:rsid w:val="000B09E5"/>
    <w:rsid w:val="000B0BA4"/>
    <w:rsid w:val="000B0E41"/>
    <w:rsid w:val="000B0EC1"/>
    <w:rsid w:val="000B11C5"/>
    <w:rsid w:val="000B1208"/>
    <w:rsid w:val="000B150A"/>
    <w:rsid w:val="000B154F"/>
    <w:rsid w:val="000B165F"/>
    <w:rsid w:val="000B1875"/>
    <w:rsid w:val="000B1883"/>
    <w:rsid w:val="000B1919"/>
    <w:rsid w:val="000B19D4"/>
    <w:rsid w:val="000B1B00"/>
    <w:rsid w:val="000B1C20"/>
    <w:rsid w:val="000B1D58"/>
    <w:rsid w:val="000B1DA3"/>
    <w:rsid w:val="000B1E9F"/>
    <w:rsid w:val="000B1F62"/>
    <w:rsid w:val="000B2049"/>
    <w:rsid w:val="000B205B"/>
    <w:rsid w:val="000B25D8"/>
    <w:rsid w:val="000B2685"/>
    <w:rsid w:val="000B2782"/>
    <w:rsid w:val="000B2948"/>
    <w:rsid w:val="000B2955"/>
    <w:rsid w:val="000B29C3"/>
    <w:rsid w:val="000B2A9F"/>
    <w:rsid w:val="000B2C16"/>
    <w:rsid w:val="000B2D28"/>
    <w:rsid w:val="000B2F71"/>
    <w:rsid w:val="000B3164"/>
    <w:rsid w:val="000B3180"/>
    <w:rsid w:val="000B351C"/>
    <w:rsid w:val="000B3520"/>
    <w:rsid w:val="000B3702"/>
    <w:rsid w:val="000B3BA5"/>
    <w:rsid w:val="000B3C72"/>
    <w:rsid w:val="000B3F91"/>
    <w:rsid w:val="000B3FB1"/>
    <w:rsid w:val="000B40A4"/>
    <w:rsid w:val="000B411B"/>
    <w:rsid w:val="000B41EA"/>
    <w:rsid w:val="000B4294"/>
    <w:rsid w:val="000B4404"/>
    <w:rsid w:val="000B462E"/>
    <w:rsid w:val="000B46AC"/>
    <w:rsid w:val="000B496F"/>
    <w:rsid w:val="000B4C16"/>
    <w:rsid w:val="000B4CAD"/>
    <w:rsid w:val="000B4D0B"/>
    <w:rsid w:val="000B5014"/>
    <w:rsid w:val="000B51BB"/>
    <w:rsid w:val="000B53A6"/>
    <w:rsid w:val="000B53FB"/>
    <w:rsid w:val="000B5606"/>
    <w:rsid w:val="000B58C7"/>
    <w:rsid w:val="000B5CCB"/>
    <w:rsid w:val="000B5D10"/>
    <w:rsid w:val="000B5DF2"/>
    <w:rsid w:val="000B5E03"/>
    <w:rsid w:val="000B5EA6"/>
    <w:rsid w:val="000B6123"/>
    <w:rsid w:val="000B6210"/>
    <w:rsid w:val="000B658B"/>
    <w:rsid w:val="000B65E2"/>
    <w:rsid w:val="000B6C7F"/>
    <w:rsid w:val="000B6CA2"/>
    <w:rsid w:val="000B6E32"/>
    <w:rsid w:val="000B6F2B"/>
    <w:rsid w:val="000B718C"/>
    <w:rsid w:val="000B74B9"/>
    <w:rsid w:val="000B7722"/>
    <w:rsid w:val="000B7BA1"/>
    <w:rsid w:val="000B7E8D"/>
    <w:rsid w:val="000C0008"/>
    <w:rsid w:val="000C00BB"/>
    <w:rsid w:val="000C0505"/>
    <w:rsid w:val="000C07EB"/>
    <w:rsid w:val="000C0A6A"/>
    <w:rsid w:val="000C0AA3"/>
    <w:rsid w:val="000C0B3F"/>
    <w:rsid w:val="000C0BAC"/>
    <w:rsid w:val="000C0CE1"/>
    <w:rsid w:val="000C0EA6"/>
    <w:rsid w:val="000C0EDA"/>
    <w:rsid w:val="000C10DA"/>
    <w:rsid w:val="000C12B6"/>
    <w:rsid w:val="000C145D"/>
    <w:rsid w:val="000C1C2A"/>
    <w:rsid w:val="000C1C81"/>
    <w:rsid w:val="000C1C9F"/>
    <w:rsid w:val="000C1CB4"/>
    <w:rsid w:val="000C1DD8"/>
    <w:rsid w:val="000C1E5C"/>
    <w:rsid w:val="000C1FA9"/>
    <w:rsid w:val="000C205C"/>
    <w:rsid w:val="000C2239"/>
    <w:rsid w:val="000C226B"/>
    <w:rsid w:val="000C2840"/>
    <w:rsid w:val="000C2D5B"/>
    <w:rsid w:val="000C3337"/>
    <w:rsid w:val="000C3423"/>
    <w:rsid w:val="000C34F6"/>
    <w:rsid w:val="000C366D"/>
    <w:rsid w:val="000C3757"/>
    <w:rsid w:val="000C37A4"/>
    <w:rsid w:val="000C3AAD"/>
    <w:rsid w:val="000C3ABA"/>
    <w:rsid w:val="000C3CD2"/>
    <w:rsid w:val="000C3D99"/>
    <w:rsid w:val="000C408A"/>
    <w:rsid w:val="000C42D6"/>
    <w:rsid w:val="000C4376"/>
    <w:rsid w:val="000C4668"/>
    <w:rsid w:val="000C46D2"/>
    <w:rsid w:val="000C4727"/>
    <w:rsid w:val="000C490D"/>
    <w:rsid w:val="000C4932"/>
    <w:rsid w:val="000C4AF5"/>
    <w:rsid w:val="000C4BE0"/>
    <w:rsid w:val="000C4DE5"/>
    <w:rsid w:val="000C4E90"/>
    <w:rsid w:val="000C50E7"/>
    <w:rsid w:val="000C521B"/>
    <w:rsid w:val="000C5227"/>
    <w:rsid w:val="000C5550"/>
    <w:rsid w:val="000C55F0"/>
    <w:rsid w:val="000C5AC3"/>
    <w:rsid w:val="000C5AE9"/>
    <w:rsid w:val="000C61E6"/>
    <w:rsid w:val="000C61E7"/>
    <w:rsid w:val="000C61FB"/>
    <w:rsid w:val="000C626D"/>
    <w:rsid w:val="000C6284"/>
    <w:rsid w:val="000C655E"/>
    <w:rsid w:val="000C65B6"/>
    <w:rsid w:val="000C67FC"/>
    <w:rsid w:val="000C6820"/>
    <w:rsid w:val="000C6995"/>
    <w:rsid w:val="000C6BCA"/>
    <w:rsid w:val="000C6CD1"/>
    <w:rsid w:val="000C6FF4"/>
    <w:rsid w:val="000C7588"/>
    <w:rsid w:val="000C761E"/>
    <w:rsid w:val="000C7704"/>
    <w:rsid w:val="000C7B49"/>
    <w:rsid w:val="000C7CFC"/>
    <w:rsid w:val="000C7FAF"/>
    <w:rsid w:val="000D00FE"/>
    <w:rsid w:val="000D024B"/>
    <w:rsid w:val="000D041C"/>
    <w:rsid w:val="000D048A"/>
    <w:rsid w:val="000D0726"/>
    <w:rsid w:val="000D07EF"/>
    <w:rsid w:val="000D0ACA"/>
    <w:rsid w:val="000D0AEB"/>
    <w:rsid w:val="000D0AEC"/>
    <w:rsid w:val="000D0B2C"/>
    <w:rsid w:val="000D1028"/>
    <w:rsid w:val="000D10C0"/>
    <w:rsid w:val="000D1510"/>
    <w:rsid w:val="000D1660"/>
    <w:rsid w:val="000D185B"/>
    <w:rsid w:val="000D1912"/>
    <w:rsid w:val="000D19FE"/>
    <w:rsid w:val="000D1A1A"/>
    <w:rsid w:val="000D1B08"/>
    <w:rsid w:val="000D1C04"/>
    <w:rsid w:val="000D1CFF"/>
    <w:rsid w:val="000D1DA3"/>
    <w:rsid w:val="000D228F"/>
    <w:rsid w:val="000D23D7"/>
    <w:rsid w:val="000D26ED"/>
    <w:rsid w:val="000D2A8F"/>
    <w:rsid w:val="000D2C38"/>
    <w:rsid w:val="000D2D8D"/>
    <w:rsid w:val="000D2F57"/>
    <w:rsid w:val="000D2F65"/>
    <w:rsid w:val="000D2FAA"/>
    <w:rsid w:val="000D2FB2"/>
    <w:rsid w:val="000D300B"/>
    <w:rsid w:val="000D3191"/>
    <w:rsid w:val="000D32EE"/>
    <w:rsid w:val="000D343A"/>
    <w:rsid w:val="000D3603"/>
    <w:rsid w:val="000D3727"/>
    <w:rsid w:val="000D391C"/>
    <w:rsid w:val="000D3A08"/>
    <w:rsid w:val="000D3AC7"/>
    <w:rsid w:val="000D3B1E"/>
    <w:rsid w:val="000D3CE5"/>
    <w:rsid w:val="000D3EEE"/>
    <w:rsid w:val="000D3F04"/>
    <w:rsid w:val="000D404B"/>
    <w:rsid w:val="000D40CA"/>
    <w:rsid w:val="000D419D"/>
    <w:rsid w:val="000D41B6"/>
    <w:rsid w:val="000D4683"/>
    <w:rsid w:val="000D4696"/>
    <w:rsid w:val="000D499C"/>
    <w:rsid w:val="000D4A55"/>
    <w:rsid w:val="000D4B93"/>
    <w:rsid w:val="000D4C32"/>
    <w:rsid w:val="000D4E21"/>
    <w:rsid w:val="000D502B"/>
    <w:rsid w:val="000D5294"/>
    <w:rsid w:val="000D53CF"/>
    <w:rsid w:val="000D58BF"/>
    <w:rsid w:val="000D59B5"/>
    <w:rsid w:val="000D5B4C"/>
    <w:rsid w:val="000D5C13"/>
    <w:rsid w:val="000D5CE3"/>
    <w:rsid w:val="000D5FA5"/>
    <w:rsid w:val="000D6056"/>
    <w:rsid w:val="000D638B"/>
    <w:rsid w:val="000D697E"/>
    <w:rsid w:val="000D69DB"/>
    <w:rsid w:val="000D6D8F"/>
    <w:rsid w:val="000D6EAB"/>
    <w:rsid w:val="000D701D"/>
    <w:rsid w:val="000D7285"/>
    <w:rsid w:val="000D74E5"/>
    <w:rsid w:val="000D767B"/>
    <w:rsid w:val="000D7780"/>
    <w:rsid w:val="000D77A6"/>
    <w:rsid w:val="000D7C6A"/>
    <w:rsid w:val="000D7DFD"/>
    <w:rsid w:val="000E04A8"/>
    <w:rsid w:val="000E04B2"/>
    <w:rsid w:val="000E1136"/>
    <w:rsid w:val="000E1270"/>
    <w:rsid w:val="000E1444"/>
    <w:rsid w:val="000E1461"/>
    <w:rsid w:val="000E15B2"/>
    <w:rsid w:val="000E1600"/>
    <w:rsid w:val="000E167D"/>
    <w:rsid w:val="000E19F3"/>
    <w:rsid w:val="000E2635"/>
    <w:rsid w:val="000E2C46"/>
    <w:rsid w:val="000E2EA0"/>
    <w:rsid w:val="000E2FB8"/>
    <w:rsid w:val="000E3175"/>
    <w:rsid w:val="000E32C5"/>
    <w:rsid w:val="000E334A"/>
    <w:rsid w:val="000E34F8"/>
    <w:rsid w:val="000E3617"/>
    <w:rsid w:val="000E3642"/>
    <w:rsid w:val="000E3A15"/>
    <w:rsid w:val="000E3A8A"/>
    <w:rsid w:val="000E3A96"/>
    <w:rsid w:val="000E3AA4"/>
    <w:rsid w:val="000E3AAC"/>
    <w:rsid w:val="000E3B72"/>
    <w:rsid w:val="000E3CEC"/>
    <w:rsid w:val="000E3D0D"/>
    <w:rsid w:val="000E3D22"/>
    <w:rsid w:val="000E3E41"/>
    <w:rsid w:val="000E3FFD"/>
    <w:rsid w:val="000E480E"/>
    <w:rsid w:val="000E4A6D"/>
    <w:rsid w:val="000E4AB1"/>
    <w:rsid w:val="000E4B88"/>
    <w:rsid w:val="000E4CD7"/>
    <w:rsid w:val="000E51AD"/>
    <w:rsid w:val="000E51F1"/>
    <w:rsid w:val="000E54E4"/>
    <w:rsid w:val="000E5586"/>
    <w:rsid w:val="000E55DB"/>
    <w:rsid w:val="000E562B"/>
    <w:rsid w:val="000E5651"/>
    <w:rsid w:val="000E5700"/>
    <w:rsid w:val="000E579E"/>
    <w:rsid w:val="000E593D"/>
    <w:rsid w:val="000E5C4F"/>
    <w:rsid w:val="000E5C63"/>
    <w:rsid w:val="000E5C67"/>
    <w:rsid w:val="000E5D67"/>
    <w:rsid w:val="000E5FD2"/>
    <w:rsid w:val="000E6052"/>
    <w:rsid w:val="000E6080"/>
    <w:rsid w:val="000E60E9"/>
    <w:rsid w:val="000E6174"/>
    <w:rsid w:val="000E61F3"/>
    <w:rsid w:val="000E6401"/>
    <w:rsid w:val="000E6439"/>
    <w:rsid w:val="000E67E6"/>
    <w:rsid w:val="000E6840"/>
    <w:rsid w:val="000E685E"/>
    <w:rsid w:val="000E68AD"/>
    <w:rsid w:val="000E6B27"/>
    <w:rsid w:val="000E6B7F"/>
    <w:rsid w:val="000E6E2F"/>
    <w:rsid w:val="000E6E3D"/>
    <w:rsid w:val="000E6E81"/>
    <w:rsid w:val="000E7347"/>
    <w:rsid w:val="000E7590"/>
    <w:rsid w:val="000E759C"/>
    <w:rsid w:val="000E799C"/>
    <w:rsid w:val="000E7B10"/>
    <w:rsid w:val="000E7B7C"/>
    <w:rsid w:val="000E7C09"/>
    <w:rsid w:val="000E7C84"/>
    <w:rsid w:val="000E7CB7"/>
    <w:rsid w:val="000E7DB4"/>
    <w:rsid w:val="000E7E00"/>
    <w:rsid w:val="000E7E5C"/>
    <w:rsid w:val="000F002B"/>
    <w:rsid w:val="000F002D"/>
    <w:rsid w:val="000F00B4"/>
    <w:rsid w:val="000F00D1"/>
    <w:rsid w:val="000F0338"/>
    <w:rsid w:val="000F0374"/>
    <w:rsid w:val="000F059B"/>
    <w:rsid w:val="000F068C"/>
    <w:rsid w:val="000F08FD"/>
    <w:rsid w:val="000F0950"/>
    <w:rsid w:val="000F0A46"/>
    <w:rsid w:val="000F0BF4"/>
    <w:rsid w:val="000F0E90"/>
    <w:rsid w:val="000F1028"/>
    <w:rsid w:val="000F113B"/>
    <w:rsid w:val="000F115A"/>
    <w:rsid w:val="000F1298"/>
    <w:rsid w:val="000F12EA"/>
    <w:rsid w:val="000F133E"/>
    <w:rsid w:val="000F1590"/>
    <w:rsid w:val="000F1826"/>
    <w:rsid w:val="000F1B4C"/>
    <w:rsid w:val="000F1CE7"/>
    <w:rsid w:val="000F1D4A"/>
    <w:rsid w:val="000F1EC4"/>
    <w:rsid w:val="000F1F12"/>
    <w:rsid w:val="000F2036"/>
    <w:rsid w:val="000F204B"/>
    <w:rsid w:val="000F21FC"/>
    <w:rsid w:val="000F22C9"/>
    <w:rsid w:val="000F23F2"/>
    <w:rsid w:val="000F2418"/>
    <w:rsid w:val="000F24C5"/>
    <w:rsid w:val="000F2538"/>
    <w:rsid w:val="000F2619"/>
    <w:rsid w:val="000F2764"/>
    <w:rsid w:val="000F2EF7"/>
    <w:rsid w:val="000F3072"/>
    <w:rsid w:val="000F312E"/>
    <w:rsid w:val="000F31A8"/>
    <w:rsid w:val="000F31CB"/>
    <w:rsid w:val="000F354D"/>
    <w:rsid w:val="000F38ED"/>
    <w:rsid w:val="000F3A71"/>
    <w:rsid w:val="000F3B37"/>
    <w:rsid w:val="000F3DF5"/>
    <w:rsid w:val="000F4156"/>
    <w:rsid w:val="000F43A9"/>
    <w:rsid w:val="000F45C7"/>
    <w:rsid w:val="000F464D"/>
    <w:rsid w:val="000F4661"/>
    <w:rsid w:val="000F4823"/>
    <w:rsid w:val="000F48B9"/>
    <w:rsid w:val="000F4A06"/>
    <w:rsid w:val="000F4A48"/>
    <w:rsid w:val="000F4CE9"/>
    <w:rsid w:val="000F4DC1"/>
    <w:rsid w:val="000F4E6A"/>
    <w:rsid w:val="000F4EB8"/>
    <w:rsid w:val="000F5000"/>
    <w:rsid w:val="000F529D"/>
    <w:rsid w:val="000F52FA"/>
    <w:rsid w:val="000F530A"/>
    <w:rsid w:val="000F5821"/>
    <w:rsid w:val="000F588B"/>
    <w:rsid w:val="000F5BC1"/>
    <w:rsid w:val="000F5CDA"/>
    <w:rsid w:val="000F5E23"/>
    <w:rsid w:val="000F60F9"/>
    <w:rsid w:val="000F624A"/>
    <w:rsid w:val="000F66DA"/>
    <w:rsid w:val="000F6839"/>
    <w:rsid w:val="000F68C2"/>
    <w:rsid w:val="000F6959"/>
    <w:rsid w:val="000F6BD0"/>
    <w:rsid w:val="000F6D3A"/>
    <w:rsid w:val="000F70D3"/>
    <w:rsid w:val="000F7305"/>
    <w:rsid w:val="000F7496"/>
    <w:rsid w:val="000F7574"/>
    <w:rsid w:val="000F75E2"/>
    <w:rsid w:val="000F7D45"/>
    <w:rsid w:val="000F7E5A"/>
    <w:rsid w:val="000F7F30"/>
    <w:rsid w:val="001000BF"/>
    <w:rsid w:val="001001E2"/>
    <w:rsid w:val="001003D2"/>
    <w:rsid w:val="0010072E"/>
    <w:rsid w:val="00100742"/>
    <w:rsid w:val="00100BCE"/>
    <w:rsid w:val="00100BFC"/>
    <w:rsid w:val="00100C74"/>
    <w:rsid w:val="00100CD6"/>
    <w:rsid w:val="00100CFD"/>
    <w:rsid w:val="00100D4B"/>
    <w:rsid w:val="00100D7B"/>
    <w:rsid w:val="00100EC1"/>
    <w:rsid w:val="00100F6D"/>
    <w:rsid w:val="0010149F"/>
    <w:rsid w:val="001019FE"/>
    <w:rsid w:val="00101B35"/>
    <w:rsid w:val="0010202B"/>
    <w:rsid w:val="001020F8"/>
    <w:rsid w:val="001023ED"/>
    <w:rsid w:val="00102513"/>
    <w:rsid w:val="00102591"/>
    <w:rsid w:val="001026EF"/>
    <w:rsid w:val="00102AA5"/>
    <w:rsid w:val="00102B7A"/>
    <w:rsid w:val="00102B80"/>
    <w:rsid w:val="00102BEF"/>
    <w:rsid w:val="00103020"/>
    <w:rsid w:val="001030DE"/>
    <w:rsid w:val="0010320D"/>
    <w:rsid w:val="00103B42"/>
    <w:rsid w:val="00103B8F"/>
    <w:rsid w:val="00103D62"/>
    <w:rsid w:val="00103E0F"/>
    <w:rsid w:val="00104103"/>
    <w:rsid w:val="00104364"/>
    <w:rsid w:val="0010436B"/>
    <w:rsid w:val="0010441A"/>
    <w:rsid w:val="001044BC"/>
    <w:rsid w:val="00104589"/>
    <w:rsid w:val="0010462B"/>
    <w:rsid w:val="00104637"/>
    <w:rsid w:val="0010469F"/>
    <w:rsid w:val="001048F7"/>
    <w:rsid w:val="00104A25"/>
    <w:rsid w:val="00104A86"/>
    <w:rsid w:val="0010513B"/>
    <w:rsid w:val="001051DF"/>
    <w:rsid w:val="001051E0"/>
    <w:rsid w:val="001052C4"/>
    <w:rsid w:val="00105356"/>
    <w:rsid w:val="001054F1"/>
    <w:rsid w:val="001057E2"/>
    <w:rsid w:val="0010597B"/>
    <w:rsid w:val="0010598F"/>
    <w:rsid w:val="001059C1"/>
    <w:rsid w:val="00105A2A"/>
    <w:rsid w:val="00105AD4"/>
    <w:rsid w:val="00105D7D"/>
    <w:rsid w:val="00105FE2"/>
    <w:rsid w:val="00105FFC"/>
    <w:rsid w:val="00106012"/>
    <w:rsid w:val="001063B3"/>
    <w:rsid w:val="0010665C"/>
    <w:rsid w:val="00106A02"/>
    <w:rsid w:val="00106A91"/>
    <w:rsid w:val="00106E28"/>
    <w:rsid w:val="00106E95"/>
    <w:rsid w:val="00106F67"/>
    <w:rsid w:val="00107038"/>
    <w:rsid w:val="001070A2"/>
    <w:rsid w:val="00107921"/>
    <w:rsid w:val="0010796C"/>
    <w:rsid w:val="00107C04"/>
    <w:rsid w:val="00107E3F"/>
    <w:rsid w:val="00107ED6"/>
    <w:rsid w:val="0011023F"/>
    <w:rsid w:val="0011050F"/>
    <w:rsid w:val="00110856"/>
    <w:rsid w:val="0011088A"/>
    <w:rsid w:val="00110936"/>
    <w:rsid w:val="00110991"/>
    <w:rsid w:val="001109A0"/>
    <w:rsid w:val="00110D4C"/>
    <w:rsid w:val="00110E06"/>
    <w:rsid w:val="00110F98"/>
    <w:rsid w:val="0011109E"/>
    <w:rsid w:val="001110A8"/>
    <w:rsid w:val="0011116E"/>
    <w:rsid w:val="00111253"/>
    <w:rsid w:val="00111471"/>
    <w:rsid w:val="001114B9"/>
    <w:rsid w:val="001114BA"/>
    <w:rsid w:val="00111774"/>
    <w:rsid w:val="0011199A"/>
    <w:rsid w:val="00111AA3"/>
    <w:rsid w:val="00111AC4"/>
    <w:rsid w:val="00111B52"/>
    <w:rsid w:val="00111DA1"/>
    <w:rsid w:val="00111E24"/>
    <w:rsid w:val="00111E87"/>
    <w:rsid w:val="00111ED3"/>
    <w:rsid w:val="001120F5"/>
    <w:rsid w:val="001121CB"/>
    <w:rsid w:val="0011242E"/>
    <w:rsid w:val="00112695"/>
    <w:rsid w:val="001126C7"/>
    <w:rsid w:val="00112803"/>
    <w:rsid w:val="00112979"/>
    <w:rsid w:val="00112993"/>
    <w:rsid w:val="00112BF0"/>
    <w:rsid w:val="00112D66"/>
    <w:rsid w:val="00112DD2"/>
    <w:rsid w:val="00112DD5"/>
    <w:rsid w:val="00112DF1"/>
    <w:rsid w:val="00112F06"/>
    <w:rsid w:val="00112FCF"/>
    <w:rsid w:val="00113004"/>
    <w:rsid w:val="0011307F"/>
    <w:rsid w:val="001133BF"/>
    <w:rsid w:val="0011345B"/>
    <w:rsid w:val="00113534"/>
    <w:rsid w:val="001135AC"/>
    <w:rsid w:val="00113780"/>
    <w:rsid w:val="00113AA8"/>
    <w:rsid w:val="00113C45"/>
    <w:rsid w:val="00113E09"/>
    <w:rsid w:val="00113F8B"/>
    <w:rsid w:val="00114042"/>
    <w:rsid w:val="001140AC"/>
    <w:rsid w:val="00114181"/>
    <w:rsid w:val="001142B1"/>
    <w:rsid w:val="001142DB"/>
    <w:rsid w:val="00114341"/>
    <w:rsid w:val="001143AB"/>
    <w:rsid w:val="001145F9"/>
    <w:rsid w:val="00114751"/>
    <w:rsid w:val="00114770"/>
    <w:rsid w:val="00114772"/>
    <w:rsid w:val="001148C3"/>
    <w:rsid w:val="001148CA"/>
    <w:rsid w:val="00114CE1"/>
    <w:rsid w:val="00114D3D"/>
    <w:rsid w:val="00114F02"/>
    <w:rsid w:val="00114F2D"/>
    <w:rsid w:val="00114F8C"/>
    <w:rsid w:val="0011515C"/>
    <w:rsid w:val="0011535E"/>
    <w:rsid w:val="00115416"/>
    <w:rsid w:val="00115764"/>
    <w:rsid w:val="001158C0"/>
    <w:rsid w:val="00115B58"/>
    <w:rsid w:val="00115CB4"/>
    <w:rsid w:val="00115E68"/>
    <w:rsid w:val="0011624B"/>
    <w:rsid w:val="0011626E"/>
    <w:rsid w:val="00116299"/>
    <w:rsid w:val="00116615"/>
    <w:rsid w:val="00116657"/>
    <w:rsid w:val="001167CC"/>
    <w:rsid w:val="00116DD8"/>
    <w:rsid w:val="00116E17"/>
    <w:rsid w:val="001170F1"/>
    <w:rsid w:val="001171D0"/>
    <w:rsid w:val="00117340"/>
    <w:rsid w:val="001173A2"/>
    <w:rsid w:val="00117412"/>
    <w:rsid w:val="001178B8"/>
    <w:rsid w:val="001178E0"/>
    <w:rsid w:val="00117A3B"/>
    <w:rsid w:val="00117A53"/>
    <w:rsid w:val="00117D14"/>
    <w:rsid w:val="00117FDF"/>
    <w:rsid w:val="00120133"/>
    <w:rsid w:val="0012029A"/>
    <w:rsid w:val="001206D4"/>
    <w:rsid w:val="00120906"/>
    <w:rsid w:val="0012098E"/>
    <w:rsid w:val="00120A3C"/>
    <w:rsid w:val="00120ABA"/>
    <w:rsid w:val="00120C7C"/>
    <w:rsid w:val="00120D51"/>
    <w:rsid w:val="00121110"/>
    <w:rsid w:val="00121325"/>
    <w:rsid w:val="001213FD"/>
    <w:rsid w:val="001215BC"/>
    <w:rsid w:val="0012162F"/>
    <w:rsid w:val="001216BC"/>
    <w:rsid w:val="001219A5"/>
    <w:rsid w:val="00121A18"/>
    <w:rsid w:val="00121A98"/>
    <w:rsid w:val="00121B17"/>
    <w:rsid w:val="00121CDA"/>
    <w:rsid w:val="00121E1B"/>
    <w:rsid w:val="00121E39"/>
    <w:rsid w:val="00121E67"/>
    <w:rsid w:val="00122046"/>
    <w:rsid w:val="0012221E"/>
    <w:rsid w:val="0012237C"/>
    <w:rsid w:val="00122552"/>
    <w:rsid w:val="00122719"/>
    <w:rsid w:val="00122BDD"/>
    <w:rsid w:val="001233BA"/>
    <w:rsid w:val="0012356A"/>
    <w:rsid w:val="00123C9C"/>
    <w:rsid w:val="00123CC6"/>
    <w:rsid w:val="00123F65"/>
    <w:rsid w:val="001240D0"/>
    <w:rsid w:val="00124169"/>
    <w:rsid w:val="0012427E"/>
    <w:rsid w:val="001243F5"/>
    <w:rsid w:val="0012440D"/>
    <w:rsid w:val="001244F2"/>
    <w:rsid w:val="001245ED"/>
    <w:rsid w:val="001246C7"/>
    <w:rsid w:val="00124747"/>
    <w:rsid w:val="0012477A"/>
    <w:rsid w:val="001248F6"/>
    <w:rsid w:val="00124917"/>
    <w:rsid w:val="00124A60"/>
    <w:rsid w:val="00124A80"/>
    <w:rsid w:val="00124CDE"/>
    <w:rsid w:val="0012500E"/>
    <w:rsid w:val="001253D9"/>
    <w:rsid w:val="00125513"/>
    <w:rsid w:val="001256B3"/>
    <w:rsid w:val="001256D5"/>
    <w:rsid w:val="00125A63"/>
    <w:rsid w:val="00125A7B"/>
    <w:rsid w:val="00125AB1"/>
    <w:rsid w:val="00125C4D"/>
    <w:rsid w:val="00125CDA"/>
    <w:rsid w:val="00125CF4"/>
    <w:rsid w:val="00125DC9"/>
    <w:rsid w:val="001262DA"/>
    <w:rsid w:val="001267C8"/>
    <w:rsid w:val="00126CBE"/>
    <w:rsid w:val="00126D4C"/>
    <w:rsid w:val="00126F79"/>
    <w:rsid w:val="0012702F"/>
    <w:rsid w:val="0012715D"/>
    <w:rsid w:val="001271F0"/>
    <w:rsid w:val="00127261"/>
    <w:rsid w:val="001272E9"/>
    <w:rsid w:val="0012746C"/>
    <w:rsid w:val="00127A68"/>
    <w:rsid w:val="00127DFE"/>
    <w:rsid w:val="001301CA"/>
    <w:rsid w:val="00130364"/>
    <w:rsid w:val="0013036F"/>
    <w:rsid w:val="001305C9"/>
    <w:rsid w:val="00130881"/>
    <w:rsid w:val="00130896"/>
    <w:rsid w:val="00130991"/>
    <w:rsid w:val="00130B3F"/>
    <w:rsid w:val="00130C1D"/>
    <w:rsid w:val="00130E67"/>
    <w:rsid w:val="00130FFF"/>
    <w:rsid w:val="001314F0"/>
    <w:rsid w:val="0013198E"/>
    <w:rsid w:val="00131A92"/>
    <w:rsid w:val="00131BC1"/>
    <w:rsid w:val="00131DD4"/>
    <w:rsid w:val="00131E74"/>
    <w:rsid w:val="00131E75"/>
    <w:rsid w:val="00131E9A"/>
    <w:rsid w:val="001322CA"/>
    <w:rsid w:val="001323EE"/>
    <w:rsid w:val="001323F8"/>
    <w:rsid w:val="00132437"/>
    <w:rsid w:val="001324C1"/>
    <w:rsid w:val="001325F9"/>
    <w:rsid w:val="001327A1"/>
    <w:rsid w:val="001327C5"/>
    <w:rsid w:val="00132A2B"/>
    <w:rsid w:val="00132BBF"/>
    <w:rsid w:val="00132BEE"/>
    <w:rsid w:val="00132CCD"/>
    <w:rsid w:val="00132D31"/>
    <w:rsid w:val="00132FC1"/>
    <w:rsid w:val="0013321F"/>
    <w:rsid w:val="0013325A"/>
    <w:rsid w:val="001332BA"/>
    <w:rsid w:val="0013348E"/>
    <w:rsid w:val="001335AE"/>
    <w:rsid w:val="00133645"/>
    <w:rsid w:val="00133C48"/>
    <w:rsid w:val="00133ECF"/>
    <w:rsid w:val="00133FCB"/>
    <w:rsid w:val="0013412E"/>
    <w:rsid w:val="0013448A"/>
    <w:rsid w:val="00134762"/>
    <w:rsid w:val="001348D7"/>
    <w:rsid w:val="00134B59"/>
    <w:rsid w:val="00134E1E"/>
    <w:rsid w:val="00134FD6"/>
    <w:rsid w:val="00135021"/>
    <w:rsid w:val="0013510B"/>
    <w:rsid w:val="0013530A"/>
    <w:rsid w:val="0013542D"/>
    <w:rsid w:val="0013544A"/>
    <w:rsid w:val="001355AB"/>
    <w:rsid w:val="001355DE"/>
    <w:rsid w:val="001355FA"/>
    <w:rsid w:val="00135604"/>
    <w:rsid w:val="0013580B"/>
    <w:rsid w:val="00135908"/>
    <w:rsid w:val="00135933"/>
    <w:rsid w:val="00135AD6"/>
    <w:rsid w:val="00135B5E"/>
    <w:rsid w:val="00135C4A"/>
    <w:rsid w:val="00135D6C"/>
    <w:rsid w:val="00135E37"/>
    <w:rsid w:val="00136170"/>
    <w:rsid w:val="00136429"/>
    <w:rsid w:val="001364B6"/>
    <w:rsid w:val="0013654F"/>
    <w:rsid w:val="001366EE"/>
    <w:rsid w:val="0013683D"/>
    <w:rsid w:val="00136ACA"/>
    <w:rsid w:val="00136D0D"/>
    <w:rsid w:val="00136D15"/>
    <w:rsid w:val="00136D23"/>
    <w:rsid w:val="00136E1B"/>
    <w:rsid w:val="00136FC1"/>
    <w:rsid w:val="0013705F"/>
    <w:rsid w:val="001374CA"/>
    <w:rsid w:val="001375EA"/>
    <w:rsid w:val="00137697"/>
    <w:rsid w:val="0013778D"/>
    <w:rsid w:val="00137A43"/>
    <w:rsid w:val="00140046"/>
    <w:rsid w:val="00140301"/>
    <w:rsid w:val="001403D2"/>
    <w:rsid w:val="001405B5"/>
    <w:rsid w:val="00140880"/>
    <w:rsid w:val="00140E07"/>
    <w:rsid w:val="00140FB4"/>
    <w:rsid w:val="0014105D"/>
    <w:rsid w:val="001411CE"/>
    <w:rsid w:val="001411CF"/>
    <w:rsid w:val="0014158E"/>
    <w:rsid w:val="001415A5"/>
    <w:rsid w:val="001416D3"/>
    <w:rsid w:val="00141842"/>
    <w:rsid w:val="001418C0"/>
    <w:rsid w:val="00141944"/>
    <w:rsid w:val="00141ABD"/>
    <w:rsid w:val="00141B8C"/>
    <w:rsid w:val="00141C0A"/>
    <w:rsid w:val="00141F05"/>
    <w:rsid w:val="00141F36"/>
    <w:rsid w:val="00142136"/>
    <w:rsid w:val="001422F5"/>
    <w:rsid w:val="001424F6"/>
    <w:rsid w:val="001425E1"/>
    <w:rsid w:val="00142800"/>
    <w:rsid w:val="001428C8"/>
    <w:rsid w:val="00142ABD"/>
    <w:rsid w:val="00142AC9"/>
    <w:rsid w:val="00142BB2"/>
    <w:rsid w:val="00142FC8"/>
    <w:rsid w:val="00142FF5"/>
    <w:rsid w:val="001430D5"/>
    <w:rsid w:val="00143371"/>
    <w:rsid w:val="00143900"/>
    <w:rsid w:val="00143C97"/>
    <w:rsid w:val="00143F63"/>
    <w:rsid w:val="00143FEF"/>
    <w:rsid w:val="0014408B"/>
    <w:rsid w:val="0014429A"/>
    <w:rsid w:val="001442EC"/>
    <w:rsid w:val="0014478B"/>
    <w:rsid w:val="001449E0"/>
    <w:rsid w:val="00144B96"/>
    <w:rsid w:val="00144BC3"/>
    <w:rsid w:val="00144C50"/>
    <w:rsid w:val="00144C7B"/>
    <w:rsid w:val="00144CBF"/>
    <w:rsid w:val="00144DB2"/>
    <w:rsid w:val="00144F95"/>
    <w:rsid w:val="00145004"/>
    <w:rsid w:val="0014515B"/>
    <w:rsid w:val="00145265"/>
    <w:rsid w:val="00145363"/>
    <w:rsid w:val="001454BE"/>
    <w:rsid w:val="00145656"/>
    <w:rsid w:val="001459B6"/>
    <w:rsid w:val="00146409"/>
    <w:rsid w:val="00146558"/>
    <w:rsid w:val="00146794"/>
    <w:rsid w:val="001468D3"/>
    <w:rsid w:val="00146942"/>
    <w:rsid w:val="00146B0E"/>
    <w:rsid w:val="00146E92"/>
    <w:rsid w:val="00146F9D"/>
    <w:rsid w:val="001470BC"/>
    <w:rsid w:val="0014715C"/>
    <w:rsid w:val="0014727D"/>
    <w:rsid w:val="00147A67"/>
    <w:rsid w:val="00147B34"/>
    <w:rsid w:val="00147B60"/>
    <w:rsid w:val="00147D59"/>
    <w:rsid w:val="00147D89"/>
    <w:rsid w:val="00147E00"/>
    <w:rsid w:val="001500D9"/>
    <w:rsid w:val="001501C3"/>
    <w:rsid w:val="0015025D"/>
    <w:rsid w:val="00150584"/>
    <w:rsid w:val="001505B7"/>
    <w:rsid w:val="00150656"/>
    <w:rsid w:val="0015073A"/>
    <w:rsid w:val="001508B3"/>
    <w:rsid w:val="001509DF"/>
    <w:rsid w:val="00150A02"/>
    <w:rsid w:val="00150A73"/>
    <w:rsid w:val="001514A4"/>
    <w:rsid w:val="001516C4"/>
    <w:rsid w:val="001518CE"/>
    <w:rsid w:val="00151965"/>
    <w:rsid w:val="00151972"/>
    <w:rsid w:val="00151F1B"/>
    <w:rsid w:val="00152033"/>
    <w:rsid w:val="00152105"/>
    <w:rsid w:val="0015243B"/>
    <w:rsid w:val="00152664"/>
    <w:rsid w:val="0015275E"/>
    <w:rsid w:val="001528B5"/>
    <w:rsid w:val="00152A6F"/>
    <w:rsid w:val="00152CE5"/>
    <w:rsid w:val="00152DD3"/>
    <w:rsid w:val="00153098"/>
    <w:rsid w:val="0015336E"/>
    <w:rsid w:val="00153530"/>
    <w:rsid w:val="001535EC"/>
    <w:rsid w:val="001536A2"/>
    <w:rsid w:val="001538C6"/>
    <w:rsid w:val="00153BF2"/>
    <w:rsid w:val="00153C71"/>
    <w:rsid w:val="00153DC5"/>
    <w:rsid w:val="00153E49"/>
    <w:rsid w:val="00153EBD"/>
    <w:rsid w:val="00154053"/>
    <w:rsid w:val="0015422F"/>
    <w:rsid w:val="001542B8"/>
    <w:rsid w:val="0015447A"/>
    <w:rsid w:val="0015491F"/>
    <w:rsid w:val="00154CA8"/>
    <w:rsid w:val="00154E58"/>
    <w:rsid w:val="00154E5F"/>
    <w:rsid w:val="0015505E"/>
    <w:rsid w:val="001551A0"/>
    <w:rsid w:val="001552FC"/>
    <w:rsid w:val="0015544E"/>
    <w:rsid w:val="001554D0"/>
    <w:rsid w:val="001556A0"/>
    <w:rsid w:val="0015583E"/>
    <w:rsid w:val="00155888"/>
    <w:rsid w:val="00155996"/>
    <w:rsid w:val="00155C65"/>
    <w:rsid w:val="00155C70"/>
    <w:rsid w:val="00155D1B"/>
    <w:rsid w:val="00155DD2"/>
    <w:rsid w:val="00155DF7"/>
    <w:rsid w:val="0015611C"/>
    <w:rsid w:val="0015635F"/>
    <w:rsid w:val="0015641D"/>
    <w:rsid w:val="0015642D"/>
    <w:rsid w:val="001564E1"/>
    <w:rsid w:val="001565FB"/>
    <w:rsid w:val="001566B2"/>
    <w:rsid w:val="001568A5"/>
    <w:rsid w:val="001568DE"/>
    <w:rsid w:val="00156B70"/>
    <w:rsid w:val="00157380"/>
    <w:rsid w:val="00157383"/>
    <w:rsid w:val="00157514"/>
    <w:rsid w:val="0015753C"/>
    <w:rsid w:val="00157841"/>
    <w:rsid w:val="00157971"/>
    <w:rsid w:val="00157CA0"/>
    <w:rsid w:val="00157CD9"/>
    <w:rsid w:val="00157CEC"/>
    <w:rsid w:val="00157ED0"/>
    <w:rsid w:val="00157F7A"/>
    <w:rsid w:val="001605B4"/>
    <w:rsid w:val="0016077F"/>
    <w:rsid w:val="001607EB"/>
    <w:rsid w:val="001608EF"/>
    <w:rsid w:val="001609BF"/>
    <w:rsid w:val="00160E69"/>
    <w:rsid w:val="00161307"/>
    <w:rsid w:val="0016136E"/>
    <w:rsid w:val="001613C9"/>
    <w:rsid w:val="001615A1"/>
    <w:rsid w:val="0016176B"/>
    <w:rsid w:val="00161809"/>
    <w:rsid w:val="001618F2"/>
    <w:rsid w:val="00161A2D"/>
    <w:rsid w:val="00161A39"/>
    <w:rsid w:val="00161A98"/>
    <w:rsid w:val="00161AEC"/>
    <w:rsid w:val="00161E59"/>
    <w:rsid w:val="00162026"/>
    <w:rsid w:val="0016220E"/>
    <w:rsid w:val="001623D8"/>
    <w:rsid w:val="00162A7E"/>
    <w:rsid w:val="00162AD9"/>
    <w:rsid w:val="00162B28"/>
    <w:rsid w:val="00162BCD"/>
    <w:rsid w:val="00162C49"/>
    <w:rsid w:val="00162C4C"/>
    <w:rsid w:val="001630E0"/>
    <w:rsid w:val="001631A0"/>
    <w:rsid w:val="001633FB"/>
    <w:rsid w:val="0016364D"/>
    <w:rsid w:val="00163705"/>
    <w:rsid w:val="001637AD"/>
    <w:rsid w:val="001637BB"/>
    <w:rsid w:val="00163B53"/>
    <w:rsid w:val="00163B8A"/>
    <w:rsid w:val="00163CBD"/>
    <w:rsid w:val="00163D22"/>
    <w:rsid w:val="00163D58"/>
    <w:rsid w:val="00163E61"/>
    <w:rsid w:val="00163E65"/>
    <w:rsid w:val="00163FA7"/>
    <w:rsid w:val="00163FEC"/>
    <w:rsid w:val="001640CB"/>
    <w:rsid w:val="001640DA"/>
    <w:rsid w:val="0016416D"/>
    <w:rsid w:val="001641FF"/>
    <w:rsid w:val="00164396"/>
    <w:rsid w:val="001647F6"/>
    <w:rsid w:val="00164A95"/>
    <w:rsid w:val="00164AA5"/>
    <w:rsid w:val="00164BAC"/>
    <w:rsid w:val="00164BBC"/>
    <w:rsid w:val="00164D8F"/>
    <w:rsid w:val="0016523A"/>
    <w:rsid w:val="0016531A"/>
    <w:rsid w:val="001655DB"/>
    <w:rsid w:val="001657CD"/>
    <w:rsid w:val="00165B91"/>
    <w:rsid w:val="00165EB1"/>
    <w:rsid w:val="00165FAD"/>
    <w:rsid w:val="00166044"/>
    <w:rsid w:val="001660B5"/>
    <w:rsid w:val="00166345"/>
    <w:rsid w:val="00166348"/>
    <w:rsid w:val="001665BE"/>
    <w:rsid w:val="0016688B"/>
    <w:rsid w:val="00166A36"/>
    <w:rsid w:val="00166B04"/>
    <w:rsid w:val="00166DAA"/>
    <w:rsid w:val="00166F5E"/>
    <w:rsid w:val="0016725E"/>
    <w:rsid w:val="00167261"/>
    <w:rsid w:val="001674E5"/>
    <w:rsid w:val="001675A1"/>
    <w:rsid w:val="001675F1"/>
    <w:rsid w:val="00167838"/>
    <w:rsid w:val="00167BD2"/>
    <w:rsid w:val="00167DB8"/>
    <w:rsid w:val="00167E82"/>
    <w:rsid w:val="00167F34"/>
    <w:rsid w:val="00167F6B"/>
    <w:rsid w:val="00167F6E"/>
    <w:rsid w:val="0017030C"/>
    <w:rsid w:val="00170401"/>
    <w:rsid w:val="00170523"/>
    <w:rsid w:val="001705A4"/>
    <w:rsid w:val="001706CA"/>
    <w:rsid w:val="0017071E"/>
    <w:rsid w:val="00170753"/>
    <w:rsid w:val="00170787"/>
    <w:rsid w:val="001708AA"/>
    <w:rsid w:val="001708DE"/>
    <w:rsid w:val="00170B4F"/>
    <w:rsid w:val="00170C1B"/>
    <w:rsid w:val="00170C8F"/>
    <w:rsid w:val="00170E70"/>
    <w:rsid w:val="00170F53"/>
    <w:rsid w:val="00171078"/>
    <w:rsid w:val="001711C5"/>
    <w:rsid w:val="001712B9"/>
    <w:rsid w:val="0017136D"/>
    <w:rsid w:val="001713D0"/>
    <w:rsid w:val="001714EA"/>
    <w:rsid w:val="001716C6"/>
    <w:rsid w:val="00171AB3"/>
    <w:rsid w:val="00171C17"/>
    <w:rsid w:val="00171CA3"/>
    <w:rsid w:val="00171D17"/>
    <w:rsid w:val="00171DF3"/>
    <w:rsid w:val="00171E85"/>
    <w:rsid w:val="00171F71"/>
    <w:rsid w:val="0017203A"/>
    <w:rsid w:val="001721F5"/>
    <w:rsid w:val="00172279"/>
    <w:rsid w:val="00172280"/>
    <w:rsid w:val="0017229D"/>
    <w:rsid w:val="0017268C"/>
    <w:rsid w:val="001727DD"/>
    <w:rsid w:val="00172A6D"/>
    <w:rsid w:val="00172ADC"/>
    <w:rsid w:val="00172BBE"/>
    <w:rsid w:val="00172D86"/>
    <w:rsid w:val="00172DF4"/>
    <w:rsid w:val="00172E40"/>
    <w:rsid w:val="00172EA8"/>
    <w:rsid w:val="00172F3D"/>
    <w:rsid w:val="00172FB8"/>
    <w:rsid w:val="00172FBC"/>
    <w:rsid w:val="00173355"/>
    <w:rsid w:val="0017343B"/>
    <w:rsid w:val="00173779"/>
    <w:rsid w:val="00173888"/>
    <w:rsid w:val="001738A9"/>
    <w:rsid w:val="0017390C"/>
    <w:rsid w:val="00173933"/>
    <w:rsid w:val="00173A41"/>
    <w:rsid w:val="00173A7C"/>
    <w:rsid w:val="00173C2C"/>
    <w:rsid w:val="001740DE"/>
    <w:rsid w:val="0017417B"/>
    <w:rsid w:val="0017424F"/>
    <w:rsid w:val="001746B1"/>
    <w:rsid w:val="001746F6"/>
    <w:rsid w:val="0017484B"/>
    <w:rsid w:val="0017496E"/>
    <w:rsid w:val="001749AB"/>
    <w:rsid w:val="001749D2"/>
    <w:rsid w:val="00175030"/>
    <w:rsid w:val="00175041"/>
    <w:rsid w:val="001752B4"/>
    <w:rsid w:val="00175405"/>
    <w:rsid w:val="00175494"/>
    <w:rsid w:val="00175597"/>
    <w:rsid w:val="001755E8"/>
    <w:rsid w:val="00175B0A"/>
    <w:rsid w:val="00175D0B"/>
    <w:rsid w:val="00175E1D"/>
    <w:rsid w:val="00175ECF"/>
    <w:rsid w:val="001761AD"/>
    <w:rsid w:val="00176276"/>
    <w:rsid w:val="00176333"/>
    <w:rsid w:val="00176501"/>
    <w:rsid w:val="0017660C"/>
    <w:rsid w:val="00176642"/>
    <w:rsid w:val="00176721"/>
    <w:rsid w:val="00176B19"/>
    <w:rsid w:val="00176C1E"/>
    <w:rsid w:val="00176CCB"/>
    <w:rsid w:val="00176E30"/>
    <w:rsid w:val="0017714E"/>
    <w:rsid w:val="0017758A"/>
    <w:rsid w:val="001777CC"/>
    <w:rsid w:val="00177815"/>
    <w:rsid w:val="001778B6"/>
    <w:rsid w:val="001779A8"/>
    <w:rsid w:val="00177AAB"/>
    <w:rsid w:val="00177AC4"/>
    <w:rsid w:val="0018004A"/>
    <w:rsid w:val="00180395"/>
    <w:rsid w:val="001805E5"/>
    <w:rsid w:val="001806CE"/>
    <w:rsid w:val="001808F6"/>
    <w:rsid w:val="0018092D"/>
    <w:rsid w:val="00180939"/>
    <w:rsid w:val="00180B16"/>
    <w:rsid w:val="00180C65"/>
    <w:rsid w:val="00181407"/>
    <w:rsid w:val="00181511"/>
    <w:rsid w:val="00181683"/>
    <w:rsid w:val="001816CA"/>
    <w:rsid w:val="0018178D"/>
    <w:rsid w:val="00181796"/>
    <w:rsid w:val="001817CF"/>
    <w:rsid w:val="0018186B"/>
    <w:rsid w:val="00181954"/>
    <w:rsid w:val="00181BB2"/>
    <w:rsid w:val="00181BC6"/>
    <w:rsid w:val="00181BE6"/>
    <w:rsid w:val="00181CAD"/>
    <w:rsid w:val="00181DB6"/>
    <w:rsid w:val="00181E1B"/>
    <w:rsid w:val="001820EB"/>
    <w:rsid w:val="0018214A"/>
    <w:rsid w:val="001821E6"/>
    <w:rsid w:val="0018251A"/>
    <w:rsid w:val="001827A3"/>
    <w:rsid w:val="00182840"/>
    <w:rsid w:val="00182915"/>
    <w:rsid w:val="00182A42"/>
    <w:rsid w:val="00182C86"/>
    <w:rsid w:val="00182DD9"/>
    <w:rsid w:val="00182E34"/>
    <w:rsid w:val="00182F25"/>
    <w:rsid w:val="0018313B"/>
    <w:rsid w:val="001831A0"/>
    <w:rsid w:val="00183409"/>
    <w:rsid w:val="00183435"/>
    <w:rsid w:val="00183582"/>
    <w:rsid w:val="00183596"/>
    <w:rsid w:val="001836DD"/>
    <w:rsid w:val="0018370F"/>
    <w:rsid w:val="001837FE"/>
    <w:rsid w:val="00183C0A"/>
    <w:rsid w:val="00183CF9"/>
    <w:rsid w:val="00183EE6"/>
    <w:rsid w:val="001841C3"/>
    <w:rsid w:val="00184B38"/>
    <w:rsid w:val="00184CBC"/>
    <w:rsid w:val="00184D24"/>
    <w:rsid w:val="00184E46"/>
    <w:rsid w:val="00184E95"/>
    <w:rsid w:val="00184F69"/>
    <w:rsid w:val="001851CF"/>
    <w:rsid w:val="001852BC"/>
    <w:rsid w:val="00185548"/>
    <w:rsid w:val="0018557E"/>
    <w:rsid w:val="00185582"/>
    <w:rsid w:val="00185A56"/>
    <w:rsid w:val="00185A97"/>
    <w:rsid w:val="00185AD6"/>
    <w:rsid w:val="00185B0C"/>
    <w:rsid w:val="00185D09"/>
    <w:rsid w:val="00185D0B"/>
    <w:rsid w:val="00185D56"/>
    <w:rsid w:val="00185DE5"/>
    <w:rsid w:val="00185E43"/>
    <w:rsid w:val="00186139"/>
    <w:rsid w:val="00186313"/>
    <w:rsid w:val="001863EE"/>
    <w:rsid w:val="0018653B"/>
    <w:rsid w:val="00186955"/>
    <w:rsid w:val="00186A8F"/>
    <w:rsid w:val="00186B66"/>
    <w:rsid w:val="00186BDE"/>
    <w:rsid w:val="00186BF5"/>
    <w:rsid w:val="00186CAA"/>
    <w:rsid w:val="00186FA3"/>
    <w:rsid w:val="00187959"/>
    <w:rsid w:val="0018799C"/>
    <w:rsid w:val="00187ADA"/>
    <w:rsid w:val="00187FCF"/>
    <w:rsid w:val="001903EC"/>
    <w:rsid w:val="001905FC"/>
    <w:rsid w:val="00190846"/>
    <w:rsid w:val="00190892"/>
    <w:rsid w:val="00190B7C"/>
    <w:rsid w:val="00190EDB"/>
    <w:rsid w:val="00190F61"/>
    <w:rsid w:val="00191014"/>
    <w:rsid w:val="0019112B"/>
    <w:rsid w:val="0019145E"/>
    <w:rsid w:val="00191564"/>
    <w:rsid w:val="00191585"/>
    <w:rsid w:val="001915D8"/>
    <w:rsid w:val="001915E2"/>
    <w:rsid w:val="00191789"/>
    <w:rsid w:val="0019180F"/>
    <w:rsid w:val="00191EFC"/>
    <w:rsid w:val="00191F0F"/>
    <w:rsid w:val="0019205E"/>
    <w:rsid w:val="001920F8"/>
    <w:rsid w:val="00192168"/>
    <w:rsid w:val="00192376"/>
    <w:rsid w:val="00192378"/>
    <w:rsid w:val="001923C0"/>
    <w:rsid w:val="001927AE"/>
    <w:rsid w:val="001927FD"/>
    <w:rsid w:val="00192877"/>
    <w:rsid w:val="00192891"/>
    <w:rsid w:val="00192A11"/>
    <w:rsid w:val="00192E2C"/>
    <w:rsid w:val="00192F3E"/>
    <w:rsid w:val="00192F84"/>
    <w:rsid w:val="00193172"/>
    <w:rsid w:val="00193304"/>
    <w:rsid w:val="00193346"/>
    <w:rsid w:val="00193966"/>
    <w:rsid w:val="001939FB"/>
    <w:rsid w:val="00193C13"/>
    <w:rsid w:val="00193D22"/>
    <w:rsid w:val="00193D8E"/>
    <w:rsid w:val="00193EE6"/>
    <w:rsid w:val="0019400D"/>
    <w:rsid w:val="0019401C"/>
    <w:rsid w:val="0019407E"/>
    <w:rsid w:val="00194821"/>
    <w:rsid w:val="00194DA6"/>
    <w:rsid w:val="001950B6"/>
    <w:rsid w:val="001951C6"/>
    <w:rsid w:val="0019528D"/>
    <w:rsid w:val="0019549A"/>
    <w:rsid w:val="00195533"/>
    <w:rsid w:val="00195705"/>
    <w:rsid w:val="0019572D"/>
    <w:rsid w:val="001957BD"/>
    <w:rsid w:val="001958ED"/>
    <w:rsid w:val="0019590A"/>
    <w:rsid w:val="0019590E"/>
    <w:rsid w:val="001959E0"/>
    <w:rsid w:val="00195B84"/>
    <w:rsid w:val="00195BCA"/>
    <w:rsid w:val="00195E52"/>
    <w:rsid w:val="00196200"/>
    <w:rsid w:val="001962C4"/>
    <w:rsid w:val="0019631C"/>
    <w:rsid w:val="0019633F"/>
    <w:rsid w:val="001965D8"/>
    <w:rsid w:val="001967E7"/>
    <w:rsid w:val="00196897"/>
    <w:rsid w:val="00196B9C"/>
    <w:rsid w:val="00196D02"/>
    <w:rsid w:val="00196D0C"/>
    <w:rsid w:val="00196E9A"/>
    <w:rsid w:val="0019709A"/>
    <w:rsid w:val="00197135"/>
    <w:rsid w:val="00197186"/>
    <w:rsid w:val="0019718B"/>
    <w:rsid w:val="00197360"/>
    <w:rsid w:val="0019753C"/>
    <w:rsid w:val="001975AD"/>
    <w:rsid w:val="001977C2"/>
    <w:rsid w:val="0019793F"/>
    <w:rsid w:val="00197953"/>
    <w:rsid w:val="00197B91"/>
    <w:rsid w:val="00197E4E"/>
    <w:rsid w:val="00197F06"/>
    <w:rsid w:val="001A0002"/>
    <w:rsid w:val="001A04D9"/>
    <w:rsid w:val="001A05A3"/>
    <w:rsid w:val="001A05C6"/>
    <w:rsid w:val="001A0608"/>
    <w:rsid w:val="001A064E"/>
    <w:rsid w:val="001A065C"/>
    <w:rsid w:val="001A0BA1"/>
    <w:rsid w:val="001A0C3B"/>
    <w:rsid w:val="001A0CE5"/>
    <w:rsid w:val="001A0DD7"/>
    <w:rsid w:val="001A0DE8"/>
    <w:rsid w:val="001A0EAB"/>
    <w:rsid w:val="001A108F"/>
    <w:rsid w:val="001A11DD"/>
    <w:rsid w:val="001A11F2"/>
    <w:rsid w:val="001A13B4"/>
    <w:rsid w:val="001A1510"/>
    <w:rsid w:val="001A1654"/>
    <w:rsid w:val="001A177C"/>
    <w:rsid w:val="001A1858"/>
    <w:rsid w:val="001A18CC"/>
    <w:rsid w:val="001A19FD"/>
    <w:rsid w:val="001A1A9C"/>
    <w:rsid w:val="001A1AD7"/>
    <w:rsid w:val="001A1E32"/>
    <w:rsid w:val="001A21DA"/>
    <w:rsid w:val="001A2267"/>
    <w:rsid w:val="001A23F4"/>
    <w:rsid w:val="001A249D"/>
    <w:rsid w:val="001A265F"/>
    <w:rsid w:val="001A276B"/>
    <w:rsid w:val="001A27B0"/>
    <w:rsid w:val="001A2890"/>
    <w:rsid w:val="001A2C45"/>
    <w:rsid w:val="001A2D8E"/>
    <w:rsid w:val="001A2F73"/>
    <w:rsid w:val="001A3119"/>
    <w:rsid w:val="001A3160"/>
    <w:rsid w:val="001A3998"/>
    <w:rsid w:val="001A39B2"/>
    <w:rsid w:val="001A3E0C"/>
    <w:rsid w:val="001A3E45"/>
    <w:rsid w:val="001A4251"/>
    <w:rsid w:val="001A4352"/>
    <w:rsid w:val="001A43FB"/>
    <w:rsid w:val="001A4870"/>
    <w:rsid w:val="001A4C59"/>
    <w:rsid w:val="001A4C99"/>
    <w:rsid w:val="001A4E7E"/>
    <w:rsid w:val="001A4EE6"/>
    <w:rsid w:val="001A50E5"/>
    <w:rsid w:val="001A51ED"/>
    <w:rsid w:val="001A570A"/>
    <w:rsid w:val="001A588A"/>
    <w:rsid w:val="001A5928"/>
    <w:rsid w:val="001A5946"/>
    <w:rsid w:val="001A5948"/>
    <w:rsid w:val="001A5B43"/>
    <w:rsid w:val="001A5E29"/>
    <w:rsid w:val="001A5E72"/>
    <w:rsid w:val="001A5F54"/>
    <w:rsid w:val="001A607A"/>
    <w:rsid w:val="001A609B"/>
    <w:rsid w:val="001A61D2"/>
    <w:rsid w:val="001A62D8"/>
    <w:rsid w:val="001A6445"/>
    <w:rsid w:val="001A69E1"/>
    <w:rsid w:val="001A6BA7"/>
    <w:rsid w:val="001A6C00"/>
    <w:rsid w:val="001A6C7F"/>
    <w:rsid w:val="001A6D3D"/>
    <w:rsid w:val="001A704B"/>
    <w:rsid w:val="001A7364"/>
    <w:rsid w:val="001A772E"/>
    <w:rsid w:val="001A7BA7"/>
    <w:rsid w:val="001A7CD1"/>
    <w:rsid w:val="001A7D46"/>
    <w:rsid w:val="001A7D7C"/>
    <w:rsid w:val="001A7F1D"/>
    <w:rsid w:val="001B001C"/>
    <w:rsid w:val="001B044B"/>
    <w:rsid w:val="001B04B4"/>
    <w:rsid w:val="001B04FF"/>
    <w:rsid w:val="001B0537"/>
    <w:rsid w:val="001B05EB"/>
    <w:rsid w:val="001B0D5D"/>
    <w:rsid w:val="001B0DA4"/>
    <w:rsid w:val="001B0F2A"/>
    <w:rsid w:val="001B109B"/>
    <w:rsid w:val="001B111B"/>
    <w:rsid w:val="001B15DE"/>
    <w:rsid w:val="001B17F5"/>
    <w:rsid w:val="001B1834"/>
    <w:rsid w:val="001B18C7"/>
    <w:rsid w:val="001B18E7"/>
    <w:rsid w:val="001B19E6"/>
    <w:rsid w:val="001B1AFC"/>
    <w:rsid w:val="001B1B61"/>
    <w:rsid w:val="001B1F2A"/>
    <w:rsid w:val="001B1F5C"/>
    <w:rsid w:val="001B2072"/>
    <w:rsid w:val="001B2151"/>
    <w:rsid w:val="001B21DA"/>
    <w:rsid w:val="001B22B5"/>
    <w:rsid w:val="001B23C3"/>
    <w:rsid w:val="001B2434"/>
    <w:rsid w:val="001B2470"/>
    <w:rsid w:val="001B24BF"/>
    <w:rsid w:val="001B25DF"/>
    <w:rsid w:val="001B2650"/>
    <w:rsid w:val="001B296C"/>
    <w:rsid w:val="001B2A0B"/>
    <w:rsid w:val="001B2AB0"/>
    <w:rsid w:val="001B2D82"/>
    <w:rsid w:val="001B2E24"/>
    <w:rsid w:val="001B2E50"/>
    <w:rsid w:val="001B2E56"/>
    <w:rsid w:val="001B2EB7"/>
    <w:rsid w:val="001B2FD7"/>
    <w:rsid w:val="001B2FEA"/>
    <w:rsid w:val="001B303C"/>
    <w:rsid w:val="001B3043"/>
    <w:rsid w:val="001B367E"/>
    <w:rsid w:val="001B3684"/>
    <w:rsid w:val="001B36D8"/>
    <w:rsid w:val="001B36F8"/>
    <w:rsid w:val="001B375C"/>
    <w:rsid w:val="001B378D"/>
    <w:rsid w:val="001B3AC9"/>
    <w:rsid w:val="001B3BF6"/>
    <w:rsid w:val="001B3D5F"/>
    <w:rsid w:val="001B3E67"/>
    <w:rsid w:val="001B3EC6"/>
    <w:rsid w:val="001B4228"/>
    <w:rsid w:val="001B4233"/>
    <w:rsid w:val="001B425C"/>
    <w:rsid w:val="001B4364"/>
    <w:rsid w:val="001B4754"/>
    <w:rsid w:val="001B476B"/>
    <w:rsid w:val="001B477E"/>
    <w:rsid w:val="001B483B"/>
    <w:rsid w:val="001B488D"/>
    <w:rsid w:val="001B489E"/>
    <w:rsid w:val="001B4B75"/>
    <w:rsid w:val="001B4BBB"/>
    <w:rsid w:val="001B4D26"/>
    <w:rsid w:val="001B4F1C"/>
    <w:rsid w:val="001B4F90"/>
    <w:rsid w:val="001B51EA"/>
    <w:rsid w:val="001B5246"/>
    <w:rsid w:val="001B524F"/>
    <w:rsid w:val="001B534E"/>
    <w:rsid w:val="001B53B5"/>
    <w:rsid w:val="001B5707"/>
    <w:rsid w:val="001B587A"/>
    <w:rsid w:val="001B59BD"/>
    <w:rsid w:val="001B5C2D"/>
    <w:rsid w:val="001B5E00"/>
    <w:rsid w:val="001B5F0D"/>
    <w:rsid w:val="001B5FB7"/>
    <w:rsid w:val="001B5FBC"/>
    <w:rsid w:val="001B647C"/>
    <w:rsid w:val="001B6730"/>
    <w:rsid w:val="001B6BD8"/>
    <w:rsid w:val="001B7026"/>
    <w:rsid w:val="001B70B8"/>
    <w:rsid w:val="001B7200"/>
    <w:rsid w:val="001B73B3"/>
    <w:rsid w:val="001B743B"/>
    <w:rsid w:val="001B74B1"/>
    <w:rsid w:val="001B751A"/>
    <w:rsid w:val="001B75EF"/>
    <w:rsid w:val="001B768B"/>
    <w:rsid w:val="001B7A03"/>
    <w:rsid w:val="001B7C7D"/>
    <w:rsid w:val="001B7E19"/>
    <w:rsid w:val="001B7F99"/>
    <w:rsid w:val="001C0035"/>
    <w:rsid w:val="001C0108"/>
    <w:rsid w:val="001C024B"/>
    <w:rsid w:val="001C0322"/>
    <w:rsid w:val="001C0421"/>
    <w:rsid w:val="001C0437"/>
    <w:rsid w:val="001C071E"/>
    <w:rsid w:val="001C0824"/>
    <w:rsid w:val="001C09AF"/>
    <w:rsid w:val="001C119B"/>
    <w:rsid w:val="001C1627"/>
    <w:rsid w:val="001C164B"/>
    <w:rsid w:val="001C17BE"/>
    <w:rsid w:val="001C1891"/>
    <w:rsid w:val="001C1B10"/>
    <w:rsid w:val="001C1D2D"/>
    <w:rsid w:val="001C20CD"/>
    <w:rsid w:val="001C2379"/>
    <w:rsid w:val="001C2409"/>
    <w:rsid w:val="001C2457"/>
    <w:rsid w:val="001C24C4"/>
    <w:rsid w:val="001C255B"/>
    <w:rsid w:val="001C257F"/>
    <w:rsid w:val="001C2635"/>
    <w:rsid w:val="001C266D"/>
    <w:rsid w:val="001C2921"/>
    <w:rsid w:val="001C293E"/>
    <w:rsid w:val="001C296B"/>
    <w:rsid w:val="001C2CD5"/>
    <w:rsid w:val="001C3B33"/>
    <w:rsid w:val="001C3C83"/>
    <w:rsid w:val="001C3E37"/>
    <w:rsid w:val="001C3F70"/>
    <w:rsid w:val="001C460D"/>
    <w:rsid w:val="001C471B"/>
    <w:rsid w:val="001C48A3"/>
    <w:rsid w:val="001C5012"/>
    <w:rsid w:val="001C5069"/>
    <w:rsid w:val="001C51B2"/>
    <w:rsid w:val="001C51C0"/>
    <w:rsid w:val="001C52C8"/>
    <w:rsid w:val="001C52FE"/>
    <w:rsid w:val="001C542E"/>
    <w:rsid w:val="001C5434"/>
    <w:rsid w:val="001C5531"/>
    <w:rsid w:val="001C576B"/>
    <w:rsid w:val="001C5BBD"/>
    <w:rsid w:val="001C5C87"/>
    <w:rsid w:val="001C5E04"/>
    <w:rsid w:val="001C6058"/>
    <w:rsid w:val="001C6257"/>
    <w:rsid w:val="001C6272"/>
    <w:rsid w:val="001C6363"/>
    <w:rsid w:val="001C63F1"/>
    <w:rsid w:val="001C64E3"/>
    <w:rsid w:val="001C6AB9"/>
    <w:rsid w:val="001C6BC8"/>
    <w:rsid w:val="001C6FB7"/>
    <w:rsid w:val="001C6FC7"/>
    <w:rsid w:val="001C70EB"/>
    <w:rsid w:val="001C7247"/>
    <w:rsid w:val="001C7271"/>
    <w:rsid w:val="001C736C"/>
    <w:rsid w:val="001C76F9"/>
    <w:rsid w:val="001C77A6"/>
    <w:rsid w:val="001C77C7"/>
    <w:rsid w:val="001C77EE"/>
    <w:rsid w:val="001C7867"/>
    <w:rsid w:val="001C7AE4"/>
    <w:rsid w:val="001C7CEE"/>
    <w:rsid w:val="001D0307"/>
    <w:rsid w:val="001D0311"/>
    <w:rsid w:val="001D04BD"/>
    <w:rsid w:val="001D051C"/>
    <w:rsid w:val="001D056F"/>
    <w:rsid w:val="001D0764"/>
    <w:rsid w:val="001D080D"/>
    <w:rsid w:val="001D082A"/>
    <w:rsid w:val="001D0920"/>
    <w:rsid w:val="001D0C2B"/>
    <w:rsid w:val="001D0F7E"/>
    <w:rsid w:val="001D14BB"/>
    <w:rsid w:val="001D1579"/>
    <w:rsid w:val="001D15C5"/>
    <w:rsid w:val="001D1895"/>
    <w:rsid w:val="001D18C9"/>
    <w:rsid w:val="001D1961"/>
    <w:rsid w:val="001D1A5A"/>
    <w:rsid w:val="001D1C2B"/>
    <w:rsid w:val="001D1F8C"/>
    <w:rsid w:val="001D2015"/>
    <w:rsid w:val="001D21ED"/>
    <w:rsid w:val="001D22E8"/>
    <w:rsid w:val="001D25EA"/>
    <w:rsid w:val="001D276A"/>
    <w:rsid w:val="001D278F"/>
    <w:rsid w:val="001D27C6"/>
    <w:rsid w:val="001D2806"/>
    <w:rsid w:val="001D2831"/>
    <w:rsid w:val="001D2AF5"/>
    <w:rsid w:val="001D2E2F"/>
    <w:rsid w:val="001D2EF4"/>
    <w:rsid w:val="001D2FCA"/>
    <w:rsid w:val="001D2FE9"/>
    <w:rsid w:val="001D3241"/>
    <w:rsid w:val="001D3593"/>
    <w:rsid w:val="001D3AC3"/>
    <w:rsid w:val="001D3BD7"/>
    <w:rsid w:val="001D3E81"/>
    <w:rsid w:val="001D3EF2"/>
    <w:rsid w:val="001D3FCF"/>
    <w:rsid w:val="001D4114"/>
    <w:rsid w:val="001D4223"/>
    <w:rsid w:val="001D42F8"/>
    <w:rsid w:val="001D433A"/>
    <w:rsid w:val="001D4650"/>
    <w:rsid w:val="001D465E"/>
    <w:rsid w:val="001D468C"/>
    <w:rsid w:val="001D4886"/>
    <w:rsid w:val="001D48D2"/>
    <w:rsid w:val="001D49DC"/>
    <w:rsid w:val="001D4C9C"/>
    <w:rsid w:val="001D4DCB"/>
    <w:rsid w:val="001D52D0"/>
    <w:rsid w:val="001D54ED"/>
    <w:rsid w:val="001D55AA"/>
    <w:rsid w:val="001D5BA0"/>
    <w:rsid w:val="001D62A2"/>
    <w:rsid w:val="001D6364"/>
    <w:rsid w:val="001D63F9"/>
    <w:rsid w:val="001D6444"/>
    <w:rsid w:val="001D658E"/>
    <w:rsid w:val="001D66A1"/>
    <w:rsid w:val="001D6711"/>
    <w:rsid w:val="001D6993"/>
    <w:rsid w:val="001D69C8"/>
    <w:rsid w:val="001D6DAE"/>
    <w:rsid w:val="001D6FAD"/>
    <w:rsid w:val="001D70DC"/>
    <w:rsid w:val="001D7179"/>
    <w:rsid w:val="001D725E"/>
    <w:rsid w:val="001D729D"/>
    <w:rsid w:val="001D73C2"/>
    <w:rsid w:val="001D73F0"/>
    <w:rsid w:val="001D7693"/>
    <w:rsid w:val="001D7849"/>
    <w:rsid w:val="001D784B"/>
    <w:rsid w:val="001D7A28"/>
    <w:rsid w:val="001D7BBF"/>
    <w:rsid w:val="001D7D63"/>
    <w:rsid w:val="001D7EE3"/>
    <w:rsid w:val="001E02EF"/>
    <w:rsid w:val="001E0485"/>
    <w:rsid w:val="001E04CA"/>
    <w:rsid w:val="001E0514"/>
    <w:rsid w:val="001E06A7"/>
    <w:rsid w:val="001E073E"/>
    <w:rsid w:val="001E07EC"/>
    <w:rsid w:val="001E0AA2"/>
    <w:rsid w:val="001E0AB7"/>
    <w:rsid w:val="001E0AE5"/>
    <w:rsid w:val="001E0D1C"/>
    <w:rsid w:val="001E0E21"/>
    <w:rsid w:val="001E0E43"/>
    <w:rsid w:val="001E1257"/>
    <w:rsid w:val="001E149E"/>
    <w:rsid w:val="001E15DC"/>
    <w:rsid w:val="001E1B79"/>
    <w:rsid w:val="001E1D05"/>
    <w:rsid w:val="001E1D57"/>
    <w:rsid w:val="001E1EE0"/>
    <w:rsid w:val="001E1EF4"/>
    <w:rsid w:val="001E2185"/>
    <w:rsid w:val="001E225D"/>
    <w:rsid w:val="001E2459"/>
    <w:rsid w:val="001E2508"/>
    <w:rsid w:val="001E2AE7"/>
    <w:rsid w:val="001E2C96"/>
    <w:rsid w:val="001E2DCF"/>
    <w:rsid w:val="001E2FFF"/>
    <w:rsid w:val="001E3107"/>
    <w:rsid w:val="001E32A5"/>
    <w:rsid w:val="001E3476"/>
    <w:rsid w:val="001E34DB"/>
    <w:rsid w:val="001E38E6"/>
    <w:rsid w:val="001E3989"/>
    <w:rsid w:val="001E3C4B"/>
    <w:rsid w:val="001E3CEA"/>
    <w:rsid w:val="001E3F20"/>
    <w:rsid w:val="001E3F9E"/>
    <w:rsid w:val="001E3FF4"/>
    <w:rsid w:val="001E4176"/>
    <w:rsid w:val="001E421F"/>
    <w:rsid w:val="001E44DE"/>
    <w:rsid w:val="001E466E"/>
    <w:rsid w:val="001E4F8E"/>
    <w:rsid w:val="001E538F"/>
    <w:rsid w:val="001E5923"/>
    <w:rsid w:val="001E5ADC"/>
    <w:rsid w:val="001E5CDF"/>
    <w:rsid w:val="001E6049"/>
    <w:rsid w:val="001E6118"/>
    <w:rsid w:val="001E626D"/>
    <w:rsid w:val="001E6382"/>
    <w:rsid w:val="001E63A6"/>
    <w:rsid w:val="001E6454"/>
    <w:rsid w:val="001E6626"/>
    <w:rsid w:val="001E666D"/>
    <w:rsid w:val="001E666F"/>
    <w:rsid w:val="001E67EC"/>
    <w:rsid w:val="001E6852"/>
    <w:rsid w:val="001E6AD8"/>
    <w:rsid w:val="001E6B97"/>
    <w:rsid w:val="001E6C3C"/>
    <w:rsid w:val="001E6DF8"/>
    <w:rsid w:val="001E6E61"/>
    <w:rsid w:val="001E6E65"/>
    <w:rsid w:val="001E70AF"/>
    <w:rsid w:val="001E7145"/>
    <w:rsid w:val="001E71F0"/>
    <w:rsid w:val="001E724F"/>
    <w:rsid w:val="001E72B6"/>
    <w:rsid w:val="001E7397"/>
    <w:rsid w:val="001E798A"/>
    <w:rsid w:val="001E79CC"/>
    <w:rsid w:val="001E7CD0"/>
    <w:rsid w:val="001E7E0B"/>
    <w:rsid w:val="001E7FDA"/>
    <w:rsid w:val="001F04A3"/>
    <w:rsid w:val="001F0774"/>
    <w:rsid w:val="001F0AC6"/>
    <w:rsid w:val="001F0AFD"/>
    <w:rsid w:val="001F0B0F"/>
    <w:rsid w:val="001F0CCE"/>
    <w:rsid w:val="001F0D7F"/>
    <w:rsid w:val="001F0ECA"/>
    <w:rsid w:val="001F1026"/>
    <w:rsid w:val="001F1133"/>
    <w:rsid w:val="001F1243"/>
    <w:rsid w:val="001F1532"/>
    <w:rsid w:val="001F1615"/>
    <w:rsid w:val="001F1862"/>
    <w:rsid w:val="001F1A67"/>
    <w:rsid w:val="001F1E57"/>
    <w:rsid w:val="001F2388"/>
    <w:rsid w:val="001F24B3"/>
    <w:rsid w:val="001F25B1"/>
    <w:rsid w:val="001F25E7"/>
    <w:rsid w:val="001F2949"/>
    <w:rsid w:val="001F2C02"/>
    <w:rsid w:val="001F2E64"/>
    <w:rsid w:val="001F2F5F"/>
    <w:rsid w:val="001F2FB9"/>
    <w:rsid w:val="001F3003"/>
    <w:rsid w:val="001F3023"/>
    <w:rsid w:val="001F304C"/>
    <w:rsid w:val="001F3175"/>
    <w:rsid w:val="001F330E"/>
    <w:rsid w:val="001F336A"/>
    <w:rsid w:val="001F347B"/>
    <w:rsid w:val="001F34CB"/>
    <w:rsid w:val="001F3721"/>
    <w:rsid w:val="001F37C8"/>
    <w:rsid w:val="001F3A08"/>
    <w:rsid w:val="001F3A70"/>
    <w:rsid w:val="001F3B39"/>
    <w:rsid w:val="001F3C0E"/>
    <w:rsid w:val="001F403B"/>
    <w:rsid w:val="001F416D"/>
    <w:rsid w:val="001F420A"/>
    <w:rsid w:val="001F43D6"/>
    <w:rsid w:val="001F4494"/>
    <w:rsid w:val="001F4499"/>
    <w:rsid w:val="001F4563"/>
    <w:rsid w:val="001F47EF"/>
    <w:rsid w:val="001F4933"/>
    <w:rsid w:val="001F49B4"/>
    <w:rsid w:val="001F49D7"/>
    <w:rsid w:val="001F4ACE"/>
    <w:rsid w:val="001F4DF0"/>
    <w:rsid w:val="001F501F"/>
    <w:rsid w:val="001F556A"/>
    <w:rsid w:val="001F58F8"/>
    <w:rsid w:val="001F5C88"/>
    <w:rsid w:val="001F5DE8"/>
    <w:rsid w:val="001F5EF8"/>
    <w:rsid w:val="001F5FA1"/>
    <w:rsid w:val="001F5FAF"/>
    <w:rsid w:val="001F627C"/>
    <w:rsid w:val="001F661E"/>
    <w:rsid w:val="001F665C"/>
    <w:rsid w:val="001F66DD"/>
    <w:rsid w:val="001F672C"/>
    <w:rsid w:val="001F673A"/>
    <w:rsid w:val="001F677F"/>
    <w:rsid w:val="001F697E"/>
    <w:rsid w:val="001F6B65"/>
    <w:rsid w:val="001F6BF3"/>
    <w:rsid w:val="001F6C10"/>
    <w:rsid w:val="001F704D"/>
    <w:rsid w:val="001F7092"/>
    <w:rsid w:val="001F7127"/>
    <w:rsid w:val="001F7144"/>
    <w:rsid w:val="001F7291"/>
    <w:rsid w:val="001F73B4"/>
    <w:rsid w:val="001F73EF"/>
    <w:rsid w:val="001F7721"/>
    <w:rsid w:val="001F774D"/>
    <w:rsid w:val="001F7891"/>
    <w:rsid w:val="001F790B"/>
    <w:rsid w:val="001F792A"/>
    <w:rsid w:val="001F7971"/>
    <w:rsid w:val="001F7B32"/>
    <w:rsid w:val="001F7C1D"/>
    <w:rsid w:val="001F7C48"/>
    <w:rsid w:val="001F7CDA"/>
    <w:rsid w:val="001F7E7E"/>
    <w:rsid w:val="0020000D"/>
    <w:rsid w:val="0020038B"/>
    <w:rsid w:val="0020055E"/>
    <w:rsid w:val="0020077D"/>
    <w:rsid w:val="0020084C"/>
    <w:rsid w:val="00200881"/>
    <w:rsid w:val="002008F6"/>
    <w:rsid w:val="00200BC6"/>
    <w:rsid w:val="00200F0E"/>
    <w:rsid w:val="00200F15"/>
    <w:rsid w:val="00200F59"/>
    <w:rsid w:val="00200FDC"/>
    <w:rsid w:val="00201019"/>
    <w:rsid w:val="0020108D"/>
    <w:rsid w:val="0020112E"/>
    <w:rsid w:val="0020122E"/>
    <w:rsid w:val="0020130B"/>
    <w:rsid w:val="0020130E"/>
    <w:rsid w:val="00201419"/>
    <w:rsid w:val="00201507"/>
    <w:rsid w:val="00201731"/>
    <w:rsid w:val="00201955"/>
    <w:rsid w:val="0020196D"/>
    <w:rsid w:val="00201A25"/>
    <w:rsid w:val="00201E29"/>
    <w:rsid w:val="00201F41"/>
    <w:rsid w:val="00202204"/>
    <w:rsid w:val="00202255"/>
    <w:rsid w:val="002025C0"/>
    <w:rsid w:val="002025DA"/>
    <w:rsid w:val="0020269E"/>
    <w:rsid w:val="002028A9"/>
    <w:rsid w:val="002029B6"/>
    <w:rsid w:val="00202B17"/>
    <w:rsid w:val="00202C7B"/>
    <w:rsid w:val="00202D02"/>
    <w:rsid w:val="00202D82"/>
    <w:rsid w:val="002030B4"/>
    <w:rsid w:val="00203312"/>
    <w:rsid w:val="002035AB"/>
    <w:rsid w:val="00203851"/>
    <w:rsid w:val="00203889"/>
    <w:rsid w:val="00203903"/>
    <w:rsid w:val="00203B7C"/>
    <w:rsid w:val="00203E4D"/>
    <w:rsid w:val="00203F5D"/>
    <w:rsid w:val="0020408A"/>
    <w:rsid w:val="0020411C"/>
    <w:rsid w:val="00204354"/>
    <w:rsid w:val="00204788"/>
    <w:rsid w:val="002049F9"/>
    <w:rsid w:val="00204E73"/>
    <w:rsid w:val="00204EDC"/>
    <w:rsid w:val="00204F57"/>
    <w:rsid w:val="002051DF"/>
    <w:rsid w:val="002053CC"/>
    <w:rsid w:val="00205408"/>
    <w:rsid w:val="00205643"/>
    <w:rsid w:val="00205A63"/>
    <w:rsid w:val="00205BA6"/>
    <w:rsid w:val="00205C66"/>
    <w:rsid w:val="00205FAD"/>
    <w:rsid w:val="002060C8"/>
    <w:rsid w:val="00206255"/>
    <w:rsid w:val="00206342"/>
    <w:rsid w:val="0020661F"/>
    <w:rsid w:val="002066D2"/>
    <w:rsid w:val="002068CA"/>
    <w:rsid w:val="00206C65"/>
    <w:rsid w:val="00206D99"/>
    <w:rsid w:val="00206DA3"/>
    <w:rsid w:val="00206EF9"/>
    <w:rsid w:val="0020708E"/>
    <w:rsid w:val="002071A6"/>
    <w:rsid w:val="00207205"/>
    <w:rsid w:val="0020732B"/>
    <w:rsid w:val="00207337"/>
    <w:rsid w:val="002074BB"/>
    <w:rsid w:val="00207749"/>
    <w:rsid w:val="00207970"/>
    <w:rsid w:val="00207B3A"/>
    <w:rsid w:val="00207C8E"/>
    <w:rsid w:val="00207E43"/>
    <w:rsid w:val="00207FB6"/>
    <w:rsid w:val="0021018C"/>
    <w:rsid w:val="002101D4"/>
    <w:rsid w:val="00210289"/>
    <w:rsid w:val="002102F2"/>
    <w:rsid w:val="00210505"/>
    <w:rsid w:val="002108D9"/>
    <w:rsid w:val="00210EA8"/>
    <w:rsid w:val="00210F5F"/>
    <w:rsid w:val="00211152"/>
    <w:rsid w:val="002114AC"/>
    <w:rsid w:val="002115D5"/>
    <w:rsid w:val="002117FD"/>
    <w:rsid w:val="002119A1"/>
    <w:rsid w:val="00211A5F"/>
    <w:rsid w:val="00211D76"/>
    <w:rsid w:val="00211E8F"/>
    <w:rsid w:val="002120C1"/>
    <w:rsid w:val="0021224C"/>
    <w:rsid w:val="002122B1"/>
    <w:rsid w:val="002126BA"/>
    <w:rsid w:val="002128DD"/>
    <w:rsid w:val="00212A61"/>
    <w:rsid w:val="00212B59"/>
    <w:rsid w:val="00212D59"/>
    <w:rsid w:val="00212E5C"/>
    <w:rsid w:val="00212E68"/>
    <w:rsid w:val="002130E5"/>
    <w:rsid w:val="002132A7"/>
    <w:rsid w:val="00213367"/>
    <w:rsid w:val="00213401"/>
    <w:rsid w:val="00213469"/>
    <w:rsid w:val="0021362B"/>
    <w:rsid w:val="00213661"/>
    <w:rsid w:val="002138DC"/>
    <w:rsid w:val="00213A34"/>
    <w:rsid w:val="00213D5B"/>
    <w:rsid w:val="00213FE7"/>
    <w:rsid w:val="0021430A"/>
    <w:rsid w:val="00214545"/>
    <w:rsid w:val="0021454F"/>
    <w:rsid w:val="00214639"/>
    <w:rsid w:val="00214671"/>
    <w:rsid w:val="002146C3"/>
    <w:rsid w:val="00214A4E"/>
    <w:rsid w:val="00214B12"/>
    <w:rsid w:val="00214B16"/>
    <w:rsid w:val="00214C96"/>
    <w:rsid w:val="00214E42"/>
    <w:rsid w:val="00215001"/>
    <w:rsid w:val="002150A5"/>
    <w:rsid w:val="002155A2"/>
    <w:rsid w:val="002156D9"/>
    <w:rsid w:val="00215753"/>
    <w:rsid w:val="0021595B"/>
    <w:rsid w:val="002159B0"/>
    <w:rsid w:val="00215A12"/>
    <w:rsid w:val="00215A4F"/>
    <w:rsid w:val="00215B74"/>
    <w:rsid w:val="0021607C"/>
    <w:rsid w:val="002165C5"/>
    <w:rsid w:val="00216894"/>
    <w:rsid w:val="002169EC"/>
    <w:rsid w:val="00216AD7"/>
    <w:rsid w:val="00216FC1"/>
    <w:rsid w:val="0021700C"/>
    <w:rsid w:val="0021701D"/>
    <w:rsid w:val="0021738D"/>
    <w:rsid w:val="00217453"/>
    <w:rsid w:val="0021786A"/>
    <w:rsid w:val="00217922"/>
    <w:rsid w:val="00217982"/>
    <w:rsid w:val="0021799F"/>
    <w:rsid w:val="00217C03"/>
    <w:rsid w:val="00217C77"/>
    <w:rsid w:val="00217CDE"/>
    <w:rsid w:val="0022028D"/>
    <w:rsid w:val="002202E6"/>
    <w:rsid w:val="002205B4"/>
    <w:rsid w:val="00220606"/>
    <w:rsid w:val="00220720"/>
    <w:rsid w:val="0022084F"/>
    <w:rsid w:val="002209D7"/>
    <w:rsid w:val="00220F9F"/>
    <w:rsid w:val="00221041"/>
    <w:rsid w:val="00221144"/>
    <w:rsid w:val="0022163E"/>
    <w:rsid w:val="0022195D"/>
    <w:rsid w:val="002219D2"/>
    <w:rsid w:val="00221CD2"/>
    <w:rsid w:val="00221CE6"/>
    <w:rsid w:val="00221D0F"/>
    <w:rsid w:val="00221E61"/>
    <w:rsid w:val="00222044"/>
    <w:rsid w:val="002220D6"/>
    <w:rsid w:val="00222246"/>
    <w:rsid w:val="002226A7"/>
    <w:rsid w:val="00222BEF"/>
    <w:rsid w:val="00222F04"/>
    <w:rsid w:val="00222FF3"/>
    <w:rsid w:val="002230B9"/>
    <w:rsid w:val="0022355F"/>
    <w:rsid w:val="002237AF"/>
    <w:rsid w:val="002239D7"/>
    <w:rsid w:val="00223AA7"/>
    <w:rsid w:val="00224166"/>
    <w:rsid w:val="002242DF"/>
    <w:rsid w:val="0022456F"/>
    <w:rsid w:val="00224594"/>
    <w:rsid w:val="002245B9"/>
    <w:rsid w:val="00224913"/>
    <w:rsid w:val="00224AFD"/>
    <w:rsid w:val="00224C41"/>
    <w:rsid w:val="00224D38"/>
    <w:rsid w:val="00224E30"/>
    <w:rsid w:val="00225002"/>
    <w:rsid w:val="00225055"/>
    <w:rsid w:val="0022513E"/>
    <w:rsid w:val="002254FA"/>
    <w:rsid w:val="0022552E"/>
    <w:rsid w:val="002255C5"/>
    <w:rsid w:val="0022575F"/>
    <w:rsid w:val="00225B32"/>
    <w:rsid w:val="00225CDE"/>
    <w:rsid w:val="00225F53"/>
    <w:rsid w:val="00226124"/>
    <w:rsid w:val="002262ED"/>
    <w:rsid w:val="002263B6"/>
    <w:rsid w:val="002263DD"/>
    <w:rsid w:val="0022643F"/>
    <w:rsid w:val="002265A5"/>
    <w:rsid w:val="00226692"/>
    <w:rsid w:val="0022677B"/>
    <w:rsid w:val="00226810"/>
    <w:rsid w:val="00226845"/>
    <w:rsid w:val="00226AA4"/>
    <w:rsid w:val="00226CD4"/>
    <w:rsid w:val="00226FE3"/>
    <w:rsid w:val="00227033"/>
    <w:rsid w:val="00227078"/>
    <w:rsid w:val="0022718B"/>
    <w:rsid w:val="0022745F"/>
    <w:rsid w:val="002275B5"/>
    <w:rsid w:val="002275E3"/>
    <w:rsid w:val="0022772F"/>
    <w:rsid w:val="00227AEC"/>
    <w:rsid w:val="00227C77"/>
    <w:rsid w:val="00227CA7"/>
    <w:rsid w:val="00227CEF"/>
    <w:rsid w:val="00227CFF"/>
    <w:rsid w:val="00227DEA"/>
    <w:rsid w:val="00227F44"/>
    <w:rsid w:val="00230108"/>
    <w:rsid w:val="002301E9"/>
    <w:rsid w:val="00230288"/>
    <w:rsid w:val="002302CD"/>
    <w:rsid w:val="00230927"/>
    <w:rsid w:val="00230997"/>
    <w:rsid w:val="00230C40"/>
    <w:rsid w:val="00230CCF"/>
    <w:rsid w:val="00230F6A"/>
    <w:rsid w:val="00231412"/>
    <w:rsid w:val="00231474"/>
    <w:rsid w:val="00231645"/>
    <w:rsid w:val="002318D8"/>
    <w:rsid w:val="00231935"/>
    <w:rsid w:val="00231A55"/>
    <w:rsid w:val="00231B48"/>
    <w:rsid w:val="00231BC1"/>
    <w:rsid w:val="00231D80"/>
    <w:rsid w:val="00231DFA"/>
    <w:rsid w:val="00231F1A"/>
    <w:rsid w:val="0023206E"/>
    <w:rsid w:val="002320B5"/>
    <w:rsid w:val="00232241"/>
    <w:rsid w:val="0023224B"/>
    <w:rsid w:val="00232430"/>
    <w:rsid w:val="00232539"/>
    <w:rsid w:val="0023255F"/>
    <w:rsid w:val="002325E6"/>
    <w:rsid w:val="002329DC"/>
    <w:rsid w:val="00232ABE"/>
    <w:rsid w:val="00232AF4"/>
    <w:rsid w:val="00232C33"/>
    <w:rsid w:val="00232E1D"/>
    <w:rsid w:val="00232E53"/>
    <w:rsid w:val="00232EA4"/>
    <w:rsid w:val="00232F03"/>
    <w:rsid w:val="00232F8E"/>
    <w:rsid w:val="002330A8"/>
    <w:rsid w:val="00233168"/>
    <w:rsid w:val="0023328A"/>
    <w:rsid w:val="00233701"/>
    <w:rsid w:val="00233AA5"/>
    <w:rsid w:val="00233B11"/>
    <w:rsid w:val="00233CD4"/>
    <w:rsid w:val="00233E4D"/>
    <w:rsid w:val="0023436C"/>
    <w:rsid w:val="002344BA"/>
    <w:rsid w:val="00234514"/>
    <w:rsid w:val="002345D2"/>
    <w:rsid w:val="00234816"/>
    <w:rsid w:val="002348A3"/>
    <w:rsid w:val="00234B61"/>
    <w:rsid w:val="00234BCA"/>
    <w:rsid w:val="00234FD2"/>
    <w:rsid w:val="00234FFF"/>
    <w:rsid w:val="0023506D"/>
    <w:rsid w:val="00235495"/>
    <w:rsid w:val="002356CC"/>
    <w:rsid w:val="002356CF"/>
    <w:rsid w:val="00235C28"/>
    <w:rsid w:val="00235CD0"/>
    <w:rsid w:val="00235E4A"/>
    <w:rsid w:val="00235EA1"/>
    <w:rsid w:val="00235EA6"/>
    <w:rsid w:val="002360EA"/>
    <w:rsid w:val="002363DD"/>
    <w:rsid w:val="00236464"/>
    <w:rsid w:val="002364A6"/>
    <w:rsid w:val="002366AF"/>
    <w:rsid w:val="002366D0"/>
    <w:rsid w:val="00236C91"/>
    <w:rsid w:val="00236ECB"/>
    <w:rsid w:val="0023715F"/>
    <w:rsid w:val="00237440"/>
    <w:rsid w:val="0023773E"/>
    <w:rsid w:val="00237874"/>
    <w:rsid w:val="00237885"/>
    <w:rsid w:val="0023788E"/>
    <w:rsid w:val="00237907"/>
    <w:rsid w:val="00237999"/>
    <w:rsid w:val="00237A7D"/>
    <w:rsid w:val="00237CFD"/>
    <w:rsid w:val="00237E04"/>
    <w:rsid w:val="00237E07"/>
    <w:rsid w:val="00237FF9"/>
    <w:rsid w:val="002400A1"/>
    <w:rsid w:val="00240106"/>
    <w:rsid w:val="0024021D"/>
    <w:rsid w:val="002402EC"/>
    <w:rsid w:val="00240656"/>
    <w:rsid w:val="002407C5"/>
    <w:rsid w:val="0024080B"/>
    <w:rsid w:val="00240A2F"/>
    <w:rsid w:val="00240AD8"/>
    <w:rsid w:val="00240D88"/>
    <w:rsid w:val="00240FCD"/>
    <w:rsid w:val="00241263"/>
    <w:rsid w:val="00241288"/>
    <w:rsid w:val="002412EA"/>
    <w:rsid w:val="002416BD"/>
    <w:rsid w:val="00241925"/>
    <w:rsid w:val="00241A02"/>
    <w:rsid w:val="00241B77"/>
    <w:rsid w:val="00241C2A"/>
    <w:rsid w:val="00241CFB"/>
    <w:rsid w:val="00241E8B"/>
    <w:rsid w:val="00241EE7"/>
    <w:rsid w:val="0024221C"/>
    <w:rsid w:val="00242584"/>
    <w:rsid w:val="00242A82"/>
    <w:rsid w:val="00242C2D"/>
    <w:rsid w:val="00242E43"/>
    <w:rsid w:val="00242E58"/>
    <w:rsid w:val="00243124"/>
    <w:rsid w:val="00243552"/>
    <w:rsid w:val="0024391E"/>
    <w:rsid w:val="00243A74"/>
    <w:rsid w:val="00243B2D"/>
    <w:rsid w:val="00243D0D"/>
    <w:rsid w:val="00243E35"/>
    <w:rsid w:val="00244116"/>
    <w:rsid w:val="002441BB"/>
    <w:rsid w:val="002441F8"/>
    <w:rsid w:val="002442E8"/>
    <w:rsid w:val="00244316"/>
    <w:rsid w:val="0024444C"/>
    <w:rsid w:val="002444C7"/>
    <w:rsid w:val="0024456B"/>
    <w:rsid w:val="0024481C"/>
    <w:rsid w:val="00244897"/>
    <w:rsid w:val="002448DC"/>
    <w:rsid w:val="00244A96"/>
    <w:rsid w:val="00244E7A"/>
    <w:rsid w:val="00245024"/>
    <w:rsid w:val="0024513A"/>
    <w:rsid w:val="00245232"/>
    <w:rsid w:val="002453E8"/>
    <w:rsid w:val="00245432"/>
    <w:rsid w:val="002454B6"/>
    <w:rsid w:val="002454B7"/>
    <w:rsid w:val="002454CB"/>
    <w:rsid w:val="002455A2"/>
    <w:rsid w:val="002455FA"/>
    <w:rsid w:val="002457EB"/>
    <w:rsid w:val="0024582E"/>
    <w:rsid w:val="0024585F"/>
    <w:rsid w:val="002459BD"/>
    <w:rsid w:val="00245A92"/>
    <w:rsid w:val="00245C02"/>
    <w:rsid w:val="00245C68"/>
    <w:rsid w:val="00245C79"/>
    <w:rsid w:val="00245DE8"/>
    <w:rsid w:val="00245E66"/>
    <w:rsid w:val="002460D6"/>
    <w:rsid w:val="002460F6"/>
    <w:rsid w:val="00246118"/>
    <w:rsid w:val="0024643E"/>
    <w:rsid w:val="0024647B"/>
    <w:rsid w:val="00246517"/>
    <w:rsid w:val="002465EE"/>
    <w:rsid w:val="00246753"/>
    <w:rsid w:val="00246899"/>
    <w:rsid w:val="00246A75"/>
    <w:rsid w:val="00246C2F"/>
    <w:rsid w:val="0024707D"/>
    <w:rsid w:val="00247181"/>
    <w:rsid w:val="002473AE"/>
    <w:rsid w:val="002473E0"/>
    <w:rsid w:val="00247594"/>
    <w:rsid w:val="002475D3"/>
    <w:rsid w:val="00247679"/>
    <w:rsid w:val="00247D72"/>
    <w:rsid w:val="0025026F"/>
    <w:rsid w:val="002503C0"/>
    <w:rsid w:val="00250414"/>
    <w:rsid w:val="002504B3"/>
    <w:rsid w:val="002506E1"/>
    <w:rsid w:val="00250852"/>
    <w:rsid w:val="00250B27"/>
    <w:rsid w:val="00250BBE"/>
    <w:rsid w:val="00251123"/>
    <w:rsid w:val="0025132E"/>
    <w:rsid w:val="0025151B"/>
    <w:rsid w:val="0025182C"/>
    <w:rsid w:val="00251A24"/>
    <w:rsid w:val="00251A7F"/>
    <w:rsid w:val="00251F78"/>
    <w:rsid w:val="00251FD8"/>
    <w:rsid w:val="00252206"/>
    <w:rsid w:val="00252283"/>
    <w:rsid w:val="00252350"/>
    <w:rsid w:val="00252A65"/>
    <w:rsid w:val="00252BA9"/>
    <w:rsid w:val="00252CE2"/>
    <w:rsid w:val="002530A7"/>
    <w:rsid w:val="002531F0"/>
    <w:rsid w:val="00253422"/>
    <w:rsid w:val="00253467"/>
    <w:rsid w:val="00253658"/>
    <w:rsid w:val="0025375A"/>
    <w:rsid w:val="00253826"/>
    <w:rsid w:val="0025388C"/>
    <w:rsid w:val="00253A5A"/>
    <w:rsid w:val="00253C24"/>
    <w:rsid w:val="00253D4F"/>
    <w:rsid w:val="00253EDE"/>
    <w:rsid w:val="00254062"/>
    <w:rsid w:val="002541C2"/>
    <w:rsid w:val="0025421B"/>
    <w:rsid w:val="00254236"/>
    <w:rsid w:val="002543BE"/>
    <w:rsid w:val="0025440E"/>
    <w:rsid w:val="00254476"/>
    <w:rsid w:val="00254630"/>
    <w:rsid w:val="002546E0"/>
    <w:rsid w:val="0025496D"/>
    <w:rsid w:val="00254C3C"/>
    <w:rsid w:val="00255067"/>
    <w:rsid w:val="0025535D"/>
    <w:rsid w:val="002553B2"/>
    <w:rsid w:val="0025542D"/>
    <w:rsid w:val="002554FA"/>
    <w:rsid w:val="002557ED"/>
    <w:rsid w:val="00255888"/>
    <w:rsid w:val="00255BCC"/>
    <w:rsid w:val="00255CA7"/>
    <w:rsid w:val="00255E58"/>
    <w:rsid w:val="00256002"/>
    <w:rsid w:val="002561A5"/>
    <w:rsid w:val="002561D0"/>
    <w:rsid w:val="0025661E"/>
    <w:rsid w:val="002566CB"/>
    <w:rsid w:val="002567D2"/>
    <w:rsid w:val="00256820"/>
    <w:rsid w:val="00256846"/>
    <w:rsid w:val="002568B6"/>
    <w:rsid w:val="002568D1"/>
    <w:rsid w:val="00256D9B"/>
    <w:rsid w:val="00256DA0"/>
    <w:rsid w:val="00256E11"/>
    <w:rsid w:val="00256E60"/>
    <w:rsid w:val="002572F7"/>
    <w:rsid w:val="002573AC"/>
    <w:rsid w:val="002574B9"/>
    <w:rsid w:val="002574E0"/>
    <w:rsid w:val="00257532"/>
    <w:rsid w:val="0025798A"/>
    <w:rsid w:val="002579B9"/>
    <w:rsid w:val="00257B9D"/>
    <w:rsid w:val="00257C09"/>
    <w:rsid w:val="00257C12"/>
    <w:rsid w:val="00257CC9"/>
    <w:rsid w:val="00257CD6"/>
    <w:rsid w:val="00257F24"/>
    <w:rsid w:val="0026011F"/>
    <w:rsid w:val="0026031A"/>
    <w:rsid w:val="00260488"/>
    <w:rsid w:val="002604D0"/>
    <w:rsid w:val="002605D5"/>
    <w:rsid w:val="00260778"/>
    <w:rsid w:val="00260789"/>
    <w:rsid w:val="00260802"/>
    <w:rsid w:val="00260B23"/>
    <w:rsid w:val="00260BBC"/>
    <w:rsid w:val="00260BBD"/>
    <w:rsid w:val="00260C2B"/>
    <w:rsid w:val="00260C77"/>
    <w:rsid w:val="00260D46"/>
    <w:rsid w:val="00260D48"/>
    <w:rsid w:val="00260E23"/>
    <w:rsid w:val="00260E74"/>
    <w:rsid w:val="002613D0"/>
    <w:rsid w:val="00261556"/>
    <w:rsid w:val="00261818"/>
    <w:rsid w:val="00261869"/>
    <w:rsid w:val="00261894"/>
    <w:rsid w:val="00261F33"/>
    <w:rsid w:val="00261FE5"/>
    <w:rsid w:val="0026201E"/>
    <w:rsid w:val="002620C0"/>
    <w:rsid w:val="002620E1"/>
    <w:rsid w:val="0026243E"/>
    <w:rsid w:val="0026251E"/>
    <w:rsid w:val="002625ED"/>
    <w:rsid w:val="00262687"/>
    <w:rsid w:val="00262904"/>
    <w:rsid w:val="00262AB2"/>
    <w:rsid w:val="00262D29"/>
    <w:rsid w:val="00262E0E"/>
    <w:rsid w:val="00263136"/>
    <w:rsid w:val="0026324F"/>
    <w:rsid w:val="00263389"/>
    <w:rsid w:val="002634AC"/>
    <w:rsid w:val="002637C0"/>
    <w:rsid w:val="00263877"/>
    <w:rsid w:val="00263BAF"/>
    <w:rsid w:val="00263CC8"/>
    <w:rsid w:val="00263D73"/>
    <w:rsid w:val="00263E20"/>
    <w:rsid w:val="00264130"/>
    <w:rsid w:val="0026420D"/>
    <w:rsid w:val="002642D9"/>
    <w:rsid w:val="00264374"/>
    <w:rsid w:val="00264556"/>
    <w:rsid w:val="002645C2"/>
    <w:rsid w:val="00264794"/>
    <w:rsid w:val="002648AD"/>
    <w:rsid w:val="00264979"/>
    <w:rsid w:val="00264ACA"/>
    <w:rsid w:val="00264C88"/>
    <w:rsid w:val="00264D20"/>
    <w:rsid w:val="00264E55"/>
    <w:rsid w:val="0026505C"/>
    <w:rsid w:val="00265192"/>
    <w:rsid w:val="0026523A"/>
    <w:rsid w:val="00265466"/>
    <w:rsid w:val="0026549F"/>
    <w:rsid w:val="00265624"/>
    <w:rsid w:val="00265947"/>
    <w:rsid w:val="002659AD"/>
    <w:rsid w:val="00265AA5"/>
    <w:rsid w:val="00265BE2"/>
    <w:rsid w:val="00265CB0"/>
    <w:rsid w:val="00265CC7"/>
    <w:rsid w:val="00266030"/>
    <w:rsid w:val="0026636F"/>
    <w:rsid w:val="002665E5"/>
    <w:rsid w:val="0026660A"/>
    <w:rsid w:val="0026666F"/>
    <w:rsid w:val="00266D59"/>
    <w:rsid w:val="00266F2A"/>
    <w:rsid w:val="002670AD"/>
    <w:rsid w:val="002671D6"/>
    <w:rsid w:val="0026770A"/>
    <w:rsid w:val="0026774F"/>
    <w:rsid w:val="0026777F"/>
    <w:rsid w:val="002677AC"/>
    <w:rsid w:val="002679F3"/>
    <w:rsid w:val="00267AE2"/>
    <w:rsid w:val="00267E1F"/>
    <w:rsid w:val="00267F9F"/>
    <w:rsid w:val="00267FEF"/>
    <w:rsid w:val="00267FFA"/>
    <w:rsid w:val="00270193"/>
    <w:rsid w:val="00270262"/>
    <w:rsid w:val="002704B2"/>
    <w:rsid w:val="0027056F"/>
    <w:rsid w:val="00270706"/>
    <w:rsid w:val="00270A87"/>
    <w:rsid w:val="00270C9F"/>
    <w:rsid w:val="00270CF0"/>
    <w:rsid w:val="002710C5"/>
    <w:rsid w:val="002712B6"/>
    <w:rsid w:val="00271558"/>
    <w:rsid w:val="0027187B"/>
    <w:rsid w:val="00271949"/>
    <w:rsid w:val="00271DF1"/>
    <w:rsid w:val="00271EAE"/>
    <w:rsid w:val="0027247F"/>
    <w:rsid w:val="00272614"/>
    <w:rsid w:val="00272679"/>
    <w:rsid w:val="002727FF"/>
    <w:rsid w:val="002728B6"/>
    <w:rsid w:val="00272BA6"/>
    <w:rsid w:val="00272C38"/>
    <w:rsid w:val="00272DC7"/>
    <w:rsid w:val="00272E26"/>
    <w:rsid w:val="00272EC6"/>
    <w:rsid w:val="002730DF"/>
    <w:rsid w:val="002731A7"/>
    <w:rsid w:val="002732E7"/>
    <w:rsid w:val="002733B1"/>
    <w:rsid w:val="002738C0"/>
    <w:rsid w:val="002738FD"/>
    <w:rsid w:val="00273A7B"/>
    <w:rsid w:val="00273A8D"/>
    <w:rsid w:val="00273E8D"/>
    <w:rsid w:val="00273EEF"/>
    <w:rsid w:val="00273F57"/>
    <w:rsid w:val="002740B9"/>
    <w:rsid w:val="00274148"/>
    <w:rsid w:val="00274160"/>
    <w:rsid w:val="0027431B"/>
    <w:rsid w:val="0027435F"/>
    <w:rsid w:val="002744E9"/>
    <w:rsid w:val="00275409"/>
    <w:rsid w:val="0027544F"/>
    <w:rsid w:val="00275565"/>
    <w:rsid w:val="002755FD"/>
    <w:rsid w:val="00275629"/>
    <w:rsid w:val="0027573A"/>
    <w:rsid w:val="00275923"/>
    <w:rsid w:val="00275A8C"/>
    <w:rsid w:val="00275C2C"/>
    <w:rsid w:val="00275EE1"/>
    <w:rsid w:val="002760F0"/>
    <w:rsid w:val="0027621F"/>
    <w:rsid w:val="0027622B"/>
    <w:rsid w:val="0027629F"/>
    <w:rsid w:val="002762CE"/>
    <w:rsid w:val="002763D3"/>
    <w:rsid w:val="00276493"/>
    <w:rsid w:val="00276497"/>
    <w:rsid w:val="002764B5"/>
    <w:rsid w:val="0027652D"/>
    <w:rsid w:val="00276651"/>
    <w:rsid w:val="0027668A"/>
    <w:rsid w:val="002767BE"/>
    <w:rsid w:val="0027696F"/>
    <w:rsid w:val="00276F88"/>
    <w:rsid w:val="00277146"/>
    <w:rsid w:val="002774E6"/>
    <w:rsid w:val="0027753A"/>
    <w:rsid w:val="00277545"/>
    <w:rsid w:val="00277550"/>
    <w:rsid w:val="002775A4"/>
    <w:rsid w:val="002777F8"/>
    <w:rsid w:val="00277834"/>
    <w:rsid w:val="002778FA"/>
    <w:rsid w:val="00277BEA"/>
    <w:rsid w:val="00277C5A"/>
    <w:rsid w:val="00277CFD"/>
    <w:rsid w:val="00277ED1"/>
    <w:rsid w:val="00277F63"/>
    <w:rsid w:val="002800E4"/>
    <w:rsid w:val="0028027F"/>
    <w:rsid w:val="002802CE"/>
    <w:rsid w:val="002803D9"/>
    <w:rsid w:val="002804B1"/>
    <w:rsid w:val="002806D4"/>
    <w:rsid w:val="002807BA"/>
    <w:rsid w:val="00280898"/>
    <w:rsid w:val="00280A26"/>
    <w:rsid w:val="00280B7E"/>
    <w:rsid w:val="00280CD9"/>
    <w:rsid w:val="00280F19"/>
    <w:rsid w:val="0028104B"/>
    <w:rsid w:val="00281105"/>
    <w:rsid w:val="00281609"/>
    <w:rsid w:val="00281641"/>
    <w:rsid w:val="002817CF"/>
    <w:rsid w:val="00281E9D"/>
    <w:rsid w:val="0028206A"/>
    <w:rsid w:val="002821BE"/>
    <w:rsid w:val="002823B1"/>
    <w:rsid w:val="002823EA"/>
    <w:rsid w:val="00282598"/>
    <w:rsid w:val="002826E5"/>
    <w:rsid w:val="00282A70"/>
    <w:rsid w:val="00282ADB"/>
    <w:rsid w:val="00282BFA"/>
    <w:rsid w:val="0028339D"/>
    <w:rsid w:val="0028354A"/>
    <w:rsid w:val="00283850"/>
    <w:rsid w:val="00283893"/>
    <w:rsid w:val="002839A1"/>
    <w:rsid w:val="002839A4"/>
    <w:rsid w:val="002839B0"/>
    <w:rsid w:val="00283CC7"/>
    <w:rsid w:val="00283EFE"/>
    <w:rsid w:val="00283F26"/>
    <w:rsid w:val="00284041"/>
    <w:rsid w:val="002840F7"/>
    <w:rsid w:val="002841E3"/>
    <w:rsid w:val="002842D1"/>
    <w:rsid w:val="0028431D"/>
    <w:rsid w:val="00284670"/>
    <w:rsid w:val="0028477E"/>
    <w:rsid w:val="00284CF4"/>
    <w:rsid w:val="00284E2F"/>
    <w:rsid w:val="002853C2"/>
    <w:rsid w:val="002855E3"/>
    <w:rsid w:val="0028572F"/>
    <w:rsid w:val="00285796"/>
    <w:rsid w:val="002857C3"/>
    <w:rsid w:val="002858E5"/>
    <w:rsid w:val="002858EF"/>
    <w:rsid w:val="00285A18"/>
    <w:rsid w:val="00285AAE"/>
    <w:rsid w:val="00285B18"/>
    <w:rsid w:val="00285B53"/>
    <w:rsid w:val="00285CC3"/>
    <w:rsid w:val="00286024"/>
    <w:rsid w:val="002861EA"/>
    <w:rsid w:val="00286285"/>
    <w:rsid w:val="002863C2"/>
    <w:rsid w:val="00286572"/>
    <w:rsid w:val="002868FD"/>
    <w:rsid w:val="002869E5"/>
    <w:rsid w:val="00286C90"/>
    <w:rsid w:val="00286CB3"/>
    <w:rsid w:val="0028715C"/>
    <w:rsid w:val="002872B0"/>
    <w:rsid w:val="00287323"/>
    <w:rsid w:val="00287A84"/>
    <w:rsid w:val="00287B3C"/>
    <w:rsid w:val="00287BBD"/>
    <w:rsid w:val="00287CD6"/>
    <w:rsid w:val="00287EC9"/>
    <w:rsid w:val="00287F7E"/>
    <w:rsid w:val="002900BB"/>
    <w:rsid w:val="002901BD"/>
    <w:rsid w:val="002904D4"/>
    <w:rsid w:val="00290503"/>
    <w:rsid w:val="0029058B"/>
    <w:rsid w:val="00290656"/>
    <w:rsid w:val="002909D0"/>
    <w:rsid w:val="00290A51"/>
    <w:rsid w:val="00290A68"/>
    <w:rsid w:val="00290AB2"/>
    <w:rsid w:val="00290CF1"/>
    <w:rsid w:val="00290D07"/>
    <w:rsid w:val="00290F2B"/>
    <w:rsid w:val="002913AB"/>
    <w:rsid w:val="0029159D"/>
    <w:rsid w:val="002917CF"/>
    <w:rsid w:val="00291A31"/>
    <w:rsid w:val="00291CBD"/>
    <w:rsid w:val="00291CF7"/>
    <w:rsid w:val="00291DE5"/>
    <w:rsid w:val="00291FCF"/>
    <w:rsid w:val="00292123"/>
    <w:rsid w:val="00292697"/>
    <w:rsid w:val="002926AC"/>
    <w:rsid w:val="002926F7"/>
    <w:rsid w:val="002928C7"/>
    <w:rsid w:val="0029299B"/>
    <w:rsid w:val="002929AD"/>
    <w:rsid w:val="00292AD5"/>
    <w:rsid w:val="00292D48"/>
    <w:rsid w:val="00292D54"/>
    <w:rsid w:val="00292E3C"/>
    <w:rsid w:val="00292E70"/>
    <w:rsid w:val="00292EA6"/>
    <w:rsid w:val="00292FB5"/>
    <w:rsid w:val="002930D6"/>
    <w:rsid w:val="002930D9"/>
    <w:rsid w:val="0029320C"/>
    <w:rsid w:val="00293496"/>
    <w:rsid w:val="00293506"/>
    <w:rsid w:val="00293639"/>
    <w:rsid w:val="00293800"/>
    <w:rsid w:val="00293A81"/>
    <w:rsid w:val="00293B31"/>
    <w:rsid w:val="00293C65"/>
    <w:rsid w:val="00293CAA"/>
    <w:rsid w:val="00293DFC"/>
    <w:rsid w:val="00293E80"/>
    <w:rsid w:val="00293F12"/>
    <w:rsid w:val="002940D9"/>
    <w:rsid w:val="00294194"/>
    <w:rsid w:val="002941E6"/>
    <w:rsid w:val="00294362"/>
    <w:rsid w:val="00294472"/>
    <w:rsid w:val="002944CA"/>
    <w:rsid w:val="00294545"/>
    <w:rsid w:val="00294652"/>
    <w:rsid w:val="002947A7"/>
    <w:rsid w:val="00294C7F"/>
    <w:rsid w:val="00294C80"/>
    <w:rsid w:val="00294DB1"/>
    <w:rsid w:val="00294FF5"/>
    <w:rsid w:val="00295012"/>
    <w:rsid w:val="002951BC"/>
    <w:rsid w:val="002951FC"/>
    <w:rsid w:val="00295528"/>
    <w:rsid w:val="0029564F"/>
    <w:rsid w:val="00295734"/>
    <w:rsid w:val="002957B6"/>
    <w:rsid w:val="00295B14"/>
    <w:rsid w:val="00295BF5"/>
    <w:rsid w:val="00295C66"/>
    <w:rsid w:val="00295EAA"/>
    <w:rsid w:val="00295ED2"/>
    <w:rsid w:val="00295F7B"/>
    <w:rsid w:val="00296224"/>
    <w:rsid w:val="00296444"/>
    <w:rsid w:val="002965FE"/>
    <w:rsid w:val="00296A0C"/>
    <w:rsid w:val="00296BBF"/>
    <w:rsid w:val="00296F1B"/>
    <w:rsid w:val="00296F69"/>
    <w:rsid w:val="00296FD2"/>
    <w:rsid w:val="00297421"/>
    <w:rsid w:val="002974DB"/>
    <w:rsid w:val="00297811"/>
    <w:rsid w:val="00297845"/>
    <w:rsid w:val="00297858"/>
    <w:rsid w:val="0029791A"/>
    <w:rsid w:val="00297B13"/>
    <w:rsid w:val="00297C15"/>
    <w:rsid w:val="00297C51"/>
    <w:rsid w:val="00297FB1"/>
    <w:rsid w:val="002A0394"/>
    <w:rsid w:val="002A052E"/>
    <w:rsid w:val="002A0575"/>
    <w:rsid w:val="002A05ED"/>
    <w:rsid w:val="002A0725"/>
    <w:rsid w:val="002A090E"/>
    <w:rsid w:val="002A091D"/>
    <w:rsid w:val="002A0CCC"/>
    <w:rsid w:val="002A113A"/>
    <w:rsid w:val="002A1180"/>
    <w:rsid w:val="002A12C7"/>
    <w:rsid w:val="002A132F"/>
    <w:rsid w:val="002A1367"/>
    <w:rsid w:val="002A13AE"/>
    <w:rsid w:val="002A154F"/>
    <w:rsid w:val="002A168D"/>
    <w:rsid w:val="002A1C93"/>
    <w:rsid w:val="002A1D4A"/>
    <w:rsid w:val="002A1DD8"/>
    <w:rsid w:val="002A1F5C"/>
    <w:rsid w:val="002A2032"/>
    <w:rsid w:val="002A20E3"/>
    <w:rsid w:val="002A2406"/>
    <w:rsid w:val="002A254D"/>
    <w:rsid w:val="002A25A9"/>
    <w:rsid w:val="002A2779"/>
    <w:rsid w:val="002A27CA"/>
    <w:rsid w:val="002A2C05"/>
    <w:rsid w:val="002A2D65"/>
    <w:rsid w:val="002A2DA2"/>
    <w:rsid w:val="002A2E5C"/>
    <w:rsid w:val="002A2FF0"/>
    <w:rsid w:val="002A3065"/>
    <w:rsid w:val="002A315F"/>
    <w:rsid w:val="002A31E7"/>
    <w:rsid w:val="002A3640"/>
    <w:rsid w:val="002A36AD"/>
    <w:rsid w:val="002A37FC"/>
    <w:rsid w:val="002A3953"/>
    <w:rsid w:val="002A39B5"/>
    <w:rsid w:val="002A3AAB"/>
    <w:rsid w:val="002A3B24"/>
    <w:rsid w:val="002A4055"/>
    <w:rsid w:val="002A4137"/>
    <w:rsid w:val="002A414C"/>
    <w:rsid w:val="002A42F8"/>
    <w:rsid w:val="002A4308"/>
    <w:rsid w:val="002A43EB"/>
    <w:rsid w:val="002A4435"/>
    <w:rsid w:val="002A4623"/>
    <w:rsid w:val="002A4641"/>
    <w:rsid w:val="002A49D9"/>
    <w:rsid w:val="002A4AA7"/>
    <w:rsid w:val="002A4BD1"/>
    <w:rsid w:val="002A4C8B"/>
    <w:rsid w:val="002A4EF4"/>
    <w:rsid w:val="002A4FA5"/>
    <w:rsid w:val="002A51CF"/>
    <w:rsid w:val="002A53E7"/>
    <w:rsid w:val="002A582B"/>
    <w:rsid w:val="002A58BF"/>
    <w:rsid w:val="002A58FA"/>
    <w:rsid w:val="002A594B"/>
    <w:rsid w:val="002A59C7"/>
    <w:rsid w:val="002A5A2D"/>
    <w:rsid w:val="002A5A63"/>
    <w:rsid w:val="002A5B11"/>
    <w:rsid w:val="002A5B4A"/>
    <w:rsid w:val="002A5C2A"/>
    <w:rsid w:val="002A5DE5"/>
    <w:rsid w:val="002A63D8"/>
    <w:rsid w:val="002A6426"/>
    <w:rsid w:val="002A661E"/>
    <w:rsid w:val="002A6C14"/>
    <w:rsid w:val="002A6E82"/>
    <w:rsid w:val="002A6ECB"/>
    <w:rsid w:val="002A6F3A"/>
    <w:rsid w:val="002A6F72"/>
    <w:rsid w:val="002A70CB"/>
    <w:rsid w:val="002A73E4"/>
    <w:rsid w:val="002A73E5"/>
    <w:rsid w:val="002A73F0"/>
    <w:rsid w:val="002A7484"/>
    <w:rsid w:val="002A7514"/>
    <w:rsid w:val="002A7552"/>
    <w:rsid w:val="002A781C"/>
    <w:rsid w:val="002A7838"/>
    <w:rsid w:val="002A78A1"/>
    <w:rsid w:val="002A78C1"/>
    <w:rsid w:val="002A7C02"/>
    <w:rsid w:val="002A7D84"/>
    <w:rsid w:val="002A7FE0"/>
    <w:rsid w:val="002B0099"/>
    <w:rsid w:val="002B0294"/>
    <w:rsid w:val="002B0388"/>
    <w:rsid w:val="002B0431"/>
    <w:rsid w:val="002B0524"/>
    <w:rsid w:val="002B0905"/>
    <w:rsid w:val="002B0909"/>
    <w:rsid w:val="002B0A23"/>
    <w:rsid w:val="002B0B6B"/>
    <w:rsid w:val="002B0DAD"/>
    <w:rsid w:val="002B0DF1"/>
    <w:rsid w:val="002B0EB0"/>
    <w:rsid w:val="002B1007"/>
    <w:rsid w:val="002B1042"/>
    <w:rsid w:val="002B13C4"/>
    <w:rsid w:val="002B1559"/>
    <w:rsid w:val="002B1708"/>
    <w:rsid w:val="002B19A4"/>
    <w:rsid w:val="002B1A0A"/>
    <w:rsid w:val="002B1B19"/>
    <w:rsid w:val="002B1D18"/>
    <w:rsid w:val="002B1EBD"/>
    <w:rsid w:val="002B1EC4"/>
    <w:rsid w:val="002B21DF"/>
    <w:rsid w:val="002B2289"/>
    <w:rsid w:val="002B25F1"/>
    <w:rsid w:val="002B2658"/>
    <w:rsid w:val="002B2776"/>
    <w:rsid w:val="002B2824"/>
    <w:rsid w:val="002B28AD"/>
    <w:rsid w:val="002B28B8"/>
    <w:rsid w:val="002B29A5"/>
    <w:rsid w:val="002B2A04"/>
    <w:rsid w:val="002B309A"/>
    <w:rsid w:val="002B309F"/>
    <w:rsid w:val="002B32E9"/>
    <w:rsid w:val="002B3465"/>
    <w:rsid w:val="002B34AE"/>
    <w:rsid w:val="002B36C8"/>
    <w:rsid w:val="002B39FD"/>
    <w:rsid w:val="002B3D4C"/>
    <w:rsid w:val="002B3EE4"/>
    <w:rsid w:val="002B3FA5"/>
    <w:rsid w:val="002B4064"/>
    <w:rsid w:val="002B41A2"/>
    <w:rsid w:val="002B429A"/>
    <w:rsid w:val="002B42BB"/>
    <w:rsid w:val="002B431E"/>
    <w:rsid w:val="002B4D67"/>
    <w:rsid w:val="002B4DCD"/>
    <w:rsid w:val="002B4FD0"/>
    <w:rsid w:val="002B51B5"/>
    <w:rsid w:val="002B5472"/>
    <w:rsid w:val="002B54D5"/>
    <w:rsid w:val="002B5533"/>
    <w:rsid w:val="002B5822"/>
    <w:rsid w:val="002B5B02"/>
    <w:rsid w:val="002B6019"/>
    <w:rsid w:val="002B6095"/>
    <w:rsid w:val="002B6098"/>
    <w:rsid w:val="002B60E7"/>
    <w:rsid w:val="002B61BB"/>
    <w:rsid w:val="002B632F"/>
    <w:rsid w:val="002B6362"/>
    <w:rsid w:val="002B6625"/>
    <w:rsid w:val="002B6840"/>
    <w:rsid w:val="002B6DB1"/>
    <w:rsid w:val="002B6E56"/>
    <w:rsid w:val="002B6F85"/>
    <w:rsid w:val="002B7047"/>
    <w:rsid w:val="002B711E"/>
    <w:rsid w:val="002B7210"/>
    <w:rsid w:val="002B73C2"/>
    <w:rsid w:val="002B73EE"/>
    <w:rsid w:val="002B770D"/>
    <w:rsid w:val="002C00E6"/>
    <w:rsid w:val="002C02E5"/>
    <w:rsid w:val="002C03AD"/>
    <w:rsid w:val="002C0669"/>
    <w:rsid w:val="002C0A2C"/>
    <w:rsid w:val="002C0ADD"/>
    <w:rsid w:val="002C0EA8"/>
    <w:rsid w:val="002C108F"/>
    <w:rsid w:val="002C1386"/>
    <w:rsid w:val="002C150E"/>
    <w:rsid w:val="002C16C0"/>
    <w:rsid w:val="002C172E"/>
    <w:rsid w:val="002C1932"/>
    <w:rsid w:val="002C196F"/>
    <w:rsid w:val="002C1B8D"/>
    <w:rsid w:val="002C1BA3"/>
    <w:rsid w:val="002C1C0C"/>
    <w:rsid w:val="002C1C61"/>
    <w:rsid w:val="002C1D08"/>
    <w:rsid w:val="002C1E17"/>
    <w:rsid w:val="002C1EF6"/>
    <w:rsid w:val="002C25FA"/>
    <w:rsid w:val="002C27B9"/>
    <w:rsid w:val="002C2AF2"/>
    <w:rsid w:val="002C2BFF"/>
    <w:rsid w:val="002C2C8B"/>
    <w:rsid w:val="002C2D12"/>
    <w:rsid w:val="002C2F80"/>
    <w:rsid w:val="002C3038"/>
    <w:rsid w:val="002C31AB"/>
    <w:rsid w:val="002C31BD"/>
    <w:rsid w:val="002C31E9"/>
    <w:rsid w:val="002C32D5"/>
    <w:rsid w:val="002C3368"/>
    <w:rsid w:val="002C353E"/>
    <w:rsid w:val="002C36A5"/>
    <w:rsid w:val="002C3900"/>
    <w:rsid w:val="002C39EF"/>
    <w:rsid w:val="002C3AA9"/>
    <w:rsid w:val="002C3CA8"/>
    <w:rsid w:val="002C3CB0"/>
    <w:rsid w:val="002C3D92"/>
    <w:rsid w:val="002C3E0D"/>
    <w:rsid w:val="002C3E79"/>
    <w:rsid w:val="002C4020"/>
    <w:rsid w:val="002C4037"/>
    <w:rsid w:val="002C4649"/>
    <w:rsid w:val="002C46D6"/>
    <w:rsid w:val="002C475D"/>
    <w:rsid w:val="002C4788"/>
    <w:rsid w:val="002C47D7"/>
    <w:rsid w:val="002C4873"/>
    <w:rsid w:val="002C4892"/>
    <w:rsid w:val="002C4969"/>
    <w:rsid w:val="002C4A34"/>
    <w:rsid w:val="002C4BF3"/>
    <w:rsid w:val="002C4D9B"/>
    <w:rsid w:val="002C4DEA"/>
    <w:rsid w:val="002C4F95"/>
    <w:rsid w:val="002C52FB"/>
    <w:rsid w:val="002C5375"/>
    <w:rsid w:val="002C53E7"/>
    <w:rsid w:val="002C5612"/>
    <w:rsid w:val="002C58C0"/>
    <w:rsid w:val="002C5958"/>
    <w:rsid w:val="002C5ADA"/>
    <w:rsid w:val="002C5BF7"/>
    <w:rsid w:val="002C5C13"/>
    <w:rsid w:val="002C5C33"/>
    <w:rsid w:val="002C5C9E"/>
    <w:rsid w:val="002C5FCE"/>
    <w:rsid w:val="002C6036"/>
    <w:rsid w:val="002C6258"/>
    <w:rsid w:val="002C63E4"/>
    <w:rsid w:val="002C6429"/>
    <w:rsid w:val="002C64BC"/>
    <w:rsid w:val="002C652B"/>
    <w:rsid w:val="002C6711"/>
    <w:rsid w:val="002C6A69"/>
    <w:rsid w:val="002C6D69"/>
    <w:rsid w:val="002C7246"/>
    <w:rsid w:val="002C7322"/>
    <w:rsid w:val="002C7373"/>
    <w:rsid w:val="002C766F"/>
    <w:rsid w:val="002C7899"/>
    <w:rsid w:val="002C7C53"/>
    <w:rsid w:val="002C7DEB"/>
    <w:rsid w:val="002D0203"/>
    <w:rsid w:val="002D0412"/>
    <w:rsid w:val="002D0499"/>
    <w:rsid w:val="002D049C"/>
    <w:rsid w:val="002D0542"/>
    <w:rsid w:val="002D0861"/>
    <w:rsid w:val="002D08CC"/>
    <w:rsid w:val="002D08FF"/>
    <w:rsid w:val="002D098E"/>
    <w:rsid w:val="002D0B52"/>
    <w:rsid w:val="002D0BE2"/>
    <w:rsid w:val="002D0D48"/>
    <w:rsid w:val="002D0FA8"/>
    <w:rsid w:val="002D1092"/>
    <w:rsid w:val="002D136B"/>
    <w:rsid w:val="002D158B"/>
    <w:rsid w:val="002D164D"/>
    <w:rsid w:val="002D1819"/>
    <w:rsid w:val="002D193A"/>
    <w:rsid w:val="002D1EB6"/>
    <w:rsid w:val="002D2078"/>
    <w:rsid w:val="002D2132"/>
    <w:rsid w:val="002D23B7"/>
    <w:rsid w:val="002D255B"/>
    <w:rsid w:val="002D28D8"/>
    <w:rsid w:val="002D292B"/>
    <w:rsid w:val="002D2BFA"/>
    <w:rsid w:val="002D2D0F"/>
    <w:rsid w:val="002D2D5C"/>
    <w:rsid w:val="002D2E25"/>
    <w:rsid w:val="002D2F22"/>
    <w:rsid w:val="002D3024"/>
    <w:rsid w:val="002D3238"/>
    <w:rsid w:val="002D3553"/>
    <w:rsid w:val="002D362D"/>
    <w:rsid w:val="002D3957"/>
    <w:rsid w:val="002D3A40"/>
    <w:rsid w:val="002D3EB6"/>
    <w:rsid w:val="002D3FB2"/>
    <w:rsid w:val="002D4120"/>
    <w:rsid w:val="002D417C"/>
    <w:rsid w:val="002D4456"/>
    <w:rsid w:val="002D4522"/>
    <w:rsid w:val="002D452D"/>
    <w:rsid w:val="002D45C9"/>
    <w:rsid w:val="002D46BE"/>
    <w:rsid w:val="002D47D6"/>
    <w:rsid w:val="002D4A5D"/>
    <w:rsid w:val="002D526E"/>
    <w:rsid w:val="002D538C"/>
    <w:rsid w:val="002D5656"/>
    <w:rsid w:val="002D5847"/>
    <w:rsid w:val="002D58AF"/>
    <w:rsid w:val="002D5DB8"/>
    <w:rsid w:val="002D5E17"/>
    <w:rsid w:val="002D5FAA"/>
    <w:rsid w:val="002D60C7"/>
    <w:rsid w:val="002D6282"/>
    <w:rsid w:val="002D644E"/>
    <w:rsid w:val="002D6559"/>
    <w:rsid w:val="002D65EB"/>
    <w:rsid w:val="002D6AD3"/>
    <w:rsid w:val="002D6BFA"/>
    <w:rsid w:val="002D713A"/>
    <w:rsid w:val="002D72C2"/>
    <w:rsid w:val="002D734E"/>
    <w:rsid w:val="002D7603"/>
    <w:rsid w:val="002D7620"/>
    <w:rsid w:val="002D7672"/>
    <w:rsid w:val="002D767B"/>
    <w:rsid w:val="002D7BDF"/>
    <w:rsid w:val="002D7F6D"/>
    <w:rsid w:val="002E0098"/>
    <w:rsid w:val="002E02E8"/>
    <w:rsid w:val="002E02F4"/>
    <w:rsid w:val="002E04CE"/>
    <w:rsid w:val="002E0555"/>
    <w:rsid w:val="002E056B"/>
    <w:rsid w:val="002E0789"/>
    <w:rsid w:val="002E0E16"/>
    <w:rsid w:val="002E0FB6"/>
    <w:rsid w:val="002E1038"/>
    <w:rsid w:val="002E11A3"/>
    <w:rsid w:val="002E11E7"/>
    <w:rsid w:val="002E11F3"/>
    <w:rsid w:val="002E1314"/>
    <w:rsid w:val="002E13B7"/>
    <w:rsid w:val="002E13C2"/>
    <w:rsid w:val="002E145C"/>
    <w:rsid w:val="002E15ED"/>
    <w:rsid w:val="002E1682"/>
    <w:rsid w:val="002E18AD"/>
    <w:rsid w:val="002E1A35"/>
    <w:rsid w:val="002E1DCF"/>
    <w:rsid w:val="002E1F24"/>
    <w:rsid w:val="002E2566"/>
    <w:rsid w:val="002E27AA"/>
    <w:rsid w:val="002E2A60"/>
    <w:rsid w:val="002E2ACA"/>
    <w:rsid w:val="002E2AED"/>
    <w:rsid w:val="002E2C47"/>
    <w:rsid w:val="002E2F20"/>
    <w:rsid w:val="002E322E"/>
    <w:rsid w:val="002E3443"/>
    <w:rsid w:val="002E35AB"/>
    <w:rsid w:val="002E36CB"/>
    <w:rsid w:val="002E3828"/>
    <w:rsid w:val="002E3B91"/>
    <w:rsid w:val="002E3C85"/>
    <w:rsid w:val="002E3D08"/>
    <w:rsid w:val="002E401C"/>
    <w:rsid w:val="002E40AF"/>
    <w:rsid w:val="002E41C7"/>
    <w:rsid w:val="002E41DF"/>
    <w:rsid w:val="002E42FA"/>
    <w:rsid w:val="002E460E"/>
    <w:rsid w:val="002E47BB"/>
    <w:rsid w:val="002E48B3"/>
    <w:rsid w:val="002E4970"/>
    <w:rsid w:val="002E4C21"/>
    <w:rsid w:val="002E4CD5"/>
    <w:rsid w:val="002E4EE8"/>
    <w:rsid w:val="002E4F08"/>
    <w:rsid w:val="002E5322"/>
    <w:rsid w:val="002E5429"/>
    <w:rsid w:val="002E552C"/>
    <w:rsid w:val="002E578A"/>
    <w:rsid w:val="002E58A1"/>
    <w:rsid w:val="002E5947"/>
    <w:rsid w:val="002E59E3"/>
    <w:rsid w:val="002E59FB"/>
    <w:rsid w:val="002E5B00"/>
    <w:rsid w:val="002E5BC5"/>
    <w:rsid w:val="002E5DD6"/>
    <w:rsid w:val="002E5F24"/>
    <w:rsid w:val="002E6133"/>
    <w:rsid w:val="002E6448"/>
    <w:rsid w:val="002E6453"/>
    <w:rsid w:val="002E6683"/>
    <w:rsid w:val="002E6706"/>
    <w:rsid w:val="002E6803"/>
    <w:rsid w:val="002E6816"/>
    <w:rsid w:val="002E69C7"/>
    <w:rsid w:val="002E6D8B"/>
    <w:rsid w:val="002E6DC4"/>
    <w:rsid w:val="002E703F"/>
    <w:rsid w:val="002E7086"/>
    <w:rsid w:val="002E72C1"/>
    <w:rsid w:val="002E7583"/>
    <w:rsid w:val="002E76F3"/>
    <w:rsid w:val="002E7855"/>
    <w:rsid w:val="002E78D9"/>
    <w:rsid w:val="002E7BDF"/>
    <w:rsid w:val="002E7CC9"/>
    <w:rsid w:val="002E7DF2"/>
    <w:rsid w:val="002F002F"/>
    <w:rsid w:val="002F00D7"/>
    <w:rsid w:val="002F0197"/>
    <w:rsid w:val="002F02FD"/>
    <w:rsid w:val="002F032A"/>
    <w:rsid w:val="002F047F"/>
    <w:rsid w:val="002F061E"/>
    <w:rsid w:val="002F0637"/>
    <w:rsid w:val="002F074B"/>
    <w:rsid w:val="002F0800"/>
    <w:rsid w:val="002F08A5"/>
    <w:rsid w:val="002F0AA8"/>
    <w:rsid w:val="002F0F55"/>
    <w:rsid w:val="002F0F69"/>
    <w:rsid w:val="002F1190"/>
    <w:rsid w:val="002F11A0"/>
    <w:rsid w:val="002F1506"/>
    <w:rsid w:val="002F1720"/>
    <w:rsid w:val="002F189D"/>
    <w:rsid w:val="002F19B7"/>
    <w:rsid w:val="002F1FB3"/>
    <w:rsid w:val="002F1FF9"/>
    <w:rsid w:val="002F2090"/>
    <w:rsid w:val="002F20CB"/>
    <w:rsid w:val="002F2155"/>
    <w:rsid w:val="002F2334"/>
    <w:rsid w:val="002F25FF"/>
    <w:rsid w:val="002F263D"/>
    <w:rsid w:val="002F2855"/>
    <w:rsid w:val="002F2A25"/>
    <w:rsid w:val="002F2DBF"/>
    <w:rsid w:val="002F2FE3"/>
    <w:rsid w:val="002F30CC"/>
    <w:rsid w:val="002F31C7"/>
    <w:rsid w:val="002F31DA"/>
    <w:rsid w:val="002F3508"/>
    <w:rsid w:val="002F381D"/>
    <w:rsid w:val="002F38D1"/>
    <w:rsid w:val="002F3A09"/>
    <w:rsid w:val="002F3B25"/>
    <w:rsid w:val="002F3B72"/>
    <w:rsid w:val="002F3BE0"/>
    <w:rsid w:val="002F3E9F"/>
    <w:rsid w:val="002F3F48"/>
    <w:rsid w:val="002F3F8C"/>
    <w:rsid w:val="002F422A"/>
    <w:rsid w:val="002F4533"/>
    <w:rsid w:val="002F4808"/>
    <w:rsid w:val="002F4AC0"/>
    <w:rsid w:val="002F4C0E"/>
    <w:rsid w:val="002F4D21"/>
    <w:rsid w:val="002F4E1A"/>
    <w:rsid w:val="002F4F99"/>
    <w:rsid w:val="002F4FF3"/>
    <w:rsid w:val="002F5541"/>
    <w:rsid w:val="002F5646"/>
    <w:rsid w:val="002F5960"/>
    <w:rsid w:val="002F5A11"/>
    <w:rsid w:val="002F5BCC"/>
    <w:rsid w:val="002F5E12"/>
    <w:rsid w:val="002F6238"/>
    <w:rsid w:val="002F6537"/>
    <w:rsid w:val="002F65B6"/>
    <w:rsid w:val="002F679B"/>
    <w:rsid w:val="002F6893"/>
    <w:rsid w:val="002F6918"/>
    <w:rsid w:val="002F6B8F"/>
    <w:rsid w:val="002F6CF5"/>
    <w:rsid w:val="002F6DB8"/>
    <w:rsid w:val="002F7036"/>
    <w:rsid w:val="002F732D"/>
    <w:rsid w:val="002F748C"/>
    <w:rsid w:val="002F7598"/>
    <w:rsid w:val="002F7655"/>
    <w:rsid w:val="002F765C"/>
    <w:rsid w:val="002F78E0"/>
    <w:rsid w:val="002F7E05"/>
    <w:rsid w:val="002F7F76"/>
    <w:rsid w:val="002F7FB7"/>
    <w:rsid w:val="003001A7"/>
    <w:rsid w:val="0030030F"/>
    <w:rsid w:val="00300566"/>
    <w:rsid w:val="003006DF"/>
    <w:rsid w:val="00300C63"/>
    <w:rsid w:val="00300C8E"/>
    <w:rsid w:val="00300CAE"/>
    <w:rsid w:val="00300CAF"/>
    <w:rsid w:val="00300CD8"/>
    <w:rsid w:val="00300FE1"/>
    <w:rsid w:val="003013BB"/>
    <w:rsid w:val="00301522"/>
    <w:rsid w:val="0030166F"/>
    <w:rsid w:val="0030173A"/>
    <w:rsid w:val="00301858"/>
    <w:rsid w:val="00301897"/>
    <w:rsid w:val="00301946"/>
    <w:rsid w:val="00301A50"/>
    <w:rsid w:val="00301AED"/>
    <w:rsid w:val="00301B7E"/>
    <w:rsid w:val="00301F36"/>
    <w:rsid w:val="0030200B"/>
    <w:rsid w:val="00302076"/>
    <w:rsid w:val="0030213B"/>
    <w:rsid w:val="00302149"/>
    <w:rsid w:val="00302F81"/>
    <w:rsid w:val="00302FE4"/>
    <w:rsid w:val="00303189"/>
    <w:rsid w:val="00303197"/>
    <w:rsid w:val="0030320F"/>
    <w:rsid w:val="00303351"/>
    <w:rsid w:val="00303517"/>
    <w:rsid w:val="00303590"/>
    <w:rsid w:val="00303805"/>
    <w:rsid w:val="00303996"/>
    <w:rsid w:val="003039B1"/>
    <w:rsid w:val="0030424A"/>
    <w:rsid w:val="0030427E"/>
    <w:rsid w:val="003045AA"/>
    <w:rsid w:val="00304616"/>
    <w:rsid w:val="003046D2"/>
    <w:rsid w:val="00304831"/>
    <w:rsid w:val="00304883"/>
    <w:rsid w:val="00304996"/>
    <w:rsid w:val="00304C25"/>
    <w:rsid w:val="00304FC2"/>
    <w:rsid w:val="0030510D"/>
    <w:rsid w:val="00305315"/>
    <w:rsid w:val="003054E4"/>
    <w:rsid w:val="00305550"/>
    <w:rsid w:val="00305577"/>
    <w:rsid w:val="00305715"/>
    <w:rsid w:val="00305B1B"/>
    <w:rsid w:val="00305B1F"/>
    <w:rsid w:val="00305B2C"/>
    <w:rsid w:val="00306040"/>
    <w:rsid w:val="00306187"/>
    <w:rsid w:val="003061CE"/>
    <w:rsid w:val="00306390"/>
    <w:rsid w:val="0030642D"/>
    <w:rsid w:val="0030653B"/>
    <w:rsid w:val="003067DB"/>
    <w:rsid w:val="00306AFF"/>
    <w:rsid w:val="00306CBF"/>
    <w:rsid w:val="00306FB1"/>
    <w:rsid w:val="00307014"/>
    <w:rsid w:val="0030737B"/>
    <w:rsid w:val="003079AC"/>
    <w:rsid w:val="00307B2A"/>
    <w:rsid w:val="00307D77"/>
    <w:rsid w:val="00307F4E"/>
    <w:rsid w:val="00310068"/>
    <w:rsid w:val="00310099"/>
    <w:rsid w:val="0031010D"/>
    <w:rsid w:val="00310278"/>
    <w:rsid w:val="00310481"/>
    <w:rsid w:val="0031064A"/>
    <w:rsid w:val="003106CA"/>
    <w:rsid w:val="00310912"/>
    <w:rsid w:val="00310B3F"/>
    <w:rsid w:val="00310C32"/>
    <w:rsid w:val="00310DFC"/>
    <w:rsid w:val="00310E3F"/>
    <w:rsid w:val="00310E5D"/>
    <w:rsid w:val="00311345"/>
    <w:rsid w:val="003115DC"/>
    <w:rsid w:val="003116D8"/>
    <w:rsid w:val="003116EC"/>
    <w:rsid w:val="0031187A"/>
    <w:rsid w:val="00311992"/>
    <w:rsid w:val="00311C07"/>
    <w:rsid w:val="00311D80"/>
    <w:rsid w:val="0031205A"/>
    <w:rsid w:val="003120D7"/>
    <w:rsid w:val="00312126"/>
    <w:rsid w:val="00312288"/>
    <w:rsid w:val="003124C7"/>
    <w:rsid w:val="00312672"/>
    <w:rsid w:val="0031267D"/>
    <w:rsid w:val="003126A8"/>
    <w:rsid w:val="003126FD"/>
    <w:rsid w:val="003128EF"/>
    <w:rsid w:val="00312BC8"/>
    <w:rsid w:val="00312D72"/>
    <w:rsid w:val="00313078"/>
    <w:rsid w:val="003130C9"/>
    <w:rsid w:val="003133FF"/>
    <w:rsid w:val="00313A4E"/>
    <w:rsid w:val="00313AB5"/>
    <w:rsid w:val="00313B8B"/>
    <w:rsid w:val="00313BFC"/>
    <w:rsid w:val="00313C32"/>
    <w:rsid w:val="00313C64"/>
    <w:rsid w:val="00313D03"/>
    <w:rsid w:val="00313FCF"/>
    <w:rsid w:val="00314216"/>
    <w:rsid w:val="0031423B"/>
    <w:rsid w:val="003144A5"/>
    <w:rsid w:val="003146C1"/>
    <w:rsid w:val="003146D3"/>
    <w:rsid w:val="003146E0"/>
    <w:rsid w:val="0031476E"/>
    <w:rsid w:val="00314A43"/>
    <w:rsid w:val="00314DD0"/>
    <w:rsid w:val="00314E96"/>
    <w:rsid w:val="00315002"/>
    <w:rsid w:val="00315047"/>
    <w:rsid w:val="003150D9"/>
    <w:rsid w:val="00315197"/>
    <w:rsid w:val="0031533D"/>
    <w:rsid w:val="0031538A"/>
    <w:rsid w:val="00315714"/>
    <w:rsid w:val="00315817"/>
    <w:rsid w:val="00315886"/>
    <w:rsid w:val="00315BFB"/>
    <w:rsid w:val="00315E8E"/>
    <w:rsid w:val="00315EC2"/>
    <w:rsid w:val="00315F0E"/>
    <w:rsid w:val="00315FA6"/>
    <w:rsid w:val="00316006"/>
    <w:rsid w:val="003160AC"/>
    <w:rsid w:val="0031619C"/>
    <w:rsid w:val="0031620F"/>
    <w:rsid w:val="0031630D"/>
    <w:rsid w:val="003164F8"/>
    <w:rsid w:val="0031652F"/>
    <w:rsid w:val="0031671D"/>
    <w:rsid w:val="00316982"/>
    <w:rsid w:val="00316A31"/>
    <w:rsid w:val="00316B1A"/>
    <w:rsid w:val="00316D7C"/>
    <w:rsid w:val="00316EA9"/>
    <w:rsid w:val="00317006"/>
    <w:rsid w:val="0031701A"/>
    <w:rsid w:val="003171DC"/>
    <w:rsid w:val="00317420"/>
    <w:rsid w:val="0031766B"/>
    <w:rsid w:val="003176D1"/>
    <w:rsid w:val="0031779F"/>
    <w:rsid w:val="00317820"/>
    <w:rsid w:val="003178DA"/>
    <w:rsid w:val="00317A70"/>
    <w:rsid w:val="00317AB3"/>
    <w:rsid w:val="00317CFF"/>
    <w:rsid w:val="00317D5C"/>
    <w:rsid w:val="00317D7A"/>
    <w:rsid w:val="00317EBE"/>
    <w:rsid w:val="0032041D"/>
    <w:rsid w:val="0032047D"/>
    <w:rsid w:val="0032077B"/>
    <w:rsid w:val="003207F7"/>
    <w:rsid w:val="0032099F"/>
    <w:rsid w:val="00320BB6"/>
    <w:rsid w:val="00320EC3"/>
    <w:rsid w:val="00321124"/>
    <w:rsid w:val="00321186"/>
    <w:rsid w:val="003213EA"/>
    <w:rsid w:val="00321443"/>
    <w:rsid w:val="0032148F"/>
    <w:rsid w:val="00321673"/>
    <w:rsid w:val="003216BC"/>
    <w:rsid w:val="003217D6"/>
    <w:rsid w:val="003218B9"/>
    <w:rsid w:val="00321935"/>
    <w:rsid w:val="00321B4D"/>
    <w:rsid w:val="00321B94"/>
    <w:rsid w:val="00321BA3"/>
    <w:rsid w:val="00321D13"/>
    <w:rsid w:val="00321F2C"/>
    <w:rsid w:val="003221AB"/>
    <w:rsid w:val="0032227A"/>
    <w:rsid w:val="00322386"/>
    <w:rsid w:val="00322418"/>
    <w:rsid w:val="00322449"/>
    <w:rsid w:val="003226D9"/>
    <w:rsid w:val="00322878"/>
    <w:rsid w:val="003228D6"/>
    <w:rsid w:val="00322CF2"/>
    <w:rsid w:val="00322FC3"/>
    <w:rsid w:val="00322FF2"/>
    <w:rsid w:val="0032303C"/>
    <w:rsid w:val="00323874"/>
    <w:rsid w:val="0032391E"/>
    <w:rsid w:val="003239AA"/>
    <w:rsid w:val="00323A9A"/>
    <w:rsid w:val="00323BAE"/>
    <w:rsid w:val="00323DC9"/>
    <w:rsid w:val="00323E5E"/>
    <w:rsid w:val="003240DF"/>
    <w:rsid w:val="00324242"/>
    <w:rsid w:val="00324464"/>
    <w:rsid w:val="00324515"/>
    <w:rsid w:val="00324707"/>
    <w:rsid w:val="0032474D"/>
    <w:rsid w:val="00324B6D"/>
    <w:rsid w:val="00324DDF"/>
    <w:rsid w:val="00324EAA"/>
    <w:rsid w:val="00324EDB"/>
    <w:rsid w:val="00325094"/>
    <w:rsid w:val="00325112"/>
    <w:rsid w:val="0032516A"/>
    <w:rsid w:val="003251B6"/>
    <w:rsid w:val="0032554C"/>
    <w:rsid w:val="0032581F"/>
    <w:rsid w:val="00325A22"/>
    <w:rsid w:val="00325A2C"/>
    <w:rsid w:val="00325AAE"/>
    <w:rsid w:val="00326019"/>
    <w:rsid w:val="003260E0"/>
    <w:rsid w:val="003263F1"/>
    <w:rsid w:val="0032643D"/>
    <w:rsid w:val="003264C6"/>
    <w:rsid w:val="0032664D"/>
    <w:rsid w:val="003267D6"/>
    <w:rsid w:val="003269DA"/>
    <w:rsid w:val="00326A06"/>
    <w:rsid w:val="00326A9E"/>
    <w:rsid w:val="00326F80"/>
    <w:rsid w:val="00327477"/>
    <w:rsid w:val="00327833"/>
    <w:rsid w:val="00327A01"/>
    <w:rsid w:val="00327AAE"/>
    <w:rsid w:val="00327D8B"/>
    <w:rsid w:val="00327EFD"/>
    <w:rsid w:val="003304D1"/>
    <w:rsid w:val="003305DE"/>
    <w:rsid w:val="0033068C"/>
    <w:rsid w:val="003306B1"/>
    <w:rsid w:val="003306F1"/>
    <w:rsid w:val="003308BA"/>
    <w:rsid w:val="00330A17"/>
    <w:rsid w:val="00330CE3"/>
    <w:rsid w:val="00330DC2"/>
    <w:rsid w:val="00330F68"/>
    <w:rsid w:val="003312C1"/>
    <w:rsid w:val="0033141C"/>
    <w:rsid w:val="0033185D"/>
    <w:rsid w:val="00331953"/>
    <w:rsid w:val="003319FB"/>
    <w:rsid w:val="00331C3C"/>
    <w:rsid w:val="00331C3E"/>
    <w:rsid w:val="00331E5D"/>
    <w:rsid w:val="00331F9E"/>
    <w:rsid w:val="003320A0"/>
    <w:rsid w:val="003321ED"/>
    <w:rsid w:val="003321F3"/>
    <w:rsid w:val="00332316"/>
    <w:rsid w:val="003323E6"/>
    <w:rsid w:val="003323F1"/>
    <w:rsid w:val="003326A1"/>
    <w:rsid w:val="00332918"/>
    <w:rsid w:val="00332967"/>
    <w:rsid w:val="00332A1C"/>
    <w:rsid w:val="00332A50"/>
    <w:rsid w:val="00332BE9"/>
    <w:rsid w:val="00332CBC"/>
    <w:rsid w:val="00332FB4"/>
    <w:rsid w:val="00332FD4"/>
    <w:rsid w:val="0033319C"/>
    <w:rsid w:val="0033320A"/>
    <w:rsid w:val="00333302"/>
    <w:rsid w:val="00333488"/>
    <w:rsid w:val="0033359A"/>
    <w:rsid w:val="00333A3C"/>
    <w:rsid w:val="00333CB3"/>
    <w:rsid w:val="00333EF1"/>
    <w:rsid w:val="0033400E"/>
    <w:rsid w:val="00334049"/>
    <w:rsid w:val="003340EE"/>
    <w:rsid w:val="0033456D"/>
    <w:rsid w:val="00334599"/>
    <w:rsid w:val="003345BE"/>
    <w:rsid w:val="003346F0"/>
    <w:rsid w:val="003347F3"/>
    <w:rsid w:val="003349C5"/>
    <w:rsid w:val="003349D6"/>
    <w:rsid w:val="003349EA"/>
    <w:rsid w:val="00334A29"/>
    <w:rsid w:val="00334A31"/>
    <w:rsid w:val="00334D32"/>
    <w:rsid w:val="00334FA6"/>
    <w:rsid w:val="00334FAB"/>
    <w:rsid w:val="00334FD3"/>
    <w:rsid w:val="00335172"/>
    <w:rsid w:val="0033521C"/>
    <w:rsid w:val="00335282"/>
    <w:rsid w:val="00335487"/>
    <w:rsid w:val="0033557C"/>
    <w:rsid w:val="003356B1"/>
    <w:rsid w:val="0033587D"/>
    <w:rsid w:val="003359A1"/>
    <w:rsid w:val="00335AE8"/>
    <w:rsid w:val="00335C23"/>
    <w:rsid w:val="00336098"/>
    <w:rsid w:val="00336251"/>
    <w:rsid w:val="003366AA"/>
    <w:rsid w:val="0033673F"/>
    <w:rsid w:val="00336816"/>
    <w:rsid w:val="003368C8"/>
    <w:rsid w:val="00336D77"/>
    <w:rsid w:val="00336E33"/>
    <w:rsid w:val="00336E45"/>
    <w:rsid w:val="00336EC6"/>
    <w:rsid w:val="00336EC7"/>
    <w:rsid w:val="003371C9"/>
    <w:rsid w:val="003371ED"/>
    <w:rsid w:val="003371F1"/>
    <w:rsid w:val="00337338"/>
    <w:rsid w:val="003373E3"/>
    <w:rsid w:val="003375D9"/>
    <w:rsid w:val="0033762F"/>
    <w:rsid w:val="003376F1"/>
    <w:rsid w:val="003377E4"/>
    <w:rsid w:val="00337A25"/>
    <w:rsid w:val="00337B30"/>
    <w:rsid w:val="00337B74"/>
    <w:rsid w:val="00337C06"/>
    <w:rsid w:val="00337FB3"/>
    <w:rsid w:val="0034013B"/>
    <w:rsid w:val="003401B3"/>
    <w:rsid w:val="003402DF"/>
    <w:rsid w:val="003403EA"/>
    <w:rsid w:val="0034041F"/>
    <w:rsid w:val="00340458"/>
    <w:rsid w:val="00340579"/>
    <w:rsid w:val="0034062F"/>
    <w:rsid w:val="00340B83"/>
    <w:rsid w:val="00340DEF"/>
    <w:rsid w:val="0034102F"/>
    <w:rsid w:val="00341278"/>
    <w:rsid w:val="003416E4"/>
    <w:rsid w:val="003419A6"/>
    <w:rsid w:val="00341C5E"/>
    <w:rsid w:val="00341D03"/>
    <w:rsid w:val="00341DD0"/>
    <w:rsid w:val="00342078"/>
    <w:rsid w:val="003420A5"/>
    <w:rsid w:val="003423E5"/>
    <w:rsid w:val="003429CA"/>
    <w:rsid w:val="00342ABD"/>
    <w:rsid w:val="00342B8A"/>
    <w:rsid w:val="00342DAB"/>
    <w:rsid w:val="00342E1B"/>
    <w:rsid w:val="00342F42"/>
    <w:rsid w:val="00342F8E"/>
    <w:rsid w:val="00342FD8"/>
    <w:rsid w:val="0034311F"/>
    <w:rsid w:val="003434B8"/>
    <w:rsid w:val="0034354E"/>
    <w:rsid w:val="003435AE"/>
    <w:rsid w:val="00343789"/>
    <w:rsid w:val="00343B5E"/>
    <w:rsid w:val="00343BAB"/>
    <w:rsid w:val="00343BBC"/>
    <w:rsid w:val="00344007"/>
    <w:rsid w:val="00344407"/>
    <w:rsid w:val="00344581"/>
    <w:rsid w:val="0034466C"/>
    <w:rsid w:val="0034476B"/>
    <w:rsid w:val="00344821"/>
    <w:rsid w:val="00344932"/>
    <w:rsid w:val="00344976"/>
    <w:rsid w:val="00344ABC"/>
    <w:rsid w:val="00344BEB"/>
    <w:rsid w:val="00345439"/>
    <w:rsid w:val="0034547D"/>
    <w:rsid w:val="0034552A"/>
    <w:rsid w:val="00345674"/>
    <w:rsid w:val="00345A54"/>
    <w:rsid w:val="00345B0F"/>
    <w:rsid w:val="00345B53"/>
    <w:rsid w:val="00345C35"/>
    <w:rsid w:val="00345DC1"/>
    <w:rsid w:val="00345E5A"/>
    <w:rsid w:val="00345E5E"/>
    <w:rsid w:val="00345EA6"/>
    <w:rsid w:val="0034644B"/>
    <w:rsid w:val="003465A0"/>
    <w:rsid w:val="003465DB"/>
    <w:rsid w:val="00346685"/>
    <w:rsid w:val="0034682E"/>
    <w:rsid w:val="00346B90"/>
    <w:rsid w:val="00346BBB"/>
    <w:rsid w:val="0034706E"/>
    <w:rsid w:val="00347155"/>
    <w:rsid w:val="003471FE"/>
    <w:rsid w:val="003472E9"/>
    <w:rsid w:val="00347336"/>
    <w:rsid w:val="003473C0"/>
    <w:rsid w:val="0034758C"/>
    <w:rsid w:val="00347671"/>
    <w:rsid w:val="003477DE"/>
    <w:rsid w:val="003477FD"/>
    <w:rsid w:val="00347954"/>
    <w:rsid w:val="00347B6C"/>
    <w:rsid w:val="00347CD1"/>
    <w:rsid w:val="00350075"/>
    <w:rsid w:val="0035008F"/>
    <w:rsid w:val="003506A9"/>
    <w:rsid w:val="00350D9E"/>
    <w:rsid w:val="00350F44"/>
    <w:rsid w:val="003510C7"/>
    <w:rsid w:val="003512CD"/>
    <w:rsid w:val="00351511"/>
    <w:rsid w:val="00351702"/>
    <w:rsid w:val="0035193D"/>
    <w:rsid w:val="00351A33"/>
    <w:rsid w:val="00351D63"/>
    <w:rsid w:val="00351EA7"/>
    <w:rsid w:val="0035243D"/>
    <w:rsid w:val="003526C9"/>
    <w:rsid w:val="00352810"/>
    <w:rsid w:val="003528E1"/>
    <w:rsid w:val="00352BB9"/>
    <w:rsid w:val="00352F7E"/>
    <w:rsid w:val="00353045"/>
    <w:rsid w:val="00353305"/>
    <w:rsid w:val="0035343F"/>
    <w:rsid w:val="00353479"/>
    <w:rsid w:val="00353647"/>
    <w:rsid w:val="00353693"/>
    <w:rsid w:val="0035369F"/>
    <w:rsid w:val="003536F9"/>
    <w:rsid w:val="00353734"/>
    <w:rsid w:val="0035394D"/>
    <w:rsid w:val="0035413F"/>
    <w:rsid w:val="0035415B"/>
    <w:rsid w:val="003541B8"/>
    <w:rsid w:val="00354608"/>
    <w:rsid w:val="00354939"/>
    <w:rsid w:val="0035494E"/>
    <w:rsid w:val="00354B01"/>
    <w:rsid w:val="00354D75"/>
    <w:rsid w:val="00354DCF"/>
    <w:rsid w:val="00354DE3"/>
    <w:rsid w:val="00354F61"/>
    <w:rsid w:val="00355111"/>
    <w:rsid w:val="003553A6"/>
    <w:rsid w:val="00355DE3"/>
    <w:rsid w:val="00356198"/>
    <w:rsid w:val="003562BE"/>
    <w:rsid w:val="003563DE"/>
    <w:rsid w:val="003564ED"/>
    <w:rsid w:val="003567D7"/>
    <w:rsid w:val="003568DA"/>
    <w:rsid w:val="00356A0A"/>
    <w:rsid w:val="00356A6F"/>
    <w:rsid w:val="00356AE3"/>
    <w:rsid w:val="00356B05"/>
    <w:rsid w:val="00356B87"/>
    <w:rsid w:val="00356EB4"/>
    <w:rsid w:val="003571A1"/>
    <w:rsid w:val="003571E3"/>
    <w:rsid w:val="00357369"/>
    <w:rsid w:val="00357660"/>
    <w:rsid w:val="00357662"/>
    <w:rsid w:val="003577CB"/>
    <w:rsid w:val="00357A27"/>
    <w:rsid w:val="00357BCF"/>
    <w:rsid w:val="00357CBF"/>
    <w:rsid w:val="00357DA3"/>
    <w:rsid w:val="00357EDF"/>
    <w:rsid w:val="0036019B"/>
    <w:rsid w:val="00360285"/>
    <w:rsid w:val="003603CC"/>
    <w:rsid w:val="003606BD"/>
    <w:rsid w:val="003607AF"/>
    <w:rsid w:val="0036085E"/>
    <w:rsid w:val="003609AD"/>
    <w:rsid w:val="003609EF"/>
    <w:rsid w:val="003609FB"/>
    <w:rsid w:val="00360A91"/>
    <w:rsid w:val="00360E3A"/>
    <w:rsid w:val="00360F60"/>
    <w:rsid w:val="00360F8F"/>
    <w:rsid w:val="00361036"/>
    <w:rsid w:val="003611F2"/>
    <w:rsid w:val="00361547"/>
    <w:rsid w:val="003615B7"/>
    <w:rsid w:val="00361793"/>
    <w:rsid w:val="003618AB"/>
    <w:rsid w:val="003619EE"/>
    <w:rsid w:val="00361AC1"/>
    <w:rsid w:val="00361DED"/>
    <w:rsid w:val="00362099"/>
    <w:rsid w:val="00362269"/>
    <w:rsid w:val="0036249D"/>
    <w:rsid w:val="00362539"/>
    <w:rsid w:val="00362601"/>
    <w:rsid w:val="00362627"/>
    <w:rsid w:val="0036274B"/>
    <w:rsid w:val="00362A77"/>
    <w:rsid w:val="00362E3E"/>
    <w:rsid w:val="00362F04"/>
    <w:rsid w:val="003630A7"/>
    <w:rsid w:val="00363182"/>
    <w:rsid w:val="00363405"/>
    <w:rsid w:val="003638E9"/>
    <w:rsid w:val="003638F7"/>
    <w:rsid w:val="00363B0B"/>
    <w:rsid w:val="00363D0B"/>
    <w:rsid w:val="00363D96"/>
    <w:rsid w:val="00363DA4"/>
    <w:rsid w:val="0036410D"/>
    <w:rsid w:val="00364487"/>
    <w:rsid w:val="00364498"/>
    <w:rsid w:val="003644CE"/>
    <w:rsid w:val="003645F0"/>
    <w:rsid w:val="00364648"/>
    <w:rsid w:val="00364693"/>
    <w:rsid w:val="003649C0"/>
    <w:rsid w:val="00364A3F"/>
    <w:rsid w:val="00364B35"/>
    <w:rsid w:val="00364C7C"/>
    <w:rsid w:val="00364E7D"/>
    <w:rsid w:val="0036504C"/>
    <w:rsid w:val="00365171"/>
    <w:rsid w:val="003651F7"/>
    <w:rsid w:val="00365278"/>
    <w:rsid w:val="00365283"/>
    <w:rsid w:val="0036528E"/>
    <w:rsid w:val="00365464"/>
    <w:rsid w:val="003654DE"/>
    <w:rsid w:val="00365520"/>
    <w:rsid w:val="00365534"/>
    <w:rsid w:val="003655EA"/>
    <w:rsid w:val="003656C2"/>
    <w:rsid w:val="00365780"/>
    <w:rsid w:val="003657E5"/>
    <w:rsid w:val="00365808"/>
    <w:rsid w:val="003658E3"/>
    <w:rsid w:val="00365C37"/>
    <w:rsid w:val="00365C46"/>
    <w:rsid w:val="00365D43"/>
    <w:rsid w:val="00365E70"/>
    <w:rsid w:val="0036604E"/>
    <w:rsid w:val="003660C0"/>
    <w:rsid w:val="0036631B"/>
    <w:rsid w:val="00366364"/>
    <w:rsid w:val="00366387"/>
    <w:rsid w:val="003663E7"/>
    <w:rsid w:val="00366743"/>
    <w:rsid w:val="003667D4"/>
    <w:rsid w:val="00366A0E"/>
    <w:rsid w:val="00366C7F"/>
    <w:rsid w:val="00366E35"/>
    <w:rsid w:val="00367011"/>
    <w:rsid w:val="003671F9"/>
    <w:rsid w:val="00367244"/>
    <w:rsid w:val="00367500"/>
    <w:rsid w:val="0036777C"/>
    <w:rsid w:val="00367996"/>
    <w:rsid w:val="00367C14"/>
    <w:rsid w:val="00367D39"/>
    <w:rsid w:val="00367DAC"/>
    <w:rsid w:val="00367F5F"/>
    <w:rsid w:val="00370011"/>
    <w:rsid w:val="003702B1"/>
    <w:rsid w:val="00370313"/>
    <w:rsid w:val="00370428"/>
    <w:rsid w:val="00370579"/>
    <w:rsid w:val="003705F4"/>
    <w:rsid w:val="003706A2"/>
    <w:rsid w:val="003707A3"/>
    <w:rsid w:val="003708A8"/>
    <w:rsid w:val="00370AB8"/>
    <w:rsid w:val="00370B14"/>
    <w:rsid w:val="00370CB3"/>
    <w:rsid w:val="0037119E"/>
    <w:rsid w:val="00371228"/>
    <w:rsid w:val="003712E7"/>
    <w:rsid w:val="003717E2"/>
    <w:rsid w:val="0037196E"/>
    <w:rsid w:val="00371A79"/>
    <w:rsid w:val="00371C43"/>
    <w:rsid w:val="00371E1D"/>
    <w:rsid w:val="00371EFA"/>
    <w:rsid w:val="00371F10"/>
    <w:rsid w:val="0037208E"/>
    <w:rsid w:val="003720A7"/>
    <w:rsid w:val="003720FF"/>
    <w:rsid w:val="0037217D"/>
    <w:rsid w:val="003722B8"/>
    <w:rsid w:val="00372316"/>
    <w:rsid w:val="0037243E"/>
    <w:rsid w:val="003726BA"/>
    <w:rsid w:val="00372801"/>
    <w:rsid w:val="00372883"/>
    <w:rsid w:val="003728D2"/>
    <w:rsid w:val="0037293E"/>
    <w:rsid w:val="00372AA0"/>
    <w:rsid w:val="00372AA8"/>
    <w:rsid w:val="00372ACD"/>
    <w:rsid w:val="00372BFE"/>
    <w:rsid w:val="00372CA7"/>
    <w:rsid w:val="00372F8C"/>
    <w:rsid w:val="00372F91"/>
    <w:rsid w:val="0037311E"/>
    <w:rsid w:val="003733AE"/>
    <w:rsid w:val="0037360B"/>
    <w:rsid w:val="003736E1"/>
    <w:rsid w:val="00373764"/>
    <w:rsid w:val="00373BA2"/>
    <w:rsid w:val="00373BCF"/>
    <w:rsid w:val="00373FE5"/>
    <w:rsid w:val="0037401D"/>
    <w:rsid w:val="0037413E"/>
    <w:rsid w:val="003741A5"/>
    <w:rsid w:val="00374400"/>
    <w:rsid w:val="0037461E"/>
    <w:rsid w:val="003746F2"/>
    <w:rsid w:val="00374904"/>
    <w:rsid w:val="003749DD"/>
    <w:rsid w:val="00374AED"/>
    <w:rsid w:val="00374AFD"/>
    <w:rsid w:val="00374B02"/>
    <w:rsid w:val="00374E7D"/>
    <w:rsid w:val="00374EF3"/>
    <w:rsid w:val="00374EFA"/>
    <w:rsid w:val="00374F1F"/>
    <w:rsid w:val="003755C3"/>
    <w:rsid w:val="003755D2"/>
    <w:rsid w:val="003755F0"/>
    <w:rsid w:val="00375836"/>
    <w:rsid w:val="00375A54"/>
    <w:rsid w:val="00375CC4"/>
    <w:rsid w:val="00375CED"/>
    <w:rsid w:val="00375CF2"/>
    <w:rsid w:val="00375E06"/>
    <w:rsid w:val="00375E41"/>
    <w:rsid w:val="00375F5C"/>
    <w:rsid w:val="00375F7C"/>
    <w:rsid w:val="00375FD3"/>
    <w:rsid w:val="00376590"/>
    <w:rsid w:val="003765AE"/>
    <w:rsid w:val="003765DB"/>
    <w:rsid w:val="00376659"/>
    <w:rsid w:val="00376872"/>
    <w:rsid w:val="00377136"/>
    <w:rsid w:val="00377162"/>
    <w:rsid w:val="0037735A"/>
    <w:rsid w:val="00377617"/>
    <w:rsid w:val="00377AD8"/>
    <w:rsid w:val="00377C82"/>
    <w:rsid w:val="00380310"/>
    <w:rsid w:val="003803A3"/>
    <w:rsid w:val="003804F7"/>
    <w:rsid w:val="003806D0"/>
    <w:rsid w:val="00380808"/>
    <w:rsid w:val="00380A1A"/>
    <w:rsid w:val="00380C55"/>
    <w:rsid w:val="00380D5B"/>
    <w:rsid w:val="00380EC6"/>
    <w:rsid w:val="0038117D"/>
    <w:rsid w:val="00381424"/>
    <w:rsid w:val="00381438"/>
    <w:rsid w:val="00381478"/>
    <w:rsid w:val="00381640"/>
    <w:rsid w:val="003817C4"/>
    <w:rsid w:val="00381803"/>
    <w:rsid w:val="00381826"/>
    <w:rsid w:val="00381923"/>
    <w:rsid w:val="00381A1F"/>
    <w:rsid w:val="00381D3A"/>
    <w:rsid w:val="00381E5F"/>
    <w:rsid w:val="00381FE5"/>
    <w:rsid w:val="003822B0"/>
    <w:rsid w:val="0038236C"/>
    <w:rsid w:val="0038245C"/>
    <w:rsid w:val="003824BD"/>
    <w:rsid w:val="003825A1"/>
    <w:rsid w:val="003825DE"/>
    <w:rsid w:val="003826F9"/>
    <w:rsid w:val="0038288A"/>
    <w:rsid w:val="003828BE"/>
    <w:rsid w:val="00382B78"/>
    <w:rsid w:val="00382CAD"/>
    <w:rsid w:val="00382F44"/>
    <w:rsid w:val="00382FF0"/>
    <w:rsid w:val="00383166"/>
    <w:rsid w:val="003834C0"/>
    <w:rsid w:val="003834F7"/>
    <w:rsid w:val="0038364E"/>
    <w:rsid w:val="003836AE"/>
    <w:rsid w:val="003837C0"/>
    <w:rsid w:val="00383824"/>
    <w:rsid w:val="0038399F"/>
    <w:rsid w:val="003839E4"/>
    <w:rsid w:val="00383A19"/>
    <w:rsid w:val="00383EDC"/>
    <w:rsid w:val="00384123"/>
    <w:rsid w:val="0038450A"/>
    <w:rsid w:val="00384663"/>
    <w:rsid w:val="0038467C"/>
    <w:rsid w:val="00384C82"/>
    <w:rsid w:val="00384F20"/>
    <w:rsid w:val="003851BA"/>
    <w:rsid w:val="0038523B"/>
    <w:rsid w:val="00385335"/>
    <w:rsid w:val="003855B3"/>
    <w:rsid w:val="003856B1"/>
    <w:rsid w:val="003859C6"/>
    <w:rsid w:val="00385BA1"/>
    <w:rsid w:val="00385EC7"/>
    <w:rsid w:val="00385F3A"/>
    <w:rsid w:val="00386368"/>
    <w:rsid w:val="003863A5"/>
    <w:rsid w:val="00386449"/>
    <w:rsid w:val="00386528"/>
    <w:rsid w:val="0038665F"/>
    <w:rsid w:val="0038682D"/>
    <w:rsid w:val="00386CFC"/>
    <w:rsid w:val="00386E92"/>
    <w:rsid w:val="00387232"/>
    <w:rsid w:val="0038778E"/>
    <w:rsid w:val="00387852"/>
    <w:rsid w:val="00387B26"/>
    <w:rsid w:val="00387CB4"/>
    <w:rsid w:val="00387D0B"/>
    <w:rsid w:val="0039015A"/>
    <w:rsid w:val="003903B2"/>
    <w:rsid w:val="003903E9"/>
    <w:rsid w:val="003903F2"/>
    <w:rsid w:val="0039044A"/>
    <w:rsid w:val="003904E7"/>
    <w:rsid w:val="0039061F"/>
    <w:rsid w:val="00390633"/>
    <w:rsid w:val="00390AE8"/>
    <w:rsid w:val="00390B94"/>
    <w:rsid w:val="00390C50"/>
    <w:rsid w:val="00390FCA"/>
    <w:rsid w:val="00391042"/>
    <w:rsid w:val="00391188"/>
    <w:rsid w:val="003915DE"/>
    <w:rsid w:val="0039169B"/>
    <w:rsid w:val="003916D3"/>
    <w:rsid w:val="00391819"/>
    <w:rsid w:val="003918E2"/>
    <w:rsid w:val="00391B1A"/>
    <w:rsid w:val="00391D65"/>
    <w:rsid w:val="00391D88"/>
    <w:rsid w:val="00392157"/>
    <w:rsid w:val="003921A5"/>
    <w:rsid w:val="00392284"/>
    <w:rsid w:val="0039237B"/>
    <w:rsid w:val="00392975"/>
    <w:rsid w:val="00392CD1"/>
    <w:rsid w:val="00392E31"/>
    <w:rsid w:val="00393031"/>
    <w:rsid w:val="00393032"/>
    <w:rsid w:val="0039307C"/>
    <w:rsid w:val="0039338E"/>
    <w:rsid w:val="003935AA"/>
    <w:rsid w:val="003937D0"/>
    <w:rsid w:val="00393950"/>
    <w:rsid w:val="00393ABD"/>
    <w:rsid w:val="00393B75"/>
    <w:rsid w:val="00393B7D"/>
    <w:rsid w:val="00393C21"/>
    <w:rsid w:val="00393C36"/>
    <w:rsid w:val="00393C96"/>
    <w:rsid w:val="00393D31"/>
    <w:rsid w:val="00393E7D"/>
    <w:rsid w:val="00393EE0"/>
    <w:rsid w:val="00393F8D"/>
    <w:rsid w:val="0039403B"/>
    <w:rsid w:val="00394185"/>
    <w:rsid w:val="0039422A"/>
    <w:rsid w:val="003946C9"/>
    <w:rsid w:val="003948E2"/>
    <w:rsid w:val="00394A01"/>
    <w:rsid w:val="00394B83"/>
    <w:rsid w:val="00394D04"/>
    <w:rsid w:val="00394E6E"/>
    <w:rsid w:val="003951B5"/>
    <w:rsid w:val="00395412"/>
    <w:rsid w:val="0039544A"/>
    <w:rsid w:val="003954C8"/>
    <w:rsid w:val="00395597"/>
    <w:rsid w:val="003955B7"/>
    <w:rsid w:val="003955DC"/>
    <w:rsid w:val="0039563E"/>
    <w:rsid w:val="00395781"/>
    <w:rsid w:val="00395957"/>
    <w:rsid w:val="003959DA"/>
    <w:rsid w:val="00395D7A"/>
    <w:rsid w:val="00395E05"/>
    <w:rsid w:val="00395FC4"/>
    <w:rsid w:val="00395FCF"/>
    <w:rsid w:val="0039604D"/>
    <w:rsid w:val="003962F6"/>
    <w:rsid w:val="003963B8"/>
    <w:rsid w:val="00396687"/>
    <w:rsid w:val="003966A1"/>
    <w:rsid w:val="0039681D"/>
    <w:rsid w:val="00396996"/>
    <w:rsid w:val="00396B08"/>
    <w:rsid w:val="00396CA7"/>
    <w:rsid w:val="00396F1A"/>
    <w:rsid w:val="00397216"/>
    <w:rsid w:val="0039736D"/>
    <w:rsid w:val="00397465"/>
    <w:rsid w:val="003975D8"/>
    <w:rsid w:val="00397700"/>
    <w:rsid w:val="00397771"/>
    <w:rsid w:val="00397990"/>
    <w:rsid w:val="00397AD8"/>
    <w:rsid w:val="00397CB7"/>
    <w:rsid w:val="00397D23"/>
    <w:rsid w:val="00397E98"/>
    <w:rsid w:val="00397FAD"/>
    <w:rsid w:val="003A002E"/>
    <w:rsid w:val="003A01C8"/>
    <w:rsid w:val="003A0549"/>
    <w:rsid w:val="003A0A35"/>
    <w:rsid w:val="003A0C9C"/>
    <w:rsid w:val="003A0D57"/>
    <w:rsid w:val="003A0E08"/>
    <w:rsid w:val="003A0F9E"/>
    <w:rsid w:val="003A0FCB"/>
    <w:rsid w:val="003A1101"/>
    <w:rsid w:val="003A11EA"/>
    <w:rsid w:val="003A1251"/>
    <w:rsid w:val="003A14F9"/>
    <w:rsid w:val="003A17F2"/>
    <w:rsid w:val="003A185A"/>
    <w:rsid w:val="003A18E4"/>
    <w:rsid w:val="003A1DED"/>
    <w:rsid w:val="003A1E02"/>
    <w:rsid w:val="003A1E39"/>
    <w:rsid w:val="003A1EBA"/>
    <w:rsid w:val="003A2180"/>
    <w:rsid w:val="003A227C"/>
    <w:rsid w:val="003A22A1"/>
    <w:rsid w:val="003A243F"/>
    <w:rsid w:val="003A26E4"/>
    <w:rsid w:val="003A27F6"/>
    <w:rsid w:val="003A28CA"/>
    <w:rsid w:val="003A2902"/>
    <w:rsid w:val="003A2B17"/>
    <w:rsid w:val="003A2D08"/>
    <w:rsid w:val="003A2D86"/>
    <w:rsid w:val="003A2E60"/>
    <w:rsid w:val="003A2EA6"/>
    <w:rsid w:val="003A2F08"/>
    <w:rsid w:val="003A2F36"/>
    <w:rsid w:val="003A2F3D"/>
    <w:rsid w:val="003A30C2"/>
    <w:rsid w:val="003A313C"/>
    <w:rsid w:val="003A32CB"/>
    <w:rsid w:val="003A3476"/>
    <w:rsid w:val="003A3536"/>
    <w:rsid w:val="003A353B"/>
    <w:rsid w:val="003A3591"/>
    <w:rsid w:val="003A35F8"/>
    <w:rsid w:val="003A35FB"/>
    <w:rsid w:val="003A3614"/>
    <w:rsid w:val="003A362B"/>
    <w:rsid w:val="003A364D"/>
    <w:rsid w:val="003A3672"/>
    <w:rsid w:val="003A39D3"/>
    <w:rsid w:val="003A3BD7"/>
    <w:rsid w:val="003A3C17"/>
    <w:rsid w:val="003A3D2B"/>
    <w:rsid w:val="003A3E73"/>
    <w:rsid w:val="003A42A5"/>
    <w:rsid w:val="003A43DE"/>
    <w:rsid w:val="003A46EB"/>
    <w:rsid w:val="003A4757"/>
    <w:rsid w:val="003A4797"/>
    <w:rsid w:val="003A47A6"/>
    <w:rsid w:val="003A47CE"/>
    <w:rsid w:val="003A481C"/>
    <w:rsid w:val="003A4B7F"/>
    <w:rsid w:val="003A50F9"/>
    <w:rsid w:val="003A5212"/>
    <w:rsid w:val="003A56A1"/>
    <w:rsid w:val="003A589C"/>
    <w:rsid w:val="003A58AD"/>
    <w:rsid w:val="003A58B1"/>
    <w:rsid w:val="003A58CE"/>
    <w:rsid w:val="003A58EF"/>
    <w:rsid w:val="003A591D"/>
    <w:rsid w:val="003A5A34"/>
    <w:rsid w:val="003A5ABA"/>
    <w:rsid w:val="003A5DA5"/>
    <w:rsid w:val="003A5E1C"/>
    <w:rsid w:val="003A627E"/>
    <w:rsid w:val="003A6886"/>
    <w:rsid w:val="003A69ED"/>
    <w:rsid w:val="003A6A2E"/>
    <w:rsid w:val="003A6C43"/>
    <w:rsid w:val="003A6D26"/>
    <w:rsid w:val="003A6E24"/>
    <w:rsid w:val="003A6F38"/>
    <w:rsid w:val="003A7054"/>
    <w:rsid w:val="003A71D7"/>
    <w:rsid w:val="003A7266"/>
    <w:rsid w:val="003A728B"/>
    <w:rsid w:val="003A74F4"/>
    <w:rsid w:val="003A7C59"/>
    <w:rsid w:val="003A7F21"/>
    <w:rsid w:val="003B025F"/>
    <w:rsid w:val="003B0EDE"/>
    <w:rsid w:val="003B107F"/>
    <w:rsid w:val="003B1118"/>
    <w:rsid w:val="003B11FD"/>
    <w:rsid w:val="003B1214"/>
    <w:rsid w:val="003B133C"/>
    <w:rsid w:val="003B1559"/>
    <w:rsid w:val="003B156E"/>
    <w:rsid w:val="003B1605"/>
    <w:rsid w:val="003B169A"/>
    <w:rsid w:val="003B16AE"/>
    <w:rsid w:val="003B18C7"/>
    <w:rsid w:val="003B19CE"/>
    <w:rsid w:val="003B1DF7"/>
    <w:rsid w:val="003B203A"/>
    <w:rsid w:val="003B2233"/>
    <w:rsid w:val="003B24C9"/>
    <w:rsid w:val="003B2504"/>
    <w:rsid w:val="003B26A6"/>
    <w:rsid w:val="003B26FA"/>
    <w:rsid w:val="003B29E8"/>
    <w:rsid w:val="003B2B6D"/>
    <w:rsid w:val="003B2F89"/>
    <w:rsid w:val="003B2FD7"/>
    <w:rsid w:val="003B30CF"/>
    <w:rsid w:val="003B317F"/>
    <w:rsid w:val="003B31F7"/>
    <w:rsid w:val="003B3298"/>
    <w:rsid w:val="003B3661"/>
    <w:rsid w:val="003B36AF"/>
    <w:rsid w:val="003B3709"/>
    <w:rsid w:val="003B37CC"/>
    <w:rsid w:val="003B37F1"/>
    <w:rsid w:val="003B3B8C"/>
    <w:rsid w:val="003B3B97"/>
    <w:rsid w:val="003B3D1B"/>
    <w:rsid w:val="003B3F66"/>
    <w:rsid w:val="003B3FD5"/>
    <w:rsid w:val="003B4042"/>
    <w:rsid w:val="003B4076"/>
    <w:rsid w:val="003B411F"/>
    <w:rsid w:val="003B4313"/>
    <w:rsid w:val="003B43FB"/>
    <w:rsid w:val="003B464C"/>
    <w:rsid w:val="003B46F4"/>
    <w:rsid w:val="003B47D8"/>
    <w:rsid w:val="003B498A"/>
    <w:rsid w:val="003B4B9B"/>
    <w:rsid w:val="003B4D3A"/>
    <w:rsid w:val="003B4ED8"/>
    <w:rsid w:val="003B4EF6"/>
    <w:rsid w:val="003B50BB"/>
    <w:rsid w:val="003B53BF"/>
    <w:rsid w:val="003B5498"/>
    <w:rsid w:val="003B5528"/>
    <w:rsid w:val="003B581A"/>
    <w:rsid w:val="003B5FA0"/>
    <w:rsid w:val="003B621D"/>
    <w:rsid w:val="003B623C"/>
    <w:rsid w:val="003B628C"/>
    <w:rsid w:val="003B64F4"/>
    <w:rsid w:val="003B64FC"/>
    <w:rsid w:val="003B6674"/>
    <w:rsid w:val="003B67B2"/>
    <w:rsid w:val="003B67C2"/>
    <w:rsid w:val="003B6888"/>
    <w:rsid w:val="003B68F1"/>
    <w:rsid w:val="003B6975"/>
    <w:rsid w:val="003B6BE9"/>
    <w:rsid w:val="003B6D0F"/>
    <w:rsid w:val="003B6E57"/>
    <w:rsid w:val="003B6F63"/>
    <w:rsid w:val="003B6FDD"/>
    <w:rsid w:val="003B7213"/>
    <w:rsid w:val="003B75CC"/>
    <w:rsid w:val="003C0250"/>
    <w:rsid w:val="003C0264"/>
    <w:rsid w:val="003C02E9"/>
    <w:rsid w:val="003C02FC"/>
    <w:rsid w:val="003C044D"/>
    <w:rsid w:val="003C0566"/>
    <w:rsid w:val="003C05B3"/>
    <w:rsid w:val="003C06FE"/>
    <w:rsid w:val="003C07C5"/>
    <w:rsid w:val="003C08B4"/>
    <w:rsid w:val="003C0BE8"/>
    <w:rsid w:val="003C0F8F"/>
    <w:rsid w:val="003C1059"/>
    <w:rsid w:val="003C11B5"/>
    <w:rsid w:val="003C13A9"/>
    <w:rsid w:val="003C1582"/>
    <w:rsid w:val="003C1642"/>
    <w:rsid w:val="003C17C8"/>
    <w:rsid w:val="003C1A7C"/>
    <w:rsid w:val="003C1C03"/>
    <w:rsid w:val="003C1C24"/>
    <w:rsid w:val="003C1C3E"/>
    <w:rsid w:val="003C1D04"/>
    <w:rsid w:val="003C1F5F"/>
    <w:rsid w:val="003C21BD"/>
    <w:rsid w:val="003C233D"/>
    <w:rsid w:val="003C23EA"/>
    <w:rsid w:val="003C248C"/>
    <w:rsid w:val="003C26DE"/>
    <w:rsid w:val="003C29A9"/>
    <w:rsid w:val="003C2AD1"/>
    <w:rsid w:val="003C2D1E"/>
    <w:rsid w:val="003C2DDB"/>
    <w:rsid w:val="003C3287"/>
    <w:rsid w:val="003C32C6"/>
    <w:rsid w:val="003C346B"/>
    <w:rsid w:val="003C3644"/>
    <w:rsid w:val="003C372D"/>
    <w:rsid w:val="003C3BE4"/>
    <w:rsid w:val="003C3DCD"/>
    <w:rsid w:val="003C3E88"/>
    <w:rsid w:val="003C413A"/>
    <w:rsid w:val="003C4159"/>
    <w:rsid w:val="003C439A"/>
    <w:rsid w:val="003C4833"/>
    <w:rsid w:val="003C4AAF"/>
    <w:rsid w:val="003C4D15"/>
    <w:rsid w:val="003C4D5A"/>
    <w:rsid w:val="003C4D78"/>
    <w:rsid w:val="003C4DE2"/>
    <w:rsid w:val="003C4ECA"/>
    <w:rsid w:val="003C5281"/>
    <w:rsid w:val="003C537F"/>
    <w:rsid w:val="003C5558"/>
    <w:rsid w:val="003C58CE"/>
    <w:rsid w:val="003C5D54"/>
    <w:rsid w:val="003C5E1A"/>
    <w:rsid w:val="003C5E31"/>
    <w:rsid w:val="003C61C4"/>
    <w:rsid w:val="003C61F5"/>
    <w:rsid w:val="003C62B0"/>
    <w:rsid w:val="003C642B"/>
    <w:rsid w:val="003C64BF"/>
    <w:rsid w:val="003C655A"/>
    <w:rsid w:val="003C6680"/>
    <w:rsid w:val="003C687D"/>
    <w:rsid w:val="003C6999"/>
    <w:rsid w:val="003C6DBA"/>
    <w:rsid w:val="003C6F47"/>
    <w:rsid w:val="003C7126"/>
    <w:rsid w:val="003C753C"/>
    <w:rsid w:val="003C7721"/>
    <w:rsid w:val="003C77FC"/>
    <w:rsid w:val="003C7A7A"/>
    <w:rsid w:val="003C7B56"/>
    <w:rsid w:val="003C7BAA"/>
    <w:rsid w:val="003C7BF4"/>
    <w:rsid w:val="003C7E88"/>
    <w:rsid w:val="003C7F21"/>
    <w:rsid w:val="003C7F2B"/>
    <w:rsid w:val="003C7F82"/>
    <w:rsid w:val="003D0042"/>
    <w:rsid w:val="003D03CB"/>
    <w:rsid w:val="003D04F4"/>
    <w:rsid w:val="003D0742"/>
    <w:rsid w:val="003D0AC7"/>
    <w:rsid w:val="003D0D4F"/>
    <w:rsid w:val="003D0E32"/>
    <w:rsid w:val="003D0F01"/>
    <w:rsid w:val="003D0F9B"/>
    <w:rsid w:val="003D1291"/>
    <w:rsid w:val="003D130A"/>
    <w:rsid w:val="003D14D5"/>
    <w:rsid w:val="003D16F0"/>
    <w:rsid w:val="003D1C70"/>
    <w:rsid w:val="003D2312"/>
    <w:rsid w:val="003D2656"/>
    <w:rsid w:val="003D2723"/>
    <w:rsid w:val="003D298A"/>
    <w:rsid w:val="003D29EA"/>
    <w:rsid w:val="003D2B50"/>
    <w:rsid w:val="003D2DB4"/>
    <w:rsid w:val="003D2EAA"/>
    <w:rsid w:val="003D2EEE"/>
    <w:rsid w:val="003D30E7"/>
    <w:rsid w:val="003D3173"/>
    <w:rsid w:val="003D325A"/>
    <w:rsid w:val="003D3442"/>
    <w:rsid w:val="003D34E0"/>
    <w:rsid w:val="003D3686"/>
    <w:rsid w:val="003D36B5"/>
    <w:rsid w:val="003D37FA"/>
    <w:rsid w:val="003D389C"/>
    <w:rsid w:val="003D3A3D"/>
    <w:rsid w:val="003D3A63"/>
    <w:rsid w:val="003D3B22"/>
    <w:rsid w:val="003D3BFB"/>
    <w:rsid w:val="003D3C52"/>
    <w:rsid w:val="003D3C7B"/>
    <w:rsid w:val="003D3E2A"/>
    <w:rsid w:val="003D3F6C"/>
    <w:rsid w:val="003D40F7"/>
    <w:rsid w:val="003D4197"/>
    <w:rsid w:val="003D4367"/>
    <w:rsid w:val="003D47CC"/>
    <w:rsid w:val="003D4C28"/>
    <w:rsid w:val="003D503B"/>
    <w:rsid w:val="003D503E"/>
    <w:rsid w:val="003D5060"/>
    <w:rsid w:val="003D5142"/>
    <w:rsid w:val="003D5520"/>
    <w:rsid w:val="003D561F"/>
    <w:rsid w:val="003D5716"/>
    <w:rsid w:val="003D5BC1"/>
    <w:rsid w:val="003D5C50"/>
    <w:rsid w:val="003D63E3"/>
    <w:rsid w:val="003D65D3"/>
    <w:rsid w:val="003D6626"/>
    <w:rsid w:val="003D69A0"/>
    <w:rsid w:val="003D6A7E"/>
    <w:rsid w:val="003D6AE7"/>
    <w:rsid w:val="003D6BEB"/>
    <w:rsid w:val="003D6F77"/>
    <w:rsid w:val="003D6F92"/>
    <w:rsid w:val="003D713B"/>
    <w:rsid w:val="003D719B"/>
    <w:rsid w:val="003D7311"/>
    <w:rsid w:val="003D73BA"/>
    <w:rsid w:val="003D740E"/>
    <w:rsid w:val="003D75FA"/>
    <w:rsid w:val="003D7AF0"/>
    <w:rsid w:val="003D7B26"/>
    <w:rsid w:val="003D7B81"/>
    <w:rsid w:val="003D7D4A"/>
    <w:rsid w:val="003D7D58"/>
    <w:rsid w:val="003D7F2A"/>
    <w:rsid w:val="003E0140"/>
    <w:rsid w:val="003E0273"/>
    <w:rsid w:val="003E02E2"/>
    <w:rsid w:val="003E0354"/>
    <w:rsid w:val="003E0476"/>
    <w:rsid w:val="003E0595"/>
    <w:rsid w:val="003E0B3E"/>
    <w:rsid w:val="003E1525"/>
    <w:rsid w:val="003E1551"/>
    <w:rsid w:val="003E15CC"/>
    <w:rsid w:val="003E15FF"/>
    <w:rsid w:val="003E174F"/>
    <w:rsid w:val="003E19AD"/>
    <w:rsid w:val="003E1AF8"/>
    <w:rsid w:val="003E1D5C"/>
    <w:rsid w:val="003E1F58"/>
    <w:rsid w:val="003E20F1"/>
    <w:rsid w:val="003E2164"/>
    <w:rsid w:val="003E219B"/>
    <w:rsid w:val="003E21C2"/>
    <w:rsid w:val="003E21E5"/>
    <w:rsid w:val="003E224B"/>
    <w:rsid w:val="003E2554"/>
    <w:rsid w:val="003E2696"/>
    <w:rsid w:val="003E2793"/>
    <w:rsid w:val="003E28B8"/>
    <w:rsid w:val="003E3230"/>
    <w:rsid w:val="003E3826"/>
    <w:rsid w:val="003E39C3"/>
    <w:rsid w:val="003E3E74"/>
    <w:rsid w:val="003E3EDD"/>
    <w:rsid w:val="003E3F52"/>
    <w:rsid w:val="003E41F7"/>
    <w:rsid w:val="003E4244"/>
    <w:rsid w:val="003E434A"/>
    <w:rsid w:val="003E45E4"/>
    <w:rsid w:val="003E46BB"/>
    <w:rsid w:val="003E46E6"/>
    <w:rsid w:val="003E4996"/>
    <w:rsid w:val="003E4A9F"/>
    <w:rsid w:val="003E4DC3"/>
    <w:rsid w:val="003E4EEA"/>
    <w:rsid w:val="003E4F02"/>
    <w:rsid w:val="003E4FE6"/>
    <w:rsid w:val="003E5108"/>
    <w:rsid w:val="003E511D"/>
    <w:rsid w:val="003E513B"/>
    <w:rsid w:val="003E5166"/>
    <w:rsid w:val="003E52C4"/>
    <w:rsid w:val="003E5524"/>
    <w:rsid w:val="003E578E"/>
    <w:rsid w:val="003E5824"/>
    <w:rsid w:val="003E58D1"/>
    <w:rsid w:val="003E5930"/>
    <w:rsid w:val="003E6345"/>
    <w:rsid w:val="003E6381"/>
    <w:rsid w:val="003E698C"/>
    <w:rsid w:val="003E6BDE"/>
    <w:rsid w:val="003E6D66"/>
    <w:rsid w:val="003E6EB5"/>
    <w:rsid w:val="003E7305"/>
    <w:rsid w:val="003E7493"/>
    <w:rsid w:val="003E7498"/>
    <w:rsid w:val="003E74B4"/>
    <w:rsid w:val="003E770A"/>
    <w:rsid w:val="003E7935"/>
    <w:rsid w:val="003E7B2E"/>
    <w:rsid w:val="003E7C7E"/>
    <w:rsid w:val="003E7CB6"/>
    <w:rsid w:val="003E7D14"/>
    <w:rsid w:val="003E7D2C"/>
    <w:rsid w:val="003E7E11"/>
    <w:rsid w:val="003F0206"/>
    <w:rsid w:val="003F0229"/>
    <w:rsid w:val="003F02E7"/>
    <w:rsid w:val="003F0385"/>
    <w:rsid w:val="003F069A"/>
    <w:rsid w:val="003F0772"/>
    <w:rsid w:val="003F0814"/>
    <w:rsid w:val="003F0882"/>
    <w:rsid w:val="003F08C9"/>
    <w:rsid w:val="003F098F"/>
    <w:rsid w:val="003F0B97"/>
    <w:rsid w:val="003F0F5F"/>
    <w:rsid w:val="003F0F71"/>
    <w:rsid w:val="003F103F"/>
    <w:rsid w:val="003F12B9"/>
    <w:rsid w:val="003F1538"/>
    <w:rsid w:val="003F154B"/>
    <w:rsid w:val="003F17B5"/>
    <w:rsid w:val="003F17CD"/>
    <w:rsid w:val="003F1964"/>
    <w:rsid w:val="003F19DB"/>
    <w:rsid w:val="003F1B4F"/>
    <w:rsid w:val="003F1DC1"/>
    <w:rsid w:val="003F1FA9"/>
    <w:rsid w:val="003F21A0"/>
    <w:rsid w:val="003F2237"/>
    <w:rsid w:val="003F225E"/>
    <w:rsid w:val="003F235C"/>
    <w:rsid w:val="003F24BA"/>
    <w:rsid w:val="003F2638"/>
    <w:rsid w:val="003F294B"/>
    <w:rsid w:val="003F29D3"/>
    <w:rsid w:val="003F2AA4"/>
    <w:rsid w:val="003F31E9"/>
    <w:rsid w:val="003F332A"/>
    <w:rsid w:val="003F34A7"/>
    <w:rsid w:val="003F35B2"/>
    <w:rsid w:val="003F36CE"/>
    <w:rsid w:val="003F3BDC"/>
    <w:rsid w:val="003F3C0D"/>
    <w:rsid w:val="003F3F85"/>
    <w:rsid w:val="003F4003"/>
    <w:rsid w:val="003F421B"/>
    <w:rsid w:val="003F424B"/>
    <w:rsid w:val="003F458F"/>
    <w:rsid w:val="003F4897"/>
    <w:rsid w:val="003F493D"/>
    <w:rsid w:val="003F49E1"/>
    <w:rsid w:val="003F49FC"/>
    <w:rsid w:val="003F4A3E"/>
    <w:rsid w:val="003F4B4A"/>
    <w:rsid w:val="003F4C78"/>
    <w:rsid w:val="003F4D37"/>
    <w:rsid w:val="003F4DC4"/>
    <w:rsid w:val="003F4E22"/>
    <w:rsid w:val="003F4E32"/>
    <w:rsid w:val="003F52A4"/>
    <w:rsid w:val="003F5587"/>
    <w:rsid w:val="003F5693"/>
    <w:rsid w:val="003F576C"/>
    <w:rsid w:val="003F57E9"/>
    <w:rsid w:val="003F5968"/>
    <w:rsid w:val="003F5A0C"/>
    <w:rsid w:val="003F5E17"/>
    <w:rsid w:val="003F5E71"/>
    <w:rsid w:val="003F6351"/>
    <w:rsid w:val="003F642C"/>
    <w:rsid w:val="003F6847"/>
    <w:rsid w:val="003F698F"/>
    <w:rsid w:val="003F6B08"/>
    <w:rsid w:val="003F6C29"/>
    <w:rsid w:val="003F6D89"/>
    <w:rsid w:val="003F7136"/>
    <w:rsid w:val="003F72B2"/>
    <w:rsid w:val="003F7420"/>
    <w:rsid w:val="003F7549"/>
    <w:rsid w:val="003F7776"/>
    <w:rsid w:val="003F7B2B"/>
    <w:rsid w:val="003F7BF1"/>
    <w:rsid w:val="003F7C51"/>
    <w:rsid w:val="003F7D1A"/>
    <w:rsid w:val="003F7DA9"/>
    <w:rsid w:val="003F7DC6"/>
    <w:rsid w:val="00400130"/>
    <w:rsid w:val="00400139"/>
    <w:rsid w:val="00400179"/>
    <w:rsid w:val="00400271"/>
    <w:rsid w:val="004002C8"/>
    <w:rsid w:val="00400300"/>
    <w:rsid w:val="004004C5"/>
    <w:rsid w:val="004009BD"/>
    <w:rsid w:val="00400A2F"/>
    <w:rsid w:val="00400B25"/>
    <w:rsid w:val="00400C1B"/>
    <w:rsid w:val="00400F9D"/>
    <w:rsid w:val="004012DD"/>
    <w:rsid w:val="0040137F"/>
    <w:rsid w:val="004013A9"/>
    <w:rsid w:val="004016CB"/>
    <w:rsid w:val="004019B6"/>
    <w:rsid w:val="00401D2C"/>
    <w:rsid w:val="00401EBB"/>
    <w:rsid w:val="00401F6B"/>
    <w:rsid w:val="00401FBF"/>
    <w:rsid w:val="00402248"/>
    <w:rsid w:val="00402295"/>
    <w:rsid w:val="00402388"/>
    <w:rsid w:val="004023DE"/>
    <w:rsid w:val="004023EF"/>
    <w:rsid w:val="0040250C"/>
    <w:rsid w:val="004025F5"/>
    <w:rsid w:val="0040265C"/>
    <w:rsid w:val="004026B4"/>
    <w:rsid w:val="004026FB"/>
    <w:rsid w:val="00402737"/>
    <w:rsid w:val="0040281B"/>
    <w:rsid w:val="00402892"/>
    <w:rsid w:val="00402B31"/>
    <w:rsid w:val="00402BB0"/>
    <w:rsid w:val="00402E88"/>
    <w:rsid w:val="00402EC3"/>
    <w:rsid w:val="00402F5F"/>
    <w:rsid w:val="00402FD0"/>
    <w:rsid w:val="00403067"/>
    <w:rsid w:val="0040324E"/>
    <w:rsid w:val="004032C5"/>
    <w:rsid w:val="0040336C"/>
    <w:rsid w:val="004033A7"/>
    <w:rsid w:val="004037F9"/>
    <w:rsid w:val="00403949"/>
    <w:rsid w:val="00403983"/>
    <w:rsid w:val="00403A7F"/>
    <w:rsid w:val="00403A82"/>
    <w:rsid w:val="00403B02"/>
    <w:rsid w:val="00403B59"/>
    <w:rsid w:val="00403BC3"/>
    <w:rsid w:val="00403C15"/>
    <w:rsid w:val="00403EEA"/>
    <w:rsid w:val="0040414C"/>
    <w:rsid w:val="004046E6"/>
    <w:rsid w:val="004049D1"/>
    <w:rsid w:val="00404A1E"/>
    <w:rsid w:val="00404ADB"/>
    <w:rsid w:val="00404B0F"/>
    <w:rsid w:val="00404D9A"/>
    <w:rsid w:val="00404E20"/>
    <w:rsid w:val="00404F58"/>
    <w:rsid w:val="0040507E"/>
    <w:rsid w:val="00405155"/>
    <w:rsid w:val="004051F0"/>
    <w:rsid w:val="00405374"/>
    <w:rsid w:val="004053F0"/>
    <w:rsid w:val="0040544E"/>
    <w:rsid w:val="00405697"/>
    <w:rsid w:val="00405705"/>
    <w:rsid w:val="0040577E"/>
    <w:rsid w:val="00405A71"/>
    <w:rsid w:val="00405ACC"/>
    <w:rsid w:val="00405C6B"/>
    <w:rsid w:val="00405C72"/>
    <w:rsid w:val="00405CFC"/>
    <w:rsid w:val="00405DA9"/>
    <w:rsid w:val="00405DAC"/>
    <w:rsid w:val="00405EC8"/>
    <w:rsid w:val="00405FB4"/>
    <w:rsid w:val="004061E8"/>
    <w:rsid w:val="004066CA"/>
    <w:rsid w:val="004066EC"/>
    <w:rsid w:val="004069C0"/>
    <w:rsid w:val="00406A46"/>
    <w:rsid w:val="00406DF0"/>
    <w:rsid w:val="00406E73"/>
    <w:rsid w:val="00406EE2"/>
    <w:rsid w:val="004072CA"/>
    <w:rsid w:val="004078D1"/>
    <w:rsid w:val="00407B7B"/>
    <w:rsid w:val="00407D31"/>
    <w:rsid w:val="00407FA3"/>
    <w:rsid w:val="00410072"/>
    <w:rsid w:val="004101CB"/>
    <w:rsid w:val="00410311"/>
    <w:rsid w:val="00410659"/>
    <w:rsid w:val="00410EC6"/>
    <w:rsid w:val="00411062"/>
    <w:rsid w:val="004111E9"/>
    <w:rsid w:val="0041139D"/>
    <w:rsid w:val="00411489"/>
    <w:rsid w:val="0041158A"/>
    <w:rsid w:val="00411739"/>
    <w:rsid w:val="00411855"/>
    <w:rsid w:val="00411C43"/>
    <w:rsid w:val="0041200A"/>
    <w:rsid w:val="004121BE"/>
    <w:rsid w:val="0041226D"/>
    <w:rsid w:val="00412550"/>
    <w:rsid w:val="00412867"/>
    <w:rsid w:val="00412929"/>
    <w:rsid w:val="00412A6C"/>
    <w:rsid w:val="004130B1"/>
    <w:rsid w:val="004131BB"/>
    <w:rsid w:val="00413370"/>
    <w:rsid w:val="0041349B"/>
    <w:rsid w:val="00413662"/>
    <w:rsid w:val="004136C9"/>
    <w:rsid w:val="00413846"/>
    <w:rsid w:val="00413876"/>
    <w:rsid w:val="00413921"/>
    <w:rsid w:val="004139DE"/>
    <w:rsid w:val="00413C9C"/>
    <w:rsid w:val="004140B0"/>
    <w:rsid w:val="004140C9"/>
    <w:rsid w:val="00414215"/>
    <w:rsid w:val="004143E5"/>
    <w:rsid w:val="0041455D"/>
    <w:rsid w:val="00414571"/>
    <w:rsid w:val="00414946"/>
    <w:rsid w:val="00414CE5"/>
    <w:rsid w:val="004150B0"/>
    <w:rsid w:val="00415199"/>
    <w:rsid w:val="00415271"/>
    <w:rsid w:val="0041542D"/>
    <w:rsid w:val="004155A1"/>
    <w:rsid w:val="004158A2"/>
    <w:rsid w:val="00415BE5"/>
    <w:rsid w:val="00415CD5"/>
    <w:rsid w:val="00415EAC"/>
    <w:rsid w:val="00415FE9"/>
    <w:rsid w:val="0041608E"/>
    <w:rsid w:val="00416578"/>
    <w:rsid w:val="00416636"/>
    <w:rsid w:val="00416669"/>
    <w:rsid w:val="00416801"/>
    <w:rsid w:val="00416892"/>
    <w:rsid w:val="004168C8"/>
    <w:rsid w:val="00416904"/>
    <w:rsid w:val="00416A89"/>
    <w:rsid w:val="00416A8E"/>
    <w:rsid w:val="00416B88"/>
    <w:rsid w:val="00416D89"/>
    <w:rsid w:val="00416E35"/>
    <w:rsid w:val="00417287"/>
    <w:rsid w:val="00417299"/>
    <w:rsid w:val="00417351"/>
    <w:rsid w:val="004173A1"/>
    <w:rsid w:val="0041740F"/>
    <w:rsid w:val="004177A1"/>
    <w:rsid w:val="00417A58"/>
    <w:rsid w:val="00417AC9"/>
    <w:rsid w:val="00417D98"/>
    <w:rsid w:val="0042010A"/>
    <w:rsid w:val="004201AA"/>
    <w:rsid w:val="0042042D"/>
    <w:rsid w:val="004204AB"/>
    <w:rsid w:val="00420698"/>
    <w:rsid w:val="004206B9"/>
    <w:rsid w:val="0042079E"/>
    <w:rsid w:val="00420D38"/>
    <w:rsid w:val="00420E43"/>
    <w:rsid w:val="00421270"/>
    <w:rsid w:val="004216EE"/>
    <w:rsid w:val="00421970"/>
    <w:rsid w:val="00421A3C"/>
    <w:rsid w:val="00421EA8"/>
    <w:rsid w:val="00421F9F"/>
    <w:rsid w:val="00422208"/>
    <w:rsid w:val="004227C3"/>
    <w:rsid w:val="0042280C"/>
    <w:rsid w:val="0042294E"/>
    <w:rsid w:val="00422E9C"/>
    <w:rsid w:val="00422FAA"/>
    <w:rsid w:val="00422FFD"/>
    <w:rsid w:val="00423026"/>
    <w:rsid w:val="00423169"/>
    <w:rsid w:val="004233F0"/>
    <w:rsid w:val="0042349D"/>
    <w:rsid w:val="004236ED"/>
    <w:rsid w:val="00423718"/>
    <w:rsid w:val="0042384C"/>
    <w:rsid w:val="004238A4"/>
    <w:rsid w:val="00423DE5"/>
    <w:rsid w:val="00423DEA"/>
    <w:rsid w:val="00423E51"/>
    <w:rsid w:val="00423E5F"/>
    <w:rsid w:val="00423F43"/>
    <w:rsid w:val="00423FAD"/>
    <w:rsid w:val="00423FCF"/>
    <w:rsid w:val="0042424E"/>
    <w:rsid w:val="0042438D"/>
    <w:rsid w:val="00424442"/>
    <w:rsid w:val="00424943"/>
    <w:rsid w:val="00424A2E"/>
    <w:rsid w:val="00424A39"/>
    <w:rsid w:val="00424A8E"/>
    <w:rsid w:val="00424B36"/>
    <w:rsid w:val="00424C0B"/>
    <w:rsid w:val="00425077"/>
    <w:rsid w:val="004250EC"/>
    <w:rsid w:val="004251EA"/>
    <w:rsid w:val="004252E4"/>
    <w:rsid w:val="0042552D"/>
    <w:rsid w:val="004255F9"/>
    <w:rsid w:val="00425628"/>
    <w:rsid w:val="00425631"/>
    <w:rsid w:val="0042589A"/>
    <w:rsid w:val="004258E8"/>
    <w:rsid w:val="00425A2B"/>
    <w:rsid w:val="00425B92"/>
    <w:rsid w:val="00425CE0"/>
    <w:rsid w:val="004265DB"/>
    <w:rsid w:val="00426665"/>
    <w:rsid w:val="004267B2"/>
    <w:rsid w:val="00426A1E"/>
    <w:rsid w:val="00426DFA"/>
    <w:rsid w:val="00426F6C"/>
    <w:rsid w:val="004270BB"/>
    <w:rsid w:val="00427255"/>
    <w:rsid w:val="00427284"/>
    <w:rsid w:val="0042732E"/>
    <w:rsid w:val="00427706"/>
    <w:rsid w:val="004279FE"/>
    <w:rsid w:val="00427A18"/>
    <w:rsid w:val="00427BB0"/>
    <w:rsid w:val="00427C76"/>
    <w:rsid w:val="00427E60"/>
    <w:rsid w:val="00427F6D"/>
    <w:rsid w:val="0043003C"/>
    <w:rsid w:val="00430049"/>
    <w:rsid w:val="00430108"/>
    <w:rsid w:val="004304D3"/>
    <w:rsid w:val="004304F5"/>
    <w:rsid w:val="004304FA"/>
    <w:rsid w:val="004305F4"/>
    <w:rsid w:val="0043068F"/>
    <w:rsid w:val="00430A5D"/>
    <w:rsid w:val="00430B8C"/>
    <w:rsid w:val="00430CA7"/>
    <w:rsid w:val="00430EBD"/>
    <w:rsid w:val="004310AF"/>
    <w:rsid w:val="00431185"/>
    <w:rsid w:val="0043124E"/>
    <w:rsid w:val="00431292"/>
    <w:rsid w:val="00431330"/>
    <w:rsid w:val="0043138D"/>
    <w:rsid w:val="004314B3"/>
    <w:rsid w:val="0043164F"/>
    <w:rsid w:val="00431794"/>
    <w:rsid w:val="004319D2"/>
    <w:rsid w:val="00431A5A"/>
    <w:rsid w:val="00431AAB"/>
    <w:rsid w:val="00431AEE"/>
    <w:rsid w:val="00431BD2"/>
    <w:rsid w:val="00431D94"/>
    <w:rsid w:val="00431F44"/>
    <w:rsid w:val="00432005"/>
    <w:rsid w:val="00432269"/>
    <w:rsid w:val="00432281"/>
    <w:rsid w:val="0043273B"/>
    <w:rsid w:val="00432742"/>
    <w:rsid w:val="00432960"/>
    <w:rsid w:val="00432E4C"/>
    <w:rsid w:val="00432F38"/>
    <w:rsid w:val="00433019"/>
    <w:rsid w:val="00433074"/>
    <w:rsid w:val="004331A2"/>
    <w:rsid w:val="00433346"/>
    <w:rsid w:val="004333DC"/>
    <w:rsid w:val="004333FA"/>
    <w:rsid w:val="00433455"/>
    <w:rsid w:val="004335A2"/>
    <w:rsid w:val="00433756"/>
    <w:rsid w:val="00433BA3"/>
    <w:rsid w:val="00433C18"/>
    <w:rsid w:val="00433D70"/>
    <w:rsid w:val="00433D9D"/>
    <w:rsid w:val="00433DE8"/>
    <w:rsid w:val="00433E26"/>
    <w:rsid w:val="004341B7"/>
    <w:rsid w:val="0043429F"/>
    <w:rsid w:val="004344C3"/>
    <w:rsid w:val="00434579"/>
    <w:rsid w:val="004345F1"/>
    <w:rsid w:val="00434663"/>
    <w:rsid w:val="004346A4"/>
    <w:rsid w:val="004346CD"/>
    <w:rsid w:val="00434861"/>
    <w:rsid w:val="00434BFB"/>
    <w:rsid w:val="00434EBB"/>
    <w:rsid w:val="00434FD8"/>
    <w:rsid w:val="00435029"/>
    <w:rsid w:val="0043552D"/>
    <w:rsid w:val="004357A0"/>
    <w:rsid w:val="004357BE"/>
    <w:rsid w:val="00435968"/>
    <w:rsid w:val="00435D46"/>
    <w:rsid w:val="00435DFF"/>
    <w:rsid w:val="00436073"/>
    <w:rsid w:val="004360B8"/>
    <w:rsid w:val="00436107"/>
    <w:rsid w:val="00436176"/>
    <w:rsid w:val="004361AA"/>
    <w:rsid w:val="004361B3"/>
    <w:rsid w:val="00436210"/>
    <w:rsid w:val="004362C2"/>
    <w:rsid w:val="00436358"/>
    <w:rsid w:val="004364BC"/>
    <w:rsid w:val="00436536"/>
    <w:rsid w:val="004365BC"/>
    <w:rsid w:val="004368D9"/>
    <w:rsid w:val="00436956"/>
    <w:rsid w:val="00436A20"/>
    <w:rsid w:val="00436C86"/>
    <w:rsid w:val="00436DDA"/>
    <w:rsid w:val="00436EA9"/>
    <w:rsid w:val="00437252"/>
    <w:rsid w:val="00437320"/>
    <w:rsid w:val="004374C7"/>
    <w:rsid w:val="00437531"/>
    <w:rsid w:val="004375BF"/>
    <w:rsid w:val="00437726"/>
    <w:rsid w:val="00437842"/>
    <w:rsid w:val="0043790F"/>
    <w:rsid w:val="004379A0"/>
    <w:rsid w:val="00437C32"/>
    <w:rsid w:val="00437D6F"/>
    <w:rsid w:val="00437E58"/>
    <w:rsid w:val="00437E5D"/>
    <w:rsid w:val="00437EE1"/>
    <w:rsid w:val="00437F48"/>
    <w:rsid w:val="0044011D"/>
    <w:rsid w:val="004402DE"/>
    <w:rsid w:val="00440379"/>
    <w:rsid w:val="004406CA"/>
    <w:rsid w:val="0044073E"/>
    <w:rsid w:val="00440902"/>
    <w:rsid w:val="00440ABE"/>
    <w:rsid w:val="00440C0D"/>
    <w:rsid w:val="00440D67"/>
    <w:rsid w:val="00440D68"/>
    <w:rsid w:val="00440E22"/>
    <w:rsid w:val="004410E0"/>
    <w:rsid w:val="00441163"/>
    <w:rsid w:val="00441214"/>
    <w:rsid w:val="004412FF"/>
    <w:rsid w:val="00441386"/>
    <w:rsid w:val="004413BD"/>
    <w:rsid w:val="004413D0"/>
    <w:rsid w:val="004413FA"/>
    <w:rsid w:val="0044147D"/>
    <w:rsid w:val="00441604"/>
    <w:rsid w:val="00441708"/>
    <w:rsid w:val="00441A9E"/>
    <w:rsid w:val="00441D0E"/>
    <w:rsid w:val="00441E69"/>
    <w:rsid w:val="00441F54"/>
    <w:rsid w:val="0044208E"/>
    <w:rsid w:val="004423B7"/>
    <w:rsid w:val="004425DA"/>
    <w:rsid w:val="004429EF"/>
    <w:rsid w:val="00442A9C"/>
    <w:rsid w:val="00442EBF"/>
    <w:rsid w:val="00442ECF"/>
    <w:rsid w:val="00442F1E"/>
    <w:rsid w:val="00442F9E"/>
    <w:rsid w:val="00442FCB"/>
    <w:rsid w:val="0044325C"/>
    <w:rsid w:val="004433F1"/>
    <w:rsid w:val="004434A6"/>
    <w:rsid w:val="004434C2"/>
    <w:rsid w:val="004437E9"/>
    <w:rsid w:val="00443AC7"/>
    <w:rsid w:val="00443B25"/>
    <w:rsid w:val="00443C1D"/>
    <w:rsid w:val="00443EC6"/>
    <w:rsid w:val="00444052"/>
    <w:rsid w:val="004440B3"/>
    <w:rsid w:val="004442A0"/>
    <w:rsid w:val="0044439D"/>
    <w:rsid w:val="00444434"/>
    <w:rsid w:val="00444684"/>
    <w:rsid w:val="004446C4"/>
    <w:rsid w:val="00444745"/>
    <w:rsid w:val="00444BD9"/>
    <w:rsid w:val="00445123"/>
    <w:rsid w:val="00445377"/>
    <w:rsid w:val="00445ABC"/>
    <w:rsid w:val="00445C5B"/>
    <w:rsid w:val="00446194"/>
    <w:rsid w:val="004461F2"/>
    <w:rsid w:val="00446278"/>
    <w:rsid w:val="004462C9"/>
    <w:rsid w:val="004464CC"/>
    <w:rsid w:val="00446504"/>
    <w:rsid w:val="0044650F"/>
    <w:rsid w:val="004465AC"/>
    <w:rsid w:val="00446881"/>
    <w:rsid w:val="004469EB"/>
    <w:rsid w:val="00446AF6"/>
    <w:rsid w:val="0044703E"/>
    <w:rsid w:val="004471C5"/>
    <w:rsid w:val="004472AB"/>
    <w:rsid w:val="0044769A"/>
    <w:rsid w:val="004477B6"/>
    <w:rsid w:val="00447AB2"/>
    <w:rsid w:val="00447AEB"/>
    <w:rsid w:val="00447BB8"/>
    <w:rsid w:val="00447F2E"/>
    <w:rsid w:val="00450129"/>
    <w:rsid w:val="004501F1"/>
    <w:rsid w:val="004502DA"/>
    <w:rsid w:val="0045050C"/>
    <w:rsid w:val="0045052E"/>
    <w:rsid w:val="0045059D"/>
    <w:rsid w:val="0045085D"/>
    <w:rsid w:val="00450DBF"/>
    <w:rsid w:val="00450FB7"/>
    <w:rsid w:val="0045100E"/>
    <w:rsid w:val="004510A5"/>
    <w:rsid w:val="00451147"/>
    <w:rsid w:val="0045141F"/>
    <w:rsid w:val="00451955"/>
    <w:rsid w:val="00451B8C"/>
    <w:rsid w:val="00451C04"/>
    <w:rsid w:val="00451C08"/>
    <w:rsid w:val="00451D7A"/>
    <w:rsid w:val="00451DC8"/>
    <w:rsid w:val="00451F35"/>
    <w:rsid w:val="004522EC"/>
    <w:rsid w:val="00452425"/>
    <w:rsid w:val="00452485"/>
    <w:rsid w:val="0045248B"/>
    <w:rsid w:val="004526FC"/>
    <w:rsid w:val="0045273D"/>
    <w:rsid w:val="004528F5"/>
    <w:rsid w:val="00452980"/>
    <w:rsid w:val="00452A9E"/>
    <w:rsid w:val="00452C18"/>
    <w:rsid w:val="00452EC4"/>
    <w:rsid w:val="00453007"/>
    <w:rsid w:val="004530F3"/>
    <w:rsid w:val="004531DD"/>
    <w:rsid w:val="0045321B"/>
    <w:rsid w:val="00453284"/>
    <w:rsid w:val="004532F7"/>
    <w:rsid w:val="0045333F"/>
    <w:rsid w:val="004533D3"/>
    <w:rsid w:val="004536F9"/>
    <w:rsid w:val="004537C3"/>
    <w:rsid w:val="00453915"/>
    <w:rsid w:val="00453A1F"/>
    <w:rsid w:val="00453B3A"/>
    <w:rsid w:val="00453C15"/>
    <w:rsid w:val="00453D89"/>
    <w:rsid w:val="00453E0C"/>
    <w:rsid w:val="00453E86"/>
    <w:rsid w:val="0045429E"/>
    <w:rsid w:val="004545AC"/>
    <w:rsid w:val="004546BF"/>
    <w:rsid w:val="0045485E"/>
    <w:rsid w:val="00454A1F"/>
    <w:rsid w:val="00454B06"/>
    <w:rsid w:val="00454BAA"/>
    <w:rsid w:val="00454C64"/>
    <w:rsid w:val="00454DA3"/>
    <w:rsid w:val="00455345"/>
    <w:rsid w:val="00455391"/>
    <w:rsid w:val="004553F7"/>
    <w:rsid w:val="0045567B"/>
    <w:rsid w:val="00455682"/>
    <w:rsid w:val="004557B0"/>
    <w:rsid w:val="00455B7B"/>
    <w:rsid w:val="00455DB4"/>
    <w:rsid w:val="004562C6"/>
    <w:rsid w:val="004566DE"/>
    <w:rsid w:val="004566E4"/>
    <w:rsid w:val="0045674A"/>
    <w:rsid w:val="00456770"/>
    <w:rsid w:val="004568FB"/>
    <w:rsid w:val="004569AD"/>
    <w:rsid w:val="00456BA7"/>
    <w:rsid w:val="00456D74"/>
    <w:rsid w:val="004570FB"/>
    <w:rsid w:val="00457487"/>
    <w:rsid w:val="004575CD"/>
    <w:rsid w:val="0045763B"/>
    <w:rsid w:val="00457654"/>
    <w:rsid w:val="00457A24"/>
    <w:rsid w:val="00457ACC"/>
    <w:rsid w:val="00457B24"/>
    <w:rsid w:val="00457BE6"/>
    <w:rsid w:val="00457C51"/>
    <w:rsid w:val="00457ECB"/>
    <w:rsid w:val="00460636"/>
    <w:rsid w:val="004607C9"/>
    <w:rsid w:val="00460A64"/>
    <w:rsid w:val="00460D17"/>
    <w:rsid w:val="00460F8A"/>
    <w:rsid w:val="0046128D"/>
    <w:rsid w:val="004612D0"/>
    <w:rsid w:val="0046136F"/>
    <w:rsid w:val="00461393"/>
    <w:rsid w:val="004615F2"/>
    <w:rsid w:val="0046174F"/>
    <w:rsid w:val="004618F6"/>
    <w:rsid w:val="004619B1"/>
    <w:rsid w:val="00461A48"/>
    <w:rsid w:val="00461A52"/>
    <w:rsid w:val="00461BEC"/>
    <w:rsid w:val="00461C69"/>
    <w:rsid w:val="00461D31"/>
    <w:rsid w:val="00461DD2"/>
    <w:rsid w:val="00461EFA"/>
    <w:rsid w:val="00461F3B"/>
    <w:rsid w:val="00462022"/>
    <w:rsid w:val="00462513"/>
    <w:rsid w:val="0046266C"/>
    <w:rsid w:val="004626D9"/>
    <w:rsid w:val="00462A6E"/>
    <w:rsid w:val="00462AD5"/>
    <w:rsid w:val="00462CB7"/>
    <w:rsid w:val="0046305C"/>
    <w:rsid w:val="004630D1"/>
    <w:rsid w:val="0046315F"/>
    <w:rsid w:val="004639D4"/>
    <w:rsid w:val="00463C3C"/>
    <w:rsid w:val="00463C8C"/>
    <w:rsid w:val="00463E44"/>
    <w:rsid w:val="00463EE2"/>
    <w:rsid w:val="00463F69"/>
    <w:rsid w:val="004640EE"/>
    <w:rsid w:val="0046436F"/>
    <w:rsid w:val="004643E8"/>
    <w:rsid w:val="00464577"/>
    <w:rsid w:val="0046480E"/>
    <w:rsid w:val="00464DF4"/>
    <w:rsid w:val="00464E1A"/>
    <w:rsid w:val="00464EEA"/>
    <w:rsid w:val="00465023"/>
    <w:rsid w:val="0046518D"/>
    <w:rsid w:val="0046520C"/>
    <w:rsid w:val="00465267"/>
    <w:rsid w:val="00465272"/>
    <w:rsid w:val="004652E7"/>
    <w:rsid w:val="0046555B"/>
    <w:rsid w:val="004656D6"/>
    <w:rsid w:val="00465705"/>
    <w:rsid w:val="00465941"/>
    <w:rsid w:val="004659A3"/>
    <w:rsid w:val="00465AAF"/>
    <w:rsid w:val="00465D74"/>
    <w:rsid w:val="00465DAA"/>
    <w:rsid w:val="00466150"/>
    <w:rsid w:val="004662AB"/>
    <w:rsid w:val="004662D4"/>
    <w:rsid w:val="004664E6"/>
    <w:rsid w:val="0046650C"/>
    <w:rsid w:val="00466748"/>
    <w:rsid w:val="00466877"/>
    <w:rsid w:val="0046695D"/>
    <w:rsid w:val="004669A4"/>
    <w:rsid w:val="004669E5"/>
    <w:rsid w:val="00466D9B"/>
    <w:rsid w:val="00466F19"/>
    <w:rsid w:val="00466F8C"/>
    <w:rsid w:val="0046730D"/>
    <w:rsid w:val="00467368"/>
    <w:rsid w:val="00467406"/>
    <w:rsid w:val="00467500"/>
    <w:rsid w:val="00467621"/>
    <w:rsid w:val="004677C7"/>
    <w:rsid w:val="00467941"/>
    <w:rsid w:val="00467A24"/>
    <w:rsid w:val="00467A9D"/>
    <w:rsid w:val="00467B19"/>
    <w:rsid w:val="00467CC7"/>
    <w:rsid w:val="00467CF2"/>
    <w:rsid w:val="00467E4A"/>
    <w:rsid w:val="00470177"/>
    <w:rsid w:val="00470206"/>
    <w:rsid w:val="0047036F"/>
    <w:rsid w:val="004704D2"/>
    <w:rsid w:val="0047074F"/>
    <w:rsid w:val="00470A92"/>
    <w:rsid w:val="00470B03"/>
    <w:rsid w:val="00470D50"/>
    <w:rsid w:val="00471131"/>
    <w:rsid w:val="0047119D"/>
    <w:rsid w:val="0047124A"/>
    <w:rsid w:val="0047136D"/>
    <w:rsid w:val="0047140D"/>
    <w:rsid w:val="004714CF"/>
    <w:rsid w:val="004715DD"/>
    <w:rsid w:val="0047170B"/>
    <w:rsid w:val="00471783"/>
    <w:rsid w:val="004717F2"/>
    <w:rsid w:val="00471941"/>
    <w:rsid w:val="00471A4B"/>
    <w:rsid w:val="00471AB6"/>
    <w:rsid w:val="00471D45"/>
    <w:rsid w:val="00471DAC"/>
    <w:rsid w:val="0047201B"/>
    <w:rsid w:val="0047209E"/>
    <w:rsid w:val="0047219E"/>
    <w:rsid w:val="004723A1"/>
    <w:rsid w:val="00472422"/>
    <w:rsid w:val="0047249E"/>
    <w:rsid w:val="004724E8"/>
    <w:rsid w:val="0047263A"/>
    <w:rsid w:val="004726B4"/>
    <w:rsid w:val="00472705"/>
    <w:rsid w:val="0047271D"/>
    <w:rsid w:val="00472907"/>
    <w:rsid w:val="00472AEB"/>
    <w:rsid w:val="00472CF7"/>
    <w:rsid w:val="00472D09"/>
    <w:rsid w:val="00472D22"/>
    <w:rsid w:val="00472E62"/>
    <w:rsid w:val="00472EA9"/>
    <w:rsid w:val="004731A6"/>
    <w:rsid w:val="0047331D"/>
    <w:rsid w:val="004735B0"/>
    <w:rsid w:val="004735F3"/>
    <w:rsid w:val="0047391F"/>
    <w:rsid w:val="00473A81"/>
    <w:rsid w:val="00473C00"/>
    <w:rsid w:val="00473D6D"/>
    <w:rsid w:val="00474078"/>
    <w:rsid w:val="004740D3"/>
    <w:rsid w:val="004741D7"/>
    <w:rsid w:val="00474351"/>
    <w:rsid w:val="0047435D"/>
    <w:rsid w:val="00474367"/>
    <w:rsid w:val="004745FB"/>
    <w:rsid w:val="00474775"/>
    <w:rsid w:val="0047497B"/>
    <w:rsid w:val="004749C1"/>
    <w:rsid w:val="00474BD0"/>
    <w:rsid w:val="00474EC9"/>
    <w:rsid w:val="00475073"/>
    <w:rsid w:val="0047544C"/>
    <w:rsid w:val="0047550B"/>
    <w:rsid w:val="00475573"/>
    <w:rsid w:val="00475594"/>
    <w:rsid w:val="0047562A"/>
    <w:rsid w:val="00475D16"/>
    <w:rsid w:val="00475F6B"/>
    <w:rsid w:val="004760D2"/>
    <w:rsid w:val="004760DF"/>
    <w:rsid w:val="00476138"/>
    <w:rsid w:val="004762FE"/>
    <w:rsid w:val="004764B2"/>
    <w:rsid w:val="00476503"/>
    <w:rsid w:val="004765EF"/>
    <w:rsid w:val="004766E7"/>
    <w:rsid w:val="004768F1"/>
    <w:rsid w:val="00476BD2"/>
    <w:rsid w:val="00476C91"/>
    <w:rsid w:val="00476DA3"/>
    <w:rsid w:val="00476E9B"/>
    <w:rsid w:val="00477018"/>
    <w:rsid w:val="00477070"/>
    <w:rsid w:val="004770D1"/>
    <w:rsid w:val="004770D9"/>
    <w:rsid w:val="00477292"/>
    <w:rsid w:val="00477331"/>
    <w:rsid w:val="004774D0"/>
    <w:rsid w:val="004774DB"/>
    <w:rsid w:val="0047761C"/>
    <w:rsid w:val="0047765A"/>
    <w:rsid w:val="004776E1"/>
    <w:rsid w:val="004777E2"/>
    <w:rsid w:val="00477873"/>
    <w:rsid w:val="00477875"/>
    <w:rsid w:val="00477C39"/>
    <w:rsid w:val="00477FA0"/>
    <w:rsid w:val="0048007B"/>
    <w:rsid w:val="00480416"/>
    <w:rsid w:val="004809B6"/>
    <w:rsid w:val="00480A2E"/>
    <w:rsid w:val="00480B3C"/>
    <w:rsid w:val="00480B68"/>
    <w:rsid w:val="00480C41"/>
    <w:rsid w:val="00480C84"/>
    <w:rsid w:val="00480CA2"/>
    <w:rsid w:val="00480CCA"/>
    <w:rsid w:val="00480D21"/>
    <w:rsid w:val="00480DDF"/>
    <w:rsid w:val="00480E23"/>
    <w:rsid w:val="00480F5A"/>
    <w:rsid w:val="0048100D"/>
    <w:rsid w:val="00481018"/>
    <w:rsid w:val="00481062"/>
    <w:rsid w:val="0048107F"/>
    <w:rsid w:val="0048112F"/>
    <w:rsid w:val="00481159"/>
    <w:rsid w:val="004812DF"/>
    <w:rsid w:val="004814CC"/>
    <w:rsid w:val="004815AB"/>
    <w:rsid w:val="0048165E"/>
    <w:rsid w:val="00481722"/>
    <w:rsid w:val="00481735"/>
    <w:rsid w:val="004817D2"/>
    <w:rsid w:val="00481828"/>
    <w:rsid w:val="00481A2B"/>
    <w:rsid w:val="00481A9E"/>
    <w:rsid w:val="00481C4C"/>
    <w:rsid w:val="00481C6F"/>
    <w:rsid w:val="00481D9C"/>
    <w:rsid w:val="00481E30"/>
    <w:rsid w:val="00481FFC"/>
    <w:rsid w:val="004823A7"/>
    <w:rsid w:val="0048256B"/>
    <w:rsid w:val="004829E1"/>
    <w:rsid w:val="00482C31"/>
    <w:rsid w:val="00482E48"/>
    <w:rsid w:val="00483015"/>
    <w:rsid w:val="00483139"/>
    <w:rsid w:val="0048319C"/>
    <w:rsid w:val="00483376"/>
    <w:rsid w:val="00483403"/>
    <w:rsid w:val="004837DE"/>
    <w:rsid w:val="00483A11"/>
    <w:rsid w:val="00483CEB"/>
    <w:rsid w:val="00483CF6"/>
    <w:rsid w:val="004841BA"/>
    <w:rsid w:val="0048426A"/>
    <w:rsid w:val="004842EF"/>
    <w:rsid w:val="00484333"/>
    <w:rsid w:val="00484411"/>
    <w:rsid w:val="004844CA"/>
    <w:rsid w:val="0048466F"/>
    <w:rsid w:val="00484A65"/>
    <w:rsid w:val="00484C88"/>
    <w:rsid w:val="00484CBD"/>
    <w:rsid w:val="00484EA5"/>
    <w:rsid w:val="00484F60"/>
    <w:rsid w:val="004850EC"/>
    <w:rsid w:val="00485269"/>
    <w:rsid w:val="00485492"/>
    <w:rsid w:val="00485904"/>
    <w:rsid w:val="00485A88"/>
    <w:rsid w:val="00485C1D"/>
    <w:rsid w:val="00485CBA"/>
    <w:rsid w:val="00485D8B"/>
    <w:rsid w:val="00485D9C"/>
    <w:rsid w:val="00485F4B"/>
    <w:rsid w:val="00486319"/>
    <w:rsid w:val="0048631E"/>
    <w:rsid w:val="00486369"/>
    <w:rsid w:val="004867C2"/>
    <w:rsid w:val="004867EF"/>
    <w:rsid w:val="004868D0"/>
    <w:rsid w:val="0048690B"/>
    <w:rsid w:val="00486A47"/>
    <w:rsid w:val="00486A4F"/>
    <w:rsid w:val="00486B88"/>
    <w:rsid w:val="00486BF4"/>
    <w:rsid w:val="00486C7C"/>
    <w:rsid w:val="00486C8F"/>
    <w:rsid w:val="00486F7D"/>
    <w:rsid w:val="00487209"/>
    <w:rsid w:val="0048762A"/>
    <w:rsid w:val="004877A6"/>
    <w:rsid w:val="00487B45"/>
    <w:rsid w:val="00487C5F"/>
    <w:rsid w:val="00487EF5"/>
    <w:rsid w:val="00490177"/>
    <w:rsid w:val="0049079B"/>
    <w:rsid w:val="00490809"/>
    <w:rsid w:val="0049098E"/>
    <w:rsid w:val="00490A7F"/>
    <w:rsid w:val="00490B9C"/>
    <w:rsid w:val="00490C57"/>
    <w:rsid w:val="00491115"/>
    <w:rsid w:val="00491369"/>
    <w:rsid w:val="004915DE"/>
    <w:rsid w:val="0049166D"/>
    <w:rsid w:val="00491710"/>
    <w:rsid w:val="0049185F"/>
    <w:rsid w:val="00491899"/>
    <w:rsid w:val="004919CC"/>
    <w:rsid w:val="00491A49"/>
    <w:rsid w:val="00491AAE"/>
    <w:rsid w:val="00491BE2"/>
    <w:rsid w:val="00491CA1"/>
    <w:rsid w:val="00491EB1"/>
    <w:rsid w:val="00491FE3"/>
    <w:rsid w:val="0049205B"/>
    <w:rsid w:val="0049214D"/>
    <w:rsid w:val="004921DA"/>
    <w:rsid w:val="0049235D"/>
    <w:rsid w:val="00492706"/>
    <w:rsid w:val="004928DC"/>
    <w:rsid w:val="00492B1F"/>
    <w:rsid w:val="00492D03"/>
    <w:rsid w:val="00493146"/>
    <w:rsid w:val="0049328F"/>
    <w:rsid w:val="004932F6"/>
    <w:rsid w:val="00493519"/>
    <w:rsid w:val="004936F7"/>
    <w:rsid w:val="0049370F"/>
    <w:rsid w:val="00493991"/>
    <w:rsid w:val="00493A7F"/>
    <w:rsid w:val="00493CF4"/>
    <w:rsid w:val="00493D84"/>
    <w:rsid w:val="00493F85"/>
    <w:rsid w:val="004940DA"/>
    <w:rsid w:val="004947D7"/>
    <w:rsid w:val="00494A30"/>
    <w:rsid w:val="00494BBB"/>
    <w:rsid w:val="00494C00"/>
    <w:rsid w:val="00494C4B"/>
    <w:rsid w:val="00494F03"/>
    <w:rsid w:val="00494FC4"/>
    <w:rsid w:val="00495100"/>
    <w:rsid w:val="004955DE"/>
    <w:rsid w:val="004956E5"/>
    <w:rsid w:val="00495747"/>
    <w:rsid w:val="00495DCF"/>
    <w:rsid w:val="00495E45"/>
    <w:rsid w:val="00496030"/>
    <w:rsid w:val="0049627F"/>
    <w:rsid w:val="00496322"/>
    <w:rsid w:val="00496361"/>
    <w:rsid w:val="00496454"/>
    <w:rsid w:val="004964C5"/>
    <w:rsid w:val="004965E8"/>
    <w:rsid w:val="00496648"/>
    <w:rsid w:val="00496788"/>
    <w:rsid w:val="0049698E"/>
    <w:rsid w:val="00496A5D"/>
    <w:rsid w:val="00496AAD"/>
    <w:rsid w:val="00496C93"/>
    <w:rsid w:val="00496CB9"/>
    <w:rsid w:val="0049715F"/>
    <w:rsid w:val="004971A1"/>
    <w:rsid w:val="00497466"/>
    <w:rsid w:val="004974D9"/>
    <w:rsid w:val="004974FF"/>
    <w:rsid w:val="0049753E"/>
    <w:rsid w:val="004975B1"/>
    <w:rsid w:val="0049776B"/>
    <w:rsid w:val="004977FB"/>
    <w:rsid w:val="004978B4"/>
    <w:rsid w:val="00497AE4"/>
    <w:rsid w:val="00497B59"/>
    <w:rsid w:val="00497C6C"/>
    <w:rsid w:val="00497CCC"/>
    <w:rsid w:val="00497E7C"/>
    <w:rsid w:val="00497E8E"/>
    <w:rsid w:val="004A0010"/>
    <w:rsid w:val="004A00F9"/>
    <w:rsid w:val="004A0168"/>
    <w:rsid w:val="004A0228"/>
    <w:rsid w:val="004A06A1"/>
    <w:rsid w:val="004A073F"/>
    <w:rsid w:val="004A07D9"/>
    <w:rsid w:val="004A08C5"/>
    <w:rsid w:val="004A0CD2"/>
    <w:rsid w:val="004A0EC1"/>
    <w:rsid w:val="004A1394"/>
    <w:rsid w:val="004A140D"/>
    <w:rsid w:val="004A1657"/>
    <w:rsid w:val="004A16B7"/>
    <w:rsid w:val="004A19FC"/>
    <w:rsid w:val="004A1A4F"/>
    <w:rsid w:val="004A1D14"/>
    <w:rsid w:val="004A1EB9"/>
    <w:rsid w:val="004A20F7"/>
    <w:rsid w:val="004A226E"/>
    <w:rsid w:val="004A22D4"/>
    <w:rsid w:val="004A2939"/>
    <w:rsid w:val="004A2A90"/>
    <w:rsid w:val="004A2C30"/>
    <w:rsid w:val="004A2C6C"/>
    <w:rsid w:val="004A306E"/>
    <w:rsid w:val="004A357C"/>
    <w:rsid w:val="004A3B49"/>
    <w:rsid w:val="004A3D61"/>
    <w:rsid w:val="004A3E81"/>
    <w:rsid w:val="004A41A5"/>
    <w:rsid w:val="004A41D3"/>
    <w:rsid w:val="004A487E"/>
    <w:rsid w:val="004A48D7"/>
    <w:rsid w:val="004A4B9B"/>
    <w:rsid w:val="004A4EB5"/>
    <w:rsid w:val="004A4EE4"/>
    <w:rsid w:val="004A4F67"/>
    <w:rsid w:val="004A5412"/>
    <w:rsid w:val="004A55BB"/>
    <w:rsid w:val="004A5606"/>
    <w:rsid w:val="004A58C3"/>
    <w:rsid w:val="004A5E2E"/>
    <w:rsid w:val="004A6375"/>
    <w:rsid w:val="004A6412"/>
    <w:rsid w:val="004A67AD"/>
    <w:rsid w:val="004A69D1"/>
    <w:rsid w:val="004A69F0"/>
    <w:rsid w:val="004A6AAC"/>
    <w:rsid w:val="004A6B94"/>
    <w:rsid w:val="004A6CDA"/>
    <w:rsid w:val="004A6FA5"/>
    <w:rsid w:val="004A7360"/>
    <w:rsid w:val="004A74F6"/>
    <w:rsid w:val="004A77C2"/>
    <w:rsid w:val="004A7845"/>
    <w:rsid w:val="004A7878"/>
    <w:rsid w:val="004A79EE"/>
    <w:rsid w:val="004A7B3B"/>
    <w:rsid w:val="004A7BC5"/>
    <w:rsid w:val="004A7F0A"/>
    <w:rsid w:val="004B0116"/>
    <w:rsid w:val="004B0140"/>
    <w:rsid w:val="004B0386"/>
    <w:rsid w:val="004B03D6"/>
    <w:rsid w:val="004B0427"/>
    <w:rsid w:val="004B05A1"/>
    <w:rsid w:val="004B09C6"/>
    <w:rsid w:val="004B0A5A"/>
    <w:rsid w:val="004B0AE8"/>
    <w:rsid w:val="004B0F8E"/>
    <w:rsid w:val="004B1018"/>
    <w:rsid w:val="004B11B8"/>
    <w:rsid w:val="004B17D1"/>
    <w:rsid w:val="004B1ADC"/>
    <w:rsid w:val="004B1B62"/>
    <w:rsid w:val="004B1BED"/>
    <w:rsid w:val="004B1C27"/>
    <w:rsid w:val="004B1C35"/>
    <w:rsid w:val="004B1EE8"/>
    <w:rsid w:val="004B1F28"/>
    <w:rsid w:val="004B2167"/>
    <w:rsid w:val="004B228D"/>
    <w:rsid w:val="004B2429"/>
    <w:rsid w:val="004B26FC"/>
    <w:rsid w:val="004B27F2"/>
    <w:rsid w:val="004B28A8"/>
    <w:rsid w:val="004B28AC"/>
    <w:rsid w:val="004B2A17"/>
    <w:rsid w:val="004B2BB0"/>
    <w:rsid w:val="004B2C78"/>
    <w:rsid w:val="004B2E54"/>
    <w:rsid w:val="004B2EF6"/>
    <w:rsid w:val="004B307C"/>
    <w:rsid w:val="004B32AA"/>
    <w:rsid w:val="004B3394"/>
    <w:rsid w:val="004B360C"/>
    <w:rsid w:val="004B3867"/>
    <w:rsid w:val="004B39E4"/>
    <w:rsid w:val="004B3A7D"/>
    <w:rsid w:val="004B3AF2"/>
    <w:rsid w:val="004B3B54"/>
    <w:rsid w:val="004B3BD7"/>
    <w:rsid w:val="004B3CCF"/>
    <w:rsid w:val="004B443A"/>
    <w:rsid w:val="004B4499"/>
    <w:rsid w:val="004B454C"/>
    <w:rsid w:val="004B4C3C"/>
    <w:rsid w:val="004B4C41"/>
    <w:rsid w:val="004B4EC2"/>
    <w:rsid w:val="004B4F3B"/>
    <w:rsid w:val="004B50D1"/>
    <w:rsid w:val="004B5100"/>
    <w:rsid w:val="004B5107"/>
    <w:rsid w:val="004B585C"/>
    <w:rsid w:val="004B5960"/>
    <w:rsid w:val="004B5AF0"/>
    <w:rsid w:val="004B5E31"/>
    <w:rsid w:val="004B5F43"/>
    <w:rsid w:val="004B6008"/>
    <w:rsid w:val="004B61CD"/>
    <w:rsid w:val="004B63C0"/>
    <w:rsid w:val="004B643F"/>
    <w:rsid w:val="004B6977"/>
    <w:rsid w:val="004B6E85"/>
    <w:rsid w:val="004B796F"/>
    <w:rsid w:val="004B79E6"/>
    <w:rsid w:val="004B7B40"/>
    <w:rsid w:val="004B7C32"/>
    <w:rsid w:val="004B7C69"/>
    <w:rsid w:val="004B7E99"/>
    <w:rsid w:val="004B7EEE"/>
    <w:rsid w:val="004B7F6E"/>
    <w:rsid w:val="004B7FBE"/>
    <w:rsid w:val="004C038A"/>
    <w:rsid w:val="004C063C"/>
    <w:rsid w:val="004C0814"/>
    <w:rsid w:val="004C084D"/>
    <w:rsid w:val="004C0A97"/>
    <w:rsid w:val="004C0DC3"/>
    <w:rsid w:val="004C0F47"/>
    <w:rsid w:val="004C11BB"/>
    <w:rsid w:val="004C136B"/>
    <w:rsid w:val="004C19BE"/>
    <w:rsid w:val="004C19DA"/>
    <w:rsid w:val="004C1C99"/>
    <w:rsid w:val="004C1DBF"/>
    <w:rsid w:val="004C1F80"/>
    <w:rsid w:val="004C233A"/>
    <w:rsid w:val="004C248D"/>
    <w:rsid w:val="004C2578"/>
    <w:rsid w:val="004C2645"/>
    <w:rsid w:val="004C27F6"/>
    <w:rsid w:val="004C2D48"/>
    <w:rsid w:val="004C2EF7"/>
    <w:rsid w:val="004C2F3E"/>
    <w:rsid w:val="004C2FAB"/>
    <w:rsid w:val="004C3287"/>
    <w:rsid w:val="004C3512"/>
    <w:rsid w:val="004C386C"/>
    <w:rsid w:val="004C3B28"/>
    <w:rsid w:val="004C3BC5"/>
    <w:rsid w:val="004C40DB"/>
    <w:rsid w:val="004C4321"/>
    <w:rsid w:val="004C4627"/>
    <w:rsid w:val="004C46CF"/>
    <w:rsid w:val="004C47CF"/>
    <w:rsid w:val="004C47D5"/>
    <w:rsid w:val="004C4A61"/>
    <w:rsid w:val="004C4ABA"/>
    <w:rsid w:val="004C4B24"/>
    <w:rsid w:val="004C4D15"/>
    <w:rsid w:val="004C4D71"/>
    <w:rsid w:val="004C4F41"/>
    <w:rsid w:val="004C5174"/>
    <w:rsid w:val="004C533A"/>
    <w:rsid w:val="004C53FC"/>
    <w:rsid w:val="004C574A"/>
    <w:rsid w:val="004C59E6"/>
    <w:rsid w:val="004C5A90"/>
    <w:rsid w:val="004C5BA1"/>
    <w:rsid w:val="004C5C7E"/>
    <w:rsid w:val="004C5CC4"/>
    <w:rsid w:val="004C6030"/>
    <w:rsid w:val="004C6165"/>
    <w:rsid w:val="004C61B7"/>
    <w:rsid w:val="004C658C"/>
    <w:rsid w:val="004C692D"/>
    <w:rsid w:val="004C6BC2"/>
    <w:rsid w:val="004C6E16"/>
    <w:rsid w:val="004C6E75"/>
    <w:rsid w:val="004C6ED0"/>
    <w:rsid w:val="004C70FE"/>
    <w:rsid w:val="004C7342"/>
    <w:rsid w:val="004C7353"/>
    <w:rsid w:val="004C7621"/>
    <w:rsid w:val="004C7673"/>
    <w:rsid w:val="004C77DE"/>
    <w:rsid w:val="004C78AB"/>
    <w:rsid w:val="004C7C51"/>
    <w:rsid w:val="004C7D34"/>
    <w:rsid w:val="004C7FF2"/>
    <w:rsid w:val="004D01F2"/>
    <w:rsid w:val="004D04F6"/>
    <w:rsid w:val="004D0505"/>
    <w:rsid w:val="004D06F3"/>
    <w:rsid w:val="004D0860"/>
    <w:rsid w:val="004D0DB5"/>
    <w:rsid w:val="004D0EA2"/>
    <w:rsid w:val="004D14DB"/>
    <w:rsid w:val="004D17D5"/>
    <w:rsid w:val="004D1907"/>
    <w:rsid w:val="004D1A37"/>
    <w:rsid w:val="004D1F39"/>
    <w:rsid w:val="004D2182"/>
    <w:rsid w:val="004D21D5"/>
    <w:rsid w:val="004D22FD"/>
    <w:rsid w:val="004D240D"/>
    <w:rsid w:val="004D2429"/>
    <w:rsid w:val="004D24FA"/>
    <w:rsid w:val="004D250F"/>
    <w:rsid w:val="004D255B"/>
    <w:rsid w:val="004D26CE"/>
    <w:rsid w:val="004D27A7"/>
    <w:rsid w:val="004D297B"/>
    <w:rsid w:val="004D2A7E"/>
    <w:rsid w:val="004D2B39"/>
    <w:rsid w:val="004D2C86"/>
    <w:rsid w:val="004D2D2C"/>
    <w:rsid w:val="004D2DEC"/>
    <w:rsid w:val="004D3012"/>
    <w:rsid w:val="004D3366"/>
    <w:rsid w:val="004D33E8"/>
    <w:rsid w:val="004D3421"/>
    <w:rsid w:val="004D3438"/>
    <w:rsid w:val="004D38C1"/>
    <w:rsid w:val="004D38D6"/>
    <w:rsid w:val="004D3BFA"/>
    <w:rsid w:val="004D3F00"/>
    <w:rsid w:val="004D3F80"/>
    <w:rsid w:val="004D3FE4"/>
    <w:rsid w:val="004D3FF6"/>
    <w:rsid w:val="004D3FF7"/>
    <w:rsid w:val="004D4011"/>
    <w:rsid w:val="004D42AC"/>
    <w:rsid w:val="004D42ED"/>
    <w:rsid w:val="004D449A"/>
    <w:rsid w:val="004D44B1"/>
    <w:rsid w:val="004D44DB"/>
    <w:rsid w:val="004D44F0"/>
    <w:rsid w:val="004D45D6"/>
    <w:rsid w:val="004D4612"/>
    <w:rsid w:val="004D4A03"/>
    <w:rsid w:val="004D4BC5"/>
    <w:rsid w:val="004D4E1B"/>
    <w:rsid w:val="004D4F00"/>
    <w:rsid w:val="004D4FB8"/>
    <w:rsid w:val="004D52F7"/>
    <w:rsid w:val="004D5480"/>
    <w:rsid w:val="004D54E7"/>
    <w:rsid w:val="004D58DC"/>
    <w:rsid w:val="004D58DF"/>
    <w:rsid w:val="004D5DBA"/>
    <w:rsid w:val="004D6149"/>
    <w:rsid w:val="004D6252"/>
    <w:rsid w:val="004D625D"/>
    <w:rsid w:val="004D63AF"/>
    <w:rsid w:val="004D63B4"/>
    <w:rsid w:val="004D644C"/>
    <w:rsid w:val="004D65F5"/>
    <w:rsid w:val="004D6765"/>
    <w:rsid w:val="004D697A"/>
    <w:rsid w:val="004D69A2"/>
    <w:rsid w:val="004D7001"/>
    <w:rsid w:val="004D708E"/>
    <w:rsid w:val="004D70EB"/>
    <w:rsid w:val="004D7160"/>
    <w:rsid w:val="004D71A5"/>
    <w:rsid w:val="004D750A"/>
    <w:rsid w:val="004D768F"/>
    <w:rsid w:val="004D78FB"/>
    <w:rsid w:val="004D7BE7"/>
    <w:rsid w:val="004D7C14"/>
    <w:rsid w:val="004D7CCB"/>
    <w:rsid w:val="004D7D0C"/>
    <w:rsid w:val="004D7D4F"/>
    <w:rsid w:val="004D7ECF"/>
    <w:rsid w:val="004D7F2C"/>
    <w:rsid w:val="004D7F69"/>
    <w:rsid w:val="004D7F82"/>
    <w:rsid w:val="004E072C"/>
    <w:rsid w:val="004E07C2"/>
    <w:rsid w:val="004E08AA"/>
    <w:rsid w:val="004E095C"/>
    <w:rsid w:val="004E0B9B"/>
    <w:rsid w:val="004E0C0E"/>
    <w:rsid w:val="004E121B"/>
    <w:rsid w:val="004E139B"/>
    <w:rsid w:val="004E145F"/>
    <w:rsid w:val="004E14C7"/>
    <w:rsid w:val="004E1738"/>
    <w:rsid w:val="004E1897"/>
    <w:rsid w:val="004E2116"/>
    <w:rsid w:val="004E2143"/>
    <w:rsid w:val="004E2185"/>
    <w:rsid w:val="004E21EE"/>
    <w:rsid w:val="004E2226"/>
    <w:rsid w:val="004E2233"/>
    <w:rsid w:val="004E2248"/>
    <w:rsid w:val="004E23CA"/>
    <w:rsid w:val="004E27C1"/>
    <w:rsid w:val="004E2A3B"/>
    <w:rsid w:val="004E2B6F"/>
    <w:rsid w:val="004E2CF1"/>
    <w:rsid w:val="004E2EA6"/>
    <w:rsid w:val="004E33BB"/>
    <w:rsid w:val="004E3709"/>
    <w:rsid w:val="004E372D"/>
    <w:rsid w:val="004E41F2"/>
    <w:rsid w:val="004E4227"/>
    <w:rsid w:val="004E43DD"/>
    <w:rsid w:val="004E4453"/>
    <w:rsid w:val="004E4849"/>
    <w:rsid w:val="004E4A6A"/>
    <w:rsid w:val="004E4C9C"/>
    <w:rsid w:val="004E4E14"/>
    <w:rsid w:val="004E5290"/>
    <w:rsid w:val="004E559C"/>
    <w:rsid w:val="004E564C"/>
    <w:rsid w:val="004E56C0"/>
    <w:rsid w:val="004E56F1"/>
    <w:rsid w:val="004E5A00"/>
    <w:rsid w:val="004E5BF2"/>
    <w:rsid w:val="004E5C47"/>
    <w:rsid w:val="004E5FFB"/>
    <w:rsid w:val="004E62CB"/>
    <w:rsid w:val="004E63AE"/>
    <w:rsid w:val="004E66A0"/>
    <w:rsid w:val="004E66E6"/>
    <w:rsid w:val="004E6731"/>
    <w:rsid w:val="004E6754"/>
    <w:rsid w:val="004E6B9B"/>
    <w:rsid w:val="004E6E0B"/>
    <w:rsid w:val="004E6E21"/>
    <w:rsid w:val="004E6ED8"/>
    <w:rsid w:val="004E703C"/>
    <w:rsid w:val="004E71DC"/>
    <w:rsid w:val="004E726B"/>
    <w:rsid w:val="004E7276"/>
    <w:rsid w:val="004E75CC"/>
    <w:rsid w:val="004E7646"/>
    <w:rsid w:val="004E7677"/>
    <w:rsid w:val="004E77BA"/>
    <w:rsid w:val="004E7810"/>
    <w:rsid w:val="004E7946"/>
    <w:rsid w:val="004E7E10"/>
    <w:rsid w:val="004E7E6B"/>
    <w:rsid w:val="004E7F44"/>
    <w:rsid w:val="004F00D9"/>
    <w:rsid w:val="004F0222"/>
    <w:rsid w:val="004F0528"/>
    <w:rsid w:val="004F05EF"/>
    <w:rsid w:val="004F0654"/>
    <w:rsid w:val="004F07AC"/>
    <w:rsid w:val="004F090B"/>
    <w:rsid w:val="004F0CA4"/>
    <w:rsid w:val="004F0D95"/>
    <w:rsid w:val="004F0F83"/>
    <w:rsid w:val="004F1013"/>
    <w:rsid w:val="004F10A7"/>
    <w:rsid w:val="004F1128"/>
    <w:rsid w:val="004F1187"/>
    <w:rsid w:val="004F13EA"/>
    <w:rsid w:val="004F1442"/>
    <w:rsid w:val="004F17DC"/>
    <w:rsid w:val="004F1892"/>
    <w:rsid w:val="004F1A48"/>
    <w:rsid w:val="004F1A57"/>
    <w:rsid w:val="004F1B76"/>
    <w:rsid w:val="004F1DF6"/>
    <w:rsid w:val="004F1EEA"/>
    <w:rsid w:val="004F257E"/>
    <w:rsid w:val="004F2792"/>
    <w:rsid w:val="004F280A"/>
    <w:rsid w:val="004F2850"/>
    <w:rsid w:val="004F2952"/>
    <w:rsid w:val="004F2CB4"/>
    <w:rsid w:val="004F2FA0"/>
    <w:rsid w:val="004F3102"/>
    <w:rsid w:val="004F3627"/>
    <w:rsid w:val="004F3824"/>
    <w:rsid w:val="004F3857"/>
    <w:rsid w:val="004F3CC5"/>
    <w:rsid w:val="004F3D9C"/>
    <w:rsid w:val="004F3E15"/>
    <w:rsid w:val="004F4104"/>
    <w:rsid w:val="004F44CA"/>
    <w:rsid w:val="004F4525"/>
    <w:rsid w:val="004F4898"/>
    <w:rsid w:val="004F4996"/>
    <w:rsid w:val="004F4B76"/>
    <w:rsid w:val="004F4E0A"/>
    <w:rsid w:val="004F5002"/>
    <w:rsid w:val="004F5166"/>
    <w:rsid w:val="004F5442"/>
    <w:rsid w:val="004F554D"/>
    <w:rsid w:val="004F55A1"/>
    <w:rsid w:val="004F55FB"/>
    <w:rsid w:val="004F56FC"/>
    <w:rsid w:val="004F5731"/>
    <w:rsid w:val="004F583F"/>
    <w:rsid w:val="004F589E"/>
    <w:rsid w:val="004F58FB"/>
    <w:rsid w:val="004F59C9"/>
    <w:rsid w:val="004F5BF9"/>
    <w:rsid w:val="004F5DB9"/>
    <w:rsid w:val="004F5E35"/>
    <w:rsid w:val="004F5EF5"/>
    <w:rsid w:val="004F62F1"/>
    <w:rsid w:val="004F6528"/>
    <w:rsid w:val="004F68F5"/>
    <w:rsid w:val="004F6937"/>
    <w:rsid w:val="004F6D28"/>
    <w:rsid w:val="004F6EB3"/>
    <w:rsid w:val="004F6EBC"/>
    <w:rsid w:val="004F6ECE"/>
    <w:rsid w:val="004F6EE1"/>
    <w:rsid w:val="004F74D1"/>
    <w:rsid w:val="004F75B3"/>
    <w:rsid w:val="004F78E1"/>
    <w:rsid w:val="004F798B"/>
    <w:rsid w:val="004F79AA"/>
    <w:rsid w:val="004F7BB9"/>
    <w:rsid w:val="004F7C0F"/>
    <w:rsid w:val="004F7D19"/>
    <w:rsid w:val="004F7EF0"/>
    <w:rsid w:val="004F7EF9"/>
    <w:rsid w:val="004F7F7D"/>
    <w:rsid w:val="004F7FCE"/>
    <w:rsid w:val="004F7FF2"/>
    <w:rsid w:val="00500048"/>
    <w:rsid w:val="00500134"/>
    <w:rsid w:val="0050021A"/>
    <w:rsid w:val="005002F6"/>
    <w:rsid w:val="005005C9"/>
    <w:rsid w:val="005005E2"/>
    <w:rsid w:val="00500604"/>
    <w:rsid w:val="0050060E"/>
    <w:rsid w:val="00500946"/>
    <w:rsid w:val="00500CDE"/>
    <w:rsid w:val="00500DD6"/>
    <w:rsid w:val="00500EF4"/>
    <w:rsid w:val="00500F06"/>
    <w:rsid w:val="00501166"/>
    <w:rsid w:val="00501341"/>
    <w:rsid w:val="005014DE"/>
    <w:rsid w:val="005016E7"/>
    <w:rsid w:val="00501788"/>
    <w:rsid w:val="0050198D"/>
    <w:rsid w:val="005019BD"/>
    <w:rsid w:val="00501D8F"/>
    <w:rsid w:val="00501DD4"/>
    <w:rsid w:val="00501F23"/>
    <w:rsid w:val="005020AA"/>
    <w:rsid w:val="0050225A"/>
    <w:rsid w:val="005023A5"/>
    <w:rsid w:val="00502774"/>
    <w:rsid w:val="00502980"/>
    <w:rsid w:val="00502C1C"/>
    <w:rsid w:val="00502D53"/>
    <w:rsid w:val="00502D5E"/>
    <w:rsid w:val="00502DD4"/>
    <w:rsid w:val="00502EDF"/>
    <w:rsid w:val="00502F08"/>
    <w:rsid w:val="005030E1"/>
    <w:rsid w:val="00503116"/>
    <w:rsid w:val="005032B2"/>
    <w:rsid w:val="0050338B"/>
    <w:rsid w:val="0050352B"/>
    <w:rsid w:val="0050369F"/>
    <w:rsid w:val="00503718"/>
    <w:rsid w:val="0050378A"/>
    <w:rsid w:val="00503973"/>
    <w:rsid w:val="00503DB4"/>
    <w:rsid w:val="00503FA4"/>
    <w:rsid w:val="005042A0"/>
    <w:rsid w:val="005044DC"/>
    <w:rsid w:val="00504510"/>
    <w:rsid w:val="0050465E"/>
    <w:rsid w:val="005046A1"/>
    <w:rsid w:val="0050474B"/>
    <w:rsid w:val="005047B8"/>
    <w:rsid w:val="005047D5"/>
    <w:rsid w:val="005049B1"/>
    <w:rsid w:val="00504A53"/>
    <w:rsid w:val="00504C1B"/>
    <w:rsid w:val="0050503D"/>
    <w:rsid w:val="0050519B"/>
    <w:rsid w:val="00505360"/>
    <w:rsid w:val="005054B7"/>
    <w:rsid w:val="00505550"/>
    <w:rsid w:val="00505730"/>
    <w:rsid w:val="005057EA"/>
    <w:rsid w:val="00505889"/>
    <w:rsid w:val="00505983"/>
    <w:rsid w:val="00505A24"/>
    <w:rsid w:val="00505A2D"/>
    <w:rsid w:val="00505B6D"/>
    <w:rsid w:val="00505EE5"/>
    <w:rsid w:val="00506196"/>
    <w:rsid w:val="005062B2"/>
    <w:rsid w:val="005063B1"/>
    <w:rsid w:val="005067E3"/>
    <w:rsid w:val="00506856"/>
    <w:rsid w:val="00506862"/>
    <w:rsid w:val="00506B25"/>
    <w:rsid w:val="00506C11"/>
    <w:rsid w:val="00506CDF"/>
    <w:rsid w:val="00506E30"/>
    <w:rsid w:val="00506E72"/>
    <w:rsid w:val="00506FD7"/>
    <w:rsid w:val="00507443"/>
    <w:rsid w:val="005074A4"/>
    <w:rsid w:val="00507629"/>
    <w:rsid w:val="00507636"/>
    <w:rsid w:val="00507853"/>
    <w:rsid w:val="00507977"/>
    <w:rsid w:val="00507A67"/>
    <w:rsid w:val="00507C4A"/>
    <w:rsid w:val="00507E06"/>
    <w:rsid w:val="00507F0A"/>
    <w:rsid w:val="0051007C"/>
    <w:rsid w:val="005107DC"/>
    <w:rsid w:val="00510A77"/>
    <w:rsid w:val="00510D2B"/>
    <w:rsid w:val="00510E21"/>
    <w:rsid w:val="00510E41"/>
    <w:rsid w:val="0051122C"/>
    <w:rsid w:val="00511447"/>
    <w:rsid w:val="00511619"/>
    <w:rsid w:val="00511758"/>
    <w:rsid w:val="005117F2"/>
    <w:rsid w:val="0051198F"/>
    <w:rsid w:val="005119E1"/>
    <w:rsid w:val="00511AEF"/>
    <w:rsid w:val="00511E36"/>
    <w:rsid w:val="0051209A"/>
    <w:rsid w:val="005122BC"/>
    <w:rsid w:val="00512513"/>
    <w:rsid w:val="005128CB"/>
    <w:rsid w:val="00512AF7"/>
    <w:rsid w:val="00512C49"/>
    <w:rsid w:val="00512E1E"/>
    <w:rsid w:val="00512F4C"/>
    <w:rsid w:val="00512F69"/>
    <w:rsid w:val="005132EE"/>
    <w:rsid w:val="005133A9"/>
    <w:rsid w:val="005133EF"/>
    <w:rsid w:val="00513504"/>
    <w:rsid w:val="00513540"/>
    <w:rsid w:val="00513813"/>
    <w:rsid w:val="00513891"/>
    <w:rsid w:val="005138FA"/>
    <w:rsid w:val="00513ADA"/>
    <w:rsid w:val="00513C4A"/>
    <w:rsid w:val="00513CEA"/>
    <w:rsid w:val="00513E95"/>
    <w:rsid w:val="00514026"/>
    <w:rsid w:val="00514164"/>
    <w:rsid w:val="00514214"/>
    <w:rsid w:val="00514320"/>
    <w:rsid w:val="00514381"/>
    <w:rsid w:val="00514659"/>
    <w:rsid w:val="005147D8"/>
    <w:rsid w:val="00514D7C"/>
    <w:rsid w:val="00514D93"/>
    <w:rsid w:val="00515005"/>
    <w:rsid w:val="0051526B"/>
    <w:rsid w:val="00515287"/>
    <w:rsid w:val="00515468"/>
    <w:rsid w:val="00515775"/>
    <w:rsid w:val="00515863"/>
    <w:rsid w:val="00515916"/>
    <w:rsid w:val="0051594A"/>
    <w:rsid w:val="00515BAF"/>
    <w:rsid w:val="00515CFE"/>
    <w:rsid w:val="00515D77"/>
    <w:rsid w:val="00515F19"/>
    <w:rsid w:val="005160F0"/>
    <w:rsid w:val="005162E2"/>
    <w:rsid w:val="00516392"/>
    <w:rsid w:val="005163E3"/>
    <w:rsid w:val="00516432"/>
    <w:rsid w:val="005164DD"/>
    <w:rsid w:val="0051654C"/>
    <w:rsid w:val="00516AF9"/>
    <w:rsid w:val="00516B6F"/>
    <w:rsid w:val="00516CEF"/>
    <w:rsid w:val="00516D99"/>
    <w:rsid w:val="00516F0D"/>
    <w:rsid w:val="00516F87"/>
    <w:rsid w:val="00516FD6"/>
    <w:rsid w:val="00516FE4"/>
    <w:rsid w:val="005170CB"/>
    <w:rsid w:val="00517380"/>
    <w:rsid w:val="0051739D"/>
    <w:rsid w:val="005173D0"/>
    <w:rsid w:val="00517595"/>
    <w:rsid w:val="00517651"/>
    <w:rsid w:val="00517807"/>
    <w:rsid w:val="00517A2D"/>
    <w:rsid w:val="00517EDB"/>
    <w:rsid w:val="005200E5"/>
    <w:rsid w:val="005201AA"/>
    <w:rsid w:val="005204E6"/>
    <w:rsid w:val="0052064D"/>
    <w:rsid w:val="005207A9"/>
    <w:rsid w:val="00520FED"/>
    <w:rsid w:val="005213D3"/>
    <w:rsid w:val="00521489"/>
    <w:rsid w:val="005214AA"/>
    <w:rsid w:val="00521D50"/>
    <w:rsid w:val="00521E98"/>
    <w:rsid w:val="0052234A"/>
    <w:rsid w:val="0052257C"/>
    <w:rsid w:val="005225A7"/>
    <w:rsid w:val="005228DE"/>
    <w:rsid w:val="005228F5"/>
    <w:rsid w:val="00522D9D"/>
    <w:rsid w:val="00522E95"/>
    <w:rsid w:val="00523400"/>
    <w:rsid w:val="00523444"/>
    <w:rsid w:val="005235C1"/>
    <w:rsid w:val="005236BB"/>
    <w:rsid w:val="00523832"/>
    <w:rsid w:val="00523BB7"/>
    <w:rsid w:val="00523D33"/>
    <w:rsid w:val="0052400E"/>
    <w:rsid w:val="00524201"/>
    <w:rsid w:val="00524525"/>
    <w:rsid w:val="005247C6"/>
    <w:rsid w:val="00524A1C"/>
    <w:rsid w:val="00524A95"/>
    <w:rsid w:val="00524C4C"/>
    <w:rsid w:val="00524DA3"/>
    <w:rsid w:val="00524F7B"/>
    <w:rsid w:val="0052500A"/>
    <w:rsid w:val="00525043"/>
    <w:rsid w:val="005250BF"/>
    <w:rsid w:val="005251C3"/>
    <w:rsid w:val="005252B4"/>
    <w:rsid w:val="00525305"/>
    <w:rsid w:val="0052547F"/>
    <w:rsid w:val="00525849"/>
    <w:rsid w:val="00525874"/>
    <w:rsid w:val="00525A73"/>
    <w:rsid w:val="00525B24"/>
    <w:rsid w:val="00525BC9"/>
    <w:rsid w:val="00525D40"/>
    <w:rsid w:val="00525E90"/>
    <w:rsid w:val="00526053"/>
    <w:rsid w:val="00526340"/>
    <w:rsid w:val="005263AC"/>
    <w:rsid w:val="0052655C"/>
    <w:rsid w:val="0052671D"/>
    <w:rsid w:val="00526935"/>
    <w:rsid w:val="005269AD"/>
    <w:rsid w:val="00526DFC"/>
    <w:rsid w:val="005270CE"/>
    <w:rsid w:val="005272AD"/>
    <w:rsid w:val="00527593"/>
    <w:rsid w:val="005276A9"/>
    <w:rsid w:val="00527766"/>
    <w:rsid w:val="005277FF"/>
    <w:rsid w:val="00527A98"/>
    <w:rsid w:val="00527B07"/>
    <w:rsid w:val="00527C19"/>
    <w:rsid w:val="00527CA2"/>
    <w:rsid w:val="00527E16"/>
    <w:rsid w:val="00527EAC"/>
    <w:rsid w:val="00527FAC"/>
    <w:rsid w:val="00527FC8"/>
    <w:rsid w:val="0052AB60"/>
    <w:rsid w:val="00530037"/>
    <w:rsid w:val="0053006D"/>
    <w:rsid w:val="005301A2"/>
    <w:rsid w:val="00530221"/>
    <w:rsid w:val="005302B1"/>
    <w:rsid w:val="005305CF"/>
    <w:rsid w:val="00530795"/>
    <w:rsid w:val="00530FBA"/>
    <w:rsid w:val="00531073"/>
    <w:rsid w:val="00531234"/>
    <w:rsid w:val="00531272"/>
    <w:rsid w:val="005312E2"/>
    <w:rsid w:val="0053131F"/>
    <w:rsid w:val="00531381"/>
    <w:rsid w:val="00531513"/>
    <w:rsid w:val="005315B1"/>
    <w:rsid w:val="005316AD"/>
    <w:rsid w:val="005316EF"/>
    <w:rsid w:val="00531796"/>
    <w:rsid w:val="005318C9"/>
    <w:rsid w:val="005318F2"/>
    <w:rsid w:val="00531993"/>
    <w:rsid w:val="00531ACF"/>
    <w:rsid w:val="00531B75"/>
    <w:rsid w:val="00531C08"/>
    <w:rsid w:val="00531C98"/>
    <w:rsid w:val="00531C99"/>
    <w:rsid w:val="00531D08"/>
    <w:rsid w:val="00531DA9"/>
    <w:rsid w:val="00531DCF"/>
    <w:rsid w:val="00531ED5"/>
    <w:rsid w:val="00532125"/>
    <w:rsid w:val="00532234"/>
    <w:rsid w:val="00532490"/>
    <w:rsid w:val="005325BE"/>
    <w:rsid w:val="0053269D"/>
    <w:rsid w:val="0053295E"/>
    <w:rsid w:val="00532AD0"/>
    <w:rsid w:val="00532C40"/>
    <w:rsid w:val="00532C83"/>
    <w:rsid w:val="00532C85"/>
    <w:rsid w:val="00532D30"/>
    <w:rsid w:val="00532DB8"/>
    <w:rsid w:val="00532DC0"/>
    <w:rsid w:val="00532EE8"/>
    <w:rsid w:val="00532F4D"/>
    <w:rsid w:val="0053309A"/>
    <w:rsid w:val="0053331F"/>
    <w:rsid w:val="00533349"/>
    <w:rsid w:val="0053338E"/>
    <w:rsid w:val="00533444"/>
    <w:rsid w:val="0053362B"/>
    <w:rsid w:val="005337F7"/>
    <w:rsid w:val="00533A41"/>
    <w:rsid w:val="00533E4E"/>
    <w:rsid w:val="00533E9C"/>
    <w:rsid w:val="00533ECE"/>
    <w:rsid w:val="005341C0"/>
    <w:rsid w:val="005342E5"/>
    <w:rsid w:val="00534508"/>
    <w:rsid w:val="00534551"/>
    <w:rsid w:val="005347C3"/>
    <w:rsid w:val="00534808"/>
    <w:rsid w:val="00534FEE"/>
    <w:rsid w:val="0053586E"/>
    <w:rsid w:val="00535BC7"/>
    <w:rsid w:val="00535CBD"/>
    <w:rsid w:val="00535F75"/>
    <w:rsid w:val="00536145"/>
    <w:rsid w:val="005361BB"/>
    <w:rsid w:val="005363C0"/>
    <w:rsid w:val="00536699"/>
    <w:rsid w:val="005366F7"/>
    <w:rsid w:val="00536934"/>
    <w:rsid w:val="00536AD6"/>
    <w:rsid w:val="00536DD4"/>
    <w:rsid w:val="00536E5D"/>
    <w:rsid w:val="00537665"/>
    <w:rsid w:val="0053766C"/>
    <w:rsid w:val="00537A1E"/>
    <w:rsid w:val="00537BD7"/>
    <w:rsid w:val="00537E5F"/>
    <w:rsid w:val="00537E98"/>
    <w:rsid w:val="00540241"/>
    <w:rsid w:val="0054029B"/>
    <w:rsid w:val="00540312"/>
    <w:rsid w:val="0054049B"/>
    <w:rsid w:val="00540B2A"/>
    <w:rsid w:val="00540C28"/>
    <w:rsid w:val="00540D90"/>
    <w:rsid w:val="00540E1B"/>
    <w:rsid w:val="00540FC8"/>
    <w:rsid w:val="005412F2"/>
    <w:rsid w:val="0054143A"/>
    <w:rsid w:val="0054179F"/>
    <w:rsid w:val="00541812"/>
    <w:rsid w:val="00541B34"/>
    <w:rsid w:val="00541BC3"/>
    <w:rsid w:val="00541F1E"/>
    <w:rsid w:val="00541FC8"/>
    <w:rsid w:val="005421E0"/>
    <w:rsid w:val="00542209"/>
    <w:rsid w:val="00542463"/>
    <w:rsid w:val="005425B3"/>
    <w:rsid w:val="00542693"/>
    <w:rsid w:val="005427C4"/>
    <w:rsid w:val="00542A36"/>
    <w:rsid w:val="00542DE2"/>
    <w:rsid w:val="0054307D"/>
    <w:rsid w:val="0054310B"/>
    <w:rsid w:val="00543350"/>
    <w:rsid w:val="0054338E"/>
    <w:rsid w:val="005434FA"/>
    <w:rsid w:val="005435BC"/>
    <w:rsid w:val="00543703"/>
    <w:rsid w:val="0054371F"/>
    <w:rsid w:val="00543CD3"/>
    <w:rsid w:val="00543CDC"/>
    <w:rsid w:val="00543D26"/>
    <w:rsid w:val="00543FC8"/>
    <w:rsid w:val="00543FF6"/>
    <w:rsid w:val="0054422F"/>
    <w:rsid w:val="0054423D"/>
    <w:rsid w:val="00544463"/>
    <w:rsid w:val="0054459A"/>
    <w:rsid w:val="0054463D"/>
    <w:rsid w:val="00544655"/>
    <w:rsid w:val="00544799"/>
    <w:rsid w:val="0054482D"/>
    <w:rsid w:val="005449F6"/>
    <w:rsid w:val="00544C60"/>
    <w:rsid w:val="00544C64"/>
    <w:rsid w:val="0054535C"/>
    <w:rsid w:val="005453A5"/>
    <w:rsid w:val="0054544A"/>
    <w:rsid w:val="005454B9"/>
    <w:rsid w:val="00545697"/>
    <w:rsid w:val="005456F4"/>
    <w:rsid w:val="00545794"/>
    <w:rsid w:val="005458BC"/>
    <w:rsid w:val="005458D1"/>
    <w:rsid w:val="0054595F"/>
    <w:rsid w:val="00545982"/>
    <w:rsid w:val="00545CC6"/>
    <w:rsid w:val="00546048"/>
    <w:rsid w:val="0054628B"/>
    <w:rsid w:val="005462C2"/>
    <w:rsid w:val="00546395"/>
    <w:rsid w:val="00546460"/>
    <w:rsid w:val="005464BF"/>
    <w:rsid w:val="005464C9"/>
    <w:rsid w:val="00546552"/>
    <w:rsid w:val="005465A7"/>
    <w:rsid w:val="005465E4"/>
    <w:rsid w:val="0054693E"/>
    <w:rsid w:val="00546A7C"/>
    <w:rsid w:val="00546E29"/>
    <w:rsid w:val="0054705D"/>
    <w:rsid w:val="0054715D"/>
    <w:rsid w:val="00547509"/>
    <w:rsid w:val="0054770F"/>
    <w:rsid w:val="005477B6"/>
    <w:rsid w:val="0054799F"/>
    <w:rsid w:val="00547AF0"/>
    <w:rsid w:val="00547C54"/>
    <w:rsid w:val="00547EA8"/>
    <w:rsid w:val="00547EB6"/>
    <w:rsid w:val="00547F57"/>
    <w:rsid w:val="0055013B"/>
    <w:rsid w:val="0055024E"/>
    <w:rsid w:val="0055074C"/>
    <w:rsid w:val="00550809"/>
    <w:rsid w:val="00550C06"/>
    <w:rsid w:val="00550D6F"/>
    <w:rsid w:val="00550E9A"/>
    <w:rsid w:val="00551184"/>
    <w:rsid w:val="0055122B"/>
    <w:rsid w:val="005512F9"/>
    <w:rsid w:val="00551413"/>
    <w:rsid w:val="00551478"/>
    <w:rsid w:val="00551859"/>
    <w:rsid w:val="0055189B"/>
    <w:rsid w:val="00551AEF"/>
    <w:rsid w:val="00551D83"/>
    <w:rsid w:val="00551DAB"/>
    <w:rsid w:val="00551E6A"/>
    <w:rsid w:val="00551F12"/>
    <w:rsid w:val="00552102"/>
    <w:rsid w:val="005526DE"/>
    <w:rsid w:val="00552722"/>
    <w:rsid w:val="00552B47"/>
    <w:rsid w:val="00552DDC"/>
    <w:rsid w:val="00552EB9"/>
    <w:rsid w:val="00552F62"/>
    <w:rsid w:val="00553007"/>
    <w:rsid w:val="0055330E"/>
    <w:rsid w:val="00553493"/>
    <w:rsid w:val="005536C2"/>
    <w:rsid w:val="0055393B"/>
    <w:rsid w:val="005539DD"/>
    <w:rsid w:val="00553A43"/>
    <w:rsid w:val="00553F09"/>
    <w:rsid w:val="00553FA0"/>
    <w:rsid w:val="00554142"/>
    <w:rsid w:val="005544B2"/>
    <w:rsid w:val="00554666"/>
    <w:rsid w:val="005549F8"/>
    <w:rsid w:val="00554DF3"/>
    <w:rsid w:val="00554F59"/>
    <w:rsid w:val="00555007"/>
    <w:rsid w:val="00555342"/>
    <w:rsid w:val="00555480"/>
    <w:rsid w:val="005555E5"/>
    <w:rsid w:val="00555617"/>
    <w:rsid w:val="00555791"/>
    <w:rsid w:val="005557BF"/>
    <w:rsid w:val="0055583C"/>
    <w:rsid w:val="00555BCB"/>
    <w:rsid w:val="00555C24"/>
    <w:rsid w:val="00555D66"/>
    <w:rsid w:val="00555EDE"/>
    <w:rsid w:val="005566C5"/>
    <w:rsid w:val="005566EE"/>
    <w:rsid w:val="0055670B"/>
    <w:rsid w:val="00556D15"/>
    <w:rsid w:val="00556F27"/>
    <w:rsid w:val="005570F6"/>
    <w:rsid w:val="0055713D"/>
    <w:rsid w:val="0055723B"/>
    <w:rsid w:val="0055733E"/>
    <w:rsid w:val="0055746C"/>
    <w:rsid w:val="005578E6"/>
    <w:rsid w:val="00557BE3"/>
    <w:rsid w:val="00557BEF"/>
    <w:rsid w:val="00557CA0"/>
    <w:rsid w:val="00557E07"/>
    <w:rsid w:val="00557EE6"/>
    <w:rsid w:val="00560266"/>
    <w:rsid w:val="0056042F"/>
    <w:rsid w:val="005605CF"/>
    <w:rsid w:val="00560616"/>
    <w:rsid w:val="005609EA"/>
    <w:rsid w:val="00560AA1"/>
    <w:rsid w:val="00560DFE"/>
    <w:rsid w:val="00560E6B"/>
    <w:rsid w:val="00561024"/>
    <w:rsid w:val="0056115A"/>
    <w:rsid w:val="00561166"/>
    <w:rsid w:val="00561393"/>
    <w:rsid w:val="00561472"/>
    <w:rsid w:val="005614F6"/>
    <w:rsid w:val="00561642"/>
    <w:rsid w:val="005616A5"/>
    <w:rsid w:val="00561747"/>
    <w:rsid w:val="005617DF"/>
    <w:rsid w:val="0056194D"/>
    <w:rsid w:val="00561B4B"/>
    <w:rsid w:val="00561E2C"/>
    <w:rsid w:val="00561EE3"/>
    <w:rsid w:val="0056209D"/>
    <w:rsid w:val="0056210E"/>
    <w:rsid w:val="00562151"/>
    <w:rsid w:val="00562443"/>
    <w:rsid w:val="005625D3"/>
    <w:rsid w:val="00562766"/>
    <w:rsid w:val="00562812"/>
    <w:rsid w:val="00562C8B"/>
    <w:rsid w:val="00562E08"/>
    <w:rsid w:val="00562F37"/>
    <w:rsid w:val="00563124"/>
    <w:rsid w:val="00563168"/>
    <w:rsid w:val="005632F7"/>
    <w:rsid w:val="005633F0"/>
    <w:rsid w:val="0056348A"/>
    <w:rsid w:val="005635B6"/>
    <w:rsid w:val="005635C0"/>
    <w:rsid w:val="00563A62"/>
    <w:rsid w:val="00563B10"/>
    <w:rsid w:val="00563C65"/>
    <w:rsid w:val="00563D7B"/>
    <w:rsid w:val="00563DA4"/>
    <w:rsid w:val="00563ED4"/>
    <w:rsid w:val="00563F4C"/>
    <w:rsid w:val="00563F76"/>
    <w:rsid w:val="00563FD7"/>
    <w:rsid w:val="00564076"/>
    <w:rsid w:val="005642C2"/>
    <w:rsid w:val="00564320"/>
    <w:rsid w:val="0056440B"/>
    <w:rsid w:val="00564733"/>
    <w:rsid w:val="005647D3"/>
    <w:rsid w:val="00564998"/>
    <w:rsid w:val="005652DE"/>
    <w:rsid w:val="00565565"/>
    <w:rsid w:val="005655A0"/>
    <w:rsid w:val="00565931"/>
    <w:rsid w:val="00565952"/>
    <w:rsid w:val="00565DFD"/>
    <w:rsid w:val="00566154"/>
    <w:rsid w:val="00566226"/>
    <w:rsid w:val="00566780"/>
    <w:rsid w:val="005668B9"/>
    <w:rsid w:val="00566B19"/>
    <w:rsid w:val="00566B6D"/>
    <w:rsid w:val="00566C88"/>
    <w:rsid w:val="00566E27"/>
    <w:rsid w:val="005672AE"/>
    <w:rsid w:val="00567642"/>
    <w:rsid w:val="0056764D"/>
    <w:rsid w:val="00567CC3"/>
    <w:rsid w:val="00567CD7"/>
    <w:rsid w:val="00567D51"/>
    <w:rsid w:val="00567DFC"/>
    <w:rsid w:val="00567ECF"/>
    <w:rsid w:val="00570289"/>
    <w:rsid w:val="005703E8"/>
    <w:rsid w:val="00570458"/>
    <w:rsid w:val="005706BD"/>
    <w:rsid w:val="005709D5"/>
    <w:rsid w:val="00570A57"/>
    <w:rsid w:val="00570CDE"/>
    <w:rsid w:val="00570F6E"/>
    <w:rsid w:val="0057149E"/>
    <w:rsid w:val="005714CC"/>
    <w:rsid w:val="00571500"/>
    <w:rsid w:val="00571700"/>
    <w:rsid w:val="00571785"/>
    <w:rsid w:val="00571DA8"/>
    <w:rsid w:val="00572096"/>
    <w:rsid w:val="005720AA"/>
    <w:rsid w:val="005720BE"/>
    <w:rsid w:val="005723A7"/>
    <w:rsid w:val="00572690"/>
    <w:rsid w:val="005726D1"/>
    <w:rsid w:val="0057291C"/>
    <w:rsid w:val="005729FE"/>
    <w:rsid w:val="00572CD7"/>
    <w:rsid w:val="00572DF5"/>
    <w:rsid w:val="00573092"/>
    <w:rsid w:val="00573148"/>
    <w:rsid w:val="005731EF"/>
    <w:rsid w:val="0057322E"/>
    <w:rsid w:val="0057367D"/>
    <w:rsid w:val="00573953"/>
    <w:rsid w:val="00573A2F"/>
    <w:rsid w:val="00573C77"/>
    <w:rsid w:val="00573E62"/>
    <w:rsid w:val="00574305"/>
    <w:rsid w:val="005744D4"/>
    <w:rsid w:val="00574608"/>
    <w:rsid w:val="00574617"/>
    <w:rsid w:val="00574719"/>
    <w:rsid w:val="005747C8"/>
    <w:rsid w:val="00574834"/>
    <w:rsid w:val="00574852"/>
    <w:rsid w:val="00574857"/>
    <w:rsid w:val="005748DE"/>
    <w:rsid w:val="0057493A"/>
    <w:rsid w:val="00574B0C"/>
    <w:rsid w:val="00574B4C"/>
    <w:rsid w:val="0057501D"/>
    <w:rsid w:val="0057521C"/>
    <w:rsid w:val="0057526B"/>
    <w:rsid w:val="00575368"/>
    <w:rsid w:val="0057552A"/>
    <w:rsid w:val="005757BB"/>
    <w:rsid w:val="005757DF"/>
    <w:rsid w:val="00575983"/>
    <w:rsid w:val="005759AB"/>
    <w:rsid w:val="00575AA1"/>
    <w:rsid w:val="00575BFA"/>
    <w:rsid w:val="00575C50"/>
    <w:rsid w:val="00575C69"/>
    <w:rsid w:val="00575CEC"/>
    <w:rsid w:val="00575D44"/>
    <w:rsid w:val="00575E46"/>
    <w:rsid w:val="00575F15"/>
    <w:rsid w:val="0057604C"/>
    <w:rsid w:val="0057625D"/>
    <w:rsid w:val="005762AC"/>
    <w:rsid w:val="00576475"/>
    <w:rsid w:val="00576562"/>
    <w:rsid w:val="005766F7"/>
    <w:rsid w:val="00576711"/>
    <w:rsid w:val="00576A4C"/>
    <w:rsid w:val="00576D6B"/>
    <w:rsid w:val="00576E5D"/>
    <w:rsid w:val="00576EDE"/>
    <w:rsid w:val="00576EF3"/>
    <w:rsid w:val="0057702F"/>
    <w:rsid w:val="00577043"/>
    <w:rsid w:val="00577156"/>
    <w:rsid w:val="00577322"/>
    <w:rsid w:val="00577891"/>
    <w:rsid w:val="00577A15"/>
    <w:rsid w:val="00577A77"/>
    <w:rsid w:val="00577AC6"/>
    <w:rsid w:val="00577C5B"/>
    <w:rsid w:val="00577EF0"/>
    <w:rsid w:val="00580126"/>
    <w:rsid w:val="005803C4"/>
    <w:rsid w:val="005805B8"/>
    <w:rsid w:val="005807E1"/>
    <w:rsid w:val="00580898"/>
    <w:rsid w:val="00580A1D"/>
    <w:rsid w:val="00580A56"/>
    <w:rsid w:val="00580AE8"/>
    <w:rsid w:val="00580C2B"/>
    <w:rsid w:val="00580C8A"/>
    <w:rsid w:val="00580FCB"/>
    <w:rsid w:val="00581003"/>
    <w:rsid w:val="00581066"/>
    <w:rsid w:val="005810B5"/>
    <w:rsid w:val="0058133E"/>
    <w:rsid w:val="005814C0"/>
    <w:rsid w:val="00581626"/>
    <w:rsid w:val="005817E8"/>
    <w:rsid w:val="00581834"/>
    <w:rsid w:val="00581AC2"/>
    <w:rsid w:val="00581EF1"/>
    <w:rsid w:val="00582393"/>
    <w:rsid w:val="00582B4D"/>
    <w:rsid w:val="00582CEB"/>
    <w:rsid w:val="00583353"/>
    <w:rsid w:val="005833B9"/>
    <w:rsid w:val="0058353A"/>
    <w:rsid w:val="005836CC"/>
    <w:rsid w:val="005836F5"/>
    <w:rsid w:val="00583726"/>
    <w:rsid w:val="00583960"/>
    <w:rsid w:val="00583B49"/>
    <w:rsid w:val="00583C0B"/>
    <w:rsid w:val="00583D0C"/>
    <w:rsid w:val="00583D0E"/>
    <w:rsid w:val="00584030"/>
    <w:rsid w:val="00584457"/>
    <w:rsid w:val="00584468"/>
    <w:rsid w:val="005845CC"/>
    <w:rsid w:val="0058490D"/>
    <w:rsid w:val="00584B21"/>
    <w:rsid w:val="00584B5D"/>
    <w:rsid w:val="00584CA2"/>
    <w:rsid w:val="00584D52"/>
    <w:rsid w:val="00584FDE"/>
    <w:rsid w:val="005851A8"/>
    <w:rsid w:val="00585587"/>
    <w:rsid w:val="00585589"/>
    <w:rsid w:val="005855C8"/>
    <w:rsid w:val="005856B9"/>
    <w:rsid w:val="005859A7"/>
    <w:rsid w:val="00585C1B"/>
    <w:rsid w:val="00585D6E"/>
    <w:rsid w:val="00585E73"/>
    <w:rsid w:val="00585F4F"/>
    <w:rsid w:val="0058607B"/>
    <w:rsid w:val="00586138"/>
    <w:rsid w:val="00586336"/>
    <w:rsid w:val="00586822"/>
    <w:rsid w:val="00586909"/>
    <w:rsid w:val="00586BD1"/>
    <w:rsid w:val="00586BE3"/>
    <w:rsid w:val="00586C5A"/>
    <w:rsid w:val="00586F39"/>
    <w:rsid w:val="00586FB6"/>
    <w:rsid w:val="00587238"/>
    <w:rsid w:val="005872F1"/>
    <w:rsid w:val="00587502"/>
    <w:rsid w:val="0058756D"/>
    <w:rsid w:val="00587946"/>
    <w:rsid w:val="00587AB5"/>
    <w:rsid w:val="00587F0E"/>
    <w:rsid w:val="0059006D"/>
    <w:rsid w:val="00590172"/>
    <w:rsid w:val="0059031C"/>
    <w:rsid w:val="005906C1"/>
    <w:rsid w:val="00590758"/>
    <w:rsid w:val="005907A5"/>
    <w:rsid w:val="00590826"/>
    <w:rsid w:val="0059087B"/>
    <w:rsid w:val="005908C1"/>
    <w:rsid w:val="005908FA"/>
    <w:rsid w:val="005909C8"/>
    <w:rsid w:val="00590C0E"/>
    <w:rsid w:val="00590C34"/>
    <w:rsid w:val="0059120F"/>
    <w:rsid w:val="00591574"/>
    <w:rsid w:val="005915C1"/>
    <w:rsid w:val="0059172D"/>
    <w:rsid w:val="0059192C"/>
    <w:rsid w:val="00591936"/>
    <w:rsid w:val="00591A9F"/>
    <w:rsid w:val="00591BFC"/>
    <w:rsid w:val="00591D6C"/>
    <w:rsid w:val="00591D92"/>
    <w:rsid w:val="00591FC1"/>
    <w:rsid w:val="00592409"/>
    <w:rsid w:val="005926E2"/>
    <w:rsid w:val="00592756"/>
    <w:rsid w:val="0059295E"/>
    <w:rsid w:val="00592B84"/>
    <w:rsid w:val="00592B9F"/>
    <w:rsid w:val="00592BE6"/>
    <w:rsid w:val="00592DDE"/>
    <w:rsid w:val="00592E96"/>
    <w:rsid w:val="00592F28"/>
    <w:rsid w:val="00592F31"/>
    <w:rsid w:val="00592F62"/>
    <w:rsid w:val="00593186"/>
    <w:rsid w:val="005933F4"/>
    <w:rsid w:val="00593576"/>
    <w:rsid w:val="00593578"/>
    <w:rsid w:val="00593D1F"/>
    <w:rsid w:val="00593D6D"/>
    <w:rsid w:val="00593E7E"/>
    <w:rsid w:val="005941E9"/>
    <w:rsid w:val="005941FB"/>
    <w:rsid w:val="005944A9"/>
    <w:rsid w:val="005946F0"/>
    <w:rsid w:val="0059475B"/>
    <w:rsid w:val="00594969"/>
    <w:rsid w:val="00594992"/>
    <w:rsid w:val="00594D3C"/>
    <w:rsid w:val="00594DAC"/>
    <w:rsid w:val="00594FEC"/>
    <w:rsid w:val="00595075"/>
    <w:rsid w:val="005950FB"/>
    <w:rsid w:val="0059517C"/>
    <w:rsid w:val="00595194"/>
    <w:rsid w:val="00595539"/>
    <w:rsid w:val="0059574F"/>
    <w:rsid w:val="005958E4"/>
    <w:rsid w:val="0059596A"/>
    <w:rsid w:val="00595ACE"/>
    <w:rsid w:val="00595F0D"/>
    <w:rsid w:val="005960DD"/>
    <w:rsid w:val="00596234"/>
    <w:rsid w:val="005963EB"/>
    <w:rsid w:val="005966A0"/>
    <w:rsid w:val="00596955"/>
    <w:rsid w:val="005969EE"/>
    <w:rsid w:val="00596A80"/>
    <w:rsid w:val="00596C30"/>
    <w:rsid w:val="00596D77"/>
    <w:rsid w:val="0059703C"/>
    <w:rsid w:val="005970D4"/>
    <w:rsid w:val="0059712F"/>
    <w:rsid w:val="00597270"/>
    <w:rsid w:val="00597523"/>
    <w:rsid w:val="0059779C"/>
    <w:rsid w:val="005978F8"/>
    <w:rsid w:val="00597C5B"/>
    <w:rsid w:val="00597C82"/>
    <w:rsid w:val="00597D5A"/>
    <w:rsid w:val="00597EFE"/>
    <w:rsid w:val="00597F21"/>
    <w:rsid w:val="00597FFA"/>
    <w:rsid w:val="005A009C"/>
    <w:rsid w:val="005A011A"/>
    <w:rsid w:val="005A0133"/>
    <w:rsid w:val="005A033B"/>
    <w:rsid w:val="005A0377"/>
    <w:rsid w:val="005A04CB"/>
    <w:rsid w:val="005A0632"/>
    <w:rsid w:val="005A07D7"/>
    <w:rsid w:val="005A084C"/>
    <w:rsid w:val="005A099A"/>
    <w:rsid w:val="005A0B52"/>
    <w:rsid w:val="005A0CDF"/>
    <w:rsid w:val="005A0D9E"/>
    <w:rsid w:val="005A0E08"/>
    <w:rsid w:val="005A0E38"/>
    <w:rsid w:val="005A1101"/>
    <w:rsid w:val="005A1165"/>
    <w:rsid w:val="005A11EE"/>
    <w:rsid w:val="005A13A4"/>
    <w:rsid w:val="005A13DF"/>
    <w:rsid w:val="005A18D4"/>
    <w:rsid w:val="005A1939"/>
    <w:rsid w:val="005A1AFC"/>
    <w:rsid w:val="005A1DA9"/>
    <w:rsid w:val="005A1DE6"/>
    <w:rsid w:val="005A1E83"/>
    <w:rsid w:val="005A1E87"/>
    <w:rsid w:val="005A1F6F"/>
    <w:rsid w:val="005A1FA8"/>
    <w:rsid w:val="005A2159"/>
    <w:rsid w:val="005A2225"/>
    <w:rsid w:val="005A2235"/>
    <w:rsid w:val="005A224A"/>
    <w:rsid w:val="005A2568"/>
    <w:rsid w:val="005A25CC"/>
    <w:rsid w:val="005A2742"/>
    <w:rsid w:val="005A28E2"/>
    <w:rsid w:val="005A296A"/>
    <w:rsid w:val="005A2BB5"/>
    <w:rsid w:val="005A2E43"/>
    <w:rsid w:val="005A2F4F"/>
    <w:rsid w:val="005A30A4"/>
    <w:rsid w:val="005A3193"/>
    <w:rsid w:val="005A3299"/>
    <w:rsid w:val="005A33D5"/>
    <w:rsid w:val="005A3504"/>
    <w:rsid w:val="005A35E4"/>
    <w:rsid w:val="005A3776"/>
    <w:rsid w:val="005A3995"/>
    <w:rsid w:val="005A3A0D"/>
    <w:rsid w:val="005A3A93"/>
    <w:rsid w:val="005A3B87"/>
    <w:rsid w:val="005A3CC8"/>
    <w:rsid w:val="005A3D0A"/>
    <w:rsid w:val="005A401D"/>
    <w:rsid w:val="005A41CE"/>
    <w:rsid w:val="005A42AA"/>
    <w:rsid w:val="005A437F"/>
    <w:rsid w:val="005A468F"/>
    <w:rsid w:val="005A4852"/>
    <w:rsid w:val="005A49FF"/>
    <w:rsid w:val="005A4A32"/>
    <w:rsid w:val="005A4A69"/>
    <w:rsid w:val="005A4BE3"/>
    <w:rsid w:val="005A4D4D"/>
    <w:rsid w:val="005A4DCF"/>
    <w:rsid w:val="005A4F51"/>
    <w:rsid w:val="005A5102"/>
    <w:rsid w:val="005A512A"/>
    <w:rsid w:val="005A5239"/>
    <w:rsid w:val="005A52C6"/>
    <w:rsid w:val="005A535A"/>
    <w:rsid w:val="005A5362"/>
    <w:rsid w:val="005A53A9"/>
    <w:rsid w:val="005A53F1"/>
    <w:rsid w:val="005A55AA"/>
    <w:rsid w:val="005A55E0"/>
    <w:rsid w:val="005A57CE"/>
    <w:rsid w:val="005A5A76"/>
    <w:rsid w:val="005A5A78"/>
    <w:rsid w:val="005A5D15"/>
    <w:rsid w:val="005A5DEB"/>
    <w:rsid w:val="005A5DF0"/>
    <w:rsid w:val="005A5E07"/>
    <w:rsid w:val="005A5F03"/>
    <w:rsid w:val="005A5F16"/>
    <w:rsid w:val="005A614A"/>
    <w:rsid w:val="005A62D1"/>
    <w:rsid w:val="005A62DB"/>
    <w:rsid w:val="005A67BF"/>
    <w:rsid w:val="005A6AF2"/>
    <w:rsid w:val="005A6F45"/>
    <w:rsid w:val="005A71E4"/>
    <w:rsid w:val="005A7403"/>
    <w:rsid w:val="005A7637"/>
    <w:rsid w:val="005A7840"/>
    <w:rsid w:val="005A791C"/>
    <w:rsid w:val="005A79A2"/>
    <w:rsid w:val="005A7B6E"/>
    <w:rsid w:val="005A7D45"/>
    <w:rsid w:val="005A7F6E"/>
    <w:rsid w:val="005A7FE2"/>
    <w:rsid w:val="005B0352"/>
    <w:rsid w:val="005B04DC"/>
    <w:rsid w:val="005B0875"/>
    <w:rsid w:val="005B0976"/>
    <w:rsid w:val="005B09A6"/>
    <w:rsid w:val="005B0ACB"/>
    <w:rsid w:val="005B12E1"/>
    <w:rsid w:val="005B135C"/>
    <w:rsid w:val="005B1561"/>
    <w:rsid w:val="005B15AE"/>
    <w:rsid w:val="005B1695"/>
    <w:rsid w:val="005B1778"/>
    <w:rsid w:val="005B17CE"/>
    <w:rsid w:val="005B182C"/>
    <w:rsid w:val="005B18A0"/>
    <w:rsid w:val="005B20FC"/>
    <w:rsid w:val="005B2242"/>
    <w:rsid w:val="005B22C5"/>
    <w:rsid w:val="005B23A7"/>
    <w:rsid w:val="005B24EA"/>
    <w:rsid w:val="005B26F6"/>
    <w:rsid w:val="005B2875"/>
    <w:rsid w:val="005B2B1D"/>
    <w:rsid w:val="005B2C5C"/>
    <w:rsid w:val="005B2E49"/>
    <w:rsid w:val="005B30FF"/>
    <w:rsid w:val="005B314B"/>
    <w:rsid w:val="005B32CD"/>
    <w:rsid w:val="005B33C6"/>
    <w:rsid w:val="005B361D"/>
    <w:rsid w:val="005B36A6"/>
    <w:rsid w:val="005B36DC"/>
    <w:rsid w:val="005B3861"/>
    <w:rsid w:val="005B38C1"/>
    <w:rsid w:val="005B39E1"/>
    <w:rsid w:val="005B3A88"/>
    <w:rsid w:val="005B40CB"/>
    <w:rsid w:val="005B41CA"/>
    <w:rsid w:val="005B42F6"/>
    <w:rsid w:val="005B4464"/>
    <w:rsid w:val="005B46D6"/>
    <w:rsid w:val="005B46FA"/>
    <w:rsid w:val="005B473C"/>
    <w:rsid w:val="005B4800"/>
    <w:rsid w:val="005B4CB0"/>
    <w:rsid w:val="005B4CC5"/>
    <w:rsid w:val="005B4D8C"/>
    <w:rsid w:val="005B4DAD"/>
    <w:rsid w:val="005B4E3D"/>
    <w:rsid w:val="005B50BF"/>
    <w:rsid w:val="005B511C"/>
    <w:rsid w:val="005B52D8"/>
    <w:rsid w:val="005B5317"/>
    <w:rsid w:val="005B5361"/>
    <w:rsid w:val="005B53E8"/>
    <w:rsid w:val="005B54AA"/>
    <w:rsid w:val="005B5597"/>
    <w:rsid w:val="005B5644"/>
    <w:rsid w:val="005B572A"/>
    <w:rsid w:val="005B5A35"/>
    <w:rsid w:val="005B5C75"/>
    <w:rsid w:val="005B5FCE"/>
    <w:rsid w:val="005B6031"/>
    <w:rsid w:val="005B6465"/>
    <w:rsid w:val="005B649D"/>
    <w:rsid w:val="005B6666"/>
    <w:rsid w:val="005B6816"/>
    <w:rsid w:val="005B68B0"/>
    <w:rsid w:val="005B68E0"/>
    <w:rsid w:val="005B695E"/>
    <w:rsid w:val="005B6995"/>
    <w:rsid w:val="005B6DA0"/>
    <w:rsid w:val="005B6E83"/>
    <w:rsid w:val="005B7083"/>
    <w:rsid w:val="005B75E3"/>
    <w:rsid w:val="005B76C7"/>
    <w:rsid w:val="005B7AD9"/>
    <w:rsid w:val="005B7D6E"/>
    <w:rsid w:val="005B7FE8"/>
    <w:rsid w:val="005C02A7"/>
    <w:rsid w:val="005C03EE"/>
    <w:rsid w:val="005C0409"/>
    <w:rsid w:val="005C0425"/>
    <w:rsid w:val="005C05DF"/>
    <w:rsid w:val="005C0635"/>
    <w:rsid w:val="005C07ED"/>
    <w:rsid w:val="005C0838"/>
    <w:rsid w:val="005C09DF"/>
    <w:rsid w:val="005C0D51"/>
    <w:rsid w:val="005C0DE4"/>
    <w:rsid w:val="005C0E79"/>
    <w:rsid w:val="005C1069"/>
    <w:rsid w:val="005C114D"/>
    <w:rsid w:val="005C134B"/>
    <w:rsid w:val="005C1490"/>
    <w:rsid w:val="005C14EA"/>
    <w:rsid w:val="005C15A9"/>
    <w:rsid w:val="005C1794"/>
    <w:rsid w:val="005C17B6"/>
    <w:rsid w:val="005C1B5E"/>
    <w:rsid w:val="005C1EEC"/>
    <w:rsid w:val="005C23A9"/>
    <w:rsid w:val="005C23D2"/>
    <w:rsid w:val="005C24D1"/>
    <w:rsid w:val="005C259E"/>
    <w:rsid w:val="005C25CD"/>
    <w:rsid w:val="005C2870"/>
    <w:rsid w:val="005C28E8"/>
    <w:rsid w:val="005C2D5F"/>
    <w:rsid w:val="005C2D7C"/>
    <w:rsid w:val="005C30F6"/>
    <w:rsid w:val="005C3649"/>
    <w:rsid w:val="005C3747"/>
    <w:rsid w:val="005C3AA0"/>
    <w:rsid w:val="005C3AB4"/>
    <w:rsid w:val="005C3B39"/>
    <w:rsid w:val="005C3E03"/>
    <w:rsid w:val="005C3E55"/>
    <w:rsid w:val="005C4028"/>
    <w:rsid w:val="005C4052"/>
    <w:rsid w:val="005C4156"/>
    <w:rsid w:val="005C4281"/>
    <w:rsid w:val="005C4648"/>
    <w:rsid w:val="005C484D"/>
    <w:rsid w:val="005C4852"/>
    <w:rsid w:val="005C4CDE"/>
    <w:rsid w:val="005C4D1F"/>
    <w:rsid w:val="005C4D64"/>
    <w:rsid w:val="005C4E2D"/>
    <w:rsid w:val="005C4F4F"/>
    <w:rsid w:val="005C504E"/>
    <w:rsid w:val="005C517A"/>
    <w:rsid w:val="005C5192"/>
    <w:rsid w:val="005C51B2"/>
    <w:rsid w:val="005C521F"/>
    <w:rsid w:val="005C54E0"/>
    <w:rsid w:val="005C5521"/>
    <w:rsid w:val="005C5718"/>
    <w:rsid w:val="005C59E3"/>
    <w:rsid w:val="005C5A1A"/>
    <w:rsid w:val="005C5D5A"/>
    <w:rsid w:val="005C5E06"/>
    <w:rsid w:val="005C617C"/>
    <w:rsid w:val="005C61F0"/>
    <w:rsid w:val="005C6381"/>
    <w:rsid w:val="005C64A1"/>
    <w:rsid w:val="005C65AC"/>
    <w:rsid w:val="005C68BF"/>
    <w:rsid w:val="005C6D10"/>
    <w:rsid w:val="005C6D51"/>
    <w:rsid w:val="005C6DA0"/>
    <w:rsid w:val="005C6DE3"/>
    <w:rsid w:val="005C6E4A"/>
    <w:rsid w:val="005C6EB0"/>
    <w:rsid w:val="005C7158"/>
    <w:rsid w:val="005C7B2B"/>
    <w:rsid w:val="005C7FF9"/>
    <w:rsid w:val="005D03A5"/>
    <w:rsid w:val="005D083A"/>
    <w:rsid w:val="005D085B"/>
    <w:rsid w:val="005D08B0"/>
    <w:rsid w:val="005D08DD"/>
    <w:rsid w:val="005D0A83"/>
    <w:rsid w:val="005D0D2D"/>
    <w:rsid w:val="005D0DCB"/>
    <w:rsid w:val="005D119F"/>
    <w:rsid w:val="005D1483"/>
    <w:rsid w:val="005D175C"/>
    <w:rsid w:val="005D17C7"/>
    <w:rsid w:val="005D1818"/>
    <w:rsid w:val="005D1A74"/>
    <w:rsid w:val="005D1E00"/>
    <w:rsid w:val="005D1F58"/>
    <w:rsid w:val="005D1F97"/>
    <w:rsid w:val="005D1FE8"/>
    <w:rsid w:val="005D231A"/>
    <w:rsid w:val="005D231D"/>
    <w:rsid w:val="005D2443"/>
    <w:rsid w:val="005D2544"/>
    <w:rsid w:val="005D2897"/>
    <w:rsid w:val="005D29DE"/>
    <w:rsid w:val="005D2AF2"/>
    <w:rsid w:val="005D2DC5"/>
    <w:rsid w:val="005D2E20"/>
    <w:rsid w:val="005D2F36"/>
    <w:rsid w:val="005D301F"/>
    <w:rsid w:val="005D302D"/>
    <w:rsid w:val="005D3056"/>
    <w:rsid w:val="005D30CC"/>
    <w:rsid w:val="005D38B2"/>
    <w:rsid w:val="005D38BD"/>
    <w:rsid w:val="005D3AE9"/>
    <w:rsid w:val="005D3B85"/>
    <w:rsid w:val="005D3BDC"/>
    <w:rsid w:val="005D3C1B"/>
    <w:rsid w:val="005D3F7B"/>
    <w:rsid w:val="005D42B5"/>
    <w:rsid w:val="005D45C5"/>
    <w:rsid w:val="005D473D"/>
    <w:rsid w:val="005D48B6"/>
    <w:rsid w:val="005D48D2"/>
    <w:rsid w:val="005D49C1"/>
    <w:rsid w:val="005D4B28"/>
    <w:rsid w:val="005D5064"/>
    <w:rsid w:val="005D50D1"/>
    <w:rsid w:val="005D5101"/>
    <w:rsid w:val="005D5196"/>
    <w:rsid w:val="005D5259"/>
    <w:rsid w:val="005D5426"/>
    <w:rsid w:val="005D5661"/>
    <w:rsid w:val="005D57F8"/>
    <w:rsid w:val="005D5BCC"/>
    <w:rsid w:val="005D5C03"/>
    <w:rsid w:val="005D5C9E"/>
    <w:rsid w:val="005D5D20"/>
    <w:rsid w:val="005D5DA0"/>
    <w:rsid w:val="005D5E02"/>
    <w:rsid w:val="005D5F7D"/>
    <w:rsid w:val="005D5F80"/>
    <w:rsid w:val="005D603E"/>
    <w:rsid w:val="005D60CE"/>
    <w:rsid w:val="005D6310"/>
    <w:rsid w:val="005D6316"/>
    <w:rsid w:val="005D63D2"/>
    <w:rsid w:val="005D64BF"/>
    <w:rsid w:val="005D6530"/>
    <w:rsid w:val="005D6AE3"/>
    <w:rsid w:val="005D6BED"/>
    <w:rsid w:val="005D6C4B"/>
    <w:rsid w:val="005D6E7A"/>
    <w:rsid w:val="005D70AF"/>
    <w:rsid w:val="005D72C5"/>
    <w:rsid w:val="005D75E1"/>
    <w:rsid w:val="005D760C"/>
    <w:rsid w:val="005D7810"/>
    <w:rsid w:val="005D7820"/>
    <w:rsid w:val="005D78A0"/>
    <w:rsid w:val="005D7956"/>
    <w:rsid w:val="005D7D57"/>
    <w:rsid w:val="005D7E36"/>
    <w:rsid w:val="005D7E51"/>
    <w:rsid w:val="005E0064"/>
    <w:rsid w:val="005E058C"/>
    <w:rsid w:val="005E0787"/>
    <w:rsid w:val="005E079F"/>
    <w:rsid w:val="005E082B"/>
    <w:rsid w:val="005E0ABE"/>
    <w:rsid w:val="005E0C23"/>
    <w:rsid w:val="005E0F0A"/>
    <w:rsid w:val="005E0F48"/>
    <w:rsid w:val="005E10E2"/>
    <w:rsid w:val="005E120E"/>
    <w:rsid w:val="005E12B0"/>
    <w:rsid w:val="005E12DA"/>
    <w:rsid w:val="005E175F"/>
    <w:rsid w:val="005E1B3D"/>
    <w:rsid w:val="005E1C31"/>
    <w:rsid w:val="005E1EE7"/>
    <w:rsid w:val="005E1F55"/>
    <w:rsid w:val="005E2446"/>
    <w:rsid w:val="005E25CC"/>
    <w:rsid w:val="005E2704"/>
    <w:rsid w:val="005E2807"/>
    <w:rsid w:val="005E2AA2"/>
    <w:rsid w:val="005E2AE3"/>
    <w:rsid w:val="005E2D64"/>
    <w:rsid w:val="005E313B"/>
    <w:rsid w:val="005E33B5"/>
    <w:rsid w:val="005E3590"/>
    <w:rsid w:val="005E3760"/>
    <w:rsid w:val="005E3A80"/>
    <w:rsid w:val="005E3C44"/>
    <w:rsid w:val="005E3D31"/>
    <w:rsid w:val="005E4166"/>
    <w:rsid w:val="005E42A1"/>
    <w:rsid w:val="005E42B8"/>
    <w:rsid w:val="005E42F4"/>
    <w:rsid w:val="005E43DD"/>
    <w:rsid w:val="005E45AC"/>
    <w:rsid w:val="005E45F2"/>
    <w:rsid w:val="005E4837"/>
    <w:rsid w:val="005E497E"/>
    <w:rsid w:val="005E4C16"/>
    <w:rsid w:val="005E4CD5"/>
    <w:rsid w:val="005E4D29"/>
    <w:rsid w:val="005E50BE"/>
    <w:rsid w:val="005E52D3"/>
    <w:rsid w:val="005E548D"/>
    <w:rsid w:val="005E549F"/>
    <w:rsid w:val="005E56B2"/>
    <w:rsid w:val="005E58CC"/>
    <w:rsid w:val="005E5C29"/>
    <w:rsid w:val="005E6416"/>
    <w:rsid w:val="005E64B4"/>
    <w:rsid w:val="005E66A1"/>
    <w:rsid w:val="005E6732"/>
    <w:rsid w:val="005E675C"/>
    <w:rsid w:val="005E683F"/>
    <w:rsid w:val="005E68E0"/>
    <w:rsid w:val="005E6BB1"/>
    <w:rsid w:val="005E6BF6"/>
    <w:rsid w:val="005E6D78"/>
    <w:rsid w:val="005E6E9E"/>
    <w:rsid w:val="005E6FD9"/>
    <w:rsid w:val="005E70D1"/>
    <w:rsid w:val="005E7295"/>
    <w:rsid w:val="005E737A"/>
    <w:rsid w:val="005E73F6"/>
    <w:rsid w:val="005E7401"/>
    <w:rsid w:val="005E7603"/>
    <w:rsid w:val="005E7628"/>
    <w:rsid w:val="005E789C"/>
    <w:rsid w:val="005E79E4"/>
    <w:rsid w:val="005E7B1E"/>
    <w:rsid w:val="005E7D21"/>
    <w:rsid w:val="005E7FBA"/>
    <w:rsid w:val="005F03F5"/>
    <w:rsid w:val="005F04E1"/>
    <w:rsid w:val="005F0CAE"/>
    <w:rsid w:val="005F0DAF"/>
    <w:rsid w:val="005F0DFC"/>
    <w:rsid w:val="005F0F0A"/>
    <w:rsid w:val="005F1011"/>
    <w:rsid w:val="005F1265"/>
    <w:rsid w:val="005F163D"/>
    <w:rsid w:val="005F1811"/>
    <w:rsid w:val="005F1963"/>
    <w:rsid w:val="005F2019"/>
    <w:rsid w:val="005F207C"/>
    <w:rsid w:val="005F2098"/>
    <w:rsid w:val="005F20F8"/>
    <w:rsid w:val="005F21E6"/>
    <w:rsid w:val="005F21EB"/>
    <w:rsid w:val="005F22E6"/>
    <w:rsid w:val="005F23D6"/>
    <w:rsid w:val="005F264A"/>
    <w:rsid w:val="005F2C2A"/>
    <w:rsid w:val="005F2C8C"/>
    <w:rsid w:val="005F3457"/>
    <w:rsid w:val="005F3871"/>
    <w:rsid w:val="005F39E0"/>
    <w:rsid w:val="005F3B99"/>
    <w:rsid w:val="005F3BB8"/>
    <w:rsid w:val="005F3CB0"/>
    <w:rsid w:val="005F3E3D"/>
    <w:rsid w:val="005F40E3"/>
    <w:rsid w:val="005F421B"/>
    <w:rsid w:val="005F447A"/>
    <w:rsid w:val="005F44CA"/>
    <w:rsid w:val="005F460B"/>
    <w:rsid w:val="005F4724"/>
    <w:rsid w:val="005F4726"/>
    <w:rsid w:val="005F4AD0"/>
    <w:rsid w:val="005F4D4A"/>
    <w:rsid w:val="005F4E45"/>
    <w:rsid w:val="005F5008"/>
    <w:rsid w:val="005F507A"/>
    <w:rsid w:val="005F511A"/>
    <w:rsid w:val="005F5163"/>
    <w:rsid w:val="005F5337"/>
    <w:rsid w:val="005F5422"/>
    <w:rsid w:val="005F54AB"/>
    <w:rsid w:val="005F55F0"/>
    <w:rsid w:val="005F5611"/>
    <w:rsid w:val="005F563E"/>
    <w:rsid w:val="005F56CA"/>
    <w:rsid w:val="005F5792"/>
    <w:rsid w:val="005F5873"/>
    <w:rsid w:val="005F5AA9"/>
    <w:rsid w:val="005F5B45"/>
    <w:rsid w:val="005F5CF7"/>
    <w:rsid w:val="005F600B"/>
    <w:rsid w:val="005F60D5"/>
    <w:rsid w:val="005F62D3"/>
    <w:rsid w:val="005F633F"/>
    <w:rsid w:val="005F63B7"/>
    <w:rsid w:val="005F65D3"/>
    <w:rsid w:val="005F689E"/>
    <w:rsid w:val="005F68E0"/>
    <w:rsid w:val="005F6933"/>
    <w:rsid w:val="005F6C5E"/>
    <w:rsid w:val="005F6D57"/>
    <w:rsid w:val="005F6E59"/>
    <w:rsid w:val="005F7924"/>
    <w:rsid w:val="005F7969"/>
    <w:rsid w:val="005F797C"/>
    <w:rsid w:val="005F7A74"/>
    <w:rsid w:val="005F7ABB"/>
    <w:rsid w:val="005F7C83"/>
    <w:rsid w:val="005F7DBB"/>
    <w:rsid w:val="005F7E99"/>
    <w:rsid w:val="005F7ED0"/>
    <w:rsid w:val="005F7F31"/>
    <w:rsid w:val="006002D1"/>
    <w:rsid w:val="0060047E"/>
    <w:rsid w:val="00600D3F"/>
    <w:rsid w:val="00600E9F"/>
    <w:rsid w:val="006010E5"/>
    <w:rsid w:val="00601304"/>
    <w:rsid w:val="0060154E"/>
    <w:rsid w:val="00601870"/>
    <w:rsid w:val="00601952"/>
    <w:rsid w:val="00601B65"/>
    <w:rsid w:val="00601D24"/>
    <w:rsid w:val="00602517"/>
    <w:rsid w:val="00602742"/>
    <w:rsid w:val="006027F1"/>
    <w:rsid w:val="0060281E"/>
    <w:rsid w:val="0060281F"/>
    <w:rsid w:val="00602824"/>
    <w:rsid w:val="00602970"/>
    <w:rsid w:val="00602AA3"/>
    <w:rsid w:val="00602FAF"/>
    <w:rsid w:val="0060303B"/>
    <w:rsid w:val="00603044"/>
    <w:rsid w:val="006030D4"/>
    <w:rsid w:val="006031D0"/>
    <w:rsid w:val="006032E1"/>
    <w:rsid w:val="006037C7"/>
    <w:rsid w:val="006037E3"/>
    <w:rsid w:val="006038A3"/>
    <w:rsid w:val="00603A04"/>
    <w:rsid w:val="00603BC5"/>
    <w:rsid w:val="00603BE3"/>
    <w:rsid w:val="00603C81"/>
    <w:rsid w:val="00603E6D"/>
    <w:rsid w:val="00603EF5"/>
    <w:rsid w:val="00604046"/>
    <w:rsid w:val="00604137"/>
    <w:rsid w:val="006041A5"/>
    <w:rsid w:val="00604399"/>
    <w:rsid w:val="00604485"/>
    <w:rsid w:val="00604544"/>
    <w:rsid w:val="0060454B"/>
    <w:rsid w:val="0060457F"/>
    <w:rsid w:val="00604686"/>
    <w:rsid w:val="0060468E"/>
    <w:rsid w:val="006048BF"/>
    <w:rsid w:val="006049FE"/>
    <w:rsid w:val="00604D49"/>
    <w:rsid w:val="006052D2"/>
    <w:rsid w:val="006052FB"/>
    <w:rsid w:val="00605440"/>
    <w:rsid w:val="00605491"/>
    <w:rsid w:val="00605516"/>
    <w:rsid w:val="006055E7"/>
    <w:rsid w:val="00605729"/>
    <w:rsid w:val="00605C5D"/>
    <w:rsid w:val="00606410"/>
    <w:rsid w:val="00606AF8"/>
    <w:rsid w:val="00606C05"/>
    <w:rsid w:val="00606CA5"/>
    <w:rsid w:val="00606D39"/>
    <w:rsid w:val="00606FD9"/>
    <w:rsid w:val="00607066"/>
    <w:rsid w:val="0060711F"/>
    <w:rsid w:val="00607861"/>
    <w:rsid w:val="0060788C"/>
    <w:rsid w:val="006078F6"/>
    <w:rsid w:val="0060791F"/>
    <w:rsid w:val="00607AA9"/>
    <w:rsid w:val="00607BF1"/>
    <w:rsid w:val="00607C2D"/>
    <w:rsid w:val="00607E60"/>
    <w:rsid w:val="006100B5"/>
    <w:rsid w:val="00610107"/>
    <w:rsid w:val="0061031A"/>
    <w:rsid w:val="00610328"/>
    <w:rsid w:val="006105A4"/>
    <w:rsid w:val="0061068E"/>
    <w:rsid w:val="00610754"/>
    <w:rsid w:val="0061083A"/>
    <w:rsid w:val="00610A4B"/>
    <w:rsid w:val="00610B1A"/>
    <w:rsid w:val="00610D02"/>
    <w:rsid w:val="00610FAE"/>
    <w:rsid w:val="0061115D"/>
    <w:rsid w:val="006111CA"/>
    <w:rsid w:val="00611332"/>
    <w:rsid w:val="006114DC"/>
    <w:rsid w:val="00611505"/>
    <w:rsid w:val="00611644"/>
    <w:rsid w:val="00611B73"/>
    <w:rsid w:val="00611E61"/>
    <w:rsid w:val="006120D2"/>
    <w:rsid w:val="006120D7"/>
    <w:rsid w:val="00612265"/>
    <w:rsid w:val="00612451"/>
    <w:rsid w:val="006124FE"/>
    <w:rsid w:val="00612657"/>
    <w:rsid w:val="006128AD"/>
    <w:rsid w:val="00612B14"/>
    <w:rsid w:val="00612BF0"/>
    <w:rsid w:val="00612EDB"/>
    <w:rsid w:val="00612F89"/>
    <w:rsid w:val="00612FD2"/>
    <w:rsid w:val="00613072"/>
    <w:rsid w:val="006130FC"/>
    <w:rsid w:val="0061314C"/>
    <w:rsid w:val="00613169"/>
    <w:rsid w:val="0061320C"/>
    <w:rsid w:val="00613260"/>
    <w:rsid w:val="00613427"/>
    <w:rsid w:val="00613601"/>
    <w:rsid w:val="0061361A"/>
    <w:rsid w:val="006138B3"/>
    <w:rsid w:val="00613991"/>
    <w:rsid w:val="00613C3C"/>
    <w:rsid w:val="00613F0C"/>
    <w:rsid w:val="00614016"/>
    <w:rsid w:val="00614073"/>
    <w:rsid w:val="00614474"/>
    <w:rsid w:val="0061452A"/>
    <w:rsid w:val="00614584"/>
    <w:rsid w:val="0061460B"/>
    <w:rsid w:val="00614639"/>
    <w:rsid w:val="006148C0"/>
    <w:rsid w:val="00614B6D"/>
    <w:rsid w:val="00614D69"/>
    <w:rsid w:val="00614E2B"/>
    <w:rsid w:val="0061534D"/>
    <w:rsid w:val="0061546C"/>
    <w:rsid w:val="00615528"/>
    <w:rsid w:val="00615711"/>
    <w:rsid w:val="006157D2"/>
    <w:rsid w:val="00615859"/>
    <w:rsid w:val="006159DD"/>
    <w:rsid w:val="00615C0B"/>
    <w:rsid w:val="00615DFC"/>
    <w:rsid w:val="0061607D"/>
    <w:rsid w:val="006161C1"/>
    <w:rsid w:val="0061629E"/>
    <w:rsid w:val="006163B9"/>
    <w:rsid w:val="006163CD"/>
    <w:rsid w:val="00616424"/>
    <w:rsid w:val="00616866"/>
    <w:rsid w:val="0061691E"/>
    <w:rsid w:val="00616A79"/>
    <w:rsid w:val="0061710B"/>
    <w:rsid w:val="0061740D"/>
    <w:rsid w:val="006176CD"/>
    <w:rsid w:val="00617738"/>
    <w:rsid w:val="00617A89"/>
    <w:rsid w:val="00617AC0"/>
    <w:rsid w:val="00617C8A"/>
    <w:rsid w:val="00617E67"/>
    <w:rsid w:val="00617F76"/>
    <w:rsid w:val="00617FBC"/>
    <w:rsid w:val="00620057"/>
    <w:rsid w:val="006201F8"/>
    <w:rsid w:val="00620719"/>
    <w:rsid w:val="00620789"/>
    <w:rsid w:val="00620874"/>
    <w:rsid w:val="00620BC4"/>
    <w:rsid w:val="00620CE0"/>
    <w:rsid w:val="00620FC8"/>
    <w:rsid w:val="00620FD3"/>
    <w:rsid w:val="00620FEA"/>
    <w:rsid w:val="00620FFA"/>
    <w:rsid w:val="0062109F"/>
    <w:rsid w:val="006211BA"/>
    <w:rsid w:val="00621459"/>
    <w:rsid w:val="006214A6"/>
    <w:rsid w:val="00621593"/>
    <w:rsid w:val="006215FF"/>
    <w:rsid w:val="00621650"/>
    <w:rsid w:val="00621699"/>
    <w:rsid w:val="00621A25"/>
    <w:rsid w:val="00621C54"/>
    <w:rsid w:val="00621CEB"/>
    <w:rsid w:val="00621D8B"/>
    <w:rsid w:val="00621D9F"/>
    <w:rsid w:val="00621DDB"/>
    <w:rsid w:val="00621DF5"/>
    <w:rsid w:val="00621FDD"/>
    <w:rsid w:val="00622146"/>
    <w:rsid w:val="006221E5"/>
    <w:rsid w:val="00622262"/>
    <w:rsid w:val="0062250B"/>
    <w:rsid w:val="00622869"/>
    <w:rsid w:val="006228FA"/>
    <w:rsid w:val="00622948"/>
    <w:rsid w:val="00622D01"/>
    <w:rsid w:val="00622E06"/>
    <w:rsid w:val="00622E8F"/>
    <w:rsid w:val="0062304A"/>
    <w:rsid w:val="00623135"/>
    <w:rsid w:val="00623170"/>
    <w:rsid w:val="0062321F"/>
    <w:rsid w:val="0062327C"/>
    <w:rsid w:val="00623620"/>
    <w:rsid w:val="006236B0"/>
    <w:rsid w:val="006237BB"/>
    <w:rsid w:val="00623BEB"/>
    <w:rsid w:val="00623C80"/>
    <w:rsid w:val="006243A3"/>
    <w:rsid w:val="00624742"/>
    <w:rsid w:val="0062477C"/>
    <w:rsid w:val="006247BE"/>
    <w:rsid w:val="00624895"/>
    <w:rsid w:val="00624A15"/>
    <w:rsid w:val="00624C97"/>
    <w:rsid w:val="00624EB3"/>
    <w:rsid w:val="00624F06"/>
    <w:rsid w:val="00624F59"/>
    <w:rsid w:val="00624F8A"/>
    <w:rsid w:val="00625012"/>
    <w:rsid w:val="00625232"/>
    <w:rsid w:val="00625348"/>
    <w:rsid w:val="006254B6"/>
    <w:rsid w:val="00625942"/>
    <w:rsid w:val="00625A66"/>
    <w:rsid w:val="00625B14"/>
    <w:rsid w:val="00625CA8"/>
    <w:rsid w:val="00625CCB"/>
    <w:rsid w:val="00625DE3"/>
    <w:rsid w:val="006261F3"/>
    <w:rsid w:val="00626256"/>
    <w:rsid w:val="00626448"/>
    <w:rsid w:val="0062644A"/>
    <w:rsid w:val="00626452"/>
    <w:rsid w:val="00626470"/>
    <w:rsid w:val="006264C4"/>
    <w:rsid w:val="006264FF"/>
    <w:rsid w:val="00626852"/>
    <w:rsid w:val="00626860"/>
    <w:rsid w:val="00626A28"/>
    <w:rsid w:val="00626A49"/>
    <w:rsid w:val="00626A51"/>
    <w:rsid w:val="00626A92"/>
    <w:rsid w:val="00626ABA"/>
    <w:rsid w:val="00626D7C"/>
    <w:rsid w:val="00626F17"/>
    <w:rsid w:val="00626F20"/>
    <w:rsid w:val="006271BF"/>
    <w:rsid w:val="00627273"/>
    <w:rsid w:val="00627333"/>
    <w:rsid w:val="006273C9"/>
    <w:rsid w:val="006273CB"/>
    <w:rsid w:val="006274C0"/>
    <w:rsid w:val="00627592"/>
    <w:rsid w:val="00627599"/>
    <w:rsid w:val="00627619"/>
    <w:rsid w:val="0062777F"/>
    <w:rsid w:val="0062779D"/>
    <w:rsid w:val="00627A2E"/>
    <w:rsid w:val="00627B4A"/>
    <w:rsid w:val="00627C90"/>
    <w:rsid w:val="00627D28"/>
    <w:rsid w:val="00627DA2"/>
    <w:rsid w:val="00627DAE"/>
    <w:rsid w:val="00627DFB"/>
    <w:rsid w:val="00627EB0"/>
    <w:rsid w:val="00627F69"/>
    <w:rsid w:val="0063022D"/>
    <w:rsid w:val="0063056C"/>
    <w:rsid w:val="0063057E"/>
    <w:rsid w:val="006309D9"/>
    <w:rsid w:val="00630B2F"/>
    <w:rsid w:val="00630BE1"/>
    <w:rsid w:val="006310BE"/>
    <w:rsid w:val="00631305"/>
    <w:rsid w:val="00631378"/>
    <w:rsid w:val="006313F8"/>
    <w:rsid w:val="0063147C"/>
    <w:rsid w:val="00631553"/>
    <w:rsid w:val="0063157D"/>
    <w:rsid w:val="006317C1"/>
    <w:rsid w:val="00631970"/>
    <w:rsid w:val="00631B8F"/>
    <w:rsid w:val="00632356"/>
    <w:rsid w:val="0063269B"/>
    <w:rsid w:val="00632A02"/>
    <w:rsid w:val="00632A49"/>
    <w:rsid w:val="00632A69"/>
    <w:rsid w:val="00632B03"/>
    <w:rsid w:val="00632CD8"/>
    <w:rsid w:val="00632D1B"/>
    <w:rsid w:val="00632D42"/>
    <w:rsid w:val="00632E43"/>
    <w:rsid w:val="00633038"/>
    <w:rsid w:val="006330CE"/>
    <w:rsid w:val="00633175"/>
    <w:rsid w:val="0063318E"/>
    <w:rsid w:val="006331D1"/>
    <w:rsid w:val="006334CD"/>
    <w:rsid w:val="006336A6"/>
    <w:rsid w:val="00633EDB"/>
    <w:rsid w:val="00633F32"/>
    <w:rsid w:val="00634297"/>
    <w:rsid w:val="00634975"/>
    <w:rsid w:val="006349A9"/>
    <w:rsid w:val="00634D91"/>
    <w:rsid w:val="006351F2"/>
    <w:rsid w:val="006354C6"/>
    <w:rsid w:val="00635714"/>
    <w:rsid w:val="006357B6"/>
    <w:rsid w:val="006358CB"/>
    <w:rsid w:val="00635A25"/>
    <w:rsid w:val="00635DF9"/>
    <w:rsid w:val="00635E36"/>
    <w:rsid w:val="00635EC0"/>
    <w:rsid w:val="006364C0"/>
    <w:rsid w:val="00636687"/>
    <w:rsid w:val="00636987"/>
    <w:rsid w:val="00636A71"/>
    <w:rsid w:val="00636AD9"/>
    <w:rsid w:val="00636F47"/>
    <w:rsid w:val="0063738D"/>
    <w:rsid w:val="006374F5"/>
    <w:rsid w:val="00637760"/>
    <w:rsid w:val="00637EF6"/>
    <w:rsid w:val="00640055"/>
    <w:rsid w:val="006403C6"/>
    <w:rsid w:val="006403DE"/>
    <w:rsid w:val="006404E2"/>
    <w:rsid w:val="0064056E"/>
    <w:rsid w:val="0064057D"/>
    <w:rsid w:val="00640590"/>
    <w:rsid w:val="00640624"/>
    <w:rsid w:val="0064064A"/>
    <w:rsid w:val="00640731"/>
    <w:rsid w:val="00640E2B"/>
    <w:rsid w:val="00640F6E"/>
    <w:rsid w:val="006412EE"/>
    <w:rsid w:val="006412FE"/>
    <w:rsid w:val="006413AD"/>
    <w:rsid w:val="006416FE"/>
    <w:rsid w:val="00641A81"/>
    <w:rsid w:val="00641C93"/>
    <w:rsid w:val="00641CCB"/>
    <w:rsid w:val="00641EC8"/>
    <w:rsid w:val="006420E9"/>
    <w:rsid w:val="006421CA"/>
    <w:rsid w:val="006424F1"/>
    <w:rsid w:val="00642610"/>
    <w:rsid w:val="0064276E"/>
    <w:rsid w:val="006429DC"/>
    <w:rsid w:val="00642A1C"/>
    <w:rsid w:val="00642A90"/>
    <w:rsid w:val="006430A7"/>
    <w:rsid w:val="0064330F"/>
    <w:rsid w:val="0064337D"/>
    <w:rsid w:val="00643408"/>
    <w:rsid w:val="0064345F"/>
    <w:rsid w:val="00643690"/>
    <w:rsid w:val="0064397D"/>
    <w:rsid w:val="00643B91"/>
    <w:rsid w:val="00643C13"/>
    <w:rsid w:val="00643CAD"/>
    <w:rsid w:val="00643D07"/>
    <w:rsid w:val="00643DBE"/>
    <w:rsid w:val="00644313"/>
    <w:rsid w:val="00644358"/>
    <w:rsid w:val="0064463D"/>
    <w:rsid w:val="00644758"/>
    <w:rsid w:val="006449D6"/>
    <w:rsid w:val="006449F9"/>
    <w:rsid w:val="00644AC9"/>
    <w:rsid w:val="00644C83"/>
    <w:rsid w:val="00644EB3"/>
    <w:rsid w:val="00645068"/>
    <w:rsid w:val="0064517D"/>
    <w:rsid w:val="006453BE"/>
    <w:rsid w:val="00645486"/>
    <w:rsid w:val="00645643"/>
    <w:rsid w:val="0064569A"/>
    <w:rsid w:val="00645928"/>
    <w:rsid w:val="00645A0C"/>
    <w:rsid w:val="00645B63"/>
    <w:rsid w:val="00645C71"/>
    <w:rsid w:val="00645FC9"/>
    <w:rsid w:val="006463AE"/>
    <w:rsid w:val="006464F6"/>
    <w:rsid w:val="006465FF"/>
    <w:rsid w:val="006466C3"/>
    <w:rsid w:val="00646904"/>
    <w:rsid w:val="006469EA"/>
    <w:rsid w:val="00646E23"/>
    <w:rsid w:val="00646FA3"/>
    <w:rsid w:val="006470DF"/>
    <w:rsid w:val="006475B8"/>
    <w:rsid w:val="006478D3"/>
    <w:rsid w:val="00647A7F"/>
    <w:rsid w:val="00647B4E"/>
    <w:rsid w:val="00647B8F"/>
    <w:rsid w:val="006500A1"/>
    <w:rsid w:val="00650404"/>
    <w:rsid w:val="00650413"/>
    <w:rsid w:val="0065082E"/>
    <w:rsid w:val="00650842"/>
    <w:rsid w:val="00650CB0"/>
    <w:rsid w:val="00650D87"/>
    <w:rsid w:val="00650D93"/>
    <w:rsid w:val="00650FFA"/>
    <w:rsid w:val="0065112C"/>
    <w:rsid w:val="0065114B"/>
    <w:rsid w:val="006516F3"/>
    <w:rsid w:val="00651840"/>
    <w:rsid w:val="00651B37"/>
    <w:rsid w:val="00651BD5"/>
    <w:rsid w:val="006520C4"/>
    <w:rsid w:val="006521F4"/>
    <w:rsid w:val="006521FE"/>
    <w:rsid w:val="006523D9"/>
    <w:rsid w:val="006524C2"/>
    <w:rsid w:val="00652B40"/>
    <w:rsid w:val="00652D38"/>
    <w:rsid w:val="00652DE6"/>
    <w:rsid w:val="00652E73"/>
    <w:rsid w:val="00652EA8"/>
    <w:rsid w:val="00652F17"/>
    <w:rsid w:val="006530DE"/>
    <w:rsid w:val="006531B2"/>
    <w:rsid w:val="006532F4"/>
    <w:rsid w:val="00653319"/>
    <w:rsid w:val="00653443"/>
    <w:rsid w:val="00653474"/>
    <w:rsid w:val="0065359B"/>
    <w:rsid w:val="00653916"/>
    <w:rsid w:val="00653986"/>
    <w:rsid w:val="0065398F"/>
    <w:rsid w:val="00653B39"/>
    <w:rsid w:val="00653BB4"/>
    <w:rsid w:val="00653FAD"/>
    <w:rsid w:val="00654339"/>
    <w:rsid w:val="00654433"/>
    <w:rsid w:val="00654843"/>
    <w:rsid w:val="00654981"/>
    <w:rsid w:val="006549B6"/>
    <w:rsid w:val="00654D5D"/>
    <w:rsid w:val="00654DE5"/>
    <w:rsid w:val="00654E1C"/>
    <w:rsid w:val="00654E4B"/>
    <w:rsid w:val="00654FD7"/>
    <w:rsid w:val="00655309"/>
    <w:rsid w:val="006553F7"/>
    <w:rsid w:val="0065542E"/>
    <w:rsid w:val="0065554B"/>
    <w:rsid w:val="00655638"/>
    <w:rsid w:val="006556B5"/>
    <w:rsid w:val="006556D8"/>
    <w:rsid w:val="0065577B"/>
    <w:rsid w:val="006557D2"/>
    <w:rsid w:val="00655AC6"/>
    <w:rsid w:val="006563FF"/>
    <w:rsid w:val="0065640B"/>
    <w:rsid w:val="00656763"/>
    <w:rsid w:val="0065697F"/>
    <w:rsid w:val="00656BAF"/>
    <w:rsid w:val="00656D1D"/>
    <w:rsid w:val="00656EBD"/>
    <w:rsid w:val="00657074"/>
    <w:rsid w:val="00657114"/>
    <w:rsid w:val="006571A2"/>
    <w:rsid w:val="006573E6"/>
    <w:rsid w:val="006577BD"/>
    <w:rsid w:val="006578B1"/>
    <w:rsid w:val="00657994"/>
    <w:rsid w:val="00657BF8"/>
    <w:rsid w:val="00657C58"/>
    <w:rsid w:val="00657F3F"/>
    <w:rsid w:val="006601FD"/>
    <w:rsid w:val="006602FB"/>
    <w:rsid w:val="006603B0"/>
    <w:rsid w:val="006603E0"/>
    <w:rsid w:val="006605F0"/>
    <w:rsid w:val="00660776"/>
    <w:rsid w:val="006609B5"/>
    <w:rsid w:val="006609C2"/>
    <w:rsid w:val="00660A4B"/>
    <w:rsid w:val="00660B11"/>
    <w:rsid w:val="00660B19"/>
    <w:rsid w:val="00660B83"/>
    <w:rsid w:val="00660CAE"/>
    <w:rsid w:val="00660D0C"/>
    <w:rsid w:val="00661036"/>
    <w:rsid w:val="00661120"/>
    <w:rsid w:val="006611D2"/>
    <w:rsid w:val="006611E3"/>
    <w:rsid w:val="00661318"/>
    <w:rsid w:val="0066169D"/>
    <w:rsid w:val="006616FD"/>
    <w:rsid w:val="00661A64"/>
    <w:rsid w:val="00661ADD"/>
    <w:rsid w:val="00661BCB"/>
    <w:rsid w:val="006625B8"/>
    <w:rsid w:val="006628F8"/>
    <w:rsid w:val="00662A5E"/>
    <w:rsid w:val="00662AE2"/>
    <w:rsid w:val="00662C12"/>
    <w:rsid w:val="00662CDA"/>
    <w:rsid w:val="00662D40"/>
    <w:rsid w:val="00662F00"/>
    <w:rsid w:val="00662F1A"/>
    <w:rsid w:val="00663378"/>
    <w:rsid w:val="0066337C"/>
    <w:rsid w:val="0066341B"/>
    <w:rsid w:val="0066371F"/>
    <w:rsid w:val="00663759"/>
    <w:rsid w:val="006638E7"/>
    <w:rsid w:val="00663929"/>
    <w:rsid w:val="00663D79"/>
    <w:rsid w:val="00663E18"/>
    <w:rsid w:val="006640EF"/>
    <w:rsid w:val="0066432F"/>
    <w:rsid w:val="00664340"/>
    <w:rsid w:val="006645BC"/>
    <w:rsid w:val="0066466D"/>
    <w:rsid w:val="006648AA"/>
    <w:rsid w:val="006648D8"/>
    <w:rsid w:val="00664A49"/>
    <w:rsid w:val="00664D7F"/>
    <w:rsid w:val="00664EFC"/>
    <w:rsid w:val="00664F5E"/>
    <w:rsid w:val="00665025"/>
    <w:rsid w:val="0066522F"/>
    <w:rsid w:val="0066540C"/>
    <w:rsid w:val="0066542C"/>
    <w:rsid w:val="0066557A"/>
    <w:rsid w:val="00665843"/>
    <w:rsid w:val="00665B35"/>
    <w:rsid w:val="00666014"/>
    <w:rsid w:val="00666025"/>
    <w:rsid w:val="00666070"/>
    <w:rsid w:val="00666270"/>
    <w:rsid w:val="006662B9"/>
    <w:rsid w:val="006662D3"/>
    <w:rsid w:val="00666406"/>
    <w:rsid w:val="00666599"/>
    <w:rsid w:val="006667D0"/>
    <w:rsid w:val="006667DF"/>
    <w:rsid w:val="00666A7D"/>
    <w:rsid w:val="00666BA5"/>
    <w:rsid w:val="00666CC7"/>
    <w:rsid w:val="00666E11"/>
    <w:rsid w:val="00666FF7"/>
    <w:rsid w:val="00667082"/>
    <w:rsid w:val="0066711B"/>
    <w:rsid w:val="006673AD"/>
    <w:rsid w:val="00667429"/>
    <w:rsid w:val="006675CB"/>
    <w:rsid w:val="0066781D"/>
    <w:rsid w:val="00667977"/>
    <w:rsid w:val="00667979"/>
    <w:rsid w:val="006679ED"/>
    <w:rsid w:val="00667A8C"/>
    <w:rsid w:val="00667D1E"/>
    <w:rsid w:val="00667DCD"/>
    <w:rsid w:val="00667EA9"/>
    <w:rsid w:val="00667EF2"/>
    <w:rsid w:val="00667F9F"/>
    <w:rsid w:val="00670022"/>
    <w:rsid w:val="0067010C"/>
    <w:rsid w:val="006703D7"/>
    <w:rsid w:val="00670442"/>
    <w:rsid w:val="00670687"/>
    <w:rsid w:val="00670871"/>
    <w:rsid w:val="0067092F"/>
    <w:rsid w:val="0067097E"/>
    <w:rsid w:val="006709F7"/>
    <w:rsid w:val="00670ACC"/>
    <w:rsid w:val="00670B50"/>
    <w:rsid w:val="00670B92"/>
    <w:rsid w:val="00670F03"/>
    <w:rsid w:val="0067136E"/>
    <w:rsid w:val="00671552"/>
    <w:rsid w:val="00671560"/>
    <w:rsid w:val="00671666"/>
    <w:rsid w:val="00671BB0"/>
    <w:rsid w:val="00671C69"/>
    <w:rsid w:val="00671CAB"/>
    <w:rsid w:val="00671CFA"/>
    <w:rsid w:val="00671DEF"/>
    <w:rsid w:val="00671EA2"/>
    <w:rsid w:val="00671FF3"/>
    <w:rsid w:val="006720C2"/>
    <w:rsid w:val="0067217F"/>
    <w:rsid w:val="006723A3"/>
    <w:rsid w:val="006723B8"/>
    <w:rsid w:val="006726E1"/>
    <w:rsid w:val="00672738"/>
    <w:rsid w:val="00672B67"/>
    <w:rsid w:val="00672D3C"/>
    <w:rsid w:val="0067308A"/>
    <w:rsid w:val="006731BF"/>
    <w:rsid w:val="006731E7"/>
    <w:rsid w:val="006733EF"/>
    <w:rsid w:val="0067377D"/>
    <w:rsid w:val="00673975"/>
    <w:rsid w:val="00673C1F"/>
    <w:rsid w:val="006740E5"/>
    <w:rsid w:val="006744A5"/>
    <w:rsid w:val="006745FC"/>
    <w:rsid w:val="00674665"/>
    <w:rsid w:val="00674B86"/>
    <w:rsid w:val="0067508A"/>
    <w:rsid w:val="006750E8"/>
    <w:rsid w:val="0067514D"/>
    <w:rsid w:val="0067517A"/>
    <w:rsid w:val="0067519A"/>
    <w:rsid w:val="00675250"/>
    <w:rsid w:val="00675362"/>
    <w:rsid w:val="0067566D"/>
    <w:rsid w:val="00675700"/>
    <w:rsid w:val="00675DE9"/>
    <w:rsid w:val="006761D8"/>
    <w:rsid w:val="006762AC"/>
    <w:rsid w:val="00676625"/>
    <w:rsid w:val="00676758"/>
    <w:rsid w:val="0067683D"/>
    <w:rsid w:val="006769C0"/>
    <w:rsid w:val="00676AB1"/>
    <w:rsid w:val="00676F8E"/>
    <w:rsid w:val="006770E8"/>
    <w:rsid w:val="006773F9"/>
    <w:rsid w:val="006774A6"/>
    <w:rsid w:val="00677802"/>
    <w:rsid w:val="0067783F"/>
    <w:rsid w:val="0067785D"/>
    <w:rsid w:val="006778E0"/>
    <w:rsid w:val="006778E3"/>
    <w:rsid w:val="00677FC1"/>
    <w:rsid w:val="00680010"/>
    <w:rsid w:val="0068012F"/>
    <w:rsid w:val="00680141"/>
    <w:rsid w:val="00680256"/>
    <w:rsid w:val="00680263"/>
    <w:rsid w:val="006802A4"/>
    <w:rsid w:val="006806D5"/>
    <w:rsid w:val="0068084D"/>
    <w:rsid w:val="006808AD"/>
    <w:rsid w:val="0068092C"/>
    <w:rsid w:val="00680AE1"/>
    <w:rsid w:val="00680B11"/>
    <w:rsid w:val="00680DB2"/>
    <w:rsid w:val="00680E08"/>
    <w:rsid w:val="00681020"/>
    <w:rsid w:val="00681335"/>
    <w:rsid w:val="0068146F"/>
    <w:rsid w:val="00681576"/>
    <w:rsid w:val="006815A4"/>
    <w:rsid w:val="006817F2"/>
    <w:rsid w:val="006818C1"/>
    <w:rsid w:val="00681A6F"/>
    <w:rsid w:val="00681B97"/>
    <w:rsid w:val="00681DA2"/>
    <w:rsid w:val="0068223D"/>
    <w:rsid w:val="00682642"/>
    <w:rsid w:val="0068271F"/>
    <w:rsid w:val="0068272C"/>
    <w:rsid w:val="0068276E"/>
    <w:rsid w:val="00682877"/>
    <w:rsid w:val="00682A25"/>
    <w:rsid w:val="00682B7E"/>
    <w:rsid w:val="00682EF9"/>
    <w:rsid w:val="006831A7"/>
    <w:rsid w:val="00683338"/>
    <w:rsid w:val="00683418"/>
    <w:rsid w:val="0068356B"/>
    <w:rsid w:val="00683660"/>
    <w:rsid w:val="00683A5E"/>
    <w:rsid w:val="00683ACA"/>
    <w:rsid w:val="00683B68"/>
    <w:rsid w:val="00684074"/>
    <w:rsid w:val="00684251"/>
    <w:rsid w:val="006846F2"/>
    <w:rsid w:val="006848FD"/>
    <w:rsid w:val="00685084"/>
    <w:rsid w:val="0068527E"/>
    <w:rsid w:val="006852B0"/>
    <w:rsid w:val="00685607"/>
    <w:rsid w:val="006858B8"/>
    <w:rsid w:val="006859C0"/>
    <w:rsid w:val="00685EAA"/>
    <w:rsid w:val="00686265"/>
    <w:rsid w:val="006862A7"/>
    <w:rsid w:val="006864AB"/>
    <w:rsid w:val="006864DF"/>
    <w:rsid w:val="006864E8"/>
    <w:rsid w:val="00686788"/>
    <w:rsid w:val="00686822"/>
    <w:rsid w:val="006868F9"/>
    <w:rsid w:val="00686A79"/>
    <w:rsid w:val="00686B43"/>
    <w:rsid w:val="00686C22"/>
    <w:rsid w:val="00686D5C"/>
    <w:rsid w:val="00686DF9"/>
    <w:rsid w:val="00686E23"/>
    <w:rsid w:val="0068706D"/>
    <w:rsid w:val="0068708F"/>
    <w:rsid w:val="0068715E"/>
    <w:rsid w:val="006874B2"/>
    <w:rsid w:val="006874C3"/>
    <w:rsid w:val="00687975"/>
    <w:rsid w:val="00687BB9"/>
    <w:rsid w:val="0069007D"/>
    <w:rsid w:val="00690198"/>
    <w:rsid w:val="0069022E"/>
    <w:rsid w:val="006906B5"/>
    <w:rsid w:val="0069070B"/>
    <w:rsid w:val="006907A9"/>
    <w:rsid w:val="006908E3"/>
    <w:rsid w:val="00690A5A"/>
    <w:rsid w:val="00690AAA"/>
    <w:rsid w:val="00690CD6"/>
    <w:rsid w:val="00690D4E"/>
    <w:rsid w:val="00690EE0"/>
    <w:rsid w:val="00690F40"/>
    <w:rsid w:val="00690F63"/>
    <w:rsid w:val="00690FAB"/>
    <w:rsid w:val="006913DD"/>
    <w:rsid w:val="006916AA"/>
    <w:rsid w:val="006916F4"/>
    <w:rsid w:val="006917BE"/>
    <w:rsid w:val="00691AD5"/>
    <w:rsid w:val="00691AE5"/>
    <w:rsid w:val="00691C8C"/>
    <w:rsid w:val="00691D0A"/>
    <w:rsid w:val="00691D60"/>
    <w:rsid w:val="00691EE7"/>
    <w:rsid w:val="006920A0"/>
    <w:rsid w:val="00692182"/>
    <w:rsid w:val="0069240E"/>
    <w:rsid w:val="00692445"/>
    <w:rsid w:val="00692458"/>
    <w:rsid w:val="006924F2"/>
    <w:rsid w:val="00692590"/>
    <w:rsid w:val="0069276E"/>
    <w:rsid w:val="00692883"/>
    <w:rsid w:val="0069293F"/>
    <w:rsid w:val="00692E18"/>
    <w:rsid w:val="00692E51"/>
    <w:rsid w:val="00692FB9"/>
    <w:rsid w:val="006934AD"/>
    <w:rsid w:val="006934C4"/>
    <w:rsid w:val="006936E2"/>
    <w:rsid w:val="006937F2"/>
    <w:rsid w:val="00693ADC"/>
    <w:rsid w:val="00693B67"/>
    <w:rsid w:val="00693D05"/>
    <w:rsid w:val="0069412C"/>
    <w:rsid w:val="006943FF"/>
    <w:rsid w:val="006946D3"/>
    <w:rsid w:val="0069487A"/>
    <w:rsid w:val="00694A46"/>
    <w:rsid w:val="00694F0D"/>
    <w:rsid w:val="00694FAC"/>
    <w:rsid w:val="00694FF5"/>
    <w:rsid w:val="00695188"/>
    <w:rsid w:val="00695453"/>
    <w:rsid w:val="00695539"/>
    <w:rsid w:val="006955C6"/>
    <w:rsid w:val="006955D2"/>
    <w:rsid w:val="0069568B"/>
    <w:rsid w:val="006958D6"/>
    <w:rsid w:val="00695A4D"/>
    <w:rsid w:val="00695A6B"/>
    <w:rsid w:val="00695B0D"/>
    <w:rsid w:val="00695C0C"/>
    <w:rsid w:val="00695C61"/>
    <w:rsid w:val="00695CDF"/>
    <w:rsid w:val="00695CEA"/>
    <w:rsid w:val="00695E40"/>
    <w:rsid w:val="00695F20"/>
    <w:rsid w:val="00695F78"/>
    <w:rsid w:val="00695FB4"/>
    <w:rsid w:val="00696170"/>
    <w:rsid w:val="006961FD"/>
    <w:rsid w:val="00696249"/>
    <w:rsid w:val="006963A4"/>
    <w:rsid w:val="0069657F"/>
    <w:rsid w:val="006967CE"/>
    <w:rsid w:val="00696955"/>
    <w:rsid w:val="00696AC2"/>
    <w:rsid w:val="00696D6F"/>
    <w:rsid w:val="00696E15"/>
    <w:rsid w:val="00696EC5"/>
    <w:rsid w:val="00697056"/>
    <w:rsid w:val="00697133"/>
    <w:rsid w:val="006971A8"/>
    <w:rsid w:val="006972E4"/>
    <w:rsid w:val="006973ED"/>
    <w:rsid w:val="0069740A"/>
    <w:rsid w:val="00697491"/>
    <w:rsid w:val="006975A7"/>
    <w:rsid w:val="006975E0"/>
    <w:rsid w:val="0069776E"/>
    <w:rsid w:val="00697847"/>
    <w:rsid w:val="00697901"/>
    <w:rsid w:val="00697927"/>
    <w:rsid w:val="00697991"/>
    <w:rsid w:val="00697A54"/>
    <w:rsid w:val="00697B9F"/>
    <w:rsid w:val="00697C60"/>
    <w:rsid w:val="00697DB4"/>
    <w:rsid w:val="00697F17"/>
    <w:rsid w:val="006A0017"/>
    <w:rsid w:val="006A0043"/>
    <w:rsid w:val="006A014B"/>
    <w:rsid w:val="006A070C"/>
    <w:rsid w:val="006A0733"/>
    <w:rsid w:val="006A08F8"/>
    <w:rsid w:val="006A0B53"/>
    <w:rsid w:val="006A0C8A"/>
    <w:rsid w:val="006A0C9E"/>
    <w:rsid w:val="006A0FFB"/>
    <w:rsid w:val="006A112A"/>
    <w:rsid w:val="006A11A5"/>
    <w:rsid w:val="006A1500"/>
    <w:rsid w:val="006A174D"/>
    <w:rsid w:val="006A186E"/>
    <w:rsid w:val="006A1872"/>
    <w:rsid w:val="006A18A6"/>
    <w:rsid w:val="006A1BF3"/>
    <w:rsid w:val="006A1C7B"/>
    <w:rsid w:val="006A1E06"/>
    <w:rsid w:val="006A1E7F"/>
    <w:rsid w:val="006A1FB0"/>
    <w:rsid w:val="006A20B3"/>
    <w:rsid w:val="006A2159"/>
    <w:rsid w:val="006A21F9"/>
    <w:rsid w:val="006A22B3"/>
    <w:rsid w:val="006A2303"/>
    <w:rsid w:val="006A2431"/>
    <w:rsid w:val="006A263B"/>
    <w:rsid w:val="006A29C6"/>
    <w:rsid w:val="006A2A40"/>
    <w:rsid w:val="006A2A99"/>
    <w:rsid w:val="006A2D91"/>
    <w:rsid w:val="006A2E64"/>
    <w:rsid w:val="006A2FAC"/>
    <w:rsid w:val="006A3089"/>
    <w:rsid w:val="006A35AD"/>
    <w:rsid w:val="006A3795"/>
    <w:rsid w:val="006A37AB"/>
    <w:rsid w:val="006A39A5"/>
    <w:rsid w:val="006A3AD1"/>
    <w:rsid w:val="006A3BD3"/>
    <w:rsid w:val="006A3BEA"/>
    <w:rsid w:val="006A3CC3"/>
    <w:rsid w:val="006A3D80"/>
    <w:rsid w:val="006A3E53"/>
    <w:rsid w:val="006A3EF9"/>
    <w:rsid w:val="006A3F13"/>
    <w:rsid w:val="006A411E"/>
    <w:rsid w:val="006A4143"/>
    <w:rsid w:val="006A414B"/>
    <w:rsid w:val="006A41F5"/>
    <w:rsid w:val="006A4321"/>
    <w:rsid w:val="006A446C"/>
    <w:rsid w:val="006A4582"/>
    <w:rsid w:val="006A45D0"/>
    <w:rsid w:val="006A4973"/>
    <w:rsid w:val="006A4B10"/>
    <w:rsid w:val="006A4CA1"/>
    <w:rsid w:val="006A4D68"/>
    <w:rsid w:val="006A4FB3"/>
    <w:rsid w:val="006A521B"/>
    <w:rsid w:val="006A52B6"/>
    <w:rsid w:val="006A5351"/>
    <w:rsid w:val="006A57D2"/>
    <w:rsid w:val="006A5934"/>
    <w:rsid w:val="006A5A8F"/>
    <w:rsid w:val="006A5B02"/>
    <w:rsid w:val="006A5B2A"/>
    <w:rsid w:val="006A5C93"/>
    <w:rsid w:val="006A5DCC"/>
    <w:rsid w:val="006A5DD7"/>
    <w:rsid w:val="006A5DF4"/>
    <w:rsid w:val="006A5E38"/>
    <w:rsid w:val="006A5ED7"/>
    <w:rsid w:val="006A5EFB"/>
    <w:rsid w:val="006A620C"/>
    <w:rsid w:val="006A6236"/>
    <w:rsid w:val="006A632C"/>
    <w:rsid w:val="006A662C"/>
    <w:rsid w:val="006A6832"/>
    <w:rsid w:val="006A6887"/>
    <w:rsid w:val="006A6903"/>
    <w:rsid w:val="006A6AA1"/>
    <w:rsid w:val="006A6C5F"/>
    <w:rsid w:val="006A6CCD"/>
    <w:rsid w:val="006A6DEB"/>
    <w:rsid w:val="006A6E2C"/>
    <w:rsid w:val="006A6F47"/>
    <w:rsid w:val="006A742B"/>
    <w:rsid w:val="006A77E1"/>
    <w:rsid w:val="006A7D64"/>
    <w:rsid w:val="006B00D0"/>
    <w:rsid w:val="006B05C4"/>
    <w:rsid w:val="006B06FC"/>
    <w:rsid w:val="006B0957"/>
    <w:rsid w:val="006B0AC9"/>
    <w:rsid w:val="006B0B94"/>
    <w:rsid w:val="006B0DF7"/>
    <w:rsid w:val="006B0E7D"/>
    <w:rsid w:val="006B0EA2"/>
    <w:rsid w:val="006B0F7E"/>
    <w:rsid w:val="006B1194"/>
    <w:rsid w:val="006B1315"/>
    <w:rsid w:val="006B13E4"/>
    <w:rsid w:val="006B142C"/>
    <w:rsid w:val="006B1914"/>
    <w:rsid w:val="006B19F8"/>
    <w:rsid w:val="006B1A21"/>
    <w:rsid w:val="006B1C23"/>
    <w:rsid w:val="006B1CE7"/>
    <w:rsid w:val="006B1DAB"/>
    <w:rsid w:val="006B1ED9"/>
    <w:rsid w:val="006B1EF1"/>
    <w:rsid w:val="006B22D6"/>
    <w:rsid w:val="006B2326"/>
    <w:rsid w:val="006B23E3"/>
    <w:rsid w:val="006B2467"/>
    <w:rsid w:val="006B2567"/>
    <w:rsid w:val="006B28FF"/>
    <w:rsid w:val="006B29B6"/>
    <w:rsid w:val="006B2B7A"/>
    <w:rsid w:val="006B2E53"/>
    <w:rsid w:val="006B301D"/>
    <w:rsid w:val="006B3120"/>
    <w:rsid w:val="006B31DE"/>
    <w:rsid w:val="006B32EF"/>
    <w:rsid w:val="006B334B"/>
    <w:rsid w:val="006B3463"/>
    <w:rsid w:val="006B3593"/>
    <w:rsid w:val="006B35A5"/>
    <w:rsid w:val="006B3747"/>
    <w:rsid w:val="006B3A29"/>
    <w:rsid w:val="006B3BCE"/>
    <w:rsid w:val="006B3C53"/>
    <w:rsid w:val="006B3C95"/>
    <w:rsid w:val="006B3C99"/>
    <w:rsid w:val="006B3D3D"/>
    <w:rsid w:val="006B3DB7"/>
    <w:rsid w:val="006B40D2"/>
    <w:rsid w:val="006B4124"/>
    <w:rsid w:val="006B418F"/>
    <w:rsid w:val="006B4483"/>
    <w:rsid w:val="006B454B"/>
    <w:rsid w:val="006B457E"/>
    <w:rsid w:val="006B45D3"/>
    <w:rsid w:val="006B4642"/>
    <w:rsid w:val="006B4657"/>
    <w:rsid w:val="006B4801"/>
    <w:rsid w:val="006B4871"/>
    <w:rsid w:val="006B4933"/>
    <w:rsid w:val="006B4A11"/>
    <w:rsid w:val="006B4ACC"/>
    <w:rsid w:val="006B4AF5"/>
    <w:rsid w:val="006B4B9E"/>
    <w:rsid w:val="006B4D80"/>
    <w:rsid w:val="006B50A7"/>
    <w:rsid w:val="006B519C"/>
    <w:rsid w:val="006B5501"/>
    <w:rsid w:val="006B55C5"/>
    <w:rsid w:val="006B5858"/>
    <w:rsid w:val="006B591D"/>
    <w:rsid w:val="006B5BE3"/>
    <w:rsid w:val="006B5F0A"/>
    <w:rsid w:val="006B5F38"/>
    <w:rsid w:val="006B613C"/>
    <w:rsid w:val="006B65D0"/>
    <w:rsid w:val="006B6602"/>
    <w:rsid w:val="006B67BA"/>
    <w:rsid w:val="006B6DA4"/>
    <w:rsid w:val="006B6F2A"/>
    <w:rsid w:val="006B70C1"/>
    <w:rsid w:val="006B7535"/>
    <w:rsid w:val="006B753D"/>
    <w:rsid w:val="006B7722"/>
    <w:rsid w:val="006B79A2"/>
    <w:rsid w:val="006B7B4F"/>
    <w:rsid w:val="006B7BBA"/>
    <w:rsid w:val="006B7BE5"/>
    <w:rsid w:val="006B7EFF"/>
    <w:rsid w:val="006C0025"/>
    <w:rsid w:val="006C007A"/>
    <w:rsid w:val="006C0235"/>
    <w:rsid w:val="006C0468"/>
    <w:rsid w:val="006C0AB8"/>
    <w:rsid w:val="006C0BB8"/>
    <w:rsid w:val="006C0C79"/>
    <w:rsid w:val="006C0D51"/>
    <w:rsid w:val="006C0D5C"/>
    <w:rsid w:val="006C0E06"/>
    <w:rsid w:val="006C0FC4"/>
    <w:rsid w:val="006C0FE4"/>
    <w:rsid w:val="006C10DF"/>
    <w:rsid w:val="006C1247"/>
    <w:rsid w:val="006C1511"/>
    <w:rsid w:val="006C16C4"/>
    <w:rsid w:val="006C17AA"/>
    <w:rsid w:val="006C17CD"/>
    <w:rsid w:val="006C1BC8"/>
    <w:rsid w:val="006C1D98"/>
    <w:rsid w:val="006C1DF5"/>
    <w:rsid w:val="006C1E38"/>
    <w:rsid w:val="006C1E53"/>
    <w:rsid w:val="006C23CE"/>
    <w:rsid w:val="006C27F1"/>
    <w:rsid w:val="006C282A"/>
    <w:rsid w:val="006C282D"/>
    <w:rsid w:val="006C28A0"/>
    <w:rsid w:val="006C2944"/>
    <w:rsid w:val="006C2B41"/>
    <w:rsid w:val="006C2BA6"/>
    <w:rsid w:val="006C2C1E"/>
    <w:rsid w:val="006C2DB6"/>
    <w:rsid w:val="006C2E0A"/>
    <w:rsid w:val="006C3058"/>
    <w:rsid w:val="006C3107"/>
    <w:rsid w:val="006C31AA"/>
    <w:rsid w:val="006C31F6"/>
    <w:rsid w:val="006C39B2"/>
    <w:rsid w:val="006C3A32"/>
    <w:rsid w:val="006C3A53"/>
    <w:rsid w:val="006C3ED6"/>
    <w:rsid w:val="006C45A5"/>
    <w:rsid w:val="006C45B4"/>
    <w:rsid w:val="006C468E"/>
    <w:rsid w:val="006C471E"/>
    <w:rsid w:val="006C473D"/>
    <w:rsid w:val="006C490D"/>
    <w:rsid w:val="006C4993"/>
    <w:rsid w:val="006C49CD"/>
    <w:rsid w:val="006C4C11"/>
    <w:rsid w:val="006C4C49"/>
    <w:rsid w:val="006C4C73"/>
    <w:rsid w:val="006C4DE3"/>
    <w:rsid w:val="006C5248"/>
    <w:rsid w:val="006C5503"/>
    <w:rsid w:val="006C55C1"/>
    <w:rsid w:val="006C56B0"/>
    <w:rsid w:val="006C57C7"/>
    <w:rsid w:val="006C57D4"/>
    <w:rsid w:val="006C583A"/>
    <w:rsid w:val="006C597B"/>
    <w:rsid w:val="006C59C8"/>
    <w:rsid w:val="006C5C9A"/>
    <w:rsid w:val="006C5D79"/>
    <w:rsid w:val="006C6152"/>
    <w:rsid w:val="006C636A"/>
    <w:rsid w:val="006C66DA"/>
    <w:rsid w:val="006C66F1"/>
    <w:rsid w:val="006C675E"/>
    <w:rsid w:val="006C688F"/>
    <w:rsid w:val="006C6932"/>
    <w:rsid w:val="006C6987"/>
    <w:rsid w:val="006C6BF3"/>
    <w:rsid w:val="006C6D8D"/>
    <w:rsid w:val="006C72FB"/>
    <w:rsid w:val="006C73AB"/>
    <w:rsid w:val="006C74B3"/>
    <w:rsid w:val="006C756E"/>
    <w:rsid w:val="006C75CF"/>
    <w:rsid w:val="006C773B"/>
    <w:rsid w:val="006C79DD"/>
    <w:rsid w:val="006C7A62"/>
    <w:rsid w:val="006C7B9F"/>
    <w:rsid w:val="006C7D1A"/>
    <w:rsid w:val="006C7F39"/>
    <w:rsid w:val="006D02D4"/>
    <w:rsid w:val="006D02EC"/>
    <w:rsid w:val="006D0494"/>
    <w:rsid w:val="006D06EE"/>
    <w:rsid w:val="006D07B4"/>
    <w:rsid w:val="006D08D9"/>
    <w:rsid w:val="006D0B44"/>
    <w:rsid w:val="006D0DF8"/>
    <w:rsid w:val="006D1183"/>
    <w:rsid w:val="006D1216"/>
    <w:rsid w:val="006D1397"/>
    <w:rsid w:val="006D170F"/>
    <w:rsid w:val="006D1768"/>
    <w:rsid w:val="006D1794"/>
    <w:rsid w:val="006D193C"/>
    <w:rsid w:val="006D1A01"/>
    <w:rsid w:val="006D1BB2"/>
    <w:rsid w:val="006D1CB1"/>
    <w:rsid w:val="006D1FC0"/>
    <w:rsid w:val="006D1FF5"/>
    <w:rsid w:val="006D2174"/>
    <w:rsid w:val="006D2260"/>
    <w:rsid w:val="006D2492"/>
    <w:rsid w:val="006D24DD"/>
    <w:rsid w:val="006D254B"/>
    <w:rsid w:val="006D2745"/>
    <w:rsid w:val="006D2A3F"/>
    <w:rsid w:val="006D2BBB"/>
    <w:rsid w:val="006D2C02"/>
    <w:rsid w:val="006D2CD6"/>
    <w:rsid w:val="006D2F7E"/>
    <w:rsid w:val="006D3267"/>
    <w:rsid w:val="006D32AF"/>
    <w:rsid w:val="006D3386"/>
    <w:rsid w:val="006D3409"/>
    <w:rsid w:val="006D378F"/>
    <w:rsid w:val="006D37B1"/>
    <w:rsid w:val="006D3836"/>
    <w:rsid w:val="006D397B"/>
    <w:rsid w:val="006D3D53"/>
    <w:rsid w:val="006D41E4"/>
    <w:rsid w:val="006D42CF"/>
    <w:rsid w:val="006D4393"/>
    <w:rsid w:val="006D44F1"/>
    <w:rsid w:val="006D4525"/>
    <w:rsid w:val="006D45EE"/>
    <w:rsid w:val="006D45F4"/>
    <w:rsid w:val="006D46BD"/>
    <w:rsid w:val="006D4795"/>
    <w:rsid w:val="006D4876"/>
    <w:rsid w:val="006D4878"/>
    <w:rsid w:val="006D49FB"/>
    <w:rsid w:val="006D4CF2"/>
    <w:rsid w:val="006D4D32"/>
    <w:rsid w:val="006D4E20"/>
    <w:rsid w:val="006D51AE"/>
    <w:rsid w:val="006D52E4"/>
    <w:rsid w:val="006D542C"/>
    <w:rsid w:val="006D5643"/>
    <w:rsid w:val="006D5681"/>
    <w:rsid w:val="006D5770"/>
    <w:rsid w:val="006D57E9"/>
    <w:rsid w:val="006D5897"/>
    <w:rsid w:val="006D5ABA"/>
    <w:rsid w:val="006D5ACE"/>
    <w:rsid w:val="006D5C03"/>
    <w:rsid w:val="006D5C96"/>
    <w:rsid w:val="006D5D4A"/>
    <w:rsid w:val="006D5E6D"/>
    <w:rsid w:val="006D5F3C"/>
    <w:rsid w:val="006D5F72"/>
    <w:rsid w:val="006D65F7"/>
    <w:rsid w:val="006D669E"/>
    <w:rsid w:val="006D66DF"/>
    <w:rsid w:val="006D671B"/>
    <w:rsid w:val="006D6CAF"/>
    <w:rsid w:val="006D6ED7"/>
    <w:rsid w:val="006D7071"/>
    <w:rsid w:val="006D7120"/>
    <w:rsid w:val="006D71F6"/>
    <w:rsid w:val="006D7502"/>
    <w:rsid w:val="006D78BC"/>
    <w:rsid w:val="006D7A41"/>
    <w:rsid w:val="006D7CA8"/>
    <w:rsid w:val="006D7CF1"/>
    <w:rsid w:val="006D7D1A"/>
    <w:rsid w:val="006D7E04"/>
    <w:rsid w:val="006E040B"/>
    <w:rsid w:val="006E04B6"/>
    <w:rsid w:val="006E085D"/>
    <w:rsid w:val="006E0997"/>
    <w:rsid w:val="006E09A8"/>
    <w:rsid w:val="006E0B54"/>
    <w:rsid w:val="006E0FCD"/>
    <w:rsid w:val="006E0FF2"/>
    <w:rsid w:val="006E109E"/>
    <w:rsid w:val="006E14B2"/>
    <w:rsid w:val="006E15D4"/>
    <w:rsid w:val="006E1836"/>
    <w:rsid w:val="006E1989"/>
    <w:rsid w:val="006E1ACD"/>
    <w:rsid w:val="006E1C99"/>
    <w:rsid w:val="006E1CF5"/>
    <w:rsid w:val="006E1E93"/>
    <w:rsid w:val="006E1EFD"/>
    <w:rsid w:val="006E1F1E"/>
    <w:rsid w:val="006E2032"/>
    <w:rsid w:val="006E21B2"/>
    <w:rsid w:val="006E2210"/>
    <w:rsid w:val="006E25A3"/>
    <w:rsid w:val="006E27A7"/>
    <w:rsid w:val="006E2A0D"/>
    <w:rsid w:val="006E2D6B"/>
    <w:rsid w:val="006E2DD0"/>
    <w:rsid w:val="006E2EA6"/>
    <w:rsid w:val="006E2F70"/>
    <w:rsid w:val="006E2FFD"/>
    <w:rsid w:val="006E30AB"/>
    <w:rsid w:val="006E375E"/>
    <w:rsid w:val="006E395D"/>
    <w:rsid w:val="006E3ADB"/>
    <w:rsid w:val="006E3FA7"/>
    <w:rsid w:val="006E3FAB"/>
    <w:rsid w:val="006E4151"/>
    <w:rsid w:val="006E41C8"/>
    <w:rsid w:val="006E438C"/>
    <w:rsid w:val="006E492E"/>
    <w:rsid w:val="006E49B4"/>
    <w:rsid w:val="006E4DEC"/>
    <w:rsid w:val="006E52EE"/>
    <w:rsid w:val="006E5367"/>
    <w:rsid w:val="006E56C8"/>
    <w:rsid w:val="006E574C"/>
    <w:rsid w:val="006E578D"/>
    <w:rsid w:val="006E591C"/>
    <w:rsid w:val="006E5B3F"/>
    <w:rsid w:val="006E5B4A"/>
    <w:rsid w:val="006E5BAE"/>
    <w:rsid w:val="006E5C58"/>
    <w:rsid w:val="006E5FE3"/>
    <w:rsid w:val="006E6304"/>
    <w:rsid w:val="006E6325"/>
    <w:rsid w:val="006E66B9"/>
    <w:rsid w:val="006E66C4"/>
    <w:rsid w:val="006E6787"/>
    <w:rsid w:val="006E6933"/>
    <w:rsid w:val="006E6A3B"/>
    <w:rsid w:val="006E6AE3"/>
    <w:rsid w:val="006E6F18"/>
    <w:rsid w:val="006E6F1D"/>
    <w:rsid w:val="006E6F8D"/>
    <w:rsid w:val="006E76E8"/>
    <w:rsid w:val="006E7762"/>
    <w:rsid w:val="006E79DC"/>
    <w:rsid w:val="006E7B54"/>
    <w:rsid w:val="006E7EE5"/>
    <w:rsid w:val="006E7FD8"/>
    <w:rsid w:val="006F02AD"/>
    <w:rsid w:val="006F054B"/>
    <w:rsid w:val="006F0557"/>
    <w:rsid w:val="006F0855"/>
    <w:rsid w:val="006F0886"/>
    <w:rsid w:val="006F0C76"/>
    <w:rsid w:val="006F125A"/>
    <w:rsid w:val="006F13E3"/>
    <w:rsid w:val="006F1673"/>
    <w:rsid w:val="006F18CD"/>
    <w:rsid w:val="006F1978"/>
    <w:rsid w:val="006F1A03"/>
    <w:rsid w:val="006F1B11"/>
    <w:rsid w:val="006F1B9F"/>
    <w:rsid w:val="006F1C33"/>
    <w:rsid w:val="006F1ED8"/>
    <w:rsid w:val="006F1FCA"/>
    <w:rsid w:val="006F1FE8"/>
    <w:rsid w:val="006F21FC"/>
    <w:rsid w:val="006F22F9"/>
    <w:rsid w:val="006F2384"/>
    <w:rsid w:val="006F24EE"/>
    <w:rsid w:val="006F2570"/>
    <w:rsid w:val="006F27C8"/>
    <w:rsid w:val="006F2EDF"/>
    <w:rsid w:val="006F300B"/>
    <w:rsid w:val="006F3218"/>
    <w:rsid w:val="006F32EC"/>
    <w:rsid w:val="006F3637"/>
    <w:rsid w:val="006F3648"/>
    <w:rsid w:val="006F385A"/>
    <w:rsid w:val="006F392C"/>
    <w:rsid w:val="006F39EA"/>
    <w:rsid w:val="006F39EE"/>
    <w:rsid w:val="006F3C98"/>
    <w:rsid w:val="006F3D54"/>
    <w:rsid w:val="006F4135"/>
    <w:rsid w:val="006F417D"/>
    <w:rsid w:val="006F41AF"/>
    <w:rsid w:val="006F43FD"/>
    <w:rsid w:val="006F4BE9"/>
    <w:rsid w:val="006F4E00"/>
    <w:rsid w:val="006F4FD0"/>
    <w:rsid w:val="006F5324"/>
    <w:rsid w:val="006F55CE"/>
    <w:rsid w:val="006F5DC7"/>
    <w:rsid w:val="006F5E44"/>
    <w:rsid w:val="006F5EC4"/>
    <w:rsid w:val="006F61B3"/>
    <w:rsid w:val="006F61F0"/>
    <w:rsid w:val="006F6260"/>
    <w:rsid w:val="006F6500"/>
    <w:rsid w:val="006F6652"/>
    <w:rsid w:val="006F6703"/>
    <w:rsid w:val="006F67EF"/>
    <w:rsid w:val="006F6A30"/>
    <w:rsid w:val="006F706C"/>
    <w:rsid w:val="006F70B9"/>
    <w:rsid w:val="006F7491"/>
    <w:rsid w:val="006F749E"/>
    <w:rsid w:val="006F751B"/>
    <w:rsid w:val="006F76D2"/>
    <w:rsid w:val="006F783F"/>
    <w:rsid w:val="006F7872"/>
    <w:rsid w:val="006F7CD5"/>
    <w:rsid w:val="006F7FD2"/>
    <w:rsid w:val="00700101"/>
    <w:rsid w:val="0070014D"/>
    <w:rsid w:val="007001BD"/>
    <w:rsid w:val="00700680"/>
    <w:rsid w:val="00700935"/>
    <w:rsid w:val="00700C7B"/>
    <w:rsid w:val="00700CAA"/>
    <w:rsid w:val="00700D09"/>
    <w:rsid w:val="00700D43"/>
    <w:rsid w:val="007010AB"/>
    <w:rsid w:val="007012BA"/>
    <w:rsid w:val="007012F0"/>
    <w:rsid w:val="0070130D"/>
    <w:rsid w:val="0070146A"/>
    <w:rsid w:val="007014F8"/>
    <w:rsid w:val="007015B8"/>
    <w:rsid w:val="007015F3"/>
    <w:rsid w:val="0070173D"/>
    <w:rsid w:val="00701774"/>
    <w:rsid w:val="0070185D"/>
    <w:rsid w:val="00701AEF"/>
    <w:rsid w:val="00701BE8"/>
    <w:rsid w:val="00701CF9"/>
    <w:rsid w:val="00701E04"/>
    <w:rsid w:val="007022D3"/>
    <w:rsid w:val="007023CF"/>
    <w:rsid w:val="00702504"/>
    <w:rsid w:val="007025D3"/>
    <w:rsid w:val="00702E6E"/>
    <w:rsid w:val="00703840"/>
    <w:rsid w:val="00703868"/>
    <w:rsid w:val="0070397E"/>
    <w:rsid w:val="007039E1"/>
    <w:rsid w:val="00703A98"/>
    <w:rsid w:val="00703AF2"/>
    <w:rsid w:val="00703BA4"/>
    <w:rsid w:val="00703D16"/>
    <w:rsid w:val="0070416A"/>
    <w:rsid w:val="007042DE"/>
    <w:rsid w:val="00704430"/>
    <w:rsid w:val="0070444F"/>
    <w:rsid w:val="007044CB"/>
    <w:rsid w:val="007046F3"/>
    <w:rsid w:val="00704701"/>
    <w:rsid w:val="00704942"/>
    <w:rsid w:val="00704A4F"/>
    <w:rsid w:val="00704D1C"/>
    <w:rsid w:val="00704F40"/>
    <w:rsid w:val="0070500F"/>
    <w:rsid w:val="00705089"/>
    <w:rsid w:val="00705281"/>
    <w:rsid w:val="007052ED"/>
    <w:rsid w:val="007054C1"/>
    <w:rsid w:val="00705806"/>
    <w:rsid w:val="007059C9"/>
    <w:rsid w:val="00705A1A"/>
    <w:rsid w:val="00705A99"/>
    <w:rsid w:val="00705BDE"/>
    <w:rsid w:val="00705D04"/>
    <w:rsid w:val="00705D55"/>
    <w:rsid w:val="00705D5C"/>
    <w:rsid w:val="00705E41"/>
    <w:rsid w:val="00705EBC"/>
    <w:rsid w:val="00706117"/>
    <w:rsid w:val="00706224"/>
    <w:rsid w:val="0070641D"/>
    <w:rsid w:val="00706489"/>
    <w:rsid w:val="00706808"/>
    <w:rsid w:val="00706866"/>
    <w:rsid w:val="007069BA"/>
    <w:rsid w:val="00706A55"/>
    <w:rsid w:val="00706B59"/>
    <w:rsid w:val="00706C98"/>
    <w:rsid w:val="00706D04"/>
    <w:rsid w:val="00706D1F"/>
    <w:rsid w:val="00706F2E"/>
    <w:rsid w:val="00707125"/>
    <w:rsid w:val="0070726A"/>
    <w:rsid w:val="007072F8"/>
    <w:rsid w:val="00707582"/>
    <w:rsid w:val="00707684"/>
    <w:rsid w:val="00707777"/>
    <w:rsid w:val="00707789"/>
    <w:rsid w:val="00707832"/>
    <w:rsid w:val="007078E6"/>
    <w:rsid w:val="0070791A"/>
    <w:rsid w:val="00707DDA"/>
    <w:rsid w:val="00707EAE"/>
    <w:rsid w:val="00710513"/>
    <w:rsid w:val="00710662"/>
    <w:rsid w:val="00710863"/>
    <w:rsid w:val="00710ADF"/>
    <w:rsid w:val="00710C94"/>
    <w:rsid w:val="00710DC3"/>
    <w:rsid w:val="00710DCB"/>
    <w:rsid w:val="00710F47"/>
    <w:rsid w:val="0071149C"/>
    <w:rsid w:val="00711772"/>
    <w:rsid w:val="00711911"/>
    <w:rsid w:val="0071197A"/>
    <w:rsid w:val="007119EE"/>
    <w:rsid w:val="00711A33"/>
    <w:rsid w:val="00711BAB"/>
    <w:rsid w:val="00711F55"/>
    <w:rsid w:val="00711F78"/>
    <w:rsid w:val="00712143"/>
    <w:rsid w:val="007123D2"/>
    <w:rsid w:val="0071254E"/>
    <w:rsid w:val="007125F7"/>
    <w:rsid w:val="00712641"/>
    <w:rsid w:val="0071295C"/>
    <w:rsid w:val="00712DF5"/>
    <w:rsid w:val="00712FAA"/>
    <w:rsid w:val="00712FE1"/>
    <w:rsid w:val="007130D8"/>
    <w:rsid w:val="00713600"/>
    <w:rsid w:val="007137C7"/>
    <w:rsid w:val="0071381D"/>
    <w:rsid w:val="007139E2"/>
    <w:rsid w:val="00713AA5"/>
    <w:rsid w:val="00713AF9"/>
    <w:rsid w:val="00713B00"/>
    <w:rsid w:val="00713B33"/>
    <w:rsid w:val="00713C50"/>
    <w:rsid w:val="00713D18"/>
    <w:rsid w:val="00713FE1"/>
    <w:rsid w:val="0071405C"/>
    <w:rsid w:val="007141F3"/>
    <w:rsid w:val="00714574"/>
    <w:rsid w:val="00714967"/>
    <w:rsid w:val="00714978"/>
    <w:rsid w:val="00714A77"/>
    <w:rsid w:val="00714CF7"/>
    <w:rsid w:val="00714D06"/>
    <w:rsid w:val="007152DB"/>
    <w:rsid w:val="0071547A"/>
    <w:rsid w:val="007154F4"/>
    <w:rsid w:val="0071556C"/>
    <w:rsid w:val="00715624"/>
    <w:rsid w:val="0071566C"/>
    <w:rsid w:val="00715692"/>
    <w:rsid w:val="00715728"/>
    <w:rsid w:val="007158A2"/>
    <w:rsid w:val="00715B69"/>
    <w:rsid w:val="00715D33"/>
    <w:rsid w:val="00715E9C"/>
    <w:rsid w:val="00715F2F"/>
    <w:rsid w:val="00715F92"/>
    <w:rsid w:val="00716221"/>
    <w:rsid w:val="00716239"/>
    <w:rsid w:val="007162CA"/>
    <w:rsid w:val="0071639D"/>
    <w:rsid w:val="00716441"/>
    <w:rsid w:val="007164FA"/>
    <w:rsid w:val="00716683"/>
    <w:rsid w:val="00716755"/>
    <w:rsid w:val="007169A9"/>
    <w:rsid w:val="00716A1B"/>
    <w:rsid w:val="00716BC5"/>
    <w:rsid w:val="00716CE7"/>
    <w:rsid w:val="00716D0B"/>
    <w:rsid w:val="00716D5A"/>
    <w:rsid w:val="00716DB5"/>
    <w:rsid w:val="00716E0D"/>
    <w:rsid w:val="007173C7"/>
    <w:rsid w:val="007173EF"/>
    <w:rsid w:val="007177C7"/>
    <w:rsid w:val="00717803"/>
    <w:rsid w:val="0071781E"/>
    <w:rsid w:val="00717EBB"/>
    <w:rsid w:val="00720017"/>
    <w:rsid w:val="00720193"/>
    <w:rsid w:val="0072039A"/>
    <w:rsid w:val="007204C2"/>
    <w:rsid w:val="0072063F"/>
    <w:rsid w:val="0072074E"/>
    <w:rsid w:val="00720777"/>
    <w:rsid w:val="007207AD"/>
    <w:rsid w:val="00720804"/>
    <w:rsid w:val="00720AD2"/>
    <w:rsid w:val="00720B3A"/>
    <w:rsid w:val="00720BEA"/>
    <w:rsid w:val="00720CC5"/>
    <w:rsid w:val="00720DC5"/>
    <w:rsid w:val="00720E3B"/>
    <w:rsid w:val="00720FA2"/>
    <w:rsid w:val="00721472"/>
    <w:rsid w:val="007214E5"/>
    <w:rsid w:val="007216D0"/>
    <w:rsid w:val="007217EA"/>
    <w:rsid w:val="00721833"/>
    <w:rsid w:val="00721929"/>
    <w:rsid w:val="00721BAD"/>
    <w:rsid w:val="00721FE9"/>
    <w:rsid w:val="00722151"/>
    <w:rsid w:val="0072222B"/>
    <w:rsid w:val="00722552"/>
    <w:rsid w:val="00722634"/>
    <w:rsid w:val="007227AE"/>
    <w:rsid w:val="00722A95"/>
    <w:rsid w:val="00722BD1"/>
    <w:rsid w:val="00722BF4"/>
    <w:rsid w:val="00722C88"/>
    <w:rsid w:val="00722E28"/>
    <w:rsid w:val="00722F97"/>
    <w:rsid w:val="00723030"/>
    <w:rsid w:val="007230A6"/>
    <w:rsid w:val="007231AE"/>
    <w:rsid w:val="007232C9"/>
    <w:rsid w:val="0072334D"/>
    <w:rsid w:val="007234F1"/>
    <w:rsid w:val="007236CE"/>
    <w:rsid w:val="007237A7"/>
    <w:rsid w:val="00723805"/>
    <w:rsid w:val="007238EE"/>
    <w:rsid w:val="00723D96"/>
    <w:rsid w:val="0072401B"/>
    <w:rsid w:val="0072403F"/>
    <w:rsid w:val="00724111"/>
    <w:rsid w:val="00724140"/>
    <w:rsid w:val="007241E1"/>
    <w:rsid w:val="007242B9"/>
    <w:rsid w:val="0072443C"/>
    <w:rsid w:val="007244D4"/>
    <w:rsid w:val="007245DB"/>
    <w:rsid w:val="00724617"/>
    <w:rsid w:val="00724813"/>
    <w:rsid w:val="0072485B"/>
    <w:rsid w:val="007248BA"/>
    <w:rsid w:val="007248D8"/>
    <w:rsid w:val="00724A6B"/>
    <w:rsid w:val="00724AB9"/>
    <w:rsid w:val="00724ABD"/>
    <w:rsid w:val="00724B80"/>
    <w:rsid w:val="00724B8A"/>
    <w:rsid w:val="00724BC7"/>
    <w:rsid w:val="00724BFE"/>
    <w:rsid w:val="00724C2C"/>
    <w:rsid w:val="007251C9"/>
    <w:rsid w:val="0072523C"/>
    <w:rsid w:val="007253AF"/>
    <w:rsid w:val="00725470"/>
    <w:rsid w:val="007254C8"/>
    <w:rsid w:val="0072582E"/>
    <w:rsid w:val="007258CB"/>
    <w:rsid w:val="007259C2"/>
    <w:rsid w:val="00725C43"/>
    <w:rsid w:val="00725D71"/>
    <w:rsid w:val="00725E40"/>
    <w:rsid w:val="00725FB5"/>
    <w:rsid w:val="0072627D"/>
    <w:rsid w:val="00726372"/>
    <w:rsid w:val="0072670C"/>
    <w:rsid w:val="007267A8"/>
    <w:rsid w:val="00726ABA"/>
    <w:rsid w:val="00726BF5"/>
    <w:rsid w:val="00726C90"/>
    <w:rsid w:val="00726F8F"/>
    <w:rsid w:val="007272CA"/>
    <w:rsid w:val="007272DF"/>
    <w:rsid w:val="007273AA"/>
    <w:rsid w:val="007275F9"/>
    <w:rsid w:val="0072788A"/>
    <w:rsid w:val="007278BB"/>
    <w:rsid w:val="00727BD5"/>
    <w:rsid w:val="00727CFD"/>
    <w:rsid w:val="00727DCE"/>
    <w:rsid w:val="00727F5D"/>
    <w:rsid w:val="007301B0"/>
    <w:rsid w:val="0073030E"/>
    <w:rsid w:val="007303D0"/>
    <w:rsid w:val="00730685"/>
    <w:rsid w:val="007306FC"/>
    <w:rsid w:val="0073070A"/>
    <w:rsid w:val="007307F8"/>
    <w:rsid w:val="0073098F"/>
    <w:rsid w:val="00730BAE"/>
    <w:rsid w:val="00730D91"/>
    <w:rsid w:val="00730FD5"/>
    <w:rsid w:val="00730FEB"/>
    <w:rsid w:val="007312F1"/>
    <w:rsid w:val="007313B1"/>
    <w:rsid w:val="0073147A"/>
    <w:rsid w:val="00731657"/>
    <w:rsid w:val="0073165F"/>
    <w:rsid w:val="00731711"/>
    <w:rsid w:val="0073171C"/>
    <w:rsid w:val="00731799"/>
    <w:rsid w:val="00731821"/>
    <w:rsid w:val="00731867"/>
    <w:rsid w:val="00731973"/>
    <w:rsid w:val="00731C98"/>
    <w:rsid w:val="00731FC1"/>
    <w:rsid w:val="007320B3"/>
    <w:rsid w:val="00732114"/>
    <w:rsid w:val="00732376"/>
    <w:rsid w:val="007325ED"/>
    <w:rsid w:val="007328ED"/>
    <w:rsid w:val="00732929"/>
    <w:rsid w:val="00732A01"/>
    <w:rsid w:val="00732B18"/>
    <w:rsid w:val="00732B1C"/>
    <w:rsid w:val="00732D91"/>
    <w:rsid w:val="0073309D"/>
    <w:rsid w:val="007330EE"/>
    <w:rsid w:val="0073333D"/>
    <w:rsid w:val="00734199"/>
    <w:rsid w:val="007341E3"/>
    <w:rsid w:val="0073423C"/>
    <w:rsid w:val="007343B5"/>
    <w:rsid w:val="007343E0"/>
    <w:rsid w:val="00734425"/>
    <w:rsid w:val="007344A8"/>
    <w:rsid w:val="00734507"/>
    <w:rsid w:val="007345A0"/>
    <w:rsid w:val="0073489A"/>
    <w:rsid w:val="00734BED"/>
    <w:rsid w:val="00734CC0"/>
    <w:rsid w:val="00734D00"/>
    <w:rsid w:val="00734D23"/>
    <w:rsid w:val="00734D4E"/>
    <w:rsid w:val="00734D55"/>
    <w:rsid w:val="00734F3A"/>
    <w:rsid w:val="00734FFD"/>
    <w:rsid w:val="0073520D"/>
    <w:rsid w:val="007353DE"/>
    <w:rsid w:val="007354F7"/>
    <w:rsid w:val="007355DB"/>
    <w:rsid w:val="0073569E"/>
    <w:rsid w:val="007356E5"/>
    <w:rsid w:val="007356F1"/>
    <w:rsid w:val="007357FB"/>
    <w:rsid w:val="00735D2C"/>
    <w:rsid w:val="00735E93"/>
    <w:rsid w:val="00735FC3"/>
    <w:rsid w:val="00736123"/>
    <w:rsid w:val="00736279"/>
    <w:rsid w:val="0073651E"/>
    <w:rsid w:val="00736534"/>
    <w:rsid w:val="007365C1"/>
    <w:rsid w:val="007367A3"/>
    <w:rsid w:val="007367AA"/>
    <w:rsid w:val="00736863"/>
    <w:rsid w:val="00736AAF"/>
    <w:rsid w:val="00736B5F"/>
    <w:rsid w:val="00736B6A"/>
    <w:rsid w:val="00736BAD"/>
    <w:rsid w:val="00736C8B"/>
    <w:rsid w:val="00737006"/>
    <w:rsid w:val="007371EC"/>
    <w:rsid w:val="007373E1"/>
    <w:rsid w:val="007375C4"/>
    <w:rsid w:val="00737A7A"/>
    <w:rsid w:val="00737BB3"/>
    <w:rsid w:val="00737D1C"/>
    <w:rsid w:val="00737EA5"/>
    <w:rsid w:val="007400C9"/>
    <w:rsid w:val="0074015D"/>
    <w:rsid w:val="007401D3"/>
    <w:rsid w:val="00740452"/>
    <w:rsid w:val="007404D9"/>
    <w:rsid w:val="00740649"/>
    <w:rsid w:val="007407AE"/>
    <w:rsid w:val="00740949"/>
    <w:rsid w:val="00740982"/>
    <w:rsid w:val="00740A63"/>
    <w:rsid w:val="00740B83"/>
    <w:rsid w:val="00740C76"/>
    <w:rsid w:val="00740E62"/>
    <w:rsid w:val="00740F1E"/>
    <w:rsid w:val="00740FEC"/>
    <w:rsid w:val="00741134"/>
    <w:rsid w:val="00741572"/>
    <w:rsid w:val="00741972"/>
    <w:rsid w:val="00741B26"/>
    <w:rsid w:val="00741E4C"/>
    <w:rsid w:val="00741F63"/>
    <w:rsid w:val="0074209D"/>
    <w:rsid w:val="00742141"/>
    <w:rsid w:val="007421A7"/>
    <w:rsid w:val="0074240B"/>
    <w:rsid w:val="0074275C"/>
    <w:rsid w:val="0074281A"/>
    <w:rsid w:val="00742956"/>
    <w:rsid w:val="00742D07"/>
    <w:rsid w:val="00742E59"/>
    <w:rsid w:val="00743141"/>
    <w:rsid w:val="0074323B"/>
    <w:rsid w:val="00743719"/>
    <w:rsid w:val="00743791"/>
    <w:rsid w:val="007437D1"/>
    <w:rsid w:val="00743921"/>
    <w:rsid w:val="007439E1"/>
    <w:rsid w:val="00743B09"/>
    <w:rsid w:val="00743B0B"/>
    <w:rsid w:val="00743D12"/>
    <w:rsid w:val="00743D18"/>
    <w:rsid w:val="00743F51"/>
    <w:rsid w:val="00743FF9"/>
    <w:rsid w:val="00744020"/>
    <w:rsid w:val="0074405B"/>
    <w:rsid w:val="00744074"/>
    <w:rsid w:val="00744259"/>
    <w:rsid w:val="0074431A"/>
    <w:rsid w:val="00744891"/>
    <w:rsid w:val="00744945"/>
    <w:rsid w:val="007449EF"/>
    <w:rsid w:val="00744A43"/>
    <w:rsid w:val="00744C25"/>
    <w:rsid w:val="00744E56"/>
    <w:rsid w:val="0074528F"/>
    <w:rsid w:val="007453D2"/>
    <w:rsid w:val="00745405"/>
    <w:rsid w:val="007454D4"/>
    <w:rsid w:val="0074556B"/>
    <w:rsid w:val="0074567A"/>
    <w:rsid w:val="00745714"/>
    <w:rsid w:val="00745776"/>
    <w:rsid w:val="0074596F"/>
    <w:rsid w:val="00745A07"/>
    <w:rsid w:val="00745B15"/>
    <w:rsid w:val="00745DA7"/>
    <w:rsid w:val="00745DCD"/>
    <w:rsid w:val="00745F3A"/>
    <w:rsid w:val="007461DA"/>
    <w:rsid w:val="007462C5"/>
    <w:rsid w:val="007464B9"/>
    <w:rsid w:val="007464CF"/>
    <w:rsid w:val="007465A1"/>
    <w:rsid w:val="00746A30"/>
    <w:rsid w:val="00746D17"/>
    <w:rsid w:val="00746DCA"/>
    <w:rsid w:val="00746DD5"/>
    <w:rsid w:val="00746F1C"/>
    <w:rsid w:val="0074707F"/>
    <w:rsid w:val="00747104"/>
    <w:rsid w:val="007472F5"/>
    <w:rsid w:val="0074751C"/>
    <w:rsid w:val="00747AB9"/>
    <w:rsid w:val="00747BCF"/>
    <w:rsid w:val="00747D6B"/>
    <w:rsid w:val="007501A2"/>
    <w:rsid w:val="007501DA"/>
    <w:rsid w:val="00750400"/>
    <w:rsid w:val="00750663"/>
    <w:rsid w:val="0075072D"/>
    <w:rsid w:val="00750816"/>
    <w:rsid w:val="007509CC"/>
    <w:rsid w:val="00750A3C"/>
    <w:rsid w:val="00750D9E"/>
    <w:rsid w:val="00750DAD"/>
    <w:rsid w:val="00750E32"/>
    <w:rsid w:val="00750E9B"/>
    <w:rsid w:val="00751038"/>
    <w:rsid w:val="00751047"/>
    <w:rsid w:val="0075118C"/>
    <w:rsid w:val="00751425"/>
    <w:rsid w:val="00751618"/>
    <w:rsid w:val="0075163C"/>
    <w:rsid w:val="00751804"/>
    <w:rsid w:val="00751BE1"/>
    <w:rsid w:val="00751F3B"/>
    <w:rsid w:val="0075200D"/>
    <w:rsid w:val="00752018"/>
    <w:rsid w:val="0075202F"/>
    <w:rsid w:val="0075226E"/>
    <w:rsid w:val="00752332"/>
    <w:rsid w:val="00752371"/>
    <w:rsid w:val="00752868"/>
    <w:rsid w:val="0075296A"/>
    <w:rsid w:val="00752EA7"/>
    <w:rsid w:val="00752FC4"/>
    <w:rsid w:val="00752FCA"/>
    <w:rsid w:val="00753336"/>
    <w:rsid w:val="00753353"/>
    <w:rsid w:val="00753574"/>
    <w:rsid w:val="00753611"/>
    <w:rsid w:val="00753686"/>
    <w:rsid w:val="0075369B"/>
    <w:rsid w:val="007537A6"/>
    <w:rsid w:val="007537C5"/>
    <w:rsid w:val="0075381C"/>
    <w:rsid w:val="00753887"/>
    <w:rsid w:val="007538C9"/>
    <w:rsid w:val="00753AF2"/>
    <w:rsid w:val="00753BC5"/>
    <w:rsid w:val="00753F8A"/>
    <w:rsid w:val="00754019"/>
    <w:rsid w:val="0075408B"/>
    <w:rsid w:val="00754696"/>
    <w:rsid w:val="007546A5"/>
    <w:rsid w:val="00754A3F"/>
    <w:rsid w:val="00754BDD"/>
    <w:rsid w:val="00754D09"/>
    <w:rsid w:val="007551C9"/>
    <w:rsid w:val="007552A9"/>
    <w:rsid w:val="007552AC"/>
    <w:rsid w:val="007552CA"/>
    <w:rsid w:val="00755C1A"/>
    <w:rsid w:val="00755F3E"/>
    <w:rsid w:val="00756047"/>
    <w:rsid w:val="0075616A"/>
    <w:rsid w:val="007561AF"/>
    <w:rsid w:val="007563B2"/>
    <w:rsid w:val="007563F0"/>
    <w:rsid w:val="007565D2"/>
    <w:rsid w:val="00756B41"/>
    <w:rsid w:val="00756B8C"/>
    <w:rsid w:val="00756DFB"/>
    <w:rsid w:val="00756E49"/>
    <w:rsid w:val="00756E98"/>
    <w:rsid w:val="00757002"/>
    <w:rsid w:val="00757450"/>
    <w:rsid w:val="00757481"/>
    <w:rsid w:val="0075765E"/>
    <w:rsid w:val="00757DE5"/>
    <w:rsid w:val="00757EB3"/>
    <w:rsid w:val="00757FFD"/>
    <w:rsid w:val="00760201"/>
    <w:rsid w:val="00760234"/>
    <w:rsid w:val="00760B42"/>
    <w:rsid w:val="00760B45"/>
    <w:rsid w:val="00760DDA"/>
    <w:rsid w:val="00760E4F"/>
    <w:rsid w:val="00760FE1"/>
    <w:rsid w:val="00761052"/>
    <w:rsid w:val="00761B09"/>
    <w:rsid w:val="00761BCC"/>
    <w:rsid w:val="00761FAD"/>
    <w:rsid w:val="00762258"/>
    <w:rsid w:val="00762357"/>
    <w:rsid w:val="0076245A"/>
    <w:rsid w:val="0076268B"/>
    <w:rsid w:val="007628D5"/>
    <w:rsid w:val="00762D82"/>
    <w:rsid w:val="00762FD2"/>
    <w:rsid w:val="00763330"/>
    <w:rsid w:val="007633EE"/>
    <w:rsid w:val="00763467"/>
    <w:rsid w:val="00763526"/>
    <w:rsid w:val="00763537"/>
    <w:rsid w:val="007636BB"/>
    <w:rsid w:val="00763848"/>
    <w:rsid w:val="0076387F"/>
    <w:rsid w:val="00763B27"/>
    <w:rsid w:val="00763D1F"/>
    <w:rsid w:val="00763DAF"/>
    <w:rsid w:val="00763DDC"/>
    <w:rsid w:val="007643F9"/>
    <w:rsid w:val="00764455"/>
    <w:rsid w:val="007646B2"/>
    <w:rsid w:val="0076479C"/>
    <w:rsid w:val="0076493C"/>
    <w:rsid w:val="007649AA"/>
    <w:rsid w:val="00764CA7"/>
    <w:rsid w:val="00764DB5"/>
    <w:rsid w:val="00764FA0"/>
    <w:rsid w:val="0076501B"/>
    <w:rsid w:val="007650DC"/>
    <w:rsid w:val="00765265"/>
    <w:rsid w:val="007652AA"/>
    <w:rsid w:val="007653EC"/>
    <w:rsid w:val="00765530"/>
    <w:rsid w:val="0076581D"/>
    <w:rsid w:val="00765BA3"/>
    <w:rsid w:val="00765EE1"/>
    <w:rsid w:val="00765F4A"/>
    <w:rsid w:val="00766006"/>
    <w:rsid w:val="00766073"/>
    <w:rsid w:val="007662E6"/>
    <w:rsid w:val="0076643E"/>
    <w:rsid w:val="0076647F"/>
    <w:rsid w:val="00766537"/>
    <w:rsid w:val="007667CB"/>
    <w:rsid w:val="007669C7"/>
    <w:rsid w:val="00766C8B"/>
    <w:rsid w:val="00766D02"/>
    <w:rsid w:val="00766EFA"/>
    <w:rsid w:val="00766FD3"/>
    <w:rsid w:val="0076733C"/>
    <w:rsid w:val="00767798"/>
    <w:rsid w:val="00767831"/>
    <w:rsid w:val="007678F3"/>
    <w:rsid w:val="0076797B"/>
    <w:rsid w:val="007679FF"/>
    <w:rsid w:val="00767BC5"/>
    <w:rsid w:val="00767C44"/>
    <w:rsid w:val="00767E25"/>
    <w:rsid w:val="00767EEA"/>
    <w:rsid w:val="00767F1F"/>
    <w:rsid w:val="00770026"/>
    <w:rsid w:val="0077004B"/>
    <w:rsid w:val="0077009A"/>
    <w:rsid w:val="007703AC"/>
    <w:rsid w:val="00770450"/>
    <w:rsid w:val="007704CE"/>
    <w:rsid w:val="00770592"/>
    <w:rsid w:val="007708AE"/>
    <w:rsid w:val="00770BBC"/>
    <w:rsid w:val="00770D5F"/>
    <w:rsid w:val="00770E07"/>
    <w:rsid w:val="00770EE4"/>
    <w:rsid w:val="00770F66"/>
    <w:rsid w:val="00770FBD"/>
    <w:rsid w:val="007710DC"/>
    <w:rsid w:val="007711E2"/>
    <w:rsid w:val="00771324"/>
    <w:rsid w:val="0077135F"/>
    <w:rsid w:val="0077136A"/>
    <w:rsid w:val="007716FD"/>
    <w:rsid w:val="007717D7"/>
    <w:rsid w:val="00771CDF"/>
    <w:rsid w:val="00771E72"/>
    <w:rsid w:val="0077229A"/>
    <w:rsid w:val="00772348"/>
    <w:rsid w:val="0077244A"/>
    <w:rsid w:val="00772481"/>
    <w:rsid w:val="00772530"/>
    <w:rsid w:val="007725D3"/>
    <w:rsid w:val="0077289B"/>
    <w:rsid w:val="0077290F"/>
    <w:rsid w:val="00772BA1"/>
    <w:rsid w:val="00772D48"/>
    <w:rsid w:val="00772D68"/>
    <w:rsid w:val="00772F2A"/>
    <w:rsid w:val="00772FA9"/>
    <w:rsid w:val="007731DB"/>
    <w:rsid w:val="007732F7"/>
    <w:rsid w:val="00773447"/>
    <w:rsid w:val="00773564"/>
    <w:rsid w:val="0077365E"/>
    <w:rsid w:val="00773825"/>
    <w:rsid w:val="00773B8D"/>
    <w:rsid w:val="00773C26"/>
    <w:rsid w:val="00773EFD"/>
    <w:rsid w:val="00773F58"/>
    <w:rsid w:val="00774103"/>
    <w:rsid w:val="007741FF"/>
    <w:rsid w:val="00774270"/>
    <w:rsid w:val="00774799"/>
    <w:rsid w:val="007747E0"/>
    <w:rsid w:val="00774C2B"/>
    <w:rsid w:val="00774C88"/>
    <w:rsid w:val="0077554B"/>
    <w:rsid w:val="00775637"/>
    <w:rsid w:val="00775C9E"/>
    <w:rsid w:val="00775CA3"/>
    <w:rsid w:val="00775D94"/>
    <w:rsid w:val="00775EDA"/>
    <w:rsid w:val="00776132"/>
    <w:rsid w:val="00776167"/>
    <w:rsid w:val="00776B18"/>
    <w:rsid w:val="007771BF"/>
    <w:rsid w:val="00777561"/>
    <w:rsid w:val="007777A9"/>
    <w:rsid w:val="007779D2"/>
    <w:rsid w:val="00777BBC"/>
    <w:rsid w:val="00777FA9"/>
    <w:rsid w:val="00780088"/>
    <w:rsid w:val="007800CD"/>
    <w:rsid w:val="007800FE"/>
    <w:rsid w:val="0078011B"/>
    <w:rsid w:val="00780171"/>
    <w:rsid w:val="007801FC"/>
    <w:rsid w:val="0078036E"/>
    <w:rsid w:val="00780437"/>
    <w:rsid w:val="00780476"/>
    <w:rsid w:val="007804D1"/>
    <w:rsid w:val="007805F8"/>
    <w:rsid w:val="0078060B"/>
    <w:rsid w:val="00780612"/>
    <w:rsid w:val="007807B7"/>
    <w:rsid w:val="00780B23"/>
    <w:rsid w:val="00780CAE"/>
    <w:rsid w:val="00780F51"/>
    <w:rsid w:val="00780FC6"/>
    <w:rsid w:val="007811A2"/>
    <w:rsid w:val="0078120F"/>
    <w:rsid w:val="0078131C"/>
    <w:rsid w:val="00781402"/>
    <w:rsid w:val="007815D7"/>
    <w:rsid w:val="0078175B"/>
    <w:rsid w:val="007817E9"/>
    <w:rsid w:val="007818BD"/>
    <w:rsid w:val="007819A9"/>
    <w:rsid w:val="00781B28"/>
    <w:rsid w:val="00781DD5"/>
    <w:rsid w:val="00781E73"/>
    <w:rsid w:val="007820AA"/>
    <w:rsid w:val="00782317"/>
    <w:rsid w:val="0078263F"/>
    <w:rsid w:val="0078265C"/>
    <w:rsid w:val="007828B9"/>
    <w:rsid w:val="007829C3"/>
    <w:rsid w:val="00782B18"/>
    <w:rsid w:val="0078315F"/>
    <w:rsid w:val="007831D4"/>
    <w:rsid w:val="00783235"/>
    <w:rsid w:val="007833B3"/>
    <w:rsid w:val="007833CD"/>
    <w:rsid w:val="007833DF"/>
    <w:rsid w:val="0078346F"/>
    <w:rsid w:val="00783625"/>
    <w:rsid w:val="0078374B"/>
    <w:rsid w:val="007838B1"/>
    <w:rsid w:val="00783C60"/>
    <w:rsid w:val="00783EA8"/>
    <w:rsid w:val="0078401E"/>
    <w:rsid w:val="007842C4"/>
    <w:rsid w:val="0078462F"/>
    <w:rsid w:val="0078493A"/>
    <w:rsid w:val="00784976"/>
    <w:rsid w:val="00784A99"/>
    <w:rsid w:val="00784ECB"/>
    <w:rsid w:val="00785219"/>
    <w:rsid w:val="007852B1"/>
    <w:rsid w:val="007852EA"/>
    <w:rsid w:val="007852FC"/>
    <w:rsid w:val="00785531"/>
    <w:rsid w:val="0078555B"/>
    <w:rsid w:val="007856D2"/>
    <w:rsid w:val="00785706"/>
    <w:rsid w:val="00785745"/>
    <w:rsid w:val="00785ADF"/>
    <w:rsid w:val="00785B6D"/>
    <w:rsid w:val="00785B95"/>
    <w:rsid w:val="007860C2"/>
    <w:rsid w:val="007860C5"/>
    <w:rsid w:val="007864A0"/>
    <w:rsid w:val="00786701"/>
    <w:rsid w:val="00786820"/>
    <w:rsid w:val="00786B20"/>
    <w:rsid w:val="00786B70"/>
    <w:rsid w:val="00786B86"/>
    <w:rsid w:val="00786C47"/>
    <w:rsid w:val="00786CA5"/>
    <w:rsid w:val="00786CBF"/>
    <w:rsid w:val="007870B9"/>
    <w:rsid w:val="00787896"/>
    <w:rsid w:val="007879DD"/>
    <w:rsid w:val="00787BDE"/>
    <w:rsid w:val="00787FE3"/>
    <w:rsid w:val="00790076"/>
    <w:rsid w:val="00790089"/>
    <w:rsid w:val="00790270"/>
    <w:rsid w:val="007902BC"/>
    <w:rsid w:val="007904D8"/>
    <w:rsid w:val="00790558"/>
    <w:rsid w:val="007905D2"/>
    <w:rsid w:val="00790752"/>
    <w:rsid w:val="007907B9"/>
    <w:rsid w:val="007909AA"/>
    <w:rsid w:val="007909D3"/>
    <w:rsid w:val="00790A9C"/>
    <w:rsid w:val="00790D41"/>
    <w:rsid w:val="0079161C"/>
    <w:rsid w:val="007916BF"/>
    <w:rsid w:val="007918A7"/>
    <w:rsid w:val="007918BC"/>
    <w:rsid w:val="00791D91"/>
    <w:rsid w:val="00791EE6"/>
    <w:rsid w:val="0079209E"/>
    <w:rsid w:val="007920F7"/>
    <w:rsid w:val="00792527"/>
    <w:rsid w:val="00792658"/>
    <w:rsid w:val="0079266D"/>
    <w:rsid w:val="007926AE"/>
    <w:rsid w:val="00792B38"/>
    <w:rsid w:val="00792B60"/>
    <w:rsid w:val="00792B98"/>
    <w:rsid w:val="00792D16"/>
    <w:rsid w:val="00792EE6"/>
    <w:rsid w:val="0079331C"/>
    <w:rsid w:val="0079366F"/>
    <w:rsid w:val="0079372D"/>
    <w:rsid w:val="007938A0"/>
    <w:rsid w:val="00793B08"/>
    <w:rsid w:val="00793C6D"/>
    <w:rsid w:val="00793CAE"/>
    <w:rsid w:val="00793CE6"/>
    <w:rsid w:val="00793ED1"/>
    <w:rsid w:val="00794011"/>
    <w:rsid w:val="00794440"/>
    <w:rsid w:val="007944E6"/>
    <w:rsid w:val="00794530"/>
    <w:rsid w:val="007945A7"/>
    <w:rsid w:val="007947E2"/>
    <w:rsid w:val="007949B7"/>
    <w:rsid w:val="00794EF9"/>
    <w:rsid w:val="00794F50"/>
    <w:rsid w:val="00794FCB"/>
    <w:rsid w:val="007950D5"/>
    <w:rsid w:val="007951E6"/>
    <w:rsid w:val="00795598"/>
    <w:rsid w:val="007955CD"/>
    <w:rsid w:val="007957E7"/>
    <w:rsid w:val="007959E9"/>
    <w:rsid w:val="00795B9F"/>
    <w:rsid w:val="00795D3E"/>
    <w:rsid w:val="00795DAC"/>
    <w:rsid w:val="00795DBC"/>
    <w:rsid w:val="00795E84"/>
    <w:rsid w:val="00795EF7"/>
    <w:rsid w:val="00795FD7"/>
    <w:rsid w:val="00796220"/>
    <w:rsid w:val="0079639D"/>
    <w:rsid w:val="00796667"/>
    <w:rsid w:val="007966DE"/>
    <w:rsid w:val="00796816"/>
    <w:rsid w:val="00796910"/>
    <w:rsid w:val="00796D48"/>
    <w:rsid w:val="00796D88"/>
    <w:rsid w:val="00797086"/>
    <w:rsid w:val="007971AF"/>
    <w:rsid w:val="007974CA"/>
    <w:rsid w:val="007976A7"/>
    <w:rsid w:val="00797821"/>
    <w:rsid w:val="00797970"/>
    <w:rsid w:val="00797ADC"/>
    <w:rsid w:val="00797B1B"/>
    <w:rsid w:val="00797C94"/>
    <w:rsid w:val="00797E91"/>
    <w:rsid w:val="00797F73"/>
    <w:rsid w:val="007A0010"/>
    <w:rsid w:val="007A008A"/>
    <w:rsid w:val="007A00B0"/>
    <w:rsid w:val="007A0368"/>
    <w:rsid w:val="007A036A"/>
    <w:rsid w:val="007A06E8"/>
    <w:rsid w:val="007A07BE"/>
    <w:rsid w:val="007A0A12"/>
    <w:rsid w:val="007A0ED5"/>
    <w:rsid w:val="007A108A"/>
    <w:rsid w:val="007A10DF"/>
    <w:rsid w:val="007A1349"/>
    <w:rsid w:val="007A1359"/>
    <w:rsid w:val="007A1383"/>
    <w:rsid w:val="007A13FE"/>
    <w:rsid w:val="007A1586"/>
    <w:rsid w:val="007A18C5"/>
    <w:rsid w:val="007A19CA"/>
    <w:rsid w:val="007A1C43"/>
    <w:rsid w:val="007A1D3E"/>
    <w:rsid w:val="007A1F1E"/>
    <w:rsid w:val="007A2053"/>
    <w:rsid w:val="007A20B8"/>
    <w:rsid w:val="007A21B6"/>
    <w:rsid w:val="007A221A"/>
    <w:rsid w:val="007A244D"/>
    <w:rsid w:val="007A248C"/>
    <w:rsid w:val="007A27E7"/>
    <w:rsid w:val="007A2D56"/>
    <w:rsid w:val="007A2D70"/>
    <w:rsid w:val="007A2F55"/>
    <w:rsid w:val="007A3006"/>
    <w:rsid w:val="007A3469"/>
    <w:rsid w:val="007A365F"/>
    <w:rsid w:val="007A37C4"/>
    <w:rsid w:val="007A3989"/>
    <w:rsid w:val="007A39DE"/>
    <w:rsid w:val="007A3A08"/>
    <w:rsid w:val="007A3CE1"/>
    <w:rsid w:val="007A3D72"/>
    <w:rsid w:val="007A3D74"/>
    <w:rsid w:val="007A3EDC"/>
    <w:rsid w:val="007A40B8"/>
    <w:rsid w:val="007A411F"/>
    <w:rsid w:val="007A4307"/>
    <w:rsid w:val="007A4506"/>
    <w:rsid w:val="007A4584"/>
    <w:rsid w:val="007A45A6"/>
    <w:rsid w:val="007A4922"/>
    <w:rsid w:val="007A4D1F"/>
    <w:rsid w:val="007A4E73"/>
    <w:rsid w:val="007A4F36"/>
    <w:rsid w:val="007A525F"/>
    <w:rsid w:val="007A5404"/>
    <w:rsid w:val="007A5545"/>
    <w:rsid w:val="007A57B1"/>
    <w:rsid w:val="007A580C"/>
    <w:rsid w:val="007A58DB"/>
    <w:rsid w:val="007A599A"/>
    <w:rsid w:val="007A5F0A"/>
    <w:rsid w:val="007A5F45"/>
    <w:rsid w:val="007A6142"/>
    <w:rsid w:val="007A65F1"/>
    <w:rsid w:val="007A6747"/>
    <w:rsid w:val="007A68BE"/>
    <w:rsid w:val="007A6C8C"/>
    <w:rsid w:val="007A6D19"/>
    <w:rsid w:val="007A6D8A"/>
    <w:rsid w:val="007A6F60"/>
    <w:rsid w:val="007A72C4"/>
    <w:rsid w:val="007A72F6"/>
    <w:rsid w:val="007A75EC"/>
    <w:rsid w:val="007A7652"/>
    <w:rsid w:val="007A7669"/>
    <w:rsid w:val="007A76E7"/>
    <w:rsid w:val="007A77DF"/>
    <w:rsid w:val="007A78BA"/>
    <w:rsid w:val="007A78E5"/>
    <w:rsid w:val="007A7D88"/>
    <w:rsid w:val="007A7F27"/>
    <w:rsid w:val="007A7FE3"/>
    <w:rsid w:val="007B0157"/>
    <w:rsid w:val="007B01EE"/>
    <w:rsid w:val="007B0253"/>
    <w:rsid w:val="007B03D4"/>
    <w:rsid w:val="007B040B"/>
    <w:rsid w:val="007B0681"/>
    <w:rsid w:val="007B0A20"/>
    <w:rsid w:val="007B0FC9"/>
    <w:rsid w:val="007B1009"/>
    <w:rsid w:val="007B117A"/>
    <w:rsid w:val="007B134B"/>
    <w:rsid w:val="007B157A"/>
    <w:rsid w:val="007B15F9"/>
    <w:rsid w:val="007B16EF"/>
    <w:rsid w:val="007B16FD"/>
    <w:rsid w:val="007B1756"/>
    <w:rsid w:val="007B188A"/>
    <w:rsid w:val="007B1D49"/>
    <w:rsid w:val="007B1F6D"/>
    <w:rsid w:val="007B255A"/>
    <w:rsid w:val="007B25FE"/>
    <w:rsid w:val="007B2709"/>
    <w:rsid w:val="007B2755"/>
    <w:rsid w:val="007B28CC"/>
    <w:rsid w:val="007B294F"/>
    <w:rsid w:val="007B2967"/>
    <w:rsid w:val="007B2994"/>
    <w:rsid w:val="007B2B5B"/>
    <w:rsid w:val="007B301F"/>
    <w:rsid w:val="007B3273"/>
    <w:rsid w:val="007B34C1"/>
    <w:rsid w:val="007B37DA"/>
    <w:rsid w:val="007B3897"/>
    <w:rsid w:val="007B3A92"/>
    <w:rsid w:val="007B3AE8"/>
    <w:rsid w:val="007B3B20"/>
    <w:rsid w:val="007B3BBF"/>
    <w:rsid w:val="007B3C69"/>
    <w:rsid w:val="007B3C94"/>
    <w:rsid w:val="007B4033"/>
    <w:rsid w:val="007B40BC"/>
    <w:rsid w:val="007B4339"/>
    <w:rsid w:val="007B43A6"/>
    <w:rsid w:val="007B44C2"/>
    <w:rsid w:val="007B479A"/>
    <w:rsid w:val="007B498E"/>
    <w:rsid w:val="007B4A50"/>
    <w:rsid w:val="007B4ACC"/>
    <w:rsid w:val="007B4B14"/>
    <w:rsid w:val="007B4E55"/>
    <w:rsid w:val="007B5709"/>
    <w:rsid w:val="007B5743"/>
    <w:rsid w:val="007B57EB"/>
    <w:rsid w:val="007B58AA"/>
    <w:rsid w:val="007B5A29"/>
    <w:rsid w:val="007B5B32"/>
    <w:rsid w:val="007B5C3E"/>
    <w:rsid w:val="007B5C6F"/>
    <w:rsid w:val="007B5EB1"/>
    <w:rsid w:val="007B60DF"/>
    <w:rsid w:val="007B6120"/>
    <w:rsid w:val="007B6237"/>
    <w:rsid w:val="007B65E0"/>
    <w:rsid w:val="007B6673"/>
    <w:rsid w:val="007B68A8"/>
    <w:rsid w:val="007B6913"/>
    <w:rsid w:val="007B69A4"/>
    <w:rsid w:val="007B6CD0"/>
    <w:rsid w:val="007B6D06"/>
    <w:rsid w:val="007B6E76"/>
    <w:rsid w:val="007B71C9"/>
    <w:rsid w:val="007B7232"/>
    <w:rsid w:val="007B730E"/>
    <w:rsid w:val="007B7368"/>
    <w:rsid w:val="007B7542"/>
    <w:rsid w:val="007B756B"/>
    <w:rsid w:val="007B75DF"/>
    <w:rsid w:val="007B7779"/>
    <w:rsid w:val="007B7AB2"/>
    <w:rsid w:val="007B7B8A"/>
    <w:rsid w:val="007B7BFD"/>
    <w:rsid w:val="007B7C78"/>
    <w:rsid w:val="007C03EA"/>
    <w:rsid w:val="007C0705"/>
    <w:rsid w:val="007C072B"/>
    <w:rsid w:val="007C0784"/>
    <w:rsid w:val="007C0862"/>
    <w:rsid w:val="007C0888"/>
    <w:rsid w:val="007C089C"/>
    <w:rsid w:val="007C0B78"/>
    <w:rsid w:val="007C0C52"/>
    <w:rsid w:val="007C10FC"/>
    <w:rsid w:val="007C12C5"/>
    <w:rsid w:val="007C1414"/>
    <w:rsid w:val="007C14EA"/>
    <w:rsid w:val="007C17CD"/>
    <w:rsid w:val="007C1860"/>
    <w:rsid w:val="007C1880"/>
    <w:rsid w:val="007C1941"/>
    <w:rsid w:val="007C19E6"/>
    <w:rsid w:val="007C1B49"/>
    <w:rsid w:val="007C200E"/>
    <w:rsid w:val="007C2311"/>
    <w:rsid w:val="007C2410"/>
    <w:rsid w:val="007C29CA"/>
    <w:rsid w:val="007C2A05"/>
    <w:rsid w:val="007C2D44"/>
    <w:rsid w:val="007C2D9D"/>
    <w:rsid w:val="007C307C"/>
    <w:rsid w:val="007C3688"/>
    <w:rsid w:val="007C37F3"/>
    <w:rsid w:val="007C3803"/>
    <w:rsid w:val="007C3943"/>
    <w:rsid w:val="007C394A"/>
    <w:rsid w:val="007C3ACE"/>
    <w:rsid w:val="007C3B0F"/>
    <w:rsid w:val="007C3B27"/>
    <w:rsid w:val="007C3FE9"/>
    <w:rsid w:val="007C415C"/>
    <w:rsid w:val="007C4479"/>
    <w:rsid w:val="007C4480"/>
    <w:rsid w:val="007C44C3"/>
    <w:rsid w:val="007C46D9"/>
    <w:rsid w:val="007C47E2"/>
    <w:rsid w:val="007C47FC"/>
    <w:rsid w:val="007C480D"/>
    <w:rsid w:val="007C4DA9"/>
    <w:rsid w:val="007C4FDC"/>
    <w:rsid w:val="007C5017"/>
    <w:rsid w:val="007C5064"/>
    <w:rsid w:val="007C52D5"/>
    <w:rsid w:val="007C5361"/>
    <w:rsid w:val="007C5517"/>
    <w:rsid w:val="007C5763"/>
    <w:rsid w:val="007C5829"/>
    <w:rsid w:val="007C5979"/>
    <w:rsid w:val="007C5DDE"/>
    <w:rsid w:val="007C5E00"/>
    <w:rsid w:val="007C5E8C"/>
    <w:rsid w:val="007C619F"/>
    <w:rsid w:val="007C627A"/>
    <w:rsid w:val="007C634C"/>
    <w:rsid w:val="007C637F"/>
    <w:rsid w:val="007C64B6"/>
    <w:rsid w:val="007C6530"/>
    <w:rsid w:val="007C660A"/>
    <w:rsid w:val="007C6613"/>
    <w:rsid w:val="007C663C"/>
    <w:rsid w:val="007C67E5"/>
    <w:rsid w:val="007C6A14"/>
    <w:rsid w:val="007C6AC3"/>
    <w:rsid w:val="007C6B65"/>
    <w:rsid w:val="007C6D0A"/>
    <w:rsid w:val="007C6F86"/>
    <w:rsid w:val="007C70EC"/>
    <w:rsid w:val="007C715D"/>
    <w:rsid w:val="007C7324"/>
    <w:rsid w:val="007C7737"/>
    <w:rsid w:val="007C7796"/>
    <w:rsid w:val="007C78E9"/>
    <w:rsid w:val="007C791C"/>
    <w:rsid w:val="007C7B93"/>
    <w:rsid w:val="007C7D68"/>
    <w:rsid w:val="007D001C"/>
    <w:rsid w:val="007D0083"/>
    <w:rsid w:val="007D03B4"/>
    <w:rsid w:val="007D0601"/>
    <w:rsid w:val="007D0674"/>
    <w:rsid w:val="007D0AAB"/>
    <w:rsid w:val="007D0CBB"/>
    <w:rsid w:val="007D0FEE"/>
    <w:rsid w:val="007D1057"/>
    <w:rsid w:val="007D115D"/>
    <w:rsid w:val="007D131B"/>
    <w:rsid w:val="007D137F"/>
    <w:rsid w:val="007D197E"/>
    <w:rsid w:val="007D19F5"/>
    <w:rsid w:val="007D1B8F"/>
    <w:rsid w:val="007D1F94"/>
    <w:rsid w:val="007D2AB5"/>
    <w:rsid w:val="007D2B4D"/>
    <w:rsid w:val="007D2E0F"/>
    <w:rsid w:val="007D2E23"/>
    <w:rsid w:val="007D2FA7"/>
    <w:rsid w:val="007D32DF"/>
    <w:rsid w:val="007D33BA"/>
    <w:rsid w:val="007D3408"/>
    <w:rsid w:val="007D350D"/>
    <w:rsid w:val="007D3600"/>
    <w:rsid w:val="007D3D8E"/>
    <w:rsid w:val="007D3EE4"/>
    <w:rsid w:val="007D3EF8"/>
    <w:rsid w:val="007D3F5B"/>
    <w:rsid w:val="007D3F8B"/>
    <w:rsid w:val="007D3FF3"/>
    <w:rsid w:val="007D4060"/>
    <w:rsid w:val="007D414F"/>
    <w:rsid w:val="007D41DA"/>
    <w:rsid w:val="007D434F"/>
    <w:rsid w:val="007D44A0"/>
    <w:rsid w:val="007D44EE"/>
    <w:rsid w:val="007D468F"/>
    <w:rsid w:val="007D4707"/>
    <w:rsid w:val="007D47A9"/>
    <w:rsid w:val="007D49DA"/>
    <w:rsid w:val="007D4A91"/>
    <w:rsid w:val="007D4DBB"/>
    <w:rsid w:val="007D4EB2"/>
    <w:rsid w:val="007D53E2"/>
    <w:rsid w:val="007D5402"/>
    <w:rsid w:val="007D58E6"/>
    <w:rsid w:val="007D5A0F"/>
    <w:rsid w:val="007D5FD1"/>
    <w:rsid w:val="007D60CB"/>
    <w:rsid w:val="007D60D6"/>
    <w:rsid w:val="007D65AC"/>
    <w:rsid w:val="007D686E"/>
    <w:rsid w:val="007D6ADA"/>
    <w:rsid w:val="007D6B68"/>
    <w:rsid w:val="007D6C18"/>
    <w:rsid w:val="007D6C70"/>
    <w:rsid w:val="007D6E41"/>
    <w:rsid w:val="007D70EB"/>
    <w:rsid w:val="007D72A0"/>
    <w:rsid w:val="007D7402"/>
    <w:rsid w:val="007D74B7"/>
    <w:rsid w:val="007D7559"/>
    <w:rsid w:val="007D75CC"/>
    <w:rsid w:val="007D7661"/>
    <w:rsid w:val="007D767D"/>
    <w:rsid w:val="007D7794"/>
    <w:rsid w:val="007D78BB"/>
    <w:rsid w:val="007D79BD"/>
    <w:rsid w:val="007D7B65"/>
    <w:rsid w:val="007D7B73"/>
    <w:rsid w:val="007D7EEA"/>
    <w:rsid w:val="007D7FED"/>
    <w:rsid w:val="007E0157"/>
    <w:rsid w:val="007E0258"/>
    <w:rsid w:val="007E0382"/>
    <w:rsid w:val="007E0717"/>
    <w:rsid w:val="007E0A46"/>
    <w:rsid w:val="007E0AF4"/>
    <w:rsid w:val="007E0B74"/>
    <w:rsid w:val="007E0D51"/>
    <w:rsid w:val="007E102A"/>
    <w:rsid w:val="007E1064"/>
    <w:rsid w:val="007E1271"/>
    <w:rsid w:val="007E12A8"/>
    <w:rsid w:val="007E1363"/>
    <w:rsid w:val="007E1C40"/>
    <w:rsid w:val="007E1C5B"/>
    <w:rsid w:val="007E1C98"/>
    <w:rsid w:val="007E1DC2"/>
    <w:rsid w:val="007E1E14"/>
    <w:rsid w:val="007E1ED7"/>
    <w:rsid w:val="007E1FE0"/>
    <w:rsid w:val="007E2004"/>
    <w:rsid w:val="007E2507"/>
    <w:rsid w:val="007E257E"/>
    <w:rsid w:val="007E2929"/>
    <w:rsid w:val="007E2A2E"/>
    <w:rsid w:val="007E2DDB"/>
    <w:rsid w:val="007E2E03"/>
    <w:rsid w:val="007E2F9B"/>
    <w:rsid w:val="007E3960"/>
    <w:rsid w:val="007E3C16"/>
    <w:rsid w:val="007E3D27"/>
    <w:rsid w:val="007E3D47"/>
    <w:rsid w:val="007E3ED3"/>
    <w:rsid w:val="007E3F65"/>
    <w:rsid w:val="007E436A"/>
    <w:rsid w:val="007E44C8"/>
    <w:rsid w:val="007E4702"/>
    <w:rsid w:val="007E48F2"/>
    <w:rsid w:val="007E4C0E"/>
    <w:rsid w:val="007E4C69"/>
    <w:rsid w:val="007E4DB3"/>
    <w:rsid w:val="007E4E19"/>
    <w:rsid w:val="007E4E43"/>
    <w:rsid w:val="007E5202"/>
    <w:rsid w:val="007E5353"/>
    <w:rsid w:val="007E5519"/>
    <w:rsid w:val="007E56A6"/>
    <w:rsid w:val="007E56CA"/>
    <w:rsid w:val="007E5C6F"/>
    <w:rsid w:val="007E5CAA"/>
    <w:rsid w:val="007E5CCC"/>
    <w:rsid w:val="007E5D19"/>
    <w:rsid w:val="007E5D7C"/>
    <w:rsid w:val="007E5DD4"/>
    <w:rsid w:val="007E6104"/>
    <w:rsid w:val="007E61C1"/>
    <w:rsid w:val="007E64AC"/>
    <w:rsid w:val="007E6566"/>
    <w:rsid w:val="007E67EB"/>
    <w:rsid w:val="007E69E8"/>
    <w:rsid w:val="007E6AC0"/>
    <w:rsid w:val="007E6E99"/>
    <w:rsid w:val="007E6FE0"/>
    <w:rsid w:val="007E7191"/>
    <w:rsid w:val="007E7227"/>
    <w:rsid w:val="007E75AD"/>
    <w:rsid w:val="007E75F0"/>
    <w:rsid w:val="007E7630"/>
    <w:rsid w:val="007E768A"/>
    <w:rsid w:val="007E775E"/>
    <w:rsid w:val="007E78E9"/>
    <w:rsid w:val="007E7C49"/>
    <w:rsid w:val="007F01BD"/>
    <w:rsid w:val="007F02AA"/>
    <w:rsid w:val="007F034A"/>
    <w:rsid w:val="007F03ED"/>
    <w:rsid w:val="007F0517"/>
    <w:rsid w:val="007F05DF"/>
    <w:rsid w:val="007F0970"/>
    <w:rsid w:val="007F0ACF"/>
    <w:rsid w:val="007F0D66"/>
    <w:rsid w:val="007F0E92"/>
    <w:rsid w:val="007F0EB9"/>
    <w:rsid w:val="007F0F61"/>
    <w:rsid w:val="007F0FC6"/>
    <w:rsid w:val="007F0FC8"/>
    <w:rsid w:val="007F1354"/>
    <w:rsid w:val="007F1622"/>
    <w:rsid w:val="007F1727"/>
    <w:rsid w:val="007F17E6"/>
    <w:rsid w:val="007F181F"/>
    <w:rsid w:val="007F18C6"/>
    <w:rsid w:val="007F18F6"/>
    <w:rsid w:val="007F1935"/>
    <w:rsid w:val="007F1A73"/>
    <w:rsid w:val="007F1A7F"/>
    <w:rsid w:val="007F1B89"/>
    <w:rsid w:val="007F1BDA"/>
    <w:rsid w:val="007F2027"/>
    <w:rsid w:val="007F210F"/>
    <w:rsid w:val="007F21E4"/>
    <w:rsid w:val="007F24B7"/>
    <w:rsid w:val="007F252D"/>
    <w:rsid w:val="007F25D8"/>
    <w:rsid w:val="007F25EF"/>
    <w:rsid w:val="007F279B"/>
    <w:rsid w:val="007F2D71"/>
    <w:rsid w:val="007F2D7E"/>
    <w:rsid w:val="007F2DC6"/>
    <w:rsid w:val="007F2DF4"/>
    <w:rsid w:val="007F2FF7"/>
    <w:rsid w:val="007F309E"/>
    <w:rsid w:val="007F33AD"/>
    <w:rsid w:val="007F350D"/>
    <w:rsid w:val="007F36C5"/>
    <w:rsid w:val="007F3726"/>
    <w:rsid w:val="007F3910"/>
    <w:rsid w:val="007F424D"/>
    <w:rsid w:val="007F471E"/>
    <w:rsid w:val="007F491B"/>
    <w:rsid w:val="007F4943"/>
    <w:rsid w:val="007F4944"/>
    <w:rsid w:val="007F4D87"/>
    <w:rsid w:val="007F4D93"/>
    <w:rsid w:val="007F5008"/>
    <w:rsid w:val="007F51F8"/>
    <w:rsid w:val="007F5318"/>
    <w:rsid w:val="007F549D"/>
    <w:rsid w:val="007F5871"/>
    <w:rsid w:val="007F590A"/>
    <w:rsid w:val="007F5B11"/>
    <w:rsid w:val="007F5DED"/>
    <w:rsid w:val="007F602B"/>
    <w:rsid w:val="007F60A3"/>
    <w:rsid w:val="007F6264"/>
    <w:rsid w:val="007F62BC"/>
    <w:rsid w:val="007F631E"/>
    <w:rsid w:val="007F6484"/>
    <w:rsid w:val="007F65C4"/>
    <w:rsid w:val="007F65CB"/>
    <w:rsid w:val="007F6618"/>
    <w:rsid w:val="007F67E7"/>
    <w:rsid w:val="007F6988"/>
    <w:rsid w:val="007F6B96"/>
    <w:rsid w:val="007F6D72"/>
    <w:rsid w:val="007F6E57"/>
    <w:rsid w:val="007F6E8A"/>
    <w:rsid w:val="007F6F87"/>
    <w:rsid w:val="007F70AA"/>
    <w:rsid w:val="007F71C1"/>
    <w:rsid w:val="007F72CB"/>
    <w:rsid w:val="007F756E"/>
    <w:rsid w:val="007F7AE9"/>
    <w:rsid w:val="007F7B5B"/>
    <w:rsid w:val="007F7DA7"/>
    <w:rsid w:val="007F7E24"/>
    <w:rsid w:val="007F7ED9"/>
    <w:rsid w:val="007F7F61"/>
    <w:rsid w:val="0080007A"/>
    <w:rsid w:val="00800163"/>
    <w:rsid w:val="00800384"/>
    <w:rsid w:val="0080045B"/>
    <w:rsid w:val="00800629"/>
    <w:rsid w:val="0080062F"/>
    <w:rsid w:val="0080091F"/>
    <w:rsid w:val="00800960"/>
    <w:rsid w:val="00800BF4"/>
    <w:rsid w:val="00800E93"/>
    <w:rsid w:val="0080104C"/>
    <w:rsid w:val="008010F9"/>
    <w:rsid w:val="008012E5"/>
    <w:rsid w:val="0080133A"/>
    <w:rsid w:val="0080148F"/>
    <w:rsid w:val="008014AD"/>
    <w:rsid w:val="008017F6"/>
    <w:rsid w:val="008019AB"/>
    <w:rsid w:val="00801B9E"/>
    <w:rsid w:val="00801D62"/>
    <w:rsid w:val="00801FAB"/>
    <w:rsid w:val="00802005"/>
    <w:rsid w:val="008020C4"/>
    <w:rsid w:val="008022D7"/>
    <w:rsid w:val="0080231E"/>
    <w:rsid w:val="008026A0"/>
    <w:rsid w:val="008029E0"/>
    <w:rsid w:val="00802A4D"/>
    <w:rsid w:val="00802DEE"/>
    <w:rsid w:val="00802F04"/>
    <w:rsid w:val="00802F45"/>
    <w:rsid w:val="00803323"/>
    <w:rsid w:val="00803419"/>
    <w:rsid w:val="00803459"/>
    <w:rsid w:val="008034D0"/>
    <w:rsid w:val="00803A26"/>
    <w:rsid w:val="00803CBC"/>
    <w:rsid w:val="00803FF0"/>
    <w:rsid w:val="0080404A"/>
    <w:rsid w:val="0080429C"/>
    <w:rsid w:val="0080444C"/>
    <w:rsid w:val="00804548"/>
    <w:rsid w:val="0080466D"/>
    <w:rsid w:val="008046D1"/>
    <w:rsid w:val="00804D49"/>
    <w:rsid w:val="00804F53"/>
    <w:rsid w:val="00804FE7"/>
    <w:rsid w:val="00805290"/>
    <w:rsid w:val="00805319"/>
    <w:rsid w:val="008058E2"/>
    <w:rsid w:val="008059C0"/>
    <w:rsid w:val="00805B19"/>
    <w:rsid w:val="00805C2A"/>
    <w:rsid w:val="00805C8F"/>
    <w:rsid w:val="00805DB1"/>
    <w:rsid w:val="00806018"/>
    <w:rsid w:val="00806033"/>
    <w:rsid w:val="0080629A"/>
    <w:rsid w:val="0080629C"/>
    <w:rsid w:val="008062A8"/>
    <w:rsid w:val="008062F4"/>
    <w:rsid w:val="0080642F"/>
    <w:rsid w:val="008064B7"/>
    <w:rsid w:val="00806647"/>
    <w:rsid w:val="008068A7"/>
    <w:rsid w:val="008068EC"/>
    <w:rsid w:val="00806A99"/>
    <w:rsid w:val="00806AA0"/>
    <w:rsid w:val="00806C03"/>
    <w:rsid w:val="00806D59"/>
    <w:rsid w:val="00806E62"/>
    <w:rsid w:val="00806F0A"/>
    <w:rsid w:val="00806F61"/>
    <w:rsid w:val="008075FA"/>
    <w:rsid w:val="00807685"/>
    <w:rsid w:val="00807A81"/>
    <w:rsid w:val="00807B5A"/>
    <w:rsid w:val="00807D9D"/>
    <w:rsid w:val="00807DAA"/>
    <w:rsid w:val="00807FD7"/>
    <w:rsid w:val="0081030A"/>
    <w:rsid w:val="00810370"/>
    <w:rsid w:val="0081042D"/>
    <w:rsid w:val="008104E4"/>
    <w:rsid w:val="00810647"/>
    <w:rsid w:val="008107B0"/>
    <w:rsid w:val="0081088E"/>
    <w:rsid w:val="00810945"/>
    <w:rsid w:val="00810CC6"/>
    <w:rsid w:val="00810D52"/>
    <w:rsid w:val="00810D86"/>
    <w:rsid w:val="00810ED5"/>
    <w:rsid w:val="00811107"/>
    <w:rsid w:val="00811205"/>
    <w:rsid w:val="00811235"/>
    <w:rsid w:val="0081141A"/>
    <w:rsid w:val="00811BB2"/>
    <w:rsid w:val="00811D37"/>
    <w:rsid w:val="00811E2E"/>
    <w:rsid w:val="00812154"/>
    <w:rsid w:val="0081221D"/>
    <w:rsid w:val="008122AA"/>
    <w:rsid w:val="00812400"/>
    <w:rsid w:val="0081244B"/>
    <w:rsid w:val="0081254B"/>
    <w:rsid w:val="0081276B"/>
    <w:rsid w:val="008128F2"/>
    <w:rsid w:val="00812A24"/>
    <w:rsid w:val="00812E29"/>
    <w:rsid w:val="00812F88"/>
    <w:rsid w:val="00813055"/>
    <w:rsid w:val="008132C1"/>
    <w:rsid w:val="008132DD"/>
    <w:rsid w:val="008132F5"/>
    <w:rsid w:val="00813388"/>
    <w:rsid w:val="008134E8"/>
    <w:rsid w:val="00813591"/>
    <w:rsid w:val="00813619"/>
    <w:rsid w:val="008138C2"/>
    <w:rsid w:val="00813A73"/>
    <w:rsid w:val="00813B5B"/>
    <w:rsid w:val="00813CCA"/>
    <w:rsid w:val="00813DB2"/>
    <w:rsid w:val="00813ED5"/>
    <w:rsid w:val="00813F18"/>
    <w:rsid w:val="00813F56"/>
    <w:rsid w:val="00814224"/>
    <w:rsid w:val="008142BF"/>
    <w:rsid w:val="0081453C"/>
    <w:rsid w:val="0081491D"/>
    <w:rsid w:val="00814ACF"/>
    <w:rsid w:val="00814FCB"/>
    <w:rsid w:val="0081500A"/>
    <w:rsid w:val="00815094"/>
    <w:rsid w:val="00815237"/>
    <w:rsid w:val="008152FA"/>
    <w:rsid w:val="0081534A"/>
    <w:rsid w:val="008153F9"/>
    <w:rsid w:val="00815481"/>
    <w:rsid w:val="0081576A"/>
    <w:rsid w:val="00815892"/>
    <w:rsid w:val="008159D2"/>
    <w:rsid w:val="00815AC3"/>
    <w:rsid w:val="00815ACC"/>
    <w:rsid w:val="00815DD3"/>
    <w:rsid w:val="00815E32"/>
    <w:rsid w:val="008160D3"/>
    <w:rsid w:val="008162F4"/>
    <w:rsid w:val="00816576"/>
    <w:rsid w:val="008166DC"/>
    <w:rsid w:val="00816932"/>
    <w:rsid w:val="00816975"/>
    <w:rsid w:val="00816A3D"/>
    <w:rsid w:val="00816AB5"/>
    <w:rsid w:val="00816B6F"/>
    <w:rsid w:val="00816B93"/>
    <w:rsid w:val="00816DAF"/>
    <w:rsid w:val="00817034"/>
    <w:rsid w:val="0081703E"/>
    <w:rsid w:val="00817097"/>
    <w:rsid w:val="008170E2"/>
    <w:rsid w:val="008171A6"/>
    <w:rsid w:val="008172A0"/>
    <w:rsid w:val="008174CE"/>
    <w:rsid w:val="008175F5"/>
    <w:rsid w:val="0081768B"/>
    <w:rsid w:val="008176E0"/>
    <w:rsid w:val="008177C0"/>
    <w:rsid w:val="008179E6"/>
    <w:rsid w:val="00817A35"/>
    <w:rsid w:val="00817A3B"/>
    <w:rsid w:val="00817AF4"/>
    <w:rsid w:val="00817CAA"/>
    <w:rsid w:val="00817DFE"/>
    <w:rsid w:val="00817EC2"/>
    <w:rsid w:val="00817F46"/>
    <w:rsid w:val="008201A0"/>
    <w:rsid w:val="00820205"/>
    <w:rsid w:val="00820232"/>
    <w:rsid w:val="008202DD"/>
    <w:rsid w:val="008206B8"/>
    <w:rsid w:val="0082078B"/>
    <w:rsid w:val="008208E8"/>
    <w:rsid w:val="00820944"/>
    <w:rsid w:val="00820957"/>
    <w:rsid w:val="00820A73"/>
    <w:rsid w:val="00820E2F"/>
    <w:rsid w:val="00820E3C"/>
    <w:rsid w:val="00820FB5"/>
    <w:rsid w:val="0082109F"/>
    <w:rsid w:val="008214DE"/>
    <w:rsid w:val="0082155B"/>
    <w:rsid w:val="0082184A"/>
    <w:rsid w:val="0082186C"/>
    <w:rsid w:val="008218B9"/>
    <w:rsid w:val="0082199A"/>
    <w:rsid w:val="00821C6D"/>
    <w:rsid w:val="00821DE3"/>
    <w:rsid w:val="00821E98"/>
    <w:rsid w:val="00822122"/>
    <w:rsid w:val="0082212C"/>
    <w:rsid w:val="008222EC"/>
    <w:rsid w:val="008229FF"/>
    <w:rsid w:val="00822E18"/>
    <w:rsid w:val="00822EB8"/>
    <w:rsid w:val="00822F99"/>
    <w:rsid w:val="00823292"/>
    <w:rsid w:val="0082340A"/>
    <w:rsid w:val="0082352B"/>
    <w:rsid w:val="0082357C"/>
    <w:rsid w:val="008235DE"/>
    <w:rsid w:val="008237C9"/>
    <w:rsid w:val="00823A27"/>
    <w:rsid w:val="00823A3A"/>
    <w:rsid w:val="00823A5B"/>
    <w:rsid w:val="00823B31"/>
    <w:rsid w:val="00823CD8"/>
    <w:rsid w:val="00823CDE"/>
    <w:rsid w:val="00823D2E"/>
    <w:rsid w:val="00823E61"/>
    <w:rsid w:val="00823FB8"/>
    <w:rsid w:val="008241D1"/>
    <w:rsid w:val="0082428E"/>
    <w:rsid w:val="008242F0"/>
    <w:rsid w:val="00824304"/>
    <w:rsid w:val="0082441F"/>
    <w:rsid w:val="00824486"/>
    <w:rsid w:val="0082465B"/>
    <w:rsid w:val="008246F2"/>
    <w:rsid w:val="00824786"/>
    <w:rsid w:val="00824863"/>
    <w:rsid w:val="0082499A"/>
    <w:rsid w:val="00824E3C"/>
    <w:rsid w:val="00825120"/>
    <w:rsid w:val="008251EC"/>
    <w:rsid w:val="00825290"/>
    <w:rsid w:val="00825733"/>
    <w:rsid w:val="008258D7"/>
    <w:rsid w:val="00825950"/>
    <w:rsid w:val="00825991"/>
    <w:rsid w:val="00825A08"/>
    <w:rsid w:val="00825DCB"/>
    <w:rsid w:val="00825EC4"/>
    <w:rsid w:val="00825FE5"/>
    <w:rsid w:val="008260F9"/>
    <w:rsid w:val="008265E0"/>
    <w:rsid w:val="0082683D"/>
    <w:rsid w:val="0082688E"/>
    <w:rsid w:val="008268A6"/>
    <w:rsid w:val="00826D04"/>
    <w:rsid w:val="00826F39"/>
    <w:rsid w:val="00826FE4"/>
    <w:rsid w:val="0082701D"/>
    <w:rsid w:val="00827148"/>
    <w:rsid w:val="00827152"/>
    <w:rsid w:val="0082734B"/>
    <w:rsid w:val="008273FC"/>
    <w:rsid w:val="008274B5"/>
    <w:rsid w:val="00827721"/>
    <w:rsid w:val="0082775B"/>
    <w:rsid w:val="008279EA"/>
    <w:rsid w:val="00827A68"/>
    <w:rsid w:val="00827A81"/>
    <w:rsid w:val="00827DD9"/>
    <w:rsid w:val="00827DFB"/>
    <w:rsid w:val="00827E73"/>
    <w:rsid w:val="00827E74"/>
    <w:rsid w:val="00827F5D"/>
    <w:rsid w:val="008300BE"/>
    <w:rsid w:val="00830108"/>
    <w:rsid w:val="0083052F"/>
    <w:rsid w:val="00830709"/>
    <w:rsid w:val="00830745"/>
    <w:rsid w:val="0083079B"/>
    <w:rsid w:val="00830844"/>
    <w:rsid w:val="00830A82"/>
    <w:rsid w:val="00830D20"/>
    <w:rsid w:val="00830EF8"/>
    <w:rsid w:val="008312A7"/>
    <w:rsid w:val="00831433"/>
    <w:rsid w:val="008314F0"/>
    <w:rsid w:val="008317E9"/>
    <w:rsid w:val="00831832"/>
    <w:rsid w:val="008318B9"/>
    <w:rsid w:val="0083198E"/>
    <w:rsid w:val="00831AC6"/>
    <w:rsid w:val="00831BEB"/>
    <w:rsid w:val="00831F34"/>
    <w:rsid w:val="00831F44"/>
    <w:rsid w:val="008322E6"/>
    <w:rsid w:val="008324FF"/>
    <w:rsid w:val="008326EA"/>
    <w:rsid w:val="0083281C"/>
    <w:rsid w:val="00832963"/>
    <w:rsid w:val="0083298A"/>
    <w:rsid w:val="00832C40"/>
    <w:rsid w:val="00832CF2"/>
    <w:rsid w:val="00832D28"/>
    <w:rsid w:val="00832E91"/>
    <w:rsid w:val="00832EA4"/>
    <w:rsid w:val="008331BC"/>
    <w:rsid w:val="0083349D"/>
    <w:rsid w:val="00833555"/>
    <w:rsid w:val="00833627"/>
    <w:rsid w:val="008337A4"/>
    <w:rsid w:val="00833952"/>
    <w:rsid w:val="00833C00"/>
    <w:rsid w:val="00833E22"/>
    <w:rsid w:val="00834146"/>
    <w:rsid w:val="008342DB"/>
    <w:rsid w:val="008343D9"/>
    <w:rsid w:val="008345F3"/>
    <w:rsid w:val="0083460E"/>
    <w:rsid w:val="00834A4A"/>
    <w:rsid w:val="00834AB1"/>
    <w:rsid w:val="00834C33"/>
    <w:rsid w:val="00834C4D"/>
    <w:rsid w:val="00834DBA"/>
    <w:rsid w:val="00834F4D"/>
    <w:rsid w:val="00834FB5"/>
    <w:rsid w:val="00835045"/>
    <w:rsid w:val="0083537B"/>
    <w:rsid w:val="008355D8"/>
    <w:rsid w:val="00835706"/>
    <w:rsid w:val="008357A9"/>
    <w:rsid w:val="008357F2"/>
    <w:rsid w:val="008358DE"/>
    <w:rsid w:val="0083590C"/>
    <w:rsid w:val="00835C5F"/>
    <w:rsid w:val="00835CCA"/>
    <w:rsid w:val="00835DF9"/>
    <w:rsid w:val="00835F3F"/>
    <w:rsid w:val="00836085"/>
    <w:rsid w:val="008365B4"/>
    <w:rsid w:val="00836AA0"/>
    <w:rsid w:val="00836AA7"/>
    <w:rsid w:val="00836B11"/>
    <w:rsid w:val="00836BAD"/>
    <w:rsid w:val="00836D29"/>
    <w:rsid w:val="00836D50"/>
    <w:rsid w:val="00836E23"/>
    <w:rsid w:val="00836F41"/>
    <w:rsid w:val="00837143"/>
    <w:rsid w:val="00837157"/>
    <w:rsid w:val="00837207"/>
    <w:rsid w:val="0083720B"/>
    <w:rsid w:val="008374AD"/>
    <w:rsid w:val="008379FC"/>
    <w:rsid w:val="00837B49"/>
    <w:rsid w:val="00837BDF"/>
    <w:rsid w:val="00840226"/>
    <w:rsid w:val="00840656"/>
    <w:rsid w:val="008407E9"/>
    <w:rsid w:val="00840945"/>
    <w:rsid w:val="008409F3"/>
    <w:rsid w:val="00840B78"/>
    <w:rsid w:val="00840E2A"/>
    <w:rsid w:val="00840ECA"/>
    <w:rsid w:val="00840EF6"/>
    <w:rsid w:val="00841046"/>
    <w:rsid w:val="008410B6"/>
    <w:rsid w:val="008411DD"/>
    <w:rsid w:val="008413FE"/>
    <w:rsid w:val="008416EA"/>
    <w:rsid w:val="00841B81"/>
    <w:rsid w:val="00841DA0"/>
    <w:rsid w:val="00841E15"/>
    <w:rsid w:val="00841FBB"/>
    <w:rsid w:val="008420F7"/>
    <w:rsid w:val="008421E5"/>
    <w:rsid w:val="0084247F"/>
    <w:rsid w:val="008424C2"/>
    <w:rsid w:val="008426ED"/>
    <w:rsid w:val="00842814"/>
    <w:rsid w:val="0084296C"/>
    <w:rsid w:val="00842A70"/>
    <w:rsid w:val="00842AA1"/>
    <w:rsid w:val="00842EC5"/>
    <w:rsid w:val="00842F08"/>
    <w:rsid w:val="00842F56"/>
    <w:rsid w:val="00842FB7"/>
    <w:rsid w:val="00843620"/>
    <w:rsid w:val="008438BB"/>
    <w:rsid w:val="008438FA"/>
    <w:rsid w:val="00843A26"/>
    <w:rsid w:val="00843A50"/>
    <w:rsid w:val="00843A52"/>
    <w:rsid w:val="00843A55"/>
    <w:rsid w:val="00843B4D"/>
    <w:rsid w:val="00843BBA"/>
    <w:rsid w:val="00843FC8"/>
    <w:rsid w:val="00843FCF"/>
    <w:rsid w:val="00844861"/>
    <w:rsid w:val="0084489F"/>
    <w:rsid w:val="008449C1"/>
    <w:rsid w:val="00844B90"/>
    <w:rsid w:val="00844C99"/>
    <w:rsid w:val="008451BD"/>
    <w:rsid w:val="00845254"/>
    <w:rsid w:val="00845296"/>
    <w:rsid w:val="008452D9"/>
    <w:rsid w:val="00845340"/>
    <w:rsid w:val="008453B0"/>
    <w:rsid w:val="008453E6"/>
    <w:rsid w:val="0084551B"/>
    <w:rsid w:val="0084582B"/>
    <w:rsid w:val="00845958"/>
    <w:rsid w:val="008459C8"/>
    <w:rsid w:val="00845B72"/>
    <w:rsid w:val="00845D17"/>
    <w:rsid w:val="00845D36"/>
    <w:rsid w:val="00845ED6"/>
    <w:rsid w:val="00846224"/>
    <w:rsid w:val="00846232"/>
    <w:rsid w:val="008463ED"/>
    <w:rsid w:val="008463FA"/>
    <w:rsid w:val="00846588"/>
    <w:rsid w:val="008465BC"/>
    <w:rsid w:val="00846A81"/>
    <w:rsid w:val="00846B50"/>
    <w:rsid w:val="00846BC1"/>
    <w:rsid w:val="00846C0D"/>
    <w:rsid w:val="00846DFC"/>
    <w:rsid w:val="00846E51"/>
    <w:rsid w:val="00846F7B"/>
    <w:rsid w:val="00846FFF"/>
    <w:rsid w:val="0084714C"/>
    <w:rsid w:val="008472A4"/>
    <w:rsid w:val="008472D2"/>
    <w:rsid w:val="00847478"/>
    <w:rsid w:val="00847515"/>
    <w:rsid w:val="0084774B"/>
    <w:rsid w:val="00847C7A"/>
    <w:rsid w:val="00847D39"/>
    <w:rsid w:val="00847D52"/>
    <w:rsid w:val="008500B1"/>
    <w:rsid w:val="0085018A"/>
    <w:rsid w:val="008501A6"/>
    <w:rsid w:val="0085027F"/>
    <w:rsid w:val="00850343"/>
    <w:rsid w:val="008503EC"/>
    <w:rsid w:val="00850617"/>
    <w:rsid w:val="008509F6"/>
    <w:rsid w:val="00850D3D"/>
    <w:rsid w:val="008510BE"/>
    <w:rsid w:val="00851414"/>
    <w:rsid w:val="008514B2"/>
    <w:rsid w:val="00851566"/>
    <w:rsid w:val="0085176B"/>
    <w:rsid w:val="00851C35"/>
    <w:rsid w:val="00851D9F"/>
    <w:rsid w:val="00851E7A"/>
    <w:rsid w:val="00851F27"/>
    <w:rsid w:val="00851F55"/>
    <w:rsid w:val="008520A2"/>
    <w:rsid w:val="00852311"/>
    <w:rsid w:val="00852386"/>
    <w:rsid w:val="008523D6"/>
    <w:rsid w:val="00852416"/>
    <w:rsid w:val="0085243F"/>
    <w:rsid w:val="0085249E"/>
    <w:rsid w:val="00852510"/>
    <w:rsid w:val="0085259E"/>
    <w:rsid w:val="008525CF"/>
    <w:rsid w:val="008525D2"/>
    <w:rsid w:val="00852723"/>
    <w:rsid w:val="008527B9"/>
    <w:rsid w:val="008528D7"/>
    <w:rsid w:val="008528F9"/>
    <w:rsid w:val="008529E5"/>
    <w:rsid w:val="00852C43"/>
    <w:rsid w:val="00852DB7"/>
    <w:rsid w:val="00852DE2"/>
    <w:rsid w:val="00852EC9"/>
    <w:rsid w:val="00852F2B"/>
    <w:rsid w:val="00852F6E"/>
    <w:rsid w:val="00853015"/>
    <w:rsid w:val="008531AF"/>
    <w:rsid w:val="0085326F"/>
    <w:rsid w:val="0085327F"/>
    <w:rsid w:val="008533C4"/>
    <w:rsid w:val="008535A8"/>
    <w:rsid w:val="008537E9"/>
    <w:rsid w:val="00853A79"/>
    <w:rsid w:val="00853B7C"/>
    <w:rsid w:val="00853C88"/>
    <w:rsid w:val="00853D76"/>
    <w:rsid w:val="00853F77"/>
    <w:rsid w:val="008540BA"/>
    <w:rsid w:val="0085416A"/>
    <w:rsid w:val="008541CC"/>
    <w:rsid w:val="008543F7"/>
    <w:rsid w:val="00854557"/>
    <w:rsid w:val="008545A3"/>
    <w:rsid w:val="00854648"/>
    <w:rsid w:val="00854671"/>
    <w:rsid w:val="00854898"/>
    <w:rsid w:val="0085498B"/>
    <w:rsid w:val="00854A55"/>
    <w:rsid w:val="00854AA9"/>
    <w:rsid w:val="00854BC3"/>
    <w:rsid w:val="00854C6E"/>
    <w:rsid w:val="00854D26"/>
    <w:rsid w:val="00855236"/>
    <w:rsid w:val="00855365"/>
    <w:rsid w:val="00855494"/>
    <w:rsid w:val="008554F2"/>
    <w:rsid w:val="008555D5"/>
    <w:rsid w:val="008556C2"/>
    <w:rsid w:val="008556E2"/>
    <w:rsid w:val="00855ACB"/>
    <w:rsid w:val="00855BA4"/>
    <w:rsid w:val="00855FBB"/>
    <w:rsid w:val="00856298"/>
    <w:rsid w:val="008562E7"/>
    <w:rsid w:val="0085635A"/>
    <w:rsid w:val="008565CF"/>
    <w:rsid w:val="00856608"/>
    <w:rsid w:val="00856CF3"/>
    <w:rsid w:val="00856D9F"/>
    <w:rsid w:val="00856FF5"/>
    <w:rsid w:val="0085714D"/>
    <w:rsid w:val="00857163"/>
    <w:rsid w:val="00857337"/>
    <w:rsid w:val="00857363"/>
    <w:rsid w:val="00857803"/>
    <w:rsid w:val="0085790F"/>
    <w:rsid w:val="0085799E"/>
    <w:rsid w:val="00857A14"/>
    <w:rsid w:val="00857BD7"/>
    <w:rsid w:val="00857EB5"/>
    <w:rsid w:val="00860113"/>
    <w:rsid w:val="00860118"/>
    <w:rsid w:val="0086038F"/>
    <w:rsid w:val="00860891"/>
    <w:rsid w:val="008608C4"/>
    <w:rsid w:val="008609A9"/>
    <w:rsid w:val="00860DF8"/>
    <w:rsid w:val="00860E1A"/>
    <w:rsid w:val="00860EA3"/>
    <w:rsid w:val="00860EDD"/>
    <w:rsid w:val="00860EF1"/>
    <w:rsid w:val="008610DF"/>
    <w:rsid w:val="008611D2"/>
    <w:rsid w:val="00861628"/>
    <w:rsid w:val="008616CE"/>
    <w:rsid w:val="00861819"/>
    <w:rsid w:val="00861854"/>
    <w:rsid w:val="00861972"/>
    <w:rsid w:val="00861B6A"/>
    <w:rsid w:val="00861D7C"/>
    <w:rsid w:val="00862176"/>
    <w:rsid w:val="0086231B"/>
    <w:rsid w:val="0086247B"/>
    <w:rsid w:val="008624B8"/>
    <w:rsid w:val="008624C5"/>
    <w:rsid w:val="008625E5"/>
    <w:rsid w:val="008627B9"/>
    <w:rsid w:val="008628C5"/>
    <w:rsid w:val="008628F7"/>
    <w:rsid w:val="00862910"/>
    <w:rsid w:val="0086293B"/>
    <w:rsid w:val="008629D3"/>
    <w:rsid w:val="00862A56"/>
    <w:rsid w:val="00863060"/>
    <w:rsid w:val="00863300"/>
    <w:rsid w:val="00863375"/>
    <w:rsid w:val="008635D8"/>
    <w:rsid w:val="00863654"/>
    <w:rsid w:val="008637A8"/>
    <w:rsid w:val="008638A8"/>
    <w:rsid w:val="00863B92"/>
    <w:rsid w:val="00863CFF"/>
    <w:rsid w:val="00863D7A"/>
    <w:rsid w:val="00863E69"/>
    <w:rsid w:val="00864089"/>
    <w:rsid w:val="008640DB"/>
    <w:rsid w:val="00864114"/>
    <w:rsid w:val="00864227"/>
    <w:rsid w:val="00864234"/>
    <w:rsid w:val="00864294"/>
    <w:rsid w:val="00864520"/>
    <w:rsid w:val="0086453D"/>
    <w:rsid w:val="00864612"/>
    <w:rsid w:val="0086499C"/>
    <w:rsid w:val="00864C92"/>
    <w:rsid w:val="00864CE1"/>
    <w:rsid w:val="00864DB5"/>
    <w:rsid w:val="00865351"/>
    <w:rsid w:val="00865358"/>
    <w:rsid w:val="00865735"/>
    <w:rsid w:val="008657A1"/>
    <w:rsid w:val="008657EA"/>
    <w:rsid w:val="008658BC"/>
    <w:rsid w:val="00865912"/>
    <w:rsid w:val="008659D0"/>
    <w:rsid w:val="00865A1A"/>
    <w:rsid w:val="00865A27"/>
    <w:rsid w:val="00865D33"/>
    <w:rsid w:val="00865E73"/>
    <w:rsid w:val="00866104"/>
    <w:rsid w:val="00866190"/>
    <w:rsid w:val="008663D9"/>
    <w:rsid w:val="008664E6"/>
    <w:rsid w:val="00866548"/>
    <w:rsid w:val="008665B2"/>
    <w:rsid w:val="00866635"/>
    <w:rsid w:val="0086681F"/>
    <w:rsid w:val="00866863"/>
    <w:rsid w:val="00866872"/>
    <w:rsid w:val="00866999"/>
    <w:rsid w:val="00866D20"/>
    <w:rsid w:val="00866EF3"/>
    <w:rsid w:val="00867015"/>
    <w:rsid w:val="00867027"/>
    <w:rsid w:val="00867483"/>
    <w:rsid w:val="00867503"/>
    <w:rsid w:val="0086782F"/>
    <w:rsid w:val="0086784F"/>
    <w:rsid w:val="00867AE7"/>
    <w:rsid w:val="00867E6C"/>
    <w:rsid w:val="00867EDB"/>
    <w:rsid w:val="008701B9"/>
    <w:rsid w:val="00870604"/>
    <w:rsid w:val="00870687"/>
    <w:rsid w:val="008706CC"/>
    <w:rsid w:val="0087086F"/>
    <w:rsid w:val="00870A9C"/>
    <w:rsid w:val="00870F36"/>
    <w:rsid w:val="00871242"/>
    <w:rsid w:val="00871500"/>
    <w:rsid w:val="00871688"/>
    <w:rsid w:val="0087170A"/>
    <w:rsid w:val="008718A7"/>
    <w:rsid w:val="008719C7"/>
    <w:rsid w:val="008719EA"/>
    <w:rsid w:val="00871A3E"/>
    <w:rsid w:val="00871C64"/>
    <w:rsid w:val="00871D9D"/>
    <w:rsid w:val="00871F5D"/>
    <w:rsid w:val="00871F8F"/>
    <w:rsid w:val="00872175"/>
    <w:rsid w:val="008728F0"/>
    <w:rsid w:val="0087299A"/>
    <w:rsid w:val="00872B6F"/>
    <w:rsid w:val="00872C80"/>
    <w:rsid w:val="008731AA"/>
    <w:rsid w:val="00873287"/>
    <w:rsid w:val="008732D5"/>
    <w:rsid w:val="00873355"/>
    <w:rsid w:val="00873412"/>
    <w:rsid w:val="008734E7"/>
    <w:rsid w:val="00873543"/>
    <w:rsid w:val="00873786"/>
    <w:rsid w:val="00873949"/>
    <w:rsid w:val="00873AEB"/>
    <w:rsid w:val="00873BA4"/>
    <w:rsid w:val="008740C6"/>
    <w:rsid w:val="0087421A"/>
    <w:rsid w:val="00874593"/>
    <w:rsid w:val="0087461B"/>
    <w:rsid w:val="00874B83"/>
    <w:rsid w:val="00874DAE"/>
    <w:rsid w:val="00874E0B"/>
    <w:rsid w:val="00874E6D"/>
    <w:rsid w:val="00874ECB"/>
    <w:rsid w:val="00875457"/>
    <w:rsid w:val="008755F7"/>
    <w:rsid w:val="008756EF"/>
    <w:rsid w:val="00875885"/>
    <w:rsid w:val="008759C1"/>
    <w:rsid w:val="00875A64"/>
    <w:rsid w:val="00875AAC"/>
    <w:rsid w:val="00875B69"/>
    <w:rsid w:val="00875CAD"/>
    <w:rsid w:val="00875D13"/>
    <w:rsid w:val="00875E10"/>
    <w:rsid w:val="00875EE9"/>
    <w:rsid w:val="00875F3E"/>
    <w:rsid w:val="00876114"/>
    <w:rsid w:val="00876140"/>
    <w:rsid w:val="008761FC"/>
    <w:rsid w:val="008764A1"/>
    <w:rsid w:val="008765E5"/>
    <w:rsid w:val="0087677B"/>
    <w:rsid w:val="00876957"/>
    <w:rsid w:val="008769B2"/>
    <w:rsid w:val="00876A26"/>
    <w:rsid w:val="00876D1A"/>
    <w:rsid w:val="00876DB0"/>
    <w:rsid w:val="00876E29"/>
    <w:rsid w:val="00876F73"/>
    <w:rsid w:val="00876F88"/>
    <w:rsid w:val="0087706F"/>
    <w:rsid w:val="0087732E"/>
    <w:rsid w:val="008773AD"/>
    <w:rsid w:val="008773AE"/>
    <w:rsid w:val="008774AB"/>
    <w:rsid w:val="008774F0"/>
    <w:rsid w:val="00877518"/>
    <w:rsid w:val="00877693"/>
    <w:rsid w:val="008777A9"/>
    <w:rsid w:val="008778F4"/>
    <w:rsid w:val="00877AAD"/>
    <w:rsid w:val="00877BE2"/>
    <w:rsid w:val="00877CEB"/>
    <w:rsid w:val="00880064"/>
    <w:rsid w:val="0088055B"/>
    <w:rsid w:val="00880712"/>
    <w:rsid w:val="008809D9"/>
    <w:rsid w:val="00880C55"/>
    <w:rsid w:val="00880CDF"/>
    <w:rsid w:val="00880E63"/>
    <w:rsid w:val="00880F18"/>
    <w:rsid w:val="00880FB0"/>
    <w:rsid w:val="0088100F"/>
    <w:rsid w:val="00881103"/>
    <w:rsid w:val="0088116B"/>
    <w:rsid w:val="00881372"/>
    <w:rsid w:val="0088157F"/>
    <w:rsid w:val="008815C8"/>
    <w:rsid w:val="0088169C"/>
    <w:rsid w:val="008817AB"/>
    <w:rsid w:val="00881B8E"/>
    <w:rsid w:val="00881D14"/>
    <w:rsid w:val="00881EE8"/>
    <w:rsid w:val="0088226E"/>
    <w:rsid w:val="0088228A"/>
    <w:rsid w:val="0088236B"/>
    <w:rsid w:val="008826A3"/>
    <w:rsid w:val="00882876"/>
    <w:rsid w:val="00882AD6"/>
    <w:rsid w:val="00882D9D"/>
    <w:rsid w:val="00882E67"/>
    <w:rsid w:val="00883114"/>
    <w:rsid w:val="00883328"/>
    <w:rsid w:val="008833F2"/>
    <w:rsid w:val="00883770"/>
    <w:rsid w:val="00883C1D"/>
    <w:rsid w:val="00883C32"/>
    <w:rsid w:val="00883C76"/>
    <w:rsid w:val="00883E81"/>
    <w:rsid w:val="00883EF8"/>
    <w:rsid w:val="00884032"/>
    <w:rsid w:val="00884090"/>
    <w:rsid w:val="008846A2"/>
    <w:rsid w:val="008846EC"/>
    <w:rsid w:val="0088495F"/>
    <w:rsid w:val="00884D1A"/>
    <w:rsid w:val="00884D32"/>
    <w:rsid w:val="00884D3E"/>
    <w:rsid w:val="00884FA9"/>
    <w:rsid w:val="00885086"/>
    <w:rsid w:val="008852B0"/>
    <w:rsid w:val="0088535D"/>
    <w:rsid w:val="00885902"/>
    <w:rsid w:val="00885E5B"/>
    <w:rsid w:val="00885E99"/>
    <w:rsid w:val="00885FD1"/>
    <w:rsid w:val="00886099"/>
    <w:rsid w:val="00886310"/>
    <w:rsid w:val="008866CA"/>
    <w:rsid w:val="0088682B"/>
    <w:rsid w:val="0088696B"/>
    <w:rsid w:val="00886A30"/>
    <w:rsid w:val="00886B7D"/>
    <w:rsid w:val="00886BD3"/>
    <w:rsid w:val="00886ED9"/>
    <w:rsid w:val="00886F9D"/>
    <w:rsid w:val="008870BC"/>
    <w:rsid w:val="00887428"/>
    <w:rsid w:val="00887817"/>
    <w:rsid w:val="008878EE"/>
    <w:rsid w:val="008879EC"/>
    <w:rsid w:val="00887A05"/>
    <w:rsid w:val="00887AC2"/>
    <w:rsid w:val="00887C29"/>
    <w:rsid w:val="00887E79"/>
    <w:rsid w:val="00887FA7"/>
    <w:rsid w:val="00890049"/>
    <w:rsid w:val="00890211"/>
    <w:rsid w:val="008902BB"/>
    <w:rsid w:val="00890394"/>
    <w:rsid w:val="0089055F"/>
    <w:rsid w:val="008905C1"/>
    <w:rsid w:val="00890619"/>
    <w:rsid w:val="00890791"/>
    <w:rsid w:val="008907A3"/>
    <w:rsid w:val="00890877"/>
    <w:rsid w:val="0089093E"/>
    <w:rsid w:val="0089102A"/>
    <w:rsid w:val="0089106D"/>
    <w:rsid w:val="008912D0"/>
    <w:rsid w:val="0089130A"/>
    <w:rsid w:val="008913FB"/>
    <w:rsid w:val="008913FF"/>
    <w:rsid w:val="00891583"/>
    <w:rsid w:val="0089169A"/>
    <w:rsid w:val="008916C6"/>
    <w:rsid w:val="00891886"/>
    <w:rsid w:val="008918BF"/>
    <w:rsid w:val="0089193D"/>
    <w:rsid w:val="00891986"/>
    <w:rsid w:val="008919B0"/>
    <w:rsid w:val="00891A02"/>
    <w:rsid w:val="00891C74"/>
    <w:rsid w:val="00891C83"/>
    <w:rsid w:val="00891C95"/>
    <w:rsid w:val="00891CD9"/>
    <w:rsid w:val="0089200D"/>
    <w:rsid w:val="00892250"/>
    <w:rsid w:val="008922CD"/>
    <w:rsid w:val="008922FB"/>
    <w:rsid w:val="00892327"/>
    <w:rsid w:val="008923EC"/>
    <w:rsid w:val="0089282A"/>
    <w:rsid w:val="00892B01"/>
    <w:rsid w:val="00892B2F"/>
    <w:rsid w:val="00892BCD"/>
    <w:rsid w:val="00892CF4"/>
    <w:rsid w:val="00892DA1"/>
    <w:rsid w:val="008930A6"/>
    <w:rsid w:val="00893206"/>
    <w:rsid w:val="0089321E"/>
    <w:rsid w:val="00893280"/>
    <w:rsid w:val="00893486"/>
    <w:rsid w:val="00893488"/>
    <w:rsid w:val="00893541"/>
    <w:rsid w:val="008935C3"/>
    <w:rsid w:val="00893699"/>
    <w:rsid w:val="00893848"/>
    <w:rsid w:val="008939D7"/>
    <w:rsid w:val="00893C90"/>
    <w:rsid w:val="00893E17"/>
    <w:rsid w:val="00893E3C"/>
    <w:rsid w:val="00894134"/>
    <w:rsid w:val="00894148"/>
    <w:rsid w:val="00894159"/>
    <w:rsid w:val="00894218"/>
    <w:rsid w:val="00894312"/>
    <w:rsid w:val="008943E3"/>
    <w:rsid w:val="00894451"/>
    <w:rsid w:val="008944F5"/>
    <w:rsid w:val="00894570"/>
    <w:rsid w:val="00894613"/>
    <w:rsid w:val="00894868"/>
    <w:rsid w:val="0089489B"/>
    <w:rsid w:val="00894BDD"/>
    <w:rsid w:val="00894E19"/>
    <w:rsid w:val="00894E30"/>
    <w:rsid w:val="00894EA3"/>
    <w:rsid w:val="0089501F"/>
    <w:rsid w:val="008950FB"/>
    <w:rsid w:val="0089518D"/>
    <w:rsid w:val="008952D8"/>
    <w:rsid w:val="008954AD"/>
    <w:rsid w:val="0089557A"/>
    <w:rsid w:val="00895B12"/>
    <w:rsid w:val="00895B8C"/>
    <w:rsid w:val="00895C68"/>
    <w:rsid w:val="00895F2E"/>
    <w:rsid w:val="008960BC"/>
    <w:rsid w:val="00896280"/>
    <w:rsid w:val="008964CC"/>
    <w:rsid w:val="00896525"/>
    <w:rsid w:val="00896900"/>
    <w:rsid w:val="0089699D"/>
    <w:rsid w:val="00896E79"/>
    <w:rsid w:val="00896E95"/>
    <w:rsid w:val="00897654"/>
    <w:rsid w:val="00897771"/>
    <w:rsid w:val="00897952"/>
    <w:rsid w:val="008979DD"/>
    <w:rsid w:val="00897AD6"/>
    <w:rsid w:val="00897D32"/>
    <w:rsid w:val="008A03C3"/>
    <w:rsid w:val="008A0922"/>
    <w:rsid w:val="008A094D"/>
    <w:rsid w:val="008A0BA5"/>
    <w:rsid w:val="008A0F16"/>
    <w:rsid w:val="008A0F18"/>
    <w:rsid w:val="008A1095"/>
    <w:rsid w:val="008A12AC"/>
    <w:rsid w:val="008A13AD"/>
    <w:rsid w:val="008A146C"/>
    <w:rsid w:val="008A1473"/>
    <w:rsid w:val="008A1519"/>
    <w:rsid w:val="008A188F"/>
    <w:rsid w:val="008A193D"/>
    <w:rsid w:val="008A198D"/>
    <w:rsid w:val="008A1A59"/>
    <w:rsid w:val="008A1BFC"/>
    <w:rsid w:val="008A1F03"/>
    <w:rsid w:val="008A2183"/>
    <w:rsid w:val="008A2321"/>
    <w:rsid w:val="008A2379"/>
    <w:rsid w:val="008A2470"/>
    <w:rsid w:val="008A25A2"/>
    <w:rsid w:val="008A275B"/>
    <w:rsid w:val="008A28A0"/>
    <w:rsid w:val="008A29A5"/>
    <w:rsid w:val="008A2CDE"/>
    <w:rsid w:val="008A2E67"/>
    <w:rsid w:val="008A2FAA"/>
    <w:rsid w:val="008A30F8"/>
    <w:rsid w:val="008A3118"/>
    <w:rsid w:val="008A31E2"/>
    <w:rsid w:val="008A3331"/>
    <w:rsid w:val="008A3384"/>
    <w:rsid w:val="008A3402"/>
    <w:rsid w:val="008A3615"/>
    <w:rsid w:val="008A38B3"/>
    <w:rsid w:val="008A392B"/>
    <w:rsid w:val="008A3EFB"/>
    <w:rsid w:val="008A4015"/>
    <w:rsid w:val="008A417E"/>
    <w:rsid w:val="008A41D5"/>
    <w:rsid w:val="008A4363"/>
    <w:rsid w:val="008A466F"/>
    <w:rsid w:val="008A4776"/>
    <w:rsid w:val="008A49CE"/>
    <w:rsid w:val="008A4AB7"/>
    <w:rsid w:val="008A502A"/>
    <w:rsid w:val="008A5103"/>
    <w:rsid w:val="008A5373"/>
    <w:rsid w:val="008A5491"/>
    <w:rsid w:val="008A5D9F"/>
    <w:rsid w:val="008A6170"/>
    <w:rsid w:val="008A68C1"/>
    <w:rsid w:val="008A69A3"/>
    <w:rsid w:val="008A69F5"/>
    <w:rsid w:val="008A6C21"/>
    <w:rsid w:val="008A6E0E"/>
    <w:rsid w:val="008A6FA2"/>
    <w:rsid w:val="008A723E"/>
    <w:rsid w:val="008A73C1"/>
    <w:rsid w:val="008A7508"/>
    <w:rsid w:val="008A77D6"/>
    <w:rsid w:val="008A7894"/>
    <w:rsid w:val="008A7927"/>
    <w:rsid w:val="008A7A8C"/>
    <w:rsid w:val="008A7A99"/>
    <w:rsid w:val="008A7CB4"/>
    <w:rsid w:val="008A7D18"/>
    <w:rsid w:val="008A7E77"/>
    <w:rsid w:val="008A7E86"/>
    <w:rsid w:val="008B0079"/>
    <w:rsid w:val="008B0270"/>
    <w:rsid w:val="008B02FE"/>
    <w:rsid w:val="008B0414"/>
    <w:rsid w:val="008B0467"/>
    <w:rsid w:val="008B0502"/>
    <w:rsid w:val="008B0A8D"/>
    <w:rsid w:val="008B0AF0"/>
    <w:rsid w:val="008B0BBC"/>
    <w:rsid w:val="008B0C9E"/>
    <w:rsid w:val="008B0FFB"/>
    <w:rsid w:val="008B10EC"/>
    <w:rsid w:val="008B1308"/>
    <w:rsid w:val="008B133C"/>
    <w:rsid w:val="008B135D"/>
    <w:rsid w:val="008B13C4"/>
    <w:rsid w:val="008B13FA"/>
    <w:rsid w:val="008B1449"/>
    <w:rsid w:val="008B1525"/>
    <w:rsid w:val="008B19BE"/>
    <w:rsid w:val="008B19BF"/>
    <w:rsid w:val="008B1B24"/>
    <w:rsid w:val="008B1B65"/>
    <w:rsid w:val="008B1BBA"/>
    <w:rsid w:val="008B1CEC"/>
    <w:rsid w:val="008B1FCC"/>
    <w:rsid w:val="008B22D6"/>
    <w:rsid w:val="008B2448"/>
    <w:rsid w:val="008B24E5"/>
    <w:rsid w:val="008B2714"/>
    <w:rsid w:val="008B28DD"/>
    <w:rsid w:val="008B28EF"/>
    <w:rsid w:val="008B2958"/>
    <w:rsid w:val="008B2CBB"/>
    <w:rsid w:val="008B2E13"/>
    <w:rsid w:val="008B2E5C"/>
    <w:rsid w:val="008B3033"/>
    <w:rsid w:val="008B30B9"/>
    <w:rsid w:val="008B34DA"/>
    <w:rsid w:val="008B36A5"/>
    <w:rsid w:val="008B3807"/>
    <w:rsid w:val="008B3829"/>
    <w:rsid w:val="008B3DD6"/>
    <w:rsid w:val="008B3E93"/>
    <w:rsid w:val="008B3FFA"/>
    <w:rsid w:val="008B4044"/>
    <w:rsid w:val="008B428F"/>
    <w:rsid w:val="008B42B5"/>
    <w:rsid w:val="008B4352"/>
    <w:rsid w:val="008B43B8"/>
    <w:rsid w:val="008B43C7"/>
    <w:rsid w:val="008B4471"/>
    <w:rsid w:val="008B4776"/>
    <w:rsid w:val="008B47DB"/>
    <w:rsid w:val="008B4A50"/>
    <w:rsid w:val="008B4C09"/>
    <w:rsid w:val="008B4E6D"/>
    <w:rsid w:val="008B4EC8"/>
    <w:rsid w:val="008B4EE7"/>
    <w:rsid w:val="008B500E"/>
    <w:rsid w:val="008B51B6"/>
    <w:rsid w:val="008B5220"/>
    <w:rsid w:val="008B5228"/>
    <w:rsid w:val="008B52D3"/>
    <w:rsid w:val="008B562A"/>
    <w:rsid w:val="008B5688"/>
    <w:rsid w:val="008B5BAE"/>
    <w:rsid w:val="008B5D61"/>
    <w:rsid w:val="008B5D90"/>
    <w:rsid w:val="008B5DDD"/>
    <w:rsid w:val="008B5E25"/>
    <w:rsid w:val="008B6130"/>
    <w:rsid w:val="008B61C7"/>
    <w:rsid w:val="008B61CE"/>
    <w:rsid w:val="008B61F1"/>
    <w:rsid w:val="008B6212"/>
    <w:rsid w:val="008B638E"/>
    <w:rsid w:val="008B6408"/>
    <w:rsid w:val="008B665E"/>
    <w:rsid w:val="008B6684"/>
    <w:rsid w:val="008B68A6"/>
    <w:rsid w:val="008B6A36"/>
    <w:rsid w:val="008B6B10"/>
    <w:rsid w:val="008B6BBD"/>
    <w:rsid w:val="008B6C6B"/>
    <w:rsid w:val="008B6C8F"/>
    <w:rsid w:val="008B6FCC"/>
    <w:rsid w:val="008B7102"/>
    <w:rsid w:val="008B7498"/>
    <w:rsid w:val="008B74D8"/>
    <w:rsid w:val="008B77BB"/>
    <w:rsid w:val="008B790D"/>
    <w:rsid w:val="008B7A0A"/>
    <w:rsid w:val="008B7A1E"/>
    <w:rsid w:val="008B7A7A"/>
    <w:rsid w:val="008B7B4D"/>
    <w:rsid w:val="008B7BEB"/>
    <w:rsid w:val="008B7CC6"/>
    <w:rsid w:val="008B7D28"/>
    <w:rsid w:val="008B7E42"/>
    <w:rsid w:val="008B7EBB"/>
    <w:rsid w:val="008B7EED"/>
    <w:rsid w:val="008C01FD"/>
    <w:rsid w:val="008C0349"/>
    <w:rsid w:val="008C038D"/>
    <w:rsid w:val="008C03E0"/>
    <w:rsid w:val="008C05E7"/>
    <w:rsid w:val="008C07FC"/>
    <w:rsid w:val="008C0811"/>
    <w:rsid w:val="008C09BD"/>
    <w:rsid w:val="008C0A64"/>
    <w:rsid w:val="008C0D0D"/>
    <w:rsid w:val="008C0E64"/>
    <w:rsid w:val="008C0E92"/>
    <w:rsid w:val="008C0ECA"/>
    <w:rsid w:val="008C0FC6"/>
    <w:rsid w:val="008C101C"/>
    <w:rsid w:val="008C11BE"/>
    <w:rsid w:val="008C11FC"/>
    <w:rsid w:val="008C1358"/>
    <w:rsid w:val="008C178E"/>
    <w:rsid w:val="008C18AB"/>
    <w:rsid w:val="008C19F4"/>
    <w:rsid w:val="008C1A1F"/>
    <w:rsid w:val="008C1BB2"/>
    <w:rsid w:val="008C1C3B"/>
    <w:rsid w:val="008C1DB2"/>
    <w:rsid w:val="008C1DED"/>
    <w:rsid w:val="008C1E20"/>
    <w:rsid w:val="008C1FF4"/>
    <w:rsid w:val="008C20D1"/>
    <w:rsid w:val="008C2383"/>
    <w:rsid w:val="008C2629"/>
    <w:rsid w:val="008C264E"/>
    <w:rsid w:val="008C2691"/>
    <w:rsid w:val="008C272E"/>
    <w:rsid w:val="008C27F8"/>
    <w:rsid w:val="008C28F4"/>
    <w:rsid w:val="008C2936"/>
    <w:rsid w:val="008C2BA5"/>
    <w:rsid w:val="008C2BBD"/>
    <w:rsid w:val="008C2D2F"/>
    <w:rsid w:val="008C2E9E"/>
    <w:rsid w:val="008C3057"/>
    <w:rsid w:val="008C3129"/>
    <w:rsid w:val="008C3155"/>
    <w:rsid w:val="008C31AF"/>
    <w:rsid w:val="008C32BE"/>
    <w:rsid w:val="008C335B"/>
    <w:rsid w:val="008C33C2"/>
    <w:rsid w:val="008C358B"/>
    <w:rsid w:val="008C3671"/>
    <w:rsid w:val="008C3B1F"/>
    <w:rsid w:val="008C3B39"/>
    <w:rsid w:val="008C3D2A"/>
    <w:rsid w:val="008C4204"/>
    <w:rsid w:val="008C42C3"/>
    <w:rsid w:val="008C42F2"/>
    <w:rsid w:val="008C4358"/>
    <w:rsid w:val="008C445B"/>
    <w:rsid w:val="008C45BF"/>
    <w:rsid w:val="008C460F"/>
    <w:rsid w:val="008C465F"/>
    <w:rsid w:val="008C47B7"/>
    <w:rsid w:val="008C4A87"/>
    <w:rsid w:val="008C4C4D"/>
    <w:rsid w:val="008C4C90"/>
    <w:rsid w:val="008C4EE3"/>
    <w:rsid w:val="008C5377"/>
    <w:rsid w:val="008C538A"/>
    <w:rsid w:val="008C548D"/>
    <w:rsid w:val="008C54A5"/>
    <w:rsid w:val="008C5602"/>
    <w:rsid w:val="008C5702"/>
    <w:rsid w:val="008C57B4"/>
    <w:rsid w:val="008C5A33"/>
    <w:rsid w:val="008C5B23"/>
    <w:rsid w:val="008C5B5B"/>
    <w:rsid w:val="008C5BC6"/>
    <w:rsid w:val="008C5DCC"/>
    <w:rsid w:val="008C5DDF"/>
    <w:rsid w:val="008C5F1C"/>
    <w:rsid w:val="008C6023"/>
    <w:rsid w:val="008C6307"/>
    <w:rsid w:val="008C6390"/>
    <w:rsid w:val="008C66D4"/>
    <w:rsid w:val="008C693B"/>
    <w:rsid w:val="008C6EC9"/>
    <w:rsid w:val="008C71EC"/>
    <w:rsid w:val="008C76E4"/>
    <w:rsid w:val="008C76F6"/>
    <w:rsid w:val="008C7770"/>
    <w:rsid w:val="008C7788"/>
    <w:rsid w:val="008C77C8"/>
    <w:rsid w:val="008C7BA6"/>
    <w:rsid w:val="008C7C63"/>
    <w:rsid w:val="008C7C6D"/>
    <w:rsid w:val="008C7E93"/>
    <w:rsid w:val="008D04D5"/>
    <w:rsid w:val="008D0506"/>
    <w:rsid w:val="008D0512"/>
    <w:rsid w:val="008D0773"/>
    <w:rsid w:val="008D0779"/>
    <w:rsid w:val="008D0886"/>
    <w:rsid w:val="008D0B85"/>
    <w:rsid w:val="008D0C4A"/>
    <w:rsid w:val="008D0C69"/>
    <w:rsid w:val="008D0CC2"/>
    <w:rsid w:val="008D0D36"/>
    <w:rsid w:val="008D0D6D"/>
    <w:rsid w:val="008D1272"/>
    <w:rsid w:val="008D13BA"/>
    <w:rsid w:val="008D1A0F"/>
    <w:rsid w:val="008D1CC9"/>
    <w:rsid w:val="008D1D21"/>
    <w:rsid w:val="008D1D8F"/>
    <w:rsid w:val="008D1DAD"/>
    <w:rsid w:val="008D2211"/>
    <w:rsid w:val="008D2364"/>
    <w:rsid w:val="008D26E5"/>
    <w:rsid w:val="008D276F"/>
    <w:rsid w:val="008D2986"/>
    <w:rsid w:val="008D2A75"/>
    <w:rsid w:val="008D2DBD"/>
    <w:rsid w:val="008D2F11"/>
    <w:rsid w:val="008D346D"/>
    <w:rsid w:val="008D3542"/>
    <w:rsid w:val="008D35DF"/>
    <w:rsid w:val="008D364C"/>
    <w:rsid w:val="008D372F"/>
    <w:rsid w:val="008D3B4A"/>
    <w:rsid w:val="008D3C36"/>
    <w:rsid w:val="008D3C83"/>
    <w:rsid w:val="008D3CEF"/>
    <w:rsid w:val="008D3E0C"/>
    <w:rsid w:val="008D3FDC"/>
    <w:rsid w:val="008D41FE"/>
    <w:rsid w:val="008D4223"/>
    <w:rsid w:val="008D4271"/>
    <w:rsid w:val="008D448F"/>
    <w:rsid w:val="008D4531"/>
    <w:rsid w:val="008D4648"/>
    <w:rsid w:val="008D4681"/>
    <w:rsid w:val="008D4806"/>
    <w:rsid w:val="008D4927"/>
    <w:rsid w:val="008D4D1F"/>
    <w:rsid w:val="008D4F60"/>
    <w:rsid w:val="008D4F91"/>
    <w:rsid w:val="008D4F93"/>
    <w:rsid w:val="008D5406"/>
    <w:rsid w:val="008D55A8"/>
    <w:rsid w:val="008D561D"/>
    <w:rsid w:val="008D5665"/>
    <w:rsid w:val="008D583C"/>
    <w:rsid w:val="008D589A"/>
    <w:rsid w:val="008D58E5"/>
    <w:rsid w:val="008D5BD8"/>
    <w:rsid w:val="008D5BD9"/>
    <w:rsid w:val="008D5C72"/>
    <w:rsid w:val="008D5DD2"/>
    <w:rsid w:val="008D5DF9"/>
    <w:rsid w:val="008D619D"/>
    <w:rsid w:val="008D63F9"/>
    <w:rsid w:val="008D6613"/>
    <w:rsid w:val="008D6948"/>
    <w:rsid w:val="008D6ABB"/>
    <w:rsid w:val="008D6B60"/>
    <w:rsid w:val="008D6C77"/>
    <w:rsid w:val="008D6CA9"/>
    <w:rsid w:val="008D6D29"/>
    <w:rsid w:val="008D722F"/>
    <w:rsid w:val="008D7268"/>
    <w:rsid w:val="008D7347"/>
    <w:rsid w:val="008D73BB"/>
    <w:rsid w:val="008D75D9"/>
    <w:rsid w:val="008D78DE"/>
    <w:rsid w:val="008D7A24"/>
    <w:rsid w:val="008D7A2E"/>
    <w:rsid w:val="008D7A3F"/>
    <w:rsid w:val="008D7C1F"/>
    <w:rsid w:val="008D7D9D"/>
    <w:rsid w:val="008D7EBD"/>
    <w:rsid w:val="008D7FAB"/>
    <w:rsid w:val="008D7FD7"/>
    <w:rsid w:val="008E0017"/>
    <w:rsid w:val="008E0152"/>
    <w:rsid w:val="008E0196"/>
    <w:rsid w:val="008E019C"/>
    <w:rsid w:val="008E035C"/>
    <w:rsid w:val="008E03E2"/>
    <w:rsid w:val="008E03E5"/>
    <w:rsid w:val="008E0603"/>
    <w:rsid w:val="008E068F"/>
    <w:rsid w:val="008E07E5"/>
    <w:rsid w:val="008E0B0B"/>
    <w:rsid w:val="008E0BAE"/>
    <w:rsid w:val="008E0DEB"/>
    <w:rsid w:val="008E12AC"/>
    <w:rsid w:val="008E1342"/>
    <w:rsid w:val="008E135B"/>
    <w:rsid w:val="008E1447"/>
    <w:rsid w:val="008E156D"/>
    <w:rsid w:val="008E15A4"/>
    <w:rsid w:val="008E1C2F"/>
    <w:rsid w:val="008E1E2F"/>
    <w:rsid w:val="008E1EA8"/>
    <w:rsid w:val="008E200E"/>
    <w:rsid w:val="008E22CB"/>
    <w:rsid w:val="008E24AB"/>
    <w:rsid w:val="008E24AC"/>
    <w:rsid w:val="008E2663"/>
    <w:rsid w:val="008E27B5"/>
    <w:rsid w:val="008E280C"/>
    <w:rsid w:val="008E2815"/>
    <w:rsid w:val="008E2F76"/>
    <w:rsid w:val="008E32D9"/>
    <w:rsid w:val="008E340F"/>
    <w:rsid w:val="008E356E"/>
    <w:rsid w:val="008E35FC"/>
    <w:rsid w:val="008E3B94"/>
    <w:rsid w:val="008E3BFD"/>
    <w:rsid w:val="008E3D95"/>
    <w:rsid w:val="008E3E37"/>
    <w:rsid w:val="008E3E90"/>
    <w:rsid w:val="008E4027"/>
    <w:rsid w:val="008E409B"/>
    <w:rsid w:val="008E40CB"/>
    <w:rsid w:val="008E41C5"/>
    <w:rsid w:val="008E44AB"/>
    <w:rsid w:val="008E45FB"/>
    <w:rsid w:val="008E4879"/>
    <w:rsid w:val="008E4D2B"/>
    <w:rsid w:val="008E4D6B"/>
    <w:rsid w:val="008E4FA3"/>
    <w:rsid w:val="008E4FB6"/>
    <w:rsid w:val="008E505B"/>
    <w:rsid w:val="008E506E"/>
    <w:rsid w:val="008E529D"/>
    <w:rsid w:val="008E535E"/>
    <w:rsid w:val="008E538A"/>
    <w:rsid w:val="008E54E0"/>
    <w:rsid w:val="008E5547"/>
    <w:rsid w:val="008E5656"/>
    <w:rsid w:val="008E5659"/>
    <w:rsid w:val="008E570A"/>
    <w:rsid w:val="008E583C"/>
    <w:rsid w:val="008E596E"/>
    <w:rsid w:val="008E5A0E"/>
    <w:rsid w:val="008E5AEC"/>
    <w:rsid w:val="008E5B45"/>
    <w:rsid w:val="008E5F25"/>
    <w:rsid w:val="008E60F6"/>
    <w:rsid w:val="008E6123"/>
    <w:rsid w:val="008E637A"/>
    <w:rsid w:val="008E6599"/>
    <w:rsid w:val="008E6C91"/>
    <w:rsid w:val="008E6EF9"/>
    <w:rsid w:val="008E703C"/>
    <w:rsid w:val="008E70ED"/>
    <w:rsid w:val="008E739C"/>
    <w:rsid w:val="008E7853"/>
    <w:rsid w:val="008E7AC0"/>
    <w:rsid w:val="008E7AC4"/>
    <w:rsid w:val="008E7CD8"/>
    <w:rsid w:val="008E7DC0"/>
    <w:rsid w:val="008E7F62"/>
    <w:rsid w:val="008F0A65"/>
    <w:rsid w:val="008F0CA1"/>
    <w:rsid w:val="008F0D20"/>
    <w:rsid w:val="008F0FA9"/>
    <w:rsid w:val="008F11A4"/>
    <w:rsid w:val="008F1B4F"/>
    <w:rsid w:val="008F2026"/>
    <w:rsid w:val="008F21C4"/>
    <w:rsid w:val="008F21D8"/>
    <w:rsid w:val="008F220E"/>
    <w:rsid w:val="008F22F7"/>
    <w:rsid w:val="008F23C7"/>
    <w:rsid w:val="008F242A"/>
    <w:rsid w:val="008F2517"/>
    <w:rsid w:val="008F2521"/>
    <w:rsid w:val="008F265A"/>
    <w:rsid w:val="008F2934"/>
    <w:rsid w:val="008F2959"/>
    <w:rsid w:val="008F296F"/>
    <w:rsid w:val="008F2B96"/>
    <w:rsid w:val="008F2E2F"/>
    <w:rsid w:val="008F2E34"/>
    <w:rsid w:val="008F2F42"/>
    <w:rsid w:val="008F2FC3"/>
    <w:rsid w:val="008F3160"/>
    <w:rsid w:val="008F3368"/>
    <w:rsid w:val="008F33CD"/>
    <w:rsid w:val="008F3812"/>
    <w:rsid w:val="008F3B01"/>
    <w:rsid w:val="008F3BB0"/>
    <w:rsid w:val="008F3E40"/>
    <w:rsid w:val="008F4252"/>
    <w:rsid w:val="008F4548"/>
    <w:rsid w:val="008F46DD"/>
    <w:rsid w:val="008F46F0"/>
    <w:rsid w:val="008F4768"/>
    <w:rsid w:val="008F4801"/>
    <w:rsid w:val="008F488C"/>
    <w:rsid w:val="008F4E92"/>
    <w:rsid w:val="008F4ECD"/>
    <w:rsid w:val="008F4F42"/>
    <w:rsid w:val="008F523F"/>
    <w:rsid w:val="008F547F"/>
    <w:rsid w:val="008F5566"/>
    <w:rsid w:val="008F5574"/>
    <w:rsid w:val="008F5727"/>
    <w:rsid w:val="008F583B"/>
    <w:rsid w:val="008F5889"/>
    <w:rsid w:val="008F5A0E"/>
    <w:rsid w:val="008F5ABC"/>
    <w:rsid w:val="008F5C1B"/>
    <w:rsid w:val="008F5C23"/>
    <w:rsid w:val="008F5C44"/>
    <w:rsid w:val="008F5CD9"/>
    <w:rsid w:val="008F5DE9"/>
    <w:rsid w:val="008F5F6D"/>
    <w:rsid w:val="008F5FB4"/>
    <w:rsid w:val="008F651F"/>
    <w:rsid w:val="008F6C38"/>
    <w:rsid w:val="008F6C65"/>
    <w:rsid w:val="008F6EC9"/>
    <w:rsid w:val="008F6F4E"/>
    <w:rsid w:val="008F71D4"/>
    <w:rsid w:val="008F7272"/>
    <w:rsid w:val="008F728A"/>
    <w:rsid w:val="008F7355"/>
    <w:rsid w:val="008F7384"/>
    <w:rsid w:val="008F7389"/>
    <w:rsid w:val="008F7516"/>
    <w:rsid w:val="008F77BF"/>
    <w:rsid w:val="008F77FE"/>
    <w:rsid w:val="008F7936"/>
    <w:rsid w:val="008F798D"/>
    <w:rsid w:val="008F7992"/>
    <w:rsid w:val="008F7A1D"/>
    <w:rsid w:val="008F7B3F"/>
    <w:rsid w:val="008F7C86"/>
    <w:rsid w:val="008F7F6B"/>
    <w:rsid w:val="00900011"/>
    <w:rsid w:val="00900208"/>
    <w:rsid w:val="0090053C"/>
    <w:rsid w:val="00900548"/>
    <w:rsid w:val="00900A2F"/>
    <w:rsid w:val="00900A47"/>
    <w:rsid w:val="00900AF5"/>
    <w:rsid w:val="00900C45"/>
    <w:rsid w:val="00900D40"/>
    <w:rsid w:val="00900FE6"/>
    <w:rsid w:val="00901016"/>
    <w:rsid w:val="00901276"/>
    <w:rsid w:val="0090136E"/>
    <w:rsid w:val="0090153A"/>
    <w:rsid w:val="00901657"/>
    <w:rsid w:val="00901865"/>
    <w:rsid w:val="009018CD"/>
    <w:rsid w:val="0090192F"/>
    <w:rsid w:val="00901A16"/>
    <w:rsid w:val="00902134"/>
    <w:rsid w:val="0090286B"/>
    <w:rsid w:val="00902901"/>
    <w:rsid w:val="009029B5"/>
    <w:rsid w:val="009029FC"/>
    <w:rsid w:val="00902FAB"/>
    <w:rsid w:val="0090319F"/>
    <w:rsid w:val="00903578"/>
    <w:rsid w:val="0090359F"/>
    <w:rsid w:val="009035D2"/>
    <w:rsid w:val="009036ED"/>
    <w:rsid w:val="00903751"/>
    <w:rsid w:val="00903959"/>
    <w:rsid w:val="00903CAD"/>
    <w:rsid w:val="00903D28"/>
    <w:rsid w:val="00903D66"/>
    <w:rsid w:val="00904150"/>
    <w:rsid w:val="00904244"/>
    <w:rsid w:val="009043C0"/>
    <w:rsid w:val="00904669"/>
    <w:rsid w:val="00904791"/>
    <w:rsid w:val="009047BE"/>
    <w:rsid w:val="009047E2"/>
    <w:rsid w:val="00904AC0"/>
    <w:rsid w:val="00904B3D"/>
    <w:rsid w:val="00904B77"/>
    <w:rsid w:val="00904BF5"/>
    <w:rsid w:val="00904D09"/>
    <w:rsid w:val="00904D2D"/>
    <w:rsid w:val="00904DC2"/>
    <w:rsid w:val="00904EA3"/>
    <w:rsid w:val="00904ED0"/>
    <w:rsid w:val="00905277"/>
    <w:rsid w:val="00905336"/>
    <w:rsid w:val="00905611"/>
    <w:rsid w:val="009058DE"/>
    <w:rsid w:val="00905B41"/>
    <w:rsid w:val="00905E96"/>
    <w:rsid w:val="00905FDC"/>
    <w:rsid w:val="00906325"/>
    <w:rsid w:val="0090669B"/>
    <w:rsid w:val="009068C1"/>
    <w:rsid w:val="00906974"/>
    <w:rsid w:val="00906B9B"/>
    <w:rsid w:val="009070EC"/>
    <w:rsid w:val="0090737C"/>
    <w:rsid w:val="009074B0"/>
    <w:rsid w:val="0090767B"/>
    <w:rsid w:val="0090776A"/>
    <w:rsid w:val="00907853"/>
    <w:rsid w:val="00907B62"/>
    <w:rsid w:val="00907C77"/>
    <w:rsid w:val="00907FE6"/>
    <w:rsid w:val="0091004A"/>
    <w:rsid w:val="0091023F"/>
    <w:rsid w:val="009102E1"/>
    <w:rsid w:val="00910351"/>
    <w:rsid w:val="00910597"/>
    <w:rsid w:val="00910678"/>
    <w:rsid w:val="0091067D"/>
    <w:rsid w:val="009107E6"/>
    <w:rsid w:val="009107F6"/>
    <w:rsid w:val="0091088B"/>
    <w:rsid w:val="00910BFE"/>
    <w:rsid w:val="00911010"/>
    <w:rsid w:val="00911370"/>
    <w:rsid w:val="00911844"/>
    <w:rsid w:val="00911868"/>
    <w:rsid w:val="00911B40"/>
    <w:rsid w:val="00911B9F"/>
    <w:rsid w:val="00911C76"/>
    <w:rsid w:val="00912210"/>
    <w:rsid w:val="00912254"/>
    <w:rsid w:val="009122FB"/>
    <w:rsid w:val="00912699"/>
    <w:rsid w:val="009126D7"/>
    <w:rsid w:val="0091289D"/>
    <w:rsid w:val="00912A42"/>
    <w:rsid w:val="00912AB9"/>
    <w:rsid w:val="00912D6B"/>
    <w:rsid w:val="00912D6C"/>
    <w:rsid w:val="00912F0A"/>
    <w:rsid w:val="00912F7A"/>
    <w:rsid w:val="0091302B"/>
    <w:rsid w:val="0091304F"/>
    <w:rsid w:val="00913070"/>
    <w:rsid w:val="009130CC"/>
    <w:rsid w:val="00913136"/>
    <w:rsid w:val="0091329B"/>
    <w:rsid w:val="0091337D"/>
    <w:rsid w:val="009136D3"/>
    <w:rsid w:val="00913845"/>
    <w:rsid w:val="0091389F"/>
    <w:rsid w:val="009138AD"/>
    <w:rsid w:val="00913A35"/>
    <w:rsid w:val="00913C6D"/>
    <w:rsid w:val="00913D4B"/>
    <w:rsid w:val="00913E66"/>
    <w:rsid w:val="00913ECF"/>
    <w:rsid w:val="00913F50"/>
    <w:rsid w:val="009142F0"/>
    <w:rsid w:val="009143C1"/>
    <w:rsid w:val="0091442C"/>
    <w:rsid w:val="0091448A"/>
    <w:rsid w:val="009145DB"/>
    <w:rsid w:val="009145E6"/>
    <w:rsid w:val="00914770"/>
    <w:rsid w:val="00914802"/>
    <w:rsid w:val="00914842"/>
    <w:rsid w:val="00914882"/>
    <w:rsid w:val="009149A7"/>
    <w:rsid w:val="009149FE"/>
    <w:rsid w:val="00914F94"/>
    <w:rsid w:val="0091501C"/>
    <w:rsid w:val="009152BB"/>
    <w:rsid w:val="0091543B"/>
    <w:rsid w:val="0091548E"/>
    <w:rsid w:val="009154BB"/>
    <w:rsid w:val="009154BC"/>
    <w:rsid w:val="00915515"/>
    <w:rsid w:val="009156E3"/>
    <w:rsid w:val="00915A1C"/>
    <w:rsid w:val="00915AD6"/>
    <w:rsid w:val="00915BBF"/>
    <w:rsid w:val="00915D69"/>
    <w:rsid w:val="00915DEF"/>
    <w:rsid w:val="00915F32"/>
    <w:rsid w:val="00916036"/>
    <w:rsid w:val="009167C3"/>
    <w:rsid w:val="0091683B"/>
    <w:rsid w:val="00916948"/>
    <w:rsid w:val="00916BD6"/>
    <w:rsid w:val="00916D6A"/>
    <w:rsid w:val="00916EE8"/>
    <w:rsid w:val="00916F5C"/>
    <w:rsid w:val="00917011"/>
    <w:rsid w:val="0091708C"/>
    <w:rsid w:val="00917135"/>
    <w:rsid w:val="00917318"/>
    <w:rsid w:val="00917685"/>
    <w:rsid w:val="009178A2"/>
    <w:rsid w:val="00917B76"/>
    <w:rsid w:val="00917BFE"/>
    <w:rsid w:val="00917CC9"/>
    <w:rsid w:val="00917D9B"/>
    <w:rsid w:val="009200E9"/>
    <w:rsid w:val="0092019C"/>
    <w:rsid w:val="00920260"/>
    <w:rsid w:val="009203E1"/>
    <w:rsid w:val="009203EE"/>
    <w:rsid w:val="009205B1"/>
    <w:rsid w:val="009205C6"/>
    <w:rsid w:val="0092060D"/>
    <w:rsid w:val="009206DA"/>
    <w:rsid w:val="00920952"/>
    <w:rsid w:val="00920C20"/>
    <w:rsid w:val="00920CB3"/>
    <w:rsid w:val="00920DB7"/>
    <w:rsid w:val="00920F4B"/>
    <w:rsid w:val="00920FB0"/>
    <w:rsid w:val="0092100D"/>
    <w:rsid w:val="0092134B"/>
    <w:rsid w:val="0092138E"/>
    <w:rsid w:val="00921566"/>
    <w:rsid w:val="0092159B"/>
    <w:rsid w:val="0092174C"/>
    <w:rsid w:val="009218F2"/>
    <w:rsid w:val="00921996"/>
    <w:rsid w:val="0092243A"/>
    <w:rsid w:val="0092293E"/>
    <w:rsid w:val="00922B81"/>
    <w:rsid w:val="00922D2D"/>
    <w:rsid w:val="00922F09"/>
    <w:rsid w:val="00922F68"/>
    <w:rsid w:val="00923201"/>
    <w:rsid w:val="00923263"/>
    <w:rsid w:val="00923273"/>
    <w:rsid w:val="009232CA"/>
    <w:rsid w:val="00923562"/>
    <w:rsid w:val="0092375B"/>
    <w:rsid w:val="0092383F"/>
    <w:rsid w:val="00923953"/>
    <w:rsid w:val="00923A34"/>
    <w:rsid w:val="00923B46"/>
    <w:rsid w:val="00923E90"/>
    <w:rsid w:val="00923EF2"/>
    <w:rsid w:val="0092406D"/>
    <w:rsid w:val="009241AE"/>
    <w:rsid w:val="009242FC"/>
    <w:rsid w:val="00924549"/>
    <w:rsid w:val="009245C0"/>
    <w:rsid w:val="0092476A"/>
    <w:rsid w:val="00924C91"/>
    <w:rsid w:val="00924E19"/>
    <w:rsid w:val="00924E29"/>
    <w:rsid w:val="00924F66"/>
    <w:rsid w:val="00925158"/>
    <w:rsid w:val="00925173"/>
    <w:rsid w:val="00925490"/>
    <w:rsid w:val="009259A3"/>
    <w:rsid w:val="009259D4"/>
    <w:rsid w:val="00925D20"/>
    <w:rsid w:val="00925F32"/>
    <w:rsid w:val="00926115"/>
    <w:rsid w:val="00926494"/>
    <w:rsid w:val="009265EC"/>
    <w:rsid w:val="0092676E"/>
    <w:rsid w:val="0092693A"/>
    <w:rsid w:val="009269C3"/>
    <w:rsid w:val="00926AE5"/>
    <w:rsid w:val="00926BAA"/>
    <w:rsid w:val="00926D66"/>
    <w:rsid w:val="00926F58"/>
    <w:rsid w:val="009270A6"/>
    <w:rsid w:val="009271B5"/>
    <w:rsid w:val="00927229"/>
    <w:rsid w:val="0092756F"/>
    <w:rsid w:val="0092767B"/>
    <w:rsid w:val="009277F5"/>
    <w:rsid w:val="00927A0E"/>
    <w:rsid w:val="00927CEC"/>
    <w:rsid w:val="00927E03"/>
    <w:rsid w:val="00927F00"/>
    <w:rsid w:val="0093008E"/>
    <w:rsid w:val="009308C6"/>
    <w:rsid w:val="00930A9B"/>
    <w:rsid w:val="00930BD1"/>
    <w:rsid w:val="00930D10"/>
    <w:rsid w:val="00930DC7"/>
    <w:rsid w:val="00930F17"/>
    <w:rsid w:val="00930FD3"/>
    <w:rsid w:val="00931065"/>
    <w:rsid w:val="009311ED"/>
    <w:rsid w:val="009318D3"/>
    <w:rsid w:val="00931CDF"/>
    <w:rsid w:val="009323C8"/>
    <w:rsid w:val="009324DD"/>
    <w:rsid w:val="009325A1"/>
    <w:rsid w:val="009325F2"/>
    <w:rsid w:val="0093261A"/>
    <w:rsid w:val="00932797"/>
    <w:rsid w:val="00932932"/>
    <w:rsid w:val="00932A21"/>
    <w:rsid w:val="00932B19"/>
    <w:rsid w:val="00932C43"/>
    <w:rsid w:val="00932C97"/>
    <w:rsid w:val="00932E76"/>
    <w:rsid w:val="0093310F"/>
    <w:rsid w:val="00933311"/>
    <w:rsid w:val="00933342"/>
    <w:rsid w:val="00933480"/>
    <w:rsid w:val="00933731"/>
    <w:rsid w:val="0093389D"/>
    <w:rsid w:val="00933932"/>
    <w:rsid w:val="00933B68"/>
    <w:rsid w:val="00933C56"/>
    <w:rsid w:val="009340CD"/>
    <w:rsid w:val="009341EF"/>
    <w:rsid w:val="00934223"/>
    <w:rsid w:val="0093424A"/>
    <w:rsid w:val="00934415"/>
    <w:rsid w:val="00934468"/>
    <w:rsid w:val="00934556"/>
    <w:rsid w:val="009345F8"/>
    <w:rsid w:val="009346A9"/>
    <w:rsid w:val="00934C67"/>
    <w:rsid w:val="00934C75"/>
    <w:rsid w:val="00934D00"/>
    <w:rsid w:val="00934DDA"/>
    <w:rsid w:val="00934F8B"/>
    <w:rsid w:val="0093556C"/>
    <w:rsid w:val="00935623"/>
    <w:rsid w:val="009356AE"/>
    <w:rsid w:val="00935899"/>
    <w:rsid w:val="00935B16"/>
    <w:rsid w:val="00935C07"/>
    <w:rsid w:val="00935DF5"/>
    <w:rsid w:val="00936469"/>
    <w:rsid w:val="009364E2"/>
    <w:rsid w:val="009364FE"/>
    <w:rsid w:val="009366F0"/>
    <w:rsid w:val="00936966"/>
    <w:rsid w:val="00936A00"/>
    <w:rsid w:val="00936E6B"/>
    <w:rsid w:val="00936EBC"/>
    <w:rsid w:val="00936ECD"/>
    <w:rsid w:val="0093701E"/>
    <w:rsid w:val="009372A3"/>
    <w:rsid w:val="009372E3"/>
    <w:rsid w:val="00937315"/>
    <w:rsid w:val="009373C8"/>
    <w:rsid w:val="00937495"/>
    <w:rsid w:val="009374C7"/>
    <w:rsid w:val="00937611"/>
    <w:rsid w:val="00937C99"/>
    <w:rsid w:val="00937ED0"/>
    <w:rsid w:val="00940056"/>
    <w:rsid w:val="0094010F"/>
    <w:rsid w:val="0094012D"/>
    <w:rsid w:val="009401DC"/>
    <w:rsid w:val="00940200"/>
    <w:rsid w:val="0094027D"/>
    <w:rsid w:val="0094031D"/>
    <w:rsid w:val="00940357"/>
    <w:rsid w:val="009403CD"/>
    <w:rsid w:val="00940784"/>
    <w:rsid w:val="00940A5A"/>
    <w:rsid w:val="00940C71"/>
    <w:rsid w:val="00940EB8"/>
    <w:rsid w:val="0094109D"/>
    <w:rsid w:val="009411DA"/>
    <w:rsid w:val="009413B5"/>
    <w:rsid w:val="00941626"/>
    <w:rsid w:val="009416C4"/>
    <w:rsid w:val="00941715"/>
    <w:rsid w:val="0094171D"/>
    <w:rsid w:val="00941A38"/>
    <w:rsid w:val="00941AAA"/>
    <w:rsid w:val="00941C50"/>
    <w:rsid w:val="009421C2"/>
    <w:rsid w:val="009424A4"/>
    <w:rsid w:val="009424EC"/>
    <w:rsid w:val="00942632"/>
    <w:rsid w:val="00942B82"/>
    <w:rsid w:val="009430C4"/>
    <w:rsid w:val="00943253"/>
    <w:rsid w:val="009432CE"/>
    <w:rsid w:val="009433C8"/>
    <w:rsid w:val="00943651"/>
    <w:rsid w:val="009436FD"/>
    <w:rsid w:val="00943754"/>
    <w:rsid w:val="00943959"/>
    <w:rsid w:val="00943ACE"/>
    <w:rsid w:val="00943BB7"/>
    <w:rsid w:val="00943BB9"/>
    <w:rsid w:val="00943C32"/>
    <w:rsid w:val="00943C6B"/>
    <w:rsid w:val="00943CC0"/>
    <w:rsid w:val="00943D63"/>
    <w:rsid w:val="0094414C"/>
    <w:rsid w:val="00944368"/>
    <w:rsid w:val="0094450C"/>
    <w:rsid w:val="00944668"/>
    <w:rsid w:val="00944694"/>
    <w:rsid w:val="009447C8"/>
    <w:rsid w:val="00944E5A"/>
    <w:rsid w:val="00944F6C"/>
    <w:rsid w:val="00945126"/>
    <w:rsid w:val="00945230"/>
    <w:rsid w:val="0094527A"/>
    <w:rsid w:val="00945396"/>
    <w:rsid w:val="009459CD"/>
    <w:rsid w:val="00945A47"/>
    <w:rsid w:val="00945C2B"/>
    <w:rsid w:val="00945E23"/>
    <w:rsid w:val="00945E35"/>
    <w:rsid w:val="00945E36"/>
    <w:rsid w:val="0094623D"/>
    <w:rsid w:val="00946267"/>
    <w:rsid w:val="0094629E"/>
    <w:rsid w:val="00946654"/>
    <w:rsid w:val="00946692"/>
    <w:rsid w:val="0094690B"/>
    <w:rsid w:val="00946964"/>
    <w:rsid w:val="00946B53"/>
    <w:rsid w:val="00946CB1"/>
    <w:rsid w:val="00946E27"/>
    <w:rsid w:val="00946FF5"/>
    <w:rsid w:val="0094705B"/>
    <w:rsid w:val="009472D0"/>
    <w:rsid w:val="0094743A"/>
    <w:rsid w:val="009474A8"/>
    <w:rsid w:val="0094772F"/>
    <w:rsid w:val="00947861"/>
    <w:rsid w:val="00947974"/>
    <w:rsid w:val="00947B93"/>
    <w:rsid w:val="00947D76"/>
    <w:rsid w:val="00950051"/>
    <w:rsid w:val="0095051F"/>
    <w:rsid w:val="00950D9A"/>
    <w:rsid w:val="00950DE2"/>
    <w:rsid w:val="00950E09"/>
    <w:rsid w:val="00950E27"/>
    <w:rsid w:val="00950F0E"/>
    <w:rsid w:val="00950F56"/>
    <w:rsid w:val="00951005"/>
    <w:rsid w:val="009510B2"/>
    <w:rsid w:val="0095134E"/>
    <w:rsid w:val="0095148E"/>
    <w:rsid w:val="009515CE"/>
    <w:rsid w:val="009515DE"/>
    <w:rsid w:val="00951616"/>
    <w:rsid w:val="009516B1"/>
    <w:rsid w:val="0095174B"/>
    <w:rsid w:val="009518DD"/>
    <w:rsid w:val="009518FE"/>
    <w:rsid w:val="00951A57"/>
    <w:rsid w:val="00951A8A"/>
    <w:rsid w:val="00951B2B"/>
    <w:rsid w:val="00951BF5"/>
    <w:rsid w:val="00951C9A"/>
    <w:rsid w:val="00951CDF"/>
    <w:rsid w:val="00951F45"/>
    <w:rsid w:val="00951FF8"/>
    <w:rsid w:val="00952187"/>
    <w:rsid w:val="009522B5"/>
    <w:rsid w:val="009524EE"/>
    <w:rsid w:val="009526ED"/>
    <w:rsid w:val="00952718"/>
    <w:rsid w:val="00952A09"/>
    <w:rsid w:val="00952B67"/>
    <w:rsid w:val="00952C16"/>
    <w:rsid w:val="00952CBD"/>
    <w:rsid w:val="00952E30"/>
    <w:rsid w:val="00952E59"/>
    <w:rsid w:val="0095300A"/>
    <w:rsid w:val="009531AD"/>
    <w:rsid w:val="009531DC"/>
    <w:rsid w:val="0095367B"/>
    <w:rsid w:val="00953875"/>
    <w:rsid w:val="00953B27"/>
    <w:rsid w:val="00953B7B"/>
    <w:rsid w:val="00953D5A"/>
    <w:rsid w:val="00954178"/>
    <w:rsid w:val="00954386"/>
    <w:rsid w:val="009545C9"/>
    <w:rsid w:val="0095497C"/>
    <w:rsid w:val="009549FD"/>
    <w:rsid w:val="00954B3D"/>
    <w:rsid w:val="00954E74"/>
    <w:rsid w:val="00954EF0"/>
    <w:rsid w:val="00954F77"/>
    <w:rsid w:val="00954FDA"/>
    <w:rsid w:val="00955421"/>
    <w:rsid w:val="0095546F"/>
    <w:rsid w:val="009554D1"/>
    <w:rsid w:val="00955853"/>
    <w:rsid w:val="00955A96"/>
    <w:rsid w:val="00955AF1"/>
    <w:rsid w:val="00955C60"/>
    <w:rsid w:val="00955CCA"/>
    <w:rsid w:val="00956218"/>
    <w:rsid w:val="00956359"/>
    <w:rsid w:val="0095637F"/>
    <w:rsid w:val="009567D3"/>
    <w:rsid w:val="0095695A"/>
    <w:rsid w:val="00956D90"/>
    <w:rsid w:val="00956DC2"/>
    <w:rsid w:val="00956FA4"/>
    <w:rsid w:val="00956FAA"/>
    <w:rsid w:val="00956FD5"/>
    <w:rsid w:val="0095709D"/>
    <w:rsid w:val="00957229"/>
    <w:rsid w:val="0095723B"/>
    <w:rsid w:val="0095737B"/>
    <w:rsid w:val="009574C9"/>
    <w:rsid w:val="00957DE3"/>
    <w:rsid w:val="00957DFB"/>
    <w:rsid w:val="0096016D"/>
    <w:rsid w:val="009602AC"/>
    <w:rsid w:val="00960536"/>
    <w:rsid w:val="00960851"/>
    <w:rsid w:val="00960A9A"/>
    <w:rsid w:val="00960BD4"/>
    <w:rsid w:val="00960D5E"/>
    <w:rsid w:val="00960D71"/>
    <w:rsid w:val="00960E9D"/>
    <w:rsid w:val="0096111B"/>
    <w:rsid w:val="00961298"/>
    <w:rsid w:val="0096138E"/>
    <w:rsid w:val="009613F0"/>
    <w:rsid w:val="0096174D"/>
    <w:rsid w:val="00961839"/>
    <w:rsid w:val="00961931"/>
    <w:rsid w:val="00961968"/>
    <w:rsid w:val="00961970"/>
    <w:rsid w:val="00961A5D"/>
    <w:rsid w:val="00961B29"/>
    <w:rsid w:val="00961D0E"/>
    <w:rsid w:val="00961F88"/>
    <w:rsid w:val="0096247B"/>
    <w:rsid w:val="009624B3"/>
    <w:rsid w:val="009624D4"/>
    <w:rsid w:val="0096270C"/>
    <w:rsid w:val="00962B63"/>
    <w:rsid w:val="00962E0F"/>
    <w:rsid w:val="009631CD"/>
    <w:rsid w:val="0096324F"/>
    <w:rsid w:val="00963425"/>
    <w:rsid w:val="009637B3"/>
    <w:rsid w:val="009637D7"/>
    <w:rsid w:val="00963A1E"/>
    <w:rsid w:val="00963B68"/>
    <w:rsid w:val="00963BD8"/>
    <w:rsid w:val="00963C25"/>
    <w:rsid w:val="00963E08"/>
    <w:rsid w:val="009640E4"/>
    <w:rsid w:val="00964142"/>
    <w:rsid w:val="00964202"/>
    <w:rsid w:val="00964634"/>
    <w:rsid w:val="0096472B"/>
    <w:rsid w:val="00964B05"/>
    <w:rsid w:val="00964BEB"/>
    <w:rsid w:val="00964F6B"/>
    <w:rsid w:val="00965129"/>
    <w:rsid w:val="009651C5"/>
    <w:rsid w:val="0096520B"/>
    <w:rsid w:val="0096530C"/>
    <w:rsid w:val="009659B6"/>
    <w:rsid w:val="0096604F"/>
    <w:rsid w:val="00966062"/>
    <w:rsid w:val="00966099"/>
    <w:rsid w:val="009660D1"/>
    <w:rsid w:val="009663BD"/>
    <w:rsid w:val="009664D2"/>
    <w:rsid w:val="00966502"/>
    <w:rsid w:val="00966727"/>
    <w:rsid w:val="009667CC"/>
    <w:rsid w:val="00966F22"/>
    <w:rsid w:val="0096715B"/>
    <w:rsid w:val="0096719B"/>
    <w:rsid w:val="009672A2"/>
    <w:rsid w:val="009675F9"/>
    <w:rsid w:val="00967615"/>
    <w:rsid w:val="00967A3D"/>
    <w:rsid w:val="00967B13"/>
    <w:rsid w:val="00967B84"/>
    <w:rsid w:val="00967CF7"/>
    <w:rsid w:val="00967EFC"/>
    <w:rsid w:val="00967F98"/>
    <w:rsid w:val="00967FB6"/>
    <w:rsid w:val="00970014"/>
    <w:rsid w:val="00970023"/>
    <w:rsid w:val="00970554"/>
    <w:rsid w:val="00970666"/>
    <w:rsid w:val="0097081A"/>
    <w:rsid w:val="00970897"/>
    <w:rsid w:val="009708E8"/>
    <w:rsid w:val="009709F7"/>
    <w:rsid w:val="00970A36"/>
    <w:rsid w:val="00970BD5"/>
    <w:rsid w:val="00970C9F"/>
    <w:rsid w:val="00970DAE"/>
    <w:rsid w:val="00970E14"/>
    <w:rsid w:val="00970E5A"/>
    <w:rsid w:val="009711A3"/>
    <w:rsid w:val="009712C6"/>
    <w:rsid w:val="00971361"/>
    <w:rsid w:val="009713B7"/>
    <w:rsid w:val="0097153E"/>
    <w:rsid w:val="00971594"/>
    <w:rsid w:val="009715C8"/>
    <w:rsid w:val="00971609"/>
    <w:rsid w:val="009716A1"/>
    <w:rsid w:val="009717D0"/>
    <w:rsid w:val="009719C0"/>
    <w:rsid w:val="00971A36"/>
    <w:rsid w:val="00971AD5"/>
    <w:rsid w:val="00971EFF"/>
    <w:rsid w:val="00972089"/>
    <w:rsid w:val="0097209B"/>
    <w:rsid w:val="009722BB"/>
    <w:rsid w:val="009722E2"/>
    <w:rsid w:val="00972568"/>
    <w:rsid w:val="009726E6"/>
    <w:rsid w:val="009727BA"/>
    <w:rsid w:val="009728DD"/>
    <w:rsid w:val="00972B6D"/>
    <w:rsid w:val="00972C69"/>
    <w:rsid w:val="00972D58"/>
    <w:rsid w:val="00972FC0"/>
    <w:rsid w:val="009733AD"/>
    <w:rsid w:val="009733E9"/>
    <w:rsid w:val="009734BA"/>
    <w:rsid w:val="009734CB"/>
    <w:rsid w:val="009735E9"/>
    <w:rsid w:val="00973751"/>
    <w:rsid w:val="00973B11"/>
    <w:rsid w:val="00974101"/>
    <w:rsid w:val="009742E8"/>
    <w:rsid w:val="0097440D"/>
    <w:rsid w:val="00974468"/>
    <w:rsid w:val="009745F4"/>
    <w:rsid w:val="0097461B"/>
    <w:rsid w:val="009747E0"/>
    <w:rsid w:val="009747ED"/>
    <w:rsid w:val="00974912"/>
    <w:rsid w:val="00974993"/>
    <w:rsid w:val="00974995"/>
    <w:rsid w:val="009749AC"/>
    <w:rsid w:val="00974ACD"/>
    <w:rsid w:val="00974B86"/>
    <w:rsid w:val="00974DA0"/>
    <w:rsid w:val="0097537E"/>
    <w:rsid w:val="00975456"/>
    <w:rsid w:val="009756AB"/>
    <w:rsid w:val="0097596C"/>
    <w:rsid w:val="00975AC9"/>
    <w:rsid w:val="00975F85"/>
    <w:rsid w:val="0097601C"/>
    <w:rsid w:val="00976206"/>
    <w:rsid w:val="0097632D"/>
    <w:rsid w:val="00976360"/>
    <w:rsid w:val="0097647E"/>
    <w:rsid w:val="00976663"/>
    <w:rsid w:val="009767BB"/>
    <w:rsid w:val="009768AB"/>
    <w:rsid w:val="009768FC"/>
    <w:rsid w:val="00976A32"/>
    <w:rsid w:val="00976D20"/>
    <w:rsid w:val="00976D36"/>
    <w:rsid w:val="00976E89"/>
    <w:rsid w:val="00976EC1"/>
    <w:rsid w:val="009770CB"/>
    <w:rsid w:val="00977113"/>
    <w:rsid w:val="009772FA"/>
    <w:rsid w:val="009773D5"/>
    <w:rsid w:val="00977961"/>
    <w:rsid w:val="00977977"/>
    <w:rsid w:val="00977B09"/>
    <w:rsid w:val="00977CB5"/>
    <w:rsid w:val="009802DC"/>
    <w:rsid w:val="009802E3"/>
    <w:rsid w:val="0098060A"/>
    <w:rsid w:val="0098061D"/>
    <w:rsid w:val="00980A2C"/>
    <w:rsid w:val="00980AA0"/>
    <w:rsid w:val="00980CF5"/>
    <w:rsid w:val="00980D50"/>
    <w:rsid w:val="00980D90"/>
    <w:rsid w:val="00980DC7"/>
    <w:rsid w:val="00980FD3"/>
    <w:rsid w:val="00981166"/>
    <w:rsid w:val="00981284"/>
    <w:rsid w:val="009815D0"/>
    <w:rsid w:val="0098191B"/>
    <w:rsid w:val="0098197F"/>
    <w:rsid w:val="00981C65"/>
    <w:rsid w:val="00981DBC"/>
    <w:rsid w:val="00981DD4"/>
    <w:rsid w:val="00981ECA"/>
    <w:rsid w:val="00981FBA"/>
    <w:rsid w:val="0098216E"/>
    <w:rsid w:val="0098245F"/>
    <w:rsid w:val="00982554"/>
    <w:rsid w:val="0098261C"/>
    <w:rsid w:val="009829BC"/>
    <w:rsid w:val="00982A2F"/>
    <w:rsid w:val="00982E82"/>
    <w:rsid w:val="00982EDC"/>
    <w:rsid w:val="00982EE8"/>
    <w:rsid w:val="00982F06"/>
    <w:rsid w:val="00982F86"/>
    <w:rsid w:val="00982FC0"/>
    <w:rsid w:val="00982FD6"/>
    <w:rsid w:val="0098301F"/>
    <w:rsid w:val="0098307F"/>
    <w:rsid w:val="009830B4"/>
    <w:rsid w:val="00983156"/>
    <w:rsid w:val="00983254"/>
    <w:rsid w:val="009832D1"/>
    <w:rsid w:val="009834D6"/>
    <w:rsid w:val="00983574"/>
    <w:rsid w:val="009836B5"/>
    <w:rsid w:val="009837A4"/>
    <w:rsid w:val="0098384B"/>
    <w:rsid w:val="00983905"/>
    <w:rsid w:val="00983BA3"/>
    <w:rsid w:val="00983F2B"/>
    <w:rsid w:val="00983F37"/>
    <w:rsid w:val="00983F8C"/>
    <w:rsid w:val="009843F9"/>
    <w:rsid w:val="00984432"/>
    <w:rsid w:val="009844A9"/>
    <w:rsid w:val="00984D95"/>
    <w:rsid w:val="00984F94"/>
    <w:rsid w:val="00984FDB"/>
    <w:rsid w:val="0098527A"/>
    <w:rsid w:val="0098543B"/>
    <w:rsid w:val="00985446"/>
    <w:rsid w:val="009855FD"/>
    <w:rsid w:val="00985838"/>
    <w:rsid w:val="00985852"/>
    <w:rsid w:val="00985AAD"/>
    <w:rsid w:val="00985AC2"/>
    <w:rsid w:val="00985D70"/>
    <w:rsid w:val="00985ECA"/>
    <w:rsid w:val="0098617B"/>
    <w:rsid w:val="0098623E"/>
    <w:rsid w:val="0098645F"/>
    <w:rsid w:val="0098676E"/>
    <w:rsid w:val="0098677F"/>
    <w:rsid w:val="0098680F"/>
    <w:rsid w:val="00986A30"/>
    <w:rsid w:val="00986AF5"/>
    <w:rsid w:val="00986B78"/>
    <w:rsid w:val="00987202"/>
    <w:rsid w:val="009872EE"/>
    <w:rsid w:val="0098758D"/>
    <w:rsid w:val="00987761"/>
    <w:rsid w:val="00987B3A"/>
    <w:rsid w:val="00987E04"/>
    <w:rsid w:val="00990080"/>
    <w:rsid w:val="009900C9"/>
    <w:rsid w:val="009901DA"/>
    <w:rsid w:val="009904D0"/>
    <w:rsid w:val="009905FB"/>
    <w:rsid w:val="00990683"/>
    <w:rsid w:val="009906CE"/>
    <w:rsid w:val="00990A29"/>
    <w:rsid w:val="00990CB6"/>
    <w:rsid w:val="00990CF5"/>
    <w:rsid w:val="00990E18"/>
    <w:rsid w:val="00990EBE"/>
    <w:rsid w:val="00990FB3"/>
    <w:rsid w:val="00991040"/>
    <w:rsid w:val="00991084"/>
    <w:rsid w:val="00991360"/>
    <w:rsid w:val="00991599"/>
    <w:rsid w:val="00991601"/>
    <w:rsid w:val="00991902"/>
    <w:rsid w:val="009919C7"/>
    <w:rsid w:val="00991A7C"/>
    <w:rsid w:val="00991AE5"/>
    <w:rsid w:val="00991BD3"/>
    <w:rsid w:val="009921E2"/>
    <w:rsid w:val="00992628"/>
    <w:rsid w:val="00992807"/>
    <w:rsid w:val="0099292F"/>
    <w:rsid w:val="00992B0D"/>
    <w:rsid w:val="00992E85"/>
    <w:rsid w:val="0099301D"/>
    <w:rsid w:val="00993178"/>
    <w:rsid w:val="009935DD"/>
    <w:rsid w:val="00993637"/>
    <w:rsid w:val="009937AE"/>
    <w:rsid w:val="00993832"/>
    <w:rsid w:val="00993853"/>
    <w:rsid w:val="00993B2C"/>
    <w:rsid w:val="00993B63"/>
    <w:rsid w:val="00993CEC"/>
    <w:rsid w:val="00993DF6"/>
    <w:rsid w:val="00993F6C"/>
    <w:rsid w:val="009940FD"/>
    <w:rsid w:val="00994215"/>
    <w:rsid w:val="0099446B"/>
    <w:rsid w:val="00994515"/>
    <w:rsid w:val="0099459B"/>
    <w:rsid w:val="00994681"/>
    <w:rsid w:val="009946EF"/>
    <w:rsid w:val="00994C14"/>
    <w:rsid w:val="00994DBC"/>
    <w:rsid w:val="00994EA9"/>
    <w:rsid w:val="00994F50"/>
    <w:rsid w:val="00994F5B"/>
    <w:rsid w:val="0099516D"/>
    <w:rsid w:val="0099519B"/>
    <w:rsid w:val="009951A3"/>
    <w:rsid w:val="009951B3"/>
    <w:rsid w:val="009954A3"/>
    <w:rsid w:val="009954B8"/>
    <w:rsid w:val="009954FA"/>
    <w:rsid w:val="009959DB"/>
    <w:rsid w:val="00995A88"/>
    <w:rsid w:val="00995AC3"/>
    <w:rsid w:val="00995C0F"/>
    <w:rsid w:val="00995C30"/>
    <w:rsid w:val="00995C3F"/>
    <w:rsid w:val="00995D2F"/>
    <w:rsid w:val="00995D46"/>
    <w:rsid w:val="00995DC3"/>
    <w:rsid w:val="00995E2B"/>
    <w:rsid w:val="009962AC"/>
    <w:rsid w:val="009962FF"/>
    <w:rsid w:val="009964A1"/>
    <w:rsid w:val="0099662E"/>
    <w:rsid w:val="009966E7"/>
    <w:rsid w:val="0099679F"/>
    <w:rsid w:val="009969ED"/>
    <w:rsid w:val="00996BCF"/>
    <w:rsid w:val="00996F7F"/>
    <w:rsid w:val="00997075"/>
    <w:rsid w:val="00997141"/>
    <w:rsid w:val="0099732D"/>
    <w:rsid w:val="009974C1"/>
    <w:rsid w:val="0099797E"/>
    <w:rsid w:val="00997987"/>
    <w:rsid w:val="0099799B"/>
    <w:rsid w:val="00997A98"/>
    <w:rsid w:val="00997B06"/>
    <w:rsid w:val="00997B9C"/>
    <w:rsid w:val="00997CC2"/>
    <w:rsid w:val="00997CF9"/>
    <w:rsid w:val="009A0019"/>
    <w:rsid w:val="009A01F0"/>
    <w:rsid w:val="009A0385"/>
    <w:rsid w:val="009A04D4"/>
    <w:rsid w:val="009A0525"/>
    <w:rsid w:val="009A0578"/>
    <w:rsid w:val="009A06BC"/>
    <w:rsid w:val="009A0A50"/>
    <w:rsid w:val="009A0B1B"/>
    <w:rsid w:val="009A102C"/>
    <w:rsid w:val="009A10AB"/>
    <w:rsid w:val="009A1315"/>
    <w:rsid w:val="009A1541"/>
    <w:rsid w:val="009A165A"/>
    <w:rsid w:val="009A1800"/>
    <w:rsid w:val="009A181A"/>
    <w:rsid w:val="009A18B1"/>
    <w:rsid w:val="009A1ABB"/>
    <w:rsid w:val="009A1C68"/>
    <w:rsid w:val="009A1CDD"/>
    <w:rsid w:val="009A1D7B"/>
    <w:rsid w:val="009A1EA7"/>
    <w:rsid w:val="009A1FC8"/>
    <w:rsid w:val="009A224C"/>
    <w:rsid w:val="009A24B5"/>
    <w:rsid w:val="009A24C4"/>
    <w:rsid w:val="009A2537"/>
    <w:rsid w:val="009A25AA"/>
    <w:rsid w:val="009A26CA"/>
    <w:rsid w:val="009A28BE"/>
    <w:rsid w:val="009A2A30"/>
    <w:rsid w:val="009A2BC4"/>
    <w:rsid w:val="009A2DBC"/>
    <w:rsid w:val="009A2FC8"/>
    <w:rsid w:val="009A3087"/>
    <w:rsid w:val="009A30B3"/>
    <w:rsid w:val="009A3168"/>
    <w:rsid w:val="009A32B7"/>
    <w:rsid w:val="009A32E6"/>
    <w:rsid w:val="009A3317"/>
    <w:rsid w:val="009A3427"/>
    <w:rsid w:val="009A3A12"/>
    <w:rsid w:val="009A3B32"/>
    <w:rsid w:val="009A3C9B"/>
    <w:rsid w:val="009A3F6B"/>
    <w:rsid w:val="009A3FDC"/>
    <w:rsid w:val="009A40C6"/>
    <w:rsid w:val="009A4129"/>
    <w:rsid w:val="009A44EB"/>
    <w:rsid w:val="009A4825"/>
    <w:rsid w:val="009A4852"/>
    <w:rsid w:val="009A4931"/>
    <w:rsid w:val="009A4BE6"/>
    <w:rsid w:val="009A4C99"/>
    <w:rsid w:val="009A4CC9"/>
    <w:rsid w:val="009A4D03"/>
    <w:rsid w:val="009A53A8"/>
    <w:rsid w:val="009A5558"/>
    <w:rsid w:val="009A5576"/>
    <w:rsid w:val="009A559A"/>
    <w:rsid w:val="009A5991"/>
    <w:rsid w:val="009A59C7"/>
    <w:rsid w:val="009A5AF0"/>
    <w:rsid w:val="009A5C09"/>
    <w:rsid w:val="009A5C5D"/>
    <w:rsid w:val="009A5CA9"/>
    <w:rsid w:val="009A5EDF"/>
    <w:rsid w:val="009A60A1"/>
    <w:rsid w:val="009A612C"/>
    <w:rsid w:val="009A620F"/>
    <w:rsid w:val="009A6256"/>
    <w:rsid w:val="009A64AD"/>
    <w:rsid w:val="009A655E"/>
    <w:rsid w:val="009A688C"/>
    <w:rsid w:val="009A6B2A"/>
    <w:rsid w:val="009A6C98"/>
    <w:rsid w:val="009A6CD3"/>
    <w:rsid w:val="009A6DBE"/>
    <w:rsid w:val="009A6DC6"/>
    <w:rsid w:val="009A6E3C"/>
    <w:rsid w:val="009A6ED2"/>
    <w:rsid w:val="009A7189"/>
    <w:rsid w:val="009A71B7"/>
    <w:rsid w:val="009A7284"/>
    <w:rsid w:val="009A7606"/>
    <w:rsid w:val="009A78B0"/>
    <w:rsid w:val="009A78D4"/>
    <w:rsid w:val="009A7DF7"/>
    <w:rsid w:val="009A7E41"/>
    <w:rsid w:val="009A7EFF"/>
    <w:rsid w:val="009A7F3B"/>
    <w:rsid w:val="009B00EB"/>
    <w:rsid w:val="009B021B"/>
    <w:rsid w:val="009B05E7"/>
    <w:rsid w:val="009B065E"/>
    <w:rsid w:val="009B06CF"/>
    <w:rsid w:val="009B09D6"/>
    <w:rsid w:val="009B0C7C"/>
    <w:rsid w:val="009B0C96"/>
    <w:rsid w:val="009B10A8"/>
    <w:rsid w:val="009B1538"/>
    <w:rsid w:val="009B15A7"/>
    <w:rsid w:val="009B1796"/>
    <w:rsid w:val="009B1939"/>
    <w:rsid w:val="009B1D54"/>
    <w:rsid w:val="009B1E46"/>
    <w:rsid w:val="009B1ED2"/>
    <w:rsid w:val="009B1EF6"/>
    <w:rsid w:val="009B2170"/>
    <w:rsid w:val="009B22C4"/>
    <w:rsid w:val="009B232F"/>
    <w:rsid w:val="009B24D3"/>
    <w:rsid w:val="009B26BE"/>
    <w:rsid w:val="009B29F9"/>
    <w:rsid w:val="009B2C0C"/>
    <w:rsid w:val="009B2D0B"/>
    <w:rsid w:val="009B300B"/>
    <w:rsid w:val="009B3036"/>
    <w:rsid w:val="009B32F7"/>
    <w:rsid w:val="009B3458"/>
    <w:rsid w:val="009B357F"/>
    <w:rsid w:val="009B36B2"/>
    <w:rsid w:val="009B3A6A"/>
    <w:rsid w:val="009B3AC6"/>
    <w:rsid w:val="009B3B8E"/>
    <w:rsid w:val="009B3C95"/>
    <w:rsid w:val="009B3CE2"/>
    <w:rsid w:val="009B3D70"/>
    <w:rsid w:val="009B3DD7"/>
    <w:rsid w:val="009B3EE8"/>
    <w:rsid w:val="009B3F5D"/>
    <w:rsid w:val="009B4027"/>
    <w:rsid w:val="009B448D"/>
    <w:rsid w:val="009B46F5"/>
    <w:rsid w:val="009B47D0"/>
    <w:rsid w:val="009B481F"/>
    <w:rsid w:val="009B487E"/>
    <w:rsid w:val="009B4965"/>
    <w:rsid w:val="009B4CE3"/>
    <w:rsid w:val="009B4D8F"/>
    <w:rsid w:val="009B4E20"/>
    <w:rsid w:val="009B4E59"/>
    <w:rsid w:val="009B4EB3"/>
    <w:rsid w:val="009B5121"/>
    <w:rsid w:val="009B51A0"/>
    <w:rsid w:val="009B5280"/>
    <w:rsid w:val="009B5447"/>
    <w:rsid w:val="009B5646"/>
    <w:rsid w:val="009B57E6"/>
    <w:rsid w:val="009B5839"/>
    <w:rsid w:val="009B58F7"/>
    <w:rsid w:val="009B5920"/>
    <w:rsid w:val="009B59ED"/>
    <w:rsid w:val="009B5D04"/>
    <w:rsid w:val="009B5D7E"/>
    <w:rsid w:val="009B5E2E"/>
    <w:rsid w:val="009B6045"/>
    <w:rsid w:val="009B6610"/>
    <w:rsid w:val="009B6763"/>
    <w:rsid w:val="009B68B0"/>
    <w:rsid w:val="009B6B6F"/>
    <w:rsid w:val="009B6BD7"/>
    <w:rsid w:val="009B6CAD"/>
    <w:rsid w:val="009B6D44"/>
    <w:rsid w:val="009B6E65"/>
    <w:rsid w:val="009B6E7C"/>
    <w:rsid w:val="009B6EEB"/>
    <w:rsid w:val="009B725B"/>
    <w:rsid w:val="009B730C"/>
    <w:rsid w:val="009B73D5"/>
    <w:rsid w:val="009B73DA"/>
    <w:rsid w:val="009B73E8"/>
    <w:rsid w:val="009B773B"/>
    <w:rsid w:val="009B7877"/>
    <w:rsid w:val="009B794B"/>
    <w:rsid w:val="009B7ADD"/>
    <w:rsid w:val="009B7B37"/>
    <w:rsid w:val="009B7CC5"/>
    <w:rsid w:val="009B7E04"/>
    <w:rsid w:val="009B7E7D"/>
    <w:rsid w:val="009B7F71"/>
    <w:rsid w:val="009C02E8"/>
    <w:rsid w:val="009C0359"/>
    <w:rsid w:val="009C038C"/>
    <w:rsid w:val="009C0483"/>
    <w:rsid w:val="009C06EB"/>
    <w:rsid w:val="009C07E4"/>
    <w:rsid w:val="009C0909"/>
    <w:rsid w:val="009C09DF"/>
    <w:rsid w:val="009C0A7E"/>
    <w:rsid w:val="009C0B0E"/>
    <w:rsid w:val="009C0B73"/>
    <w:rsid w:val="009C0E4F"/>
    <w:rsid w:val="009C1272"/>
    <w:rsid w:val="009C145C"/>
    <w:rsid w:val="009C14E7"/>
    <w:rsid w:val="009C159D"/>
    <w:rsid w:val="009C15C7"/>
    <w:rsid w:val="009C161A"/>
    <w:rsid w:val="009C164A"/>
    <w:rsid w:val="009C16BD"/>
    <w:rsid w:val="009C18BB"/>
    <w:rsid w:val="009C1CB2"/>
    <w:rsid w:val="009C1CE8"/>
    <w:rsid w:val="009C1D42"/>
    <w:rsid w:val="009C1FC4"/>
    <w:rsid w:val="009C1FF5"/>
    <w:rsid w:val="009C227E"/>
    <w:rsid w:val="009C2653"/>
    <w:rsid w:val="009C26C2"/>
    <w:rsid w:val="009C2928"/>
    <w:rsid w:val="009C2BF0"/>
    <w:rsid w:val="009C31D9"/>
    <w:rsid w:val="009C3418"/>
    <w:rsid w:val="009C3693"/>
    <w:rsid w:val="009C38F1"/>
    <w:rsid w:val="009C3B45"/>
    <w:rsid w:val="009C3D43"/>
    <w:rsid w:val="009C3E00"/>
    <w:rsid w:val="009C4128"/>
    <w:rsid w:val="009C4376"/>
    <w:rsid w:val="009C4679"/>
    <w:rsid w:val="009C467C"/>
    <w:rsid w:val="009C4857"/>
    <w:rsid w:val="009C4A1E"/>
    <w:rsid w:val="009C4A5A"/>
    <w:rsid w:val="009C4A7E"/>
    <w:rsid w:val="009C4B8D"/>
    <w:rsid w:val="009C4BE1"/>
    <w:rsid w:val="009C4C9C"/>
    <w:rsid w:val="009C4E12"/>
    <w:rsid w:val="009C4FE3"/>
    <w:rsid w:val="009C50CA"/>
    <w:rsid w:val="009C5211"/>
    <w:rsid w:val="009C5410"/>
    <w:rsid w:val="009C54C3"/>
    <w:rsid w:val="009C5671"/>
    <w:rsid w:val="009C585C"/>
    <w:rsid w:val="009C5A52"/>
    <w:rsid w:val="009C5B5D"/>
    <w:rsid w:val="009C5B90"/>
    <w:rsid w:val="009C5C57"/>
    <w:rsid w:val="009C5D88"/>
    <w:rsid w:val="009C5E2D"/>
    <w:rsid w:val="009C6072"/>
    <w:rsid w:val="009C61E5"/>
    <w:rsid w:val="009C6368"/>
    <w:rsid w:val="009C65CA"/>
    <w:rsid w:val="009C65EE"/>
    <w:rsid w:val="009C662C"/>
    <w:rsid w:val="009C66CF"/>
    <w:rsid w:val="009C6757"/>
    <w:rsid w:val="009C67B7"/>
    <w:rsid w:val="009C6A5E"/>
    <w:rsid w:val="009C6D3B"/>
    <w:rsid w:val="009C6D5E"/>
    <w:rsid w:val="009C6F49"/>
    <w:rsid w:val="009C70F9"/>
    <w:rsid w:val="009C7239"/>
    <w:rsid w:val="009C72D8"/>
    <w:rsid w:val="009C75B9"/>
    <w:rsid w:val="009C75E6"/>
    <w:rsid w:val="009C75FC"/>
    <w:rsid w:val="009C79DB"/>
    <w:rsid w:val="009C7ACC"/>
    <w:rsid w:val="009C7BD8"/>
    <w:rsid w:val="009C7C45"/>
    <w:rsid w:val="009C7D75"/>
    <w:rsid w:val="009C7E32"/>
    <w:rsid w:val="009C7E47"/>
    <w:rsid w:val="009C7F01"/>
    <w:rsid w:val="009D004F"/>
    <w:rsid w:val="009D007A"/>
    <w:rsid w:val="009D0210"/>
    <w:rsid w:val="009D0276"/>
    <w:rsid w:val="009D0358"/>
    <w:rsid w:val="009D0399"/>
    <w:rsid w:val="009D0402"/>
    <w:rsid w:val="009D0988"/>
    <w:rsid w:val="009D0D18"/>
    <w:rsid w:val="009D0EB7"/>
    <w:rsid w:val="009D103F"/>
    <w:rsid w:val="009D10D3"/>
    <w:rsid w:val="009D12C9"/>
    <w:rsid w:val="009D12F1"/>
    <w:rsid w:val="009D14B6"/>
    <w:rsid w:val="009D18F3"/>
    <w:rsid w:val="009D19D4"/>
    <w:rsid w:val="009D1C51"/>
    <w:rsid w:val="009D1DA6"/>
    <w:rsid w:val="009D1F96"/>
    <w:rsid w:val="009D21A5"/>
    <w:rsid w:val="009D22B7"/>
    <w:rsid w:val="009D232E"/>
    <w:rsid w:val="009D25CE"/>
    <w:rsid w:val="009D295A"/>
    <w:rsid w:val="009D2B29"/>
    <w:rsid w:val="009D2C5F"/>
    <w:rsid w:val="009D2F7F"/>
    <w:rsid w:val="009D2F8E"/>
    <w:rsid w:val="009D30B7"/>
    <w:rsid w:val="009D33EC"/>
    <w:rsid w:val="009D3413"/>
    <w:rsid w:val="009D365D"/>
    <w:rsid w:val="009D36A6"/>
    <w:rsid w:val="009D36C1"/>
    <w:rsid w:val="009D36D1"/>
    <w:rsid w:val="009D3921"/>
    <w:rsid w:val="009D3C79"/>
    <w:rsid w:val="009D3D88"/>
    <w:rsid w:val="009D3E0B"/>
    <w:rsid w:val="009D3EE0"/>
    <w:rsid w:val="009D3FAE"/>
    <w:rsid w:val="009D3FB5"/>
    <w:rsid w:val="009D423D"/>
    <w:rsid w:val="009D4415"/>
    <w:rsid w:val="009D4474"/>
    <w:rsid w:val="009D44A3"/>
    <w:rsid w:val="009D4651"/>
    <w:rsid w:val="009D46CB"/>
    <w:rsid w:val="009D491B"/>
    <w:rsid w:val="009D49D5"/>
    <w:rsid w:val="009D502F"/>
    <w:rsid w:val="009D5084"/>
    <w:rsid w:val="009D5275"/>
    <w:rsid w:val="009D5365"/>
    <w:rsid w:val="009D5497"/>
    <w:rsid w:val="009D5893"/>
    <w:rsid w:val="009D5C53"/>
    <w:rsid w:val="009D5D8E"/>
    <w:rsid w:val="009D6034"/>
    <w:rsid w:val="009D609A"/>
    <w:rsid w:val="009D629C"/>
    <w:rsid w:val="009D63B6"/>
    <w:rsid w:val="009D6596"/>
    <w:rsid w:val="009D6738"/>
    <w:rsid w:val="009D691E"/>
    <w:rsid w:val="009D6DF3"/>
    <w:rsid w:val="009D6EE2"/>
    <w:rsid w:val="009D7066"/>
    <w:rsid w:val="009D7108"/>
    <w:rsid w:val="009D7221"/>
    <w:rsid w:val="009D7532"/>
    <w:rsid w:val="009D7681"/>
    <w:rsid w:val="009D76CC"/>
    <w:rsid w:val="009D77F1"/>
    <w:rsid w:val="009D78C4"/>
    <w:rsid w:val="009D7930"/>
    <w:rsid w:val="009D794C"/>
    <w:rsid w:val="009D7B16"/>
    <w:rsid w:val="009D7B64"/>
    <w:rsid w:val="009D7D09"/>
    <w:rsid w:val="009E0083"/>
    <w:rsid w:val="009E017E"/>
    <w:rsid w:val="009E01C3"/>
    <w:rsid w:val="009E06DF"/>
    <w:rsid w:val="009E097D"/>
    <w:rsid w:val="009E0B42"/>
    <w:rsid w:val="009E0B68"/>
    <w:rsid w:val="009E0C00"/>
    <w:rsid w:val="009E0E2B"/>
    <w:rsid w:val="009E0EB8"/>
    <w:rsid w:val="009E1183"/>
    <w:rsid w:val="009E11C3"/>
    <w:rsid w:val="009E1241"/>
    <w:rsid w:val="009E1246"/>
    <w:rsid w:val="009E12EE"/>
    <w:rsid w:val="009E1321"/>
    <w:rsid w:val="009E13EB"/>
    <w:rsid w:val="009E17D4"/>
    <w:rsid w:val="009E18FD"/>
    <w:rsid w:val="009E1983"/>
    <w:rsid w:val="009E198F"/>
    <w:rsid w:val="009E1B20"/>
    <w:rsid w:val="009E1C02"/>
    <w:rsid w:val="009E1C23"/>
    <w:rsid w:val="009E1E22"/>
    <w:rsid w:val="009E1F6D"/>
    <w:rsid w:val="009E206D"/>
    <w:rsid w:val="009E2114"/>
    <w:rsid w:val="009E2334"/>
    <w:rsid w:val="009E2360"/>
    <w:rsid w:val="009E251A"/>
    <w:rsid w:val="009E2A02"/>
    <w:rsid w:val="009E2A87"/>
    <w:rsid w:val="009E2ACB"/>
    <w:rsid w:val="009E2C43"/>
    <w:rsid w:val="009E2C6E"/>
    <w:rsid w:val="009E2CD4"/>
    <w:rsid w:val="009E2E3A"/>
    <w:rsid w:val="009E2F9F"/>
    <w:rsid w:val="009E305C"/>
    <w:rsid w:val="009E32BC"/>
    <w:rsid w:val="009E33AA"/>
    <w:rsid w:val="009E355E"/>
    <w:rsid w:val="009E371A"/>
    <w:rsid w:val="009E38F3"/>
    <w:rsid w:val="009E39DE"/>
    <w:rsid w:val="009E3A25"/>
    <w:rsid w:val="009E3BE4"/>
    <w:rsid w:val="009E3C91"/>
    <w:rsid w:val="009E3DFB"/>
    <w:rsid w:val="009E3F85"/>
    <w:rsid w:val="009E40FD"/>
    <w:rsid w:val="009E419D"/>
    <w:rsid w:val="009E426E"/>
    <w:rsid w:val="009E432E"/>
    <w:rsid w:val="009E4428"/>
    <w:rsid w:val="009E4590"/>
    <w:rsid w:val="009E464F"/>
    <w:rsid w:val="009E46B6"/>
    <w:rsid w:val="009E489A"/>
    <w:rsid w:val="009E4AA1"/>
    <w:rsid w:val="009E4E7D"/>
    <w:rsid w:val="009E4E8E"/>
    <w:rsid w:val="009E4FB5"/>
    <w:rsid w:val="009E5001"/>
    <w:rsid w:val="009E5033"/>
    <w:rsid w:val="009E50D7"/>
    <w:rsid w:val="009E50DB"/>
    <w:rsid w:val="009E5107"/>
    <w:rsid w:val="009E553D"/>
    <w:rsid w:val="009E5687"/>
    <w:rsid w:val="009E5DE5"/>
    <w:rsid w:val="009E5FA3"/>
    <w:rsid w:val="009E609C"/>
    <w:rsid w:val="009E621C"/>
    <w:rsid w:val="009E6409"/>
    <w:rsid w:val="009E6454"/>
    <w:rsid w:val="009E661A"/>
    <w:rsid w:val="009E6BCE"/>
    <w:rsid w:val="009E6C0D"/>
    <w:rsid w:val="009E6C6E"/>
    <w:rsid w:val="009E6DAA"/>
    <w:rsid w:val="009E713E"/>
    <w:rsid w:val="009E75FC"/>
    <w:rsid w:val="009E7630"/>
    <w:rsid w:val="009E7939"/>
    <w:rsid w:val="009E7AF8"/>
    <w:rsid w:val="009E7BA5"/>
    <w:rsid w:val="009F0214"/>
    <w:rsid w:val="009F03F8"/>
    <w:rsid w:val="009F0568"/>
    <w:rsid w:val="009F091B"/>
    <w:rsid w:val="009F0E82"/>
    <w:rsid w:val="009F104E"/>
    <w:rsid w:val="009F1129"/>
    <w:rsid w:val="009F128E"/>
    <w:rsid w:val="009F1320"/>
    <w:rsid w:val="009F162D"/>
    <w:rsid w:val="009F1937"/>
    <w:rsid w:val="009F194C"/>
    <w:rsid w:val="009F1A4B"/>
    <w:rsid w:val="009F208D"/>
    <w:rsid w:val="009F21F7"/>
    <w:rsid w:val="009F2773"/>
    <w:rsid w:val="009F288E"/>
    <w:rsid w:val="009F29E4"/>
    <w:rsid w:val="009F2A1D"/>
    <w:rsid w:val="009F2CAD"/>
    <w:rsid w:val="009F2DFD"/>
    <w:rsid w:val="009F2EFE"/>
    <w:rsid w:val="009F32B0"/>
    <w:rsid w:val="009F34C3"/>
    <w:rsid w:val="009F352F"/>
    <w:rsid w:val="009F37B5"/>
    <w:rsid w:val="009F37B6"/>
    <w:rsid w:val="009F37DA"/>
    <w:rsid w:val="009F3903"/>
    <w:rsid w:val="009F3A98"/>
    <w:rsid w:val="009F3E4C"/>
    <w:rsid w:val="009F3EE4"/>
    <w:rsid w:val="009F40AF"/>
    <w:rsid w:val="009F42D1"/>
    <w:rsid w:val="009F4588"/>
    <w:rsid w:val="009F4AD2"/>
    <w:rsid w:val="009F4ADA"/>
    <w:rsid w:val="009F4BE7"/>
    <w:rsid w:val="009F4D43"/>
    <w:rsid w:val="009F4DA7"/>
    <w:rsid w:val="009F4E6D"/>
    <w:rsid w:val="009F50EF"/>
    <w:rsid w:val="009F5240"/>
    <w:rsid w:val="009F596F"/>
    <w:rsid w:val="009F5A28"/>
    <w:rsid w:val="009F5B3A"/>
    <w:rsid w:val="009F5D5C"/>
    <w:rsid w:val="009F5EB2"/>
    <w:rsid w:val="009F6159"/>
    <w:rsid w:val="009F61AD"/>
    <w:rsid w:val="009F61B5"/>
    <w:rsid w:val="009F61C5"/>
    <w:rsid w:val="009F629B"/>
    <w:rsid w:val="009F6707"/>
    <w:rsid w:val="009F6A22"/>
    <w:rsid w:val="009F6A67"/>
    <w:rsid w:val="009F6B2B"/>
    <w:rsid w:val="009F6C86"/>
    <w:rsid w:val="009F6DC1"/>
    <w:rsid w:val="009F6DCA"/>
    <w:rsid w:val="009F6DDB"/>
    <w:rsid w:val="009F6F99"/>
    <w:rsid w:val="009F70B8"/>
    <w:rsid w:val="009F7105"/>
    <w:rsid w:val="009F73BD"/>
    <w:rsid w:val="009F7459"/>
    <w:rsid w:val="009F760C"/>
    <w:rsid w:val="009F775B"/>
    <w:rsid w:val="009F78DD"/>
    <w:rsid w:val="009F7AED"/>
    <w:rsid w:val="009F7D51"/>
    <w:rsid w:val="009F7D8E"/>
    <w:rsid w:val="00A0026A"/>
    <w:rsid w:val="00A00539"/>
    <w:rsid w:val="00A00956"/>
    <w:rsid w:val="00A00E84"/>
    <w:rsid w:val="00A00EAC"/>
    <w:rsid w:val="00A01021"/>
    <w:rsid w:val="00A0118E"/>
    <w:rsid w:val="00A012F6"/>
    <w:rsid w:val="00A0142B"/>
    <w:rsid w:val="00A014D5"/>
    <w:rsid w:val="00A0176A"/>
    <w:rsid w:val="00A0178E"/>
    <w:rsid w:val="00A01E33"/>
    <w:rsid w:val="00A021F4"/>
    <w:rsid w:val="00A0229F"/>
    <w:rsid w:val="00A02370"/>
    <w:rsid w:val="00A024AD"/>
    <w:rsid w:val="00A02737"/>
    <w:rsid w:val="00A0291D"/>
    <w:rsid w:val="00A0298C"/>
    <w:rsid w:val="00A029B7"/>
    <w:rsid w:val="00A029BE"/>
    <w:rsid w:val="00A029DB"/>
    <w:rsid w:val="00A02A84"/>
    <w:rsid w:val="00A02AD3"/>
    <w:rsid w:val="00A02B6C"/>
    <w:rsid w:val="00A02B87"/>
    <w:rsid w:val="00A02C4B"/>
    <w:rsid w:val="00A02D85"/>
    <w:rsid w:val="00A02DAE"/>
    <w:rsid w:val="00A02DB9"/>
    <w:rsid w:val="00A030B1"/>
    <w:rsid w:val="00A03275"/>
    <w:rsid w:val="00A03503"/>
    <w:rsid w:val="00A038B1"/>
    <w:rsid w:val="00A03956"/>
    <w:rsid w:val="00A0395D"/>
    <w:rsid w:val="00A03B0E"/>
    <w:rsid w:val="00A03C4B"/>
    <w:rsid w:val="00A03C99"/>
    <w:rsid w:val="00A03E9D"/>
    <w:rsid w:val="00A03FB1"/>
    <w:rsid w:val="00A04019"/>
    <w:rsid w:val="00A04223"/>
    <w:rsid w:val="00A048BF"/>
    <w:rsid w:val="00A048F5"/>
    <w:rsid w:val="00A04A5A"/>
    <w:rsid w:val="00A04B89"/>
    <w:rsid w:val="00A04BD6"/>
    <w:rsid w:val="00A04E8E"/>
    <w:rsid w:val="00A05013"/>
    <w:rsid w:val="00A0534D"/>
    <w:rsid w:val="00A05450"/>
    <w:rsid w:val="00A0590C"/>
    <w:rsid w:val="00A05A4F"/>
    <w:rsid w:val="00A05B98"/>
    <w:rsid w:val="00A05DD3"/>
    <w:rsid w:val="00A05F9E"/>
    <w:rsid w:val="00A06298"/>
    <w:rsid w:val="00A06965"/>
    <w:rsid w:val="00A06984"/>
    <w:rsid w:val="00A06C73"/>
    <w:rsid w:val="00A06E4E"/>
    <w:rsid w:val="00A06F42"/>
    <w:rsid w:val="00A071AD"/>
    <w:rsid w:val="00A07402"/>
    <w:rsid w:val="00A07433"/>
    <w:rsid w:val="00A07448"/>
    <w:rsid w:val="00A076D1"/>
    <w:rsid w:val="00A0788A"/>
    <w:rsid w:val="00A07A2B"/>
    <w:rsid w:val="00A07BA2"/>
    <w:rsid w:val="00A07BDD"/>
    <w:rsid w:val="00A07E4F"/>
    <w:rsid w:val="00A07F4A"/>
    <w:rsid w:val="00A1000F"/>
    <w:rsid w:val="00A10096"/>
    <w:rsid w:val="00A10175"/>
    <w:rsid w:val="00A10290"/>
    <w:rsid w:val="00A10340"/>
    <w:rsid w:val="00A103BD"/>
    <w:rsid w:val="00A10635"/>
    <w:rsid w:val="00A10774"/>
    <w:rsid w:val="00A10798"/>
    <w:rsid w:val="00A107CF"/>
    <w:rsid w:val="00A108A7"/>
    <w:rsid w:val="00A1097E"/>
    <w:rsid w:val="00A10A92"/>
    <w:rsid w:val="00A10C1C"/>
    <w:rsid w:val="00A1135A"/>
    <w:rsid w:val="00A11591"/>
    <w:rsid w:val="00A11785"/>
    <w:rsid w:val="00A11887"/>
    <w:rsid w:val="00A1189B"/>
    <w:rsid w:val="00A119DB"/>
    <w:rsid w:val="00A11A7D"/>
    <w:rsid w:val="00A11AA9"/>
    <w:rsid w:val="00A11DDA"/>
    <w:rsid w:val="00A1208B"/>
    <w:rsid w:val="00A12317"/>
    <w:rsid w:val="00A124F0"/>
    <w:rsid w:val="00A12536"/>
    <w:rsid w:val="00A12590"/>
    <w:rsid w:val="00A12627"/>
    <w:rsid w:val="00A12951"/>
    <w:rsid w:val="00A12A59"/>
    <w:rsid w:val="00A12B85"/>
    <w:rsid w:val="00A12E5D"/>
    <w:rsid w:val="00A12F8B"/>
    <w:rsid w:val="00A12F9A"/>
    <w:rsid w:val="00A12FFF"/>
    <w:rsid w:val="00A13156"/>
    <w:rsid w:val="00A13376"/>
    <w:rsid w:val="00A1344E"/>
    <w:rsid w:val="00A13739"/>
    <w:rsid w:val="00A137AE"/>
    <w:rsid w:val="00A13925"/>
    <w:rsid w:val="00A139CB"/>
    <w:rsid w:val="00A13AEF"/>
    <w:rsid w:val="00A13B05"/>
    <w:rsid w:val="00A13BD1"/>
    <w:rsid w:val="00A13C78"/>
    <w:rsid w:val="00A13D12"/>
    <w:rsid w:val="00A14077"/>
    <w:rsid w:val="00A1443E"/>
    <w:rsid w:val="00A144C6"/>
    <w:rsid w:val="00A146AF"/>
    <w:rsid w:val="00A14726"/>
    <w:rsid w:val="00A14957"/>
    <w:rsid w:val="00A14980"/>
    <w:rsid w:val="00A14981"/>
    <w:rsid w:val="00A14A15"/>
    <w:rsid w:val="00A14A27"/>
    <w:rsid w:val="00A14CFD"/>
    <w:rsid w:val="00A14FB8"/>
    <w:rsid w:val="00A1504A"/>
    <w:rsid w:val="00A15566"/>
    <w:rsid w:val="00A15662"/>
    <w:rsid w:val="00A15780"/>
    <w:rsid w:val="00A15CEA"/>
    <w:rsid w:val="00A15D24"/>
    <w:rsid w:val="00A15F25"/>
    <w:rsid w:val="00A15F86"/>
    <w:rsid w:val="00A161F8"/>
    <w:rsid w:val="00A162AB"/>
    <w:rsid w:val="00A16311"/>
    <w:rsid w:val="00A1682D"/>
    <w:rsid w:val="00A168B3"/>
    <w:rsid w:val="00A16999"/>
    <w:rsid w:val="00A169F7"/>
    <w:rsid w:val="00A16B15"/>
    <w:rsid w:val="00A16FC1"/>
    <w:rsid w:val="00A170E0"/>
    <w:rsid w:val="00A170F0"/>
    <w:rsid w:val="00A17320"/>
    <w:rsid w:val="00A1734D"/>
    <w:rsid w:val="00A174AC"/>
    <w:rsid w:val="00A174B8"/>
    <w:rsid w:val="00A175B3"/>
    <w:rsid w:val="00A175F5"/>
    <w:rsid w:val="00A1761D"/>
    <w:rsid w:val="00A17624"/>
    <w:rsid w:val="00A1763A"/>
    <w:rsid w:val="00A177BF"/>
    <w:rsid w:val="00A178A4"/>
    <w:rsid w:val="00A178BF"/>
    <w:rsid w:val="00A17CCF"/>
    <w:rsid w:val="00A17E3F"/>
    <w:rsid w:val="00A200C8"/>
    <w:rsid w:val="00A20406"/>
    <w:rsid w:val="00A2069E"/>
    <w:rsid w:val="00A2096F"/>
    <w:rsid w:val="00A20A41"/>
    <w:rsid w:val="00A20CBA"/>
    <w:rsid w:val="00A20CEA"/>
    <w:rsid w:val="00A20E29"/>
    <w:rsid w:val="00A20F29"/>
    <w:rsid w:val="00A21291"/>
    <w:rsid w:val="00A212FA"/>
    <w:rsid w:val="00A2137B"/>
    <w:rsid w:val="00A21566"/>
    <w:rsid w:val="00A216E3"/>
    <w:rsid w:val="00A217DD"/>
    <w:rsid w:val="00A219F0"/>
    <w:rsid w:val="00A21A6C"/>
    <w:rsid w:val="00A21BF1"/>
    <w:rsid w:val="00A21C73"/>
    <w:rsid w:val="00A21E10"/>
    <w:rsid w:val="00A220A8"/>
    <w:rsid w:val="00A223A9"/>
    <w:rsid w:val="00A225E3"/>
    <w:rsid w:val="00A226DF"/>
    <w:rsid w:val="00A227F3"/>
    <w:rsid w:val="00A2282C"/>
    <w:rsid w:val="00A22880"/>
    <w:rsid w:val="00A229F1"/>
    <w:rsid w:val="00A230D3"/>
    <w:rsid w:val="00A233FA"/>
    <w:rsid w:val="00A237C0"/>
    <w:rsid w:val="00A238EC"/>
    <w:rsid w:val="00A23B99"/>
    <w:rsid w:val="00A23CF6"/>
    <w:rsid w:val="00A23DCE"/>
    <w:rsid w:val="00A23E73"/>
    <w:rsid w:val="00A23F79"/>
    <w:rsid w:val="00A23F7F"/>
    <w:rsid w:val="00A240AF"/>
    <w:rsid w:val="00A24189"/>
    <w:rsid w:val="00A241EA"/>
    <w:rsid w:val="00A24260"/>
    <w:rsid w:val="00A2453F"/>
    <w:rsid w:val="00A2458B"/>
    <w:rsid w:val="00A24757"/>
    <w:rsid w:val="00A24AA0"/>
    <w:rsid w:val="00A24CE9"/>
    <w:rsid w:val="00A24DE0"/>
    <w:rsid w:val="00A24E88"/>
    <w:rsid w:val="00A24E89"/>
    <w:rsid w:val="00A24F2A"/>
    <w:rsid w:val="00A24F6D"/>
    <w:rsid w:val="00A24F96"/>
    <w:rsid w:val="00A251A1"/>
    <w:rsid w:val="00A25354"/>
    <w:rsid w:val="00A253EE"/>
    <w:rsid w:val="00A25543"/>
    <w:rsid w:val="00A255D6"/>
    <w:rsid w:val="00A25606"/>
    <w:rsid w:val="00A25709"/>
    <w:rsid w:val="00A2571D"/>
    <w:rsid w:val="00A2572C"/>
    <w:rsid w:val="00A25870"/>
    <w:rsid w:val="00A259CE"/>
    <w:rsid w:val="00A25A52"/>
    <w:rsid w:val="00A25A72"/>
    <w:rsid w:val="00A25DB5"/>
    <w:rsid w:val="00A25DE1"/>
    <w:rsid w:val="00A26197"/>
    <w:rsid w:val="00A263DA"/>
    <w:rsid w:val="00A2675D"/>
    <w:rsid w:val="00A267E8"/>
    <w:rsid w:val="00A26972"/>
    <w:rsid w:val="00A26B4A"/>
    <w:rsid w:val="00A26F7F"/>
    <w:rsid w:val="00A26FE3"/>
    <w:rsid w:val="00A272F0"/>
    <w:rsid w:val="00A277E5"/>
    <w:rsid w:val="00A27992"/>
    <w:rsid w:val="00A27BD3"/>
    <w:rsid w:val="00A27E16"/>
    <w:rsid w:val="00A27FEA"/>
    <w:rsid w:val="00A30260"/>
    <w:rsid w:val="00A303FB"/>
    <w:rsid w:val="00A30442"/>
    <w:rsid w:val="00A30608"/>
    <w:rsid w:val="00A307F8"/>
    <w:rsid w:val="00A309FD"/>
    <w:rsid w:val="00A30A22"/>
    <w:rsid w:val="00A30A8A"/>
    <w:rsid w:val="00A30B2F"/>
    <w:rsid w:val="00A30C66"/>
    <w:rsid w:val="00A30D60"/>
    <w:rsid w:val="00A30DE1"/>
    <w:rsid w:val="00A30F11"/>
    <w:rsid w:val="00A30F16"/>
    <w:rsid w:val="00A30F82"/>
    <w:rsid w:val="00A31022"/>
    <w:rsid w:val="00A31063"/>
    <w:rsid w:val="00A313DA"/>
    <w:rsid w:val="00A31493"/>
    <w:rsid w:val="00A31847"/>
    <w:rsid w:val="00A3197E"/>
    <w:rsid w:val="00A31B67"/>
    <w:rsid w:val="00A31C2C"/>
    <w:rsid w:val="00A31C42"/>
    <w:rsid w:val="00A31E0E"/>
    <w:rsid w:val="00A31E86"/>
    <w:rsid w:val="00A31F76"/>
    <w:rsid w:val="00A31F7B"/>
    <w:rsid w:val="00A32061"/>
    <w:rsid w:val="00A3218C"/>
    <w:rsid w:val="00A32716"/>
    <w:rsid w:val="00A32772"/>
    <w:rsid w:val="00A3278B"/>
    <w:rsid w:val="00A32942"/>
    <w:rsid w:val="00A32BE1"/>
    <w:rsid w:val="00A32C44"/>
    <w:rsid w:val="00A32EE2"/>
    <w:rsid w:val="00A32FF0"/>
    <w:rsid w:val="00A33548"/>
    <w:rsid w:val="00A337E4"/>
    <w:rsid w:val="00A33933"/>
    <w:rsid w:val="00A33BDF"/>
    <w:rsid w:val="00A33CE7"/>
    <w:rsid w:val="00A33D50"/>
    <w:rsid w:val="00A33F5B"/>
    <w:rsid w:val="00A344CC"/>
    <w:rsid w:val="00A345DB"/>
    <w:rsid w:val="00A345E0"/>
    <w:rsid w:val="00A346C1"/>
    <w:rsid w:val="00A34711"/>
    <w:rsid w:val="00A34966"/>
    <w:rsid w:val="00A34AC5"/>
    <w:rsid w:val="00A34BCA"/>
    <w:rsid w:val="00A34CC8"/>
    <w:rsid w:val="00A34D5A"/>
    <w:rsid w:val="00A34EC6"/>
    <w:rsid w:val="00A3512C"/>
    <w:rsid w:val="00A351ED"/>
    <w:rsid w:val="00A3536A"/>
    <w:rsid w:val="00A354E7"/>
    <w:rsid w:val="00A35937"/>
    <w:rsid w:val="00A35A6E"/>
    <w:rsid w:val="00A35C3D"/>
    <w:rsid w:val="00A361BC"/>
    <w:rsid w:val="00A362ED"/>
    <w:rsid w:val="00A363A7"/>
    <w:rsid w:val="00A36407"/>
    <w:rsid w:val="00A3657D"/>
    <w:rsid w:val="00A3657F"/>
    <w:rsid w:val="00A366C6"/>
    <w:rsid w:val="00A366FA"/>
    <w:rsid w:val="00A36764"/>
    <w:rsid w:val="00A36AA4"/>
    <w:rsid w:val="00A36EB2"/>
    <w:rsid w:val="00A36F32"/>
    <w:rsid w:val="00A36FCD"/>
    <w:rsid w:val="00A3732A"/>
    <w:rsid w:val="00A373AA"/>
    <w:rsid w:val="00A3771D"/>
    <w:rsid w:val="00A37877"/>
    <w:rsid w:val="00A37902"/>
    <w:rsid w:val="00A37AA5"/>
    <w:rsid w:val="00A37D0E"/>
    <w:rsid w:val="00A40009"/>
    <w:rsid w:val="00A4007D"/>
    <w:rsid w:val="00A40297"/>
    <w:rsid w:val="00A404CF"/>
    <w:rsid w:val="00A40725"/>
    <w:rsid w:val="00A407EC"/>
    <w:rsid w:val="00A409E6"/>
    <w:rsid w:val="00A40C51"/>
    <w:rsid w:val="00A40EF6"/>
    <w:rsid w:val="00A41042"/>
    <w:rsid w:val="00A41382"/>
    <w:rsid w:val="00A413A9"/>
    <w:rsid w:val="00A414D6"/>
    <w:rsid w:val="00A41594"/>
    <w:rsid w:val="00A41B0E"/>
    <w:rsid w:val="00A41B3E"/>
    <w:rsid w:val="00A41CB2"/>
    <w:rsid w:val="00A41CF8"/>
    <w:rsid w:val="00A41E57"/>
    <w:rsid w:val="00A41ECF"/>
    <w:rsid w:val="00A421CF"/>
    <w:rsid w:val="00A4222E"/>
    <w:rsid w:val="00A42259"/>
    <w:rsid w:val="00A42343"/>
    <w:rsid w:val="00A423DB"/>
    <w:rsid w:val="00A4251B"/>
    <w:rsid w:val="00A42682"/>
    <w:rsid w:val="00A426EF"/>
    <w:rsid w:val="00A42B28"/>
    <w:rsid w:val="00A43033"/>
    <w:rsid w:val="00A4310C"/>
    <w:rsid w:val="00A43163"/>
    <w:rsid w:val="00A43169"/>
    <w:rsid w:val="00A431EE"/>
    <w:rsid w:val="00A43329"/>
    <w:rsid w:val="00A43415"/>
    <w:rsid w:val="00A43A17"/>
    <w:rsid w:val="00A43BFC"/>
    <w:rsid w:val="00A43E7E"/>
    <w:rsid w:val="00A4403F"/>
    <w:rsid w:val="00A44070"/>
    <w:rsid w:val="00A44086"/>
    <w:rsid w:val="00A44241"/>
    <w:rsid w:val="00A443E4"/>
    <w:rsid w:val="00A444A2"/>
    <w:rsid w:val="00A445B8"/>
    <w:rsid w:val="00A4485F"/>
    <w:rsid w:val="00A4521B"/>
    <w:rsid w:val="00A452C6"/>
    <w:rsid w:val="00A455D7"/>
    <w:rsid w:val="00A457E6"/>
    <w:rsid w:val="00A459BF"/>
    <w:rsid w:val="00A45F22"/>
    <w:rsid w:val="00A460CC"/>
    <w:rsid w:val="00A460FC"/>
    <w:rsid w:val="00A461C0"/>
    <w:rsid w:val="00A46218"/>
    <w:rsid w:val="00A4623B"/>
    <w:rsid w:val="00A4625C"/>
    <w:rsid w:val="00A4637B"/>
    <w:rsid w:val="00A46598"/>
    <w:rsid w:val="00A468A8"/>
    <w:rsid w:val="00A469FC"/>
    <w:rsid w:val="00A46C5D"/>
    <w:rsid w:val="00A46DA2"/>
    <w:rsid w:val="00A46E4B"/>
    <w:rsid w:val="00A4712B"/>
    <w:rsid w:val="00A4782A"/>
    <w:rsid w:val="00A4783F"/>
    <w:rsid w:val="00A479A5"/>
    <w:rsid w:val="00A479BC"/>
    <w:rsid w:val="00A47CF8"/>
    <w:rsid w:val="00A47D5C"/>
    <w:rsid w:val="00A47E7D"/>
    <w:rsid w:val="00A47EC1"/>
    <w:rsid w:val="00A47FC1"/>
    <w:rsid w:val="00A50035"/>
    <w:rsid w:val="00A50136"/>
    <w:rsid w:val="00A501DF"/>
    <w:rsid w:val="00A502AF"/>
    <w:rsid w:val="00A50322"/>
    <w:rsid w:val="00A5035C"/>
    <w:rsid w:val="00A50496"/>
    <w:rsid w:val="00A50622"/>
    <w:rsid w:val="00A5074F"/>
    <w:rsid w:val="00A50F98"/>
    <w:rsid w:val="00A51042"/>
    <w:rsid w:val="00A510FE"/>
    <w:rsid w:val="00A5115E"/>
    <w:rsid w:val="00A511DB"/>
    <w:rsid w:val="00A51520"/>
    <w:rsid w:val="00A515FA"/>
    <w:rsid w:val="00A517D0"/>
    <w:rsid w:val="00A51CE7"/>
    <w:rsid w:val="00A5200A"/>
    <w:rsid w:val="00A521DC"/>
    <w:rsid w:val="00A52ADC"/>
    <w:rsid w:val="00A5344B"/>
    <w:rsid w:val="00A53852"/>
    <w:rsid w:val="00A539FB"/>
    <w:rsid w:val="00A53AE5"/>
    <w:rsid w:val="00A53C36"/>
    <w:rsid w:val="00A53D28"/>
    <w:rsid w:val="00A53E01"/>
    <w:rsid w:val="00A5403F"/>
    <w:rsid w:val="00A5414D"/>
    <w:rsid w:val="00A545E3"/>
    <w:rsid w:val="00A54A7A"/>
    <w:rsid w:val="00A54AD1"/>
    <w:rsid w:val="00A54C83"/>
    <w:rsid w:val="00A54C8D"/>
    <w:rsid w:val="00A54C91"/>
    <w:rsid w:val="00A54E36"/>
    <w:rsid w:val="00A55077"/>
    <w:rsid w:val="00A5533A"/>
    <w:rsid w:val="00A556AB"/>
    <w:rsid w:val="00A557F7"/>
    <w:rsid w:val="00A55865"/>
    <w:rsid w:val="00A558B7"/>
    <w:rsid w:val="00A558E3"/>
    <w:rsid w:val="00A559A2"/>
    <w:rsid w:val="00A55ABE"/>
    <w:rsid w:val="00A56076"/>
    <w:rsid w:val="00A56175"/>
    <w:rsid w:val="00A562F8"/>
    <w:rsid w:val="00A5633F"/>
    <w:rsid w:val="00A563AF"/>
    <w:rsid w:val="00A564B4"/>
    <w:rsid w:val="00A564C3"/>
    <w:rsid w:val="00A56681"/>
    <w:rsid w:val="00A566F8"/>
    <w:rsid w:val="00A569F2"/>
    <w:rsid w:val="00A56CA7"/>
    <w:rsid w:val="00A56CB0"/>
    <w:rsid w:val="00A56E63"/>
    <w:rsid w:val="00A5755A"/>
    <w:rsid w:val="00A57779"/>
    <w:rsid w:val="00A578FD"/>
    <w:rsid w:val="00A57904"/>
    <w:rsid w:val="00A579C7"/>
    <w:rsid w:val="00A57BC4"/>
    <w:rsid w:val="00A57D60"/>
    <w:rsid w:val="00A57EA8"/>
    <w:rsid w:val="00A57FE4"/>
    <w:rsid w:val="00A6032D"/>
    <w:rsid w:val="00A60398"/>
    <w:rsid w:val="00A6045F"/>
    <w:rsid w:val="00A6066D"/>
    <w:rsid w:val="00A608CD"/>
    <w:rsid w:val="00A60D5F"/>
    <w:rsid w:val="00A60E00"/>
    <w:rsid w:val="00A60E52"/>
    <w:rsid w:val="00A60EBA"/>
    <w:rsid w:val="00A6166C"/>
    <w:rsid w:val="00A617B7"/>
    <w:rsid w:val="00A61D9D"/>
    <w:rsid w:val="00A62038"/>
    <w:rsid w:val="00A6211E"/>
    <w:rsid w:val="00A6249A"/>
    <w:rsid w:val="00A6253B"/>
    <w:rsid w:val="00A625A1"/>
    <w:rsid w:val="00A625A5"/>
    <w:rsid w:val="00A625AB"/>
    <w:rsid w:val="00A62883"/>
    <w:rsid w:val="00A62DEB"/>
    <w:rsid w:val="00A631AC"/>
    <w:rsid w:val="00A631CF"/>
    <w:rsid w:val="00A631F2"/>
    <w:rsid w:val="00A6322F"/>
    <w:rsid w:val="00A633F2"/>
    <w:rsid w:val="00A63488"/>
    <w:rsid w:val="00A6355C"/>
    <w:rsid w:val="00A63646"/>
    <w:rsid w:val="00A6370E"/>
    <w:rsid w:val="00A6372A"/>
    <w:rsid w:val="00A63B5D"/>
    <w:rsid w:val="00A64513"/>
    <w:rsid w:val="00A64572"/>
    <w:rsid w:val="00A64593"/>
    <w:rsid w:val="00A6459A"/>
    <w:rsid w:val="00A6461B"/>
    <w:rsid w:val="00A6479D"/>
    <w:rsid w:val="00A64817"/>
    <w:rsid w:val="00A64CBB"/>
    <w:rsid w:val="00A64CD2"/>
    <w:rsid w:val="00A64CDA"/>
    <w:rsid w:val="00A64D7B"/>
    <w:rsid w:val="00A64EDD"/>
    <w:rsid w:val="00A65098"/>
    <w:rsid w:val="00A65366"/>
    <w:rsid w:val="00A65491"/>
    <w:rsid w:val="00A656A1"/>
    <w:rsid w:val="00A65708"/>
    <w:rsid w:val="00A65733"/>
    <w:rsid w:val="00A65902"/>
    <w:rsid w:val="00A6590F"/>
    <w:rsid w:val="00A65B3E"/>
    <w:rsid w:val="00A66025"/>
    <w:rsid w:val="00A660DC"/>
    <w:rsid w:val="00A660F0"/>
    <w:rsid w:val="00A6618F"/>
    <w:rsid w:val="00A66415"/>
    <w:rsid w:val="00A6646D"/>
    <w:rsid w:val="00A664FD"/>
    <w:rsid w:val="00A665BD"/>
    <w:rsid w:val="00A665E7"/>
    <w:rsid w:val="00A66652"/>
    <w:rsid w:val="00A66654"/>
    <w:rsid w:val="00A66864"/>
    <w:rsid w:val="00A6691B"/>
    <w:rsid w:val="00A66968"/>
    <w:rsid w:val="00A66A01"/>
    <w:rsid w:val="00A66C82"/>
    <w:rsid w:val="00A67026"/>
    <w:rsid w:val="00A67118"/>
    <w:rsid w:val="00A67443"/>
    <w:rsid w:val="00A67906"/>
    <w:rsid w:val="00A67A85"/>
    <w:rsid w:val="00A67B22"/>
    <w:rsid w:val="00A67D68"/>
    <w:rsid w:val="00A70094"/>
    <w:rsid w:val="00A70519"/>
    <w:rsid w:val="00A70529"/>
    <w:rsid w:val="00A7062B"/>
    <w:rsid w:val="00A7073B"/>
    <w:rsid w:val="00A708CD"/>
    <w:rsid w:val="00A70C07"/>
    <w:rsid w:val="00A70C5E"/>
    <w:rsid w:val="00A7120F"/>
    <w:rsid w:val="00A71239"/>
    <w:rsid w:val="00A713B9"/>
    <w:rsid w:val="00A713C9"/>
    <w:rsid w:val="00A71577"/>
    <w:rsid w:val="00A716FA"/>
    <w:rsid w:val="00A717AC"/>
    <w:rsid w:val="00A7196B"/>
    <w:rsid w:val="00A71F54"/>
    <w:rsid w:val="00A71F97"/>
    <w:rsid w:val="00A720AD"/>
    <w:rsid w:val="00A720C5"/>
    <w:rsid w:val="00A721FE"/>
    <w:rsid w:val="00A72322"/>
    <w:rsid w:val="00A7255A"/>
    <w:rsid w:val="00A72632"/>
    <w:rsid w:val="00A72777"/>
    <w:rsid w:val="00A728F2"/>
    <w:rsid w:val="00A72F3B"/>
    <w:rsid w:val="00A733A8"/>
    <w:rsid w:val="00A734FC"/>
    <w:rsid w:val="00A735A4"/>
    <w:rsid w:val="00A735CD"/>
    <w:rsid w:val="00A73786"/>
    <w:rsid w:val="00A737C9"/>
    <w:rsid w:val="00A73A2D"/>
    <w:rsid w:val="00A73A9C"/>
    <w:rsid w:val="00A73B5D"/>
    <w:rsid w:val="00A73BCB"/>
    <w:rsid w:val="00A73C1A"/>
    <w:rsid w:val="00A73E5F"/>
    <w:rsid w:val="00A73EF8"/>
    <w:rsid w:val="00A74211"/>
    <w:rsid w:val="00A74449"/>
    <w:rsid w:val="00A7477F"/>
    <w:rsid w:val="00A74B7C"/>
    <w:rsid w:val="00A74C0A"/>
    <w:rsid w:val="00A74DF6"/>
    <w:rsid w:val="00A74F9A"/>
    <w:rsid w:val="00A7509C"/>
    <w:rsid w:val="00A7522A"/>
    <w:rsid w:val="00A752D9"/>
    <w:rsid w:val="00A752EF"/>
    <w:rsid w:val="00A7547A"/>
    <w:rsid w:val="00A7555E"/>
    <w:rsid w:val="00A757DC"/>
    <w:rsid w:val="00A757EE"/>
    <w:rsid w:val="00A7596D"/>
    <w:rsid w:val="00A75A1B"/>
    <w:rsid w:val="00A75AC5"/>
    <w:rsid w:val="00A75B33"/>
    <w:rsid w:val="00A75B4F"/>
    <w:rsid w:val="00A75CEA"/>
    <w:rsid w:val="00A75E93"/>
    <w:rsid w:val="00A75FA7"/>
    <w:rsid w:val="00A76158"/>
    <w:rsid w:val="00A761B7"/>
    <w:rsid w:val="00A76200"/>
    <w:rsid w:val="00A7646C"/>
    <w:rsid w:val="00A76A6B"/>
    <w:rsid w:val="00A76C72"/>
    <w:rsid w:val="00A76D84"/>
    <w:rsid w:val="00A76DB5"/>
    <w:rsid w:val="00A76F64"/>
    <w:rsid w:val="00A77046"/>
    <w:rsid w:val="00A77058"/>
    <w:rsid w:val="00A77186"/>
    <w:rsid w:val="00A77347"/>
    <w:rsid w:val="00A7738A"/>
    <w:rsid w:val="00A77421"/>
    <w:rsid w:val="00A774B4"/>
    <w:rsid w:val="00A774FA"/>
    <w:rsid w:val="00A77647"/>
    <w:rsid w:val="00A776D7"/>
    <w:rsid w:val="00A77A2B"/>
    <w:rsid w:val="00A77AD0"/>
    <w:rsid w:val="00A77D34"/>
    <w:rsid w:val="00A77D84"/>
    <w:rsid w:val="00A77E40"/>
    <w:rsid w:val="00A77E83"/>
    <w:rsid w:val="00A80142"/>
    <w:rsid w:val="00A802F2"/>
    <w:rsid w:val="00A80608"/>
    <w:rsid w:val="00A80687"/>
    <w:rsid w:val="00A80797"/>
    <w:rsid w:val="00A80A45"/>
    <w:rsid w:val="00A80F92"/>
    <w:rsid w:val="00A81124"/>
    <w:rsid w:val="00A81451"/>
    <w:rsid w:val="00A815CC"/>
    <w:rsid w:val="00A81967"/>
    <w:rsid w:val="00A81B7D"/>
    <w:rsid w:val="00A81DAE"/>
    <w:rsid w:val="00A81DE5"/>
    <w:rsid w:val="00A82254"/>
    <w:rsid w:val="00A823B2"/>
    <w:rsid w:val="00A82591"/>
    <w:rsid w:val="00A82B1A"/>
    <w:rsid w:val="00A82C6C"/>
    <w:rsid w:val="00A82C92"/>
    <w:rsid w:val="00A82D29"/>
    <w:rsid w:val="00A8319E"/>
    <w:rsid w:val="00A83324"/>
    <w:rsid w:val="00A83333"/>
    <w:rsid w:val="00A8337A"/>
    <w:rsid w:val="00A8353B"/>
    <w:rsid w:val="00A8382D"/>
    <w:rsid w:val="00A838C5"/>
    <w:rsid w:val="00A83A05"/>
    <w:rsid w:val="00A83B7C"/>
    <w:rsid w:val="00A83D5B"/>
    <w:rsid w:val="00A83D6C"/>
    <w:rsid w:val="00A83D7F"/>
    <w:rsid w:val="00A83DA5"/>
    <w:rsid w:val="00A8406C"/>
    <w:rsid w:val="00A84224"/>
    <w:rsid w:val="00A84391"/>
    <w:rsid w:val="00A84482"/>
    <w:rsid w:val="00A847BD"/>
    <w:rsid w:val="00A847FB"/>
    <w:rsid w:val="00A8483C"/>
    <w:rsid w:val="00A84A37"/>
    <w:rsid w:val="00A84D9D"/>
    <w:rsid w:val="00A84EBA"/>
    <w:rsid w:val="00A84F6D"/>
    <w:rsid w:val="00A855A5"/>
    <w:rsid w:val="00A85662"/>
    <w:rsid w:val="00A85982"/>
    <w:rsid w:val="00A85ADF"/>
    <w:rsid w:val="00A85AF7"/>
    <w:rsid w:val="00A85B0C"/>
    <w:rsid w:val="00A85C8B"/>
    <w:rsid w:val="00A85E49"/>
    <w:rsid w:val="00A860F8"/>
    <w:rsid w:val="00A86158"/>
    <w:rsid w:val="00A8635A"/>
    <w:rsid w:val="00A863C2"/>
    <w:rsid w:val="00A86454"/>
    <w:rsid w:val="00A8658C"/>
    <w:rsid w:val="00A8658F"/>
    <w:rsid w:val="00A86597"/>
    <w:rsid w:val="00A86884"/>
    <w:rsid w:val="00A868B6"/>
    <w:rsid w:val="00A869ED"/>
    <w:rsid w:val="00A86BBA"/>
    <w:rsid w:val="00A86C74"/>
    <w:rsid w:val="00A86CCC"/>
    <w:rsid w:val="00A86EF0"/>
    <w:rsid w:val="00A87257"/>
    <w:rsid w:val="00A8741C"/>
    <w:rsid w:val="00A87542"/>
    <w:rsid w:val="00A87854"/>
    <w:rsid w:val="00A8785D"/>
    <w:rsid w:val="00A87AE6"/>
    <w:rsid w:val="00A87D23"/>
    <w:rsid w:val="00A9065D"/>
    <w:rsid w:val="00A90666"/>
    <w:rsid w:val="00A90704"/>
    <w:rsid w:val="00A907E7"/>
    <w:rsid w:val="00A90882"/>
    <w:rsid w:val="00A90C8C"/>
    <w:rsid w:val="00A90D43"/>
    <w:rsid w:val="00A9111C"/>
    <w:rsid w:val="00A914EC"/>
    <w:rsid w:val="00A91535"/>
    <w:rsid w:val="00A91662"/>
    <w:rsid w:val="00A9176E"/>
    <w:rsid w:val="00A9194A"/>
    <w:rsid w:val="00A91E11"/>
    <w:rsid w:val="00A91F38"/>
    <w:rsid w:val="00A9211C"/>
    <w:rsid w:val="00A9218B"/>
    <w:rsid w:val="00A921A3"/>
    <w:rsid w:val="00A922D5"/>
    <w:rsid w:val="00A9255F"/>
    <w:rsid w:val="00A929D3"/>
    <w:rsid w:val="00A92C97"/>
    <w:rsid w:val="00A92CFC"/>
    <w:rsid w:val="00A92CFE"/>
    <w:rsid w:val="00A92E6D"/>
    <w:rsid w:val="00A930E2"/>
    <w:rsid w:val="00A933D9"/>
    <w:rsid w:val="00A93672"/>
    <w:rsid w:val="00A93712"/>
    <w:rsid w:val="00A9380F"/>
    <w:rsid w:val="00A9398B"/>
    <w:rsid w:val="00A939F8"/>
    <w:rsid w:val="00A93ACD"/>
    <w:rsid w:val="00A93B8E"/>
    <w:rsid w:val="00A9411C"/>
    <w:rsid w:val="00A94447"/>
    <w:rsid w:val="00A9455B"/>
    <w:rsid w:val="00A94566"/>
    <w:rsid w:val="00A947ED"/>
    <w:rsid w:val="00A94812"/>
    <w:rsid w:val="00A94971"/>
    <w:rsid w:val="00A949E5"/>
    <w:rsid w:val="00A94A35"/>
    <w:rsid w:val="00A94FAB"/>
    <w:rsid w:val="00A94FEE"/>
    <w:rsid w:val="00A950C0"/>
    <w:rsid w:val="00A951DA"/>
    <w:rsid w:val="00A95475"/>
    <w:rsid w:val="00A957B8"/>
    <w:rsid w:val="00A95865"/>
    <w:rsid w:val="00A9599B"/>
    <w:rsid w:val="00A95A8C"/>
    <w:rsid w:val="00A95B07"/>
    <w:rsid w:val="00A95B34"/>
    <w:rsid w:val="00A95D0F"/>
    <w:rsid w:val="00A96177"/>
    <w:rsid w:val="00A96241"/>
    <w:rsid w:val="00A96442"/>
    <w:rsid w:val="00A965A0"/>
    <w:rsid w:val="00A969ED"/>
    <w:rsid w:val="00A96DD2"/>
    <w:rsid w:val="00A973E9"/>
    <w:rsid w:val="00A973EF"/>
    <w:rsid w:val="00A9747C"/>
    <w:rsid w:val="00A97617"/>
    <w:rsid w:val="00A97662"/>
    <w:rsid w:val="00A97A45"/>
    <w:rsid w:val="00A97AC0"/>
    <w:rsid w:val="00A97C78"/>
    <w:rsid w:val="00A97DDA"/>
    <w:rsid w:val="00A97F21"/>
    <w:rsid w:val="00A97F82"/>
    <w:rsid w:val="00A97FAB"/>
    <w:rsid w:val="00A97FF3"/>
    <w:rsid w:val="00AA00A1"/>
    <w:rsid w:val="00AA0128"/>
    <w:rsid w:val="00AA0280"/>
    <w:rsid w:val="00AA0352"/>
    <w:rsid w:val="00AA039E"/>
    <w:rsid w:val="00AA044C"/>
    <w:rsid w:val="00AA0A58"/>
    <w:rsid w:val="00AA0A7F"/>
    <w:rsid w:val="00AA0C49"/>
    <w:rsid w:val="00AA0D6B"/>
    <w:rsid w:val="00AA0EA1"/>
    <w:rsid w:val="00AA0EAC"/>
    <w:rsid w:val="00AA0F68"/>
    <w:rsid w:val="00AA1075"/>
    <w:rsid w:val="00AA111C"/>
    <w:rsid w:val="00AA117C"/>
    <w:rsid w:val="00AA1212"/>
    <w:rsid w:val="00AA134A"/>
    <w:rsid w:val="00AA135E"/>
    <w:rsid w:val="00AA13D8"/>
    <w:rsid w:val="00AA14EC"/>
    <w:rsid w:val="00AA16AC"/>
    <w:rsid w:val="00AA17DF"/>
    <w:rsid w:val="00AA1855"/>
    <w:rsid w:val="00AA1981"/>
    <w:rsid w:val="00AA19EB"/>
    <w:rsid w:val="00AA1C38"/>
    <w:rsid w:val="00AA1C5A"/>
    <w:rsid w:val="00AA1DCC"/>
    <w:rsid w:val="00AA2079"/>
    <w:rsid w:val="00AA211D"/>
    <w:rsid w:val="00AA21B5"/>
    <w:rsid w:val="00AA21C5"/>
    <w:rsid w:val="00AA238D"/>
    <w:rsid w:val="00AA2430"/>
    <w:rsid w:val="00AA2492"/>
    <w:rsid w:val="00AA26E1"/>
    <w:rsid w:val="00AA271C"/>
    <w:rsid w:val="00AA2852"/>
    <w:rsid w:val="00AA2B05"/>
    <w:rsid w:val="00AA2B1A"/>
    <w:rsid w:val="00AA2D3D"/>
    <w:rsid w:val="00AA2DB1"/>
    <w:rsid w:val="00AA2F04"/>
    <w:rsid w:val="00AA3028"/>
    <w:rsid w:val="00AA3068"/>
    <w:rsid w:val="00AA30DB"/>
    <w:rsid w:val="00AA3127"/>
    <w:rsid w:val="00AA31E3"/>
    <w:rsid w:val="00AA34A5"/>
    <w:rsid w:val="00AA34BA"/>
    <w:rsid w:val="00AA35D6"/>
    <w:rsid w:val="00AA3A3E"/>
    <w:rsid w:val="00AA3B13"/>
    <w:rsid w:val="00AA3BEB"/>
    <w:rsid w:val="00AA3D28"/>
    <w:rsid w:val="00AA4035"/>
    <w:rsid w:val="00AA4284"/>
    <w:rsid w:val="00AA431E"/>
    <w:rsid w:val="00AA437D"/>
    <w:rsid w:val="00AA43BD"/>
    <w:rsid w:val="00AA4504"/>
    <w:rsid w:val="00AA4509"/>
    <w:rsid w:val="00AA4669"/>
    <w:rsid w:val="00AA48E4"/>
    <w:rsid w:val="00AA48EE"/>
    <w:rsid w:val="00AA4985"/>
    <w:rsid w:val="00AA4AF4"/>
    <w:rsid w:val="00AA4BF0"/>
    <w:rsid w:val="00AA4E1F"/>
    <w:rsid w:val="00AA4EB9"/>
    <w:rsid w:val="00AA4FA4"/>
    <w:rsid w:val="00AA51BF"/>
    <w:rsid w:val="00AA5229"/>
    <w:rsid w:val="00AA52BC"/>
    <w:rsid w:val="00AA5403"/>
    <w:rsid w:val="00AA54A5"/>
    <w:rsid w:val="00AA5504"/>
    <w:rsid w:val="00AA5670"/>
    <w:rsid w:val="00AA596D"/>
    <w:rsid w:val="00AA597E"/>
    <w:rsid w:val="00AA59AA"/>
    <w:rsid w:val="00AA5BFB"/>
    <w:rsid w:val="00AA5DA4"/>
    <w:rsid w:val="00AA5F7C"/>
    <w:rsid w:val="00AA6188"/>
    <w:rsid w:val="00AA666D"/>
    <w:rsid w:val="00AA6816"/>
    <w:rsid w:val="00AA6924"/>
    <w:rsid w:val="00AA6C23"/>
    <w:rsid w:val="00AA6D69"/>
    <w:rsid w:val="00AA6D8B"/>
    <w:rsid w:val="00AA6DD9"/>
    <w:rsid w:val="00AA6E5B"/>
    <w:rsid w:val="00AA7098"/>
    <w:rsid w:val="00AA70C4"/>
    <w:rsid w:val="00AA737A"/>
    <w:rsid w:val="00AA73D6"/>
    <w:rsid w:val="00AA74A7"/>
    <w:rsid w:val="00AA7581"/>
    <w:rsid w:val="00AA75BC"/>
    <w:rsid w:val="00AA767C"/>
    <w:rsid w:val="00AA76E1"/>
    <w:rsid w:val="00AA772D"/>
    <w:rsid w:val="00AA7747"/>
    <w:rsid w:val="00AA77C2"/>
    <w:rsid w:val="00AA7A68"/>
    <w:rsid w:val="00AA7B60"/>
    <w:rsid w:val="00AA7D92"/>
    <w:rsid w:val="00AB0046"/>
    <w:rsid w:val="00AB01C2"/>
    <w:rsid w:val="00AB0324"/>
    <w:rsid w:val="00AB0432"/>
    <w:rsid w:val="00AB0803"/>
    <w:rsid w:val="00AB09FE"/>
    <w:rsid w:val="00AB0CCD"/>
    <w:rsid w:val="00AB10EC"/>
    <w:rsid w:val="00AB12E2"/>
    <w:rsid w:val="00AB1415"/>
    <w:rsid w:val="00AB1429"/>
    <w:rsid w:val="00AB1794"/>
    <w:rsid w:val="00AB1964"/>
    <w:rsid w:val="00AB1E50"/>
    <w:rsid w:val="00AB1F68"/>
    <w:rsid w:val="00AB1F83"/>
    <w:rsid w:val="00AB1FE8"/>
    <w:rsid w:val="00AB205E"/>
    <w:rsid w:val="00AB2068"/>
    <w:rsid w:val="00AB20ED"/>
    <w:rsid w:val="00AB2203"/>
    <w:rsid w:val="00AB2455"/>
    <w:rsid w:val="00AB2536"/>
    <w:rsid w:val="00AB2571"/>
    <w:rsid w:val="00AB28E7"/>
    <w:rsid w:val="00AB2C01"/>
    <w:rsid w:val="00AB2CEB"/>
    <w:rsid w:val="00AB3165"/>
    <w:rsid w:val="00AB33F3"/>
    <w:rsid w:val="00AB3510"/>
    <w:rsid w:val="00AB3623"/>
    <w:rsid w:val="00AB3BA4"/>
    <w:rsid w:val="00AB3CE8"/>
    <w:rsid w:val="00AB3F67"/>
    <w:rsid w:val="00AB41D7"/>
    <w:rsid w:val="00AB426C"/>
    <w:rsid w:val="00AB45F2"/>
    <w:rsid w:val="00AB4994"/>
    <w:rsid w:val="00AB4B93"/>
    <w:rsid w:val="00AB4C51"/>
    <w:rsid w:val="00AB4C8C"/>
    <w:rsid w:val="00AB4CBC"/>
    <w:rsid w:val="00AB4E09"/>
    <w:rsid w:val="00AB4E19"/>
    <w:rsid w:val="00AB4F01"/>
    <w:rsid w:val="00AB5010"/>
    <w:rsid w:val="00AB5016"/>
    <w:rsid w:val="00AB50D5"/>
    <w:rsid w:val="00AB5101"/>
    <w:rsid w:val="00AB52CB"/>
    <w:rsid w:val="00AB5577"/>
    <w:rsid w:val="00AB593C"/>
    <w:rsid w:val="00AB5A03"/>
    <w:rsid w:val="00AB5E54"/>
    <w:rsid w:val="00AB5EA0"/>
    <w:rsid w:val="00AB5EE7"/>
    <w:rsid w:val="00AB5FE1"/>
    <w:rsid w:val="00AB6078"/>
    <w:rsid w:val="00AB6322"/>
    <w:rsid w:val="00AB6327"/>
    <w:rsid w:val="00AB636D"/>
    <w:rsid w:val="00AB64DC"/>
    <w:rsid w:val="00AB665C"/>
    <w:rsid w:val="00AB6660"/>
    <w:rsid w:val="00AB6735"/>
    <w:rsid w:val="00AB6D3A"/>
    <w:rsid w:val="00AB6D64"/>
    <w:rsid w:val="00AB6D82"/>
    <w:rsid w:val="00AB6FD8"/>
    <w:rsid w:val="00AB7333"/>
    <w:rsid w:val="00AB73CB"/>
    <w:rsid w:val="00AB7591"/>
    <w:rsid w:val="00AB77F6"/>
    <w:rsid w:val="00AB7A80"/>
    <w:rsid w:val="00AB7AE7"/>
    <w:rsid w:val="00AB7E71"/>
    <w:rsid w:val="00AB7FDA"/>
    <w:rsid w:val="00AC00D3"/>
    <w:rsid w:val="00AC017B"/>
    <w:rsid w:val="00AC02BC"/>
    <w:rsid w:val="00AC0323"/>
    <w:rsid w:val="00AC0512"/>
    <w:rsid w:val="00AC0684"/>
    <w:rsid w:val="00AC0747"/>
    <w:rsid w:val="00AC09AE"/>
    <w:rsid w:val="00AC0D14"/>
    <w:rsid w:val="00AC0DE9"/>
    <w:rsid w:val="00AC11CC"/>
    <w:rsid w:val="00AC126A"/>
    <w:rsid w:val="00AC129C"/>
    <w:rsid w:val="00AC13B2"/>
    <w:rsid w:val="00AC1519"/>
    <w:rsid w:val="00AC16F8"/>
    <w:rsid w:val="00AC18A8"/>
    <w:rsid w:val="00AC18E8"/>
    <w:rsid w:val="00AC1A12"/>
    <w:rsid w:val="00AC1B27"/>
    <w:rsid w:val="00AC1E77"/>
    <w:rsid w:val="00AC1EC5"/>
    <w:rsid w:val="00AC1F8D"/>
    <w:rsid w:val="00AC1FC4"/>
    <w:rsid w:val="00AC2167"/>
    <w:rsid w:val="00AC2310"/>
    <w:rsid w:val="00AC239C"/>
    <w:rsid w:val="00AC23E7"/>
    <w:rsid w:val="00AC23EF"/>
    <w:rsid w:val="00AC241F"/>
    <w:rsid w:val="00AC2576"/>
    <w:rsid w:val="00AC2A73"/>
    <w:rsid w:val="00AC2C5B"/>
    <w:rsid w:val="00AC2E32"/>
    <w:rsid w:val="00AC2F53"/>
    <w:rsid w:val="00AC34E4"/>
    <w:rsid w:val="00AC3643"/>
    <w:rsid w:val="00AC3735"/>
    <w:rsid w:val="00AC37A5"/>
    <w:rsid w:val="00AC384E"/>
    <w:rsid w:val="00AC3A99"/>
    <w:rsid w:val="00AC3AF8"/>
    <w:rsid w:val="00AC3D13"/>
    <w:rsid w:val="00AC3DDD"/>
    <w:rsid w:val="00AC42EC"/>
    <w:rsid w:val="00AC4457"/>
    <w:rsid w:val="00AC44C5"/>
    <w:rsid w:val="00AC465B"/>
    <w:rsid w:val="00AC4739"/>
    <w:rsid w:val="00AC484F"/>
    <w:rsid w:val="00AC494D"/>
    <w:rsid w:val="00AC4A1A"/>
    <w:rsid w:val="00AC4ACA"/>
    <w:rsid w:val="00AC4E2C"/>
    <w:rsid w:val="00AC4ECB"/>
    <w:rsid w:val="00AC4EDC"/>
    <w:rsid w:val="00AC505D"/>
    <w:rsid w:val="00AC50E4"/>
    <w:rsid w:val="00AC5147"/>
    <w:rsid w:val="00AC5761"/>
    <w:rsid w:val="00AC57F5"/>
    <w:rsid w:val="00AC58EF"/>
    <w:rsid w:val="00AC5B5F"/>
    <w:rsid w:val="00AC5B90"/>
    <w:rsid w:val="00AC607B"/>
    <w:rsid w:val="00AC630B"/>
    <w:rsid w:val="00AC63F3"/>
    <w:rsid w:val="00AC643B"/>
    <w:rsid w:val="00AC68AD"/>
    <w:rsid w:val="00AC703B"/>
    <w:rsid w:val="00AC7222"/>
    <w:rsid w:val="00AC7315"/>
    <w:rsid w:val="00AC761A"/>
    <w:rsid w:val="00AC76E2"/>
    <w:rsid w:val="00AC7831"/>
    <w:rsid w:val="00AC788F"/>
    <w:rsid w:val="00AC7978"/>
    <w:rsid w:val="00AC7A02"/>
    <w:rsid w:val="00AC7E3D"/>
    <w:rsid w:val="00AC7E3F"/>
    <w:rsid w:val="00AC7F0C"/>
    <w:rsid w:val="00AC7FC0"/>
    <w:rsid w:val="00AD01C8"/>
    <w:rsid w:val="00AD0207"/>
    <w:rsid w:val="00AD028B"/>
    <w:rsid w:val="00AD02AC"/>
    <w:rsid w:val="00AD02CE"/>
    <w:rsid w:val="00AD02DA"/>
    <w:rsid w:val="00AD030C"/>
    <w:rsid w:val="00AD060F"/>
    <w:rsid w:val="00AD0805"/>
    <w:rsid w:val="00AD0824"/>
    <w:rsid w:val="00AD0A4D"/>
    <w:rsid w:val="00AD0B02"/>
    <w:rsid w:val="00AD0B0D"/>
    <w:rsid w:val="00AD0C6C"/>
    <w:rsid w:val="00AD0D89"/>
    <w:rsid w:val="00AD1066"/>
    <w:rsid w:val="00AD122F"/>
    <w:rsid w:val="00AD1293"/>
    <w:rsid w:val="00AD14FE"/>
    <w:rsid w:val="00AD1723"/>
    <w:rsid w:val="00AD1731"/>
    <w:rsid w:val="00AD18A0"/>
    <w:rsid w:val="00AD1969"/>
    <w:rsid w:val="00AD198A"/>
    <w:rsid w:val="00AD19B8"/>
    <w:rsid w:val="00AD1AA7"/>
    <w:rsid w:val="00AD1AFF"/>
    <w:rsid w:val="00AD1D16"/>
    <w:rsid w:val="00AD1DF1"/>
    <w:rsid w:val="00AD1EB0"/>
    <w:rsid w:val="00AD1F6F"/>
    <w:rsid w:val="00AD2044"/>
    <w:rsid w:val="00AD209E"/>
    <w:rsid w:val="00AD2823"/>
    <w:rsid w:val="00AD288F"/>
    <w:rsid w:val="00AD28D4"/>
    <w:rsid w:val="00AD2CDF"/>
    <w:rsid w:val="00AD2F66"/>
    <w:rsid w:val="00AD2FBB"/>
    <w:rsid w:val="00AD2FFA"/>
    <w:rsid w:val="00AD308C"/>
    <w:rsid w:val="00AD30F2"/>
    <w:rsid w:val="00AD33B3"/>
    <w:rsid w:val="00AD33E8"/>
    <w:rsid w:val="00AD3450"/>
    <w:rsid w:val="00AD3471"/>
    <w:rsid w:val="00AD34DE"/>
    <w:rsid w:val="00AD3520"/>
    <w:rsid w:val="00AD3600"/>
    <w:rsid w:val="00AD3685"/>
    <w:rsid w:val="00AD3750"/>
    <w:rsid w:val="00AD394F"/>
    <w:rsid w:val="00AD3A15"/>
    <w:rsid w:val="00AD3AD4"/>
    <w:rsid w:val="00AD3CDE"/>
    <w:rsid w:val="00AD3DBF"/>
    <w:rsid w:val="00AD44CD"/>
    <w:rsid w:val="00AD45F1"/>
    <w:rsid w:val="00AD461C"/>
    <w:rsid w:val="00AD4664"/>
    <w:rsid w:val="00AD49B8"/>
    <w:rsid w:val="00AD4B89"/>
    <w:rsid w:val="00AD4D8A"/>
    <w:rsid w:val="00AD4EDE"/>
    <w:rsid w:val="00AD524E"/>
    <w:rsid w:val="00AD5377"/>
    <w:rsid w:val="00AD555D"/>
    <w:rsid w:val="00AD57B7"/>
    <w:rsid w:val="00AD5817"/>
    <w:rsid w:val="00AD596F"/>
    <w:rsid w:val="00AD6025"/>
    <w:rsid w:val="00AD6095"/>
    <w:rsid w:val="00AD61F0"/>
    <w:rsid w:val="00AD6491"/>
    <w:rsid w:val="00AD64A8"/>
    <w:rsid w:val="00AD6674"/>
    <w:rsid w:val="00AD6698"/>
    <w:rsid w:val="00AD671C"/>
    <w:rsid w:val="00AD6762"/>
    <w:rsid w:val="00AD677F"/>
    <w:rsid w:val="00AD68F0"/>
    <w:rsid w:val="00AD692F"/>
    <w:rsid w:val="00AD6C4F"/>
    <w:rsid w:val="00AD6C5F"/>
    <w:rsid w:val="00AD6DA6"/>
    <w:rsid w:val="00AD6DFC"/>
    <w:rsid w:val="00AD7232"/>
    <w:rsid w:val="00AD732E"/>
    <w:rsid w:val="00AD768E"/>
    <w:rsid w:val="00AD77D9"/>
    <w:rsid w:val="00AD7A96"/>
    <w:rsid w:val="00AD7BE8"/>
    <w:rsid w:val="00AD7CF5"/>
    <w:rsid w:val="00AD7DB3"/>
    <w:rsid w:val="00AE043A"/>
    <w:rsid w:val="00AE04DD"/>
    <w:rsid w:val="00AE0511"/>
    <w:rsid w:val="00AE0CD3"/>
    <w:rsid w:val="00AE125F"/>
    <w:rsid w:val="00AE14E2"/>
    <w:rsid w:val="00AE17B3"/>
    <w:rsid w:val="00AE1B1C"/>
    <w:rsid w:val="00AE1D06"/>
    <w:rsid w:val="00AE235D"/>
    <w:rsid w:val="00AE2603"/>
    <w:rsid w:val="00AE2669"/>
    <w:rsid w:val="00AE286A"/>
    <w:rsid w:val="00AE2890"/>
    <w:rsid w:val="00AE29D1"/>
    <w:rsid w:val="00AE2A53"/>
    <w:rsid w:val="00AE2A9F"/>
    <w:rsid w:val="00AE2AAA"/>
    <w:rsid w:val="00AE2D0C"/>
    <w:rsid w:val="00AE323A"/>
    <w:rsid w:val="00AE3394"/>
    <w:rsid w:val="00AE357A"/>
    <w:rsid w:val="00AE36B2"/>
    <w:rsid w:val="00AE3702"/>
    <w:rsid w:val="00AE37C3"/>
    <w:rsid w:val="00AE37DE"/>
    <w:rsid w:val="00AE39D8"/>
    <w:rsid w:val="00AE3B05"/>
    <w:rsid w:val="00AE3DD0"/>
    <w:rsid w:val="00AE3EBA"/>
    <w:rsid w:val="00AE3EC4"/>
    <w:rsid w:val="00AE41D2"/>
    <w:rsid w:val="00AE4342"/>
    <w:rsid w:val="00AE4347"/>
    <w:rsid w:val="00AE466D"/>
    <w:rsid w:val="00AE4B7C"/>
    <w:rsid w:val="00AE4D50"/>
    <w:rsid w:val="00AE4E74"/>
    <w:rsid w:val="00AE4E94"/>
    <w:rsid w:val="00AE4EA9"/>
    <w:rsid w:val="00AE5004"/>
    <w:rsid w:val="00AE52ED"/>
    <w:rsid w:val="00AE53B9"/>
    <w:rsid w:val="00AE5568"/>
    <w:rsid w:val="00AE56F3"/>
    <w:rsid w:val="00AE5C71"/>
    <w:rsid w:val="00AE5D19"/>
    <w:rsid w:val="00AE5E2D"/>
    <w:rsid w:val="00AE5E83"/>
    <w:rsid w:val="00AE5FE1"/>
    <w:rsid w:val="00AE614A"/>
    <w:rsid w:val="00AE6239"/>
    <w:rsid w:val="00AE6273"/>
    <w:rsid w:val="00AE62FF"/>
    <w:rsid w:val="00AE6338"/>
    <w:rsid w:val="00AE634E"/>
    <w:rsid w:val="00AE654F"/>
    <w:rsid w:val="00AE66C5"/>
    <w:rsid w:val="00AE6871"/>
    <w:rsid w:val="00AE6B11"/>
    <w:rsid w:val="00AE6B4D"/>
    <w:rsid w:val="00AE6EB1"/>
    <w:rsid w:val="00AE7029"/>
    <w:rsid w:val="00AE7040"/>
    <w:rsid w:val="00AE72FF"/>
    <w:rsid w:val="00AE7329"/>
    <w:rsid w:val="00AE74B6"/>
    <w:rsid w:val="00AE7BD5"/>
    <w:rsid w:val="00AE7E5D"/>
    <w:rsid w:val="00AE7F22"/>
    <w:rsid w:val="00AF011B"/>
    <w:rsid w:val="00AF0446"/>
    <w:rsid w:val="00AF05EA"/>
    <w:rsid w:val="00AF0755"/>
    <w:rsid w:val="00AF0767"/>
    <w:rsid w:val="00AF07D2"/>
    <w:rsid w:val="00AF09BA"/>
    <w:rsid w:val="00AF0B4A"/>
    <w:rsid w:val="00AF0D8F"/>
    <w:rsid w:val="00AF0DE9"/>
    <w:rsid w:val="00AF1060"/>
    <w:rsid w:val="00AF1260"/>
    <w:rsid w:val="00AF14AA"/>
    <w:rsid w:val="00AF16EA"/>
    <w:rsid w:val="00AF17D9"/>
    <w:rsid w:val="00AF18DA"/>
    <w:rsid w:val="00AF1AF0"/>
    <w:rsid w:val="00AF1C68"/>
    <w:rsid w:val="00AF1D4F"/>
    <w:rsid w:val="00AF1D62"/>
    <w:rsid w:val="00AF2210"/>
    <w:rsid w:val="00AF22EF"/>
    <w:rsid w:val="00AF2349"/>
    <w:rsid w:val="00AF23F2"/>
    <w:rsid w:val="00AF24BC"/>
    <w:rsid w:val="00AF2606"/>
    <w:rsid w:val="00AF2863"/>
    <w:rsid w:val="00AF28FB"/>
    <w:rsid w:val="00AF2974"/>
    <w:rsid w:val="00AF2B8B"/>
    <w:rsid w:val="00AF2D86"/>
    <w:rsid w:val="00AF2F5E"/>
    <w:rsid w:val="00AF329E"/>
    <w:rsid w:val="00AF3658"/>
    <w:rsid w:val="00AF36D9"/>
    <w:rsid w:val="00AF37ED"/>
    <w:rsid w:val="00AF3953"/>
    <w:rsid w:val="00AF3976"/>
    <w:rsid w:val="00AF39C6"/>
    <w:rsid w:val="00AF3C75"/>
    <w:rsid w:val="00AF3F6B"/>
    <w:rsid w:val="00AF4193"/>
    <w:rsid w:val="00AF43A6"/>
    <w:rsid w:val="00AF4572"/>
    <w:rsid w:val="00AF46E1"/>
    <w:rsid w:val="00AF4794"/>
    <w:rsid w:val="00AF4800"/>
    <w:rsid w:val="00AF4AF4"/>
    <w:rsid w:val="00AF4B38"/>
    <w:rsid w:val="00AF4C78"/>
    <w:rsid w:val="00AF4CF0"/>
    <w:rsid w:val="00AF4DC8"/>
    <w:rsid w:val="00AF4EA9"/>
    <w:rsid w:val="00AF50F9"/>
    <w:rsid w:val="00AF51C0"/>
    <w:rsid w:val="00AF526F"/>
    <w:rsid w:val="00AF52A5"/>
    <w:rsid w:val="00AF53A0"/>
    <w:rsid w:val="00AF54A9"/>
    <w:rsid w:val="00AF562E"/>
    <w:rsid w:val="00AF57C0"/>
    <w:rsid w:val="00AF57E2"/>
    <w:rsid w:val="00AF5EA3"/>
    <w:rsid w:val="00AF603D"/>
    <w:rsid w:val="00AF6125"/>
    <w:rsid w:val="00AF613A"/>
    <w:rsid w:val="00AF638B"/>
    <w:rsid w:val="00AF65BD"/>
    <w:rsid w:val="00AF65D6"/>
    <w:rsid w:val="00AF673A"/>
    <w:rsid w:val="00AF67CD"/>
    <w:rsid w:val="00AF68CB"/>
    <w:rsid w:val="00AF6948"/>
    <w:rsid w:val="00AF6D77"/>
    <w:rsid w:val="00AF6E54"/>
    <w:rsid w:val="00AF6F17"/>
    <w:rsid w:val="00AF6F1B"/>
    <w:rsid w:val="00AF7129"/>
    <w:rsid w:val="00AF715D"/>
    <w:rsid w:val="00AF72BD"/>
    <w:rsid w:val="00AF73A7"/>
    <w:rsid w:val="00AF75E5"/>
    <w:rsid w:val="00AF7650"/>
    <w:rsid w:val="00AF7683"/>
    <w:rsid w:val="00AF7917"/>
    <w:rsid w:val="00AF7A5C"/>
    <w:rsid w:val="00AF7F83"/>
    <w:rsid w:val="00B0049A"/>
    <w:rsid w:val="00B004DF"/>
    <w:rsid w:val="00B005B0"/>
    <w:rsid w:val="00B006E0"/>
    <w:rsid w:val="00B00878"/>
    <w:rsid w:val="00B008F8"/>
    <w:rsid w:val="00B00A24"/>
    <w:rsid w:val="00B00FDF"/>
    <w:rsid w:val="00B0138C"/>
    <w:rsid w:val="00B01700"/>
    <w:rsid w:val="00B01733"/>
    <w:rsid w:val="00B01950"/>
    <w:rsid w:val="00B01A00"/>
    <w:rsid w:val="00B01A8C"/>
    <w:rsid w:val="00B01B0D"/>
    <w:rsid w:val="00B01D77"/>
    <w:rsid w:val="00B01FBC"/>
    <w:rsid w:val="00B01FF2"/>
    <w:rsid w:val="00B02378"/>
    <w:rsid w:val="00B0276D"/>
    <w:rsid w:val="00B0280E"/>
    <w:rsid w:val="00B02969"/>
    <w:rsid w:val="00B02976"/>
    <w:rsid w:val="00B02C02"/>
    <w:rsid w:val="00B02CD5"/>
    <w:rsid w:val="00B02D51"/>
    <w:rsid w:val="00B02E26"/>
    <w:rsid w:val="00B02E30"/>
    <w:rsid w:val="00B02E92"/>
    <w:rsid w:val="00B030F1"/>
    <w:rsid w:val="00B03176"/>
    <w:rsid w:val="00B03186"/>
    <w:rsid w:val="00B031C7"/>
    <w:rsid w:val="00B03551"/>
    <w:rsid w:val="00B0369A"/>
    <w:rsid w:val="00B036F4"/>
    <w:rsid w:val="00B03914"/>
    <w:rsid w:val="00B04000"/>
    <w:rsid w:val="00B0406F"/>
    <w:rsid w:val="00B0417B"/>
    <w:rsid w:val="00B04604"/>
    <w:rsid w:val="00B04848"/>
    <w:rsid w:val="00B04863"/>
    <w:rsid w:val="00B04943"/>
    <w:rsid w:val="00B04EAB"/>
    <w:rsid w:val="00B05282"/>
    <w:rsid w:val="00B0528D"/>
    <w:rsid w:val="00B05AFA"/>
    <w:rsid w:val="00B05B63"/>
    <w:rsid w:val="00B05CA7"/>
    <w:rsid w:val="00B05DD1"/>
    <w:rsid w:val="00B06153"/>
    <w:rsid w:val="00B0616A"/>
    <w:rsid w:val="00B06291"/>
    <w:rsid w:val="00B063C4"/>
    <w:rsid w:val="00B063E0"/>
    <w:rsid w:val="00B064DD"/>
    <w:rsid w:val="00B0667F"/>
    <w:rsid w:val="00B067EB"/>
    <w:rsid w:val="00B06863"/>
    <w:rsid w:val="00B06ACA"/>
    <w:rsid w:val="00B06B16"/>
    <w:rsid w:val="00B06CB3"/>
    <w:rsid w:val="00B06F33"/>
    <w:rsid w:val="00B06F54"/>
    <w:rsid w:val="00B070B8"/>
    <w:rsid w:val="00B072C3"/>
    <w:rsid w:val="00B07324"/>
    <w:rsid w:val="00B0733F"/>
    <w:rsid w:val="00B073AA"/>
    <w:rsid w:val="00B0756E"/>
    <w:rsid w:val="00B07DD8"/>
    <w:rsid w:val="00B07E6A"/>
    <w:rsid w:val="00B07ED1"/>
    <w:rsid w:val="00B07ED5"/>
    <w:rsid w:val="00B07F12"/>
    <w:rsid w:val="00B10271"/>
    <w:rsid w:val="00B1031D"/>
    <w:rsid w:val="00B10408"/>
    <w:rsid w:val="00B107F8"/>
    <w:rsid w:val="00B109A0"/>
    <w:rsid w:val="00B10A2A"/>
    <w:rsid w:val="00B10B24"/>
    <w:rsid w:val="00B1107D"/>
    <w:rsid w:val="00B11112"/>
    <w:rsid w:val="00B1118D"/>
    <w:rsid w:val="00B1124A"/>
    <w:rsid w:val="00B1142D"/>
    <w:rsid w:val="00B11548"/>
    <w:rsid w:val="00B1158C"/>
    <w:rsid w:val="00B1190E"/>
    <w:rsid w:val="00B11972"/>
    <w:rsid w:val="00B119CB"/>
    <w:rsid w:val="00B11A8F"/>
    <w:rsid w:val="00B11B3B"/>
    <w:rsid w:val="00B11D2B"/>
    <w:rsid w:val="00B121A6"/>
    <w:rsid w:val="00B1221B"/>
    <w:rsid w:val="00B12396"/>
    <w:rsid w:val="00B125D3"/>
    <w:rsid w:val="00B126A0"/>
    <w:rsid w:val="00B126E9"/>
    <w:rsid w:val="00B128FA"/>
    <w:rsid w:val="00B12966"/>
    <w:rsid w:val="00B129A9"/>
    <w:rsid w:val="00B12AE4"/>
    <w:rsid w:val="00B12BB4"/>
    <w:rsid w:val="00B12BD0"/>
    <w:rsid w:val="00B12F03"/>
    <w:rsid w:val="00B13144"/>
    <w:rsid w:val="00B132D7"/>
    <w:rsid w:val="00B13636"/>
    <w:rsid w:val="00B13A7D"/>
    <w:rsid w:val="00B13D0C"/>
    <w:rsid w:val="00B13DDA"/>
    <w:rsid w:val="00B13E27"/>
    <w:rsid w:val="00B144D0"/>
    <w:rsid w:val="00B146BE"/>
    <w:rsid w:val="00B14CFD"/>
    <w:rsid w:val="00B15113"/>
    <w:rsid w:val="00B152D1"/>
    <w:rsid w:val="00B15496"/>
    <w:rsid w:val="00B154B4"/>
    <w:rsid w:val="00B154E4"/>
    <w:rsid w:val="00B15594"/>
    <w:rsid w:val="00B156E0"/>
    <w:rsid w:val="00B1584D"/>
    <w:rsid w:val="00B158C3"/>
    <w:rsid w:val="00B15A38"/>
    <w:rsid w:val="00B15B80"/>
    <w:rsid w:val="00B15BDC"/>
    <w:rsid w:val="00B16003"/>
    <w:rsid w:val="00B16219"/>
    <w:rsid w:val="00B16299"/>
    <w:rsid w:val="00B16306"/>
    <w:rsid w:val="00B163BA"/>
    <w:rsid w:val="00B16546"/>
    <w:rsid w:val="00B165B3"/>
    <w:rsid w:val="00B1671B"/>
    <w:rsid w:val="00B16978"/>
    <w:rsid w:val="00B169D6"/>
    <w:rsid w:val="00B169E8"/>
    <w:rsid w:val="00B16AC6"/>
    <w:rsid w:val="00B16BD0"/>
    <w:rsid w:val="00B16C94"/>
    <w:rsid w:val="00B16DF3"/>
    <w:rsid w:val="00B16F57"/>
    <w:rsid w:val="00B16F92"/>
    <w:rsid w:val="00B171A6"/>
    <w:rsid w:val="00B1724B"/>
    <w:rsid w:val="00B17460"/>
    <w:rsid w:val="00B174C4"/>
    <w:rsid w:val="00B17501"/>
    <w:rsid w:val="00B17620"/>
    <w:rsid w:val="00B178BA"/>
    <w:rsid w:val="00B17918"/>
    <w:rsid w:val="00B179D9"/>
    <w:rsid w:val="00B17BAB"/>
    <w:rsid w:val="00B17CBE"/>
    <w:rsid w:val="00B17DD4"/>
    <w:rsid w:val="00B17FC8"/>
    <w:rsid w:val="00B20044"/>
    <w:rsid w:val="00B20338"/>
    <w:rsid w:val="00B20522"/>
    <w:rsid w:val="00B20535"/>
    <w:rsid w:val="00B20780"/>
    <w:rsid w:val="00B20852"/>
    <w:rsid w:val="00B208A8"/>
    <w:rsid w:val="00B208AB"/>
    <w:rsid w:val="00B20A09"/>
    <w:rsid w:val="00B20C6D"/>
    <w:rsid w:val="00B20F23"/>
    <w:rsid w:val="00B20F29"/>
    <w:rsid w:val="00B21097"/>
    <w:rsid w:val="00B212AA"/>
    <w:rsid w:val="00B213D4"/>
    <w:rsid w:val="00B21464"/>
    <w:rsid w:val="00B214A6"/>
    <w:rsid w:val="00B21704"/>
    <w:rsid w:val="00B21789"/>
    <w:rsid w:val="00B21A8E"/>
    <w:rsid w:val="00B21B28"/>
    <w:rsid w:val="00B21CAE"/>
    <w:rsid w:val="00B21F67"/>
    <w:rsid w:val="00B22395"/>
    <w:rsid w:val="00B223B9"/>
    <w:rsid w:val="00B2260D"/>
    <w:rsid w:val="00B23119"/>
    <w:rsid w:val="00B2327D"/>
    <w:rsid w:val="00B23349"/>
    <w:rsid w:val="00B2346C"/>
    <w:rsid w:val="00B23483"/>
    <w:rsid w:val="00B235CC"/>
    <w:rsid w:val="00B2363E"/>
    <w:rsid w:val="00B239D8"/>
    <w:rsid w:val="00B23A24"/>
    <w:rsid w:val="00B23ABC"/>
    <w:rsid w:val="00B24017"/>
    <w:rsid w:val="00B2407D"/>
    <w:rsid w:val="00B24165"/>
    <w:rsid w:val="00B24201"/>
    <w:rsid w:val="00B242D0"/>
    <w:rsid w:val="00B24324"/>
    <w:rsid w:val="00B244B7"/>
    <w:rsid w:val="00B2467F"/>
    <w:rsid w:val="00B247A4"/>
    <w:rsid w:val="00B248A3"/>
    <w:rsid w:val="00B24902"/>
    <w:rsid w:val="00B24917"/>
    <w:rsid w:val="00B24E62"/>
    <w:rsid w:val="00B24E6E"/>
    <w:rsid w:val="00B24F17"/>
    <w:rsid w:val="00B254FB"/>
    <w:rsid w:val="00B25655"/>
    <w:rsid w:val="00B25884"/>
    <w:rsid w:val="00B25889"/>
    <w:rsid w:val="00B25B03"/>
    <w:rsid w:val="00B25B08"/>
    <w:rsid w:val="00B25B42"/>
    <w:rsid w:val="00B25B75"/>
    <w:rsid w:val="00B25BCC"/>
    <w:rsid w:val="00B25E67"/>
    <w:rsid w:val="00B25F0B"/>
    <w:rsid w:val="00B25F88"/>
    <w:rsid w:val="00B260C8"/>
    <w:rsid w:val="00B2629E"/>
    <w:rsid w:val="00B26372"/>
    <w:rsid w:val="00B263CE"/>
    <w:rsid w:val="00B263D7"/>
    <w:rsid w:val="00B265BD"/>
    <w:rsid w:val="00B265D7"/>
    <w:rsid w:val="00B267E5"/>
    <w:rsid w:val="00B269A8"/>
    <w:rsid w:val="00B26A18"/>
    <w:rsid w:val="00B26A5F"/>
    <w:rsid w:val="00B26C9D"/>
    <w:rsid w:val="00B26CB9"/>
    <w:rsid w:val="00B26F5C"/>
    <w:rsid w:val="00B27154"/>
    <w:rsid w:val="00B27184"/>
    <w:rsid w:val="00B273E4"/>
    <w:rsid w:val="00B2768E"/>
    <w:rsid w:val="00B279F7"/>
    <w:rsid w:val="00B27C00"/>
    <w:rsid w:val="00B27D1F"/>
    <w:rsid w:val="00B27E19"/>
    <w:rsid w:val="00B27F05"/>
    <w:rsid w:val="00B27F47"/>
    <w:rsid w:val="00B300C7"/>
    <w:rsid w:val="00B30542"/>
    <w:rsid w:val="00B3093B"/>
    <w:rsid w:val="00B309D8"/>
    <w:rsid w:val="00B30CCC"/>
    <w:rsid w:val="00B30D20"/>
    <w:rsid w:val="00B30E08"/>
    <w:rsid w:val="00B30E89"/>
    <w:rsid w:val="00B30EF2"/>
    <w:rsid w:val="00B31111"/>
    <w:rsid w:val="00B3115C"/>
    <w:rsid w:val="00B31160"/>
    <w:rsid w:val="00B31351"/>
    <w:rsid w:val="00B314E0"/>
    <w:rsid w:val="00B3153C"/>
    <w:rsid w:val="00B31566"/>
    <w:rsid w:val="00B315A0"/>
    <w:rsid w:val="00B315BF"/>
    <w:rsid w:val="00B31795"/>
    <w:rsid w:val="00B317B5"/>
    <w:rsid w:val="00B31B0D"/>
    <w:rsid w:val="00B31B32"/>
    <w:rsid w:val="00B32016"/>
    <w:rsid w:val="00B32093"/>
    <w:rsid w:val="00B3245B"/>
    <w:rsid w:val="00B32A1B"/>
    <w:rsid w:val="00B32A53"/>
    <w:rsid w:val="00B3311E"/>
    <w:rsid w:val="00B3339C"/>
    <w:rsid w:val="00B3357B"/>
    <w:rsid w:val="00B33603"/>
    <w:rsid w:val="00B3364D"/>
    <w:rsid w:val="00B3366B"/>
    <w:rsid w:val="00B3382F"/>
    <w:rsid w:val="00B3386A"/>
    <w:rsid w:val="00B33AD2"/>
    <w:rsid w:val="00B33C5E"/>
    <w:rsid w:val="00B33CA2"/>
    <w:rsid w:val="00B33D62"/>
    <w:rsid w:val="00B33DEE"/>
    <w:rsid w:val="00B33F2B"/>
    <w:rsid w:val="00B34036"/>
    <w:rsid w:val="00B341F6"/>
    <w:rsid w:val="00B346BC"/>
    <w:rsid w:val="00B34727"/>
    <w:rsid w:val="00B34978"/>
    <w:rsid w:val="00B34A0F"/>
    <w:rsid w:val="00B34AF7"/>
    <w:rsid w:val="00B34BB9"/>
    <w:rsid w:val="00B34BD1"/>
    <w:rsid w:val="00B34BEB"/>
    <w:rsid w:val="00B34F0B"/>
    <w:rsid w:val="00B34F1F"/>
    <w:rsid w:val="00B35114"/>
    <w:rsid w:val="00B35164"/>
    <w:rsid w:val="00B353BD"/>
    <w:rsid w:val="00B35490"/>
    <w:rsid w:val="00B35707"/>
    <w:rsid w:val="00B35937"/>
    <w:rsid w:val="00B35A02"/>
    <w:rsid w:val="00B35B84"/>
    <w:rsid w:val="00B35D29"/>
    <w:rsid w:val="00B35F63"/>
    <w:rsid w:val="00B362CB"/>
    <w:rsid w:val="00B363EB"/>
    <w:rsid w:val="00B36442"/>
    <w:rsid w:val="00B3667B"/>
    <w:rsid w:val="00B36750"/>
    <w:rsid w:val="00B36856"/>
    <w:rsid w:val="00B368AF"/>
    <w:rsid w:val="00B36B2C"/>
    <w:rsid w:val="00B36B3F"/>
    <w:rsid w:val="00B36BD2"/>
    <w:rsid w:val="00B36BE0"/>
    <w:rsid w:val="00B37434"/>
    <w:rsid w:val="00B37505"/>
    <w:rsid w:val="00B375D6"/>
    <w:rsid w:val="00B3782F"/>
    <w:rsid w:val="00B379CF"/>
    <w:rsid w:val="00B37A1E"/>
    <w:rsid w:val="00B4003E"/>
    <w:rsid w:val="00B4020C"/>
    <w:rsid w:val="00B403E3"/>
    <w:rsid w:val="00B4049D"/>
    <w:rsid w:val="00B40598"/>
    <w:rsid w:val="00B407C5"/>
    <w:rsid w:val="00B40879"/>
    <w:rsid w:val="00B408BA"/>
    <w:rsid w:val="00B408E1"/>
    <w:rsid w:val="00B40AE4"/>
    <w:rsid w:val="00B40C5C"/>
    <w:rsid w:val="00B40C68"/>
    <w:rsid w:val="00B40CA7"/>
    <w:rsid w:val="00B41078"/>
    <w:rsid w:val="00B412FC"/>
    <w:rsid w:val="00B414BA"/>
    <w:rsid w:val="00B4183A"/>
    <w:rsid w:val="00B4185E"/>
    <w:rsid w:val="00B4190B"/>
    <w:rsid w:val="00B419CD"/>
    <w:rsid w:val="00B41A1D"/>
    <w:rsid w:val="00B41A87"/>
    <w:rsid w:val="00B41A94"/>
    <w:rsid w:val="00B41DA4"/>
    <w:rsid w:val="00B41E3B"/>
    <w:rsid w:val="00B42112"/>
    <w:rsid w:val="00B426FC"/>
    <w:rsid w:val="00B429EB"/>
    <w:rsid w:val="00B42B12"/>
    <w:rsid w:val="00B42D9B"/>
    <w:rsid w:val="00B42DC5"/>
    <w:rsid w:val="00B42E20"/>
    <w:rsid w:val="00B433DB"/>
    <w:rsid w:val="00B43553"/>
    <w:rsid w:val="00B43783"/>
    <w:rsid w:val="00B4379E"/>
    <w:rsid w:val="00B437DA"/>
    <w:rsid w:val="00B43B01"/>
    <w:rsid w:val="00B43B5E"/>
    <w:rsid w:val="00B43B6F"/>
    <w:rsid w:val="00B43C26"/>
    <w:rsid w:val="00B43CCC"/>
    <w:rsid w:val="00B43F25"/>
    <w:rsid w:val="00B44141"/>
    <w:rsid w:val="00B441F2"/>
    <w:rsid w:val="00B442B6"/>
    <w:rsid w:val="00B4464F"/>
    <w:rsid w:val="00B44B75"/>
    <w:rsid w:val="00B44E00"/>
    <w:rsid w:val="00B44E6D"/>
    <w:rsid w:val="00B45015"/>
    <w:rsid w:val="00B45562"/>
    <w:rsid w:val="00B45705"/>
    <w:rsid w:val="00B45934"/>
    <w:rsid w:val="00B45B2F"/>
    <w:rsid w:val="00B45B43"/>
    <w:rsid w:val="00B45C20"/>
    <w:rsid w:val="00B45E0B"/>
    <w:rsid w:val="00B45E75"/>
    <w:rsid w:val="00B46034"/>
    <w:rsid w:val="00B46145"/>
    <w:rsid w:val="00B462E6"/>
    <w:rsid w:val="00B4632A"/>
    <w:rsid w:val="00B4636D"/>
    <w:rsid w:val="00B464D8"/>
    <w:rsid w:val="00B466A1"/>
    <w:rsid w:val="00B46707"/>
    <w:rsid w:val="00B46796"/>
    <w:rsid w:val="00B4686C"/>
    <w:rsid w:val="00B46891"/>
    <w:rsid w:val="00B468EE"/>
    <w:rsid w:val="00B469B3"/>
    <w:rsid w:val="00B46A90"/>
    <w:rsid w:val="00B46B41"/>
    <w:rsid w:val="00B46CCE"/>
    <w:rsid w:val="00B46F69"/>
    <w:rsid w:val="00B47067"/>
    <w:rsid w:val="00B471C0"/>
    <w:rsid w:val="00B4722D"/>
    <w:rsid w:val="00B47492"/>
    <w:rsid w:val="00B47721"/>
    <w:rsid w:val="00B47747"/>
    <w:rsid w:val="00B4776E"/>
    <w:rsid w:val="00B47863"/>
    <w:rsid w:val="00B47968"/>
    <w:rsid w:val="00B4799E"/>
    <w:rsid w:val="00B47A72"/>
    <w:rsid w:val="00B47BD1"/>
    <w:rsid w:val="00B47CCD"/>
    <w:rsid w:val="00B47E1F"/>
    <w:rsid w:val="00B47ED1"/>
    <w:rsid w:val="00B47F44"/>
    <w:rsid w:val="00B50152"/>
    <w:rsid w:val="00B50225"/>
    <w:rsid w:val="00B5051E"/>
    <w:rsid w:val="00B50847"/>
    <w:rsid w:val="00B509D6"/>
    <w:rsid w:val="00B50B18"/>
    <w:rsid w:val="00B50CAB"/>
    <w:rsid w:val="00B50D11"/>
    <w:rsid w:val="00B50D8F"/>
    <w:rsid w:val="00B50E2B"/>
    <w:rsid w:val="00B50EE7"/>
    <w:rsid w:val="00B5106F"/>
    <w:rsid w:val="00B5110E"/>
    <w:rsid w:val="00B51157"/>
    <w:rsid w:val="00B51263"/>
    <w:rsid w:val="00B5127B"/>
    <w:rsid w:val="00B515DF"/>
    <w:rsid w:val="00B51847"/>
    <w:rsid w:val="00B51B5F"/>
    <w:rsid w:val="00B5206C"/>
    <w:rsid w:val="00B5206D"/>
    <w:rsid w:val="00B5209F"/>
    <w:rsid w:val="00B520F1"/>
    <w:rsid w:val="00B52356"/>
    <w:rsid w:val="00B52406"/>
    <w:rsid w:val="00B524CA"/>
    <w:rsid w:val="00B52A92"/>
    <w:rsid w:val="00B52B73"/>
    <w:rsid w:val="00B52DBC"/>
    <w:rsid w:val="00B52F18"/>
    <w:rsid w:val="00B52F3F"/>
    <w:rsid w:val="00B531EC"/>
    <w:rsid w:val="00B5323C"/>
    <w:rsid w:val="00B532D0"/>
    <w:rsid w:val="00B532E4"/>
    <w:rsid w:val="00B53A19"/>
    <w:rsid w:val="00B53E65"/>
    <w:rsid w:val="00B53F95"/>
    <w:rsid w:val="00B544FD"/>
    <w:rsid w:val="00B54613"/>
    <w:rsid w:val="00B54A62"/>
    <w:rsid w:val="00B54AD4"/>
    <w:rsid w:val="00B54B01"/>
    <w:rsid w:val="00B55111"/>
    <w:rsid w:val="00B5524C"/>
    <w:rsid w:val="00B553AF"/>
    <w:rsid w:val="00B55412"/>
    <w:rsid w:val="00B558F3"/>
    <w:rsid w:val="00B559EE"/>
    <w:rsid w:val="00B55C4C"/>
    <w:rsid w:val="00B55CB7"/>
    <w:rsid w:val="00B55D26"/>
    <w:rsid w:val="00B55F64"/>
    <w:rsid w:val="00B55FBF"/>
    <w:rsid w:val="00B56298"/>
    <w:rsid w:val="00B5652D"/>
    <w:rsid w:val="00B565B6"/>
    <w:rsid w:val="00B56709"/>
    <w:rsid w:val="00B569BB"/>
    <w:rsid w:val="00B56C09"/>
    <w:rsid w:val="00B56C26"/>
    <w:rsid w:val="00B56FB7"/>
    <w:rsid w:val="00B56FC9"/>
    <w:rsid w:val="00B570E9"/>
    <w:rsid w:val="00B570FB"/>
    <w:rsid w:val="00B573C4"/>
    <w:rsid w:val="00B576D6"/>
    <w:rsid w:val="00B576EA"/>
    <w:rsid w:val="00B5776D"/>
    <w:rsid w:val="00B57D0F"/>
    <w:rsid w:val="00B57EF8"/>
    <w:rsid w:val="00B600D8"/>
    <w:rsid w:val="00B60133"/>
    <w:rsid w:val="00B60569"/>
    <w:rsid w:val="00B6072C"/>
    <w:rsid w:val="00B60741"/>
    <w:rsid w:val="00B6077A"/>
    <w:rsid w:val="00B607F7"/>
    <w:rsid w:val="00B609BE"/>
    <w:rsid w:val="00B60A18"/>
    <w:rsid w:val="00B60ADA"/>
    <w:rsid w:val="00B61028"/>
    <w:rsid w:val="00B6105F"/>
    <w:rsid w:val="00B613ED"/>
    <w:rsid w:val="00B6178A"/>
    <w:rsid w:val="00B61948"/>
    <w:rsid w:val="00B61B97"/>
    <w:rsid w:val="00B61CA5"/>
    <w:rsid w:val="00B61F46"/>
    <w:rsid w:val="00B61F64"/>
    <w:rsid w:val="00B62087"/>
    <w:rsid w:val="00B62138"/>
    <w:rsid w:val="00B62295"/>
    <w:rsid w:val="00B62328"/>
    <w:rsid w:val="00B623F2"/>
    <w:rsid w:val="00B624E0"/>
    <w:rsid w:val="00B6255F"/>
    <w:rsid w:val="00B62607"/>
    <w:rsid w:val="00B628E3"/>
    <w:rsid w:val="00B62A55"/>
    <w:rsid w:val="00B62AA8"/>
    <w:rsid w:val="00B62B12"/>
    <w:rsid w:val="00B62D01"/>
    <w:rsid w:val="00B62FD8"/>
    <w:rsid w:val="00B6320E"/>
    <w:rsid w:val="00B6324B"/>
    <w:rsid w:val="00B632A6"/>
    <w:rsid w:val="00B63325"/>
    <w:rsid w:val="00B635FD"/>
    <w:rsid w:val="00B63607"/>
    <w:rsid w:val="00B6364A"/>
    <w:rsid w:val="00B636B4"/>
    <w:rsid w:val="00B636D7"/>
    <w:rsid w:val="00B637C1"/>
    <w:rsid w:val="00B63DE2"/>
    <w:rsid w:val="00B63E2A"/>
    <w:rsid w:val="00B63F5C"/>
    <w:rsid w:val="00B64171"/>
    <w:rsid w:val="00B6455A"/>
    <w:rsid w:val="00B64613"/>
    <w:rsid w:val="00B64870"/>
    <w:rsid w:val="00B648D8"/>
    <w:rsid w:val="00B64939"/>
    <w:rsid w:val="00B64C17"/>
    <w:rsid w:val="00B64C2A"/>
    <w:rsid w:val="00B64DA5"/>
    <w:rsid w:val="00B64F09"/>
    <w:rsid w:val="00B650E8"/>
    <w:rsid w:val="00B6510E"/>
    <w:rsid w:val="00B65359"/>
    <w:rsid w:val="00B65561"/>
    <w:rsid w:val="00B65662"/>
    <w:rsid w:val="00B658A0"/>
    <w:rsid w:val="00B65C9D"/>
    <w:rsid w:val="00B65DB5"/>
    <w:rsid w:val="00B65E94"/>
    <w:rsid w:val="00B6606E"/>
    <w:rsid w:val="00B661C7"/>
    <w:rsid w:val="00B662EA"/>
    <w:rsid w:val="00B66403"/>
    <w:rsid w:val="00B664BF"/>
    <w:rsid w:val="00B664F1"/>
    <w:rsid w:val="00B66551"/>
    <w:rsid w:val="00B6658B"/>
    <w:rsid w:val="00B669CD"/>
    <w:rsid w:val="00B66DB5"/>
    <w:rsid w:val="00B67118"/>
    <w:rsid w:val="00B6711F"/>
    <w:rsid w:val="00B672F3"/>
    <w:rsid w:val="00B6740D"/>
    <w:rsid w:val="00B674AE"/>
    <w:rsid w:val="00B6754F"/>
    <w:rsid w:val="00B67641"/>
    <w:rsid w:val="00B67849"/>
    <w:rsid w:val="00B6785C"/>
    <w:rsid w:val="00B67A27"/>
    <w:rsid w:val="00B67B6C"/>
    <w:rsid w:val="00B67B77"/>
    <w:rsid w:val="00B67BAD"/>
    <w:rsid w:val="00B67F25"/>
    <w:rsid w:val="00B67F6C"/>
    <w:rsid w:val="00B67FB6"/>
    <w:rsid w:val="00B700D7"/>
    <w:rsid w:val="00B701E1"/>
    <w:rsid w:val="00B70210"/>
    <w:rsid w:val="00B705A0"/>
    <w:rsid w:val="00B705A1"/>
    <w:rsid w:val="00B70795"/>
    <w:rsid w:val="00B70A3B"/>
    <w:rsid w:val="00B71044"/>
    <w:rsid w:val="00B71158"/>
    <w:rsid w:val="00B71346"/>
    <w:rsid w:val="00B713AB"/>
    <w:rsid w:val="00B71D3A"/>
    <w:rsid w:val="00B71D43"/>
    <w:rsid w:val="00B71DC1"/>
    <w:rsid w:val="00B71F7A"/>
    <w:rsid w:val="00B71FCC"/>
    <w:rsid w:val="00B71FDA"/>
    <w:rsid w:val="00B72281"/>
    <w:rsid w:val="00B72295"/>
    <w:rsid w:val="00B7252D"/>
    <w:rsid w:val="00B72893"/>
    <w:rsid w:val="00B728BB"/>
    <w:rsid w:val="00B7292C"/>
    <w:rsid w:val="00B72EED"/>
    <w:rsid w:val="00B7312F"/>
    <w:rsid w:val="00B73262"/>
    <w:rsid w:val="00B73271"/>
    <w:rsid w:val="00B734AC"/>
    <w:rsid w:val="00B7362E"/>
    <w:rsid w:val="00B7369F"/>
    <w:rsid w:val="00B736CF"/>
    <w:rsid w:val="00B73895"/>
    <w:rsid w:val="00B739BE"/>
    <w:rsid w:val="00B73AA0"/>
    <w:rsid w:val="00B73AE9"/>
    <w:rsid w:val="00B73C7E"/>
    <w:rsid w:val="00B73C80"/>
    <w:rsid w:val="00B73D1C"/>
    <w:rsid w:val="00B74181"/>
    <w:rsid w:val="00B7452D"/>
    <w:rsid w:val="00B7456A"/>
    <w:rsid w:val="00B74751"/>
    <w:rsid w:val="00B7478D"/>
    <w:rsid w:val="00B7481A"/>
    <w:rsid w:val="00B750B8"/>
    <w:rsid w:val="00B75345"/>
    <w:rsid w:val="00B753B6"/>
    <w:rsid w:val="00B754E5"/>
    <w:rsid w:val="00B75696"/>
    <w:rsid w:val="00B75839"/>
    <w:rsid w:val="00B75C09"/>
    <w:rsid w:val="00B75C18"/>
    <w:rsid w:val="00B75CDC"/>
    <w:rsid w:val="00B76169"/>
    <w:rsid w:val="00B76253"/>
    <w:rsid w:val="00B763A3"/>
    <w:rsid w:val="00B767D2"/>
    <w:rsid w:val="00B769D5"/>
    <w:rsid w:val="00B76A06"/>
    <w:rsid w:val="00B76B40"/>
    <w:rsid w:val="00B76B60"/>
    <w:rsid w:val="00B76DC0"/>
    <w:rsid w:val="00B76EE8"/>
    <w:rsid w:val="00B77140"/>
    <w:rsid w:val="00B772FF"/>
    <w:rsid w:val="00B773C8"/>
    <w:rsid w:val="00B7740D"/>
    <w:rsid w:val="00B7745B"/>
    <w:rsid w:val="00B778E1"/>
    <w:rsid w:val="00B779C2"/>
    <w:rsid w:val="00B77B62"/>
    <w:rsid w:val="00B77BB1"/>
    <w:rsid w:val="00B77FDD"/>
    <w:rsid w:val="00B8002F"/>
    <w:rsid w:val="00B8008E"/>
    <w:rsid w:val="00B800C2"/>
    <w:rsid w:val="00B801D7"/>
    <w:rsid w:val="00B80B5A"/>
    <w:rsid w:val="00B80BC5"/>
    <w:rsid w:val="00B80BFE"/>
    <w:rsid w:val="00B80DB4"/>
    <w:rsid w:val="00B810C8"/>
    <w:rsid w:val="00B81598"/>
    <w:rsid w:val="00B817B9"/>
    <w:rsid w:val="00B817CE"/>
    <w:rsid w:val="00B8184B"/>
    <w:rsid w:val="00B8187F"/>
    <w:rsid w:val="00B818AE"/>
    <w:rsid w:val="00B81AB1"/>
    <w:rsid w:val="00B81B11"/>
    <w:rsid w:val="00B81BA3"/>
    <w:rsid w:val="00B81BEC"/>
    <w:rsid w:val="00B81CB2"/>
    <w:rsid w:val="00B81D9A"/>
    <w:rsid w:val="00B8214E"/>
    <w:rsid w:val="00B82415"/>
    <w:rsid w:val="00B82524"/>
    <w:rsid w:val="00B825DD"/>
    <w:rsid w:val="00B82628"/>
    <w:rsid w:val="00B82842"/>
    <w:rsid w:val="00B82976"/>
    <w:rsid w:val="00B82A35"/>
    <w:rsid w:val="00B82B52"/>
    <w:rsid w:val="00B8336E"/>
    <w:rsid w:val="00B833E7"/>
    <w:rsid w:val="00B8359F"/>
    <w:rsid w:val="00B83864"/>
    <w:rsid w:val="00B83AD9"/>
    <w:rsid w:val="00B83D47"/>
    <w:rsid w:val="00B83E63"/>
    <w:rsid w:val="00B83E7F"/>
    <w:rsid w:val="00B83ECE"/>
    <w:rsid w:val="00B83ED5"/>
    <w:rsid w:val="00B8416D"/>
    <w:rsid w:val="00B841D0"/>
    <w:rsid w:val="00B8436C"/>
    <w:rsid w:val="00B84475"/>
    <w:rsid w:val="00B845C7"/>
    <w:rsid w:val="00B849BF"/>
    <w:rsid w:val="00B849F2"/>
    <w:rsid w:val="00B84C6D"/>
    <w:rsid w:val="00B84D42"/>
    <w:rsid w:val="00B84E35"/>
    <w:rsid w:val="00B84F38"/>
    <w:rsid w:val="00B84F7A"/>
    <w:rsid w:val="00B85448"/>
    <w:rsid w:val="00B856A3"/>
    <w:rsid w:val="00B85914"/>
    <w:rsid w:val="00B85948"/>
    <w:rsid w:val="00B85979"/>
    <w:rsid w:val="00B85C11"/>
    <w:rsid w:val="00B85D67"/>
    <w:rsid w:val="00B85F86"/>
    <w:rsid w:val="00B86266"/>
    <w:rsid w:val="00B862BE"/>
    <w:rsid w:val="00B863B8"/>
    <w:rsid w:val="00B86417"/>
    <w:rsid w:val="00B8675A"/>
    <w:rsid w:val="00B86892"/>
    <w:rsid w:val="00B86B5B"/>
    <w:rsid w:val="00B86C0D"/>
    <w:rsid w:val="00B86D04"/>
    <w:rsid w:val="00B87121"/>
    <w:rsid w:val="00B873F4"/>
    <w:rsid w:val="00B875E7"/>
    <w:rsid w:val="00B87D93"/>
    <w:rsid w:val="00B87E3E"/>
    <w:rsid w:val="00B87FAE"/>
    <w:rsid w:val="00B905C6"/>
    <w:rsid w:val="00B90801"/>
    <w:rsid w:val="00B90ADE"/>
    <w:rsid w:val="00B90B1C"/>
    <w:rsid w:val="00B90F79"/>
    <w:rsid w:val="00B91163"/>
    <w:rsid w:val="00B91286"/>
    <w:rsid w:val="00B91390"/>
    <w:rsid w:val="00B913C5"/>
    <w:rsid w:val="00B91484"/>
    <w:rsid w:val="00B91767"/>
    <w:rsid w:val="00B9181C"/>
    <w:rsid w:val="00B91B5F"/>
    <w:rsid w:val="00B91CEF"/>
    <w:rsid w:val="00B92179"/>
    <w:rsid w:val="00B924BE"/>
    <w:rsid w:val="00B926C1"/>
    <w:rsid w:val="00B92799"/>
    <w:rsid w:val="00B927E9"/>
    <w:rsid w:val="00B92973"/>
    <w:rsid w:val="00B92DBA"/>
    <w:rsid w:val="00B92DF5"/>
    <w:rsid w:val="00B92E83"/>
    <w:rsid w:val="00B93157"/>
    <w:rsid w:val="00B931C6"/>
    <w:rsid w:val="00B93244"/>
    <w:rsid w:val="00B93403"/>
    <w:rsid w:val="00B9361E"/>
    <w:rsid w:val="00B9397D"/>
    <w:rsid w:val="00B93AD8"/>
    <w:rsid w:val="00B93B87"/>
    <w:rsid w:val="00B942B7"/>
    <w:rsid w:val="00B94315"/>
    <w:rsid w:val="00B9460D"/>
    <w:rsid w:val="00B94616"/>
    <w:rsid w:val="00B94799"/>
    <w:rsid w:val="00B94DC0"/>
    <w:rsid w:val="00B95075"/>
    <w:rsid w:val="00B95099"/>
    <w:rsid w:val="00B951B1"/>
    <w:rsid w:val="00B9536D"/>
    <w:rsid w:val="00B95641"/>
    <w:rsid w:val="00B95750"/>
    <w:rsid w:val="00B95861"/>
    <w:rsid w:val="00B95EDB"/>
    <w:rsid w:val="00B95F20"/>
    <w:rsid w:val="00B95F3C"/>
    <w:rsid w:val="00B96010"/>
    <w:rsid w:val="00B96060"/>
    <w:rsid w:val="00B96138"/>
    <w:rsid w:val="00B96545"/>
    <w:rsid w:val="00B96612"/>
    <w:rsid w:val="00B96663"/>
    <w:rsid w:val="00B96701"/>
    <w:rsid w:val="00B96797"/>
    <w:rsid w:val="00B968DB"/>
    <w:rsid w:val="00B96A1C"/>
    <w:rsid w:val="00B96E82"/>
    <w:rsid w:val="00B9732D"/>
    <w:rsid w:val="00B97410"/>
    <w:rsid w:val="00B97959"/>
    <w:rsid w:val="00B97A1C"/>
    <w:rsid w:val="00B97B72"/>
    <w:rsid w:val="00B97B8A"/>
    <w:rsid w:val="00B97C07"/>
    <w:rsid w:val="00B97CBE"/>
    <w:rsid w:val="00B97D7C"/>
    <w:rsid w:val="00B97DB7"/>
    <w:rsid w:val="00BA0112"/>
    <w:rsid w:val="00BA02BD"/>
    <w:rsid w:val="00BA0463"/>
    <w:rsid w:val="00BA05CE"/>
    <w:rsid w:val="00BA05DE"/>
    <w:rsid w:val="00BA05ED"/>
    <w:rsid w:val="00BA065C"/>
    <w:rsid w:val="00BA0710"/>
    <w:rsid w:val="00BA09F3"/>
    <w:rsid w:val="00BA0AA1"/>
    <w:rsid w:val="00BA0E48"/>
    <w:rsid w:val="00BA1041"/>
    <w:rsid w:val="00BA1705"/>
    <w:rsid w:val="00BA1717"/>
    <w:rsid w:val="00BA1883"/>
    <w:rsid w:val="00BA21B2"/>
    <w:rsid w:val="00BA226E"/>
    <w:rsid w:val="00BA23A1"/>
    <w:rsid w:val="00BA2443"/>
    <w:rsid w:val="00BA2602"/>
    <w:rsid w:val="00BA267F"/>
    <w:rsid w:val="00BA27E7"/>
    <w:rsid w:val="00BA27F3"/>
    <w:rsid w:val="00BA2AC9"/>
    <w:rsid w:val="00BA2AF1"/>
    <w:rsid w:val="00BA2C26"/>
    <w:rsid w:val="00BA2F09"/>
    <w:rsid w:val="00BA2F88"/>
    <w:rsid w:val="00BA3018"/>
    <w:rsid w:val="00BA307E"/>
    <w:rsid w:val="00BA30ED"/>
    <w:rsid w:val="00BA30FE"/>
    <w:rsid w:val="00BA346A"/>
    <w:rsid w:val="00BA34A7"/>
    <w:rsid w:val="00BA371D"/>
    <w:rsid w:val="00BA39D6"/>
    <w:rsid w:val="00BA39E0"/>
    <w:rsid w:val="00BA3B99"/>
    <w:rsid w:val="00BA3DB6"/>
    <w:rsid w:val="00BA4136"/>
    <w:rsid w:val="00BA4182"/>
    <w:rsid w:val="00BA44C9"/>
    <w:rsid w:val="00BA452A"/>
    <w:rsid w:val="00BA454F"/>
    <w:rsid w:val="00BA455B"/>
    <w:rsid w:val="00BA4776"/>
    <w:rsid w:val="00BA4879"/>
    <w:rsid w:val="00BA4A49"/>
    <w:rsid w:val="00BA4A7A"/>
    <w:rsid w:val="00BA4AAD"/>
    <w:rsid w:val="00BA4DA1"/>
    <w:rsid w:val="00BA4DB8"/>
    <w:rsid w:val="00BA4DFA"/>
    <w:rsid w:val="00BA4EB8"/>
    <w:rsid w:val="00BA4F44"/>
    <w:rsid w:val="00BA4FAF"/>
    <w:rsid w:val="00BA5023"/>
    <w:rsid w:val="00BA504A"/>
    <w:rsid w:val="00BA513F"/>
    <w:rsid w:val="00BA5162"/>
    <w:rsid w:val="00BA5254"/>
    <w:rsid w:val="00BA52A3"/>
    <w:rsid w:val="00BA5543"/>
    <w:rsid w:val="00BA55A1"/>
    <w:rsid w:val="00BA568F"/>
    <w:rsid w:val="00BA598A"/>
    <w:rsid w:val="00BA5ACA"/>
    <w:rsid w:val="00BA5C4B"/>
    <w:rsid w:val="00BA5DA2"/>
    <w:rsid w:val="00BA5EFC"/>
    <w:rsid w:val="00BA5F59"/>
    <w:rsid w:val="00BA5F78"/>
    <w:rsid w:val="00BA5F90"/>
    <w:rsid w:val="00BA60EC"/>
    <w:rsid w:val="00BA61EE"/>
    <w:rsid w:val="00BA6283"/>
    <w:rsid w:val="00BA64A5"/>
    <w:rsid w:val="00BA655B"/>
    <w:rsid w:val="00BA6596"/>
    <w:rsid w:val="00BA6695"/>
    <w:rsid w:val="00BA66CE"/>
    <w:rsid w:val="00BA6724"/>
    <w:rsid w:val="00BA6909"/>
    <w:rsid w:val="00BA6C12"/>
    <w:rsid w:val="00BA6CD1"/>
    <w:rsid w:val="00BA708D"/>
    <w:rsid w:val="00BA70CD"/>
    <w:rsid w:val="00BA75C6"/>
    <w:rsid w:val="00BA78E0"/>
    <w:rsid w:val="00BA7941"/>
    <w:rsid w:val="00BA7993"/>
    <w:rsid w:val="00BA7E00"/>
    <w:rsid w:val="00BA7F01"/>
    <w:rsid w:val="00BB0337"/>
    <w:rsid w:val="00BB0476"/>
    <w:rsid w:val="00BB0595"/>
    <w:rsid w:val="00BB06B1"/>
    <w:rsid w:val="00BB087C"/>
    <w:rsid w:val="00BB087D"/>
    <w:rsid w:val="00BB091F"/>
    <w:rsid w:val="00BB09BA"/>
    <w:rsid w:val="00BB0C24"/>
    <w:rsid w:val="00BB0FCF"/>
    <w:rsid w:val="00BB152D"/>
    <w:rsid w:val="00BB1632"/>
    <w:rsid w:val="00BB17F5"/>
    <w:rsid w:val="00BB18E5"/>
    <w:rsid w:val="00BB1BDE"/>
    <w:rsid w:val="00BB1C48"/>
    <w:rsid w:val="00BB2135"/>
    <w:rsid w:val="00BB23D9"/>
    <w:rsid w:val="00BB2439"/>
    <w:rsid w:val="00BB2444"/>
    <w:rsid w:val="00BB262C"/>
    <w:rsid w:val="00BB26C0"/>
    <w:rsid w:val="00BB279E"/>
    <w:rsid w:val="00BB2FBD"/>
    <w:rsid w:val="00BB3269"/>
    <w:rsid w:val="00BB3299"/>
    <w:rsid w:val="00BB33F6"/>
    <w:rsid w:val="00BB34CB"/>
    <w:rsid w:val="00BB3926"/>
    <w:rsid w:val="00BB3932"/>
    <w:rsid w:val="00BB3BAC"/>
    <w:rsid w:val="00BB3E2D"/>
    <w:rsid w:val="00BB4128"/>
    <w:rsid w:val="00BB419B"/>
    <w:rsid w:val="00BB41D6"/>
    <w:rsid w:val="00BB44AF"/>
    <w:rsid w:val="00BB462E"/>
    <w:rsid w:val="00BB4960"/>
    <w:rsid w:val="00BB4A8F"/>
    <w:rsid w:val="00BB4B92"/>
    <w:rsid w:val="00BB4BA4"/>
    <w:rsid w:val="00BB4BD9"/>
    <w:rsid w:val="00BB4E4D"/>
    <w:rsid w:val="00BB50BD"/>
    <w:rsid w:val="00BB50C7"/>
    <w:rsid w:val="00BB5178"/>
    <w:rsid w:val="00BB5252"/>
    <w:rsid w:val="00BB54A8"/>
    <w:rsid w:val="00BB54B4"/>
    <w:rsid w:val="00BB5987"/>
    <w:rsid w:val="00BB5A10"/>
    <w:rsid w:val="00BB5B77"/>
    <w:rsid w:val="00BB5C05"/>
    <w:rsid w:val="00BB5C55"/>
    <w:rsid w:val="00BB5DCE"/>
    <w:rsid w:val="00BB607E"/>
    <w:rsid w:val="00BB625F"/>
    <w:rsid w:val="00BB6427"/>
    <w:rsid w:val="00BB654C"/>
    <w:rsid w:val="00BB664E"/>
    <w:rsid w:val="00BB6780"/>
    <w:rsid w:val="00BB6782"/>
    <w:rsid w:val="00BB6880"/>
    <w:rsid w:val="00BB6BC9"/>
    <w:rsid w:val="00BB6CBE"/>
    <w:rsid w:val="00BB6CDF"/>
    <w:rsid w:val="00BB6EA6"/>
    <w:rsid w:val="00BB6EA8"/>
    <w:rsid w:val="00BB706C"/>
    <w:rsid w:val="00BB714C"/>
    <w:rsid w:val="00BB7219"/>
    <w:rsid w:val="00BB7264"/>
    <w:rsid w:val="00BB77DD"/>
    <w:rsid w:val="00BB79A0"/>
    <w:rsid w:val="00BB7A63"/>
    <w:rsid w:val="00BB7BFB"/>
    <w:rsid w:val="00BB7C4C"/>
    <w:rsid w:val="00BB7DFD"/>
    <w:rsid w:val="00BB7E44"/>
    <w:rsid w:val="00BB7F91"/>
    <w:rsid w:val="00BB7FB9"/>
    <w:rsid w:val="00BC0033"/>
    <w:rsid w:val="00BC00C7"/>
    <w:rsid w:val="00BC01A4"/>
    <w:rsid w:val="00BC0407"/>
    <w:rsid w:val="00BC05A8"/>
    <w:rsid w:val="00BC0605"/>
    <w:rsid w:val="00BC0651"/>
    <w:rsid w:val="00BC07A3"/>
    <w:rsid w:val="00BC094C"/>
    <w:rsid w:val="00BC0A2B"/>
    <w:rsid w:val="00BC0AD5"/>
    <w:rsid w:val="00BC0E3D"/>
    <w:rsid w:val="00BC0F96"/>
    <w:rsid w:val="00BC111F"/>
    <w:rsid w:val="00BC11CE"/>
    <w:rsid w:val="00BC1387"/>
    <w:rsid w:val="00BC1409"/>
    <w:rsid w:val="00BC17C2"/>
    <w:rsid w:val="00BC17E8"/>
    <w:rsid w:val="00BC1B7C"/>
    <w:rsid w:val="00BC2246"/>
    <w:rsid w:val="00BC2331"/>
    <w:rsid w:val="00BC28C9"/>
    <w:rsid w:val="00BC2B70"/>
    <w:rsid w:val="00BC2B81"/>
    <w:rsid w:val="00BC2C9F"/>
    <w:rsid w:val="00BC2D33"/>
    <w:rsid w:val="00BC3045"/>
    <w:rsid w:val="00BC316A"/>
    <w:rsid w:val="00BC34B1"/>
    <w:rsid w:val="00BC380F"/>
    <w:rsid w:val="00BC3881"/>
    <w:rsid w:val="00BC3A54"/>
    <w:rsid w:val="00BC3B9D"/>
    <w:rsid w:val="00BC3E1B"/>
    <w:rsid w:val="00BC3E4B"/>
    <w:rsid w:val="00BC3F08"/>
    <w:rsid w:val="00BC435C"/>
    <w:rsid w:val="00BC4555"/>
    <w:rsid w:val="00BC4622"/>
    <w:rsid w:val="00BC4638"/>
    <w:rsid w:val="00BC47C3"/>
    <w:rsid w:val="00BC4C05"/>
    <w:rsid w:val="00BC4C94"/>
    <w:rsid w:val="00BC4CF8"/>
    <w:rsid w:val="00BC4E6C"/>
    <w:rsid w:val="00BC4FF8"/>
    <w:rsid w:val="00BC5136"/>
    <w:rsid w:val="00BC5545"/>
    <w:rsid w:val="00BC554B"/>
    <w:rsid w:val="00BC5703"/>
    <w:rsid w:val="00BC591B"/>
    <w:rsid w:val="00BC5A1F"/>
    <w:rsid w:val="00BC5C0B"/>
    <w:rsid w:val="00BC5E7D"/>
    <w:rsid w:val="00BC5E87"/>
    <w:rsid w:val="00BC5FE0"/>
    <w:rsid w:val="00BC605B"/>
    <w:rsid w:val="00BC60B2"/>
    <w:rsid w:val="00BC633E"/>
    <w:rsid w:val="00BC64FE"/>
    <w:rsid w:val="00BC660E"/>
    <w:rsid w:val="00BC6730"/>
    <w:rsid w:val="00BC6756"/>
    <w:rsid w:val="00BC677C"/>
    <w:rsid w:val="00BC68A3"/>
    <w:rsid w:val="00BC6A07"/>
    <w:rsid w:val="00BC6A18"/>
    <w:rsid w:val="00BC6A81"/>
    <w:rsid w:val="00BC6AA4"/>
    <w:rsid w:val="00BC6AC5"/>
    <w:rsid w:val="00BC6B86"/>
    <w:rsid w:val="00BC6C66"/>
    <w:rsid w:val="00BC6C9C"/>
    <w:rsid w:val="00BC6D03"/>
    <w:rsid w:val="00BC6ECE"/>
    <w:rsid w:val="00BC6FA7"/>
    <w:rsid w:val="00BC7028"/>
    <w:rsid w:val="00BC727B"/>
    <w:rsid w:val="00BC72F4"/>
    <w:rsid w:val="00BC74F8"/>
    <w:rsid w:val="00BC7540"/>
    <w:rsid w:val="00BC7893"/>
    <w:rsid w:val="00BC78DD"/>
    <w:rsid w:val="00BC7B43"/>
    <w:rsid w:val="00BC7BCB"/>
    <w:rsid w:val="00BC7BD6"/>
    <w:rsid w:val="00BC7E70"/>
    <w:rsid w:val="00BC7ECF"/>
    <w:rsid w:val="00BD00FE"/>
    <w:rsid w:val="00BD0203"/>
    <w:rsid w:val="00BD0325"/>
    <w:rsid w:val="00BD04D4"/>
    <w:rsid w:val="00BD066E"/>
    <w:rsid w:val="00BD06EA"/>
    <w:rsid w:val="00BD0739"/>
    <w:rsid w:val="00BD086F"/>
    <w:rsid w:val="00BD097B"/>
    <w:rsid w:val="00BD0E7B"/>
    <w:rsid w:val="00BD0F47"/>
    <w:rsid w:val="00BD0F53"/>
    <w:rsid w:val="00BD100E"/>
    <w:rsid w:val="00BD1045"/>
    <w:rsid w:val="00BD13A9"/>
    <w:rsid w:val="00BD1441"/>
    <w:rsid w:val="00BD15CA"/>
    <w:rsid w:val="00BD164C"/>
    <w:rsid w:val="00BD1809"/>
    <w:rsid w:val="00BD1864"/>
    <w:rsid w:val="00BD191E"/>
    <w:rsid w:val="00BD1F55"/>
    <w:rsid w:val="00BD1FDE"/>
    <w:rsid w:val="00BD2406"/>
    <w:rsid w:val="00BD26B7"/>
    <w:rsid w:val="00BD26FD"/>
    <w:rsid w:val="00BD2745"/>
    <w:rsid w:val="00BD2771"/>
    <w:rsid w:val="00BD2823"/>
    <w:rsid w:val="00BD283D"/>
    <w:rsid w:val="00BD286A"/>
    <w:rsid w:val="00BD2A5B"/>
    <w:rsid w:val="00BD2AFA"/>
    <w:rsid w:val="00BD2B13"/>
    <w:rsid w:val="00BD2D5E"/>
    <w:rsid w:val="00BD30FC"/>
    <w:rsid w:val="00BD313B"/>
    <w:rsid w:val="00BD31EE"/>
    <w:rsid w:val="00BD32F2"/>
    <w:rsid w:val="00BD3452"/>
    <w:rsid w:val="00BD3560"/>
    <w:rsid w:val="00BD3687"/>
    <w:rsid w:val="00BD37A5"/>
    <w:rsid w:val="00BD3866"/>
    <w:rsid w:val="00BD3A11"/>
    <w:rsid w:val="00BD3B3B"/>
    <w:rsid w:val="00BD3B98"/>
    <w:rsid w:val="00BD416F"/>
    <w:rsid w:val="00BD4182"/>
    <w:rsid w:val="00BD4436"/>
    <w:rsid w:val="00BD4452"/>
    <w:rsid w:val="00BD4859"/>
    <w:rsid w:val="00BD4962"/>
    <w:rsid w:val="00BD4A65"/>
    <w:rsid w:val="00BD4CAC"/>
    <w:rsid w:val="00BD4FC1"/>
    <w:rsid w:val="00BD515F"/>
    <w:rsid w:val="00BD52BA"/>
    <w:rsid w:val="00BD539C"/>
    <w:rsid w:val="00BD543C"/>
    <w:rsid w:val="00BD5737"/>
    <w:rsid w:val="00BD57E4"/>
    <w:rsid w:val="00BD59E3"/>
    <w:rsid w:val="00BD5A62"/>
    <w:rsid w:val="00BD5CE3"/>
    <w:rsid w:val="00BD60D4"/>
    <w:rsid w:val="00BD63F3"/>
    <w:rsid w:val="00BD6402"/>
    <w:rsid w:val="00BD645A"/>
    <w:rsid w:val="00BD66A4"/>
    <w:rsid w:val="00BD684E"/>
    <w:rsid w:val="00BD6983"/>
    <w:rsid w:val="00BD6B93"/>
    <w:rsid w:val="00BD6C1F"/>
    <w:rsid w:val="00BD6DA4"/>
    <w:rsid w:val="00BD7085"/>
    <w:rsid w:val="00BD73F2"/>
    <w:rsid w:val="00BD741F"/>
    <w:rsid w:val="00BD75AB"/>
    <w:rsid w:val="00BD75EC"/>
    <w:rsid w:val="00BD7667"/>
    <w:rsid w:val="00BD773D"/>
    <w:rsid w:val="00BD780A"/>
    <w:rsid w:val="00BD79B8"/>
    <w:rsid w:val="00BD7A3F"/>
    <w:rsid w:val="00BD7AF1"/>
    <w:rsid w:val="00BD7D9F"/>
    <w:rsid w:val="00BD7E55"/>
    <w:rsid w:val="00BD7EC7"/>
    <w:rsid w:val="00BD7EDB"/>
    <w:rsid w:val="00BE0392"/>
    <w:rsid w:val="00BE044A"/>
    <w:rsid w:val="00BE04AE"/>
    <w:rsid w:val="00BE0525"/>
    <w:rsid w:val="00BE0577"/>
    <w:rsid w:val="00BE0702"/>
    <w:rsid w:val="00BE0776"/>
    <w:rsid w:val="00BE0785"/>
    <w:rsid w:val="00BE0A45"/>
    <w:rsid w:val="00BE0A98"/>
    <w:rsid w:val="00BE0D36"/>
    <w:rsid w:val="00BE111D"/>
    <w:rsid w:val="00BE1135"/>
    <w:rsid w:val="00BE131A"/>
    <w:rsid w:val="00BE132B"/>
    <w:rsid w:val="00BE13C5"/>
    <w:rsid w:val="00BE14EC"/>
    <w:rsid w:val="00BE1831"/>
    <w:rsid w:val="00BE19AF"/>
    <w:rsid w:val="00BE1A83"/>
    <w:rsid w:val="00BE1CAF"/>
    <w:rsid w:val="00BE1DAE"/>
    <w:rsid w:val="00BE1FCE"/>
    <w:rsid w:val="00BE268E"/>
    <w:rsid w:val="00BE28D8"/>
    <w:rsid w:val="00BE2980"/>
    <w:rsid w:val="00BE2BE5"/>
    <w:rsid w:val="00BE3670"/>
    <w:rsid w:val="00BE3798"/>
    <w:rsid w:val="00BE38CA"/>
    <w:rsid w:val="00BE3991"/>
    <w:rsid w:val="00BE405D"/>
    <w:rsid w:val="00BE415B"/>
    <w:rsid w:val="00BE4175"/>
    <w:rsid w:val="00BE439C"/>
    <w:rsid w:val="00BE43DC"/>
    <w:rsid w:val="00BE443F"/>
    <w:rsid w:val="00BE4AD9"/>
    <w:rsid w:val="00BE4B05"/>
    <w:rsid w:val="00BE4BB7"/>
    <w:rsid w:val="00BE4E06"/>
    <w:rsid w:val="00BE4FEC"/>
    <w:rsid w:val="00BE51D1"/>
    <w:rsid w:val="00BE53D3"/>
    <w:rsid w:val="00BE54FE"/>
    <w:rsid w:val="00BE5603"/>
    <w:rsid w:val="00BE560D"/>
    <w:rsid w:val="00BE561A"/>
    <w:rsid w:val="00BE57ED"/>
    <w:rsid w:val="00BE5871"/>
    <w:rsid w:val="00BE598B"/>
    <w:rsid w:val="00BE5B1B"/>
    <w:rsid w:val="00BE5C31"/>
    <w:rsid w:val="00BE5E36"/>
    <w:rsid w:val="00BE5F09"/>
    <w:rsid w:val="00BE5F42"/>
    <w:rsid w:val="00BE5FCA"/>
    <w:rsid w:val="00BE62EF"/>
    <w:rsid w:val="00BE672B"/>
    <w:rsid w:val="00BE6921"/>
    <w:rsid w:val="00BE69DD"/>
    <w:rsid w:val="00BE6B99"/>
    <w:rsid w:val="00BE6EB4"/>
    <w:rsid w:val="00BE7030"/>
    <w:rsid w:val="00BE70E4"/>
    <w:rsid w:val="00BE71A6"/>
    <w:rsid w:val="00BE73B7"/>
    <w:rsid w:val="00BE7624"/>
    <w:rsid w:val="00BE7783"/>
    <w:rsid w:val="00BE77E9"/>
    <w:rsid w:val="00BE78A5"/>
    <w:rsid w:val="00BE7935"/>
    <w:rsid w:val="00BE7A74"/>
    <w:rsid w:val="00BE7B4B"/>
    <w:rsid w:val="00BE7C80"/>
    <w:rsid w:val="00BF00B5"/>
    <w:rsid w:val="00BF0341"/>
    <w:rsid w:val="00BF03FD"/>
    <w:rsid w:val="00BF05D2"/>
    <w:rsid w:val="00BF0607"/>
    <w:rsid w:val="00BF08DE"/>
    <w:rsid w:val="00BF0B70"/>
    <w:rsid w:val="00BF1058"/>
    <w:rsid w:val="00BF1087"/>
    <w:rsid w:val="00BF16A2"/>
    <w:rsid w:val="00BF174B"/>
    <w:rsid w:val="00BF18CF"/>
    <w:rsid w:val="00BF1C82"/>
    <w:rsid w:val="00BF1E0F"/>
    <w:rsid w:val="00BF1E93"/>
    <w:rsid w:val="00BF2263"/>
    <w:rsid w:val="00BF2376"/>
    <w:rsid w:val="00BF24CC"/>
    <w:rsid w:val="00BF24E6"/>
    <w:rsid w:val="00BF24F3"/>
    <w:rsid w:val="00BF26E7"/>
    <w:rsid w:val="00BF2C24"/>
    <w:rsid w:val="00BF30C4"/>
    <w:rsid w:val="00BF3296"/>
    <w:rsid w:val="00BF32F3"/>
    <w:rsid w:val="00BF332D"/>
    <w:rsid w:val="00BF33A6"/>
    <w:rsid w:val="00BF33AF"/>
    <w:rsid w:val="00BF3618"/>
    <w:rsid w:val="00BF37E0"/>
    <w:rsid w:val="00BF38E7"/>
    <w:rsid w:val="00BF3AB5"/>
    <w:rsid w:val="00BF3B5B"/>
    <w:rsid w:val="00BF3BB1"/>
    <w:rsid w:val="00BF3CE0"/>
    <w:rsid w:val="00BF3E1A"/>
    <w:rsid w:val="00BF3E4F"/>
    <w:rsid w:val="00BF3EC8"/>
    <w:rsid w:val="00BF4281"/>
    <w:rsid w:val="00BF42FA"/>
    <w:rsid w:val="00BF433A"/>
    <w:rsid w:val="00BF436C"/>
    <w:rsid w:val="00BF4429"/>
    <w:rsid w:val="00BF4431"/>
    <w:rsid w:val="00BF4ADE"/>
    <w:rsid w:val="00BF4FFD"/>
    <w:rsid w:val="00BF5139"/>
    <w:rsid w:val="00BF5245"/>
    <w:rsid w:val="00BF5277"/>
    <w:rsid w:val="00BF53CA"/>
    <w:rsid w:val="00BF55A3"/>
    <w:rsid w:val="00BF5AC4"/>
    <w:rsid w:val="00BF5BD8"/>
    <w:rsid w:val="00BF5BEF"/>
    <w:rsid w:val="00BF5CBA"/>
    <w:rsid w:val="00BF5EF9"/>
    <w:rsid w:val="00BF6114"/>
    <w:rsid w:val="00BF6397"/>
    <w:rsid w:val="00BF658E"/>
    <w:rsid w:val="00BF67E7"/>
    <w:rsid w:val="00BF6960"/>
    <w:rsid w:val="00BF6AF6"/>
    <w:rsid w:val="00BF6B77"/>
    <w:rsid w:val="00BF6BF3"/>
    <w:rsid w:val="00BF6E63"/>
    <w:rsid w:val="00BF6E78"/>
    <w:rsid w:val="00BF6FE2"/>
    <w:rsid w:val="00BF74FE"/>
    <w:rsid w:val="00BF7563"/>
    <w:rsid w:val="00BF75E9"/>
    <w:rsid w:val="00BF7813"/>
    <w:rsid w:val="00BF790E"/>
    <w:rsid w:val="00BF792E"/>
    <w:rsid w:val="00BF79AC"/>
    <w:rsid w:val="00BF7B18"/>
    <w:rsid w:val="00BF7E3E"/>
    <w:rsid w:val="00BF7ED9"/>
    <w:rsid w:val="00BF7EE1"/>
    <w:rsid w:val="00C00004"/>
    <w:rsid w:val="00C00025"/>
    <w:rsid w:val="00C00192"/>
    <w:rsid w:val="00C00A00"/>
    <w:rsid w:val="00C00AD7"/>
    <w:rsid w:val="00C00C88"/>
    <w:rsid w:val="00C01050"/>
    <w:rsid w:val="00C0133D"/>
    <w:rsid w:val="00C013B5"/>
    <w:rsid w:val="00C01595"/>
    <w:rsid w:val="00C017E5"/>
    <w:rsid w:val="00C0185D"/>
    <w:rsid w:val="00C01AE1"/>
    <w:rsid w:val="00C0202A"/>
    <w:rsid w:val="00C020E2"/>
    <w:rsid w:val="00C021E0"/>
    <w:rsid w:val="00C02647"/>
    <w:rsid w:val="00C02DA8"/>
    <w:rsid w:val="00C02F6B"/>
    <w:rsid w:val="00C02F73"/>
    <w:rsid w:val="00C03043"/>
    <w:rsid w:val="00C031E4"/>
    <w:rsid w:val="00C0352A"/>
    <w:rsid w:val="00C035C2"/>
    <w:rsid w:val="00C0364C"/>
    <w:rsid w:val="00C037C9"/>
    <w:rsid w:val="00C03874"/>
    <w:rsid w:val="00C0399E"/>
    <w:rsid w:val="00C039A7"/>
    <w:rsid w:val="00C039B8"/>
    <w:rsid w:val="00C03A4D"/>
    <w:rsid w:val="00C03B5F"/>
    <w:rsid w:val="00C043C0"/>
    <w:rsid w:val="00C047D0"/>
    <w:rsid w:val="00C04804"/>
    <w:rsid w:val="00C04948"/>
    <w:rsid w:val="00C04A17"/>
    <w:rsid w:val="00C04B78"/>
    <w:rsid w:val="00C04CE4"/>
    <w:rsid w:val="00C04DFE"/>
    <w:rsid w:val="00C0545A"/>
    <w:rsid w:val="00C054C9"/>
    <w:rsid w:val="00C057A3"/>
    <w:rsid w:val="00C05880"/>
    <w:rsid w:val="00C059B2"/>
    <w:rsid w:val="00C05C6B"/>
    <w:rsid w:val="00C05D38"/>
    <w:rsid w:val="00C05DB4"/>
    <w:rsid w:val="00C0613C"/>
    <w:rsid w:val="00C06181"/>
    <w:rsid w:val="00C061C7"/>
    <w:rsid w:val="00C063AB"/>
    <w:rsid w:val="00C06468"/>
    <w:rsid w:val="00C068B0"/>
    <w:rsid w:val="00C069E2"/>
    <w:rsid w:val="00C06C9F"/>
    <w:rsid w:val="00C06DC8"/>
    <w:rsid w:val="00C06F6E"/>
    <w:rsid w:val="00C07030"/>
    <w:rsid w:val="00C0709D"/>
    <w:rsid w:val="00C0713B"/>
    <w:rsid w:val="00C073BB"/>
    <w:rsid w:val="00C0760E"/>
    <w:rsid w:val="00C076B2"/>
    <w:rsid w:val="00C076DB"/>
    <w:rsid w:val="00C07AD3"/>
    <w:rsid w:val="00C07C11"/>
    <w:rsid w:val="00C07D3F"/>
    <w:rsid w:val="00C07E8F"/>
    <w:rsid w:val="00C100AC"/>
    <w:rsid w:val="00C1016C"/>
    <w:rsid w:val="00C103FF"/>
    <w:rsid w:val="00C10482"/>
    <w:rsid w:val="00C10747"/>
    <w:rsid w:val="00C10784"/>
    <w:rsid w:val="00C10831"/>
    <w:rsid w:val="00C10AF0"/>
    <w:rsid w:val="00C10FC8"/>
    <w:rsid w:val="00C11184"/>
    <w:rsid w:val="00C11236"/>
    <w:rsid w:val="00C11311"/>
    <w:rsid w:val="00C11481"/>
    <w:rsid w:val="00C11535"/>
    <w:rsid w:val="00C11604"/>
    <w:rsid w:val="00C117BC"/>
    <w:rsid w:val="00C11995"/>
    <w:rsid w:val="00C11A89"/>
    <w:rsid w:val="00C11BCB"/>
    <w:rsid w:val="00C11BF9"/>
    <w:rsid w:val="00C11CB8"/>
    <w:rsid w:val="00C11F42"/>
    <w:rsid w:val="00C12047"/>
    <w:rsid w:val="00C1221B"/>
    <w:rsid w:val="00C1234A"/>
    <w:rsid w:val="00C123C3"/>
    <w:rsid w:val="00C124EC"/>
    <w:rsid w:val="00C1251B"/>
    <w:rsid w:val="00C1278C"/>
    <w:rsid w:val="00C128AE"/>
    <w:rsid w:val="00C12A60"/>
    <w:rsid w:val="00C12B8F"/>
    <w:rsid w:val="00C12DEC"/>
    <w:rsid w:val="00C12F47"/>
    <w:rsid w:val="00C131B1"/>
    <w:rsid w:val="00C1338E"/>
    <w:rsid w:val="00C1345D"/>
    <w:rsid w:val="00C134F5"/>
    <w:rsid w:val="00C13757"/>
    <w:rsid w:val="00C137C0"/>
    <w:rsid w:val="00C13A53"/>
    <w:rsid w:val="00C13C51"/>
    <w:rsid w:val="00C13C6B"/>
    <w:rsid w:val="00C13D66"/>
    <w:rsid w:val="00C13D9C"/>
    <w:rsid w:val="00C13DBC"/>
    <w:rsid w:val="00C1414E"/>
    <w:rsid w:val="00C142FB"/>
    <w:rsid w:val="00C14327"/>
    <w:rsid w:val="00C144F9"/>
    <w:rsid w:val="00C14549"/>
    <w:rsid w:val="00C14815"/>
    <w:rsid w:val="00C1499A"/>
    <w:rsid w:val="00C14B52"/>
    <w:rsid w:val="00C14B84"/>
    <w:rsid w:val="00C14D96"/>
    <w:rsid w:val="00C14E7E"/>
    <w:rsid w:val="00C15081"/>
    <w:rsid w:val="00C152CC"/>
    <w:rsid w:val="00C153CD"/>
    <w:rsid w:val="00C15483"/>
    <w:rsid w:val="00C154C5"/>
    <w:rsid w:val="00C156A0"/>
    <w:rsid w:val="00C15AD5"/>
    <w:rsid w:val="00C15E32"/>
    <w:rsid w:val="00C15E6E"/>
    <w:rsid w:val="00C15EE4"/>
    <w:rsid w:val="00C15F34"/>
    <w:rsid w:val="00C160D0"/>
    <w:rsid w:val="00C16100"/>
    <w:rsid w:val="00C1618B"/>
    <w:rsid w:val="00C1680E"/>
    <w:rsid w:val="00C16A25"/>
    <w:rsid w:val="00C16A96"/>
    <w:rsid w:val="00C16DB4"/>
    <w:rsid w:val="00C16ED2"/>
    <w:rsid w:val="00C16F64"/>
    <w:rsid w:val="00C1704E"/>
    <w:rsid w:val="00C170B9"/>
    <w:rsid w:val="00C170D0"/>
    <w:rsid w:val="00C1717B"/>
    <w:rsid w:val="00C1718F"/>
    <w:rsid w:val="00C17290"/>
    <w:rsid w:val="00C17654"/>
    <w:rsid w:val="00C176B4"/>
    <w:rsid w:val="00C17EDD"/>
    <w:rsid w:val="00C17F55"/>
    <w:rsid w:val="00C20284"/>
    <w:rsid w:val="00C20588"/>
    <w:rsid w:val="00C20653"/>
    <w:rsid w:val="00C206C9"/>
    <w:rsid w:val="00C20801"/>
    <w:rsid w:val="00C20808"/>
    <w:rsid w:val="00C20899"/>
    <w:rsid w:val="00C20C57"/>
    <w:rsid w:val="00C20EAC"/>
    <w:rsid w:val="00C21056"/>
    <w:rsid w:val="00C210D6"/>
    <w:rsid w:val="00C2125A"/>
    <w:rsid w:val="00C21344"/>
    <w:rsid w:val="00C2142D"/>
    <w:rsid w:val="00C21692"/>
    <w:rsid w:val="00C21866"/>
    <w:rsid w:val="00C2195B"/>
    <w:rsid w:val="00C21AFF"/>
    <w:rsid w:val="00C21B39"/>
    <w:rsid w:val="00C21E05"/>
    <w:rsid w:val="00C21E27"/>
    <w:rsid w:val="00C21FC3"/>
    <w:rsid w:val="00C21FCA"/>
    <w:rsid w:val="00C2200B"/>
    <w:rsid w:val="00C22043"/>
    <w:rsid w:val="00C22119"/>
    <w:rsid w:val="00C22171"/>
    <w:rsid w:val="00C225EA"/>
    <w:rsid w:val="00C225F4"/>
    <w:rsid w:val="00C2262C"/>
    <w:rsid w:val="00C22783"/>
    <w:rsid w:val="00C22A2A"/>
    <w:rsid w:val="00C22ACF"/>
    <w:rsid w:val="00C22AD9"/>
    <w:rsid w:val="00C22AFD"/>
    <w:rsid w:val="00C22BB1"/>
    <w:rsid w:val="00C22F6D"/>
    <w:rsid w:val="00C2320F"/>
    <w:rsid w:val="00C235E7"/>
    <w:rsid w:val="00C23646"/>
    <w:rsid w:val="00C2369B"/>
    <w:rsid w:val="00C237DE"/>
    <w:rsid w:val="00C23DB0"/>
    <w:rsid w:val="00C23F5D"/>
    <w:rsid w:val="00C24052"/>
    <w:rsid w:val="00C240AA"/>
    <w:rsid w:val="00C240F3"/>
    <w:rsid w:val="00C24142"/>
    <w:rsid w:val="00C243BE"/>
    <w:rsid w:val="00C243C9"/>
    <w:rsid w:val="00C24768"/>
    <w:rsid w:val="00C247B1"/>
    <w:rsid w:val="00C24876"/>
    <w:rsid w:val="00C24972"/>
    <w:rsid w:val="00C2497F"/>
    <w:rsid w:val="00C24A65"/>
    <w:rsid w:val="00C24D7F"/>
    <w:rsid w:val="00C24DFB"/>
    <w:rsid w:val="00C2523B"/>
    <w:rsid w:val="00C253A3"/>
    <w:rsid w:val="00C257EA"/>
    <w:rsid w:val="00C259DC"/>
    <w:rsid w:val="00C25AC6"/>
    <w:rsid w:val="00C25B2D"/>
    <w:rsid w:val="00C25B63"/>
    <w:rsid w:val="00C25DFC"/>
    <w:rsid w:val="00C25F30"/>
    <w:rsid w:val="00C25FE0"/>
    <w:rsid w:val="00C2680B"/>
    <w:rsid w:val="00C26C0A"/>
    <w:rsid w:val="00C26D87"/>
    <w:rsid w:val="00C26ECB"/>
    <w:rsid w:val="00C26F01"/>
    <w:rsid w:val="00C27280"/>
    <w:rsid w:val="00C272D1"/>
    <w:rsid w:val="00C27711"/>
    <w:rsid w:val="00C27746"/>
    <w:rsid w:val="00C27968"/>
    <w:rsid w:val="00C27A7C"/>
    <w:rsid w:val="00C27C03"/>
    <w:rsid w:val="00C27C49"/>
    <w:rsid w:val="00C27DDE"/>
    <w:rsid w:val="00C27F14"/>
    <w:rsid w:val="00C3016C"/>
    <w:rsid w:val="00C3022C"/>
    <w:rsid w:val="00C30253"/>
    <w:rsid w:val="00C302D3"/>
    <w:rsid w:val="00C30556"/>
    <w:rsid w:val="00C30677"/>
    <w:rsid w:val="00C30993"/>
    <w:rsid w:val="00C30B21"/>
    <w:rsid w:val="00C30B9C"/>
    <w:rsid w:val="00C30EF0"/>
    <w:rsid w:val="00C30EF3"/>
    <w:rsid w:val="00C30FAF"/>
    <w:rsid w:val="00C31021"/>
    <w:rsid w:val="00C310E8"/>
    <w:rsid w:val="00C310F5"/>
    <w:rsid w:val="00C31193"/>
    <w:rsid w:val="00C3133F"/>
    <w:rsid w:val="00C314EA"/>
    <w:rsid w:val="00C316B4"/>
    <w:rsid w:val="00C317F6"/>
    <w:rsid w:val="00C31998"/>
    <w:rsid w:val="00C3199D"/>
    <w:rsid w:val="00C31A4C"/>
    <w:rsid w:val="00C31A58"/>
    <w:rsid w:val="00C32084"/>
    <w:rsid w:val="00C320A7"/>
    <w:rsid w:val="00C321F9"/>
    <w:rsid w:val="00C3232F"/>
    <w:rsid w:val="00C3240C"/>
    <w:rsid w:val="00C32538"/>
    <w:rsid w:val="00C32C2F"/>
    <w:rsid w:val="00C32DEA"/>
    <w:rsid w:val="00C32EE7"/>
    <w:rsid w:val="00C33180"/>
    <w:rsid w:val="00C33193"/>
    <w:rsid w:val="00C33345"/>
    <w:rsid w:val="00C33384"/>
    <w:rsid w:val="00C33389"/>
    <w:rsid w:val="00C33798"/>
    <w:rsid w:val="00C3389E"/>
    <w:rsid w:val="00C33996"/>
    <w:rsid w:val="00C33A67"/>
    <w:rsid w:val="00C33AED"/>
    <w:rsid w:val="00C33BCD"/>
    <w:rsid w:val="00C33D5E"/>
    <w:rsid w:val="00C33F5D"/>
    <w:rsid w:val="00C3401C"/>
    <w:rsid w:val="00C344E4"/>
    <w:rsid w:val="00C344E6"/>
    <w:rsid w:val="00C3483C"/>
    <w:rsid w:val="00C34A36"/>
    <w:rsid w:val="00C34B39"/>
    <w:rsid w:val="00C34B7B"/>
    <w:rsid w:val="00C34EE5"/>
    <w:rsid w:val="00C3503D"/>
    <w:rsid w:val="00C35665"/>
    <w:rsid w:val="00C357E9"/>
    <w:rsid w:val="00C35868"/>
    <w:rsid w:val="00C358AC"/>
    <w:rsid w:val="00C35A1A"/>
    <w:rsid w:val="00C35A88"/>
    <w:rsid w:val="00C35ADF"/>
    <w:rsid w:val="00C35B0F"/>
    <w:rsid w:val="00C35B35"/>
    <w:rsid w:val="00C35F6F"/>
    <w:rsid w:val="00C361D4"/>
    <w:rsid w:val="00C362E8"/>
    <w:rsid w:val="00C3651A"/>
    <w:rsid w:val="00C3667B"/>
    <w:rsid w:val="00C36756"/>
    <w:rsid w:val="00C36B34"/>
    <w:rsid w:val="00C36EF5"/>
    <w:rsid w:val="00C37093"/>
    <w:rsid w:val="00C37305"/>
    <w:rsid w:val="00C3748F"/>
    <w:rsid w:val="00C37724"/>
    <w:rsid w:val="00C37A5E"/>
    <w:rsid w:val="00C37CED"/>
    <w:rsid w:val="00C37D56"/>
    <w:rsid w:val="00C401A5"/>
    <w:rsid w:val="00C40622"/>
    <w:rsid w:val="00C4062A"/>
    <w:rsid w:val="00C406C7"/>
    <w:rsid w:val="00C4089B"/>
    <w:rsid w:val="00C4091B"/>
    <w:rsid w:val="00C4092D"/>
    <w:rsid w:val="00C40AE3"/>
    <w:rsid w:val="00C40B88"/>
    <w:rsid w:val="00C40D2A"/>
    <w:rsid w:val="00C40D4E"/>
    <w:rsid w:val="00C40DAE"/>
    <w:rsid w:val="00C411DA"/>
    <w:rsid w:val="00C412F8"/>
    <w:rsid w:val="00C414E0"/>
    <w:rsid w:val="00C415C2"/>
    <w:rsid w:val="00C416D9"/>
    <w:rsid w:val="00C4187A"/>
    <w:rsid w:val="00C41A6D"/>
    <w:rsid w:val="00C41ABB"/>
    <w:rsid w:val="00C41B59"/>
    <w:rsid w:val="00C41C22"/>
    <w:rsid w:val="00C41E16"/>
    <w:rsid w:val="00C41EC0"/>
    <w:rsid w:val="00C41F13"/>
    <w:rsid w:val="00C4203A"/>
    <w:rsid w:val="00C42063"/>
    <w:rsid w:val="00C42068"/>
    <w:rsid w:val="00C42599"/>
    <w:rsid w:val="00C42682"/>
    <w:rsid w:val="00C426AB"/>
    <w:rsid w:val="00C427AA"/>
    <w:rsid w:val="00C42999"/>
    <w:rsid w:val="00C429DF"/>
    <w:rsid w:val="00C42C93"/>
    <w:rsid w:val="00C42CD9"/>
    <w:rsid w:val="00C42CFC"/>
    <w:rsid w:val="00C42E86"/>
    <w:rsid w:val="00C42EAD"/>
    <w:rsid w:val="00C42F0A"/>
    <w:rsid w:val="00C42F29"/>
    <w:rsid w:val="00C42F77"/>
    <w:rsid w:val="00C43175"/>
    <w:rsid w:val="00C431E3"/>
    <w:rsid w:val="00C43276"/>
    <w:rsid w:val="00C43A16"/>
    <w:rsid w:val="00C43A5F"/>
    <w:rsid w:val="00C43B8C"/>
    <w:rsid w:val="00C43E5D"/>
    <w:rsid w:val="00C44022"/>
    <w:rsid w:val="00C440AE"/>
    <w:rsid w:val="00C44189"/>
    <w:rsid w:val="00C4441D"/>
    <w:rsid w:val="00C4452B"/>
    <w:rsid w:val="00C445C0"/>
    <w:rsid w:val="00C44632"/>
    <w:rsid w:val="00C446F7"/>
    <w:rsid w:val="00C44713"/>
    <w:rsid w:val="00C44B01"/>
    <w:rsid w:val="00C44B79"/>
    <w:rsid w:val="00C44F01"/>
    <w:rsid w:val="00C45058"/>
    <w:rsid w:val="00C45249"/>
    <w:rsid w:val="00C4544E"/>
    <w:rsid w:val="00C455D8"/>
    <w:rsid w:val="00C458BF"/>
    <w:rsid w:val="00C458D2"/>
    <w:rsid w:val="00C45B07"/>
    <w:rsid w:val="00C45BE9"/>
    <w:rsid w:val="00C4625A"/>
    <w:rsid w:val="00C4653A"/>
    <w:rsid w:val="00C466FA"/>
    <w:rsid w:val="00C46973"/>
    <w:rsid w:val="00C46ABE"/>
    <w:rsid w:val="00C46AE0"/>
    <w:rsid w:val="00C46D45"/>
    <w:rsid w:val="00C471AC"/>
    <w:rsid w:val="00C472C2"/>
    <w:rsid w:val="00C473B1"/>
    <w:rsid w:val="00C473C9"/>
    <w:rsid w:val="00C47400"/>
    <w:rsid w:val="00C474CD"/>
    <w:rsid w:val="00C474F3"/>
    <w:rsid w:val="00C475F3"/>
    <w:rsid w:val="00C47773"/>
    <w:rsid w:val="00C47998"/>
    <w:rsid w:val="00C47DFB"/>
    <w:rsid w:val="00C50240"/>
    <w:rsid w:val="00C50324"/>
    <w:rsid w:val="00C503E5"/>
    <w:rsid w:val="00C50436"/>
    <w:rsid w:val="00C506C0"/>
    <w:rsid w:val="00C50793"/>
    <w:rsid w:val="00C50850"/>
    <w:rsid w:val="00C50AA5"/>
    <w:rsid w:val="00C51048"/>
    <w:rsid w:val="00C5128E"/>
    <w:rsid w:val="00C5133C"/>
    <w:rsid w:val="00C5136A"/>
    <w:rsid w:val="00C51433"/>
    <w:rsid w:val="00C5145F"/>
    <w:rsid w:val="00C51610"/>
    <w:rsid w:val="00C51800"/>
    <w:rsid w:val="00C5182E"/>
    <w:rsid w:val="00C51B7C"/>
    <w:rsid w:val="00C51BA4"/>
    <w:rsid w:val="00C51C62"/>
    <w:rsid w:val="00C51CFE"/>
    <w:rsid w:val="00C52006"/>
    <w:rsid w:val="00C521CB"/>
    <w:rsid w:val="00C5237E"/>
    <w:rsid w:val="00C523C2"/>
    <w:rsid w:val="00C525BD"/>
    <w:rsid w:val="00C52613"/>
    <w:rsid w:val="00C528B1"/>
    <w:rsid w:val="00C528E7"/>
    <w:rsid w:val="00C5295A"/>
    <w:rsid w:val="00C52CED"/>
    <w:rsid w:val="00C52D8B"/>
    <w:rsid w:val="00C52D91"/>
    <w:rsid w:val="00C52E72"/>
    <w:rsid w:val="00C53020"/>
    <w:rsid w:val="00C53022"/>
    <w:rsid w:val="00C530FA"/>
    <w:rsid w:val="00C5351D"/>
    <w:rsid w:val="00C53768"/>
    <w:rsid w:val="00C537C6"/>
    <w:rsid w:val="00C539B6"/>
    <w:rsid w:val="00C539DF"/>
    <w:rsid w:val="00C53AF8"/>
    <w:rsid w:val="00C53C71"/>
    <w:rsid w:val="00C53EE8"/>
    <w:rsid w:val="00C53F69"/>
    <w:rsid w:val="00C5414E"/>
    <w:rsid w:val="00C541AC"/>
    <w:rsid w:val="00C541F1"/>
    <w:rsid w:val="00C54403"/>
    <w:rsid w:val="00C5441C"/>
    <w:rsid w:val="00C5444D"/>
    <w:rsid w:val="00C544F0"/>
    <w:rsid w:val="00C54979"/>
    <w:rsid w:val="00C54A84"/>
    <w:rsid w:val="00C54AE0"/>
    <w:rsid w:val="00C54B31"/>
    <w:rsid w:val="00C54BC4"/>
    <w:rsid w:val="00C54CD6"/>
    <w:rsid w:val="00C54E89"/>
    <w:rsid w:val="00C54E9C"/>
    <w:rsid w:val="00C54F1F"/>
    <w:rsid w:val="00C54FAC"/>
    <w:rsid w:val="00C54FD3"/>
    <w:rsid w:val="00C55055"/>
    <w:rsid w:val="00C55083"/>
    <w:rsid w:val="00C550CD"/>
    <w:rsid w:val="00C5516F"/>
    <w:rsid w:val="00C551C0"/>
    <w:rsid w:val="00C551FB"/>
    <w:rsid w:val="00C5522F"/>
    <w:rsid w:val="00C552A5"/>
    <w:rsid w:val="00C55578"/>
    <w:rsid w:val="00C557D5"/>
    <w:rsid w:val="00C55976"/>
    <w:rsid w:val="00C559CA"/>
    <w:rsid w:val="00C55A9C"/>
    <w:rsid w:val="00C55BB3"/>
    <w:rsid w:val="00C55BE8"/>
    <w:rsid w:val="00C55D9B"/>
    <w:rsid w:val="00C55E15"/>
    <w:rsid w:val="00C560EB"/>
    <w:rsid w:val="00C56230"/>
    <w:rsid w:val="00C562A0"/>
    <w:rsid w:val="00C56350"/>
    <w:rsid w:val="00C564E4"/>
    <w:rsid w:val="00C56B41"/>
    <w:rsid w:val="00C56D34"/>
    <w:rsid w:val="00C56DD0"/>
    <w:rsid w:val="00C56E16"/>
    <w:rsid w:val="00C56F72"/>
    <w:rsid w:val="00C57043"/>
    <w:rsid w:val="00C570A4"/>
    <w:rsid w:val="00C57110"/>
    <w:rsid w:val="00C57160"/>
    <w:rsid w:val="00C572C9"/>
    <w:rsid w:val="00C57827"/>
    <w:rsid w:val="00C57A31"/>
    <w:rsid w:val="00C57BA1"/>
    <w:rsid w:val="00C57C5A"/>
    <w:rsid w:val="00C57CCA"/>
    <w:rsid w:val="00C57D5A"/>
    <w:rsid w:val="00C57E84"/>
    <w:rsid w:val="00C600BA"/>
    <w:rsid w:val="00C601E4"/>
    <w:rsid w:val="00C602DE"/>
    <w:rsid w:val="00C6066D"/>
    <w:rsid w:val="00C608AB"/>
    <w:rsid w:val="00C609AB"/>
    <w:rsid w:val="00C61016"/>
    <w:rsid w:val="00C6141B"/>
    <w:rsid w:val="00C61745"/>
    <w:rsid w:val="00C61811"/>
    <w:rsid w:val="00C61856"/>
    <w:rsid w:val="00C619E8"/>
    <w:rsid w:val="00C61A07"/>
    <w:rsid w:val="00C61DE7"/>
    <w:rsid w:val="00C61F90"/>
    <w:rsid w:val="00C6228C"/>
    <w:rsid w:val="00C624C1"/>
    <w:rsid w:val="00C624D8"/>
    <w:rsid w:val="00C6258C"/>
    <w:rsid w:val="00C6260E"/>
    <w:rsid w:val="00C627D6"/>
    <w:rsid w:val="00C62A04"/>
    <w:rsid w:val="00C62B3F"/>
    <w:rsid w:val="00C62BA3"/>
    <w:rsid w:val="00C62D76"/>
    <w:rsid w:val="00C62D7B"/>
    <w:rsid w:val="00C62E0F"/>
    <w:rsid w:val="00C62E69"/>
    <w:rsid w:val="00C62E76"/>
    <w:rsid w:val="00C630A9"/>
    <w:rsid w:val="00C630DA"/>
    <w:rsid w:val="00C6335C"/>
    <w:rsid w:val="00C633D3"/>
    <w:rsid w:val="00C639A0"/>
    <w:rsid w:val="00C63A0E"/>
    <w:rsid w:val="00C63AF0"/>
    <w:rsid w:val="00C63B0B"/>
    <w:rsid w:val="00C63BE1"/>
    <w:rsid w:val="00C63BE9"/>
    <w:rsid w:val="00C63E5D"/>
    <w:rsid w:val="00C63E98"/>
    <w:rsid w:val="00C63F14"/>
    <w:rsid w:val="00C63FD9"/>
    <w:rsid w:val="00C641AA"/>
    <w:rsid w:val="00C64232"/>
    <w:rsid w:val="00C644FA"/>
    <w:rsid w:val="00C645D9"/>
    <w:rsid w:val="00C64758"/>
    <w:rsid w:val="00C64B03"/>
    <w:rsid w:val="00C64B67"/>
    <w:rsid w:val="00C65015"/>
    <w:rsid w:val="00C650AF"/>
    <w:rsid w:val="00C652A5"/>
    <w:rsid w:val="00C6552E"/>
    <w:rsid w:val="00C6581E"/>
    <w:rsid w:val="00C65933"/>
    <w:rsid w:val="00C6595A"/>
    <w:rsid w:val="00C65B1F"/>
    <w:rsid w:val="00C65E95"/>
    <w:rsid w:val="00C6619F"/>
    <w:rsid w:val="00C66251"/>
    <w:rsid w:val="00C66490"/>
    <w:rsid w:val="00C666E4"/>
    <w:rsid w:val="00C667AE"/>
    <w:rsid w:val="00C668BB"/>
    <w:rsid w:val="00C66921"/>
    <w:rsid w:val="00C66A19"/>
    <w:rsid w:val="00C66B68"/>
    <w:rsid w:val="00C66BD3"/>
    <w:rsid w:val="00C67341"/>
    <w:rsid w:val="00C6746E"/>
    <w:rsid w:val="00C674A1"/>
    <w:rsid w:val="00C67504"/>
    <w:rsid w:val="00C678D0"/>
    <w:rsid w:val="00C67954"/>
    <w:rsid w:val="00C67A59"/>
    <w:rsid w:val="00C67B55"/>
    <w:rsid w:val="00C67D45"/>
    <w:rsid w:val="00C70199"/>
    <w:rsid w:val="00C70233"/>
    <w:rsid w:val="00C70295"/>
    <w:rsid w:val="00C702B2"/>
    <w:rsid w:val="00C702E1"/>
    <w:rsid w:val="00C70373"/>
    <w:rsid w:val="00C703A8"/>
    <w:rsid w:val="00C703CF"/>
    <w:rsid w:val="00C70A6F"/>
    <w:rsid w:val="00C70BA1"/>
    <w:rsid w:val="00C70CFD"/>
    <w:rsid w:val="00C70E68"/>
    <w:rsid w:val="00C70F5C"/>
    <w:rsid w:val="00C70F6B"/>
    <w:rsid w:val="00C711B2"/>
    <w:rsid w:val="00C71240"/>
    <w:rsid w:val="00C71560"/>
    <w:rsid w:val="00C715C8"/>
    <w:rsid w:val="00C71700"/>
    <w:rsid w:val="00C7187C"/>
    <w:rsid w:val="00C718F0"/>
    <w:rsid w:val="00C71DD1"/>
    <w:rsid w:val="00C71E59"/>
    <w:rsid w:val="00C7202A"/>
    <w:rsid w:val="00C7208E"/>
    <w:rsid w:val="00C721C8"/>
    <w:rsid w:val="00C72563"/>
    <w:rsid w:val="00C7278E"/>
    <w:rsid w:val="00C72AD4"/>
    <w:rsid w:val="00C72C17"/>
    <w:rsid w:val="00C72DF1"/>
    <w:rsid w:val="00C72EDC"/>
    <w:rsid w:val="00C72FEF"/>
    <w:rsid w:val="00C73125"/>
    <w:rsid w:val="00C73174"/>
    <w:rsid w:val="00C731F0"/>
    <w:rsid w:val="00C73357"/>
    <w:rsid w:val="00C733B8"/>
    <w:rsid w:val="00C7347E"/>
    <w:rsid w:val="00C73656"/>
    <w:rsid w:val="00C73685"/>
    <w:rsid w:val="00C737D1"/>
    <w:rsid w:val="00C7385D"/>
    <w:rsid w:val="00C73C4F"/>
    <w:rsid w:val="00C73FDE"/>
    <w:rsid w:val="00C74023"/>
    <w:rsid w:val="00C742FE"/>
    <w:rsid w:val="00C743F1"/>
    <w:rsid w:val="00C74524"/>
    <w:rsid w:val="00C746B9"/>
    <w:rsid w:val="00C749C1"/>
    <w:rsid w:val="00C74A93"/>
    <w:rsid w:val="00C74AB5"/>
    <w:rsid w:val="00C74ACA"/>
    <w:rsid w:val="00C74F57"/>
    <w:rsid w:val="00C74FBE"/>
    <w:rsid w:val="00C75364"/>
    <w:rsid w:val="00C753C2"/>
    <w:rsid w:val="00C75680"/>
    <w:rsid w:val="00C7596A"/>
    <w:rsid w:val="00C75A85"/>
    <w:rsid w:val="00C75DE0"/>
    <w:rsid w:val="00C75FD9"/>
    <w:rsid w:val="00C760F6"/>
    <w:rsid w:val="00C76193"/>
    <w:rsid w:val="00C761DF"/>
    <w:rsid w:val="00C762A0"/>
    <w:rsid w:val="00C763DB"/>
    <w:rsid w:val="00C76654"/>
    <w:rsid w:val="00C769D5"/>
    <w:rsid w:val="00C76AAE"/>
    <w:rsid w:val="00C76AAF"/>
    <w:rsid w:val="00C76C1E"/>
    <w:rsid w:val="00C76C91"/>
    <w:rsid w:val="00C76D43"/>
    <w:rsid w:val="00C76E95"/>
    <w:rsid w:val="00C76F9D"/>
    <w:rsid w:val="00C76FB2"/>
    <w:rsid w:val="00C770BC"/>
    <w:rsid w:val="00C77539"/>
    <w:rsid w:val="00C77739"/>
    <w:rsid w:val="00C777DD"/>
    <w:rsid w:val="00C7791A"/>
    <w:rsid w:val="00C77CA1"/>
    <w:rsid w:val="00C77D52"/>
    <w:rsid w:val="00C80044"/>
    <w:rsid w:val="00C800BC"/>
    <w:rsid w:val="00C80114"/>
    <w:rsid w:val="00C80245"/>
    <w:rsid w:val="00C80309"/>
    <w:rsid w:val="00C804BB"/>
    <w:rsid w:val="00C80964"/>
    <w:rsid w:val="00C80973"/>
    <w:rsid w:val="00C809F2"/>
    <w:rsid w:val="00C80A12"/>
    <w:rsid w:val="00C80ABC"/>
    <w:rsid w:val="00C80BAF"/>
    <w:rsid w:val="00C80BDA"/>
    <w:rsid w:val="00C80FA4"/>
    <w:rsid w:val="00C80FB4"/>
    <w:rsid w:val="00C80FB5"/>
    <w:rsid w:val="00C8108E"/>
    <w:rsid w:val="00C811F4"/>
    <w:rsid w:val="00C81342"/>
    <w:rsid w:val="00C816D8"/>
    <w:rsid w:val="00C8187B"/>
    <w:rsid w:val="00C81A00"/>
    <w:rsid w:val="00C81BD0"/>
    <w:rsid w:val="00C81C2D"/>
    <w:rsid w:val="00C81C97"/>
    <w:rsid w:val="00C81CD5"/>
    <w:rsid w:val="00C81D31"/>
    <w:rsid w:val="00C81D38"/>
    <w:rsid w:val="00C81DA0"/>
    <w:rsid w:val="00C81EE9"/>
    <w:rsid w:val="00C81F7D"/>
    <w:rsid w:val="00C82122"/>
    <w:rsid w:val="00C82220"/>
    <w:rsid w:val="00C82377"/>
    <w:rsid w:val="00C8238F"/>
    <w:rsid w:val="00C823DF"/>
    <w:rsid w:val="00C82585"/>
    <w:rsid w:val="00C827AE"/>
    <w:rsid w:val="00C82C81"/>
    <w:rsid w:val="00C82ECF"/>
    <w:rsid w:val="00C82F38"/>
    <w:rsid w:val="00C830C9"/>
    <w:rsid w:val="00C831C2"/>
    <w:rsid w:val="00C83299"/>
    <w:rsid w:val="00C834FC"/>
    <w:rsid w:val="00C83724"/>
    <w:rsid w:val="00C83EAD"/>
    <w:rsid w:val="00C83EE7"/>
    <w:rsid w:val="00C84104"/>
    <w:rsid w:val="00C84336"/>
    <w:rsid w:val="00C845D7"/>
    <w:rsid w:val="00C8466A"/>
    <w:rsid w:val="00C84AAF"/>
    <w:rsid w:val="00C84BB1"/>
    <w:rsid w:val="00C84D84"/>
    <w:rsid w:val="00C84DCE"/>
    <w:rsid w:val="00C8506D"/>
    <w:rsid w:val="00C850D3"/>
    <w:rsid w:val="00C852B2"/>
    <w:rsid w:val="00C853CE"/>
    <w:rsid w:val="00C85523"/>
    <w:rsid w:val="00C855FE"/>
    <w:rsid w:val="00C8576F"/>
    <w:rsid w:val="00C857F5"/>
    <w:rsid w:val="00C8591D"/>
    <w:rsid w:val="00C85A46"/>
    <w:rsid w:val="00C85AE2"/>
    <w:rsid w:val="00C85BA9"/>
    <w:rsid w:val="00C85E25"/>
    <w:rsid w:val="00C85F53"/>
    <w:rsid w:val="00C86281"/>
    <w:rsid w:val="00C86300"/>
    <w:rsid w:val="00C86368"/>
    <w:rsid w:val="00C86400"/>
    <w:rsid w:val="00C8647B"/>
    <w:rsid w:val="00C86556"/>
    <w:rsid w:val="00C8695D"/>
    <w:rsid w:val="00C869E0"/>
    <w:rsid w:val="00C86A58"/>
    <w:rsid w:val="00C86A8C"/>
    <w:rsid w:val="00C86AB9"/>
    <w:rsid w:val="00C86BFE"/>
    <w:rsid w:val="00C86CD0"/>
    <w:rsid w:val="00C86D31"/>
    <w:rsid w:val="00C86D56"/>
    <w:rsid w:val="00C86DB2"/>
    <w:rsid w:val="00C86E2C"/>
    <w:rsid w:val="00C86E32"/>
    <w:rsid w:val="00C86F6C"/>
    <w:rsid w:val="00C87007"/>
    <w:rsid w:val="00C87064"/>
    <w:rsid w:val="00C8733C"/>
    <w:rsid w:val="00C874F1"/>
    <w:rsid w:val="00C87558"/>
    <w:rsid w:val="00C875B9"/>
    <w:rsid w:val="00C87E16"/>
    <w:rsid w:val="00C9049E"/>
    <w:rsid w:val="00C90602"/>
    <w:rsid w:val="00C90958"/>
    <w:rsid w:val="00C90997"/>
    <w:rsid w:val="00C90999"/>
    <w:rsid w:val="00C90CED"/>
    <w:rsid w:val="00C90D30"/>
    <w:rsid w:val="00C9124E"/>
    <w:rsid w:val="00C912D5"/>
    <w:rsid w:val="00C91330"/>
    <w:rsid w:val="00C9136D"/>
    <w:rsid w:val="00C918AA"/>
    <w:rsid w:val="00C91995"/>
    <w:rsid w:val="00C91C86"/>
    <w:rsid w:val="00C91D80"/>
    <w:rsid w:val="00C91E4A"/>
    <w:rsid w:val="00C91F15"/>
    <w:rsid w:val="00C9242B"/>
    <w:rsid w:val="00C92460"/>
    <w:rsid w:val="00C92807"/>
    <w:rsid w:val="00C929A9"/>
    <w:rsid w:val="00C92B39"/>
    <w:rsid w:val="00C92BA5"/>
    <w:rsid w:val="00C930FB"/>
    <w:rsid w:val="00C93346"/>
    <w:rsid w:val="00C9347D"/>
    <w:rsid w:val="00C93589"/>
    <w:rsid w:val="00C936CF"/>
    <w:rsid w:val="00C9394D"/>
    <w:rsid w:val="00C93BEC"/>
    <w:rsid w:val="00C93C5F"/>
    <w:rsid w:val="00C93D52"/>
    <w:rsid w:val="00C93D9D"/>
    <w:rsid w:val="00C93FC0"/>
    <w:rsid w:val="00C94203"/>
    <w:rsid w:val="00C94322"/>
    <w:rsid w:val="00C94983"/>
    <w:rsid w:val="00C94BCF"/>
    <w:rsid w:val="00C950A0"/>
    <w:rsid w:val="00C95135"/>
    <w:rsid w:val="00C9520A"/>
    <w:rsid w:val="00C952E2"/>
    <w:rsid w:val="00C95403"/>
    <w:rsid w:val="00C9546D"/>
    <w:rsid w:val="00C9551C"/>
    <w:rsid w:val="00C955D7"/>
    <w:rsid w:val="00C958BC"/>
    <w:rsid w:val="00C95B49"/>
    <w:rsid w:val="00C95CFE"/>
    <w:rsid w:val="00C95ECD"/>
    <w:rsid w:val="00C95F29"/>
    <w:rsid w:val="00C95FFB"/>
    <w:rsid w:val="00C9600D"/>
    <w:rsid w:val="00C962F1"/>
    <w:rsid w:val="00C96308"/>
    <w:rsid w:val="00C963B8"/>
    <w:rsid w:val="00C964D6"/>
    <w:rsid w:val="00C96642"/>
    <w:rsid w:val="00C9679F"/>
    <w:rsid w:val="00C96859"/>
    <w:rsid w:val="00C96D0D"/>
    <w:rsid w:val="00C9725E"/>
    <w:rsid w:val="00C972F9"/>
    <w:rsid w:val="00C9734D"/>
    <w:rsid w:val="00C974B6"/>
    <w:rsid w:val="00C976C7"/>
    <w:rsid w:val="00C97795"/>
    <w:rsid w:val="00C978FD"/>
    <w:rsid w:val="00C9798D"/>
    <w:rsid w:val="00C97C8D"/>
    <w:rsid w:val="00C97F61"/>
    <w:rsid w:val="00CA0021"/>
    <w:rsid w:val="00CA0043"/>
    <w:rsid w:val="00CA0170"/>
    <w:rsid w:val="00CA01E1"/>
    <w:rsid w:val="00CA043B"/>
    <w:rsid w:val="00CA078A"/>
    <w:rsid w:val="00CA0DB4"/>
    <w:rsid w:val="00CA0DCE"/>
    <w:rsid w:val="00CA0E8F"/>
    <w:rsid w:val="00CA0F19"/>
    <w:rsid w:val="00CA10C0"/>
    <w:rsid w:val="00CA1273"/>
    <w:rsid w:val="00CA1325"/>
    <w:rsid w:val="00CA151D"/>
    <w:rsid w:val="00CA17FE"/>
    <w:rsid w:val="00CA1894"/>
    <w:rsid w:val="00CA18C8"/>
    <w:rsid w:val="00CA19C6"/>
    <w:rsid w:val="00CA1A2A"/>
    <w:rsid w:val="00CA1BE9"/>
    <w:rsid w:val="00CA1E86"/>
    <w:rsid w:val="00CA1F51"/>
    <w:rsid w:val="00CA2169"/>
    <w:rsid w:val="00CA2343"/>
    <w:rsid w:val="00CA23A4"/>
    <w:rsid w:val="00CA23BE"/>
    <w:rsid w:val="00CA24B2"/>
    <w:rsid w:val="00CA2562"/>
    <w:rsid w:val="00CA260F"/>
    <w:rsid w:val="00CA278B"/>
    <w:rsid w:val="00CA27A0"/>
    <w:rsid w:val="00CA2A29"/>
    <w:rsid w:val="00CA2A49"/>
    <w:rsid w:val="00CA2D4D"/>
    <w:rsid w:val="00CA2F36"/>
    <w:rsid w:val="00CA2F68"/>
    <w:rsid w:val="00CA2FB6"/>
    <w:rsid w:val="00CA2FF9"/>
    <w:rsid w:val="00CA304A"/>
    <w:rsid w:val="00CA314D"/>
    <w:rsid w:val="00CA3841"/>
    <w:rsid w:val="00CA391B"/>
    <w:rsid w:val="00CA3A52"/>
    <w:rsid w:val="00CA3D2C"/>
    <w:rsid w:val="00CA3D9D"/>
    <w:rsid w:val="00CA3DB9"/>
    <w:rsid w:val="00CA4417"/>
    <w:rsid w:val="00CA4483"/>
    <w:rsid w:val="00CA48A7"/>
    <w:rsid w:val="00CA499A"/>
    <w:rsid w:val="00CA4C55"/>
    <w:rsid w:val="00CA5015"/>
    <w:rsid w:val="00CA516C"/>
    <w:rsid w:val="00CA53BB"/>
    <w:rsid w:val="00CA56A8"/>
    <w:rsid w:val="00CA570B"/>
    <w:rsid w:val="00CA58B3"/>
    <w:rsid w:val="00CA5908"/>
    <w:rsid w:val="00CA59BD"/>
    <w:rsid w:val="00CA5A68"/>
    <w:rsid w:val="00CA5A8A"/>
    <w:rsid w:val="00CA5D08"/>
    <w:rsid w:val="00CA5F27"/>
    <w:rsid w:val="00CA5F5E"/>
    <w:rsid w:val="00CA602A"/>
    <w:rsid w:val="00CA642F"/>
    <w:rsid w:val="00CA656F"/>
    <w:rsid w:val="00CA65AC"/>
    <w:rsid w:val="00CA684A"/>
    <w:rsid w:val="00CA68ED"/>
    <w:rsid w:val="00CA6A2A"/>
    <w:rsid w:val="00CA6ACC"/>
    <w:rsid w:val="00CA6D43"/>
    <w:rsid w:val="00CA6D65"/>
    <w:rsid w:val="00CA6DC1"/>
    <w:rsid w:val="00CA6EDC"/>
    <w:rsid w:val="00CA71FA"/>
    <w:rsid w:val="00CA71FD"/>
    <w:rsid w:val="00CA721D"/>
    <w:rsid w:val="00CA77BF"/>
    <w:rsid w:val="00CA7849"/>
    <w:rsid w:val="00CA79FF"/>
    <w:rsid w:val="00CA7B56"/>
    <w:rsid w:val="00CA7D3B"/>
    <w:rsid w:val="00CA7D88"/>
    <w:rsid w:val="00CB016A"/>
    <w:rsid w:val="00CB0198"/>
    <w:rsid w:val="00CB0231"/>
    <w:rsid w:val="00CB0300"/>
    <w:rsid w:val="00CB0363"/>
    <w:rsid w:val="00CB05A7"/>
    <w:rsid w:val="00CB06EA"/>
    <w:rsid w:val="00CB0742"/>
    <w:rsid w:val="00CB091F"/>
    <w:rsid w:val="00CB0A11"/>
    <w:rsid w:val="00CB0C50"/>
    <w:rsid w:val="00CB0D24"/>
    <w:rsid w:val="00CB0D4B"/>
    <w:rsid w:val="00CB0E4A"/>
    <w:rsid w:val="00CB0ED8"/>
    <w:rsid w:val="00CB1008"/>
    <w:rsid w:val="00CB1313"/>
    <w:rsid w:val="00CB1533"/>
    <w:rsid w:val="00CB1A0A"/>
    <w:rsid w:val="00CB1A40"/>
    <w:rsid w:val="00CB1C03"/>
    <w:rsid w:val="00CB1FCA"/>
    <w:rsid w:val="00CB200B"/>
    <w:rsid w:val="00CB2039"/>
    <w:rsid w:val="00CB20B0"/>
    <w:rsid w:val="00CB222B"/>
    <w:rsid w:val="00CB2318"/>
    <w:rsid w:val="00CB23E3"/>
    <w:rsid w:val="00CB255E"/>
    <w:rsid w:val="00CB2658"/>
    <w:rsid w:val="00CB2901"/>
    <w:rsid w:val="00CB29CC"/>
    <w:rsid w:val="00CB2BE2"/>
    <w:rsid w:val="00CB2CD0"/>
    <w:rsid w:val="00CB2F19"/>
    <w:rsid w:val="00CB2F34"/>
    <w:rsid w:val="00CB2F38"/>
    <w:rsid w:val="00CB2F47"/>
    <w:rsid w:val="00CB2F8A"/>
    <w:rsid w:val="00CB2FCC"/>
    <w:rsid w:val="00CB3308"/>
    <w:rsid w:val="00CB3566"/>
    <w:rsid w:val="00CB3579"/>
    <w:rsid w:val="00CB3690"/>
    <w:rsid w:val="00CB37E3"/>
    <w:rsid w:val="00CB3816"/>
    <w:rsid w:val="00CB38B2"/>
    <w:rsid w:val="00CB38C4"/>
    <w:rsid w:val="00CB38D1"/>
    <w:rsid w:val="00CB3B52"/>
    <w:rsid w:val="00CB3D2F"/>
    <w:rsid w:val="00CB3D9C"/>
    <w:rsid w:val="00CB3DE5"/>
    <w:rsid w:val="00CB3EA4"/>
    <w:rsid w:val="00CB4006"/>
    <w:rsid w:val="00CB41F6"/>
    <w:rsid w:val="00CB4204"/>
    <w:rsid w:val="00CB421F"/>
    <w:rsid w:val="00CB42AC"/>
    <w:rsid w:val="00CB42DD"/>
    <w:rsid w:val="00CB474B"/>
    <w:rsid w:val="00CB4829"/>
    <w:rsid w:val="00CB4929"/>
    <w:rsid w:val="00CB493B"/>
    <w:rsid w:val="00CB4CA7"/>
    <w:rsid w:val="00CB4E45"/>
    <w:rsid w:val="00CB4E57"/>
    <w:rsid w:val="00CB5288"/>
    <w:rsid w:val="00CB528E"/>
    <w:rsid w:val="00CB5362"/>
    <w:rsid w:val="00CB536C"/>
    <w:rsid w:val="00CB5452"/>
    <w:rsid w:val="00CB54EE"/>
    <w:rsid w:val="00CB5622"/>
    <w:rsid w:val="00CB562D"/>
    <w:rsid w:val="00CB59D1"/>
    <w:rsid w:val="00CB5AFF"/>
    <w:rsid w:val="00CB5DBE"/>
    <w:rsid w:val="00CB5EA7"/>
    <w:rsid w:val="00CB5EC3"/>
    <w:rsid w:val="00CB5FB8"/>
    <w:rsid w:val="00CB609F"/>
    <w:rsid w:val="00CB617E"/>
    <w:rsid w:val="00CB6217"/>
    <w:rsid w:val="00CB625D"/>
    <w:rsid w:val="00CB62C7"/>
    <w:rsid w:val="00CB65D5"/>
    <w:rsid w:val="00CB66C1"/>
    <w:rsid w:val="00CB6C1B"/>
    <w:rsid w:val="00CB6CA8"/>
    <w:rsid w:val="00CB6CC3"/>
    <w:rsid w:val="00CB6D32"/>
    <w:rsid w:val="00CB6F4C"/>
    <w:rsid w:val="00CB6F6B"/>
    <w:rsid w:val="00CB7195"/>
    <w:rsid w:val="00CB726C"/>
    <w:rsid w:val="00CB74F7"/>
    <w:rsid w:val="00CB7549"/>
    <w:rsid w:val="00CB758F"/>
    <w:rsid w:val="00CB7840"/>
    <w:rsid w:val="00CB789E"/>
    <w:rsid w:val="00CB7A7C"/>
    <w:rsid w:val="00CB7FB2"/>
    <w:rsid w:val="00CC008E"/>
    <w:rsid w:val="00CC01F7"/>
    <w:rsid w:val="00CC0403"/>
    <w:rsid w:val="00CC047D"/>
    <w:rsid w:val="00CC0791"/>
    <w:rsid w:val="00CC0B33"/>
    <w:rsid w:val="00CC0B60"/>
    <w:rsid w:val="00CC0E95"/>
    <w:rsid w:val="00CC104D"/>
    <w:rsid w:val="00CC1086"/>
    <w:rsid w:val="00CC127A"/>
    <w:rsid w:val="00CC12BE"/>
    <w:rsid w:val="00CC1864"/>
    <w:rsid w:val="00CC1C21"/>
    <w:rsid w:val="00CC1C60"/>
    <w:rsid w:val="00CC2069"/>
    <w:rsid w:val="00CC2386"/>
    <w:rsid w:val="00CC241A"/>
    <w:rsid w:val="00CC2623"/>
    <w:rsid w:val="00CC287C"/>
    <w:rsid w:val="00CC2B2E"/>
    <w:rsid w:val="00CC2C15"/>
    <w:rsid w:val="00CC3379"/>
    <w:rsid w:val="00CC3405"/>
    <w:rsid w:val="00CC3783"/>
    <w:rsid w:val="00CC37AE"/>
    <w:rsid w:val="00CC37D3"/>
    <w:rsid w:val="00CC3B28"/>
    <w:rsid w:val="00CC3B9B"/>
    <w:rsid w:val="00CC3D12"/>
    <w:rsid w:val="00CC41C0"/>
    <w:rsid w:val="00CC44DF"/>
    <w:rsid w:val="00CC4559"/>
    <w:rsid w:val="00CC46B6"/>
    <w:rsid w:val="00CC47D5"/>
    <w:rsid w:val="00CC49E4"/>
    <w:rsid w:val="00CC4B3E"/>
    <w:rsid w:val="00CC4F7C"/>
    <w:rsid w:val="00CC502B"/>
    <w:rsid w:val="00CC5084"/>
    <w:rsid w:val="00CC50D0"/>
    <w:rsid w:val="00CC51C1"/>
    <w:rsid w:val="00CC54E1"/>
    <w:rsid w:val="00CC5603"/>
    <w:rsid w:val="00CC56C0"/>
    <w:rsid w:val="00CC5B42"/>
    <w:rsid w:val="00CC5BAB"/>
    <w:rsid w:val="00CC5D1B"/>
    <w:rsid w:val="00CC6117"/>
    <w:rsid w:val="00CC61CE"/>
    <w:rsid w:val="00CC6491"/>
    <w:rsid w:val="00CC66B5"/>
    <w:rsid w:val="00CC6741"/>
    <w:rsid w:val="00CC6CDA"/>
    <w:rsid w:val="00CC6DA2"/>
    <w:rsid w:val="00CC7049"/>
    <w:rsid w:val="00CC710B"/>
    <w:rsid w:val="00CC7196"/>
    <w:rsid w:val="00CC7278"/>
    <w:rsid w:val="00CC7476"/>
    <w:rsid w:val="00CC7498"/>
    <w:rsid w:val="00CC7A1E"/>
    <w:rsid w:val="00CC7B7C"/>
    <w:rsid w:val="00CC7E4C"/>
    <w:rsid w:val="00CC7F35"/>
    <w:rsid w:val="00CD05AC"/>
    <w:rsid w:val="00CD088B"/>
    <w:rsid w:val="00CD08F3"/>
    <w:rsid w:val="00CD0C88"/>
    <w:rsid w:val="00CD0F1D"/>
    <w:rsid w:val="00CD0FA0"/>
    <w:rsid w:val="00CD130D"/>
    <w:rsid w:val="00CD1324"/>
    <w:rsid w:val="00CD1562"/>
    <w:rsid w:val="00CD1592"/>
    <w:rsid w:val="00CD15E7"/>
    <w:rsid w:val="00CD1631"/>
    <w:rsid w:val="00CD16B8"/>
    <w:rsid w:val="00CD17F2"/>
    <w:rsid w:val="00CD1BE3"/>
    <w:rsid w:val="00CD1E26"/>
    <w:rsid w:val="00CD1EF2"/>
    <w:rsid w:val="00CD204A"/>
    <w:rsid w:val="00CD246E"/>
    <w:rsid w:val="00CD249A"/>
    <w:rsid w:val="00CD26EF"/>
    <w:rsid w:val="00CD2803"/>
    <w:rsid w:val="00CD294C"/>
    <w:rsid w:val="00CD298E"/>
    <w:rsid w:val="00CD2A57"/>
    <w:rsid w:val="00CD2B75"/>
    <w:rsid w:val="00CD2E00"/>
    <w:rsid w:val="00CD2E04"/>
    <w:rsid w:val="00CD2EBF"/>
    <w:rsid w:val="00CD3122"/>
    <w:rsid w:val="00CD31CE"/>
    <w:rsid w:val="00CD33E1"/>
    <w:rsid w:val="00CD354C"/>
    <w:rsid w:val="00CD3706"/>
    <w:rsid w:val="00CD3920"/>
    <w:rsid w:val="00CD3A2D"/>
    <w:rsid w:val="00CD3A41"/>
    <w:rsid w:val="00CD3A7F"/>
    <w:rsid w:val="00CD3AD9"/>
    <w:rsid w:val="00CD3E23"/>
    <w:rsid w:val="00CD3FBB"/>
    <w:rsid w:val="00CD404E"/>
    <w:rsid w:val="00CD407F"/>
    <w:rsid w:val="00CD4778"/>
    <w:rsid w:val="00CD47C8"/>
    <w:rsid w:val="00CD47D6"/>
    <w:rsid w:val="00CD4818"/>
    <w:rsid w:val="00CD483E"/>
    <w:rsid w:val="00CD4D81"/>
    <w:rsid w:val="00CD4D86"/>
    <w:rsid w:val="00CD4DE2"/>
    <w:rsid w:val="00CD4F1D"/>
    <w:rsid w:val="00CD5076"/>
    <w:rsid w:val="00CD5140"/>
    <w:rsid w:val="00CD51A8"/>
    <w:rsid w:val="00CD54DC"/>
    <w:rsid w:val="00CD55F0"/>
    <w:rsid w:val="00CD578C"/>
    <w:rsid w:val="00CD583E"/>
    <w:rsid w:val="00CD5979"/>
    <w:rsid w:val="00CD5AAF"/>
    <w:rsid w:val="00CD5AFE"/>
    <w:rsid w:val="00CD5CE4"/>
    <w:rsid w:val="00CD5D0A"/>
    <w:rsid w:val="00CD5E83"/>
    <w:rsid w:val="00CD5F69"/>
    <w:rsid w:val="00CD6055"/>
    <w:rsid w:val="00CD63EF"/>
    <w:rsid w:val="00CD6A6C"/>
    <w:rsid w:val="00CD6ACE"/>
    <w:rsid w:val="00CD6B6A"/>
    <w:rsid w:val="00CD6C4E"/>
    <w:rsid w:val="00CD6DC4"/>
    <w:rsid w:val="00CD6FBB"/>
    <w:rsid w:val="00CD6FCD"/>
    <w:rsid w:val="00CD71EE"/>
    <w:rsid w:val="00CD7521"/>
    <w:rsid w:val="00CD75B4"/>
    <w:rsid w:val="00CD7943"/>
    <w:rsid w:val="00CD7B38"/>
    <w:rsid w:val="00CD7DEE"/>
    <w:rsid w:val="00CE0148"/>
    <w:rsid w:val="00CE028F"/>
    <w:rsid w:val="00CE030E"/>
    <w:rsid w:val="00CE04EB"/>
    <w:rsid w:val="00CE061A"/>
    <w:rsid w:val="00CE06ED"/>
    <w:rsid w:val="00CE0707"/>
    <w:rsid w:val="00CE0711"/>
    <w:rsid w:val="00CE07A6"/>
    <w:rsid w:val="00CE0A73"/>
    <w:rsid w:val="00CE0C11"/>
    <w:rsid w:val="00CE108F"/>
    <w:rsid w:val="00CE1133"/>
    <w:rsid w:val="00CE1332"/>
    <w:rsid w:val="00CE14ED"/>
    <w:rsid w:val="00CE160E"/>
    <w:rsid w:val="00CE163A"/>
    <w:rsid w:val="00CE167D"/>
    <w:rsid w:val="00CE1ABC"/>
    <w:rsid w:val="00CE1B21"/>
    <w:rsid w:val="00CE1BBB"/>
    <w:rsid w:val="00CE1C90"/>
    <w:rsid w:val="00CE1F0E"/>
    <w:rsid w:val="00CE2056"/>
    <w:rsid w:val="00CE2069"/>
    <w:rsid w:val="00CE2126"/>
    <w:rsid w:val="00CE219F"/>
    <w:rsid w:val="00CE22C2"/>
    <w:rsid w:val="00CE23BF"/>
    <w:rsid w:val="00CE25AE"/>
    <w:rsid w:val="00CE2799"/>
    <w:rsid w:val="00CE27FC"/>
    <w:rsid w:val="00CE291C"/>
    <w:rsid w:val="00CE2925"/>
    <w:rsid w:val="00CE29A7"/>
    <w:rsid w:val="00CE2A30"/>
    <w:rsid w:val="00CE2B3F"/>
    <w:rsid w:val="00CE2B57"/>
    <w:rsid w:val="00CE2CCE"/>
    <w:rsid w:val="00CE2E00"/>
    <w:rsid w:val="00CE2F57"/>
    <w:rsid w:val="00CE31BE"/>
    <w:rsid w:val="00CE320F"/>
    <w:rsid w:val="00CE3809"/>
    <w:rsid w:val="00CE38BD"/>
    <w:rsid w:val="00CE3A22"/>
    <w:rsid w:val="00CE3A97"/>
    <w:rsid w:val="00CE3AD7"/>
    <w:rsid w:val="00CE3D8A"/>
    <w:rsid w:val="00CE3DEC"/>
    <w:rsid w:val="00CE3F1B"/>
    <w:rsid w:val="00CE3FE9"/>
    <w:rsid w:val="00CE40D4"/>
    <w:rsid w:val="00CE4324"/>
    <w:rsid w:val="00CE4345"/>
    <w:rsid w:val="00CE456B"/>
    <w:rsid w:val="00CE46CE"/>
    <w:rsid w:val="00CE4914"/>
    <w:rsid w:val="00CE4B9D"/>
    <w:rsid w:val="00CE4BD9"/>
    <w:rsid w:val="00CE4F0E"/>
    <w:rsid w:val="00CE512B"/>
    <w:rsid w:val="00CE5484"/>
    <w:rsid w:val="00CE55C7"/>
    <w:rsid w:val="00CE5711"/>
    <w:rsid w:val="00CE587B"/>
    <w:rsid w:val="00CE5A81"/>
    <w:rsid w:val="00CE5AEB"/>
    <w:rsid w:val="00CE5F43"/>
    <w:rsid w:val="00CE5FA1"/>
    <w:rsid w:val="00CE61A7"/>
    <w:rsid w:val="00CE61B0"/>
    <w:rsid w:val="00CE625D"/>
    <w:rsid w:val="00CE6422"/>
    <w:rsid w:val="00CE642C"/>
    <w:rsid w:val="00CE66C8"/>
    <w:rsid w:val="00CE6726"/>
    <w:rsid w:val="00CE6835"/>
    <w:rsid w:val="00CE6916"/>
    <w:rsid w:val="00CE6B96"/>
    <w:rsid w:val="00CE6BC5"/>
    <w:rsid w:val="00CE6D6C"/>
    <w:rsid w:val="00CE705F"/>
    <w:rsid w:val="00CE70F5"/>
    <w:rsid w:val="00CE7263"/>
    <w:rsid w:val="00CE7794"/>
    <w:rsid w:val="00CE77C3"/>
    <w:rsid w:val="00CE77F1"/>
    <w:rsid w:val="00CE7B4B"/>
    <w:rsid w:val="00CE7C8B"/>
    <w:rsid w:val="00CE7D03"/>
    <w:rsid w:val="00CE7D72"/>
    <w:rsid w:val="00CE7F42"/>
    <w:rsid w:val="00CF01C3"/>
    <w:rsid w:val="00CF01F4"/>
    <w:rsid w:val="00CF02F5"/>
    <w:rsid w:val="00CF0326"/>
    <w:rsid w:val="00CF033A"/>
    <w:rsid w:val="00CF046F"/>
    <w:rsid w:val="00CF066C"/>
    <w:rsid w:val="00CF066E"/>
    <w:rsid w:val="00CF08B7"/>
    <w:rsid w:val="00CF1080"/>
    <w:rsid w:val="00CF11C1"/>
    <w:rsid w:val="00CF122C"/>
    <w:rsid w:val="00CF1369"/>
    <w:rsid w:val="00CF1427"/>
    <w:rsid w:val="00CF14E1"/>
    <w:rsid w:val="00CF178C"/>
    <w:rsid w:val="00CF1923"/>
    <w:rsid w:val="00CF19F3"/>
    <w:rsid w:val="00CF1B88"/>
    <w:rsid w:val="00CF1DF2"/>
    <w:rsid w:val="00CF1E3F"/>
    <w:rsid w:val="00CF20F5"/>
    <w:rsid w:val="00CF221D"/>
    <w:rsid w:val="00CF2468"/>
    <w:rsid w:val="00CF2588"/>
    <w:rsid w:val="00CF262C"/>
    <w:rsid w:val="00CF27D9"/>
    <w:rsid w:val="00CF29F8"/>
    <w:rsid w:val="00CF2ADD"/>
    <w:rsid w:val="00CF2C18"/>
    <w:rsid w:val="00CF2D92"/>
    <w:rsid w:val="00CF2F63"/>
    <w:rsid w:val="00CF3034"/>
    <w:rsid w:val="00CF305C"/>
    <w:rsid w:val="00CF319A"/>
    <w:rsid w:val="00CF325E"/>
    <w:rsid w:val="00CF33DF"/>
    <w:rsid w:val="00CF3610"/>
    <w:rsid w:val="00CF375D"/>
    <w:rsid w:val="00CF394E"/>
    <w:rsid w:val="00CF3A1B"/>
    <w:rsid w:val="00CF3C14"/>
    <w:rsid w:val="00CF3F3B"/>
    <w:rsid w:val="00CF403B"/>
    <w:rsid w:val="00CF4372"/>
    <w:rsid w:val="00CF4401"/>
    <w:rsid w:val="00CF4419"/>
    <w:rsid w:val="00CF46AB"/>
    <w:rsid w:val="00CF477F"/>
    <w:rsid w:val="00CF47A2"/>
    <w:rsid w:val="00CF482A"/>
    <w:rsid w:val="00CF4987"/>
    <w:rsid w:val="00CF4993"/>
    <w:rsid w:val="00CF4AD9"/>
    <w:rsid w:val="00CF4C34"/>
    <w:rsid w:val="00CF4F6E"/>
    <w:rsid w:val="00CF507E"/>
    <w:rsid w:val="00CF51EF"/>
    <w:rsid w:val="00CF532D"/>
    <w:rsid w:val="00CF547E"/>
    <w:rsid w:val="00CF572A"/>
    <w:rsid w:val="00CF5A2A"/>
    <w:rsid w:val="00CF5A40"/>
    <w:rsid w:val="00CF5B30"/>
    <w:rsid w:val="00CF5B5A"/>
    <w:rsid w:val="00CF5B73"/>
    <w:rsid w:val="00CF5C01"/>
    <w:rsid w:val="00CF5DA1"/>
    <w:rsid w:val="00CF5F76"/>
    <w:rsid w:val="00CF5FA2"/>
    <w:rsid w:val="00CF625A"/>
    <w:rsid w:val="00CF632A"/>
    <w:rsid w:val="00CF640B"/>
    <w:rsid w:val="00CF64B3"/>
    <w:rsid w:val="00CF6709"/>
    <w:rsid w:val="00CF674C"/>
    <w:rsid w:val="00CF68EC"/>
    <w:rsid w:val="00CF69E5"/>
    <w:rsid w:val="00CF6A9E"/>
    <w:rsid w:val="00CF6D20"/>
    <w:rsid w:val="00CF6EC2"/>
    <w:rsid w:val="00CF6EE3"/>
    <w:rsid w:val="00CF6F6A"/>
    <w:rsid w:val="00CF6F82"/>
    <w:rsid w:val="00CF700A"/>
    <w:rsid w:val="00CF7094"/>
    <w:rsid w:val="00CF7235"/>
    <w:rsid w:val="00CF72A8"/>
    <w:rsid w:val="00CF73B2"/>
    <w:rsid w:val="00CF73BA"/>
    <w:rsid w:val="00CF74E8"/>
    <w:rsid w:val="00CF7B61"/>
    <w:rsid w:val="00CF7B92"/>
    <w:rsid w:val="00CF7BA0"/>
    <w:rsid w:val="00CF7FA5"/>
    <w:rsid w:val="00D00637"/>
    <w:rsid w:val="00D00711"/>
    <w:rsid w:val="00D007E8"/>
    <w:rsid w:val="00D0080E"/>
    <w:rsid w:val="00D00918"/>
    <w:rsid w:val="00D009FC"/>
    <w:rsid w:val="00D00A25"/>
    <w:rsid w:val="00D00CAE"/>
    <w:rsid w:val="00D00D33"/>
    <w:rsid w:val="00D00DB6"/>
    <w:rsid w:val="00D0130B"/>
    <w:rsid w:val="00D01424"/>
    <w:rsid w:val="00D014B6"/>
    <w:rsid w:val="00D01539"/>
    <w:rsid w:val="00D01707"/>
    <w:rsid w:val="00D0171C"/>
    <w:rsid w:val="00D017A5"/>
    <w:rsid w:val="00D01CE5"/>
    <w:rsid w:val="00D01F78"/>
    <w:rsid w:val="00D02198"/>
    <w:rsid w:val="00D02449"/>
    <w:rsid w:val="00D0258C"/>
    <w:rsid w:val="00D02617"/>
    <w:rsid w:val="00D029C3"/>
    <w:rsid w:val="00D02A14"/>
    <w:rsid w:val="00D02BB7"/>
    <w:rsid w:val="00D02C17"/>
    <w:rsid w:val="00D02C6D"/>
    <w:rsid w:val="00D02CD5"/>
    <w:rsid w:val="00D02D96"/>
    <w:rsid w:val="00D02E39"/>
    <w:rsid w:val="00D02FF9"/>
    <w:rsid w:val="00D033CD"/>
    <w:rsid w:val="00D036F7"/>
    <w:rsid w:val="00D037C7"/>
    <w:rsid w:val="00D039F0"/>
    <w:rsid w:val="00D03A23"/>
    <w:rsid w:val="00D03AB8"/>
    <w:rsid w:val="00D03ADD"/>
    <w:rsid w:val="00D03B05"/>
    <w:rsid w:val="00D03B49"/>
    <w:rsid w:val="00D03BEC"/>
    <w:rsid w:val="00D03CFD"/>
    <w:rsid w:val="00D03FD4"/>
    <w:rsid w:val="00D042A0"/>
    <w:rsid w:val="00D04505"/>
    <w:rsid w:val="00D0452A"/>
    <w:rsid w:val="00D046F5"/>
    <w:rsid w:val="00D049CD"/>
    <w:rsid w:val="00D04C6C"/>
    <w:rsid w:val="00D04D30"/>
    <w:rsid w:val="00D04E38"/>
    <w:rsid w:val="00D04E7F"/>
    <w:rsid w:val="00D050E4"/>
    <w:rsid w:val="00D05145"/>
    <w:rsid w:val="00D05191"/>
    <w:rsid w:val="00D051CE"/>
    <w:rsid w:val="00D05287"/>
    <w:rsid w:val="00D053AA"/>
    <w:rsid w:val="00D056BC"/>
    <w:rsid w:val="00D05951"/>
    <w:rsid w:val="00D06234"/>
    <w:rsid w:val="00D06466"/>
    <w:rsid w:val="00D06488"/>
    <w:rsid w:val="00D068A4"/>
    <w:rsid w:val="00D06961"/>
    <w:rsid w:val="00D06BCE"/>
    <w:rsid w:val="00D06CF3"/>
    <w:rsid w:val="00D07316"/>
    <w:rsid w:val="00D07511"/>
    <w:rsid w:val="00D0759E"/>
    <w:rsid w:val="00D076D1"/>
    <w:rsid w:val="00D07911"/>
    <w:rsid w:val="00D079E8"/>
    <w:rsid w:val="00D07A14"/>
    <w:rsid w:val="00D10161"/>
    <w:rsid w:val="00D101DD"/>
    <w:rsid w:val="00D1020A"/>
    <w:rsid w:val="00D103F9"/>
    <w:rsid w:val="00D10559"/>
    <w:rsid w:val="00D109AD"/>
    <w:rsid w:val="00D10BF4"/>
    <w:rsid w:val="00D10E14"/>
    <w:rsid w:val="00D10F98"/>
    <w:rsid w:val="00D111DC"/>
    <w:rsid w:val="00D111F8"/>
    <w:rsid w:val="00D11432"/>
    <w:rsid w:val="00D1152E"/>
    <w:rsid w:val="00D115B0"/>
    <w:rsid w:val="00D11988"/>
    <w:rsid w:val="00D11A32"/>
    <w:rsid w:val="00D11A36"/>
    <w:rsid w:val="00D11A80"/>
    <w:rsid w:val="00D11B50"/>
    <w:rsid w:val="00D12193"/>
    <w:rsid w:val="00D121A8"/>
    <w:rsid w:val="00D12329"/>
    <w:rsid w:val="00D123F8"/>
    <w:rsid w:val="00D124F8"/>
    <w:rsid w:val="00D1262F"/>
    <w:rsid w:val="00D1287F"/>
    <w:rsid w:val="00D12B2D"/>
    <w:rsid w:val="00D12C32"/>
    <w:rsid w:val="00D12D4C"/>
    <w:rsid w:val="00D13688"/>
    <w:rsid w:val="00D13846"/>
    <w:rsid w:val="00D13A54"/>
    <w:rsid w:val="00D13A84"/>
    <w:rsid w:val="00D13E7F"/>
    <w:rsid w:val="00D13F3C"/>
    <w:rsid w:val="00D13F41"/>
    <w:rsid w:val="00D13FA9"/>
    <w:rsid w:val="00D14092"/>
    <w:rsid w:val="00D141FC"/>
    <w:rsid w:val="00D14385"/>
    <w:rsid w:val="00D143F4"/>
    <w:rsid w:val="00D149E0"/>
    <w:rsid w:val="00D14BC0"/>
    <w:rsid w:val="00D14CA5"/>
    <w:rsid w:val="00D14E36"/>
    <w:rsid w:val="00D1506C"/>
    <w:rsid w:val="00D1548F"/>
    <w:rsid w:val="00D15620"/>
    <w:rsid w:val="00D1574A"/>
    <w:rsid w:val="00D15852"/>
    <w:rsid w:val="00D15A15"/>
    <w:rsid w:val="00D15FC2"/>
    <w:rsid w:val="00D16343"/>
    <w:rsid w:val="00D16379"/>
    <w:rsid w:val="00D16567"/>
    <w:rsid w:val="00D165F0"/>
    <w:rsid w:val="00D1694E"/>
    <w:rsid w:val="00D1696D"/>
    <w:rsid w:val="00D16B9F"/>
    <w:rsid w:val="00D16D0B"/>
    <w:rsid w:val="00D16D7D"/>
    <w:rsid w:val="00D16DC2"/>
    <w:rsid w:val="00D16E87"/>
    <w:rsid w:val="00D16F84"/>
    <w:rsid w:val="00D17078"/>
    <w:rsid w:val="00D171F1"/>
    <w:rsid w:val="00D17307"/>
    <w:rsid w:val="00D17571"/>
    <w:rsid w:val="00D1785C"/>
    <w:rsid w:val="00D178AC"/>
    <w:rsid w:val="00D17997"/>
    <w:rsid w:val="00D179E7"/>
    <w:rsid w:val="00D17AB5"/>
    <w:rsid w:val="00D17B2B"/>
    <w:rsid w:val="00D17BC3"/>
    <w:rsid w:val="00D17BCA"/>
    <w:rsid w:val="00D17E39"/>
    <w:rsid w:val="00D17E62"/>
    <w:rsid w:val="00D17F1C"/>
    <w:rsid w:val="00D17F40"/>
    <w:rsid w:val="00D2029E"/>
    <w:rsid w:val="00D204C4"/>
    <w:rsid w:val="00D20564"/>
    <w:rsid w:val="00D205A8"/>
    <w:rsid w:val="00D20D77"/>
    <w:rsid w:val="00D21049"/>
    <w:rsid w:val="00D21097"/>
    <w:rsid w:val="00D21225"/>
    <w:rsid w:val="00D21482"/>
    <w:rsid w:val="00D2161F"/>
    <w:rsid w:val="00D21A2F"/>
    <w:rsid w:val="00D21D84"/>
    <w:rsid w:val="00D21E1D"/>
    <w:rsid w:val="00D21FA1"/>
    <w:rsid w:val="00D21FF2"/>
    <w:rsid w:val="00D223BB"/>
    <w:rsid w:val="00D22703"/>
    <w:rsid w:val="00D22B2C"/>
    <w:rsid w:val="00D22BBA"/>
    <w:rsid w:val="00D22BEC"/>
    <w:rsid w:val="00D22C90"/>
    <w:rsid w:val="00D22CC2"/>
    <w:rsid w:val="00D23048"/>
    <w:rsid w:val="00D230FF"/>
    <w:rsid w:val="00D231E9"/>
    <w:rsid w:val="00D232E3"/>
    <w:rsid w:val="00D23301"/>
    <w:rsid w:val="00D2340F"/>
    <w:rsid w:val="00D23635"/>
    <w:rsid w:val="00D2388F"/>
    <w:rsid w:val="00D23ABB"/>
    <w:rsid w:val="00D23D91"/>
    <w:rsid w:val="00D23DD5"/>
    <w:rsid w:val="00D244C8"/>
    <w:rsid w:val="00D2450B"/>
    <w:rsid w:val="00D24556"/>
    <w:rsid w:val="00D245AD"/>
    <w:rsid w:val="00D247D3"/>
    <w:rsid w:val="00D249EC"/>
    <w:rsid w:val="00D24C68"/>
    <w:rsid w:val="00D24CB9"/>
    <w:rsid w:val="00D24DE7"/>
    <w:rsid w:val="00D24E09"/>
    <w:rsid w:val="00D24EC7"/>
    <w:rsid w:val="00D24F90"/>
    <w:rsid w:val="00D25184"/>
    <w:rsid w:val="00D251DC"/>
    <w:rsid w:val="00D25422"/>
    <w:rsid w:val="00D2550A"/>
    <w:rsid w:val="00D25A2B"/>
    <w:rsid w:val="00D25AD4"/>
    <w:rsid w:val="00D25B3C"/>
    <w:rsid w:val="00D25B92"/>
    <w:rsid w:val="00D25D40"/>
    <w:rsid w:val="00D25E59"/>
    <w:rsid w:val="00D25F5A"/>
    <w:rsid w:val="00D260E2"/>
    <w:rsid w:val="00D261D6"/>
    <w:rsid w:val="00D26205"/>
    <w:rsid w:val="00D2628A"/>
    <w:rsid w:val="00D262B5"/>
    <w:rsid w:val="00D26412"/>
    <w:rsid w:val="00D26540"/>
    <w:rsid w:val="00D265C1"/>
    <w:rsid w:val="00D26715"/>
    <w:rsid w:val="00D26978"/>
    <w:rsid w:val="00D26BDD"/>
    <w:rsid w:val="00D26C4C"/>
    <w:rsid w:val="00D2702D"/>
    <w:rsid w:val="00D27410"/>
    <w:rsid w:val="00D27564"/>
    <w:rsid w:val="00D275CC"/>
    <w:rsid w:val="00D276CC"/>
    <w:rsid w:val="00D27739"/>
    <w:rsid w:val="00D2789D"/>
    <w:rsid w:val="00D27931"/>
    <w:rsid w:val="00D27942"/>
    <w:rsid w:val="00D27999"/>
    <w:rsid w:val="00D27A39"/>
    <w:rsid w:val="00D27ABD"/>
    <w:rsid w:val="00D27DB7"/>
    <w:rsid w:val="00D30006"/>
    <w:rsid w:val="00D30163"/>
    <w:rsid w:val="00D3029C"/>
    <w:rsid w:val="00D30403"/>
    <w:rsid w:val="00D3056B"/>
    <w:rsid w:val="00D30633"/>
    <w:rsid w:val="00D30634"/>
    <w:rsid w:val="00D306DC"/>
    <w:rsid w:val="00D30A2D"/>
    <w:rsid w:val="00D30B82"/>
    <w:rsid w:val="00D30BBB"/>
    <w:rsid w:val="00D30CB8"/>
    <w:rsid w:val="00D30CCC"/>
    <w:rsid w:val="00D30CF7"/>
    <w:rsid w:val="00D30DCE"/>
    <w:rsid w:val="00D31383"/>
    <w:rsid w:val="00D313AB"/>
    <w:rsid w:val="00D31510"/>
    <w:rsid w:val="00D317A3"/>
    <w:rsid w:val="00D317FE"/>
    <w:rsid w:val="00D318C9"/>
    <w:rsid w:val="00D319B2"/>
    <w:rsid w:val="00D31A32"/>
    <w:rsid w:val="00D31A49"/>
    <w:rsid w:val="00D31A8A"/>
    <w:rsid w:val="00D31DA0"/>
    <w:rsid w:val="00D31F79"/>
    <w:rsid w:val="00D31FAD"/>
    <w:rsid w:val="00D32229"/>
    <w:rsid w:val="00D3222E"/>
    <w:rsid w:val="00D322F8"/>
    <w:rsid w:val="00D323FA"/>
    <w:rsid w:val="00D32415"/>
    <w:rsid w:val="00D32437"/>
    <w:rsid w:val="00D32466"/>
    <w:rsid w:val="00D32514"/>
    <w:rsid w:val="00D3256C"/>
    <w:rsid w:val="00D32672"/>
    <w:rsid w:val="00D326E0"/>
    <w:rsid w:val="00D328A9"/>
    <w:rsid w:val="00D32A18"/>
    <w:rsid w:val="00D3309B"/>
    <w:rsid w:val="00D33143"/>
    <w:rsid w:val="00D3319E"/>
    <w:rsid w:val="00D331B8"/>
    <w:rsid w:val="00D332BE"/>
    <w:rsid w:val="00D332DD"/>
    <w:rsid w:val="00D33365"/>
    <w:rsid w:val="00D335BD"/>
    <w:rsid w:val="00D336AA"/>
    <w:rsid w:val="00D33753"/>
    <w:rsid w:val="00D33AA0"/>
    <w:rsid w:val="00D33AC0"/>
    <w:rsid w:val="00D33C60"/>
    <w:rsid w:val="00D3414E"/>
    <w:rsid w:val="00D3414F"/>
    <w:rsid w:val="00D34342"/>
    <w:rsid w:val="00D34742"/>
    <w:rsid w:val="00D3477C"/>
    <w:rsid w:val="00D34924"/>
    <w:rsid w:val="00D349BE"/>
    <w:rsid w:val="00D34D7E"/>
    <w:rsid w:val="00D34E21"/>
    <w:rsid w:val="00D34ED2"/>
    <w:rsid w:val="00D34F0E"/>
    <w:rsid w:val="00D34F40"/>
    <w:rsid w:val="00D34FDD"/>
    <w:rsid w:val="00D354DF"/>
    <w:rsid w:val="00D35726"/>
    <w:rsid w:val="00D35850"/>
    <w:rsid w:val="00D35B06"/>
    <w:rsid w:val="00D35EE1"/>
    <w:rsid w:val="00D36054"/>
    <w:rsid w:val="00D360E2"/>
    <w:rsid w:val="00D36122"/>
    <w:rsid w:val="00D36354"/>
    <w:rsid w:val="00D367BD"/>
    <w:rsid w:val="00D36A6C"/>
    <w:rsid w:val="00D36B23"/>
    <w:rsid w:val="00D36B76"/>
    <w:rsid w:val="00D36C9D"/>
    <w:rsid w:val="00D36CB2"/>
    <w:rsid w:val="00D36CF7"/>
    <w:rsid w:val="00D36F3B"/>
    <w:rsid w:val="00D36F58"/>
    <w:rsid w:val="00D36F65"/>
    <w:rsid w:val="00D372D2"/>
    <w:rsid w:val="00D37358"/>
    <w:rsid w:val="00D37510"/>
    <w:rsid w:val="00D37532"/>
    <w:rsid w:val="00D37806"/>
    <w:rsid w:val="00D37876"/>
    <w:rsid w:val="00D37C8B"/>
    <w:rsid w:val="00D37C98"/>
    <w:rsid w:val="00D37D1A"/>
    <w:rsid w:val="00D4034F"/>
    <w:rsid w:val="00D405B9"/>
    <w:rsid w:val="00D4070F"/>
    <w:rsid w:val="00D4072E"/>
    <w:rsid w:val="00D40A9C"/>
    <w:rsid w:val="00D40B6E"/>
    <w:rsid w:val="00D40D21"/>
    <w:rsid w:val="00D40E4A"/>
    <w:rsid w:val="00D40FC1"/>
    <w:rsid w:val="00D4125A"/>
    <w:rsid w:val="00D413EB"/>
    <w:rsid w:val="00D41417"/>
    <w:rsid w:val="00D41430"/>
    <w:rsid w:val="00D41745"/>
    <w:rsid w:val="00D4176F"/>
    <w:rsid w:val="00D4180B"/>
    <w:rsid w:val="00D4185C"/>
    <w:rsid w:val="00D41915"/>
    <w:rsid w:val="00D41C26"/>
    <w:rsid w:val="00D41F8D"/>
    <w:rsid w:val="00D421FF"/>
    <w:rsid w:val="00D4220D"/>
    <w:rsid w:val="00D424D8"/>
    <w:rsid w:val="00D424F1"/>
    <w:rsid w:val="00D425EA"/>
    <w:rsid w:val="00D42D4D"/>
    <w:rsid w:val="00D431D8"/>
    <w:rsid w:val="00D432EE"/>
    <w:rsid w:val="00D433A4"/>
    <w:rsid w:val="00D433D0"/>
    <w:rsid w:val="00D4356D"/>
    <w:rsid w:val="00D43662"/>
    <w:rsid w:val="00D43704"/>
    <w:rsid w:val="00D437AF"/>
    <w:rsid w:val="00D4385C"/>
    <w:rsid w:val="00D43B8B"/>
    <w:rsid w:val="00D43CE3"/>
    <w:rsid w:val="00D43D00"/>
    <w:rsid w:val="00D43D0C"/>
    <w:rsid w:val="00D43DD4"/>
    <w:rsid w:val="00D43EB3"/>
    <w:rsid w:val="00D4481B"/>
    <w:rsid w:val="00D44C82"/>
    <w:rsid w:val="00D44DE9"/>
    <w:rsid w:val="00D44E07"/>
    <w:rsid w:val="00D45036"/>
    <w:rsid w:val="00D45082"/>
    <w:rsid w:val="00D454AD"/>
    <w:rsid w:val="00D454B2"/>
    <w:rsid w:val="00D455DD"/>
    <w:rsid w:val="00D455F0"/>
    <w:rsid w:val="00D45668"/>
    <w:rsid w:val="00D456F4"/>
    <w:rsid w:val="00D457B1"/>
    <w:rsid w:val="00D4595A"/>
    <w:rsid w:val="00D45A98"/>
    <w:rsid w:val="00D45BFB"/>
    <w:rsid w:val="00D45D85"/>
    <w:rsid w:val="00D45D8C"/>
    <w:rsid w:val="00D45D9F"/>
    <w:rsid w:val="00D45EF8"/>
    <w:rsid w:val="00D45FE7"/>
    <w:rsid w:val="00D460B3"/>
    <w:rsid w:val="00D46357"/>
    <w:rsid w:val="00D465BF"/>
    <w:rsid w:val="00D46811"/>
    <w:rsid w:val="00D46817"/>
    <w:rsid w:val="00D46923"/>
    <w:rsid w:val="00D469EC"/>
    <w:rsid w:val="00D46A90"/>
    <w:rsid w:val="00D46BB8"/>
    <w:rsid w:val="00D47B17"/>
    <w:rsid w:val="00D47B60"/>
    <w:rsid w:val="00D47BFE"/>
    <w:rsid w:val="00D47CAE"/>
    <w:rsid w:val="00D47E44"/>
    <w:rsid w:val="00D47EE6"/>
    <w:rsid w:val="00D5019D"/>
    <w:rsid w:val="00D506CF"/>
    <w:rsid w:val="00D5080C"/>
    <w:rsid w:val="00D50822"/>
    <w:rsid w:val="00D50876"/>
    <w:rsid w:val="00D509B7"/>
    <w:rsid w:val="00D50A0F"/>
    <w:rsid w:val="00D50B19"/>
    <w:rsid w:val="00D50D12"/>
    <w:rsid w:val="00D50D61"/>
    <w:rsid w:val="00D5118C"/>
    <w:rsid w:val="00D51619"/>
    <w:rsid w:val="00D518EA"/>
    <w:rsid w:val="00D51C8E"/>
    <w:rsid w:val="00D51C9D"/>
    <w:rsid w:val="00D51D1B"/>
    <w:rsid w:val="00D51EAE"/>
    <w:rsid w:val="00D51F34"/>
    <w:rsid w:val="00D51FE3"/>
    <w:rsid w:val="00D52192"/>
    <w:rsid w:val="00D52194"/>
    <w:rsid w:val="00D52338"/>
    <w:rsid w:val="00D525D6"/>
    <w:rsid w:val="00D528A2"/>
    <w:rsid w:val="00D52C65"/>
    <w:rsid w:val="00D53101"/>
    <w:rsid w:val="00D53157"/>
    <w:rsid w:val="00D53374"/>
    <w:rsid w:val="00D53395"/>
    <w:rsid w:val="00D5339B"/>
    <w:rsid w:val="00D53449"/>
    <w:rsid w:val="00D53632"/>
    <w:rsid w:val="00D53B38"/>
    <w:rsid w:val="00D53C03"/>
    <w:rsid w:val="00D53F94"/>
    <w:rsid w:val="00D540BF"/>
    <w:rsid w:val="00D54167"/>
    <w:rsid w:val="00D543E5"/>
    <w:rsid w:val="00D546A7"/>
    <w:rsid w:val="00D547BD"/>
    <w:rsid w:val="00D547F4"/>
    <w:rsid w:val="00D54827"/>
    <w:rsid w:val="00D54935"/>
    <w:rsid w:val="00D549A3"/>
    <w:rsid w:val="00D54C67"/>
    <w:rsid w:val="00D54CC9"/>
    <w:rsid w:val="00D54F6B"/>
    <w:rsid w:val="00D55052"/>
    <w:rsid w:val="00D550D5"/>
    <w:rsid w:val="00D553AD"/>
    <w:rsid w:val="00D55904"/>
    <w:rsid w:val="00D5592B"/>
    <w:rsid w:val="00D55A85"/>
    <w:rsid w:val="00D55D57"/>
    <w:rsid w:val="00D55E51"/>
    <w:rsid w:val="00D56060"/>
    <w:rsid w:val="00D5608A"/>
    <w:rsid w:val="00D56181"/>
    <w:rsid w:val="00D56289"/>
    <w:rsid w:val="00D564F3"/>
    <w:rsid w:val="00D56859"/>
    <w:rsid w:val="00D56ACD"/>
    <w:rsid w:val="00D56ED7"/>
    <w:rsid w:val="00D571C4"/>
    <w:rsid w:val="00D57227"/>
    <w:rsid w:val="00D5749C"/>
    <w:rsid w:val="00D5750C"/>
    <w:rsid w:val="00D57524"/>
    <w:rsid w:val="00D578CF"/>
    <w:rsid w:val="00D57975"/>
    <w:rsid w:val="00D57A94"/>
    <w:rsid w:val="00D57BBF"/>
    <w:rsid w:val="00D60160"/>
    <w:rsid w:val="00D6036D"/>
    <w:rsid w:val="00D60371"/>
    <w:rsid w:val="00D60480"/>
    <w:rsid w:val="00D604AC"/>
    <w:rsid w:val="00D60880"/>
    <w:rsid w:val="00D60A8D"/>
    <w:rsid w:val="00D60B14"/>
    <w:rsid w:val="00D610FA"/>
    <w:rsid w:val="00D61242"/>
    <w:rsid w:val="00D612FC"/>
    <w:rsid w:val="00D613C5"/>
    <w:rsid w:val="00D61477"/>
    <w:rsid w:val="00D61669"/>
    <w:rsid w:val="00D61A62"/>
    <w:rsid w:val="00D61B23"/>
    <w:rsid w:val="00D61B78"/>
    <w:rsid w:val="00D61C33"/>
    <w:rsid w:val="00D61D62"/>
    <w:rsid w:val="00D61F42"/>
    <w:rsid w:val="00D620DE"/>
    <w:rsid w:val="00D620EC"/>
    <w:rsid w:val="00D6226A"/>
    <w:rsid w:val="00D6227E"/>
    <w:rsid w:val="00D6265F"/>
    <w:rsid w:val="00D6290A"/>
    <w:rsid w:val="00D62A9B"/>
    <w:rsid w:val="00D62CF9"/>
    <w:rsid w:val="00D62D65"/>
    <w:rsid w:val="00D62F38"/>
    <w:rsid w:val="00D63233"/>
    <w:rsid w:val="00D6380F"/>
    <w:rsid w:val="00D6387E"/>
    <w:rsid w:val="00D638E2"/>
    <w:rsid w:val="00D63C25"/>
    <w:rsid w:val="00D63CBA"/>
    <w:rsid w:val="00D641D6"/>
    <w:rsid w:val="00D645CA"/>
    <w:rsid w:val="00D649BB"/>
    <w:rsid w:val="00D64FC7"/>
    <w:rsid w:val="00D65305"/>
    <w:rsid w:val="00D65343"/>
    <w:rsid w:val="00D654AA"/>
    <w:rsid w:val="00D657FC"/>
    <w:rsid w:val="00D65B7D"/>
    <w:rsid w:val="00D65FFE"/>
    <w:rsid w:val="00D6622C"/>
    <w:rsid w:val="00D664DF"/>
    <w:rsid w:val="00D66889"/>
    <w:rsid w:val="00D66B5B"/>
    <w:rsid w:val="00D66EBF"/>
    <w:rsid w:val="00D672C3"/>
    <w:rsid w:val="00D6730D"/>
    <w:rsid w:val="00D6754B"/>
    <w:rsid w:val="00D677B7"/>
    <w:rsid w:val="00D67DD8"/>
    <w:rsid w:val="00D7025C"/>
    <w:rsid w:val="00D703D0"/>
    <w:rsid w:val="00D706A2"/>
    <w:rsid w:val="00D708FC"/>
    <w:rsid w:val="00D7097B"/>
    <w:rsid w:val="00D70A35"/>
    <w:rsid w:val="00D70AA9"/>
    <w:rsid w:val="00D70C32"/>
    <w:rsid w:val="00D70CC0"/>
    <w:rsid w:val="00D70DCB"/>
    <w:rsid w:val="00D70EA6"/>
    <w:rsid w:val="00D70F25"/>
    <w:rsid w:val="00D70FFB"/>
    <w:rsid w:val="00D7126F"/>
    <w:rsid w:val="00D7192A"/>
    <w:rsid w:val="00D7199D"/>
    <w:rsid w:val="00D71A67"/>
    <w:rsid w:val="00D71C13"/>
    <w:rsid w:val="00D71C27"/>
    <w:rsid w:val="00D71D67"/>
    <w:rsid w:val="00D71E8E"/>
    <w:rsid w:val="00D71F10"/>
    <w:rsid w:val="00D7214F"/>
    <w:rsid w:val="00D721D2"/>
    <w:rsid w:val="00D723C5"/>
    <w:rsid w:val="00D72488"/>
    <w:rsid w:val="00D7249C"/>
    <w:rsid w:val="00D726D5"/>
    <w:rsid w:val="00D7272F"/>
    <w:rsid w:val="00D72B88"/>
    <w:rsid w:val="00D7300B"/>
    <w:rsid w:val="00D733D7"/>
    <w:rsid w:val="00D734AE"/>
    <w:rsid w:val="00D735B2"/>
    <w:rsid w:val="00D7376B"/>
    <w:rsid w:val="00D7384E"/>
    <w:rsid w:val="00D73B38"/>
    <w:rsid w:val="00D73BA3"/>
    <w:rsid w:val="00D73D39"/>
    <w:rsid w:val="00D73D55"/>
    <w:rsid w:val="00D73E01"/>
    <w:rsid w:val="00D73E10"/>
    <w:rsid w:val="00D73F21"/>
    <w:rsid w:val="00D73FDB"/>
    <w:rsid w:val="00D74103"/>
    <w:rsid w:val="00D747D1"/>
    <w:rsid w:val="00D74B87"/>
    <w:rsid w:val="00D74BAE"/>
    <w:rsid w:val="00D74C22"/>
    <w:rsid w:val="00D74CC1"/>
    <w:rsid w:val="00D74D17"/>
    <w:rsid w:val="00D74EA0"/>
    <w:rsid w:val="00D74EFF"/>
    <w:rsid w:val="00D74F1B"/>
    <w:rsid w:val="00D7531A"/>
    <w:rsid w:val="00D75390"/>
    <w:rsid w:val="00D7543B"/>
    <w:rsid w:val="00D75936"/>
    <w:rsid w:val="00D75AAF"/>
    <w:rsid w:val="00D75CE7"/>
    <w:rsid w:val="00D75E4B"/>
    <w:rsid w:val="00D75EA4"/>
    <w:rsid w:val="00D75F20"/>
    <w:rsid w:val="00D76273"/>
    <w:rsid w:val="00D762D5"/>
    <w:rsid w:val="00D76417"/>
    <w:rsid w:val="00D76A12"/>
    <w:rsid w:val="00D76A60"/>
    <w:rsid w:val="00D76A8C"/>
    <w:rsid w:val="00D76E49"/>
    <w:rsid w:val="00D76EAC"/>
    <w:rsid w:val="00D76EAF"/>
    <w:rsid w:val="00D76EFA"/>
    <w:rsid w:val="00D76FAC"/>
    <w:rsid w:val="00D7716E"/>
    <w:rsid w:val="00D771B7"/>
    <w:rsid w:val="00D7732E"/>
    <w:rsid w:val="00D77406"/>
    <w:rsid w:val="00D7786E"/>
    <w:rsid w:val="00D77A8A"/>
    <w:rsid w:val="00D77A92"/>
    <w:rsid w:val="00D77C15"/>
    <w:rsid w:val="00D77CF1"/>
    <w:rsid w:val="00D77DA1"/>
    <w:rsid w:val="00D800CA"/>
    <w:rsid w:val="00D80553"/>
    <w:rsid w:val="00D80662"/>
    <w:rsid w:val="00D80700"/>
    <w:rsid w:val="00D8072F"/>
    <w:rsid w:val="00D808FF"/>
    <w:rsid w:val="00D80970"/>
    <w:rsid w:val="00D80B6A"/>
    <w:rsid w:val="00D80E6D"/>
    <w:rsid w:val="00D80F1E"/>
    <w:rsid w:val="00D80FC6"/>
    <w:rsid w:val="00D8106D"/>
    <w:rsid w:val="00D81173"/>
    <w:rsid w:val="00D811AD"/>
    <w:rsid w:val="00D813D9"/>
    <w:rsid w:val="00D8140D"/>
    <w:rsid w:val="00D814E5"/>
    <w:rsid w:val="00D81A9D"/>
    <w:rsid w:val="00D81ADA"/>
    <w:rsid w:val="00D81BC5"/>
    <w:rsid w:val="00D81C00"/>
    <w:rsid w:val="00D81CA0"/>
    <w:rsid w:val="00D81D3B"/>
    <w:rsid w:val="00D81D41"/>
    <w:rsid w:val="00D81E36"/>
    <w:rsid w:val="00D81E80"/>
    <w:rsid w:val="00D820FD"/>
    <w:rsid w:val="00D82517"/>
    <w:rsid w:val="00D82551"/>
    <w:rsid w:val="00D82613"/>
    <w:rsid w:val="00D82782"/>
    <w:rsid w:val="00D828DB"/>
    <w:rsid w:val="00D82923"/>
    <w:rsid w:val="00D82A80"/>
    <w:rsid w:val="00D82D85"/>
    <w:rsid w:val="00D82EFF"/>
    <w:rsid w:val="00D83157"/>
    <w:rsid w:val="00D831C5"/>
    <w:rsid w:val="00D8345E"/>
    <w:rsid w:val="00D83465"/>
    <w:rsid w:val="00D8357F"/>
    <w:rsid w:val="00D8361C"/>
    <w:rsid w:val="00D837AC"/>
    <w:rsid w:val="00D837B6"/>
    <w:rsid w:val="00D837BD"/>
    <w:rsid w:val="00D837C6"/>
    <w:rsid w:val="00D83A82"/>
    <w:rsid w:val="00D83B07"/>
    <w:rsid w:val="00D83C01"/>
    <w:rsid w:val="00D83C7B"/>
    <w:rsid w:val="00D83D8A"/>
    <w:rsid w:val="00D83E10"/>
    <w:rsid w:val="00D84021"/>
    <w:rsid w:val="00D8409B"/>
    <w:rsid w:val="00D841A9"/>
    <w:rsid w:val="00D8424B"/>
    <w:rsid w:val="00D842EA"/>
    <w:rsid w:val="00D843B4"/>
    <w:rsid w:val="00D843CC"/>
    <w:rsid w:val="00D84607"/>
    <w:rsid w:val="00D84833"/>
    <w:rsid w:val="00D8493A"/>
    <w:rsid w:val="00D8497F"/>
    <w:rsid w:val="00D84AB5"/>
    <w:rsid w:val="00D84AD9"/>
    <w:rsid w:val="00D84C9D"/>
    <w:rsid w:val="00D85165"/>
    <w:rsid w:val="00D852C0"/>
    <w:rsid w:val="00D85445"/>
    <w:rsid w:val="00D85537"/>
    <w:rsid w:val="00D85867"/>
    <w:rsid w:val="00D858E0"/>
    <w:rsid w:val="00D85C28"/>
    <w:rsid w:val="00D861B6"/>
    <w:rsid w:val="00D864E0"/>
    <w:rsid w:val="00D86617"/>
    <w:rsid w:val="00D86676"/>
    <w:rsid w:val="00D86C0A"/>
    <w:rsid w:val="00D86F29"/>
    <w:rsid w:val="00D872B8"/>
    <w:rsid w:val="00D873CF"/>
    <w:rsid w:val="00D87528"/>
    <w:rsid w:val="00D87867"/>
    <w:rsid w:val="00D87930"/>
    <w:rsid w:val="00D87A16"/>
    <w:rsid w:val="00D87B0F"/>
    <w:rsid w:val="00D87B32"/>
    <w:rsid w:val="00D87F63"/>
    <w:rsid w:val="00D87FD5"/>
    <w:rsid w:val="00D90080"/>
    <w:rsid w:val="00D90219"/>
    <w:rsid w:val="00D9027D"/>
    <w:rsid w:val="00D902AC"/>
    <w:rsid w:val="00D90384"/>
    <w:rsid w:val="00D90392"/>
    <w:rsid w:val="00D9077D"/>
    <w:rsid w:val="00D90B2D"/>
    <w:rsid w:val="00D90B82"/>
    <w:rsid w:val="00D90D16"/>
    <w:rsid w:val="00D90D45"/>
    <w:rsid w:val="00D9110B"/>
    <w:rsid w:val="00D91184"/>
    <w:rsid w:val="00D91262"/>
    <w:rsid w:val="00D91280"/>
    <w:rsid w:val="00D912C1"/>
    <w:rsid w:val="00D91385"/>
    <w:rsid w:val="00D916DE"/>
    <w:rsid w:val="00D9175B"/>
    <w:rsid w:val="00D91B7A"/>
    <w:rsid w:val="00D91CFB"/>
    <w:rsid w:val="00D91EC8"/>
    <w:rsid w:val="00D91ED0"/>
    <w:rsid w:val="00D91FDC"/>
    <w:rsid w:val="00D9202A"/>
    <w:rsid w:val="00D9224D"/>
    <w:rsid w:val="00D92487"/>
    <w:rsid w:val="00D929CB"/>
    <w:rsid w:val="00D92D1E"/>
    <w:rsid w:val="00D92F7C"/>
    <w:rsid w:val="00D92FC5"/>
    <w:rsid w:val="00D933D8"/>
    <w:rsid w:val="00D934F7"/>
    <w:rsid w:val="00D93550"/>
    <w:rsid w:val="00D93694"/>
    <w:rsid w:val="00D939C7"/>
    <w:rsid w:val="00D93B6E"/>
    <w:rsid w:val="00D93BD9"/>
    <w:rsid w:val="00D93C7F"/>
    <w:rsid w:val="00D93D82"/>
    <w:rsid w:val="00D93F34"/>
    <w:rsid w:val="00D940D6"/>
    <w:rsid w:val="00D9413C"/>
    <w:rsid w:val="00D949E7"/>
    <w:rsid w:val="00D94DC4"/>
    <w:rsid w:val="00D94E1A"/>
    <w:rsid w:val="00D94F23"/>
    <w:rsid w:val="00D952EB"/>
    <w:rsid w:val="00D95531"/>
    <w:rsid w:val="00D956D3"/>
    <w:rsid w:val="00D95865"/>
    <w:rsid w:val="00D958DF"/>
    <w:rsid w:val="00D95A39"/>
    <w:rsid w:val="00D95C59"/>
    <w:rsid w:val="00D95D0E"/>
    <w:rsid w:val="00D95D38"/>
    <w:rsid w:val="00D95F9D"/>
    <w:rsid w:val="00D95FBC"/>
    <w:rsid w:val="00D965A5"/>
    <w:rsid w:val="00D9661A"/>
    <w:rsid w:val="00D9672A"/>
    <w:rsid w:val="00D96B93"/>
    <w:rsid w:val="00D96BE0"/>
    <w:rsid w:val="00D96D52"/>
    <w:rsid w:val="00D96FD7"/>
    <w:rsid w:val="00D97081"/>
    <w:rsid w:val="00D972B0"/>
    <w:rsid w:val="00D9767A"/>
    <w:rsid w:val="00D9772F"/>
    <w:rsid w:val="00D977CD"/>
    <w:rsid w:val="00D97C2E"/>
    <w:rsid w:val="00D97D53"/>
    <w:rsid w:val="00D97D79"/>
    <w:rsid w:val="00DA00EF"/>
    <w:rsid w:val="00DA0167"/>
    <w:rsid w:val="00DA04D3"/>
    <w:rsid w:val="00DA0861"/>
    <w:rsid w:val="00DA08E7"/>
    <w:rsid w:val="00DA0920"/>
    <w:rsid w:val="00DA0FFF"/>
    <w:rsid w:val="00DA10E5"/>
    <w:rsid w:val="00DA132E"/>
    <w:rsid w:val="00DA13FE"/>
    <w:rsid w:val="00DA149D"/>
    <w:rsid w:val="00DA1560"/>
    <w:rsid w:val="00DA15DD"/>
    <w:rsid w:val="00DA163F"/>
    <w:rsid w:val="00DA19B1"/>
    <w:rsid w:val="00DA19BB"/>
    <w:rsid w:val="00DA1BA8"/>
    <w:rsid w:val="00DA1E79"/>
    <w:rsid w:val="00DA1FB8"/>
    <w:rsid w:val="00DA2060"/>
    <w:rsid w:val="00DA20A9"/>
    <w:rsid w:val="00DA2128"/>
    <w:rsid w:val="00DA2198"/>
    <w:rsid w:val="00DA21D3"/>
    <w:rsid w:val="00DA2269"/>
    <w:rsid w:val="00DA2318"/>
    <w:rsid w:val="00DA2378"/>
    <w:rsid w:val="00DA2426"/>
    <w:rsid w:val="00DA244A"/>
    <w:rsid w:val="00DA26B5"/>
    <w:rsid w:val="00DA28AF"/>
    <w:rsid w:val="00DA2CB4"/>
    <w:rsid w:val="00DA2DFD"/>
    <w:rsid w:val="00DA2E6D"/>
    <w:rsid w:val="00DA3084"/>
    <w:rsid w:val="00DA3731"/>
    <w:rsid w:val="00DA3890"/>
    <w:rsid w:val="00DA3894"/>
    <w:rsid w:val="00DA3939"/>
    <w:rsid w:val="00DA3D01"/>
    <w:rsid w:val="00DA3D1A"/>
    <w:rsid w:val="00DA3D1C"/>
    <w:rsid w:val="00DA3EDE"/>
    <w:rsid w:val="00DA4282"/>
    <w:rsid w:val="00DA462B"/>
    <w:rsid w:val="00DA4655"/>
    <w:rsid w:val="00DA4671"/>
    <w:rsid w:val="00DA46D9"/>
    <w:rsid w:val="00DA493E"/>
    <w:rsid w:val="00DA4A85"/>
    <w:rsid w:val="00DA4CD5"/>
    <w:rsid w:val="00DA4CD9"/>
    <w:rsid w:val="00DA4D9F"/>
    <w:rsid w:val="00DA502A"/>
    <w:rsid w:val="00DA53D5"/>
    <w:rsid w:val="00DA5527"/>
    <w:rsid w:val="00DA57CC"/>
    <w:rsid w:val="00DA5888"/>
    <w:rsid w:val="00DA5BE5"/>
    <w:rsid w:val="00DA5C24"/>
    <w:rsid w:val="00DA5F25"/>
    <w:rsid w:val="00DA6016"/>
    <w:rsid w:val="00DA60BE"/>
    <w:rsid w:val="00DA61AA"/>
    <w:rsid w:val="00DA61E5"/>
    <w:rsid w:val="00DA62EA"/>
    <w:rsid w:val="00DA6358"/>
    <w:rsid w:val="00DA63B5"/>
    <w:rsid w:val="00DA63D7"/>
    <w:rsid w:val="00DA643A"/>
    <w:rsid w:val="00DA64D6"/>
    <w:rsid w:val="00DA6630"/>
    <w:rsid w:val="00DA6781"/>
    <w:rsid w:val="00DA6A4B"/>
    <w:rsid w:val="00DA6A71"/>
    <w:rsid w:val="00DA6C1F"/>
    <w:rsid w:val="00DA6EB0"/>
    <w:rsid w:val="00DA712B"/>
    <w:rsid w:val="00DA71E0"/>
    <w:rsid w:val="00DA722D"/>
    <w:rsid w:val="00DA72CF"/>
    <w:rsid w:val="00DA7351"/>
    <w:rsid w:val="00DA7585"/>
    <w:rsid w:val="00DA7850"/>
    <w:rsid w:val="00DA79CA"/>
    <w:rsid w:val="00DA7A0A"/>
    <w:rsid w:val="00DA7AB2"/>
    <w:rsid w:val="00DA7B0F"/>
    <w:rsid w:val="00DA7B33"/>
    <w:rsid w:val="00DA7BEA"/>
    <w:rsid w:val="00DA7CE0"/>
    <w:rsid w:val="00DA7D77"/>
    <w:rsid w:val="00DA7E01"/>
    <w:rsid w:val="00DA7F1C"/>
    <w:rsid w:val="00DB02A6"/>
    <w:rsid w:val="00DB0324"/>
    <w:rsid w:val="00DB054F"/>
    <w:rsid w:val="00DB0556"/>
    <w:rsid w:val="00DB0837"/>
    <w:rsid w:val="00DB099F"/>
    <w:rsid w:val="00DB09D4"/>
    <w:rsid w:val="00DB0B5E"/>
    <w:rsid w:val="00DB0B79"/>
    <w:rsid w:val="00DB0BC5"/>
    <w:rsid w:val="00DB0F0A"/>
    <w:rsid w:val="00DB1316"/>
    <w:rsid w:val="00DB131B"/>
    <w:rsid w:val="00DB1360"/>
    <w:rsid w:val="00DB1745"/>
    <w:rsid w:val="00DB1788"/>
    <w:rsid w:val="00DB1979"/>
    <w:rsid w:val="00DB1A4B"/>
    <w:rsid w:val="00DB1D01"/>
    <w:rsid w:val="00DB223A"/>
    <w:rsid w:val="00DB22BB"/>
    <w:rsid w:val="00DB22D4"/>
    <w:rsid w:val="00DB2642"/>
    <w:rsid w:val="00DB2A93"/>
    <w:rsid w:val="00DB2D29"/>
    <w:rsid w:val="00DB2E05"/>
    <w:rsid w:val="00DB2E30"/>
    <w:rsid w:val="00DB2E67"/>
    <w:rsid w:val="00DB2FFE"/>
    <w:rsid w:val="00DB3166"/>
    <w:rsid w:val="00DB3342"/>
    <w:rsid w:val="00DB3400"/>
    <w:rsid w:val="00DB353F"/>
    <w:rsid w:val="00DB3565"/>
    <w:rsid w:val="00DB35D8"/>
    <w:rsid w:val="00DB378D"/>
    <w:rsid w:val="00DB3A31"/>
    <w:rsid w:val="00DB3B02"/>
    <w:rsid w:val="00DB3B85"/>
    <w:rsid w:val="00DB3C4D"/>
    <w:rsid w:val="00DB4083"/>
    <w:rsid w:val="00DB4724"/>
    <w:rsid w:val="00DB480F"/>
    <w:rsid w:val="00DB4855"/>
    <w:rsid w:val="00DB49C4"/>
    <w:rsid w:val="00DB4A89"/>
    <w:rsid w:val="00DB4B6E"/>
    <w:rsid w:val="00DB4D79"/>
    <w:rsid w:val="00DB4FCE"/>
    <w:rsid w:val="00DB518D"/>
    <w:rsid w:val="00DB5397"/>
    <w:rsid w:val="00DB5A42"/>
    <w:rsid w:val="00DB5A72"/>
    <w:rsid w:val="00DB5B28"/>
    <w:rsid w:val="00DB5D4F"/>
    <w:rsid w:val="00DB5F96"/>
    <w:rsid w:val="00DB613B"/>
    <w:rsid w:val="00DB667E"/>
    <w:rsid w:val="00DB674F"/>
    <w:rsid w:val="00DB67C5"/>
    <w:rsid w:val="00DB688C"/>
    <w:rsid w:val="00DB689C"/>
    <w:rsid w:val="00DB6F9A"/>
    <w:rsid w:val="00DB71E0"/>
    <w:rsid w:val="00DB728E"/>
    <w:rsid w:val="00DB731F"/>
    <w:rsid w:val="00DB7327"/>
    <w:rsid w:val="00DB75A9"/>
    <w:rsid w:val="00DB76B6"/>
    <w:rsid w:val="00DB76FA"/>
    <w:rsid w:val="00DB7882"/>
    <w:rsid w:val="00DB7A14"/>
    <w:rsid w:val="00DB7E81"/>
    <w:rsid w:val="00DB7EE3"/>
    <w:rsid w:val="00DC0506"/>
    <w:rsid w:val="00DC061C"/>
    <w:rsid w:val="00DC073A"/>
    <w:rsid w:val="00DC0D42"/>
    <w:rsid w:val="00DC0D47"/>
    <w:rsid w:val="00DC0EEA"/>
    <w:rsid w:val="00DC11E9"/>
    <w:rsid w:val="00DC1250"/>
    <w:rsid w:val="00DC169F"/>
    <w:rsid w:val="00DC16D4"/>
    <w:rsid w:val="00DC1A3D"/>
    <w:rsid w:val="00DC1AB7"/>
    <w:rsid w:val="00DC1BBC"/>
    <w:rsid w:val="00DC1BE4"/>
    <w:rsid w:val="00DC20F8"/>
    <w:rsid w:val="00DC22E3"/>
    <w:rsid w:val="00DC250E"/>
    <w:rsid w:val="00DC2516"/>
    <w:rsid w:val="00DC2771"/>
    <w:rsid w:val="00DC28C8"/>
    <w:rsid w:val="00DC29EB"/>
    <w:rsid w:val="00DC2A60"/>
    <w:rsid w:val="00DC2C6E"/>
    <w:rsid w:val="00DC2D74"/>
    <w:rsid w:val="00DC3024"/>
    <w:rsid w:val="00DC30E7"/>
    <w:rsid w:val="00DC32AF"/>
    <w:rsid w:val="00DC331A"/>
    <w:rsid w:val="00DC339F"/>
    <w:rsid w:val="00DC3969"/>
    <w:rsid w:val="00DC39CC"/>
    <w:rsid w:val="00DC3E7D"/>
    <w:rsid w:val="00DC40D8"/>
    <w:rsid w:val="00DC4171"/>
    <w:rsid w:val="00DC4773"/>
    <w:rsid w:val="00DC488F"/>
    <w:rsid w:val="00DC499D"/>
    <w:rsid w:val="00DC49E2"/>
    <w:rsid w:val="00DC4D7F"/>
    <w:rsid w:val="00DC4D93"/>
    <w:rsid w:val="00DC5041"/>
    <w:rsid w:val="00DC5090"/>
    <w:rsid w:val="00DC520D"/>
    <w:rsid w:val="00DC5609"/>
    <w:rsid w:val="00DC58E7"/>
    <w:rsid w:val="00DC5929"/>
    <w:rsid w:val="00DC5B5A"/>
    <w:rsid w:val="00DC5C8B"/>
    <w:rsid w:val="00DC5E68"/>
    <w:rsid w:val="00DC601B"/>
    <w:rsid w:val="00DC62E6"/>
    <w:rsid w:val="00DC6398"/>
    <w:rsid w:val="00DC640A"/>
    <w:rsid w:val="00DC642C"/>
    <w:rsid w:val="00DC680D"/>
    <w:rsid w:val="00DC6A53"/>
    <w:rsid w:val="00DC6D85"/>
    <w:rsid w:val="00DC6E18"/>
    <w:rsid w:val="00DC6E73"/>
    <w:rsid w:val="00DC6EA4"/>
    <w:rsid w:val="00DC7189"/>
    <w:rsid w:val="00DC71BA"/>
    <w:rsid w:val="00DC72FC"/>
    <w:rsid w:val="00DC7390"/>
    <w:rsid w:val="00DC753A"/>
    <w:rsid w:val="00DC77E9"/>
    <w:rsid w:val="00DC7F07"/>
    <w:rsid w:val="00DC7FDC"/>
    <w:rsid w:val="00DD0062"/>
    <w:rsid w:val="00DD0510"/>
    <w:rsid w:val="00DD0770"/>
    <w:rsid w:val="00DD07C2"/>
    <w:rsid w:val="00DD07F9"/>
    <w:rsid w:val="00DD0E31"/>
    <w:rsid w:val="00DD0EE4"/>
    <w:rsid w:val="00DD1461"/>
    <w:rsid w:val="00DD1592"/>
    <w:rsid w:val="00DD17B8"/>
    <w:rsid w:val="00DD185D"/>
    <w:rsid w:val="00DD1907"/>
    <w:rsid w:val="00DD1990"/>
    <w:rsid w:val="00DD1A0A"/>
    <w:rsid w:val="00DD1B14"/>
    <w:rsid w:val="00DD1F52"/>
    <w:rsid w:val="00DD1FEF"/>
    <w:rsid w:val="00DD2092"/>
    <w:rsid w:val="00DD2356"/>
    <w:rsid w:val="00DD271B"/>
    <w:rsid w:val="00DD29ED"/>
    <w:rsid w:val="00DD2BDD"/>
    <w:rsid w:val="00DD3073"/>
    <w:rsid w:val="00DD30B1"/>
    <w:rsid w:val="00DD31F4"/>
    <w:rsid w:val="00DD3216"/>
    <w:rsid w:val="00DD3273"/>
    <w:rsid w:val="00DD3296"/>
    <w:rsid w:val="00DD32B4"/>
    <w:rsid w:val="00DD32FB"/>
    <w:rsid w:val="00DD3686"/>
    <w:rsid w:val="00DD368D"/>
    <w:rsid w:val="00DD38FA"/>
    <w:rsid w:val="00DD3923"/>
    <w:rsid w:val="00DD3B54"/>
    <w:rsid w:val="00DD41B4"/>
    <w:rsid w:val="00DD4275"/>
    <w:rsid w:val="00DD4415"/>
    <w:rsid w:val="00DD4479"/>
    <w:rsid w:val="00DD44B2"/>
    <w:rsid w:val="00DD458F"/>
    <w:rsid w:val="00DD4768"/>
    <w:rsid w:val="00DD4D52"/>
    <w:rsid w:val="00DD5049"/>
    <w:rsid w:val="00DD5578"/>
    <w:rsid w:val="00DD5617"/>
    <w:rsid w:val="00DD5726"/>
    <w:rsid w:val="00DD5742"/>
    <w:rsid w:val="00DD5B73"/>
    <w:rsid w:val="00DD5D1A"/>
    <w:rsid w:val="00DD5D6D"/>
    <w:rsid w:val="00DD5E74"/>
    <w:rsid w:val="00DD5F79"/>
    <w:rsid w:val="00DD6242"/>
    <w:rsid w:val="00DD6306"/>
    <w:rsid w:val="00DD6333"/>
    <w:rsid w:val="00DD6666"/>
    <w:rsid w:val="00DD69FD"/>
    <w:rsid w:val="00DD6A61"/>
    <w:rsid w:val="00DD6A99"/>
    <w:rsid w:val="00DD6C0D"/>
    <w:rsid w:val="00DD6C40"/>
    <w:rsid w:val="00DD6DA8"/>
    <w:rsid w:val="00DD6E43"/>
    <w:rsid w:val="00DD71BF"/>
    <w:rsid w:val="00DD7427"/>
    <w:rsid w:val="00DD763F"/>
    <w:rsid w:val="00DD77B8"/>
    <w:rsid w:val="00DD78C3"/>
    <w:rsid w:val="00DD7B72"/>
    <w:rsid w:val="00DD7EC1"/>
    <w:rsid w:val="00DD7F44"/>
    <w:rsid w:val="00DD7FDC"/>
    <w:rsid w:val="00DE0077"/>
    <w:rsid w:val="00DE012A"/>
    <w:rsid w:val="00DE01E9"/>
    <w:rsid w:val="00DE0305"/>
    <w:rsid w:val="00DE035D"/>
    <w:rsid w:val="00DE082C"/>
    <w:rsid w:val="00DE0A2B"/>
    <w:rsid w:val="00DE0AC1"/>
    <w:rsid w:val="00DE0B01"/>
    <w:rsid w:val="00DE0B0E"/>
    <w:rsid w:val="00DE0C97"/>
    <w:rsid w:val="00DE0CB0"/>
    <w:rsid w:val="00DE0D1C"/>
    <w:rsid w:val="00DE0DEA"/>
    <w:rsid w:val="00DE11C2"/>
    <w:rsid w:val="00DE1671"/>
    <w:rsid w:val="00DE180D"/>
    <w:rsid w:val="00DE1BF3"/>
    <w:rsid w:val="00DE1E1E"/>
    <w:rsid w:val="00DE1F30"/>
    <w:rsid w:val="00DE1F43"/>
    <w:rsid w:val="00DE227E"/>
    <w:rsid w:val="00DE247C"/>
    <w:rsid w:val="00DE2587"/>
    <w:rsid w:val="00DE26E1"/>
    <w:rsid w:val="00DE282B"/>
    <w:rsid w:val="00DE28D5"/>
    <w:rsid w:val="00DE2A97"/>
    <w:rsid w:val="00DE2E5B"/>
    <w:rsid w:val="00DE2EC9"/>
    <w:rsid w:val="00DE3299"/>
    <w:rsid w:val="00DE38F7"/>
    <w:rsid w:val="00DE3B1B"/>
    <w:rsid w:val="00DE3BBD"/>
    <w:rsid w:val="00DE3C2A"/>
    <w:rsid w:val="00DE3C2B"/>
    <w:rsid w:val="00DE3D85"/>
    <w:rsid w:val="00DE3DB6"/>
    <w:rsid w:val="00DE40B7"/>
    <w:rsid w:val="00DE4181"/>
    <w:rsid w:val="00DE427D"/>
    <w:rsid w:val="00DE4479"/>
    <w:rsid w:val="00DE480F"/>
    <w:rsid w:val="00DE5116"/>
    <w:rsid w:val="00DE5453"/>
    <w:rsid w:val="00DE56CB"/>
    <w:rsid w:val="00DE5712"/>
    <w:rsid w:val="00DE5A29"/>
    <w:rsid w:val="00DE5AD3"/>
    <w:rsid w:val="00DE5E2B"/>
    <w:rsid w:val="00DE5FED"/>
    <w:rsid w:val="00DE6071"/>
    <w:rsid w:val="00DE6157"/>
    <w:rsid w:val="00DE618C"/>
    <w:rsid w:val="00DE641E"/>
    <w:rsid w:val="00DE64BD"/>
    <w:rsid w:val="00DE6606"/>
    <w:rsid w:val="00DE6757"/>
    <w:rsid w:val="00DE676F"/>
    <w:rsid w:val="00DE687A"/>
    <w:rsid w:val="00DE6935"/>
    <w:rsid w:val="00DE6CFC"/>
    <w:rsid w:val="00DE6DD8"/>
    <w:rsid w:val="00DE6FC9"/>
    <w:rsid w:val="00DE71B9"/>
    <w:rsid w:val="00DE71D4"/>
    <w:rsid w:val="00DE71F9"/>
    <w:rsid w:val="00DE71FB"/>
    <w:rsid w:val="00DE722D"/>
    <w:rsid w:val="00DE73B6"/>
    <w:rsid w:val="00DE73F3"/>
    <w:rsid w:val="00DE7548"/>
    <w:rsid w:val="00DE75B9"/>
    <w:rsid w:val="00DE773C"/>
    <w:rsid w:val="00DE77BC"/>
    <w:rsid w:val="00DE7854"/>
    <w:rsid w:val="00DE787A"/>
    <w:rsid w:val="00DE7B55"/>
    <w:rsid w:val="00DE7D3B"/>
    <w:rsid w:val="00DE7EA4"/>
    <w:rsid w:val="00DE7FEC"/>
    <w:rsid w:val="00DF0480"/>
    <w:rsid w:val="00DF04E8"/>
    <w:rsid w:val="00DF0520"/>
    <w:rsid w:val="00DF0559"/>
    <w:rsid w:val="00DF0718"/>
    <w:rsid w:val="00DF07CD"/>
    <w:rsid w:val="00DF0852"/>
    <w:rsid w:val="00DF085A"/>
    <w:rsid w:val="00DF0967"/>
    <w:rsid w:val="00DF0D0D"/>
    <w:rsid w:val="00DF0D97"/>
    <w:rsid w:val="00DF0DCF"/>
    <w:rsid w:val="00DF10B8"/>
    <w:rsid w:val="00DF1240"/>
    <w:rsid w:val="00DF1288"/>
    <w:rsid w:val="00DF1411"/>
    <w:rsid w:val="00DF1BAE"/>
    <w:rsid w:val="00DF1C37"/>
    <w:rsid w:val="00DF1D34"/>
    <w:rsid w:val="00DF1F1F"/>
    <w:rsid w:val="00DF2005"/>
    <w:rsid w:val="00DF20E3"/>
    <w:rsid w:val="00DF233F"/>
    <w:rsid w:val="00DF260B"/>
    <w:rsid w:val="00DF277A"/>
    <w:rsid w:val="00DF2E12"/>
    <w:rsid w:val="00DF2FC6"/>
    <w:rsid w:val="00DF318C"/>
    <w:rsid w:val="00DF31E6"/>
    <w:rsid w:val="00DF3203"/>
    <w:rsid w:val="00DF32EE"/>
    <w:rsid w:val="00DF347A"/>
    <w:rsid w:val="00DF3514"/>
    <w:rsid w:val="00DF3B38"/>
    <w:rsid w:val="00DF3BD2"/>
    <w:rsid w:val="00DF3D97"/>
    <w:rsid w:val="00DF4022"/>
    <w:rsid w:val="00DF4C70"/>
    <w:rsid w:val="00DF4CFB"/>
    <w:rsid w:val="00DF4D59"/>
    <w:rsid w:val="00DF4F37"/>
    <w:rsid w:val="00DF51CF"/>
    <w:rsid w:val="00DF5225"/>
    <w:rsid w:val="00DF533E"/>
    <w:rsid w:val="00DF54A3"/>
    <w:rsid w:val="00DF557D"/>
    <w:rsid w:val="00DF560A"/>
    <w:rsid w:val="00DF572B"/>
    <w:rsid w:val="00DF576E"/>
    <w:rsid w:val="00DF5816"/>
    <w:rsid w:val="00DF589A"/>
    <w:rsid w:val="00DF5980"/>
    <w:rsid w:val="00DF5F51"/>
    <w:rsid w:val="00DF5FA3"/>
    <w:rsid w:val="00DF63E9"/>
    <w:rsid w:val="00DF6499"/>
    <w:rsid w:val="00DF64F5"/>
    <w:rsid w:val="00DF67FC"/>
    <w:rsid w:val="00DF6984"/>
    <w:rsid w:val="00DF69E5"/>
    <w:rsid w:val="00DF6AC0"/>
    <w:rsid w:val="00DF6DB6"/>
    <w:rsid w:val="00DF6DCF"/>
    <w:rsid w:val="00DF7277"/>
    <w:rsid w:val="00DF7361"/>
    <w:rsid w:val="00DF745D"/>
    <w:rsid w:val="00DF754E"/>
    <w:rsid w:val="00DF782C"/>
    <w:rsid w:val="00DF7865"/>
    <w:rsid w:val="00DF7A5C"/>
    <w:rsid w:val="00DF7D1C"/>
    <w:rsid w:val="00DF7F50"/>
    <w:rsid w:val="00DF7F99"/>
    <w:rsid w:val="00E003B5"/>
    <w:rsid w:val="00E003F3"/>
    <w:rsid w:val="00E0051F"/>
    <w:rsid w:val="00E00532"/>
    <w:rsid w:val="00E00748"/>
    <w:rsid w:val="00E00760"/>
    <w:rsid w:val="00E00963"/>
    <w:rsid w:val="00E00967"/>
    <w:rsid w:val="00E00985"/>
    <w:rsid w:val="00E009D4"/>
    <w:rsid w:val="00E00AF5"/>
    <w:rsid w:val="00E00EDA"/>
    <w:rsid w:val="00E01614"/>
    <w:rsid w:val="00E01642"/>
    <w:rsid w:val="00E0184B"/>
    <w:rsid w:val="00E018CC"/>
    <w:rsid w:val="00E01A37"/>
    <w:rsid w:val="00E01A58"/>
    <w:rsid w:val="00E01B1C"/>
    <w:rsid w:val="00E01F4B"/>
    <w:rsid w:val="00E01FAA"/>
    <w:rsid w:val="00E01FC8"/>
    <w:rsid w:val="00E02048"/>
    <w:rsid w:val="00E02066"/>
    <w:rsid w:val="00E0208B"/>
    <w:rsid w:val="00E02334"/>
    <w:rsid w:val="00E02393"/>
    <w:rsid w:val="00E0257F"/>
    <w:rsid w:val="00E026BE"/>
    <w:rsid w:val="00E02992"/>
    <w:rsid w:val="00E02C2E"/>
    <w:rsid w:val="00E02C32"/>
    <w:rsid w:val="00E02EBA"/>
    <w:rsid w:val="00E03003"/>
    <w:rsid w:val="00E031A5"/>
    <w:rsid w:val="00E03549"/>
    <w:rsid w:val="00E03658"/>
    <w:rsid w:val="00E03ABC"/>
    <w:rsid w:val="00E03B0F"/>
    <w:rsid w:val="00E03B94"/>
    <w:rsid w:val="00E03D07"/>
    <w:rsid w:val="00E03FC7"/>
    <w:rsid w:val="00E040D5"/>
    <w:rsid w:val="00E04152"/>
    <w:rsid w:val="00E0416A"/>
    <w:rsid w:val="00E0422D"/>
    <w:rsid w:val="00E0435C"/>
    <w:rsid w:val="00E04375"/>
    <w:rsid w:val="00E044E6"/>
    <w:rsid w:val="00E04737"/>
    <w:rsid w:val="00E0496B"/>
    <w:rsid w:val="00E04D3A"/>
    <w:rsid w:val="00E04F55"/>
    <w:rsid w:val="00E051ED"/>
    <w:rsid w:val="00E05506"/>
    <w:rsid w:val="00E0559F"/>
    <w:rsid w:val="00E0578A"/>
    <w:rsid w:val="00E05AA4"/>
    <w:rsid w:val="00E05B85"/>
    <w:rsid w:val="00E05BF1"/>
    <w:rsid w:val="00E05C38"/>
    <w:rsid w:val="00E05E4F"/>
    <w:rsid w:val="00E05ECC"/>
    <w:rsid w:val="00E060C9"/>
    <w:rsid w:val="00E0611E"/>
    <w:rsid w:val="00E06146"/>
    <w:rsid w:val="00E061DC"/>
    <w:rsid w:val="00E064B4"/>
    <w:rsid w:val="00E064C2"/>
    <w:rsid w:val="00E065BE"/>
    <w:rsid w:val="00E06742"/>
    <w:rsid w:val="00E067BF"/>
    <w:rsid w:val="00E068AF"/>
    <w:rsid w:val="00E06C75"/>
    <w:rsid w:val="00E06D80"/>
    <w:rsid w:val="00E06FC3"/>
    <w:rsid w:val="00E0723D"/>
    <w:rsid w:val="00E07481"/>
    <w:rsid w:val="00E074A8"/>
    <w:rsid w:val="00E0750D"/>
    <w:rsid w:val="00E07535"/>
    <w:rsid w:val="00E0783A"/>
    <w:rsid w:val="00E07C12"/>
    <w:rsid w:val="00E07C58"/>
    <w:rsid w:val="00E07E0F"/>
    <w:rsid w:val="00E07FEB"/>
    <w:rsid w:val="00E10064"/>
    <w:rsid w:val="00E10360"/>
    <w:rsid w:val="00E103C1"/>
    <w:rsid w:val="00E103D1"/>
    <w:rsid w:val="00E103D4"/>
    <w:rsid w:val="00E103F7"/>
    <w:rsid w:val="00E105D9"/>
    <w:rsid w:val="00E10B86"/>
    <w:rsid w:val="00E10C12"/>
    <w:rsid w:val="00E10DCE"/>
    <w:rsid w:val="00E10F16"/>
    <w:rsid w:val="00E11321"/>
    <w:rsid w:val="00E113D1"/>
    <w:rsid w:val="00E114D8"/>
    <w:rsid w:val="00E114E9"/>
    <w:rsid w:val="00E115BC"/>
    <w:rsid w:val="00E1170C"/>
    <w:rsid w:val="00E1178F"/>
    <w:rsid w:val="00E11796"/>
    <w:rsid w:val="00E117C7"/>
    <w:rsid w:val="00E11A33"/>
    <w:rsid w:val="00E11ACC"/>
    <w:rsid w:val="00E11AEC"/>
    <w:rsid w:val="00E11CEE"/>
    <w:rsid w:val="00E12319"/>
    <w:rsid w:val="00E1239B"/>
    <w:rsid w:val="00E1283B"/>
    <w:rsid w:val="00E12856"/>
    <w:rsid w:val="00E12867"/>
    <w:rsid w:val="00E12BE4"/>
    <w:rsid w:val="00E12EC7"/>
    <w:rsid w:val="00E13374"/>
    <w:rsid w:val="00E13378"/>
    <w:rsid w:val="00E133B2"/>
    <w:rsid w:val="00E134A6"/>
    <w:rsid w:val="00E134F5"/>
    <w:rsid w:val="00E136F2"/>
    <w:rsid w:val="00E13868"/>
    <w:rsid w:val="00E1395F"/>
    <w:rsid w:val="00E139D8"/>
    <w:rsid w:val="00E13A41"/>
    <w:rsid w:val="00E13CEC"/>
    <w:rsid w:val="00E13E2C"/>
    <w:rsid w:val="00E141AB"/>
    <w:rsid w:val="00E14433"/>
    <w:rsid w:val="00E1447D"/>
    <w:rsid w:val="00E1452C"/>
    <w:rsid w:val="00E1468D"/>
    <w:rsid w:val="00E146ED"/>
    <w:rsid w:val="00E148F9"/>
    <w:rsid w:val="00E14912"/>
    <w:rsid w:val="00E14975"/>
    <w:rsid w:val="00E1497C"/>
    <w:rsid w:val="00E14A9B"/>
    <w:rsid w:val="00E14B53"/>
    <w:rsid w:val="00E14C80"/>
    <w:rsid w:val="00E14EB7"/>
    <w:rsid w:val="00E1503A"/>
    <w:rsid w:val="00E150FC"/>
    <w:rsid w:val="00E1518B"/>
    <w:rsid w:val="00E15273"/>
    <w:rsid w:val="00E153A5"/>
    <w:rsid w:val="00E154FC"/>
    <w:rsid w:val="00E155C3"/>
    <w:rsid w:val="00E15927"/>
    <w:rsid w:val="00E15C8B"/>
    <w:rsid w:val="00E15CDF"/>
    <w:rsid w:val="00E15E1B"/>
    <w:rsid w:val="00E15E88"/>
    <w:rsid w:val="00E15FBE"/>
    <w:rsid w:val="00E16453"/>
    <w:rsid w:val="00E164C9"/>
    <w:rsid w:val="00E16525"/>
    <w:rsid w:val="00E165CB"/>
    <w:rsid w:val="00E16759"/>
    <w:rsid w:val="00E16856"/>
    <w:rsid w:val="00E169F4"/>
    <w:rsid w:val="00E16A69"/>
    <w:rsid w:val="00E16AC0"/>
    <w:rsid w:val="00E16C53"/>
    <w:rsid w:val="00E16DAC"/>
    <w:rsid w:val="00E171A5"/>
    <w:rsid w:val="00E1727D"/>
    <w:rsid w:val="00E17582"/>
    <w:rsid w:val="00E175DE"/>
    <w:rsid w:val="00E17852"/>
    <w:rsid w:val="00E1787A"/>
    <w:rsid w:val="00E178A6"/>
    <w:rsid w:val="00E178CA"/>
    <w:rsid w:val="00E17A41"/>
    <w:rsid w:val="00E17A8A"/>
    <w:rsid w:val="00E17AE0"/>
    <w:rsid w:val="00E17B53"/>
    <w:rsid w:val="00E20171"/>
    <w:rsid w:val="00E2024B"/>
    <w:rsid w:val="00E20258"/>
    <w:rsid w:val="00E2060A"/>
    <w:rsid w:val="00E20697"/>
    <w:rsid w:val="00E206E4"/>
    <w:rsid w:val="00E20B2B"/>
    <w:rsid w:val="00E20BBD"/>
    <w:rsid w:val="00E20C48"/>
    <w:rsid w:val="00E20D2C"/>
    <w:rsid w:val="00E20D59"/>
    <w:rsid w:val="00E20ED0"/>
    <w:rsid w:val="00E21117"/>
    <w:rsid w:val="00E21282"/>
    <w:rsid w:val="00E21358"/>
    <w:rsid w:val="00E213B0"/>
    <w:rsid w:val="00E2146D"/>
    <w:rsid w:val="00E21812"/>
    <w:rsid w:val="00E219F1"/>
    <w:rsid w:val="00E21A7F"/>
    <w:rsid w:val="00E21C08"/>
    <w:rsid w:val="00E21E37"/>
    <w:rsid w:val="00E21EB2"/>
    <w:rsid w:val="00E2217A"/>
    <w:rsid w:val="00E2236F"/>
    <w:rsid w:val="00E224EB"/>
    <w:rsid w:val="00E2269E"/>
    <w:rsid w:val="00E228DA"/>
    <w:rsid w:val="00E2293F"/>
    <w:rsid w:val="00E22CED"/>
    <w:rsid w:val="00E22FBF"/>
    <w:rsid w:val="00E23105"/>
    <w:rsid w:val="00E23119"/>
    <w:rsid w:val="00E231A7"/>
    <w:rsid w:val="00E23261"/>
    <w:rsid w:val="00E23327"/>
    <w:rsid w:val="00E233FE"/>
    <w:rsid w:val="00E2347F"/>
    <w:rsid w:val="00E23488"/>
    <w:rsid w:val="00E234C8"/>
    <w:rsid w:val="00E234F6"/>
    <w:rsid w:val="00E23765"/>
    <w:rsid w:val="00E238A2"/>
    <w:rsid w:val="00E2390D"/>
    <w:rsid w:val="00E23A88"/>
    <w:rsid w:val="00E23E1F"/>
    <w:rsid w:val="00E242D8"/>
    <w:rsid w:val="00E24393"/>
    <w:rsid w:val="00E24501"/>
    <w:rsid w:val="00E24523"/>
    <w:rsid w:val="00E24588"/>
    <w:rsid w:val="00E24617"/>
    <w:rsid w:val="00E24CA8"/>
    <w:rsid w:val="00E24E05"/>
    <w:rsid w:val="00E250A0"/>
    <w:rsid w:val="00E251F5"/>
    <w:rsid w:val="00E2521C"/>
    <w:rsid w:val="00E255E2"/>
    <w:rsid w:val="00E257C9"/>
    <w:rsid w:val="00E257D8"/>
    <w:rsid w:val="00E25A3D"/>
    <w:rsid w:val="00E25AE0"/>
    <w:rsid w:val="00E25C67"/>
    <w:rsid w:val="00E25ED6"/>
    <w:rsid w:val="00E261B5"/>
    <w:rsid w:val="00E2632A"/>
    <w:rsid w:val="00E263E8"/>
    <w:rsid w:val="00E26647"/>
    <w:rsid w:val="00E2677E"/>
    <w:rsid w:val="00E2677F"/>
    <w:rsid w:val="00E267F0"/>
    <w:rsid w:val="00E268A3"/>
    <w:rsid w:val="00E268BF"/>
    <w:rsid w:val="00E26C7E"/>
    <w:rsid w:val="00E26F1B"/>
    <w:rsid w:val="00E26F86"/>
    <w:rsid w:val="00E27451"/>
    <w:rsid w:val="00E27518"/>
    <w:rsid w:val="00E2755B"/>
    <w:rsid w:val="00E27780"/>
    <w:rsid w:val="00E27932"/>
    <w:rsid w:val="00E27D49"/>
    <w:rsid w:val="00E27E15"/>
    <w:rsid w:val="00E27E87"/>
    <w:rsid w:val="00E27E9F"/>
    <w:rsid w:val="00E27EAB"/>
    <w:rsid w:val="00E302B8"/>
    <w:rsid w:val="00E302C8"/>
    <w:rsid w:val="00E3045E"/>
    <w:rsid w:val="00E30569"/>
    <w:rsid w:val="00E30690"/>
    <w:rsid w:val="00E3070E"/>
    <w:rsid w:val="00E307B5"/>
    <w:rsid w:val="00E3093D"/>
    <w:rsid w:val="00E30DBB"/>
    <w:rsid w:val="00E30E39"/>
    <w:rsid w:val="00E30EB0"/>
    <w:rsid w:val="00E310BD"/>
    <w:rsid w:val="00E3117C"/>
    <w:rsid w:val="00E31269"/>
    <w:rsid w:val="00E31306"/>
    <w:rsid w:val="00E313A7"/>
    <w:rsid w:val="00E314FD"/>
    <w:rsid w:val="00E3156B"/>
    <w:rsid w:val="00E315CA"/>
    <w:rsid w:val="00E316BE"/>
    <w:rsid w:val="00E31788"/>
    <w:rsid w:val="00E317C2"/>
    <w:rsid w:val="00E31985"/>
    <w:rsid w:val="00E319C6"/>
    <w:rsid w:val="00E31A5B"/>
    <w:rsid w:val="00E32413"/>
    <w:rsid w:val="00E32475"/>
    <w:rsid w:val="00E324C8"/>
    <w:rsid w:val="00E324FF"/>
    <w:rsid w:val="00E325FD"/>
    <w:rsid w:val="00E3261D"/>
    <w:rsid w:val="00E32689"/>
    <w:rsid w:val="00E32CB6"/>
    <w:rsid w:val="00E32D7E"/>
    <w:rsid w:val="00E33499"/>
    <w:rsid w:val="00E3353A"/>
    <w:rsid w:val="00E335C4"/>
    <w:rsid w:val="00E3367B"/>
    <w:rsid w:val="00E3367C"/>
    <w:rsid w:val="00E337B4"/>
    <w:rsid w:val="00E33A27"/>
    <w:rsid w:val="00E33C42"/>
    <w:rsid w:val="00E33DBC"/>
    <w:rsid w:val="00E33E1B"/>
    <w:rsid w:val="00E33E4F"/>
    <w:rsid w:val="00E33F73"/>
    <w:rsid w:val="00E33FB9"/>
    <w:rsid w:val="00E3420C"/>
    <w:rsid w:val="00E343C3"/>
    <w:rsid w:val="00E34576"/>
    <w:rsid w:val="00E3468F"/>
    <w:rsid w:val="00E347F7"/>
    <w:rsid w:val="00E3480B"/>
    <w:rsid w:val="00E34AEE"/>
    <w:rsid w:val="00E34D03"/>
    <w:rsid w:val="00E34D89"/>
    <w:rsid w:val="00E34E1D"/>
    <w:rsid w:val="00E34E90"/>
    <w:rsid w:val="00E34FC4"/>
    <w:rsid w:val="00E3532D"/>
    <w:rsid w:val="00E356F0"/>
    <w:rsid w:val="00E35854"/>
    <w:rsid w:val="00E359E5"/>
    <w:rsid w:val="00E35A21"/>
    <w:rsid w:val="00E35A62"/>
    <w:rsid w:val="00E35ABF"/>
    <w:rsid w:val="00E35D41"/>
    <w:rsid w:val="00E35E55"/>
    <w:rsid w:val="00E35EAB"/>
    <w:rsid w:val="00E35F49"/>
    <w:rsid w:val="00E36053"/>
    <w:rsid w:val="00E36279"/>
    <w:rsid w:val="00E366BE"/>
    <w:rsid w:val="00E366C5"/>
    <w:rsid w:val="00E36776"/>
    <w:rsid w:val="00E36800"/>
    <w:rsid w:val="00E36A43"/>
    <w:rsid w:val="00E36B65"/>
    <w:rsid w:val="00E36D06"/>
    <w:rsid w:val="00E36EAE"/>
    <w:rsid w:val="00E36F2B"/>
    <w:rsid w:val="00E370DB"/>
    <w:rsid w:val="00E37138"/>
    <w:rsid w:val="00E37592"/>
    <w:rsid w:val="00E375E1"/>
    <w:rsid w:val="00E3762F"/>
    <w:rsid w:val="00E37698"/>
    <w:rsid w:val="00E3772A"/>
    <w:rsid w:val="00E378E0"/>
    <w:rsid w:val="00E37980"/>
    <w:rsid w:val="00E37CE2"/>
    <w:rsid w:val="00E37D59"/>
    <w:rsid w:val="00E40030"/>
    <w:rsid w:val="00E4005C"/>
    <w:rsid w:val="00E401DF"/>
    <w:rsid w:val="00E40424"/>
    <w:rsid w:val="00E404FF"/>
    <w:rsid w:val="00E40572"/>
    <w:rsid w:val="00E406A3"/>
    <w:rsid w:val="00E40906"/>
    <w:rsid w:val="00E40AAD"/>
    <w:rsid w:val="00E40B3B"/>
    <w:rsid w:val="00E40BB3"/>
    <w:rsid w:val="00E40C16"/>
    <w:rsid w:val="00E40CAE"/>
    <w:rsid w:val="00E40F40"/>
    <w:rsid w:val="00E4125D"/>
    <w:rsid w:val="00E41520"/>
    <w:rsid w:val="00E41620"/>
    <w:rsid w:val="00E41794"/>
    <w:rsid w:val="00E41C9B"/>
    <w:rsid w:val="00E41CC0"/>
    <w:rsid w:val="00E420E6"/>
    <w:rsid w:val="00E426CB"/>
    <w:rsid w:val="00E42776"/>
    <w:rsid w:val="00E428DA"/>
    <w:rsid w:val="00E42CA8"/>
    <w:rsid w:val="00E4303F"/>
    <w:rsid w:val="00E430AC"/>
    <w:rsid w:val="00E430B4"/>
    <w:rsid w:val="00E430BE"/>
    <w:rsid w:val="00E4336B"/>
    <w:rsid w:val="00E43461"/>
    <w:rsid w:val="00E434E6"/>
    <w:rsid w:val="00E436B5"/>
    <w:rsid w:val="00E4372B"/>
    <w:rsid w:val="00E439D2"/>
    <w:rsid w:val="00E43C92"/>
    <w:rsid w:val="00E43D85"/>
    <w:rsid w:val="00E43E1F"/>
    <w:rsid w:val="00E43FB4"/>
    <w:rsid w:val="00E4408F"/>
    <w:rsid w:val="00E4409F"/>
    <w:rsid w:val="00E442E1"/>
    <w:rsid w:val="00E44A6B"/>
    <w:rsid w:val="00E44AD1"/>
    <w:rsid w:val="00E44B83"/>
    <w:rsid w:val="00E44C00"/>
    <w:rsid w:val="00E44C21"/>
    <w:rsid w:val="00E44C6F"/>
    <w:rsid w:val="00E44C96"/>
    <w:rsid w:val="00E4505A"/>
    <w:rsid w:val="00E450B0"/>
    <w:rsid w:val="00E451D0"/>
    <w:rsid w:val="00E451FB"/>
    <w:rsid w:val="00E45217"/>
    <w:rsid w:val="00E45341"/>
    <w:rsid w:val="00E4542E"/>
    <w:rsid w:val="00E454A8"/>
    <w:rsid w:val="00E456A6"/>
    <w:rsid w:val="00E456D0"/>
    <w:rsid w:val="00E4573A"/>
    <w:rsid w:val="00E45843"/>
    <w:rsid w:val="00E458E7"/>
    <w:rsid w:val="00E4597C"/>
    <w:rsid w:val="00E45A86"/>
    <w:rsid w:val="00E45DA4"/>
    <w:rsid w:val="00E45ED5"/>
    <w:rsid w:val="00E462AA"/>
    <w:rsid w:val="00E462F4"/>
    <w:rsid w:val="00E4667B"/>
    <w:rsid w:val="00E46739"/>
    <w:rsid w:val="00E467F1"/>
    <w:rsid w:val="00E46892"/>
    <w:rsid w:val="00E468D8"/>
    <w:rsid w:val="00E46A9D"/>
    <w:rsid w:val="00E46DD1"/>
    <w:rsid w:val="00E46F18"/>
    <w:rsid w:val="00E4702E"/>
    <w:rsid w:val="00E471C0"/>
    <w:rsid w:val="00E4735C"/>
    <w:rsid w:val="00E4747C"/>
    <w:rsid w:val="00E47585"/>
    <w:rsid w:val="00E476B2"/>
    <w:rsid w:val="00E476CE"/>
    <w:rsid w:val="00E47824"/>
    <w:rsid w:val="00E47A78"/>
    <w:rsid w:val="00E47B25"/>
    <w:rsid w:val="00E47D17"/>
    <w:rsid w:val="00E47ECA"/>
    <w:rsid w:val="00E50643"/>
    <w:rsid w:val="00E5095A"/>
    <w:rsid w:val="00E509B0"/>
    <w:rsid w:val="00E50AC7"/>
    <w:rsid w:val="00E50D41"/>
    <w:rsid w:val="00E50D70"/>
    <w:rsid w:val="00E50EF9"/>
    <w:rsid w:val="00E51046"/>
    <w:rsid w:val="00E5137C"/>
    <w:rsid w:val="00E5141A"/>
    <w:rsid w:val="00E51EB9"/>
    <w:rsid w:val="00E51F1E"/>
    <w:rsid w:val="00E51FCD"/>
    <w:rsid w:val="00E5200A"/>
    <w:rsid w:val="00E52153"/>
    <w:rsid w:val="00E52162"/>
    <w:rsid w:val="00E523E7"/>
    <w:rsid w:val="00E5253B"/>
    <w:rsid w:val="00E52609"/>
    <w:rsid w:val="00E5293C"/>
    <w:rsid w:val="00E52A90"/>
    <w:rsid w:val="00E52C90"/>
    <w:rsid w:val="00E52D19"/>
    <w:rsid w:val="00E52E6E"/>
    <w:rsid w:val="00E52E7D"/>
    <w:rsid w:val="00E52FD7"/>
    <w:rsid w:val="00E530AC"/>
    <w:rsid w:val="00E5324E"/>
    <w:rsid w:val="00E53382"/>
    <w:rsid w:val="00E537B7"/>
    <w:rsid w:val="00E5385C"/>
    <w:rsid w:val="00E5389E"/>
    <w:rsid w:val="00E538FA"/>
    <w:rsid w:val="00E539FD"/>
    <w:rsid w:val="00E53A92"/>
    <w:rsid w:val="00E53D3E"/>
    <w:rsid w:val="00E53DF7"/>
    <w:rsid w:val="00E542AD"/>
    <w:rsid w:val="00E5432D"/>
    <w:rsid w:val="00E54483"/>
    <w:rsid w:val="00E54487"/>
    <w:rsid w:val="00E54508"/>
    <w:rsid w:val="00E54A5A"/>
    <w:rsid w:val="00E54AF9"/>
    <w:rsid w:val="00E54DAB"/>
    <w:rsid w:val="00E54F5B"/>
    <w:rsid w:val="00E55095"/>
    <w:rsid w:val="00E554C5"/>
    <w:rsid w:val="00E55651"/>
    <w:rsid w:val="00E55994"/>
    <w:rsid w:val="00E5599E"/>
    <w:rsid w:val="00E55B0C"/>
    <w:rsid w:val="00E55CAB"/>
    <w:rsid w:val="00E55FE0"/>
    <w:rsid w:val="00E560E1"/>
    <w:rsid w:val="00E560FE"/>
    <w:rsid w:val="00E561B2"/>
    <w:rsid w:val="00E56219"/>
    <w:rsid w:val="00E56237"/>
    <w:rsid w:val="00E56278"/>
    <w:rsid w:val="00E562AB"/>
    <w:rsid w:val="00E565C3"/>
    <w:rsid w:val="00E5665F"/>
    <w:rsid w:val="00E56724"/>
    <w:rsid w:val="00E5691E"/>
    <w:rsid w:val="00E5694F"/>
    <w:rsid w:val="00E56B19"/>
    <w:rsid w:val="00E570E8"/>
    <w:rsid w:val="00E5734F"/>
    <w:rsid w:val="00E5770F"/>
    <w:rsid w:val="00E57712"/>
    <w:rsid w:val="00E577BD"/>
    <w:rsid w:val="00E578AD"/>
    <w:rsid w:val="00E57A13"/>
    <w:rsid w:val="00E57CB5"/>
    <w:rsid w:val="00E57F3C"/>
    <w:rsid w:val="00E60005"/>
    <w:rsid w:val="00E600F9"/>
    <w:rsid w:val="00E60102"/>
    <w:rsid w:val="00E60211"/>
    <w:rsid w:val="00E60404"/>
    <w:rsid w:val="00E60529"/>
    <w:rsid w:val="00E60756"/>
    <w:rsid w:val="00E609A1"/>
    <w:rsid w:val="00E60A01"/>
    <w:rsid w:val="00E60B5B"/>
    <w:rsid w:val="00E60C52"/>
    <w:rsid w:val="00E610FD"/>
    <w:rsid w:val="00E611A7"/>
    <w:rsid w:val="00E612BA"/>
    <w:rsid w:val="00E61308"/>
    <w:rsid w:val="00E61601"/>
    <w:rsid w:val="00E617E2"/>
    <w:rsid w:val="00E61847"/>
    <w:rsid w:val="00E61A4C"/>
    <w:rsid w:val="00E61B6F"/>
    <w:rsid w:val="00E61CD2"/>
    <w:rsid w:val="00E61CD7"/>
    <w:rsid w:val="00E61EFE"/>
    <w:rsid w:val="00E62164"/>
    <w:rsid w:val="00E62283"/>
    <w:rsid w:val="00E623FB"/>
    <w:rsid w:val="00E6247A"/>
    <w:rsid w:val="00E62500"/>
    <w:rsid w:val="00E6272B"/>
    <w:rsid w:val="00E627DC"/>
    <w:rsid w:val="00E62837"/>
    <w:rsid w:val="00E62A71"/>
    <w:rsid w:val="00E62C2B"/>
    <w:rsid w:val="00E62C4F"/>
    <w:rsid w:val="00E62E7E"/>
    <w:rsid w:val="00E62FFB"/>
    <w:rsid w:val="00E630C3"/>
    <w:rsid w:val="00E631EC"/>
    <w:rsid w:val="00E631F2"/>
    <w:rsid w:val="00E63282"/>
    <w:rsid w:val="00E632AB"/>
    <w:rsid w:val="00E633E7"/>
    <w:rsid w:val="00E6342A"/>
    <w:rsid w:val="00E635A7"/>
    <w:rsid w:val="00E6392D"/>
    <w:rsid w:val="00E63938"/>
    <w:rsid w:val="00E63BE4"/>
    <w:rsid w:val="00E63D8D"/>
    <w:rsid w:val="00E63E5F"/>
    <w:rsid w:val="00E64001"/>
    <w:rsid w:val="00E642F7"/>
    <w:rsid w:val="00E644C4"/>
    <w:rsid w:val="00E644F2"/>
    <w:rsid w:val="00E64584"/>
    <w:rsid w:val="00E645CD"/>
    <w:rsid w:val="00E6487C"/>
    <w:rsid w:val="00E6498A"/>
    <w:rsid w:val="00E64CE9"/>
    <w:rsid w:val="00E64DDC"/>
    <w:rsid w:val="00E64E2E"/>
    <w:rsid w:val="00E6508C"/>
    <w:rsid w:val="00E65366"/>
    <w:rsid w:val="00E653FA"/>
    <w:rsid w:val="00E6543E"/>
    <w:rsid w:val="00E65534"/>
    <w:rsid w:val="00E66121"/>
    <w:rsid w:val="00E6612B"/>
    <w:rsid w:val="00E6617D"/>
    <w:rsid w:val="00E664B6"/>
    <w:rsid w:val="00E66808"/>
    <w:rsid w:val="00E6682F"/>
    <w:rsid w:val="00E66E28"/>
    <w:rsid w:val="00E66EDA"/>
    <w:rsid w:val="00E66F27"/>
    <w:rsid w:val="00E670CB"/>
    <w:rsid w:val="00E6723E"/>
    <w:rsid w:val="00E6732C"/>
    <w:rsid w:val="00E67371"/>
    <w:rsid w:val="00E67428"/>
    <w:rsid w:val="00E6744C"/>
    <w:rsid w:val="00E67538"/>
    <w:rsid w:val="00E67754"/>
    <w:rsid w:val="00E6787A"/>
    <w:rsid w:val="00E67909"/>
    <w:rsid w:val="00E67AE8"/>
    <w:rsid w:val="00E67B13"/>
    <w:rsid w:val="00E67B53"/>
    <w:rsid w:val="00E702C4"/>
    <w:rsid w:val="00E70341"/>
    <w:rsid w:val="00E70419"/>
    <w:rsid w:val="00E704D9"/>
    <w:rsid w:val="00E705F5"/>
    <w:rsid w:val="00E70633"/>
    <w:rsid w:val="00E70A14"/>
    <w:rsid w:val="00E70A63"/>
    <w:rsid w:val="00E70C12"/>
    <w:rsid w:val="00E70D8D"/>
    <w:rsid w:val="00E70DE1"/>
    <w:rsid w:val="00E70F27"/>
    <w:rsid w:val="00E70FA7"/>
    <w:rsid w:val="00E7105B"/>
    <w:rsid w:val="00E710FF"/>
    <w:rsid w:val="00E712EB"/>
    <w:rsid w:val="00E7142D"/>
    <w:rsid w:val="00E7151F"/>
    <w:rsid w:val="00E7152F"/>
    <w:rsid w:val="00E7169B"/>
    <w:rsid w:val="00E716A5"/>
    <w:rsid w:val="00E7176B"/>
    <w:rsid w:val="00E71BBE"/>
    <w:rsid w:val="00E71CE4"/>
    <w:rsid w:val="00E71EF8"/>
    <w:rsid w:val="00E71F2B"/>
    <w:rsid w:val="00E721B3"/>
    <w:rsid w:val="00E724EE"/>
    <w:rsid w:val="00E725FD"/>
    <w:rsid w:val="00E726B5"/>
    <w:rsid w:val="00E7279F"/>
    <w:rsid w:val="00E72811"/>
    <w:rsid w:val="00E729F6"/>
    <w:rsid w:val="00E72A3F"/>
    <w:rsid w:val="00E72FA1"/>
    <w:rsid w:val="00E72FB5"/>
    <w:rsid w:val="00E73290"/>
    <w:rsid w:val="00E73304"/>
    <w:rsid w:val="00E7351B"/>
    <w:rsid w:val="00E739DB"/>
    <w:rsid w:val="00E73A63"/>
    <w:rsid w:val="00E73BB5"/>
    <w:rsid w:val="00E73BC3"/>
    <w:rsid w:val="00E73C2D"/>
    <w:rsid w:val="00E73C84"/>
    <w:rsid w:val="00E73ED1"/>
    <w:rsid w:val="00E74172"/>
    <w:rsid w:val="00E74461"/>
    <w:rsid w:val="00E7495E"/>
    <w:rsid w:val="00E749A3"/>
    <w:rsid w:val="00E74B62"/>
    <w:rsid w:val="00E74CC5"/>
    <w:rsid w:val="00E74E10"/>
    <w:rsid w:val="00E74ECF"/>
    <w:rsid w:val="00E74FB7"/>
    <w:rsid w:val="00E75019"/>
    <w:rsid w:val="00E7520D"/>
    <w:rsid w:val="00E752E7"/>
    <w:rsid w:val="00E75458"/>
    <w:rsid w:val="00E7553A"/>
    <w:rsid w:val="00E7563E"/>
    <w:rsid w:val="00E7566D"/>
    <w:rsid w:val="00E756A3"/>
    <w:rsid w:val="00E75BA9"/>
    <w:rsid w:val="00E75C24"/>
    <w:rsid w:val="00E760A7"/>
    <w:rsid w:val="00E76131"/>
    <w:rsid w:val="00E762FD"/>
    <w:rsid w:val="00E7632E"/>
    <w:rsid w:val="00E763B3"/>
    <w:rsid w:val="00E76687"/>
    <w:rsid w:val="00E767B4"/>
    <w:rsid w:val="00E767C3"/>
    <w:rsid w:val="00E768CD"/>
    <w:rsid w:val="00E76AA6"/>
    <w:rsid w:val="00E76B6F"/>
    <w:rsid w:val="00E77179"/>
    <w:rsid w:val="00E771A8"/>
    <w:rsid w:val="00E7750E"/>
    <w:rsid w:val="00E77665"/>
    <w:rsid w:val="00E77971"/>
    <w:rsid w:val="00E77A70"/>
    <w:rsid w:val="00E77F51"/>
    <w:rsid w:val="00E8007A"/>
    <w:rsid w:val="00E80215"/>
    <w:rsid w:val="00E8068D"/>
    <w:rsid w:val="00E80710"/>
    <w:rsid w:val="00E80847"/>
    <w:rsid w:val="00E8095D"/>
    <w:rsid w:val="00E80BF9"/>
    <w:rsid w:val="00E80CBC"/>
    <w:rsid w:val="00E80FB6"/>
    <w:rsid w:val="00E81087"/>
    <w:rsid w:val="00E81343"/>
    <w:rsid w:val="00E8138D"/>
    <w:rsid w:val="00E813A6"/>
    <w:rsid w:val="00E8172A"/>
    <w:rsid w:val="00E81AD1"/>
    <w:rsid w:val="00E81CD0"/>
    <w:rsid w:val="00E81D66"/>
    <w:rsid w:val="00E81ECC"/>
    <w:rsid w:val="00E81EF9"/>
    <w:rsid w:val="00E82041"/>
    <w:rsid w:val="00E82112"/>
    <w:rsid w:val="00E821C8"/>
    <w:rsid w:val="00E8224F"/>
    <w:rsid w:val="00E8231D"/>
    <w:rsid w:val="00E8247E"/>
    <w:rsid w:val="00E829F4"/>
    <w:rsid w:val="00E82B45"/>
    <w:rsid w:val="00E82B68"/>
    <w:rsid w:val="00E82CC1"/>
    <w:rsid w:val="00E82CE3"/>
    <w:rsid w:val="00E82DE6"/>
    <w:rsid w:val="00E82FFF"/>
    <w:rsid w:val="00E83173"/>
    <w:rsid w:val="00E831FA"/>
    <w:rsid w:val="00E832BB"/>
    <w:rsid w:val="00E833D8"/>
    <w:rsid w:val="00E83413"/>
    <w:rsid w:val="00E83605"/>
    <w:rsid w:val="00E8363A"/>
    <w:rsid w:val="00E8368A"/>
    <w:rsid w:val="00E838EB"/>
    <w:rsid w:val="00E839B4"/>
    <w:rsid w:val="00E83A6C"/>
    <w:rsid w:val="00E83B89"/>
    <w:rsid w:val="00E83C24"/>
    <w:rsid w:val="00E83CD2"/>
    <w:rsid w:val="00E83D70"/>
    <w:rsid w:val="00E83D8D"/>
    <w:rsid w:val="00E84038"/>
    <w:rsid w:val="00E84110"/>
    <w:rsid w:val="00E84167"/>
    <w:rsid w:val="00E84208"/>
    <w:rsid w:val="00E844B6"/>
    <w:rsid w:val="00E845CA"/>
    <w:rsid w:val="00E847D1"/>
    <w:rsid w:val="00E848D5"/>
    <w:rsid w:val="00E84E83"/>
    <w:rsid w:val="00E84EE5"/>
    <w:rsid w:val="00E84F9C"/>
    <w:rsid w:val="00E84F9E"/>
    <w:rsid w:val="00E851C9"/>
    <w:rsid w:val="00E855C1"/>
    <w:rsid w:val="00E85728"/>
    <w:rsid w:val="00E85B39"/>
    <w:rsid w:val="00E85E63"/>
    <w:rsid w:val="00E85FB3"/>
    <w:rsid w:val="00E8615C"/>
    <w:rsid w:val="00E86196"/>
    <w:rsid w:val="00E863C1"/>
    <w:rsid w:val="00E86424"/>
    <w:rsid w:val="00E86B58"/>
    <w:rsid w:val="00E872E7"/>
    <w:rsid w:val="00E874E5"/>
    <w:rsid w:val="00E8765A"/>
    <w:rsid w:val="00E8776A"/>
    <w:rsid w:val="00E879C5"/>
    <w:rsid w:val="00E90035"/>
    <w:rsid w:val="00E90094"/>
    <w:rsid w:val="00E900B1"/>
    <w:rsid w:val="00E9040D"/>
    <w:rsid w:val="00E90511"/>
    <w:rsid w:val="00E907F5"/>
    <w:rsid w:val="00E90809"/>
    <w:rsid w:val="00E909A2"/>
    <w:rsid w:val="00E90B4A"/>
    <w:rsid w:val="00E90DE0"/>
    <w:rsid w:val="00E90F25"/>
    <w:rsid w:val="00E90F32"/>
    <w:rsid w:val="00E910B6"/>
    <w:rsid w:val="00E9112C"/>
    <w:rsid w:val="00E91371"/>
    <w:rsid w:val="00E913F4"/>
    <w:rsid w:val="00E91491"/>
    <w:rsid w:val="00E914DC"/>
    <w:rsid w:val="00E9157D"/>
    <w:rsid w:val="00E9185E"/>
    <w:rsid w:val="00E91898"/>
    <w:rsid w:val="00E91B18"/>
    <w:rsid w:val="00E91CA9"/>
    <w:rsid w:val="00E920CB"/>
    <w:rsid w:val="00E92262"/>
    <w:rsid w:val="00E922D6"/>
    <w:rsid w:val="00E92360"/>
    <w:rsid w:val="00E92578"/>
    <w:rsid w:val="00E92587"/>
    <w:rsid w:val="00E92A6A"/>
    <w:rsid w:val="00E92EB0"/>
    <w:rsid w:val="00E93063"/>
    <w:rsid w:val="00E930B1"/>
    <w:rsid w:val="00E93131"/>
    <w:rsid w:val="00E93175"/>
    <w:rsid w:val="00E93461"/>
    <w:rsid w:val="00E9351E"/>
    <w:rsid w:val="00E9354A"/>
    <w:rsid w:val="00E93832"/>
    <w:rsid w:val="00E93896"/>
    <w:rsid w:val="00E93911"/>
    <w:rsid w:val="00E93A46"/>
    <w:rsid w:val="00E93A61"/>
    <w:rsid w:val="00E93CAE"/>
    <w:rsid w:val="00E940A3"/>
    <w:rsid w:val="00E9424B"/>
    <w:rsid w:val="00E943A8"/>
    <w:rsid w:val="00E943CE"/>
    <w:rsid w:val="00E944D8"/>
    <w:rsid w:val="00E944DF"/>
    <w:rsid w:val="00E944F5"/>
    <w:rsid w:val="00E946A7"/>
    <w:rsid w:val="00E949EC"/>
    <w:rsid w:val="00E94A4A"/>
    <w:rsid w:val="00E94B50"/>
    <w:rsid w:val="00E94C76"/>
    <w:rsid w:val="00E95068"/>
    <w:rsid w:val="00E9561F"/>
    <w:rsid w:val="00E95BEA"/>
    <w:rsid w:val="00E95FDF"/>
    <w:rsid w:val="00E9630B"/>
    <w:rsid w:val="00E964E9"/>
    <w:rsid w:val="00E964FC"/>
    <w:rsid w:val="00E96538"/>
    <w:rsid w:val="00E96571"/>
    <w:rsid w:val="00E965FD"/>
    <w:rsid w:val="00E9668A"/>
    <w:rsid w:val="00E9685B"/>
    <w:rsid w:val="00E96DED"/>
    <w:rsid w:val="00E96E28"/>
    <w:rsid w:val="00E96F49"/>
    <w:rsid w:val="00E96F95"/>
    <w:rsid w:val="00E97076"/>
    <w:rsid w:val="00E97194"/>
    <w:rsid w:val="00E973B0"/>
    <w:rsid w:val="00E977D0"/>
    <w:rsid w:val="00E979EB"/>
    <w:rsid w:val="00EA00ED"/>
    <w:rsid w:val="00EA0483"/>
    <w:rsid w:val="00EA06FE"/>
    <w:rsid w:val="00EA0907"/>
    <w:rsid w:val="00EA0B0A"/>
    <w:rsid w:val="00EA0C43"/>
    <w:rsid w:val="00EA0C6A"/>
    <w:rsid w:val="00EA0CDF"/>
    <w:rsid w:val="00EA0EB1"/>
    <w:rsid w:val="00EA1986"/>
    <w:rsid w:val="00EA1A5E"/>
    <w:rsid w:val="00EA1FC2"/>
    <w:rsid w:val="00EA2100"/>
    <w:rsid w:val="00EA2166"/>
    <w:rsid w:val="00EA21BD"/>
    <w:rsid w:val="00EA23DC"/>
    <w:rsid w:val="00EA24F0"/>
    <w:rsid w:val="00EA273C"/>
    <w:rsid w:val="00EA28E1"/>
    <w:rsid w:val="00EA29AB"/>
    <w:rsid w:val="00EA2CD0"/>
    <w:rsid w:val="00EA2D1E"/>
    <w:rsid w:val="00EA2D5F"/>
    <w:rsid w:val="00EA2FCD"/>
    <w:rsid w:val="00EA30B4"/>
    <w:rsid w:val="00EA321F"/>
    <w:rsid w:val="00EA3399"/>
    <w:rsid w:val="00EA34DD"/>
    <w:rsid w:val="00EA36A4"/>
    <w:rsid w:val="00EA3B79"/>
    <w:rsid w:val="00EA3CC7"/>
    <w:rsid w:val="00EA3E1B"/>
    <w:rsid w:val="00EA3E58"/>
    <w:rsid w:val="00EA3E64"/>
    <w:rsid w:val="00EA3EF7"/>
    <w:rsid w:val="00EA3FE1"/>
    <w:rsid w:val="00EA42C4"/>
    <w:rsid w:val="00EA4704"/>
    <w:rsid w:val="00EA47D3"/>
    <w:rsid w:val="00EA49B6"/>
    <w:rsid w:val="00EA4F45"/>
    <w:rsid w:val="00EA5006"/>
    <w:rsid w:val="00EA510F"/>
    <w:rsid w:val="00EA531C"/>
    <w:rsid w:val="00EA55AC"/>
    <w:rsid w:val="00EA589A"/>
    <w:rsid w:val="00EA5AD1"/>
    <w:rsid w:val="00EA5DAF"/>
    <w:rsid w:val="00EA6093"/>
    <w:rsid w:val="00EA6242"/>
    <w:rsid w:val="00EA644C"/>
    <w:rsid w:val="00EA668A"/>
    <w:rsid w:val="00EA6723"/>
    <w:rsid w:val="00EA6734"/>
    <w:rsid w:val="00EA6A02"/>
    <w:rsid w:val="00EA6A46"/>
    <w:rsid w:val="00EA6DCB"/>
    <w:rsid w:val="00EA6ECA"/>
    <w:rsid w:val="00EA706E"/>
    <w:rsid w:val="00EA70AD"/>
    <w:rsid w:val="00EA73F1"/>
    <w:rsid w:val="00EA73FD"/>
    <w:rsid w:val="00EA7406"/>
    <w:rsid w:val="00EA7481"/>
    <w:rsid w:val="00EA7573"/>
    <w:rsid w:val="00EA7730"/>
    <w:rsid w:val="00EA791F"/>
    <w:rsid w:val="00EA794D"/>
    <w:rsid w:val="00EA7DD7"/>
    <w:rsid w:val="00EA7E07"/>
    <w:rsid w:val="00EA7ED2"/>
    <w:rsid w:val="00EA7F54"/>
    <w:rsid w:val="00EA7FB9"/>
    <w:rsid w:val="00EB0241"/>
    <w:rsid w:val="00EB04C2"/>
    <w:rsid w:val="00EB0685"/>
    <w:rsid w:val="00EB0830"/>
    <w:rsid w:val="00EB0B04"/>
    <w:rsid w:val="00EB0B57"/>
    <w:rsid w:val="00EB0BC0"/>
    <w:rsid w:val="00EB0CD1"/>
    <w:rsid w:val="00EB0FF3"/>
    <w:rsid w:val="00EB1374"/>
    <w:rsid w:val="00EB138F"/>
    <w:rsid w:val="00EB1BB4"/>
    <w:rsid w:val="00EB1BD9"/>
    <w:rsid w:val="00EB1D4E"/>
    <w:rsid w:val="00EB1E30"/>
    <w:rsid w:val="00EB2249"/>
    <w:rsid w:val="00EB2452"/>
    <w:rsid w:val="00EB2498"/>
    <w:rsid w:val="00EB2561"/>
    <w:rsid w:val="00EB26F1"/>
    <w:rsid w:val="00EB278D"/>
    <w:rsid w:val="00EB27D2"/>
    <w:rsid w:val="00EB28FB"/>
    <w:rsid w:val="00EB2C2B"/>
    <w:rsid w:val="00EB2C4F"/>
    <w:rsid w:val="00EB2F9E"/>
    <w:rsid w:val="00EB30E9"/>
    <w:rsid w:val="00EB3218"/>
    <w:rsid w:val="00EB3378"/>
    <w:rsid w:val="00EB350E"/>
    <w:rsid w:val="00EB37E5"/>
    <w:rsid w:val="00EB37FF"/>
    <w:rsid w:val="00EB38FA"/>
    <w:rsid w:val="00EB439D"/>
    <w:rsid w:val="00EB46DE"/>
    <w:rsid w:val="00EB498D"/>
    <w:rsid w:val="00EB4C7D"/>
    <w:rsid w:val="00EB4D2C"/>
    <w:rsid w:val="00EB4E6E"/>
    <w:rsid w:val="00EB4E98"/>
    <w:rsid w:val="00EB5706"/>
    <w:rsid w:val="00EB574E"/>
    <w:rsid w:val="00EB57AA"/>
    <w:rsid w:val="00EB5BAD"/>
    <w:rsid w:val="00EB5CE6"/>
    <w:rsid w:val="00EB5E7F"/>
    <w:rsid w:val="00EB60FD"/>
    <w:rsid w:val="00EB624F"/>
    <w:rsid w:val="00EB62B0"/>
    <w:rsid w:val="00EB64E2"/>
    <w:rsid w:val="00EB6699"/>
    <w:rsid w:val="00EB67A9"/>
    <w:rsid w:val="00EB683F"/>
    <w:rsid w:val="00EB6904"/>
    <w:rsid w:val="00EB69B8"/>
    <w:rsid w:val="00EB6A77"/>
    <w:rsid w:val="00EB6C12"/>
    <w:rsid w:val="00EB6F0E"/>
    <w:rsid w:val="00EB7009"/>
    <w:rsid w:val="00EB70A7"/>
    <w:rsid w:val="00EB710B"/>
    <w:rsid w:val="00EB7351"/>
    <w:rsid w:val="00EB7523"/>
    <w:rsid w:val="00EB775F"/>
    <w:rsid w:val="00EB78CC"/>
    <w:rsid w:val="00EB7929"/>
    <w:rsid w:val="00EB7B37"/>
    <w:rsid w:val="00EB7D2D"/>
    <w:rsid w:val="00EB7EA9"/>
    <w:rsid w:val="00EB7F81"/>
    <w:rsid w:val="00EC00F1"/>
    <w:rsid w:val="00EC0116"/>
    <w:rsid w:val="00EC0262"/>
    <w:rsid w:val="00EC02F8"/>
    <w:rsid w:val="00EC0739"/>
    <w:rsid w:val="00EC0A99"/>
    <w:rsid w:val="00EC0AF5"/>
    <w:rsid w:val="00EC0B3E"/>
    <w:rsid w:val="00EC0E7D"/>
    <w:rsid w:val="00EC0EDB"/>
    <w:rsid w:val="00EC1144"/>
    <w:rsid w:val="00EC1294"/>
    <w:rsid w:val="00EC16FB"/>
    <w:rsid w:val="00EC1764"/>
    <w:rsid w:val="00EC1934"/>
    <w:rsid w:val="00EC1B46"/>
    <w:rsid w:val="00EC1BFC"/>
    <w:rsid w:val="00EC1C8F"/>
    <w:rsid w:val="00EC1C96"/>
    <w:rsid w:val="00EC1E47"/>
    <w:rsid w:val="00EC1F04"/>
    <w:rsid w:val="00EC1F17"/>
    <w:rsid w:val="00EC1F6D"/>
    <w:rsid w:val="00EC20C2"/>
    <w:rsid w:val="00EC21C6"/>
    <w:rsid w:val="00EC230C"/>
    <w:rsid w:val="00EC2455"/>
    <w:rsid w:val="00EC24B4"/>
    <w:rsid w:val="00EC24C0"/>
    <w:rsid w:val="00EC24CF"/>
    <w:rsid w:val="00EC25B3"/>
    <w:rsid w:val="00EC264B"/>
    <w:rsid w:val="00EC267C"/>
    <w:rsid w:val="00EC2BD1"/>
    <w:rsid w:val="00EC2D0C"/>
    <w:rsid w:val="00EC2FF0"/>
    <w:rsid w:val="00EC3146"/>
    <w:rsid w:val="00EC3190"/>
    <w:rsid w:val="00EC3567"/>
    <w:rsid w:val="00EC39D2"/>
    <w:rsid w:val="00EC3A59"/>
    <w:rsid w:val="00EC3B44"/>
    <w:rsid w:val="00EC3BA2"/>
    <w:rsid w:val="00EC3C6B"/>
    <w:rsid w:val="00EC42A5"/>
    <w:rsid w:val="00EC43F9"/>
    <w:rsid w:val="00EC455E"/>
    <w:rsid w:val="00EC4696"/>
    <w:rsid w:val="00EC48C6"/>
    <w:rsid w:val="00EC48DE"/>
    <w:rsid w:val="00EC4B18"/>
    <w:rsid w:val="00EC4EC8"/>
    <w:rsid w:val="00EC4F3D"/>
    <w:rsid w:val="00EC4FB2"/>
    <w:rsid w:val="00EC4FFD"/>
    <w:rsid w:val="00EC52B8"/>
    <w:rsid w:val="00EC570A"/>
    <w:rsid w:val="00EC5A81"/>
    <w:rsid w:val="00EC5B71"/>
    <w:rsid w:val="00EC5D0C"/>
    <w:rsid w:val="00EC5E98"/>
    <w:rsid w:val="00EC5EEE"/>
    <w:rsid w:val="00EC6491"/>
    <w:rsid w:val="00EC65F9"/>
    <w:rsid w:val="00EC66AB"/>
    <w:rsid w:val="00EC6930"/>
    <w:rsid w:val="00EC6AEC"/>
    <w:rsid w:val="00EC70C1"/>
    <w:rsid w:val="00EC71BE"/>
    <w:rsid w:val="00EC7253"/>
    <w:rsid w:val="00EC7388"/>
    <w:rsid w:val="00EC767D"/>
    <w:rsid w:val="00EC780E"/>
    <w:rsid w:val="00EC7D98"/>
    <w:rsid w:val="00ED00C2"/>
    <w:rsid w:val="00ED0441"/>
    <w:rsid w:val="00ED0450"/>
    <w:rsid w:val="00ED0524"/>
    <w:rsid w:val="00ED0590"/>
    <w:rsid w:val="00ED05B8"/>
    <w:rsid w:val="00ED06A1"/>
    <w:rsid w:val="00ED0778"/>
    <w:rsid w:val="00ED07D0"/>
    <w:rsid w:val="00ED08B4"/>
    <w:rsid w:val="00ED08B9"/>
    <w:rsid w:val="00ED0AED"/>
    <w:rsid w:val="00ED0B7D"/>
    <w:rsid w:val="00ED0B9A"/>
    <w:rsid w:val="00ED0BBE"/>
    <w:rsid w:val="00ED0BE8"/>
    <w:rsid w:val="00ED0BED"/>
    <w:rsid w:val="00ED0DE0"/>
    <w:rsid w:val="00ED1169"/>
    <w:rsid w:val="00ED1185"/>
    <w:rsid w:val="00ED18EC"/>
    <w:rsid w:val="00ED1AD1"/>
    <w:rsid w:val="00ED1BA6"/>
    <w:rsid w:val="00ED1E96"/>
    <w:rsid w:val="00ED1F14"/>
    <w:rsid w:val="00ED2198"/>
    <w:rsid w:val="00ED2238"/>
    <w:rsid w:val="00ED223E"/>
    <w:rsid w:val="00ED23AB"/>
    <w:rsid w:val="00ED23C9"/>
    <w:rsid w:val="00ED2495"/>
    <w:rsid w:val="00ED25F6"/>
    <w:rsid w:val="00ED27B8"/>
    <w:rsid w:val="00ED2971"/>
    <w:rsid w:val="00ED29AC"/>
    <w:rsid w:val="00ED2B44"/>
    <w:rsid w:val="00ED2CAE"/>
    <w:rsid w:val="00ED2D08"/>
    <w:rsid w:val="00ED2FDA"/>
    <w:rsid w:val="00ED2FFC"/>
    <w:rsid w:val="00ED3166"/>
    <w:rsid w:val="00ED32D6"/>
    <w:rsid w:val="00ED3465"/>
    <w:rsid w:val="00ED3744"/>
    <w:rsid w:val="00ED3746"/>
    <w:rsid w:val="00ED38F8"/>
    <w:rsid w:val="00ED3C25"/>
    <w:rsid w:val="00ED3FB2"/>
    <w:rsid w:val="00ED40F9"/>
    <w:rsid w:val="00ED4133"/>
    <w:rsid w:val="00ED41BD"/>
    <w:rsid w:val="00ED41DD"/>
    <w:rsid w:val="00ED4623"/>
    <w:rsid w:val="00ED477C"/>
    <w:rsid w:val="00ED4A9F"/>
    <w:rsid w:val="00ED4B21"/>
    <w:rsid w:val="00ED4B3C"/>
    <w:rsid w:val="00ED4B3E"/>
    <w:rsid w:val="00ED4DDD"/>
    <w:rsid w:val="00ED5211"/>
    <w:rsid w:val="00ED521B"/>
    <w:rsid w:val="00ED5364"/>
    <w:rsid w:val="00ED54CC"/>
    <w:rsid w:val="00ED5514"/>
    <w:rsid w:val="00ED57D0"/>
    <w:rsid w:val="00ED5900"/>
    <w:rsid w:val="00ED599F"/>
    <w:rsid w:val="00ED5B85"/>
    <w:rsid w:val="00ED5C82"/>
    <w:rsid w:val="00ED5C97"/>
    <w:rsid w:val="00ED5CE8"/>
    <w:rsid w:val="00ED5D43"/>
    <w:rsid w:val="00ED5F52"/>
    <w:rsid w:val="00ED61AB"/>
    <w:rsid w:val="00ED64C5"/>
    <w:rsid w:val="00ED66CE"/>
    <w:rsid w:val="00ED679C"/>
    <w:rsid w:val="00ED6AAE"/>
    <w:rsid w:val="00ED704D"/>
    <w:rsid w:val="00ED715F"/>
    <w:rsid w:val="00ED7320"/>
    <w:rsid w:val="00ED7923"/>
    <w:rsid w:val="00ED7B6F"/>
    <w:rsid w:val="00ED7D10"/>
    <w:rsid w:val="00ED7D2B"/>
    <w:rsid w:val="00ED7D2D"/>
    <w:rsid w:val="00ED7EC7"/>
    <w:rsid w:val="00ED7ED0"/>
    <w:rsid w:val="00ED7EE0"/>
    <w:rsid w:val="00ED7EF5"/>
    <w:rsid w:val="00ED7FE4"/>
    <w:rsid w:val="00EE0020"/>
    <w:rsid w:val="00EE0446"/>
    <w:rsid w:val="00EE049C"/>
    <w:rsid w:val="00EE0678"/>
    <w:rsid w:val="00EE06FC"/>
    <w:rsid w:val="00EE0727"/>
    <w:rsid w:val="00EE0761"/>
    <w:rsid w:val="00EE0882"/>
    <w:rsid w:val="00EE093E"/>
    <w:rsid w:val="00EE096F"/>
    <w:rsid w:val="00EE0CCE"/>
    <w:rsid w:val="00EE0EC1"/>
    <w:rsid w:val="00EE0EEF"/>
    <w:rsid w:val="00EE0F14"/>
    <w:rsid w:val="00EE0FA3"/>
    <w:rsid w:val="00EE0FCC"/>
    <w:rsid w:val="00EE10F0"/>
    <w:rsid w:val="00EE1430"/>
    <w:rsid w:val="00EE17EF"/>
    <w:rsid w:val="00EE1A6A"/>
    <w:rsid w:val="00EE1D06"/>
    <w:rsid w:val="00EE1D93"/>
    <w:rsid w:val="00EE209C"/>
    <w:rsid w:val="00EE22BB"/>
    <w:rsid w:val="00EE24AF"/>
    <w:rsid w:val="00EE250B"/>
    <w:rsid w:val="00EE258D"/>
    <w:rsid w:val="00EE28B0"/>
    <w:rsid w:val="00EE2A5B"/>
    <w:rsid w:val="00EE2B33"/>
    <w:rsid w:val="00EE2B82"/>
    <w:rsid w:val="00EE2CE4"/>
    <w:rsid w:val="00EE30F0"/>
    <w:rsid w:val="00EE3163"/>
    <w:rsid w:val="00EE323B"/>
    <w:rsid w:val="00EE338F"/>
    <w:rsid w:val="00EE35C2"/>
    <w:rsid w:val="00EE3692"/>
    <w:rsid w:val="00EE36A7"/>
    <w:rsid w:val="00EE3A8C"/>
    <w:rsid w:val="00EE3C00"/>
    <w:rsid w:val="00EE3C2D"/>
    <w:rsid w:val="00EE3E7B"/>
    <w:rsid w:val="00EE4016"/>
    <w:rsid w:val="00EE416C"/>
    <w:rsid w:val="00EE429B"/>
    <w:rsid w:val="00EE431F"/>
    <w:rsid w:val="00EE447C"/>
    <w:rsid w:val="00EE44C8"/>
    <w:rsid w:val="00EE458D"/>
    <w:rsid w:val="00EE46A3"/>
    <w:rsid w:val="00EE48CA"/>
    <w:rsid w:val="00EE49FE"/>
    <w:rsid w:val="00EE4E56"/>
    <w:rsid w:val="00EE4E60"/>
    <w:rsid w:val="00EE4F54"/>
    <w:rsid w:val="00EE51E6"/>
    <w:rsid w:val="00EE5242"/>
    <w:rsid w:val="00EE561A"/>
    <w:rsid w:val="00EE56BD"/>
    <w:rsid w:val="00EE57CF"/>
    <w:rsid w:val="00EE5A6F"/>
    <w:rsid w:val="00EE5C80"/>
    <w:rsid w:val="00EE5C84"/>
    <w:rsid w:val="00EE5D42"/>
    <w:rsid w:val="00EE5D57"/>
    <w:rsid w:val="00EE5FE3"/>
    <w:rsid w:val="00EE6017"/>
    <w:rsid w:val="00EE639B"/>
    <w:rsid w:val="00EE6592"/>
    <w:rsid w:val="00EE6959"/>
    <w:rsid w:val="00EE6E27"/>
    <w:rsid w:val="00EE6E4A"/>
    <w:rsid w:val="00EE7003"/>
    <w:rsid w:val="00EE70D6"/>
    <w:rsid w:val="00EE7220"/>
    <w:rsid w:val="00EE7271"/>
    <w:rsid w:val="00EE72D7"/>
    <w:rsid w:val="00EE738F"/>
    <w:rsid w:val="00EE73A8"/>
    <w:rsid w:val="00EE7632"/>
    <w:rsid w:val="00EE7900"/>
    <w:rsid w:val="00EE7A1B"/>
    <w:rsid w:val="00EE7D6B"/>
    <w:rsid w:val="00EE7DE0"/>
    <w:rsid w:val="00EE7F6D"/>
    <w:rsid w:val="00EF01DB"/>
    <w:rsid w:val="00EF01FC"/>
    <w:rsid w:val="00EF04D5"/>
    <w:rsid w:val="00EF06BF"/>
    <w:rsid w:val="00EF0879"/>
    <w:rsid w:val="00EF08AA"/>
    <w:rsid w:val="00EF091C"/>
    <w:rsid w:val="00EF0BFF"/>
    <w:rsid w:val="00EF0C61"/>
    <w:rsid w:val="00EF0CA9"/>
    <w:rsid w:val="00EF0CC8"/>
    <w:rsid w:val="00EF0F3D"/>
    <w:rsid w:val="00EF102E"/>
    <w:rsid w:val="00EF1090"/>
    <w:rsid w:val="00EF11CC"/>
    <w:rsid w:val="00EF1383"/>
    <w:rsid w:val="00EF13BB"/>
    <w:rsid w:val="00EF15C9"/>
    <w:rsid w:val="00EF19D8"/>
    <w:rsid w:val="00EF1AE0"/>
    <w:rsid w:val="00EF1CCC"/>
    <w:rsid w:val="00EF1D7A"/>
    <w:rsid w:val="00EF1E06"/>
    <w:rsid w:val="00EF2041"/>
    <w:rsid w:val="00EF21B4"/>
    <w:rsid w:val="00EF22CF"/>
    <w:rsid w:val="00EF23D2"/>
    <w:rsid w:val="00EF248D"/>
    <w:rsid w:val="00EF2609"/>
    <w:rsid w:val="00EF26D8"/>
    <w:rsid w:val="00EF275D"/>
    <w:rsid w:val="00EF2B50"/>
    <w:rsid w:val="00EF2BC0"/>
    <w:rsid w:val="00EF2C47"/>
    <w:rsid w:val="00EF2F35"/>
    <w:rsid w:val="00EF307A"/>
    <w:rsid w:val="00EF327B"/>
    <w:rsid w:val="00EF339F"/>
    <w:rsid w:val="00EF36EF"/>
    <w:rsid w:val="00EF3B12"/>
    <w:rsid w:val="00EF41E2"/>
    <w:rsid w:val="00EF41FA"/>
    <w:rsid w:val="00EF4352"/>
    <w:rsid w:val="00EF4E52"/>
    <w:rsid w:val="00EF50DF"/>
    <w:rsid w:val="00EF50ED"/>
    <w:rsid w:val="00EF51F6"/>
    <w:rsid w:val="00EF5250"/>
    <w:rsid w:val="00EF53C8"/>
    <w:rsid w:val="00EF5425"/>
    <w:rsid w:val="00EF5690"/>
    <w:rsid w:val="00EF589C"/>
    <w:rsid w:val="00EF58DA"/>
    <w:rsid w:val="00EF5907"/>
    <w:rsid w:val="00EF59FE"/>
    <w:rsid w:val="00EF5B1F"/>
    <w:rsid w:val="00EF5B89"/>
    <w:rsid w:val="00EF5E68"/>
    <w:rsid w:val="00EF5F29"/>
    <w:rsid w:val="00EF5FB5"/>
    <w:rsid w:val="00EF609F"/>
    <w:rsid w:val="00EF611A"/>
    <w:rsid w:val="00EF61B2"/>
    <w:rsid w:val="00EF62B9"/>
    <w:rsid w:val="00EF6433"/>
    <w:rsid w:val="00EF659A"/>
    <w:rsid w:val="00EF66CE"/>
    <w:rsid w:val="00EF676D"/>
    <w:rsid w:val="00EF6820"/>
    <w:rsid w:val="00EF682E"/>
    <w:rsid w:val="00EF691E"/>
    <w:rsid w:val="00EF6A18"/>
    <w:rsid w:val="00EF6BA7"/>
    <w:rsid w:val="00EF6C0B"/>
    <w:rsid w:val="00EF6CB1"/>
    <w:rsid w:val="00EF6E9A"/>
    <w:rsid w:val="00EF6FAF"/>
    <w:rsid w:val="00EF6FB3"/>
    <w:rsid w:val="00EF716A"/>
    <w:rsid w:val="00EF7744"/>
    <w:rsid w:val="00EF797B"/>
    <w:rsid w:val="00EF79A7"/>
    <w:rsid w:val="00EF79B7"/>
    <w:rsid w:val="00EF7BDB"/>
    <w:rsid w:val="00EF7EDE"/>
    <w:rsid w:val="00EF7EE3"/>
    <w:rsid w:val="00F00160"/>
    <w:rsid w:val="00F007AE"/>
    <w:rsid w:val="00F008E0"/>
    <w:rsid w:val="00F00906"/>
    <w:rsid w:val="00F00969"/>
    <w:rsid w:val="00F009E3"/>
    <w:rsid w:val="00F00BBF"/>
    <w:rsid w:val="00F00C32"/>
    <w:rsid w:val="00F00FF6"/>
    <w:rsid w:val="00F01055"/>
    <w:rsid w:val="00F0115B"/>
    <w:rsid w:val="00F011C3"/>
    <w:rsid w:val="00F01205"/>
    <w:rsid w:val="00F0128E"/>
    <w:rsid w:val="00F01413"/>
    <w:rsid w:val="00F014B8"/>
    <w:rsid w:val="00F01528"/>
    <w:rsid w:val="00F0167B"/>
    <w:rsid w:val="00F016BE"/>
    <w:rsid w:val="00F016F0"/>
    <w:rsid w:val="00F01993"/>
    <w:rsid w:val="00F01B67"/>
    <w:rsid w:val="00F01BE3"/>
    <w:rsid w:val="00F01C9D"/>
    <w:rsid w:val="00F01DF3"/>
    <w:rsid w:val="00F01EB7"/>
    <w:rsid w:val="00F0202C"/>
    <w:rsid w:val="00F021D0"/>
    <w:rsid w:val="00F02243"/>
    <w:rsid w:val="00F022E2"/>
    <w:rsid w:val="00F0238E"/>
    <w:rsid w:val="00F0243D"/>
    <w:rsid w:val="00F0261A"/>
    <w:rsid w:val="00F02911"/>
    <w:rsid w:val="00F02AA4"/>
    <w:rsid w:val="00F02DA1"/>
    <w:rsid w:val="00F02E5D"/>
    <w:rsid w:val="00F02F0A"/>
    <w:rsid w:val="00F03121"/>
    <w:rsid w:val="00F03206"/>
    <w:rsid w:val="00F03415"/>
    <w:rsid w:val="00F03479"/>
    <w:rsid w:val="00F035E7"/>
    <w:rsid w:val="00F03632"/>
    <w:rsid w:val="00F03693"/>
    <w:rsid w:val="00F038B4"/>
    <w:rsid w:val="00F039DE"/>
    <w:rsid w:val="00F03C5C"/>
    <w:rsid w:val="00F03D6E"/>
    <w:rsid w:val="00F03FCA"/>
    <w:rsid w:val="00F04034"/>
    <w:rsid w:val="00F04720"/>
    <w:rsid w:val="00F04768"/>
    <w:rsid w:val="00F04D0F"/>
    <w:rsid w:val="00F04D86"/>
    <w:rsid w:val="00F04DCD"/>
    <w:rsid w:val="00F04E9B"/>
    <w:rsid w:val="00F04EB2"/>
    <w:rsid w:val="00F04F62"/>
    <w:rsid w:val="00F04FEF"/>
    <w:rsid w:val="00F0526A"/>
    <w:rsid w:val="00F05286"/>
    <w:rsid w:val="00F0536D"/>
    <w:rsid w:val="00F054B2"/>
    <w:rsid w:val="00F057C4"/>
    <w:rsid w:val="00F059BB"/>
    <w:rsid w:val="00F05D65"/>
    <w:rsid w:val="00F05E8E"/>
    <w:rsid w:val="00F05EE4"/>
    <w:rsid w:val="00F05F0B"/>
    <w:rsid w:val="00F06047"/>
    <w:rsid w:val="00F061ED"/>
    <w:rsid w:val="00F06366"/>
    <w:rsid w:val="00F06518"/>
    <w:rsid w:val="00F06558"/>
    <w:rsid w:val="00F065B8"/>
    <w:rsid w:val="00F06783"/>
    <w:rsid w:val="00F06836"/>
    <w:rsid w:val="00F06BED"/>
    <w:rsid w:val="00F06BF6"/>
    <w:rsid w:val="00F06D1D"/>
    <w:rsid w:val="00F070F7"/>
    <w:rsid w:val="00F07106"/>
    <w:rsid w:val="00F072A2"/>
    <w:rsid w:val="00F072F2"/>
    <w:rsid w:val="00F073B1"/>
    <w:rsid w:val="00F0763F"/>
    <w:rsid w:val="00F07A4D"/>
    <w:rsid w:val="00F100B3"/>
    <w:rsid w:val="00F10160"/>
    <w:rsid w:val="00F101FB"/>
    <w:rsid w:val="00F10354"/>
    <w:rsid w:val="00F1074E"/>
    <w:rsid w:val="00F109EA"/>
    <w:rsid w:val="00F10B78"/>
    <w:rsid w:val="00F10CF1"/>
    <w:rsid w:val="00F10DF6"/>
    <w:rsid w:val="00F10FF7"/>
    <w:rsid w:val="00F110BF"/>
    <w:rsid w:val="00F112AD"/>
    <w:rsid w:val="00F1149B"/>
    <w:rsid w:val="00F11536"/>
    <w:rsid w:val="00F115A6"/>
    <w:rsid w:val="00F11744"/>
    <w:rsid w:val="00F118B3"/>
    <w:rsid w:val="00F118F7"/>
    <w:rsid w:val="00F11A0C"/>
    <w:rsid w:val="00F11A25"/>
    <w:rsid w:val="00F11ABC"/>
    <w:rsid w:val="00F11D73"/>
    <w:rsid w:val="00F1231F"/>
    <w:rsid w:val="00F1233A"/>
    <w:rsid w:val="00F124C8"/>
    <w:rsid w:val="00F1258C"/>
    <w:rsid w:val="00F125FD"/>
    <w:rsid w:val="00F1273C"/>
    <w:rsid w:val="00F127FB"/>
    <w:rsid w:val="00F128FD"/>
    <w:rsid w:val="00F12A29"/>
    <w:rsid w:val="00F12A4D"/>
    <w:rsid w:val="00F12BBF"/>
    <w:rsid w:val="00F12C36"/>
    <w:rsid w:val="00F12D5C"/>
    <w:rsid w:val="00F134FF"/>
    <w:rsid w:val="00F13601"/>
    <w:rsid w:val="00F136E0"/>
    <w:rsid w:val="00F1390A"/>
    <w:rsid w:val="00F13FA7"/>
    <w:rsid w:val="00F14170"/>
    <w:rsid w:val="00F142A9"/>
    <w:rsid w:val="00F143E8"/>
    <w:rsid w:val="00F145A1"/>
    <w:rsid w:val="00F14647"/>
    <w:rsid w:val="00F147A5"/>
    <w:rsid w:val="00F148B4"/>
    <w:rsid w:val="00F14AE2"/>
    <w:rsid w:val="00F14BD5"/>
    <w:rsid w:val="00F14BE7"/>
    <w:rsid w:val="00F150FF"/>
    <w:rsid w:val="00F1513D"/>
    <w:rsid w:val="00F15161"/>
    <w:rsid w:val="00F15562"/>
    <w:rsid w:val="00F155C6"/>
    <w:rsid w:val="00F15705"/>
    <w:rsid w:val="00F15719"/>
    <w:rsid w:val="00F15720"/>
    <w:rsid w:val="00F157AA"/>
    <w:rsid w:val="00F158F8"/>
    <w:rsid w:val="00F15B8D"/>
    <w:rsid w:val="00F16272"/>
    <w:rsid w:val="00F163F4"/>
    <w:rsid w:val="00F1646F"/>
    <w:rsid w:val="00F16535"/>
    <w:rsid w:val="00F1653F"/>
    <w:rsid w:val="00F16559"/>
    <w:rsid w:val="00F1686F"/>
    <w:rsid w:val="00F16AF6"/>
    <w:rsid w:val="00F16B57"/>
    <w:rsid w:val="00F16C9D"/>
    <w:rsid w:val="00F16CE5"/>
    <w:rsid w:val="00F16EB0"/>
    <w:rsid w:val="00F1704D"/>
    <w:rsid w:val="00F17109"/>
    <w:rsid w:val="00F17398"/>
    <w:rsid w:val="00F173EE"/>
    <w:rsid w:val="00F17704"/>
    <w:rsid w:val="00F1772F"/>
    <w:rsid w:val="00F17B3A"/>
    <w:rsid w:val="00F17B59"/>
    <w:rsid w:val="00F17D04"/>
    <w:rsid w:val="00F17DCF"/>
    <w:rsid w:val="00F17F4D"/>
    <w:rsid w:val="00F20083"/>
    <w:rsid w:val="00F2041E"/>
    <w:rsid w:val="00F2062C"/>
    <w:rsid w:val="00F20769"/>
    <w:rsid w:val="00F20780"/>
    <w:rsid w:val="00F20847"/>
    <w:rsid w:val="00F20C3D"/>
    <w:rsid w:val="00F20D81"/>
    <w:rsid w:val="00F20F40"/>
    <w:rsid w:val="00F20F8C"/>
    <w:rsid w:val="00F20FF8"/>
    <w:rsid w:val="00F2103B"/>
    <w:rsid w:val="00F211AC"/>
    <w:rsid w:val="00F21526"/>
    <w:rsid w:val="00F215B1"/>
    <w:rsid w:val="00F21AF7"/>
    <w:rsid w:val="00F21BA4"/>
    <w:rsid w:val="00F21C80"/>
    <w:rsid w:val="00F21EAA"/>
    <w:rsid w:val="00F222BA"/>
    <w:rsid w:val="00F22392"/>
    <w:rsid w:val="00F22419"/>
    <w:rsid w:val="00F225D4"/>
    <w:rsid w:val="00F2276C"/>
    <w:rsid w:val="00F228A5"/>
    <w:rsid w:val="00F229DE"/>
    <w:rsid w:val="00F22B1B"/>
    <w:rsid w:val="00F22BCE"/>
    <w:rsid w:val="00F22C76"/>
    <w:rsid w:val="00F22DA8"/>
    <w:rsid w:val="00F22FCA"/>
    <w:rsid w:val="00F23170"/>
    <w:rsid w:val="00F231C5"/>
    <w:rsid w:val="00F231F0"/>
    <w:rsid w:val="00F239BC"/>
    <w:rsid w:val="00F23AB0"/>
    <w:rsid w:val="00F23AF0"/>
    <w:rsid w:val="00F23F3F"/>
    <w:rsid w:val="00F2407C"/>
    <w:rsid w:val="00F24402"/>
    <w:rsid w:val="00F24637"/>
    <w:rsid w:val="00F247A3"/>
    <w:rsid w:val="00F2480D"/>
    <w:rsid w:val="00F249C5"/>
    <w:rsid w:val="00F24BF0"/>
    <w:rsid w:val="00F24D4F"/>
    <w:rsid w:val="00F24DD3"/>
    <w:rsid w:val="00F24E67"/>
    <w:rsid w:val="00F24ED0"/>
    <w:rsid w:val="00F25023"/>
    <w:rsid w:val="00F252D6"/>
    <w:rsid w:val="00F25714"/>
    <w:rsid w:val="00F25913"/>
    <w:rsid w:val="00F25FF4"/>
    <w:rsid w:val="00F262C3"/>
    <w:rsid w:val="00F2656C"/>
    <w:rsid w:val="00F26587"/>
    <w:rsid w:val="00F26624"/>
    <w:rsid w:val="00F2665A"/>
    <w:rsid w:val="00F26722"/>
    <w:rsid w:val="00F2676A"/>
    <w:rsid w:val="00F267C2"/>
    <w:rsid w:val="00F268C7"/>
    <w:rsid w:val="00F26ABA"/>
    <w:rsid w:val="00F26ABF"/>
    <w:rsid w:val="00F26CDD"/>
    <w:rsid w:val="00F27097"/>
    <w:rsid w:val="00F271D7"/>
    <w:rsid w:val="00F27279"/>
    <w:rsid w:val="00F2742B"/>
    <w:rsid w:val="00F2759F"/>
    <w:rsid w:val="00F2764C"/>
    <w:rsid w:val="00F27660"/>
    <w:rsid w:val="00F27916"/>
    <w:rsid w:val="00F2797A"/>
    <w:rsid w:val="00F27AC9"/>
    <w:rsid w:val="00F27BE9"/>
    <w:rsid w:val="00F27C14"/>
    <w:rsid w:val="00F300B2"/>
    <w:rsid w:val="00F30308"/>
    <w:rsid w:val="00F30488"/>
    <w:rsid w:val="00F3049E"/>
    <w:rsid w:val="00F30726"/>
    <w:rsid w:val="00F30B7D"/>
    <w:rsid w:val="00F30B94"/>
    <w:rsid w:val="00F30C8A"/>
    <w:rsid w:val="00F3127B"/>
    <w:rsid w:val="00F312E4"/>
    <w:rsid w:val="00F31472"/>
    <w:rsid w:val="00F315BD"/>
    <w:rsid w:val="00F316AF"/>
    <w:rsid w:val="00F31761"/>
    <w:rsid w:val="00F317C7"/>
    <w:rsid w:val="00F318E6"/>
    <w:rsid w:val="00F31A56"/>
    <w:rsid w:val="00F31BE4"/>
    <w:rsid w:val="00F31C98"/>
    <w:rsid w:val="00F31E53"/>
    <w:rsid w:val="00F321E5"/>
    <w:rsid w:val="00F3268B"/>
    <w:rsid w:val="00F327CD"/>
    <w:rsid w:val="00F327CF"/>
    <w:rsid w:val="00F32837"/>
    <w:rsid w:val="00F3296C"/>
    <w:rsid w:val="00F329BD"/>
    <w:rsid w:val="00F32B50"/>
    <w:rsid w:val="00F32C98"/>
    <w:rsid w:val="00F32D81"/>
    <w:rsid w:val="00F330C5"/>
    <w:rsid w:val="00F33311"/>
    <w:rsid w:val="00F33693"/>
    <w:rsid w:val="00F3373B"/>
    <w:rsid w:val="00F33892"/>
    <w:rsid w:val="00F338FB"/>
    <w:rsid w:val="00F3390D"/>
    <w:rsid w:val="00F33B36"/>
    <w:rsid w:val="00F33BC8"/>
    <w:rsid w:val="00F33BDB"/>
    <w:rsid w:val="00F33C93"/>
    <w:rsid w:val="00F33CC8"/>
    <w:rsid w:val="00F33E32"/>
    <w:rsid w:val="00F341A8"/>
    <w:rsid w:val="00F341BC"/>
    <w:rsid w:val="00F3465D"/>
    <w:rsid w:val="00F3476E"/>
    <w:rsid w:val="00F34937"/>
    <w:rsid w:val="00F34989"/>
    <w:rsid w:val="00F34A05"/>
    <w:rsid w:val="00F34A76"/>
    <w:rsid w:val="00F34AC2"/>
    <w:rsid w:val="00F34C01"/>
    <w:rsid w:val="00F34C6A"/>
    <w:rsid w:val="00F34CD3"/>
    <w:rsid w:val="00F35130"/>
    <w:rsid w:val="00F35258"/>
    <w:rsid w:val="00F3527F"/>
    <w:rsid w:val="00F35510"/>
    <w:rsid w:val="00F35664"/>
    <w:rsid w:val="00F3595A"/>
    <w:rsid w:val="00F359AB"/>
    <w:rsid w:val="00F35B83"/>
    <w:rsid w:val="00F35C40"/>
    <w:rsid w:val="00F36030"/>
    <w:rsid w:val="00F3603D"/>
    <w:rsid w:val="00F363CC"/>
    <w:rsid w:val="00F365A6"/>
    <w:rsid w:val="00F36686"/>
    <w:rsid w:val="00F36A5A"/>
    <w:rsid w:val="00F36BCE"/>
    <w:rsid w:val="00F36C56"/>
    <w:rsid w:val="00F370C9"/>
    <w:rsid w:val="00F3712A"/>
    <w:rsid w:val="00F3719C"/>
    <w:rsid w:val="00F371CE"/>
    <w:rsid w:val="00F3732E"/>
    <w:rsid w:val="00F373BC"/>
    <w:rsid w:val="00F374A7"/>
    <w:rsid w:val="00F37564"/>
    <w:rsid w:val="00F376DC"/>
    <w:rsid w:val="00F37C28"/>
    <w:rsid w:val="00F37CE5"/>
    <w:rsid w:val="00F37F9B"/>
    <w:rsid w:val="00F37FA6"/>
    <w:rsid w:val="00F4000A"/>
    <w:rsid w:val="00F40193"/>
    <w:rsid w:val="00F4035D"/>
    <w:rsid w:val="00F40379"/>
    <w:rsid w:val="00F405CA"/>
    <w:rsid w:val="00F40625"/>
    <w:rsid w:val="00F4065A"/>
    <w:rsid w:val="00F4088C"/>
    <w:rsid w:val="00F408C3"/>
    <w:rsid w:val="00F408EC"/>
    <w:rsid w:val="00F40959"/>
    <w:rsid w:val="00F40CD0"/>
    <w:rsid w:val="00F40DED"/>
    <w:rsid w:val="00F40E4A"/>
    <w:rsid w:val="00F41137"/>
    <w:rsid w:val="00F413CE"/>
    <w:rsid w:val="00F413E6"/>
    <w:rsid w:val="00F4147D"/>
    <w:rsid w:val="00F4155A"/>
    <w:rsid w:val="00F415D7"/>
    <w:rsid w:val="00F4165F"/>
    <w:rsid w:val="00F41948"/>
    <w:rsid w:val="00F41A63"/>
    <w:rsid w:val="00F4211D"/>
    <w:rsid w:val="00F421DF"/>
    <w:rsid w:val="00F421FD"/>
    <w:rsid w:val="00F4224A"/>
    <w:rsid w:val="00F422B5"/>
    <w:rsid w:val="00F4246A"/>
    <w:rsid w:val="00F426CB"/>
    <w:rsid w:val="00F4278C"/>
    <w:rsid w:val="00F427C0"/>
    <w:rsid w:val="00F4291D"/>
    <w:rsid w:val="00F42967"/>
    <w:rsid w:val="00F42CB7"/>
    <w:rsid w:val="00F42D57"/>
    <w:rsid w:val="00F42E4C"/>
    <w:rsid w:val="00F42F09"/>
    <w:rsid w:val="00F431E5"/>
    <w:rsid w:val="00F4325B"/>
    <w:rsid w:val="00F4332D"/>
    <w:rsid w:val="00F437BC"/>
    <w:rsid w:val="00F437E5"/>
    <w:rsid w:val="00F4389A"/>
    <w:rsid w:val="00F43C92"/>
    <w:rsid w:val="00F43D65"/>
    <w:rsid w:val="00F43E05"/>
    <w:rsid w:val="00F43ECF"/>
    <w:rsid w:val="00F43FAC"/>
    <w:rsid w:val="00F4406D"/>
    <w:rsid w:val="00F441DD"/>
    <w:rsid w:val="00F442FB"/>
    <w:rsid w:val="00F44774"/>
    <w:rsid w:val="00F44798"/>
    <w:rsid w:val="00F447A9"/>
    <w:rsid w:val="00F44822"/>
    <w:rsid w:val="00F4487D"/>
    <w:rsid w:val="00F448B9"/>
    <w:rsid w:val="00F4497B"/>
    <w:rsid w:val="00F449F9"/>
    <w:rsid w:val="00F44A26"/>
    <w:rsid w:val="00F44B33"/>
    <w:rsid w:val="00F44C73"/>
    <w:rsid w:val="00F44CEE"/>
    <w:rsid w:val="00F44E7C"/>
    <w:rsid w:val="00F4505E"/>
    <w:rsid w:val="00F453A2"/>
    <w:rsid w:val="00F45641"/>
    <w:rsid w:val="00F45685"/>
    <w:rsid w:val="00F45933"/>
    <w:rsid w:val="00F4599B"/>
    <w:rsid w:val="00F45BC9"/>
    <w:rsid w:val="00F45E29"/>
    <w:rsid w:val="00F45FEA"/>
    <w:rsid w:val="00F4627F"/>
    <w:rsid w:val="00F46549"/>
    <w:rsid w:val="00F46946"/>
    <w:rsid w:val="00F46983"/>
    <w:rsid w:val="00F469F8"/>
    <w:rsid w:val="00F46A6D"/>
    <w:rsid w:val="00F46D5D"/>
    <w:rsid w:val="00F46D9B"/>
    <w:rsid w:val="00F47466"/>
    <w:rsid w:val="00F4767C"/>
    <w:rsid w:val="00F477FE"/>
    <w:rsid w:val="00F47A1E"/>
    <w:rsid w:val="00F47B4D"/>
    <w:rsid w:val="00F47B62"/>
    <w:rsid w:val="00F47C58"/>
    <w:rsid w:val="00F47CB2"/>
    <w:rsid w:val="00F47FBC"/>
    <w:rsid w:val="00F5005C"/>
    <w:rsid w:val="00F50195"/>
    <w:rsid w:val="00F501B7"/>
    <w:rsid w:val="00F505D9"/>
    <w:rsid w:val="00F5069B"/>
    <w:rsid w:val="00F50887"/>
    <w:rsid w:val="00F509B3"/>
    <w:rsid w:val="00F50AD3"/>
    <w:rsid w:val="00F50BCE"/>
    <w:rsid w:val="00F50C6F"/>
    <w:rsid w:val="00F50DA4"/>
    <w:rsid w:val="00F50E5D"/>
    <w:rsid w:val="00F50FC9"/>
    <w:rsid w:val="00F5133C"/>
    <w:rsid w:val="00F515D8"/>
    <w:rsid w:val="00F518F4"/>
    <w:rsid w:val="00F5195F"/>
    <w:rsid w:val="00F5199C"/>
    <w:rsid w:val="00F51CCB"/>
    <w:rsid w:val="00F51EC6"/>
    <w:rsid w:val="00F51FC9"/>
    <w:rsid w:val="00F51FEE"/>
    <w:rsid w:val="00F524BD"/>
    <w:rsid w:val="00F524EA"/>
    <w:rsid w:val="00F52B47"/>
    <w:rsid w:val="00F52E19"/>
    <w:rsid w:val="00F53031"/>
    <w:rsid w:val="00F533DE"/>
    <w:rsid w:val="00F53415"/>
    <w:rsid w:val="00F53509"/>
    <w:rsid w:val="00F5353F"/>
    <w:rsid w:val="00F5355A"/>
    <w:rsid w:val="00F536A3"/>
    <w:rsid w:val="00F536CF"/>
    <w:rsid w:val="00F537B5"/>
    <w:rsid w:val="00F5386A"/>
    <w:rsid w:val="00F53918"/>
    <w:rsid w:val="00F53A38"/>
    <w:rsid w:val="00F53C0C"/>
    <w:rsid w:val="00F53DB3"/>
    <w:rsid w:val="00F53EF7"/>
    <w:rsid w:val="00F53FE7"/>
    <w:rsid w:val="00F5411A"/>
    <w:rsid w:val="00F54424"/>
    <w:rsid w:val="00F545B7"/>
    <w:rsid w:val="00F54644"/>
    <w:rsid w:val="00F54947"/>
    <w:rsid w:val="00F54F06"/>
    <w:rsid w:val="00F55137"/>
    <w:rsid w:val="00F553CE"/>
    <w:rsid w:val="00F5546A"/>
    <w:rsid w:val="00F55485"/>
    <w:rsid w:val="00F5553A"/>
    <w:rsid w:val="00F555A0"/>
    <w:rsid w:val="00F555B3"/>
    <w:rsid w:val="00F556B6"/>
    <w:rsid w:val="00F556D0"/>
    <w:rsid w:val="00F55AA8"/>
    <w:rsid w:val="00F55B5B"/>
    <w:rsid w:val="00F55DA7"/>
    <w:rsid w:val="00F5634E"/>
    <w:rsid w:val="00F56612"/>
    <w:rsid w:val="00F567C2"/>
    <w:rsid w:val="00F56A66"/>
    <w:rsid w:val="00F56BB3"/>
    <w:rsid w:val="00F56BE2"/>
    <w:rsid w:val="00F56BE3"/>
    <w:rsid w:val="00F56D06"/>
    <w:rsid w:val="00F56F38"/>
    <w:rsid w:val="00F57096"/>
    <w:rsid w:val="00F571A7"/>
    <w:rsid w:val="00F5752A"/>
    <w:rsid w:val="00F5759C"/>
    <w:rsid w:val="00F5762C"/>
    <w:rsid w:val="00F57871"/>
    <w:rsid w:val="00F5796D"/>
    <w:rsid w:val="00F5798D"/>
    <w:rsid w:val="00F57994"/>
    <w:rsid w:val="00F57B32"/>
    <w:rsid w:val="00F57C73"/>
    <w:rsid w:val="00F57D3C"/>
    <w:rsid w:val="00F57D61"/>
    <w:rsid w:val="00F57DA8"/>
    <w:rsid w:val="00F57F9C"/>
    <w:rsid w:val="00F600C0"/>
    <w:rsid w:val="00F60319"/>
    <w:rsid w:val="00F60A1B"/>
    <w:rsid w:val="00F60BD8"/>
    <w:rsid w:val="00F611E1"/>
    <w:rsid w:val="00F6157F"/>
    <w:rsid w:val="00F615AA"/>
    <w:rsid w:val="00F61781"/>
    <w:rsid w:val="00F619D4"/>
    <w:rsid w:val="00F61CB9"/>
    <w:rsid w:val="00F61FEB"/>
    <w:rsid w:val="00F62459"/>
    <w:rsid w:val="00F6265C"/>
    <w:rsid w:val="00F626D5"/>
    <w:rsid w:val="00F628C5"/>
    <w:rsid w:val="00F629E8"/>
    <w:rsid w:val="00F62CFB"/>
    <w:rsid w:val="00F62D1B"/>
    <w:rsid w:val="00F62EBD"/>
    <w:rsid w:val="00F632A9"/>
    <w:rsid w:val="00F637F1"/>
    <w:rsid w:val="00F63955"/>
    <w:rsid w:val="00F63A14"/>
    <w:rsid w:val="00F63B43"/>
    <w:rsid w:val="00F63C1E"/>
    <w:rsid w:val="00F63C56"/>
    <w:rsid w:val="00F63CF1"/>
    <w:rsid w:val="00F63D2A"/>
    <w:rsid w:val="00F63F46"/>
    <w:rsid w:val="00F63FB8"/>
    <w:rsid w:val="00F64024"/>
    <w:rsid w:val="00F64047"/>
    <w:rsid w:val="00F64072"/>
    <w:rsid w:val="00F640F9"/>
    <w:rsid w:val="00F64258"/>
    <w:rsid w:val="00F64277"/>
    <w:rsid w:val="00F645A0"/>
    <w:rsid w:val="00F64819"/>
    <w:rsid w:val="00F6483F"/>
    <w:rsid w:val="00F64886"/>
    <w:rsid w:val="00F64B3A"/>
    <w:rsid w:val="00F64BA3"/>
    <w:rsid w:val="00F64CCA"/>
    <w:rsid w:val="00F64D19"/>
    <w:rsid w:val="00F64D3B"/>
    <w:rsid w:val="00F64DDE"/>
    <w:rsid w:val="00F64E24"/>
    <w:rsid w:val="00F651F3"/>
    <w:rsid w:val="00F6539A"/>
    <w:rsid w:val="00F653A8"/>
    <w:rsid w:val="00F655B8"/>
    <w:rsid w:val="00F65768"/>
    <w:rsid w:val="00F6594E"/>
    <w:rsid w:val="00F65966"/>
    <w:rsid w:val="00F6596D"/>
    <w:rsid w:val="00F65A65"/>
    <w:rsid w:val="00F65C10"/>
    <w:rsid w:val="00F65CB4"/>
    <w:rsid w:val="00F65D34"/>
    <w:rsid w:val="00F65FC4"/>
    <w:rsid w:val="00F663CB"/>
    <w:rsid w:val="00F664D4"/>
    <w:rsid w:val="00F6654E"/>
    <w:rsid w:val="00F66844"/>
    <w:rsid w:val="00F66993"/>
    <w:rsid w:val="00F66BA0"/>
    <w:rsid w:val="00F66F94"/>
    <w:rsid w:val="00F6701F"/>
    <w:rsid w:val="00F67080"/>
    <w:rsid w:val="00F6716D"/>
    <w:rsid w:val="00F67435"/>
    <w:rsid w:val="00F67480"/>
    <w:rsid w:val="00F6752B"/>
    <w:rsid w:val="00F675DE"/>
    <w:rsid w:val="00F676B1"/>
    <w:rsid w:val="00F67722"/>
    <w:rsid w:val="00F67897"/>
    <w:rsid w:val="00F678AB"/>
    <w:rsid w:val="00F6790A"/>
    <w:rsid w:val="00F67ACF"/>
    <w:rsid w:val="00F67C2E"/>
    <w:rsid w:val="00F67CE3"/>
    <w:rsid w:val="00F67D9C"/>
    <w:rsid w:val="00F67DF5"/>
    <w:rsid w:val="00F67E35"/>
    <w:rsid w:val="00F67FFB"/>
    <w:rsid w:val="00F70234"/>
    <w:rsid w:val="00F70237"/>
    <w:rsid w:val="00F702DA"/>
    <w:rsid w:val="00F70480"/>
    <w:rsid w:val="00F70729"/>
    <w:rsid w:val="00F70897"/>
    <w:rsid w:val="00F70A03"/>
    <w:rsid w:val="00F71130"/>
    <w:rsid w:val="00F711FE"/>
    <w:rsid w:val="00F712AE"/>
    <w:rsid w:val="00F712BC"/>
    <w:rsid w:val="00F713AF"/>
    <w:rsid w:val="00F713B4"/>
    <w:rsid w:val="00F71475"/>
    <w:rsid w:val="00F7185A"/>
    <w:rsid w:val="00F718ED"/>
    <w:rsid w:val="00F7193C"/>
    <w:rsid w:val="00F719EA"/>
    <w:rsid w:val="00F71C88"/>
    <w:rsid w:val="00F7217E"/>
    <w:rsid w:val="00F722E3"/>
    <w:rsid w:val="00F7252C"/>
    <w:rsid w:val="00F727AC"/>
    <w:rsid w:val="00F7283B"/>
    <w:rsid w:val="00F72856"/>
    <w:rsid w:val="00F728B4"/>
    <w:rsid w:val="00F72915"/>
    <w:rsid w:val="00F72928"/>
    <w:rsid w:val="00F72BCE"/>
    <w:rsid w:val="00F72FDC"/>
    <w:rsid w:val="00F73183"/>
    <w:rsid w:val="00F733AF"/>
    <w:rsid w:val="00F733C6"/>
    <w:rsid w:val="00F736EF"/>
    <w:rsid w:val="00F7371D"/>
    <w:rsid w:val="00F73755"/>
    <w:rsid w:val="00F737E7"/>
    <w:rsid w:val="00F73877"/>
    <w:rsid w:val="00F738D6"/>
    <w:rsid w:val="00F7395F"/>
    <w:rsid w:val="00F73D8F"/>
    <w:rsid w:val="00F73D9E"/>
    <w:rsid w:val="00F73DF2"/>
    <w:rsid w:val="00F73E7D"/>
    <w:rsid w:val="00F74048"/>
    <w:rsid w:val="00F7435A"/>
    <w:rsid w:val="00F7470D"/>
    <w:rsid w:val="00F74847"/>
    <w:rsid w:val="00F748B3"/>
    <w:rsid w:val="00F74E38"/>
    <w:rsid w:val="00F74E74"/>
    <w:rsid w:val="00F74F59"/>
    <w:rsid w:val="00F75042"/>
    <w:rsid w:val="00F751EE"/>
    <w:rsid w:val="00F75509"/>
    <w:rsid w:val="00F75642"/>
    <w:rsid w:val="00F75721"/>
    <w:rsid w:val="00F7587C"/>
    <w:rsid w:val="00F75B2D"/>
    <w:rsid w:val="00F75CF4"/>
    <w:rsid w:val="00F75CFE"/>
    <w:rsid w:val="00F75F1D"/>
    <w:rsid w:val="00F761F5"/>
    <w:rsid w:val="00F766B0"/>
    <w:rsid w:val="00F76760"/>
    <w:rsid w:val="00F768B7"/>
    <w:rsid w:val="00F768EA"/>
    <w:rsid w:val="00F76C3F"/>
    <w:rsid w:val="00F76C72"/>
    <w:rsid w:val="00F76CE3"/>
    <w:rsid w:val="00F76F06"/>
    <w:rsid w:val="00F77020"/>
    <w:rsid w:val="00F7710F"/>
    <w:rsid w:val="00F77136"/>
    <w:rsid w:val="00F7734D"/>
    <w:rsid w:val="00F774DF"/>
    <w:rsid w:val="00F7757D"/>
    <w:rsid w:val="00F77629"/>
    <w:rsid w:val="00F77875"/>
    <w:rsid w:val="00F779C8"/>
    <w:rsid w:val="00F77CD0"/>
    <w:rsid w:val="00F77D0D"/>
    <w:rsid w:val="00F77D3E"/>
    <w:rsid w:val="00F77E3A"/>
    <w:rsid w:val="00F77EF2"/>
    <w:rsid w:val="00F77F5F"/>
    <w:rsid w:val="00F77FBB"/>
    <w:rsid w:val="00F8019E"/>
    <w:rsid w:val="00F80685"/>
    <w:rsid w:val="00F806D1"/>
    <w:rsid w:val="00F80769"/>
    <w:rsid w:val="00F8080F"/>
    <w:rsid w:val="00F80BA9"/>
    <w:rsid w:val="00F8142F"/>
    <w:rsid w:val="00F81435"/>
    <w:rsid w:val="00F81527"/>
    <w:rsid w:val="00F816B9"/>
    <w:rsid w:val="00F81969"/>
    <w:rsid w:val="00F8197D"/>
    <w:rsid w:val="00F819DF"/>
    <w:rsid w:val="00F81DE6"/>
    <w:rsid w:val="00F8221E"/>
    <w:rsid w:val="00F82494"/>
    <w:rsid w:val="00F8255A"/>
    <w:rsid w:val="00F8278D"/>
    <w:rsid w:val="00F828C3"/>
    <w:rsid w:val="00F82ADD"/>
    <w:rsid w:val="00F82AE4"/>
    <w:rsid w:val="00F82CF4"/>
    <w:rsid w:val="00F82D84"/>
    <w:rsid w:val="00F82E87"/>
    <w:rsid w:val="00F8307B"/>
    <w:rsid w:val="00F8308B"/>
    <w:rsid w:val="00F830FB"/>
    <w:rsid w:val="00F831C6"/>
    <w:rsid w:val="00F833CD"/>
    <w:rsid w:val="00F834E0"/>
    <w:rsid w:val="00F8366E"/>
    <w:rsid w:val="00F836E2"/>
    <w:rsid w:val="00F837C4"/>
    <w:rsid w:val="00F838D6"/>
    <w:rsid w:val="00F83BF0"/>
    <w:rsid w:val="00F83E96"/>
    <w:rsid w:val="00F83F1F"/>
    <w:rsid w:val="00F84201"/>
    <w:rsid w:val="00F843A4"/>
    <w:rsid w:val="00F8455C"/>
    <w:rsid w:val="00F84584"/>
    <w:rsid w:val="00F84B77"/>
    <w:rsid w:val="00F84C91"/>
    <w:rsid w:val="00F84CFD"/>
    <w:rsid w:val="00F84D16"/>
    <w:rsid w:val="00F84D27"/>
    <w:rsid w:val="00F85274"/>
    <w:rsid w:val="00F85523"/>
    <w:rsid w:val="00F85568"/>
    <w:rsid w:val="00F856FF"/>
    <w:rsid w:val="00F857CB"/>
    <w:rsid w:val="00F858BD"/>
    <w:rsid w:val="00F85A46"/>
    <w:rsid w:val="00F85AA5"/>
    <w:rsid w:val="00F860D9"/>
    <w:rsid w:val="00F86181"/>
    <w:rsid w:val="00F861BE"/>
    <w:rsid w:val="00F864EA"/>
    <w:rsid w:val="00F86836"/>
    <w:rsid w:val="00F86863"/>
    <w:rsid w:val="00F86B6B"/>
    <w:rsid w:val="00F86CE8"/>
    <w:rsid w:val="00F86F1F"/>
    <w:rsid w:val="00F8700C"/>
    <w:rsid w:val="00F870CA"/>
    <w:rsid w:val="00F87174"/>
    <w:rsid w:val="00F87379"/>
    <w:rsid w:val="00F8737B"/>
    <w:rsid w:val="00F87405"/>
    <w:rsid w:val="00F8755D"/>
    <w:rsid w:val="00F87809"/>
    <w:rsid w:val="00F87970"/>
    <w:rsid w:val="00F87A26"/>
    <w:rsid w:val="00F87A75"/>
    <w:rsid w:val="00F87B81"/>
    <w:rsid w:val="00F87C06"/>
    <w:rsid w:val="00F87E15"/>
    <w:rsid w:val="00F87EF1"/>
    <w:rsid w:val="00F901EA"/>
    <w:rsid w:val="00F9020B"/>
    <w:rsid w:val="00F9021E"/>
    <w:rsid w:val="00F90903"/>
    <w:rsid w:val="00F90A1C"/>
    <w:rsid w:val="00F90E9B"/>
    <w:rsid w:val="00F90EAA"/>
    <w:rsid w:val="00F90F37"/>
    <w:rsid w:val="00F90FE3"/>
    <w:rsid w:val="00F91277"/>
    <w:rsid w:val="00F9128A"/>
    <w:rsid w:val="00F912CC"/>
    <w:rsid w:val="00F91318"/>
    <w:rsid w:val="00F913AF"/>
    <w:rsid w:val="00F913BD"/>
    <w:rsid w:val="00F9159E"/>
    <w:rsid w:val="00F9163E"/>
    <w:rsid w:val="00F918FB"/>
    <w:rsid w:val="00F91CAD"/>
    <w:rsid w:val="00F91D29"/>
    <w:rsid w:val="00F91E75"/>
    <w:rsid w:val="00F92171"/>
    <w:rsid w:val="00F926E5"/>
    <w:rsid w:val="00F927AC"/>
    <w:rsid w:val="00F927AE"/>
    <w:rsid w:val="00F92AA0"/>
    <w:rsid w:val="00F92C13"/>
    <w:rsid w:val="00F930EF"/>
    <w:rsid w:val="00F931BD"/>
    <w:rsid w:val="00F931CA"/>
    <w:rsid w:val="00F93423"/>
    <w:rsid w:val="00F934B5"/>
    <w:rsid w:val="00F935FB"/>
    <w:rsid w:val="00F9363E"/>
    <w:rsid w:val="00F93738"/>
    <w:rsid w:val="00F9374D"/>
    <w:rsid w:val="00F937D2"/>
    <w:rsid w:val="00F9380E"/>
    <w:rsid w:val="00F93814"/>
    <w:rsid w:val="00F9387D"/>
    <w:rsid w:val="00F93882"/>
    <w:rsid w:val="00F93A65"/>
    <w:rsid w:val="00F93AF6"/>
    <w:rsid w:val="00F93AFF"/>
    <w:rsid w:val="00F93D45"/>
    <w:rsid w:val="00F93DE0"/>
    <w:rsid w:val="00F93E3F"/>
    <w:rsid w:val="00F93FAF"/>
    <w:rsid w:val="00F94292"/>
    <w:rsid w:val="00F9443A"/>
    <w:rsid w:val="00F946DC"/>
    <w:rsid w:val="00F9477C"/>
    <w:rsid w:val="00F94865"/>
    <w:rsid w:val="00F948B9"/>
    <w:rsid w:val="00F94A03"/>
    <w:rsid w:val="00F94A39"/>
    <w:rsid w:val="00F94B10"/>
    <w:rsid w:val="00F94CFF"/>
    <w:rsid w:val="00F94E58"/>
    <w:rsid w:val="00F94F8F"/>
    <w:rsid w:val="00F9500E"/>
    <w:rsid w:val="00F953CF"/>
    <w:rsid w:val="00F95496"/>
    <w:rsid w:val="00F954B9"/>
    <w:rsid w:val="00F954FC"/>
    <w:rsid w:val="00F95520"/>
    <w:rsid w:val="00F95680"/>
    <w:rsid w:val="00F95739"/>
    <w:rsid w:val="00F95791"/>
    <w:rsid w:val="00F958A7"/>
    <w:rsid w:val="00F95C13"/>
    <w:rsid w:val="00F95C40"/>
    <w:rsid w:val="00F95CBA"/>
    <w:rsid w:val="00F95FBB"/>
    <w:rsid w:val="00F95FE0"/>
    <w:rsid w:val="00F96016"/>
    <w:rsid w:val="00F96131"/>
    <w:rsid w:val="00F96162"/>
    <w:rsid w:val="00F96354"/>
    <w:rsid w:val="00F96445"/>
    <w:rsid w:val="00F96473"/>
    <w:rsid w:val="00F9650D"/>
    <w:rsid w:val="00F96516"/>
    <w:rsid w:val="00F96698"/>
    <w:rsid w:val="00F96733"/>
    <w:rsid w:val="00F968A9"/>
    <w:rsid w:val="00F968C8"/>
    <w:rsid w:val="00F96B84"/>
    <w:rsid w:val="00F96C8D"/>
    <w:rsid w:val="00F96D56"/>
    <w:rsid w:val="00F96F39"/>
    <w:rsid w:val="00F9700A"/>
    <w:rsid w:val="00F970B9"/>
    <w:rsid w:val="00F97188"/>
    <w:rsid w:val="00F97933"/>
    <w:rsid w:val="00F97AD7"/>
    <w:rsid w:val="00F97B49"/>
    <w:rsid w:val="00F97BAD"/>
    <w:rsid w:val="00F97BF4"/>
    <w:rsid w:val="00F97CF9"/>
    <w:rsid w:val="00F97D7C"/>
    <w:rsid w:val="00F97F9E"/>
    <w:rsid w:val="00FA03B4"/>
    <w:rsid w:val="00FA08D3"/>
    <w:rsid w:val="00FA0B26"/>
    <w:rsid w:val="00FA0D75"/>
    <w:rsid w:val="00FA0FA0"/>
    <w:rsid w:val="00FA1C21"/>
    <w:rsid w:val="00FA1C9A"/>
    <w:rsid w:val="00FA1EDA"/>
    <w:rsid w:val="00FA1F1F"/>
    <w:rsid w:val="00FA2042"/>
    <w:rsid w:val="00FA221B"/>
    <w:rsid w:val="00FA2225"/>
    <w:rsid w:val="00FA2292"/>
    <w:rsid w:val="00FA2358"/>
    <w:rsid w:val="00FA2446"/>
    <w:rsid w:val="00FA24B6"/>
    <w:rsid w:val="00FA2581"/>
    <w:rsid w:val="00FA25BA"/>
    <w:rsid w:val="00FA25C6"/>
    <w:rsid w:val="00FA28F8"/>
    <w:rsid w:val="00FA2C09"/>
    <w:rsid w:val="00FA31EF"/>
    <w:rsid w:val="00FA33E5"/>
    <w:rsid w:val="00FA344B"/>
    <w:rsid w:val="00FA3674"/>
    <w:rsid w:val="00FA397E"/>
    <w:rsid w:val="00FA3A4C"/>
    <w:rsid w:val="00FA3B00"/>
    <w:rsid w:val="00FA3B6D"/>
    <w:rsid w:val="00FA3C48"/>
    <w:rsid w:val="00FA3CA6"/>
    <w:rsid w:val="00FA3D9A"/>
    <w:rsid w:val="00FA3DAA"/>
    <w:rsid w:val="00FA4075"/>
    <w:rsid w:val="00FA40E0"/>
    <w:rsid w:val="00FA41DE"/>
    <w:rsid w:val="00FA429F"/>
    <w:rsid w:val="00FA43B0"/>
    <w:rsid w:val="00FA445A"/>
    <w:rsid w:val="00FA4585"/>
    <w:rsid w:val="00FA4685"/>
    <w:rsid w:val="00FA47FF"/>
    <w:rsid w:val="00FA483D"/>
    <w:rsid w:val="00FA4BA2"/>
    <w:rsid w:val="00FA4C2B"/>
    <w:rsid w:val="00FA4C5F"/>
    <w:rsid w:val="00FA5053"/>
    <w:rsid w:val="00FA53ED"/>
    <w:rsid w:val="00FA559D"/>
    <w:rsid w:val="00FA563A"/>
    <w:rsid w:val="00FA571F"/>
    <w:rsid w:val="00FA58A2"/>
    <w:rsid w:val="00FA5B54"/>
    <w:rsid w:val="00FA5C41"/>
    <w:rsid w:val="00FA5C7D"/>
    <w:rsid w:val="00FA66CF"/>
    <w:rsid w:val="00FA66DC"/>
    <w:rsid w:val="00FA671F"/>
    <w:rsid w:val="00FA683B"/>
    <w:rsid w:val="00FA69AC"/>
    <w:rsid w:val="00FA6D16"/>
    <w:rsid w:val="00FA6E9C"/>
    <w:rsid w:val="00FA6F24"/>
    <w:rsid w:val="00FA7207"/>
    <w:rsid w:val="00FA7BD5"/>
    <w:rsid w:val="00FB0117"/>
    <w:rsid w:val="00FB0201"/>
    <w:rsid w:val="00FB0486"/>
    <w:rsid w:val="00FB0597"/>
    <w:rsid w:val="00FB072C"/>
    <w:rsid w:val="00FB08B9"/>
    <w:rsid w:val="00FB0A04"/>
    <w:rsid w:val="00FB0BFB"/>
    <w:rsid w:val="00FB0D85"/>
    <w:rsid w:val="00FB0E21"/>
    <w:rsid w:val="00FB1135"/>
    <w:rsid w:val="00FB11C9"/>
    <w:rsid w:val="00FB1252"/>
    <w:rsid w:val="00FB14B0"/>
    <w:rsid w:val="00FB1744"/>
    <w:rsid w:val="00FB1BB3"/>
    <w:rsid w:val="00FB1BDA"/>
    <w:rsid w:val="00FB1D5A"/>
    <w:rsid w:val="00FB1EC7"/>
    <w:rsid w:val="00FB1F57"/>
    <w:rsid w:val="00FB212E"/>
    <w:rsid w:val="00FB27A5"/>
    <w:rsid w:val="00FB2A45"/>
    <w:rsid w:val="00FB2A81"/>
    <w:rsid w:val="00FB2BB5"/>
    <w:rsid w:val="00FB2D8E"/>
    <w:rsid w:val="00FB2E20"/>
    <w:rsid w:val="00FB2F51"/>
    <w:rsid w:val="00FB3095"/>
    <w:rsid w:val="00FB327D"/>
    <w:rsid w:val="00FB32D8"/>
    <w:rsid w:val="00FB336E"/>
    <w:rsid w:val="00FB38EC"/>
    <w:rsid w:val="00FB3B81"/>
    <w:rsid w:val="00FB3D50"/>
    <w:rsid w:val="00FB3D68"/>
    <w:rsid w:val="00FB3EEB"/>
    <w:rsid w:val="00FB40A9"/>
    <w:rsid w:val="00FB4217"/>
    <w:rsid w:val="00FB4278"/>
    <w:rsid w:val="00FB4314"/>
    <w:rsid w:val="00FB43D3"/>
    <w:rsid w:val="00FB4565"/>
    <w:rsid w:val="00FB4EE5"/>
    <w:rsid w:val="00FB50D0"/>
    <w:rsid w:val="00FB521B"/>
    <w:rsid w:val="00FB542A"/>
    <w:rsid w:val="00FB57BA"/>
    <w:rsid w:val="00FB583B"/>
    <w:rsid w:val="00FB5A7D"/>
    <w:rsid w:val="00FB5B03"/>
    <w:rsid w:val="00FB5F79"/>
    <w:rsid w:val="00FB69FC"/>
    <w:rsid w:val="00FB6A5D"/>
    <w:rsid w:val="00FB6C4A"/>
    <w:rsid w:val="00FB6CA7"/>
    <w:rsid w:val="00FB6CC8"/>
    <w:rsid w:val="00FB6E16"/>
    <w:rsid w:val="00FB6ECA"/>
    <w:rsid w:val="00FB6F13"/>
    <w:rsid w:val="00FB712C"/>
    <w:rsid w:val="00FB729D"/>
    <w:rsid w:val="00FB7389"/>
    <w:rsid w:val="00FB74FE"/>
    <w:rsid w:val="00FB790C"/>
    <w:rsid w:val="00FB7911"/>
    <w:rsid w:val="00FB7A3F"/>
    <w:rsid w:val="00FC018D"/>
    <w:rsid w:val="00FC05A1"/>
    <w:rsid w:val="00FC0686"/>
    <w:rsid w:val="00FC0D05"/>
    <w:rsid w:val="00FC0E3C"/>
    <w:rsid w:val="00FC0FA0"/>
    <w:rsid w:val="00FC1016"/>
    <w:rsid w:val="00FC1259"/>
    <w:rsid w:val="00FC15C4"/>
    <w:rsid w:val="00FC1802"/>
    <w:rsid w:val="00FC1995"/>
    <w:rsid w:val="00FC1DA7"/>
    <w:rsid w:val="00FC21C2"/>
    <w:rsid w:val="00FC221C"/>
    <w:rsid w:val="00FC22D8"/>
    <w:rsid w:val="00FC24AE"/>
    <w:rsid w:val="00FC26B6"/>
    <w:rsid w:val="00FC27B1"/>
    <w:rsid w:val="00FC27CF"/>
    <w:rsid w:val="00FC283B"/>
    <w:rsid w:val="00FC297A"/>
    <w:rsid w:val="00FC2A2A"/>
    <w:rsid w:val="00FC2A7F"/>
    <w:rsid w:val="00FC2BA3"/>
    <w:rsid w:val="00FC2EAD"/>
    <w:rsid w:val="00FC2EBB"/>
    <w:rsid w:val="00FC2F8A"/>
    <w:rsid w:val="00FC3490"/>
    <w:rsid w:val="00FC3641"/>
    <w:rsid w:val="00FC375C"/>
    <w:rsid w:val="00FC385E"/>
    <w:rsid w:val="00FC3D5D"/>
    <w:rsid w:val="00FC3E6A"/>
    <w:rsid w:val="00FC4060"/>
    <w:rsid w:val="00FC4520"/>
    <w:rsid w:val="00FC461C"/>
    <w:rsid w:val="00FC4644"/>
    <w:rsid w:val="00FC475E"/>
    <w:rsid w:val="00FC4A6A"/>
    <w:rsid w:val="00FC4A7C"/>
    <w:rsid w:val="00FC4E6C"/>
    <w:rsid w:val="00FC5333"/>
    <w:rsid w:val="00FC5431"/>
    <w:rsid w:val="00FC5750"/>
    <w:rsid w:val="00FC575E"/>
    <w:rsid w:val="00FC57BD"/>
    <w:rsid w:val="00FC57EB"/>
    <w:rsid w:val="00FC593F"/>
    <w:rsid w:val="00FC598D"/>
    <w:rsid w:val="00FC59D6"/>
    <w:rsid w:val="00FC5AF1"/>
    <w:rsid w:val="00FC5BB5"/>
    <w:rsid w:val="00FC5E61"/>
    <w:rsid w:val="00FC5F8A"/>
    <w:rsid w:val="00FC5FD5"/>
    <w:rsid w:val="00FC60FC"/>
    <w:rsid w:val="00FC61FF"/>
    <w:rsid w:val="00FC6241"/>
    <w:rsid w:val="00FC63C4"/>
    <w:rsid w:val="00FC65C2"/>
    <w:rsid w:val="00FC6814"/>
    <w:rsid w:val="00FC6895"/>
    <w:rsid w:val="00FC6AB7"/>
    <w:rsid w:val="00FC6BCB"/>
    <w:rsid w:val="00FC6CF7"/>
    <w:rsid w:val="00FC7015"/>
    <w:rsid w:val="00FC709A"/>
    <w:rsid w:val="00FC70D4"/>
    <w:rsid w:val="00FC711F"/>
    <w:rsid w:val="00FC7763"/>
    <w:rsid w:val="00FC783F"/>
    <w:rsid w:val="00FC7944"/>
    <w:rsid w:val="00FC7CD1"/>
    <w:rsid w:val="00FC7F21"/>
    <w:rsid w:val="00FD0B16"/>
    <w:rsid w:val="00FD0BD2"/>
    <w:rsid w:val="00FD0C9B"/>
    <w:rsid w:val="00FD0D7C"/>
    <w:rsid w:val="00FD1463"/>
    <w:rsid w:val="00FD1535"/>
    <w:rsid w:val="00FD1709"/>
    <w:rsid w:val="00FD174A"/>
    <w:rsid w:val="00FD1812"/>
    <w:rsid w:val="00FD196E"/>
    <w:rsid w:val="00FD1B77"/>
    <w:rsid w:val="00FD1F7A"/>
    <w:rsid w:val="00FD204D"/>
    <w:rsid w:val="00FD21E3"/>
    <w:rsid w:val="00FD2232"/>
    <w:rsid w:val="00FD2650"/>
    <w:rsid w:val="00FD2697"/>
    <w:rsid w:val="00FD26D4"/>
    <w:rsid w:val="00FD27A3"/>
    <w:rsid w:val="00FD2F4C"/>
    <w:rsid w:val="00FD2FA0"/>
    <w:rsid w:val="00FD330F"/>
    <w:rsid w:val="00FD36C2"/>
    <w:rsid w:val="00FD3755"/>
    <w:rsid w:val="00FD377D"/>
    <w:rsid w:val="00FD3C9C"/>
    <w:rsid w:val="00FD3D2A"/>
    <w:rsid w:val="00FD410A"/>
    <w:rsid w:val="00FD418B"/>
    <w:rsid w:val="00FD4496"/>
    <w:rsid w:val="00FD4544"/>
    <w:rsid w:val="00FD48B4"/>
    <w:rsid w:val="00FD49BF"/>
    <w:rsid w:val="00FD4AB1"/>
    <w:rsid w:val="00FD4BB8"/>
    <w:rsid w:val="00FD57AC"/>
    <w:rsid w:val="00FD582F"/>
    <w:rsid w:val="00FD5889"/>
    <w:rsid w:val="00FD595E"/>
    <w:rsid w:val="00FD5CF5"/>
    <w:rsid w:val="00FD5F38"/>
    <w:rsid w:val="00FD6033"/>
    <w:rsid w:val="00FD61FE"/>
    <w:rsid w:val="00FD6455"/>
    <w:rsid w:val="00FD648A"/>
    <w:rsid w:val="00FD65CA"/>
    <w:rsid w:val="00FD667E"/>
    <w:rsid w:val="00FD66A6"/>
    <w:rsid w:val="00FD69DC"/>
    <w:rsid w:val="00FD6C19"/>
    <w:rsid w:val="00FD6F29"/>
    <w:rsid w:val="00FD6F69"/>
    <w:rsid w:val="00FD6F90"/>
    <w:rsid w:val="00FD7112"/>
    <w:rsid w:val="00FD7139"/>
    <w:rsid w:val="00FD7173"/>
    <w:rsid w:val="00FD73A5"/>
    <w:rsid w:val="00FD746A"/>
    <w:rsid w:val="00FD7733"/>
    <w:rsid w:val="00FD79E9"/>
    <w:rsid w:val="00FD7A08"/>
    <w:rsid w:val="00FD7B48"/>
    <w:rsid w:val="00FD7D16"/>
    <w:rsid w:val="00FD7EDE"/>
    <w:rsid w:val="00FE00F1"/>
    <w:rsid w:val="00FE0153"/>
    <w:rsid w:val="00FE017A"/>
    <w:rsid w:val="00FE0259"/>
    <w:rsid w:val="00FE0555"/>
    <w:rsid w:val="00FE08CA"/>
    <w:rsid w:val="00FE0948"/>
    <w:rsid w:val="00FE0972"/>
    <w:rsid w:val="00FE0A78"/>
    <w:rsid w:val="00FE0CFC"/>
    <w:rsid w:val="00FE0D85"/>
    <w:rsid w:val="00FE0F3A"/>
    <w:rsid w:val="00FE16F3"/>
    <w:rsid w:val="00FE1775"/>
    <w:rsid w:val="00FE187D"/>
    <w:rsid w:val="00FE18EE"/>
    <w:rsid w:val="00FE190A"/>
    <w:rsid w:val="00FE1A0C"/>
    <w:rsid w:val="00FE1CF3"/>
    <w:rsid w:val="00FE210A"/>
    <w:rsid w:val="00FE21B2"/>
    <w:rsid w:val="00FE23A5"/>
    <w:rsid w:val="00FE2586"/>
    <w:rsid w:val="00FE25FF"/>
    <w:rsid w:val="00FE26AD"/>
    <w:rsid w:val="00FE2901"/>
    <w:rsid w:val="00FE2980"/>
    <w:rsid w:val="00FE2ADA"/>
    <w:rsid w:val="00FE2B41"/>
    <w:rsid w:val="00FE2D8B"/>
    <w:rsid w:val="00FE2E28"/>
    <w:rsid w:val="00FE2EE0"/>
    <w:rsid w:val="00FE315D"/>
    <w:rsid w:val="00FE3243"/>
    <w:rsid w:val="00FE32CE"/>
    <w:rsid w:val="00FE348D"/>
    <w:rsid w:val="00FE356C"/>
    <w:rsid w:val="00FE37DF"/>
    <w:rsid w:val="00FE37F7"/>
    <w:rsid w:val="00FE3D1A"/>
    <w:rsid w:val="00FE3D97"/>
    <w:rsid w:val="00FE3F2A"/>
    <w:rsid w:val="00FE3F4E"/>
    <w:rsid w:val="00FE3F85"/>
    <w:rsid w:val="00FE3FBB"/>
    <w:rsid w:val="00FE3FC7"/>
    <w:rsid w:val="00FE4349"/>
    <w:rsid w:val="00FE435C"/>
    <w:rsid w:val="00FE4382"/>
    <w:rsid w:val="00FE43E5"/>
    <w:rsid w:val="00FE455D"/>
    <w:rsid w:val="00FE45C1"/>
    <w:rsid w:val="00FE46A9"/>
    <w:rsid w:val="00FE4A9D"/>
    <w:rsid w:val="00FE4B2E"/>
    <w:rsid w:val="00FE4CAF"/>
    <w:rsid w:val="00FE4D4D"/>
    <w:rsid w:val="00FE50EB"/>
    <w:rsid w:val="00FE5109"/>
    <w:rsid w:val="00FE5252"/>
    <w:rsid w:val="00FE525E"/>
    <w:rsid w:val="00FE52CD"/>
    <w:rsid w:val="00FE53CA"/>
    <w:rsid w:val="00FE5530"/>
    <w:rsid w:val="00FE567F"/>
    <w:rsid w:val="00FE56FC"/>
    <w:rsid w:val="00FE5878"/>
    <w:rsid w:val="00FE59C1"/>
    <w:rsid w:val="00FE5AFD"/>
    <w:rsid w:val="00FE5CC7"/>
    <w:rsid w:val="00FE5D75"/>
    <w:rsid w:val="00FE5DA8"/>
    <w:rsid w:val="00FE5DF6"/>
    <w:rsid w:val="00FE5FE7"/>
    <w:rsid w:val="00FE6173"/>
    <w:rsid w:val="00FE6278"/>
    <w:rsid w:val="00FE629F"/>
    <w:rsid w:val="00FE62DF"/>
    <w:rsid w:val="00FE63CF"/>
    <w:rsid w:val="00FE63EF"/>
    <w:rsid w:val="00FE63FA"/>
    <w:rsid w:val="00FE64EA"/>
    <w:rsid w:val="00FE6746"/>
    <w:rsid w:val="00FE6779"/>
    <w:rsid w:val="00FE6883"/>
    <w:rsid w:val="00FE697A"/>
    <w:rsid w:val="00FE6CBE"/>
    <w:rsid w:val="00FE6CF6"/>
    <w:rsid w:val="00FE6E2C"/>
    <w:rsid w:val="00FE72D9"/>
    <w:rsid w:val="00FE73C7"/>
    <w:rsid w:val="00FE73DB"/>
    <w:rsid w:val="00FE78BA"/>
    <w:rsid w:val="00FE79C8"/>
    <w:rsid w:val="00FE7BB3"/>
    <w:rsid w:val="00FE7E0A"/>
    <w:rsid w:val="00FF01E2"/>
    <w:rsid w:val="00FF03D3"/>
    <w:rsid w:val="00FF0461"/>
    <w:rsid w:val="00FF04EF"/>
    <w:rsid w:val="00FF0653"/>
    <w:rsid w:val="00FF0E67"/>
    <w:rsid w:val="00FF0ECF"/>
    <w:rsid w:val="00FF0FFE"/>
    <w:rsid w:val="00FF1004"/>
    <w:rsid w:val="00FF105D"/>
    <w:rsid w:val="00FF1275"/>
    <w:rsid w:val="00FF14EB"/>
    <w:rsid w:val="00FF1932"/>
    <w:rsid w:val="00FF1ED4"/>
    <w:rsid w:val="00FF1F3A"/>
    <w:rsid w:val="00FF20DC"/>
    <w:rsid w:val="00FF21D3"/>
    <w:rsid w:val="00FF2348"/>
    <w:rsid w:val="00FF23A8"/>
    <w:rsid w:val="00FF28A3"/>
    <w:rsid w:val="00FF290D"/>
    <w:rsid w:val="00FF29DC"/>
    <w:rsid w:val="00FF2AA6"/>
    <w:rsid w:val="00FF2ACB"/>
    <w:rsid w:val="00FF2CB2"/>
    <w:rsid w:val="00FF2D12"/>
    <w:rsid w:val="00FF2D9D"/>
    <w:rsid w:val="00FF2E6D"/>
    <w:rsid w:val="00FF2F4E"/>
    <w:rsid w:val="00FF2F8F"/>
    <w:rsid w:val="00FF34C0"/>
    <w:rsid w:val="00FF3608"/>
    <w:rsid w:val="00FF38BC"/>
    <w:rsid w:val="00FF3CB6"/>
    <w:rsid w:val="00FF3CD3"/>
    <w:rsid w:val="00FF3E1D"/>
    <w:rsid w:val="00FF3E72"/>
    <w:rsid w:val="00FF3EF8"/>
    <w:rsid w:val="00FF3F5F"/>
    <w:rsid w:val="00FF4096"/>
    <w:rsid w:val="00FF4188"/>
    <w:rsid w:val="00FF41B9"/>
    <w:rsid w:val="00FF4280"/>
    <w:rsid w:val="00FF4334"/>
    <w:rsid w:val="00FF436B"/>
    <w:rsid w:val="00FF45FB"/>
    <w:rsid w:val="00FF46A4"/>
    <w:rsid w:val="00FF4718"/>
    <w:rsid w:val="00FF47D2"/>
    <w:rsid w:val="00FF47DF"/>
    <w:rsid w:val="00FF4A31"/>
    <w:rsid w:val="00FF4A53"/>
    <w:rsid w:val="00FF4B47"/>
    <w:rsid w:val="00FF4C50"/>
    <w:rsid w:val="00FF4C9D"/>
    <w:rsid w:val="00FF4CC4"/>
    <w:rsid w:val="00FF4CFA"/>
    <w:rsid w:val="00FF4D22"/>
    <w:rsid w:val="00FF4FA1"/>
    <w:rsid w:val="00FF5026"/>
    <w:rsid w:val="00FF5370"/>
    <w:rsid w:val="00FF5558"/>
    <w:rsid w:val="00FF566E"/>
    <w:rsid w:val="00FF5770"/>
    <w:rsid w:val="00FF5973"/>
    <w:rsid w:val="00FF5AFA"/>
    <w:rsid w:val="00FF5BF5"/>
    <w:rsid w:val="00FF5C91"/>
    <w:rsid w:val="00FF5DF6"/>
    <w:rsid w:val="00FF621F"/>
    <w:rsid w:val="00FF6229"/>
    <w:rsid w:val="00FF622D"/>
    <w:rsid w:val="00FF62D5"/>
    <w:rsid w:val="00FF6337"/>
    <w:rsid w:val="00FF659F"/>
    <w:rsid w:val="00FF6AF6"/>
    <w:rsid w:val="00FF6C30"/>
    <w:rsid w:val="00FF6C96"/>
    <w:rsid w:val="00FF6DCB"/>
    <w:rsid w:val="00FF731D"/>
    <w:rsid w:val="00FF74F1"/>
    <w:rsid w:val="00FF7536"/>
    <w:rsid w:val="00FF7577"/>
    <w:rsid w:val="00FF75C3"/>
    <w:rsid w:val="00FF76A8"/>
    <w:rsid w:val="00FF7725"/>
    <w:rsid w:val="00FF78B8"/>
    <w:rsid w:val="00FF7ABF"/>
    <w:rsid w:val="00FF7B06"/>
    <w:rsid w:val="00FF7BC5"/>
    <w:rsid w:val="00FF7CA2"/>
    <w:rsid w:val="015C407C"/>
    <w:rsid w:val="020845BF"/>
    <w:rsid w:val="02FC080F"/>
    <w:rsid w:val="0361C785"/>
    <w:rsid w:val="037B90A5"/>
    <w:rsid w:val="049EED1E"/>
    <w:rsid w:val="053771CC"/>
    <w:rsid w:val="06DAE773"/>
    <w:rsid w:val="070B4377"/>
    <w:rsid w:val="07AF53BF"/>
    <w:rsid w:val="07D24371"/>
    <w:rsid w:val="0851407B"/>
    <w:rsid w:val="097E6186"/>
    <w:rsid w:val="0AC7027E"/>
    <w:rsid w:val="0B9B7916"/>
    <w:rsid w:val="0C5AA4CB"/>
    <w:rsid w:val="0D916F59"/>
    <w:rsid w:val="1001A3CD"/>
    <w:rsid w:val="100E8F25"/>
    <w:rsid w:val="10D9F595"/>
    <w:rsid w:val="111DB2E7"/>
    <w:rsid w:val="118304E0"/>
    <w:rsid w:val="127F0715"/>
    <w:rsid w:val="149D9535"/>
    <w:rsid w:val="152B7C9A"/>
    <w:rsid w:val="15A4D66E"/>
    <w:rsid w:val="168A2750"/>
    <w:rsid w:val="16C24243"/>
    <w:rsid w:val="186DC135"/>
    <w:rsid w:val="1BB7FB50"/>
    <w:rsid w:val="1BCB3A38"/>
    <w:rsid w:val="1C4B2160"/>
    <w:rsid w:val="1D0DB58B"/>
    <w:rsid w:val="1D357128"/>
    <w:rsid w:val="201EDC90"/>
    <w:rsid w:val="209BECFA"/>
    <w:rsid w:val="212FD00C"/>
    <w:rsid w:val="2164307B"/>
    <w:rsid w:val="22597B06"/>
    <w:rsid w:val="23E3547E"/>
    <w:rsid w:val="2444CB59"/>
    <w:rsid w:val="24C20DC7"/>
    <w:rsid w:val="25A9C13E"/>
    <w:rsid w:val="25FE25F6"/>
    <w:rsid w:val="26524BA6"/>
    <w:rsid w:val="2678AE29"/>
    <w:rsid w:val="26D5314F"/>
    <w:rsid w:val="27C27AD3"/>
    <w:rsid w:val="293FC490"/>
    <w:rsid w:val="296F3DC5"/>
    <w:rsid w:val="298FE7A6"/>
    <w:rsid w:val="2E51CA99"/>
    <w:rsid w:val="2E7C8F2A"/>
    <w:rsid w:val="2F0180DB"/>
    <w:rsid w:val="2F468F08"/>
    <w:rsid w:val="308878EB"/>
    <w:rsid w:val="321FCECD"/>
    <w:rsid w:val="3231B640"/>
    <w:rsid w:val="32974DF9"/>
    <w:rsid w:val="32CF29C1"/>
    <w:rsid w:val="338571B5"/>
    <w:rsid w:val="33D8F9F2"/>
    <w:rsid w:val="33F07DA5"/>
    <w:rsid w:val="341305FF"/>
    <w:rsid w:val="351B91C6"/>
    <w:rsid w:val="35968F4F"/>
    <w:rsid w:val="374162E0"/>
    <w:rsid w:val="3749135A"/>
    <w:rsid w:val="37B374F9"/>
    <w:rsid w:val="38EFFEAF"/>
    <w:rsid w:val="393CDC06"/>
    <w:rsid w:val="3D5B477A"/>
    <w:rsid w:val="3ECE2525"/>
    <w:rsid w:val="3F369B1F"/>
    <w:rsid w:val="40AA80B2"/>
    <w:rsid w:val="416214A9"/>
    <w:rsid w:val="465948D8"/>
    <w:rsid w:val="4957CC77"/>
    <w:rsid w:val="495FDF18"/>
    <w:rsid w:val="4DDA0E5C"/>
    <w:rsid w:val="4DE497C9"/>
    <w:rsid w:val="4EA7B7C1"/>
    <w:rsid w:val="4F5E9993"/>
    <w:rsid w:val="5082DB1C"/>
    <w:rsid w:val="51223517"/>
    <w:rsid w:val="52659F56"/>
    <w:rsid w:val="54B4317D"/>
    <w:rsid w:val="54B9EEE6"/>
    <w:rsid w:val="54FD6F83"/>
    <w:rsid w:val="55059D0C"/>
    <w:rsid w:val="5588D8C0"/>
    <w:rsid w:val="56776775"/>
    <w:rsid w:val="5848A297"/>
    <w:rsid w:val="5857ABB7"/>
    <w:rsid w:val="589C931E"/>
    <w:rsid w:val="5A81084D"/>
    <w:rsid w:val="5AE5D5F9"/>
    <w:rsid w:val="5B2E5287"/>
    <w:rsid w:val="5B3BF6C6"/>
    <w:rsid w:val="6003637A"/>
    <w:rsid w:val="60588B1F"/>
    <w:rsid w:val="614C2A98"/>
    <w:rsid w:val="6261D00C"/>
    <w:rsid w:val="62E8B1B8"/>
    <w:rsid w:val="63CF0E56"/>
    <w:rsid w:val="647083CA"/>
    <w:rsid w:val="64CE866D"/>
    <w:rsid w:val="64F336B7"/>
    <w:rsid w:val="6709336E"/>
    <w:rsid w:val="687BA417"/>
    <w:rsid w:val="69074158"/>
    <w:rsid w:val="6BB86498"/>
    <w:rsid w:val="6CA4AC60"/>
    <w:rsid w:val="6D5926BC"/>
    <w:rsid w:val="6EDF96A8"/>
    <w:rsid w:val="70DBAEC8"/>
    <w:rsid w:val="72309CDA"/>
    <w:rsid w:val="734E5F3E"/>
    <w:rsid w:val="7408DB30"/>
    <w:rsid w:val="7474ED74"/>
    <w:rsid w:val="749B6DA4"/>
    <w:rsid w:val="74A81AFF"/>
    <w:rsid w:val="74D2EF1B"/>
    <w:rsid w:val="774CC8FF"/>
    <w:rsid w:val="779101FA"/>
    <w:rsid w:val="77F457B5"/>
    <w:rsid w:val="78262323"/>
    <w:rsid w:val="797F19EE"/>
    <w:rsid w:val="7BD6E319"/>
    <w:rsid w:val="7CE65155"/>
    <w:rsid w:val="7D302551"/>
    <w:rsid w:val="7D74ED44"/>
    <w:rsid w:val="7E17DA67"/>
    <w:rsid w:val="7F8243F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7CC4DC"/>
  <w15:docId w15:val="{143717E5-BFE1-4108-8F58-B31E88AFD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9" w:qFormat="1"/>
    <w:lsdException w:name="heading 2" w:semiHidden="1" w:uiPriority="19" w:unhideWhenUsed="1" w:qFormat="1"/>
    <w:lsdException w:name="heading 3" w:semiHidden="1" w:uiPriority="19" w:unhideWhenUsed="1" w:qFormat="1"/>
    <w:lsdException w:name="heading 4" w:semiHidden="1" w:uiPriority="19" w:unhideWhenUsed="1" w:qFormat="1"/>
    <w:lsdException w:name="heading 5" w:semiHidden="1" w:uiPriority="19" w:unhideWhenUsed="1" w:qFormat="1"/>
    <w:lsdException w:name="heading 6" w:semiHidden="1" w:uiPriority="19" w:unhideWhenUsed="1" w:qFormat="1"/>
    <w:lsdException w:name="heading 7" w:semiHidden="1" w:uiPriority="19" w:unhideWhenUsed="1"/>
    <w:lsdException w:name="heading 8" w:semiHidden="1" w:uiPriority="19" w:unhideWhenUsed="1"/>
    <w:lsdException w:name="heading 9" w:semiHidden="1" w:uiPriority="1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8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4B01"/>
    <w:pPr>
      <w:spacing w:after="120" w:line="240" w:lineRule="auto"/>
    </w:pPr>
    <w:rPr>
      <w:rFonts w:ascii="Segoe UI" w:hAnsi="Segoe UI"/>
      <w:sz w:val="19"/>
      <w:lang w:val="en-AU"/>
    </w:rPr>
  </w:style>
  <w:style w:type="paragraph" w:styleId="Heading1">
    <w:name w:val="heading 1"/>
    <w:basedOn w:val="Normal"/>
    <w:next w:val="Normal"/>
    <w:link w:val="Heading1Char"/>
    <w:uiPriority w:val="19"/>
    <w:qFormat/>
    <w:rsid w:val="00A25543"/>
    <w:pPr>
      <w:keepNext/>
      <w:pageBreakBefore/>
      <w:numPr>
        <w:numId w:val="5"/>
      </w:numPr>
      <w:spacing w:after="480"/>
      <w:outlineLvl w:val="0"/>
    </w:pPr>
    <w:rPr>
      <w:rFonts w:eastAsia="Times New Roman" w:cs="Times New Roman"/>
      <w:b/>
      <w:color w:val="00264D"/>
      <w:sz w:val="36"/>
      <w:szCs w:val="19"/>
      <w:lang w:eastAsia="en-AU"/>
    </w:rPr>
  </w:style>
  <w:style w:type="paragraph" w:styleId="Heading2">
    <w:name w:val="heading 2"/>
    <w:basedOn w:val="Normal"/>
    <w:next w:val="Normal"/>
    <w:link w:val="Heading2Char"/>
    <w:uiPriority w:val="19"/>
    <w:qFormat/>
    <w:rsid w:val="00A25543"/>
    <w:pPr>
      <w:keepNext/>
      <w:numPr>
        <w:ilvl w:val="1"/>
        <w:numId w:val="5"/>
      </w:numPr>
      <w:spacing w:before="360" w:after="180" w:line="380" w:lineRule="exact"/>
      <w:outlineLvl w:val="1"/>
    </w:pPr>
    <w:rPr>
      <w:rFonts w:ascii="Segoe UI Semibold" w:eastAsia="Times New Roman" w:hAnsi="Segoe UI Semibold" w:cs="Times New Roman"/>
      <w:color w:val="00264D"/>
      <w:sz w:val="30"/>
      <w:szCs w:val="19"/>
      <w:lang w:eastAsia="en-AU"/>
    </w:rPr>
  </w:style>
  <w:style w:type="paragraph" w:styleId="Heading3">
    <w:name w:val="heading 3"/>
    <w:basedOn w:val="Normal"/>
    <w:next w:val="Normal"/>
    <w:link w:val="Heading3Char"/>
    <w:uiPriority w:val="19"/>
    <w:qFormat/>
    <w:rsid w:val="00205FAD"/>
    <w:pPr>
      <w:keepNext/>
      <w:numPr>
        <w:ilvl w:val="2"/>
        <w:numId w:val="5"/>
      </w:numPr>
      <w:spacing w:before="360" w:line="259" w:lineRule="auto"/>
      <w:outlineLvl w:val="2"/>
    </w:pPr>
    <w:rPr>
      <w:rFonts w:ascii="Segoe UI Semibold" w:eastAsia="Times New Roman" w:hAnsi="Segoe UI Semibold" w:cs="Times New Roman"/>
      <w:color w:val="00264D"/>
      <w:sz w:val="26"/>
      <w:szCs w:val="19"/>
      <w:lang w:eastAsia="en-AU"/>
    </w:rPr>
  </w:style>
  <w:style w:type="paragraph" w:styleId="Heading4">
    <w:name w:val="heading 4"/>
    <w:basedOn w:val="Normal"/>
    <w:next w:val="Normal"/>
    <w:link w:val="Heading4Char"/>
    <w:uiPriority w:val="19"/>
    <w:qFormat/>
    <w:rsid w:val="00A25543"/>
    <w:pPr>
      <w:keepNext/>
      <w:spacing w:before="240" w:after="60" w:line="259" w:lineRule="auto"/>
      <w:outlineLvl w:val="3"/>
    </w:pPr>
    <w:rPr>
      <w:rFonts w:ascii="Segoe UI Semibold" w:eastAsia="Times New Roman" w:hAnsi="Segoe UI Semibold" w:cs="Times New Roman"/>
      <w:color w:val="00264D" w:themeColor="background2"/>
      <w:sz w:val="22"/>
      <w:szCs w:val="19"/>
      <w:lang w:eastAsia="en-AU"/>
    </w:rPr>
  </w:style>
  <w:style w:type="paragraph" w:styleId="Heading5">
    <w:name w:val="heading 5"/>
    <w:basedOn w:val="Normal"/>
    <w:next w:val="Normal"/>
    <w:link w:val="Heading5Char"/>
    <w:uiPriority w:val="19"/>
    <w:qFormat/>
    <w:rsid w:val="00A25543"/>
    <w:pPr>
      <w:keepNext/>
      <w:numPr>
        <w:ilvl w:val="4"/>
        <w:numId w:val="5"/>
      </w:numPr>
      <w:spacing w:before="240" w:line="259" w:lineRule="auto"/>
      <w:outlineLvl w:val="4"/>
    </w:pPr>
    <w:rPr>
      <w:rFonts w:eastAsia="Times New Roman" w:cs="Times New Roman"/>
      <w:b/>
      <w:color w:val="000000" w:themeColor="text1"/>
      <w:sz w:val="20"/>
      <w:szCs w:val="24"/>
      <w:lang w:eastAsia="en-AU"/>
    </w:rPr>
  </w:style>
  <w:style w:type="paragraph" w:styleId="Heading6">
    <w:name w:val="heading 6"/>
    <w:basedOn w:val="Normal"/>
    <w:next w:val="Normal"/>
    <w:link w:val="Heading6Char"/>
    <w:uiPriority w:val="19"/>
    <w:qFormat/>
    <w:rsid w:val="00A25543"/>
    <w:pPr>
      <w:keepNext/>
      <w:keepLines/>
      <w:numPr>
        <w:ilvl w:val="5"/>
        <w:numId w:val="5"/>
      </w:numPr>
      <w:spacing w:before="200" w:after="60" w:line="259" w:lineRule="auto"/>
      <w:outlineLvl w:val="5"/>
    </w:pPr>
    <w:rPr>
      <w:rFonts w:eastAsiaTheme="majorEastAsia" w:cstheme="majorBidi"/>
      <w:b/>
      <w:i/>
      <w:iCs/>
      <w:color w:val="000000" w:themeColor="text1"/>
      <w:szCs w:val="19"/>
      <w:lang w:eastAsia="en-AU"/>
    </w:rPr>
  </w:style>
  <w:style w:type="paragraph" w:styleId="Heading7">
    <w:name w:val="heading 7"/>
    <w:basedOn w:val="Normal"/>
    <w:next w:val="Normal"/>
    <w:link w:val="Heading7Char"/>
    <w:uiPriority w:val="19"/>
    <w:semiHidden/>
    <w:rsid w:val="000137FA"/>
    <w:pPr>
      <w:keepNext/>
      <w:keepLines/>
      <w:spacing w:before="200" w:after="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19"/>
    <w:semiHidden/>
    <w:rsid w:val="000137FA"/>
    <w:pPr>
      <w:keepNext/>
      <w:keepLines/>
      <w:spacing w:before="200" w:after="0"/>
      <w:outlineLvl w:val="7"/>
    </w:pPr>
    <w:rPr>
      <w:rFonts w:eastAsiaTheme="majorEastAsia" w:cstheme="majorBidi"/>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9"/>
    <w:rsid w:val="00A25543"/>
    <w:rPr>
      <w:rFonts w:ascii="Segoe UI" w:eastAsia="Times New Roman" w:hAnsi="Segoe UI" w:cs="Times New Roman"/>
      <w:b/>
      <w:color w:val="00264D"/>
      <w:sz w:val="36"/>
      <w:szCs w:val="19"/>
      <w:lang w:val="en-AU" w:eastAsia="en-AU"/>
    </w:rPr>
  </w:style>
  <w:style w:type="character" w:customStyle="1" w:styleId="Heading2Char">
    <w:name w:val="Heading 2 Char"/>
    <w:basedOn w:val="DefaultParagraphFont"/>
    <w:link w:val="Heading2"/>
    <w:uiPriority w:val="19"/>
    <w:rsid w:val="00A25543"/>
    <w:rPr>
      <w:rFonts w:ascii="Segoe UI Semibold" w:eastAsia="Times New Roman" w:hAnsi="Segoe UI Semibold" w:cs="Times New Roman"/>
      <w:color w:val="00264D"/>
      <w:sz w:val="30"/>
      <w:szCs w:val="19"/>
      <w:lang w:val="en-AU" w:eastAsia="en-AU"/>
    </w:rPr>
  </w:style>
  <w:style w:type="character" w:customStyle="1" w:styleId="Heading3Char">
    <w:name w:val="Heading 3 Char"/>
    <w:basedOn w:val="DefaultParagraphFont"/>
    <w:link w:val="Heading3"/>
    <w:uiPriority w:val="19"/>
    <w:rsid w:val="00A25543"/>
    <w:rPr>
      <w:rFonts w:ascii="Segoe UI Semibold" w:eastAsia="Times New Roman" w:hAnsi="Segoe UI Semibold" w:cs="Times New Roman"/>
      <w:color w:val="00264D"/>
      <w:sz w:val="26"/>
      <w:szCs w:val="19"/>
      <w:lang w:val="en-AU" w:eastAsia="en-AU"/>
    </w:rPr>
  </w:style>
  <w:style w:type="character" w:customStyle="1" w:styleId="Heading4Char">
    <w:name w:val="Heading 4 Char"/>
    <w:basedOn w:val="DefaultParagraphFont"/>
    <w:link w:val="Heading4"/>
    <w:uiPriority w:val="19"/>
    <w:rsid w:val="00A25543"/>
    <w:rPr>
      <w:rFonts w:ascii="Segoe UI Semibold" w:eastAsia="Times New Roman" w:hAnsi="Segoe UI Semibold" w:cs="Times New Roman"/>
      <w:color w:val="00264D" w:themeColor="background2"/>
      <w:szCs w:val="19"/>
      <w:lang w:val="en-AU" w:eastAsia="en-AU"/>
    </w:rPr>
  </w:style>
  <w:style w:type="character" w:customStyle="1" w:styleId="Heading5Char">
    <w:name w:val="Heading 5 Char"/>
    <w:basedOn w:val="DefaultParagraphFont"/>
    <w:link w:val="Heading5"/>
    <w:uiPriority w:val="19"/>
    <w:rsid w:val="00A25543"/>
    <w:rPr>
      <w:rFonts w:ascii="Segoe UI" w:eastAsia="Times New Roman" w:hAnsi="Segoe UI" w:cs="Times New Roman"/>
      <w:b/>
      <w:color w:val="000000" w:themeColor="text1"/>
      <w:sz w:val="20"/>
      <w:szCs w:val="24"/>
      <w:lang w:val="en-AU" w:eastAsia="en-AU"/>
    </w:rPr>
  </w:style>
  <w:style w:type="character" w:customStyle="1" w:styleId="Heading6Char">
    <w:name w:val="Heading 6 Char"/>
    <w:basedOn w:val="DefaultParagraphFont"/>
    <w:link w:val="Heading6"/>
    <w:uiPriority w:val="19"/>
    <w:rsid w:val="00A25543"/>
    <w:rPr>
      <w:rFonts w:ascii="Segoe UI" w:eastAsiaTheme="majorEastAsia" w:hAnsi="Segoe UI" w:cstheme="majorBidi"/>
      <w:b/>
      <w:i/>
      <w:iCs/>
      <w:color w:val="000000" w:themeColor="text1"/>
      <w:sz w:val="19"/>
      <w:szCs w:val="19"/>
      <w:lang w:val="en-AU" w:eastAsia="en-AU"/>
    </w:rPr>
  </w:style>
  <w:style w:type="paragraph" w:customStyle="1" w:styleId="Bullet">
    <w:name w:val="Bullet"/>
    <w:basedOn w:val="Normal"/>
    <w:link w:val="BulletChar"/>
    <w:uiPriority w:val="2"/>
    <w:qFormat/>
    <w:rsid w:val="00B300C7"/>
    <w:pPr>
      <w:numPr>
        <w:numId w:val="1"/>
      </w:numPr>
      <w:suppressAutoHyphens/>
      <w:ind w:left="340"/>
    </w:pPr>
    <w:rPr>
      <w:rFonts w:eastAsia="Times New Roman" w:cs="Times New Roman"/>
      <w:szCs w:val="19"/>
      <w:lang w:eastAsia="en-AU"/>
    </w:rPr>
  </w:style>
  <w:style w:type="paragraph" w:customStyle="1" w:styleId="TableNheader">
    <w:name w:val="Table N header"/>
    <w:basedOn w:val="Heading5"/>
    <w:uiPriority w:val="2"/>
    <w:qFormat/>
    <w:rsid w:val="00294C7F"/>
    <w:pPr>
      <w:numPr>
        <w:ilvl w:val="0"/>
        <w:numId w:val="0"/>
      </w:numPr>
      <w:spacing w:before="40" w:after="40"/>
    </w:pPr>
    <w:rPr>
      <w:rFonts w:ascii="Segoe UI Semibold" w:hAnsi="Segoe UI Semibold"/>
      <w:b w:val="0"/>
      <w:color w:val="00264D" w:themeColor="background2"/>
      <w:sz w:val="18"/>
    </w:rPr>
  </w:style>
  <w:style w:type="paragraph" w:customStyle="1" w:styleId="TableNText">
    <w:name w:val="Table N Text"/>
    <w:basedOn w:val="TableNheader"/>
    <w:link w:val="TableNTextChar"/>
    <w:uiPriority w:val="2"/>
    <w:qFormat/>
    <w:rsid w:val="008C0E64"/>
    <w:rPr>
      <w:rFonts w:ascii="Segoe UI" w:hAnsi="Segoe UI"/>
      <w:color w:val="auto"/>
    </w:rPr>
  </w:style>
  <w:style w:type="table" w:customStyle="1" w:styleId="NousTableStyletopandsideheading">
    <w:name w:val="Nous Table Style top and side heading"/>
    <w:basedOn w:val="TableNormal"/>
    <w:uiPriority w:val="99"/>
    <w:rsid w:val="000D4C32"/>
    <w:pPr>
      <w:spacing w:after="0" w:line="240" w:lineRule="auto"/>
    </w:pPr>
    <w:tblPr>
      <w:tblBorders>
        <w:insideH w:val="single" w:sz="8" w:space="0" w:color="F9F9F9"/>
      </w:tblBorders>
      <w:tblCellMar>
        <w:top w:w="57" w:type="dxa"/>
        <w:left w:w="85" w:type="dxa"/>
        <w:bottom w:w="57" w:type="dxa"/>
        <w:right w:w="85" w:type="dxa"/>
      </w:tblCellMar>
    </w:tblPr>
    <w:tblStylePr w:type="firstRow">
      <w:pPr>
        <w:jc w:val="left"/>
      </w:pPr>
      <w:rPr>
        <w:rFonts w:ascii="Franklin Gothic Medium" w:hAnsi="Franklin Gothic Medium"/>
        <w:b w:val="0"/>
        <w:color w:val="00264D" w:themeColor="background2"/>
        <w:sz w:val="18"/>
      </w:rPr>
      <w:tblPr/>
      <w:tcPr>
        <w:tcBorders>
          <w:top w:val="single" w:sz="24" w:space="0" w:color="F8981D" w:themeColor="accent3"/>
          <w:insideV w:val="single" w:sz="8" w:space="0" w:color="FFFFFF" w:themeColor="background1"/>
        </w:tcBorders>
        <w:shd w:val="clear" w:color="auto" w:fill="E6E6E1" w:themeFill="accent5"/>
      </w:tcPr>
    </w:tblStylePr>
    <w:tblStylePr w:type="firstCol">
      <w:pPr>
        <w:jc w:val="center"/>
      </w:pPr>
      <w:rPr>
        <w:rFonts w:ascii="Franklin Gothic Medium" w:hAnsi="Franklin Gothic Medium"/>
        <w:b w:val="0"/>
        <w:color w:val="00264D" w:themeColor="background2"/>
        <w:sz w:val="18"/>
      </w:rPr>
      <w:tblPr/>
      <w:tcPr>
        <w:tcBorders>
          <w:left w:val="nil"/>
        </w:tcBorders>
        <w:shd w:val="clear" w:color="auto" w:fill="E6E6E1" w:themeFill="accent5"/>
      </w:tcPr>
    </w:tblStylePr>
  </w:style>
  <w:style w:type="paragraph" w:styleId="Footer">
    <w:name w:val="footer"/>
    <w:basedOn w:val="Normal"/>
    <w:link w:val="FooterChar"/>
    <w:uiPriority w:val="89"/>
    <w:unhideWhenUsed/>
    <w:rsid w:val="00865A27"/>
    <w:pPr>
      <w:tabs>
        <w:tab w:val="center" w:pos="4513"/>
        <w:tab w:val="right" w:pos="9026"/>
      </w:tabs>
      <w:spacing w:after="0"/>
    </w:pPr>
    <w:rPr>
      <w:sz w:val="15"/>
    </w:rPr>
  </w:style>
  <w:style w:type="character" w:customStyle="1" w:styleId="FooterChar">
    <w:name w:val="Footer Char"/>
    <w:basedOn w:val="DefaultParagraphFont"/>
    <w:link w:val="Footer"/>
    <w:uiPriority w:val="89"/>
    <w:rsid w:val="00865A27"/>
    <w:rPr>
      <w:rFonts w:ascii="Segoe UI" w:hAnsi="Segoe UI"/>
      <w:sz w:val="15"/>
    </w:rPr>
  </w:style>
  <w:style w:type="paragraph" w:styleId="Caption">
    <w:name w:val="caption"/>
    <w:basedOn w:val="Normal"/>
    <w:next w:val="Normal"/>
    <w:link w:val="CaptionChar"/>
    <w:uiPriority w:val="35"/>
    <w:qFormat/>
    <w:rsid w:val="00B50EE7"/>
    <w:pPr>
      <w:keepNext/>
      <w:spacing w:before="240" w:line="259" w:lineRule="auto"/>
    </w:pPr>
    <w:rPr>
      <w:rFonts w:ascii="Segoe UI Semibold" w:hAnsi="Segoe UI Semibold"/>
      <w:bCs/>
      <w:color w:val="00264D" w:themeColor="background2"/>
      <w:szCs w:val="18"/>
    </w:rPr>
  </w:style>
  <w:style w:type="paragraph" w:customStyle="1" w:styleId="TableNBullet">
    <w:name w:val="Table N Bullet"/>
    <w:basedOn w:val="Bullet"/>
    <w:link w:val="TableNBulletChar"/>
    <w:uiPriority w:val="2"/>
    <w:qFormat/>
    <w:rsid w:val="002F0197"/>
    <w:pPr>
      <w:numPr>
        <w:numId w:val="10"/>
      </w:numPr>
      <w:spacing w:before="40" w:after="40"/>
    </w:pPr>
    <w:rPr>
      <w:sz w:val="18"/>
    </w:rPr>
  </w:style>
  <w:style w:type="paragraph" w:customStyle="1" w:styleId="TableNListnumbered">
    <w:name w:val="Table N List (numbered)"/>
    <w:basedOn w:val="TableNBullet"/>
    <w:uiPriority w:val="2"/>
    <w:qFormat/>
    <w:rsid w:val="00865A27"/>
    <w:pPr>
      <w:numPr>
        <w:numId w:val="4"/>
      </w:numPr>
    </w:pPr>
  </w:style>
  <w:style w:type="paragraph" w:customStyle="1" w:styleId="xAppendixLevel1">
    <w:name w:val="xAppendix Level 1"/>
    <w:basedOn w:val="Heading1"/>
    <w:next w:val="Normal"/>
    <w:uiPriority w:val="98"/>
    <w:qFormat/>
    <w:rsid w:val="00365464"/>
    <w:pPr>
      <w:numPr>
        <w:numId w:val="11"/>
      </w:numPr>
      <w:jc w:val="both"/>
    </w:pPr>
    <w:rPr>
      <w:rFonts w:cs="Segoe UI"/>
      <w:bCs/>
      <w:color w:val="00264D" w:themeColor="background2"/>
      <w:szCs w:val="36"/>
    </w:rPr>
  </w:style>
  <w:style w:type="paragraph" w:customStyle="1" w:styleId="xAppendixLevel2">
    <w:name w:val="xAppendix Level 2"/>
    <w:basedOn w:val="Heading2"/>
    <w:next w:val="Normal"/>
    <w:uiPriority w:val="98"/>
    <w:qFormat/>
    <w:rsid w:val="00ED32D6"/>
    <w:pPr>
      <w:numPr>
        <w:numId w:val="11"/>
      </w:numPr>
      <w:spacing w:before="300" w:line="240" w:lineRule="auto"/>
      <w:ind w:left="567" w:hanging="567"/>
    </w:pPr>
    <w:rPr>
      <w:bCs/>
    </w:rPr>
  </w:style>
  <w:style w:type="paragraph" w:customStyle="1" w:styleId="xAppendixLevel3">
    <w:name w:val="xAppendix Level 3"/>
    <w:basedOn w:val="Heading3"/>
    <w:next w:val="Normal"/>
    <w:uiPriority w:val="98"/>
    <w:qFormat/>
    <w:rsid w:val="003F7B2B"/>
    <w:pPr>
      <w:numPr>
        <w:ilvl w:val="0"/>
        <w:numId w:val="0"/>
      </w:numPr>
    </w:pPr>
    <w:rPr>
      <w:bCs/>
    </w:rPr>
  </w:style>
  <w:style w:type="paragraph" w:customStyle="1" w:styleId="Listnumbered">
    <w:name w:val="List (numbered)"/>
    <w:basedOn w:val="Normal"/>
    <w:uiPriority w:val="1"/>
    <w:qFormat/>
    <w:rsid w:val="00294C7F"/>
    <w:pPr>
      <w:numPr>
        <w:numId w:val="2"/>
      </w:numPr>
    </w:pPr>
  </w:style>
  <w:style w:type="paragraph" w:customStyle="1" w:styleId="Source">
    <w:name w:val="Source"/>
    <w:basedOn w:val="Normal"/>
    <w:next w:val="Normal"/>
    <w:link w:val="SourceChar"/>
    <w:uiPriority w:val="39"/>
    <w:rsid w:val="0020000D"/>
    <w:pPr>
      <w:spacing w:before="120" w:after="240"/>
      <w:jc w:val="center"/>
    </w:pPr>
    <w:rPr>
      <w:rFonts w:eastAsia="Times New Roman" w:cs="Times New Roman"/>
      <w:i/>
      <w:sz w:val="17"/>
      <w:szCs w:val="19"/>
      <w:lang w:eastAsia="en-AU"/>
    </w:rPr>
  </w:style>
  <w:style w:type="character" w:customStyle="1" w:styleId="SourceChar">
    <w:name w:val="Source Char"/>
    <w:basedOn w:val="DefaultParagraphFont"/>
    <w:link w:val="Source"/>
    <w:uiPriority w:val="39"/>
    <w:rsid w:val="0020000D"/>
    <w:rPr>
      <w:rFonts w:ascii="Segoe UI" w:eastAsia="Times New Roman" w:hAnsi="Segoe UI" w:cs="Times New Roman"/>
      <w:i/>
      <w:sz w:val="17"/>
      <w:szCs w:val="19"/>
      <w:lang w:val="en-AU" w:eastAsia="en-AU"/>
    </w:rPr>
  </w:style>
  <w:style w:type="paragraph" w:customStyle="1" w:styleId="TableExpBullet0">
    <w:name w:val="Table Exp Bullet"/>
    <w:basedOn w:val="TableNBullet"/>
    <w:uiPriority w:val="3"/>
    <w:qFormat/>
    <w:rsid w:val="00865A27"/>
  </w:style>
  <w:style w:type="paragraph" w:customStyle="1" w:styleId="Tableexpheader">
    <w:name w:val="Table exp header"/>
    <w:basedOn w:val="TableNheader"/>
    <w:uiPriority w:val="3"/>
    <w:qFormat/>
    <w:rsid w:val="0029320C"/>
    <w:rPr>
      <w:sz w:val="17"/>
    </w:rPr>
  </w:style>
  <w:style w:type="paragraph" w:customStyle="1" w:styleId="TableexpListnumbered">
    <w:name w:val="Table exp List (numbered)"/>
    <w:basedOn w:val="TableNListnumbered"/>
    <w:uiPriority w:val="3"/>
    <w:qFormat/>
    <w:rsid w:val="0029320C"/>
    <w:rPr>
      <w:sz w:val="16"/>
    </w:rPr>
  </w:style>
  <w:style w:type="paragraph" w:customStyle="1" w:styleId="TableExpText">
    <w:name w:val="Table Exp Text"/>
    <w:basedOn w:val="TableNText"/>
    <w:uiPriority w:val="3"/>
    <w:qFormat/>
    <w:rsid w:val="0029320C"/>
    <w:rPr>
      <w:sz w:val="16"/>
    </w:rPr>
  </w:style>
  <w:style w:type="character" w:customStyle="1" w:styleId="Heading7Char">
    <w:name w:val="Heading 7 Char"/>
    <w:basedOn w:val="DefaultParagraphFont"/>
    <w:link w:val="Heading7"/>
    <w:uiPriority w:val="19"/>
    <w:semiHidden/>
    <w:rsid w:val="000137FA"/>
    <w:rPr>
      <w:rFonts w:ascii="Segoe UI" w:eastAsiaTheme="majorEastAsia" w:hAnsi="Segoe UI" w:cstheme="majorBidi"/>
      <w:i/>
      <w:iCs/>
      <w:color w:val="404040" w:themeColor="text1" w:themeTint="BF"/>
      <w:sz w:val="19"/>
    </w:rPr>
  </w:style>
  <w:style w:type="paragraph" w:customStyle="1" w:styleId="TableText">
    <w:name w:val="Table Text"/>
    <w:link w:val="TableTextChar"/>
    <w:uiPriority w:val="2"/>
    <w:rsid w:val="00653916"/>
    <w:pPr>
      <w:spacing w:before="40" w:after="40" w:line="240" w:lineRule="auto"/>
    </w:pPr>
    <w:rPr>
      <w:rFonts w:ascii="Segoe UI" w:eastAsia="Times New Roman" w:hAnsi="Segoe UI" w:cs="Times New Roman"/>
      <w:sz w:val="17"/>
      <w:szCs w:val="19"/>
      <w:lang w:val="en-AU" w:eastAsia="en-AU"/>
    </w:rPr>
  </w:style>
  <w:style w:type="paragraph" w:customStyle="1" w:styleId="Tablecolumnheading">
    <w:name w:val="Table column heading"/>
    <w:basedOn w:val="Normal"/>
    <w:link w:val="TablecolumnheadingChar"/>
    <w:uiPriority w:val="2"/>
    <w:rsid w:val="00653916"/>
    <w:pPr>
      <w:keepNext/>
      <w:spacing w:before="40" w:after="40"/>
    </w:pPr>
    <w:rPr>
      <w:rFonts w:ascii="Segoe UI Semibold" w:eastAsia="Times New Roman" w:hAnsi="Segoe UI Semibold" w:cs="Times New Roman"/>
      <w:color w:val="00264D"/>
      <w:sz w:val="18"/>
      <w:szCs w:val="17"/>
      <w:lang w:eastAsia="en-AU"/>
    </w:rPr>
  </w:style>
  <w:style w:type="character" w:customStyle="1" w:styleId="TableTextChar">
    <w:name w:val="Table Text Char"/>
    <w:basedOn w:val="DefaultParagraphFont"/>
    <w:link w:val="TableText"/>
    <w:uiPriority w:val="2"/>
    <w:rsid w:val="00865A27"/>
    <w:rPr>
      <w:rFonts w:ascii="Segoe UI" w:eastAsia="Times New Roman" w:hAnsi="Segoe UI" w:cs="Times New Roman"/>
      <w:sz w:val="17"/>
      <w:szCs w:val="19"/>
      <w:lang w:val="en-AU" w:eastAsia="en-AU"/>
    </w:rPr>
  </w:style>
  <w:style w:type="character" w:customStyle="1" w:styleId="TablecolumnheadingChar">
    <w:name w:val="Table column heading Char"/>
    <w:basedOn w:val="DefaultParagraphFont"/>
    <w:link w:val="Tablecolumnheading"/>
    <w:uiPriority w:val="2"/>
    <w:rsid w:val="00865A27"/>
    <w:rPr>
      <w:rFonts w:ascii="Segoe UI Semibold" w:eastAsia="Times New Roman" w:hAnsi="Segoe UI Semibold" w:cs="Times New Roman"/>
      <w:color w:val="00264D"/>
      <w:sz w:val="18"/>
      <w:szCs w:val="17"/>
      <w:lang w:val="en-AU" w:eastAsia="en-AU"/>
    </w:rPr>
  </w:style>
  <w:style w:type="table" w:customStyle="1" w:styleId="Style1">
    <w:name w:val="Style1"/>
    <w:basedOn w:val="TableNormal"/>
    <w:uiPriority w:val="99"/>
    <w:rsid w:val="00653916"/>
    <w:pPr>
      <w:spacing w:after="0" w:line="240" w:lineRule="auto"/>
    </w:pPr>
    <w:tblPr/>
    <w:tcPr>
      <w:shd w:val="clear" w:color="auto" w:fill="E6E6E1" w:themeFill="accent5"/>
    </w:tcPr>
  </w:style>
  <w:style w:type="paragraph" w:styleId="BalloonText">
    <w:name w:val="Balloon Text"/>
    <w:basedOn w:val="Normal"/>
    <w:link w:val="BalloonTextChar"/>
    <w:uiPriority w:val="99"/>
    <w:semiHidden/>
    <w:unhideWhenUsed/>
    <w:rsid w:val="00037C0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7C03"/>
    <w:rPr>
      <w:rFonts w:ascii="Tahoma" w:hAnsi="Tahoma" w:cs="Tahoma"/>
      <w:sz w:val="16"/>
      <w:szCs w:val="16"/>
    </w:rPr>
  </w:style>
  <w:style w:type="paragraph" w:customStyle="1" w:styleId="URL-groupcomau">
    <w:name w:val="URL - group.com.au"/>
    <w:basedOn w:val="Normal"/>
    <w:link w:val="URL-groupcomauChar"/>
    <w:uiPriority w:val="89"/>
    <w:semiHidden/>
    <w:qFormat/>
    <w:rsid w:val="00FD4AB1"/>
    <w:pPr>
      <w:spacing w:after="0"/>
    </w:pPr>
    <w:rPr>
      <w:rFonts w:eastAsia="Times New Roman" w:cs="Times New Roman"/>
      <w:color w:val="2E368F" w:themeColor="text2"/>
      <w:spacing w:val="20"/>
      <w:sz w:val="14"/>
      <w:szCs w:val="19"/>
      <w:lang w:eastAsia="en-AU"/>
    </w:rPr>
  </w:style>
  <w:style w:type="character" w:customStyle="1" w:styleId="URL-groupcomauChar">
    <w:name w:val="URL - group.com.au Char"/>
    <w:basedOn w:val="DefaultParagraphFont"/>
    <w:link w:val="URL-groupcomau"/>
    <w:uiPriority w:val="89"/>
    <w:semiHidden/>
    <w:rsid w:val="00FD4AB1"/>
    <w:rPr>
      <w:rFonts w:ascii="Segoe UI" w:eastAsia="Times New Roman" w:hAnsi="Segoe UI" w:cs="Times New Roman"/>
      <w:color w:val="2E368F" w:themeColor="text2"/>
      <w:spacing w:val="20"/>
      <w:sz w:val="14"/>
      <w:szCs w:val="19"/>
      <w:lang w:val="en-AU" w:eastAsia="en-AU"/>
    </w:rPr>
  </w:style>
  <w:style w:type="paragraph" w:customStyle="1" w:styleId="URL-nous">
    <w:name w:val="URL - nous"/>
    <w:basedOn w:val="Normal"/>
    <w:link w:val="URL-nousChar"/>
    <w:uiPriority w:val="89"/>
    <w:semiHidden/>
    <w:qFormat/>
    <w:rsid w:val="00FD4AB1"/>
    <w:pPr>
      <w:spacing w:after="0"/>
    </w:pPr>
    <w:rPr>
      <w:rFonts w:eastAsia="Times New Roman" w:cs="Times New Roman"/>
      <w:color w:val="FF3A40" w:themeColor="accent1"/>
      <w:spacing w:val="20"/>
      <w:sz w:val="14"/>
      <w:szCs w:val="19"/>
      <w:lang w:eastAsia="en-AU"/>
    </w:rPr>
  </w:style>
  <w:style w:type="character" w:customStyle="1" w:styleId="URL-nousChar">
    <w:name w:val="URL - nous Char"/>
    <w:basedOn w:val="DefaultParagraphFont"/>
    <w:link w:val="URL-nous"/>
    <w:uiPriority w:val="89"/>
    <w:semiHidden/>
    <w:rsid w:val="00FD4AB1"/>
    <w:rPr>
      <w:rFonts w:ascii="Segoe UI" w:eastAsia="Times New Roman" w:hAnsi="Segoe UI" w:cs="Times New Roman"/>
      <w:color w:val="FF3A40" w:themeColor="accent1"/>
      <w:spacing w:val="20"/>
      <w:sz w:val="14"/>
      <w:szCs w:val="19"/>
      <w:lang w:val="en-AU" w:eastAsia="en-AU"/>
    </w:rPr>
  </w:style>
  <w:style w:type="paragraph" w:customStyle="1" w:styleId="ContentsHeading">
    <w:name w:val="Contents Heading"/>
    <w:basedOn w:val="Normal"/>
    <w:rsid w:val="00CF7BA0"/>
    <w:pPr>
      <w:spacing w:before="360" w:after="600"/>
    </w:pPr>
    <w:rPr>
      <w:rFonts w:eastAsia="Times New Roman" w:cs="Segoe UI"/>
      <w:b/>
      <w:color w:val="00264D"/>
      <w:sz w:val="36"/>
      <w:szCs w:val="36"/>
      <w:lang w:eastAsia="en-AU"/>
    </w:rPr>
  </w:style>
  <w:style w:type="character" w:customStyle="1" w:styleId="BulletChar">
    <w:name w:val="Bullet Char"/>
    <w:basedOn w:val="DefaultParagraphFont"/>
    <w:link w:val="Bullet"/>
    <w:uiPriority w:val="2"/>
    <w:rsid w:val="00E20B2B"/>
    <w:rPr>
      <w:rFonts w:ascii="Segoe UI" w:eastAsia="Times New Roman" w:hAnsi="Segoe UI" w:cs="Times New Roman"/>
      <w:sz w:val="19"/>
      <w:szCs w:val="19"/>
      <w:lang w:val="en-AU" w:eastAsia="en-AU"/>
    </w:rPr>
  </w:style>
  <w:style w:type="paragraph" w:customStyle="1" w:styleId="Sectiondividerheading">
    <w:name w:val="Section divider heading"/>
    <w:basedOn w:val="Normal"/>
    <w:link w:val="SectiondividerheadingChar"/>
    <w:uiPriority w:val="99"/>
    <w:rsid w:val="00A10340"/>
    <w:pPr>
      <w:spacing w:after="0"/>
    </w:pPr>
    <w:rPr>
      <w:rFonts w:eastAsia="Source Sans Pro" w:cs="Segoe UI"/>
      <w:b/>
      <w:bCs/>
      <w:color w:val="F8981D"/>
      <w:sz w:val="56"/>
      <w:szCs w:val="56"/>
      <w:lang w:eastAsia="en-AU"/>
    </w:rPr>
  </w:style>
  <w:style w:type="character" w:customStyle="1" w:styleId="SectiondividerheadingChar">
    <w:name w:val="Section divider heading Char"/>
    <w:basedOn w:val="DefaultParagraphFont"/>
    <w:link w:val="Sectiondividerheading"/>
    <w:uiPriority w:val="99"/>
    <w:rsid w:val="00865A27"/>
    <w:rPr>
      <w:rFonts w:ascii="Segoe UI" w:eastAsia="Source Sans Pro" w:hAnsi="Segoe UI" w:cs="Segoe UI"/>
      <w:b/>
      <w:bCs/>
      <w:color w:val="F8981D"/>
      <w:sz w:val="56"/>
      <w:szCs w:val="56"/>
      <w:lang w:val="en-AU" w:eastAsia="en-AU"/>
    </w:rPr>
  </w:style>
  <w:style w:type="paragraph" w:styleId="TOC2">
    <w:name w:val="toc 2"/>
    <w:basedOn w:val="Normal"/>
    <w:next w:val="Normal"/>
    <w:autoRedefine/>
    <w:uiPriority w:val="39"/>
    <w:unhideWhenUsed/>
    <w:qFormat/>
    <w:rsid w:val="007B157A"/>
    <w:pPr>
      <w:tabs>
        <w:tab w:val="left" w:pos="720"/>
        <w:tab w:val="left" w:pos="851"/>
        <w:tab w:val="right" w:leader="dot" w:pos="9185"/>
      </w:tabs>
      <w:spacing w:after="100"/>
      <w:ind w:left="850" w:right="170" w:hanging="425"/>
    </w:pPr>
    <w:rPr>
      <w:lang w:val="en-US"/>
    </w:rPr>
  </w:style>
  <w:style w:type="paragraph" w:styleId="TOC1">
    <w:name w:val="toc 1"/>
    <w:basedOn w:val="Normal"/>
    <w:next w:val="Normal"/>
    <w:autoRedefine/>
    <w:uiPriority w:val="39"/>
    <w:unhideWhenUsed/>
    <w:qFormat/>
    <w:rsid w:val="008C0E64"/>
    <w:pPr>
      <w:tabs>
        <w:tab w:val="left" w:pos="426"/>
        <w:tab w:val="left" w:pos="1134"/>
        <w:tab w:val="right" w:leader="dot" w:pos="9185"/>
      </w:tabs>
      <w:spacing w:before="180" w:after="100"/>
      <w:ind w:left="425" w:hanging="425"/>
    </w:pPr>
    <w:rPr>
      <w:rFonts w:ascii="Segoe UI Semibold" w:hAnsi="Segoe UI Semibold"/>
      <w:noProof/>
      <w:lang w:val="en-US"/>
    </w:rPr>
  </w:style>
  <w:style w:type="character" w:styleId="Hyperlink">
    <w:name w:val="Hyperlink"/>
    <w:basedOn w:val="DefaultParagraphFont"/>
    <w:uiPriority w:val="99"/>
    <w:unhideWhenUsed/>
    <w:rsid w:val="008A4363"/>
    <w:rPr>
      <w:color w:val="0048C7" w:themeColor="hyperlink"/>
      <w:u w:val="single"/>
    </w:rPr>
  </w:style>
  <w:style w:type="table" w:styleId="TableGrid">
    <w:name w:val="Table Grid"/>
    <w:aliases w:val="Nous Table,Table"/>
    <w:basedOn w:val="TableNormal"/>
    <w:uiPriority w:val="39"/>
    <w:rsid w:val="004440B3"/>
    <w:pPr>
      <w:spacing w:after="0" w:line="240" w:lineRule="auto"/>
    </w:pPr>
    <w:rPr>
      <w:rFonts w:ascii="Segoe UI" w:hAnsi="Segoe UI"/>
      <w:sz w:val="17"/>
    </w:rPr>
    <w:tblPr>
      <w:tblStyleRowBandSize w:val="1"/>
      <w:tblBorders>
        <w:top w:val="single" w:sz="8" w:space="0" w:color="E6E6E1" w:themeColor="accent5"/>
        <w:bottom w:val="single" w:sz="8" w:space="0" w:color="E6E6E1" w:themeColor="accent5"/>
        <w:insideH w:val="single" w:sz="8" w:space="0" w:color="E6E6E1" w:themeColor="accent5"/>
      </w:tblBorders>
      <w:tblCellMar>
        <w:top w:w="57" w:type="dxa"/>
        <w:left w:w="85" w:type="dxa"/>
        <w:bottom w:w="57" w:type="dxa"/>
        <w:right w:w="85" w:type="dxa"/>
      </w:tblCellMar>
    </w:tblPr>
    <w:tcPr>
      <w:vAlign w:val="center"/>
    </w:tcPr>
    <w:tblStylePr w:type="firstRow">
      <w:pPr>
        <w:jc w:val="left"/>
      </w:pPr>
      <w:rPr>
        <w:rFonts w:ascii="Wingdings 2" w:hAnsi="Wingdings 2"/>
        <w:b w:val="0"/>
        <w:color w:val="00264D" w:themeColor="background2"/>
        <w:sz w:val="18"/>
      </w:rPr>
      <w:tblPr/>
      <w:trPr>
        <w:cantSplit/>
        <w:tblHeader/>
      </w:trPr>
      <w:tcPr>
        <w:tcBorders>
          <w:top w:val="single" w:sz="24" w:space="0" w:color="F8981D" w:themeColor="accent3"/>
          <w:left w:val="nil"/>
          <w:bottom w:val="nil"/>
          <w:right w:val="nil"/>
          <w:insideH w:val="nil"/>
          <w:insideV w:val="single" w:sz="8" w:space="0" w:color="FFFFFF" w:themeColor="background1"/>
          <w:tl2br w:val="nil"/>
          <w:tr2bl w:val="nil"/>
        </w:tcBorders>
        <w:shd w:val="clear" w:color="auto" w:fill="E6E6E1" w:themeFill="accent5"/>
      </w:tcPr>
    </w:tblStylePr>
    <w:tblStylePr w:type="band1Horz">
      <w:rPr>
        <w:rFonts w:ascii="Yu Mincho" w:hAnsi="Yu Mincho"/>
        <w:sz w:val="17"/>
      </w:rPr>
    </w:tblStylePr>
    <w:tblStylePr w:type="band2Horz">
      <w:rPr>
        <w:rFonts w:ascii="Yu Mincho" w:hAnsi="Yu Mincho"/>
        <w:sz w:val="17"/>
      </w:rPr>
    </w:tblStylePr>
  </w:style>
  <w:style w:type="table" w:styleId="LightGrid-Accent5">
    <w:name w:val="Light Grid Accent 5"/>
    <w:basedOn w:val="TableNormal"/>
    <w:uiPriority w:val="62"/>
    <w:rsid w:val="00071DFF"/>
    <w:pPr>
      <w:spacing w:after="0" w:line="240" w:lineRule="auto"/>
    </w:pPr>
    <w:tblPr>
      <w:tblStyleRowBandSize w:val="1"/>
      <w:tblStyleColBandSize w:val="1"/>
      <w:tblBorders>
        <w:top w:val="single" w:sz="8" w:space="0" w:color="E6E6E1" w:themeColor="accent5"/>
        <w:left w:val="single" w:sz="8" w:space="0" w:color="E6E6E1" w:themeColor="accent5"/>
        <w:bottom w:val="single" w:sz="8" w:space="0" w:color="E6E6E1" w:themeColor="accent5"/>
        <w:right w:val="single" w:sz="8" w:space="0" w:color="E6E6E1" w:themeColor="accent5"/>
        <w:insideH w:val="single" w:sz="8" w:space="0" w:color="E6E6E1" w:themeColor="accent5"/>
        <w:insideV w:val="single" w:sz="8" w:space="0" w:color="E6E6E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6E6E1" w:themeColor="accent5"/>
          <w:left w:val="single" w:sz="8" w:space="0" w:color="E6E6E1" w:themeColor="accent5"/>
          <w:bottom w:val="single" w:sz="18" w:space="0" w:color="E6E6E1" w:themeColor="accent5"/>
          <w:right w:val="single" w:sz="8" w:space="0" w:color="E6E6E1" w:themeColor="accent5"/>
          <w:insideH w:val="nil"/>
          <w:insideV w:val="single" w:sz="8" w:space="0" w:color="E6E6E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6E6E1" w:themeColor="accent5"/>
          <w:left w:val="single" w:sz="8" w:space="0" w:color="E6E6E1" w:themeColor="accent5"/>
          <w:bottom w:val="single" w:sz="8" w:space="0" w:color="E6E6E1" w:themeColor="accent5"/>
          <w:right w:val="single" w:sz="8" w:space="0" w:color="E6E6E1" w:themeColor="accent5"/>
          <w:insideH w:val="nil"/>
          <w:insideV w:val="single" w:sz="8" w:space="0" w:color="E6E6E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6E6E1" w:themeColor="accent5"/>
          <w:left w:val="single" w:sz="8" w:space="0" w:color="E6E6E1" w:themeColor="accent5"/>
          <w:bottom w:val="single" w:sz="8" w:space="0" w:color="E6E6E1" w:themeColor="accent5"/>
          <w:right w:val="single" w:sz="8" w:space="0" w:color="E6E6E1" w:themeColor="accent5"/>
        </w:tcBorders>
      </w:tcPr>
    </w:tblStylePr>
    <w:tblStylePr w:type="band1Vert">
      <w:tblPr/>
      <w:tcPr>
        <w:tcBorders>
          <w:top w:val="single" w:sz="8" w:space="0" w:color="E6E6E1" w:themeColor="accent5"/>
          <w:left w:val="single" w:sz="8" w:space="0" w:color="E6E6E1" w:themeColor="accent5"/>
          <w:bottom w:val="single" w:sz="8" w:space="0" w:color="E6E6E1" w:themeColor="accent5"/>
          <w:right w:val="single" w:sz="8" w:space="0" w:color="E6E6E1" w:themeColor="accent5"/>
        </w:tcBorders>
        <w:shd w:val="clear" w:color="auto" w:fill="F8F8F7" w:themeFill="accent5" w:themeFillTint="3F"/>
      </w:tcPr>
    </w:tblStylePr>
    <w:tblStylePr w:type="band1Horz">
      <w:tblPr/>
      <w:tcPr>
        <w:tcBorders>
          <w:top w:val="single" w:sz="8" w:space="0" w:color="E6E6E1" w:themeColor="accent5"/>
          <w:left w:val="single" w:sz="8" w:space="0" w:color="E6E6E1" w:themeColor="accent5"/>
          <w:bottom w:val="single" w:sz="8" w:space="0" w:color="E6E6E1" w:themeColor="accent5"/>
          <w:right w:val="single" w:sz="8" w:space="0" w:color="E6E6E1" w:themeColor="accent5"/>
          <w:insideV w:val="single" w:sz="8" w:space="0" w:color="E6E6E1" w:themeColor="accent5"/>
        </w:tcBorders>
        <w:shd w:val="clear" w:color="auto" w:fill="F8F8F7" w:themeFill="accent5" w:themeFillTint="3F"/>
      </w:tcPr>
    </w:tblStylePr>
    <w:tblStylePr w:type="band2Horz">
      <w:tblPr/>
      <w:tcPr>
        <w:tcBorders>
          <w:top w:val="single" w:sz="8" w:space="0" w:color="E6E6E1" w:themeColor="accent5"/>
          <w:left w:val="single" w:sz="8" w:space="0" w:color="E6E6E1" w:themeColor="accent5"/>
          <w:bottom w:val="single" w:sz="8" w:space="0" w:color="E6E6E1" w:themeColor="accent5"/>
          <w:right w:val="single" w:sz="8" w:space="0" w:color="E6E6E1" w:themeColor="accent5"/>
          <w:insideV w:val="single" w:sz="8" w:space="0" w:color="E6E6E1" w:themeColor="accent5"/>
        </w:tcBorders>
      </w:tcPr>
    </w:tblStylePr>
  </w:style>
  <w:style w:type="table" w:styleId="LightList-Accent5">
    <w:name w:val="Light List Accent 5"/>
    <w:basedOn w:val="TableNormal"/>
    <w:uiPriority w:val="61"/>
    <w:rsid w:val="00071DFF"/>
    <w:pPr>
      <w:spacing w:after="0" w:line="240" w:lineRule="auto"/>
    </w:pPr>
    <w:tblPr>
      <w:tblStyleRowBandSize w:val="1"/>
      <w:tblStyleColBandSize w:val="1"/>
      <w:tblBorders>
        <w:top w:val="single" w:sz="8" w:space="0" w:color="E6E6E1" w:themeColor="accent5"/>
        <w:left w:val="single" w:sz="8" w:space="0" w:color="E6E6E1" w:themeColor="accent5"/>
        <w:bottom w:val="single" w:sz="8" w:space="0" w:color="E6E6E1" w:themeColor="accent5"/>
        <w:right w:val="single" w:sz="8" w:space="0" w:color="E6E6E1" w:themeColor="accent5"/>
      </w:tblBorders>
    </w:tblPr>
    <w:tblStylePr w:type="firstRow">
      <w:pPr>
        <w:spacing w:before="0" w:after="0" w:line="240" w:lineRule="auto"/>
      </w:pPr>
      <w:rPr>
        <w:b/>
        <w:bCs/>
        <w:color w:val="FFFFFF" w:themeColor="background1"/>
      </w:rPr>
      <w:tblPr/>
      <w:tcPr>
        <w:shd w:val="clear" w:color="auto" w:fill="E6E6E1" w:themeFill="accent5"/>
      </w:tcPr>
    </w:tblStylePr>
    <w:tblStylePr w:type="lastRow">
      <w:pPr>
        <w:spacing w:before="0" w:after="0" w:line="240" w:lineRule="auto"/>
      </w:pPr>
      <w:rPr>
        <w:b/>
        <w:bCs/>
      </w:rPr>
      <w:tblPr/>
      <w:tcPr>
        <w:tcBorders>
          <w:top w:val="double" w:sz="6" w:space="0" w:color="E6E6E1" w:themeColor="accent5"/>
          <w:left w:val="single" w:sz="8" w:space="0" w:color="E6E6E1" w:themeColor="accent5"/>
          <w:bottom w:val="single" w:sz="8" w:space="0" w:color="E6E6E1" w:themeColor="accent5"/>
          <w:right w:val="single" w:sz="8" w:space="0" w:color="E6E6E1" w:themeColor="accent5"/>
        </w:tcBorders>
      </w:tcPr>
    </w:tblStylePr>
    <w:tblStylePr w:type="firstCol">
      <w:rPr>
        <w:b/>
        <w:bCs/>
      </w:rPr>
    </w:tblStylePr>
    <w:tblStylePr w:type="lastCol">
      <w:rPr>
        <w:b/>
        <w:bCs/>
      </w:rPr>
    </w:tblStylePr>
    <w:tblStylePr w:type="band1Vert">
      <w:tblPr/>
      <w:tcPr>
        <w:tcBorders>
          <w:top w:val="single" w:sz="8" w:space="0" w:color="E6E6E1" w:themeColor="accent5"/>
          <w:left w:val="single" w:sz="8" w:space="0" w:color="E6E6E1" w:themeColor="accent5"/>
          <w:bottom w:val="single" w:sz="8" w:space="0" w:color="E6E6E1" w:themeColor="accent5"/>
          <w:right w:val="single" w:sz="8" w:space="0" w:color="E6E6E1" w:themeColor="accent5"/>
        </w:tcBorders>
      </w:tcPr>
    </w:tblStylePr>
    <w:tblStylePr w:type="band1Horz">
      <w:tblPr/>
      <w:tcPr>
        <w:tcBorders>
          <w:top w:val="single" w:sz="8" w:space="0" w:color="E6E6E1" w:themeColor="accent5"/>
          <w:left w:val="single" w:sz="8" w:space="0" w:color="E6E6E1" w:themeColor="accent5"/>
          <w:bottom w:val="single" w:sz="8" w:space="0" w:color="E6E6E1" w:themeColor="accent5"/>
          <w:right w:val="single" w:sz="8" w:space="0" w:color="E6E6E1" w:themeColor="accent5"/>
        </w:tcBorders>
      </w:tcPr>
    </w:tblStylePr>
  </w:style>
  <w:style w:type="table" w:styleId="MediumShading1-Accent5">
    <w:name w:val="Medium Shading 1 Accent 5"/>
    <w:basedOn w:val="TableNormal"/>
    <w:uiPriority w:val="63"/>
    <w:rsid w:val="00071DFF"/>
    <w:pPr>
      <w:spacing w:after="0" w:line="240" w:lineRule="auto"/>
    </w:pPr>
    <w:tblPr>
      <w:tblStyleRowBandSize w:val="1"/>
      <w:tblStyleColBandSize w:val="1"/>
      <w:tblBorders>
        <w:top w:val="single" w:sz="8" w:space="0" w:color="ECECE8" w:themeColor="accent5" w:themeTint="BF"/>
        <w:left w:val="single" w:sz="8" w:space="0" w:color="ECECE8" w:themeColor="accent5" w:themeTint="BF"/>
        <w:bottom w:val="single" w:sz="8" w:space="0" w:color="ECECE8" w:themeColor="accent5" w:themeTint="BF"/>
        <w:right w:val="single" w:sz="8" w:space="0" w:color="ECECE8" w:themeColor="accent5" w:themeTint="BF"/>
        <w:insideH w:val="single" w:sz="8" w:space="0" w:color="ECECE8" w:themeColor="accent5" w:themeTint="BF"/>
      </w:tblBorders>
    </w:tblPr>
    <w:tblStylePr w:type="firstRow">
      <w:pPr>
        <w:spacing w:before="0" w:after="0" w:line="240" w:lineRule="auto"/>
      </w:pPr>
      <w:rPr>
        <w:b/>
        <w:bCs/>
        <w:color w:val="FFFFFF" w:themeColor="background1"/>
      </w:rPr>
      <w:tblPr/>
      <w:tcPr>
        <w:tcBorders>
          <w:top w:val="single" w:sz="8" w:space="0" w:color="ECECE8" w:themeColor="accent5" w:themeTint="BF"/>
          <w:left w:val="single" w:sz="8" w:space="0" w:color="ECECE8" w:themeColor="accent5" w:themeTint="BF"/>
          <w:bottom w:val="single" w:sz="8" w:space="0" w:color="ECECE8" w:themeColor="accent5" w:themeTint="BF"/>
          <w:right w:val="single" w:sz="8" w:space="0" w:color="ECECE8" w:themeColor="accent5" w:themeTint="BF"/>
          <w:insideH w:val="nil"/>
          <w:insideV w:val="nil"/>
        </w:tcBorders>
        <w:shd w:val="clear" w:color="auto" w:fill="E6E6E1" w:themeFill="accent5"/>
      </w:tcPr>
    </w:tblStylePr>
    <w:tblStylePr w:type="lastRow">
      <w:pPr>
        <w:spacing w:before="0" w:after="0" w:line="240" w:lineRule="auto"/>
      </w:pPr>
      <w:rPr>
        <w:b/>
        <w:bCs/>
      </w:rPr>
      <w:tblPr/>
      <w:tcPr>
        <w:tcBorders>
          <w:top w:val="double" w:sz="6" w:space="0" w:color="ECECE8" w:themeColor="accent5" w:themeTint="BF"/>
          <w:left w:val="single" w:sz="8" w:space="0" w:color="ECECE8" w:themeColor="accent5" w:themeTint="BF"/>
          <w:bottom w:val="single" w:sz="8" w:space="0" w:color="ECECE8" w:themeColor="accent5" w:themeTint="BF"/>
          <w:right w:val="single" w:sz="8" w:space="0" w:color="ECECE8" w:themeColor="accent5" w:themeTint="BF"/>
          <w:insideH w:val="nil"/>
          <w:insideV w:val="nil"/>
        </w:tcBorders>
      </w:tcPr>
    </w:tblStylePr>
    <w:tblStylePr w:type="firstCol">
      <w:rPr>
        <w:b/>
        <w:bCs/>
      </w:rPr>
    </w:tblStylePr>
    <w:tblStylePr w:type="lastCol">
      <w:rPr>
        <w:b/>
        <w:bCs/>
      </w:rPr>
    </w:tblStylePr>
    <w:tblStylePr w:type="band1Vert">
      <w:tblPr/>
      <w:tcPr>
        <w:shd w:val="clear" w:color="auto" w:fill="F8F8F7" w:themeFill="accent5" w:themeFillTint="3F"/>
      </w:tcPr>
    </w:tblStylePr>
    <w:tblStylePr w:type="band1Horz">
      <w:tblPr/>
      <w:tcPr>
        <w:tcBorders>
          <w:insideH w:val="nil"/>
          <w:insideV w:val="nil"/>
        </w:tcBorders>
        <w:shd w:val="clear" w:color="auto" w:fill="F8F8F7" w:themeFill="accent5" w:themeFillTint="3F"/>
      </w:tcPr>
    </w:tblStylePr>
    <w:tblStylePr w:type="band2Horz">
      <w:tblPr/>
      <w:tcPr>
        <w:tcBorders>
          <w:insideH w:val="nil"/>
          <w:insideV w:val="nil"/>
        </w:tcBorders>
      </w:tcPr>
    </w:tblStylePr>
  </w:style>
  <w:style w:type="character" w:customStyle="1" w:styleId="TableNBulletChar">
    <w:name w:val="Table N Bullet Char"/>
    <w:basedOn w:val="DefaultParagraphFont"/>
    <w:link w:val="TableNBullet"/>
    <w:uiPriority w:val="2"/>
    <w:rsid w:val="002F0197"/>
    <w:rPr>
      <w:rFonts w:ascii="Segoe UI" w:eastAsia="Times New Roman" w:hAnsi="Segoe UI" w:cs="Times New Roman"/>
      <w:sz w:val="18"/>
      <w:szCs w:val="19"/>
      <w:lang w:val="en-AU" w:eastAsia="en-AU"/>
    </w:rPr>
  </w:style>
  <w:style w:type="table" w:customStyle="1" w:styleId="NOUSSideHeader">
    <w:name w:val="NOUS Side Header"/>
    <w:basedOn w:val="TableNormal"/>
    <w:uiPriority w:val="99"/>
    <w:rsid w:val="000D4C32"/>
    <w:pPr>
      <w:spacing w:after="0" w:line="240" w:lineRule="auto"/>
      <w:ind w:left="57"/>
    </w:pPr>
    <w:rPr>
      <w:rFonts w:ascii="Segoe UI" w:hAnsi="Segoe UI"/>
      <w:sz w:val="17"/>
    </w:rPr>
    <w:tblPr>
      <w:tblBorders>
        <w:insideH w:val="single" w:sz="8" w:space="0" w:color="E6E6E1" w:themeColor="accent5"/>
      </w:tblBorders>
      <w:tblCellMar>
        <w:top w:w="57" w:type="dxa"/>
        <w:left w:w="85" w:type="dxa"/>
        <w:bottom w:w="57" w:type="dxa"/>
        <w:right w:w="85" w:type="dxa"/>
      </w:tblCellMar>
    </w:tblPr>
    <w:tblStylePr w:type="firstCol">
      <w:pPr>
        <w:wordWrap/>
        <w:jc w:val="center"/>
      </w:pPr>
      <w:rPr>
        <w:rFonts w:ascii="Franklin Gothic Medium" w:hAnsi="Franklin Gothic Medium"/>
        <w:b w:val="0"/>
        <w:color w:val="00264D" w:themeColor="background2"/>
        <w:sz w:val="18"/>
      </w:rPr>
      <w:tblPr/>
      <w:tcPr>
        <w:tcBorders>
          <w:top w:val="nil"/>
          <w:left w:val="single" w:sz="24" w:space="0" w:color="F8981D" w:themeColor="accent3"/>
          <w:bottom w:val="nil"/>
          <w:right w:val="nil"/>
          <w:insideH w:val="nil"/>
          <w:insideV w:val="nil"/>
          <w:tl2br w:val="nil"/>
          <w:tr2bl w:val="nil"/>
        </w:tcBorders>
        <w:shd w:val="clear" w:color="auto" w:fill="E6E6E1" w:themeFill="accent5"/>
      </w:tcPr>
    </w:tblStylePr>
  </w:style>
  <w:style w:type="table" w:customStyle="1" w:styleId="NOUS">
    <w:name w:val="NOUS"/>
    <w:basedOn w:val="TableNormal"/>
    <w:uiPriority w:val="99"/>
    <w:rsid w:val="000D4C32"/>
    <w:pPr>
      <w:spacing w:after="0" w:line="240" w:lineRule="auto"/>
    </w:pPr>
    <w:rPr>
      <w:rFonts w:ascii="Segoe UI" w:hAnsi="Segoe UI"/>
      <w:sz w:val="17"/>
    </w:rPr>
    <w:tblPr>
      <w:tblBorders>
        <w:bottom w:val="single" w:sz="8" w:space="0" w:color="E6E6E1" w:themeColor="accent5"/>
        <w:insideH w:val="single" w:sz="8" w:space="0" w:color="E6E6E1" w:themeColor="accent5"/>
      </w:tblBorders>
      <w:tblCellMar>
        <w:top w:w="57" w:type="dxa"/>
        <w:left w:w="85" w:type="dxa"/>
        <w:bottom w:w="57" w:type="dxa"/>
        <w:right w:w="85" w:type="dxa"/>
      </w:tblCellMar>
    </w:tblPr>
    <w:tblStylePr w:type="firstRow">
      <w:rPr>
        <w:rFonts w:ascii="Franklin Gothic Medium" w:hAnsi="Franklin Gothic Medium"/>
        <w:b w:val="0"/>
        <w:color w:val="00264D" w:themeColor="background2"/>
        <w:sz w:val="18"/>
      </w:rPr>
      <w:tblPr/>
      <w:trPr>
        <w:tblHeader/>
      </w:trPr>
      <w:tcPr>
        <w:tcBorders>
          <w:top w:val="single" w:sz="24" w:space="0" w:color="F8981D" w:themeColor="accent3"/>
          <w:left w:val="nil"/>
          <w:bottom w:val="nil"/>
          <w:right w:val="nil"/>
          <w:insideH w:val="nil"/>
          <w:insideV w:val="single" w:sz="8" w:space="0" w:color="FFFFFF" w:themeColor="background1"/>
          <w:tl2br w:val="nil"/>
          <w:tr2bl w:val="nil"/>
        </w:tcBorders>
        <w:shd w:val="clear" w:color="auto" w:fill="E6E6E1" w:themeFill="accent5"/>
      </w:tcPr>
    </w:tblStylePr>
  </w:style>
  <w:style w:type="character" w:customStyle="1" w:styleId="Heading8Char">
    <w:name w:val="Heading 8 Char"/>
    <w:basedOn w:val="DefaultParagraphFont"/>
    <w:link w:val="Heading8"/>
    <w:uiPriority w:val="19"/>
    <w:semiHidden/>
    <w:rsid w:val="000137FA"/>
    <w:rPr>
      <w:rFonts w:ascii="Segoe UI" w:eastAsiaTheme="majorEastAsia" w:hAnsi="Segoe UI" w:cstheme="majorBidi"/>
      <w:color w:val="404040" w:themeColor="text1" w:themeTint="BF"/>
      <w:sz w:val="20"/>
      <w:szCs w:val="20"/>
    </w:rPr>
  </w:style>
  <w:style w:type="paragraph" w:customStyle="1" w:styleId="Covertitle">
    <w:name w:val="Cover title"/>
    <w:basedOn w:val="Normal"/>
    <w:link w:val="CovertitleChar"/>
    <w:uiPriority w:val="99"/>
    <w:semiHidden/>
    <w:rsid w:val="00865A27"/>
    <w:pPr>
      <w:suppressAutoHyphens/>
      <w:spacing w:after="0" w:line="720" w:lineRule="exact"/>
    </w:pPr>
    <w:rPr>
      <w:rFonts w:eastAsia="Times New Roman" w:cs="Times New Roman"/>
      <w:color w:val="2E368F" w:themeColor="text2"/>
      <w:sz w:val="84"/>
      <w:szCs w:val="19"/>
      <w:lang w:eastAsia="en-AU"/>
    </w:rPr>
  </w:style>
  <w:style w:type="character" w:customStyle="1" w:styleId="CovertitleChar">
    <w:name w:val="Cover title Char"/>
    <w:basedOn w:val="DefaultParagraphFont"/>
    <w:link w:val="Covertitle"/>
    <w:uiPriority w:val="99"/>
    <w:semiHidden/>
    <w:rsid w:val="00865A27"/>
    <w:rPr>
      <w:rFonts w:ascii="Segoe UI" w:eastAsia="Times New Roman" w:hAnsi="Segoe UI" w:cs="Times New Roman"/>
      <w:color w:val="2E368F" w:themeColor="text2"/>
      <w:sz w:val="84"/>
      <w:szCs w:val="19"/>
      <w:lang w:val="en-AU" w:eastAsia="en-AU"/>
    </w:rPr>
  </w:style>
  <w:style w:type="paragraph" w:customStyle="1" w:styleId="CoverPage-Client">
    <w:name w:val="Cover Page - Client"/>
    <w:basedOn w:val="Normal"/>
    <w:link w:val="CoverPage-ClientChar"/>
    <w:uiPriority w:val="99"/>
    <w:semiHidden/>
    <w:rsid w:val="00865A27"/>
    <w:pPr>
      <w:suppressAutoHyphens/>
      <w:spacing w:before="480" w:after="0" w:line="380" w:lineRule="exact"/>
    </w:pPr>
    <w:rPr>
      <w:rFonts w:eastAsia="Times New Roman" w:cs="Times New Roman"/>
      <w:color w:val="2E368F" w:themeColor="text2"/>
      <w:sz w:val="36"/>
      <w:szCs w:val="19"/>
      <w:lang w:eastAsia="en-AU"/>
    </w:rPr>
  </w:style>
  <w:style w:type="character" w:customStyle="1" w:styleId="CoverPage-ClientChar">
    <w:name w:val="Cover Page - Client Char"/>
    <w:basedOn w:val="DefaultParagraphFont"/>
    <w:link w:val="CoverPage-Client"/>
    <w:uiPriority w:val="99"/>
    <w:semiHidden/>
    <w:rsid w:val="00865A27"/>
    <w:rPr>
      <w:rFonts w:ascii="Segoe UI" w:eastAsia="Times New Roman" w:hAnsi="Segoe UI" w:cs="Times New Roman"/>
      <w:color w:val="2E368F" w:themeColor="text2"/>
      <w:sz w:val="36"/>
      <w:szCs w:val="19"/>
      <w:lang w:val="en-AU" w:eastAsia="en-AU"/>
    </w:rPr>
  </w:style>
  <w:style w:type="paragraph" w:customStyle="1" w:styleId="CoverPage-Date">
    <w:name w:val="Cover Page - Date"/>
    <w:basedOn w:val="Normal"/>
    <w:link w:val="CoverPage-DateChar"/>
    <w:uiPriority w:val="99"/>
    <w:semiHidden/>
    <w:rsid w:val="00865A27"/>
    <w:pPr>
      <w:suppressAutoHyphens/>
      <w:spacing w:before="320" w:after="0" w:line="280" w:lineRule="exact"/>
    </w:pPr>
    <w:rPr>
      <w:rFonts w:eastAsia="Times New Roman" w:cs="Times New Roman"/>
      <w:color w:val="00264D" w:themeColor="background2"/>
      <w:sz w:val="24"/>
      <w:szCs w:val="19"/>
      <w:lang w:eastAsia="en-AU"/>
    </w:rPr>
  </w:style>
  <w:style w:type="character" w:customStyle="1" w:styleId="CoverPage-DateChar">
    <w:name w:val="Cover Page - Date Char"/>
    <w:basedOn w:val="DefaultParagraphFont"/>
    <w:link w:val="CoverPage-Date"/>
    <w:uiPriority w:val="99"/>
    <w:semiHidden/>
    <w:rsid w:val="00865A27"/>
    <w:rPr>
      <w:rFonts w:ascii="Segoe UI" w:eastAsia="Times New Roman" w:hAnsi="Segoe UI" w:cs="Times New Roman"/>
      <w:color w:val="00264D" w:themeColor="background2"/>
      <w:sz w:val="24"/>
      <w:szCs w:val="19"/>
      <w:lang w:val="en-AU" w:eastAsia="en-AU"/>
    </w:rPr>
  </w:style>
  <w:style w:type="character" w:styleId="PlaceholderText">
    <w:name w:val="Placeholder Text"/>
    <w:basedOn w:val="DefaultParagraphFont"/>
    <w:uiPriority w:val="99"/>
    <w:semiHidden/>
    <w:rsid w:val="00865A27"/>
    <w:rPr>
      <w:color w:val="808080"/>
    </w:rPr>
  </w:style>
  <w:style w:type="paragraph" w:customStyle="1" w:styleId="BioHeading">
    <w:name w:val="Bio Heading"/>
    <w:basedOn w:val="Normal"/>
    <w:uiPriority w:val="97"/>
    <w:qFormat/>
    <w:rsid w:val="00865A27"/>
    <w:pPr>
      <w:spacing w:after="165" w:line="259" w:lineRule="auto"/>
    </w:pPr>
    <w:rPr>
      <w:rFonts w:ascii="Segoe UI Semibold" w:hAnsi="Segoe UI Semibold"/>
      <w:color w:val="00264D" w:themeColor="background2"/>
      <w:sz w:val="26"/>
    </w:rPr>
  </w:style>
  <w:style w:type="paragraph" w:styleId="Header">
    <w:name w:val="header"/>
    <w:basedOn w:val="Normal"/>
    <w:link w:val="HeaderChar"/>
    <w:uiPriority w:val="99"/>
    <w:unhideWhenUsed/>
    <w:rsid w:val="001051E0"/>
    <w:pPr>
      <w:tabs>
        <w:tab w:val="center" w:pos="4513"/>
        <w:tab w:val="right" w:pos="9026"/>
      </w:tabs>
      <w:spacing w:after="0"/>
    </w:pPr>
  </w:style>
  <w:style w:type="character" w:customStyle="1" w:styleId="HeaderChar">
    <w:name w:val="Header Char"/>
    <w:basedOn w:val="DefaultParagraphFont"/>
    <w:link w:val="Header"/>
    <w:uiPriority w:val="99"/>
    <w:rsid w:val="001051E0"/>
    <w:rPr>
      <w:rFonts w:ascii="Segoe UI" w:hAnsi="Segoe UI"/>
      <w:sz w:val="19"/>
    </w:rPr>
  </w:style>
  <w:style w:type="table" w:customStyle="1" w:styleId="NOUSSideHeader1">
    <w:name w:val="NOUS Side Header1"/>
    <w:basedOn w:val="TableNormal"/>
    <w:next w:val="TableGrid"/>
    <w:uiPriority w:val="39"/>
    <w:rsid w:val="00A77AD0"/>
    <w:pPr>
      <w:spacing w:after="0" w:line="240" w:lineRule="auto"/>
    </w:pPr>
    <w:rPr>
      <w:rFonts w:ascii="Segoe UI" w:hAnsi="Segoe UI"/>
      <w:sz w:val="17"/>
    </w:rPr>
    <w:tblPr>
      <w:tblStyleRowBandSize w:val="1"/>
      <w:tblBorders>
        <w:top w:val="single" w:sz="8" w:space="0" w:color="E6E6E1" w:themeColor="accent5"/>
        <w:bottom w:val="single" w:sz="8" w:space="0" w:color="E6E6E1" w:themeColor="accent5"/>
        <w:insideH w:val="single" w:sz="8" w:space="0" w:color="E6E6E1" w:themeColor="accent5"/>
      </w:tblBorders>
      <w:tblCellMar>
        <w:top w:w="57" w:type="dxa"/>
        <w:left w:w="85" w:type="dxa"/>
        <w:bottom w:w="57" w:type="dxa"/>
        <w:right w:w="85" w:type="dxa"/>
      </w:tblCellMar>
    </w:tblPr>
    <w:tcPr>
      <w:vAlign w:val="center"/>
    </w:tcPr>
    <w:tblStylePr w:type="firstRow">
      <w:pPr>
        <w:jc w:val="left"/>
      </w:pPr>
      <w:rPr>
        <w:rFonts w:ascii="Wingdings 2" w:hAnsi="Wingdings 2"/>
        <w:b w:val="0"/>
        <w:color w:val="00264D" w:themeColor="background2"/>
        <w:sz w:val="18"/>
      </w:rPr>
      <w:tblPr/>
      <w:trPr>
        <w:cantSplit/>
        <w:tblHeader/>
      </w:trPr>
      <w:tcPr>
        <w:tcBorders>
          <w:top w:val="single" w:sz="24" w:space="0" w:color="F8981D" w:themeColor="accent3"/>
          <w:left w:val="nil"/>
          <w:bottom w:val="nil"/>
          <w:right w:val="nil"/>
          <w:insideH w:val="nil"/>
          <w:insideV w:val="single" w:sz="8" w:space="0" w:color="FFFFFF" w:themeColor="background1"/>
          <w:tl2br w:val="nil"/>
          <w:tr2bl w:val="nil"/>
        </w:tcBorders>
        <w:shd w:val="clear" w:color="auto" w:fill="E6E6E1" w:themeFill="accent5"/>
      </w:tcPr>
    </w:tblStylePr>
    <w:tblStylePr w:type="band1Horz">
      <w:rPr>
        <w:rFonts w:ascii="Wingdings 2" w:hAnsi="Wingdings 2"/>
        <w:sz w:val="17"/>
      </w:rPr>
    </w:tblStylePr>
    <w:tblStylePr w:type="band2Horz">
      <w:rPr>
        <w:rFonts w:ascii="Wingdings 2" w:hAnsi="Wingdings 2"/>
        <w:sz w:val="17"/>
      </w:rPr>
    </w:tblStylePr>
  </w:style>
  <w:style w:type="character" w:customStyle="1" w:styleId="TableNTextChar">
    <w:name w:val="Table N Text Char"/>
    <w:basedOn w:val="DefaultParagraphFont"/>
    <w:link w:val="TableNText"/>
    <w:uiPriority w:val="2"/>
    <w:rsid w:val="008C0E64"/>
    <w:rPr>
      <w:rFonts w:ascii="Segoe UI" w:eastAsia="Times New Roman" w:hAnsi="Segoe UI" w:cs="Times New Roman"/>
      <w:sz w:val="18"/>
      <w:szCs w:val="24"/>
      <w:lang w:val="en-AU" w:eastAsia="en-AU"/>
    </w:rPr>
  </w:style>
  <w:style w:type="character" w:customStyle="1" w:styleId="CaptionChar">
    <w:name w:val="Caption Char"/>
    <w:link w:val="Caption"/>
    <w:uiPriority w:val="35"/>
    <w:rsid w:val="00B50EE7"/>
    <w:rPr>
      <w:rFonts w:ascii="Segoe UI Semibold" w:hAnsi="Segoe UI Semibold"/>
      <w:bCs/>
      <w:color w:val="00264D" w:themeColor="background2"/>
      <w:sz w:val="19"/>
      <w:szCs w:val="18"/>
      <w:lang w:val="en-AU"/>
    </w:rPr>
  </w:style>
  <w:style w:type="paragraph" w:styleId="ListBullet">
    <w:name w:val="List Bullet"/>
    <w:basedOn w:val="Normal"/>
    <w:uiPriority w:val="99"/>
    <w:unhideWhenUsed/>
    <w:rsid w:val="00DA2426"/>
    <w:pPr>
      <w:numPr>
        <w:numId w:val="12"/>
      </w:numPr>
      <w:contextualSpacing/>
    </w:pPr>
  </w:style>
  <w:style w:type="paragraph" w:styleId="TOC3">
    <w:name w:val="toc 3"/>
    <w:basedOn w:val="Normal"/>
    <w:next w:val="Normal"/>
    <w:autoRedefine/>
    <w:uiPriority w:val="39"/>
    <w:unhideWhenUsed/>
    <w:rsid w:val="000028E8"/>
    <w:pPr>
      <w:spacing w:after="100"/>
      <w:ind w:left="380"/>
    </w:pPr>
  </w:style>
  <w:style w:type="paragraph" w:customStyle="1" w:styleId="Longformcallout">
    <w:name w:val="Long form callout"/>
    <w:basedOn w:val="Normal"/>
    <w:uiPriority w:val="20"/>
    <w:qFormat/>
    <w:rsid w:val="00FE7E0A"/>
    <w:pPr>
      <w:spacing w:before="60" w:after="60"/>
    </w:pPr>
    <w:rPr>
      <w:color w:val="00264D" w:themeColor="background2"/>
      <w:szCs w:val="19"/>
      <w:lang w:eastAsia="en-AU"/>
    </w:rPr>
  </w:style>
  <w:style w:type="paragraph" w:customStyle="1" w:styleId="longformcalloutbullet">
    <w:name w:val="long form call out bullet"/>
    <w:basedOn w:val="Longformcallout"/>
    <w:uiPriority w:val="20"/>
    <w:qFormat/>
    <w:rsid w:val="00FE7E0A"/>
    <w:pPr>
      <w:numPr>
        <w:numId w:val="7"/>
      </w:numPr>
      <w:ind w:left="340" w:hanging="340"/>
    </w:pPr>
  </w:style>
  <w:style w:type="paragraph" w:customStyle="1" w:styleId="longformcalloutnumber">
    <w:name w:val="long form callout number"/>
    <w:basedOn w:val="longformcalloutbullet"/>
    <w:uiPriority w:val="20"/>
    <w:qFormat/>
    <w:rsid w:val="00FE7E0A"/>
    <w:pPr>
      <w:numPr>
        <w:numId w:val="8"/>
      </w:numPr>
      <w:ind w:left="340" w:hanging="340"/>
    </w:pPr>
  </w:style>
  <w:style w:type="table" w:customStyle="1" w:styleId="NousLongformcallout">
    <w:name w:val="Nous_Long form call out"/>
    <w:basedOn w:val="TableNormal"/>
    <w:uiPriority w:val="99"/>
    <w:rsid w:val="00FE7E0A"/>
    <w:pPr>
      <w:spacing w:after="0" w:line="240" w:lineRule="auto"/>
    </w:pPr>
    <w:rPr>
      <w:color w:val="00264D" w:themeColor="background2"/>
    </w:rPr>
    <w:tblPr>
      <w:tblBorders>
        <w:left w:val="single" w:sz="18" w:space="0" w:color="F8981D" w:themeColor="accent3"/>
      </w:tblBorders>
      <w:tblCellMar>
        <w:top w:w="113" w:type="dxa"/>
        <w:bottom w:w="113" w:type="dxa"/>
      </w:tblCellMar>
    </w:tblPr>
    <w:tcPr>
      <w:shd w:val="clear" w:color="auto" w:fill="E6E6E1" w:themeFill="accent5"/>
    </w:tcPr>
  </w:style>
  <w:style w:type="table" w:customStyle="1" w:styleId="NOUSSideHeader3">
    <w:name w:val="NOUS Side Header3"/>
    <w:basedOn w:val="TableNormal"/>
    <w:next w:val="TableGrid"/>
    <w:uiPriority w:val="99"/>
    <w:rsid w:val="00D62F38"/>
    <w:pPr>
      <w:spacing w:after="0" w:line="240" w:lineRule="auto"/>
    </w:pPr>
    <w:rPr>
      <w:rFonts w:ascii="Segoe UI" w:hAnsi="Segoe UI"/>
      <w:sz w:val="17"/>
    </w:rPr>
    <w:tblPr>
      <w:tblStyleRowBandSize w:val="1"/>
      <w:tblBorders>
        <w:top w:val="single" w:sz="8" w:space="0" w:color="E6E6E1" w:themeColor="accent5"/>
        <w:bottom w:val="single" w:sz="8" w:space="0" w:color="E6E6E1" w:themeColor="accent5"/>
        <w:insideH w:val="single" w:sz="8" w:space="0" w:color="E6E6E1" w:themeColor="accent5"/>
      </w:tblBorders>
      <w:tblCellMar>
        <w:top w:w="57" w:type="dxa"/>
        <w:left w:w="85" w:type="dxa"/>
        <w:bottom w:w="57" w:type="dxa"/>
        <w:right w:w="85" w:type="dxa"/>
      </w:tblCellMar>
    </w:tblPr>
    <w:tcPr>
      <w:vAlign w:val="center"/>
    </w:tcPr>
    <w:tblStylePr w:type="firstRow">
      <w:pPr>
        <w:jc w:val="left"/>
      </w:pPr>
      <w:rPr>
        <w:rFonts w:ascii="Lucida Console" w:hAnsi="Lucida Console"/>
        <w:b w:val="0"/>
        <w:color w:val="00264D" w:themeColor="background2"/>
        <w:sz w:val="18"/>
      </w:rPr>
      <w:tblPr/>
      <w:trPr>
        <w:cantSplit/>
        <w:tblHeader/>
      </w:trPr>
      <w:tcPr>
        <w:tcBorders>
          <w:top w:val="single" w:sz="24" w:space="0" w:color="F8981D" w:themeColor="accent3"/>
          <w:left w:val="nil"/>
          <w:bottom w:val="nil"/>
          <w:right w:val="nil"/>
          <w:insideH w:val="nil"/>
          <w:insideV w:val="single" w:sz="8" w:space="0" w:color="FFFFFF" w:themeColor="background1"/>
          <w:tl2br w:val="nil"/>
          <w:tr2bl w:val="nil"/>
        </w:tcBorders>
        <w:shd w:val="clear" w:color="auto" w:fill="E6E6E1" w:themeFill="accent5"/>
      </w:tcPr>
    </w:tblStylePr>
    <w:tblStylePr w:type="band1Horz">
      <w:rPr>
        <w:rFonts w:ascii="Bahnschrift Light SemiCondensed" w:hAnsi="Bahnschrift Light SemiCondensed"/>
        <w:sz w:val="17"/>
      </w:rPr>
    </w:tblStylePr>
    <w:tblStylePr w:type="band2Horz">
      <w:rPr>
        <w:rFonts w:ascii="Bahnschrift Light SemiCondensed" w:hAnsi="Bahnschrift Light SemiCondensed"/>
        <w:sz w:val="17"/>
      </w:rPr>
    </w:tblStylePr>
  </w:style>
  <w:style w:type="character" w:styleId="CommentReference">
    <w:name w:val="annotation reference"/>
    <w:basedOn w:val="DefaultParagraphFont"/>
    <w:uiPriority w:val="99"/>
    <w:semiHidden/>
    <w:unhideWhenUsed/>
    <w:rsid w:val="00D62F38"/>
    <w:rPr>
      <w:sz w:val="16"/>
      <w:szCs w:val="16"/>
    </w:rPr>
  </w:style>
  <w:style w:type="paragraph" w:styleId="CommentText">
    <w:name w:val="annotation text"/>
    <w:basedOn w:val="Normal"/>
    <w:link w:val="CommentTextChar"/>
    <w:uiPriority w:val="99"/>
    <w:unhideWhenUsed/>
    <w:rsid w:val="00D62F38"/>
    <w:rPr>
      <w:sz w:val="20"/>
      <w:szCs w:val="20"/>
    </w:rPr>
  </w:style>
  <w:style w:type="character" w:customStyle="1" w:styleId="CommentTextChar">
    <w:name w:val="Comment Text Char"/>
    <w:basedOn w:val="DefaultParagraphFont"/>
    <w:link w:val="CommentText"/>
    <w:uiPriority w:val="99"/>
    <w:rsid w:val="00D62F38"/>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D62F38"/>
    <w:rPr>
      <w:b/>
      <w:bCs/>
    </w:rPr>
  </w:style>
  <w:style w:type="character" w:customStyle="1" w:styleId="CommentSubjectChar">
    <w:name w:val="Comment Subject Char"/>
    <w:basedOn w:val="CommentTextChar"/>
    <w:link w:val="CommentSubject"/>
    <w:uiPriority w:val="99"/>
    <w:semiHidden/>
    <w:rsid w:val="00D62F38"/>
    <w:rPr>
      <w:rFonts w:ascii="Segoe UI" w:hAnsi="Segoe UI"/>
      <w:b/>
      <w:bCs/>
      <w:sz w:val="20"/>
      <w:szCs w:val="20"/>
    </w:rPr>
  </w:style>
  <w:style w:type="paragraph" w:customStyle="1" w:styleId="Calloutmember">
    <w:name w:val="Call out member"/>
    <w:basedOn w:val="Callout"/>
    <w:link w:val="CalloutmemberChar"/>
    <w:qFormat/>
    <w:rsid w:val="00354B01"/>
    <w:pPr>
      <w:jc w:val="right"/>
    </w:pPr>
    <w:rPr>
      <w:rFonts w:asciiTheme="minorHAnsi" w:hAnsiTheme="minorHAnsi" w:cstheme="minorHAnsi"/>
      <w:b/>
      <w:bCs/>
      <w:color w:val="00264D" w:themeColor="background2"/>
      <w:sz w:val="14"/>
      <w:szCs w:val="14"/>
    </w:rPr>
  </w:style>
  <w:style w:type="character" w:customStyle="1" w:styleId="CalloutChar">
    <w:name w:val="Call out Char"/>
    <w:basedOn w:val="DefaultParagraphFont"/>
    <w:link w:val="Callout"/>
    <w:uiPriority w:val="98"/>
    <w:rsid w:val="00354B01"/>
    <w:rPr>
      <w:rFonts w:ascii="Segoe UI Semilight" w:hAnsi="Segoe UI Semilight"/>
      <w:color w:val="F8981D" w:themeColor="accent3"/>
      <w:kern w:val="24"/>
      <w:lang w:val="en-AU"/>
    </w:rPr>
  </w:style>
  <w:style w:type="character" w:styleId="FootnoteReference">
    <w:name w:val="footnote reference"/>
    <w:basedOn w:val="DefaultParagraphFont"/>
    <w:uiPriority w:val="99"/>
    <w:unhideWhenUsed/>
    <w:rsid w:val="00CC3783"/>
    <w:rPr>
      <w:rFonts w:cstheme="minorHAnsi"/>
      <w:szCs w:val="14"/>
      <w:vertAlign w:val="superscript"/>
    </w:rPr>
  </w:style>
  <w:style w:type="table" w:customStyle="1" w:styleId="NOUSSideHeader2">
    <w:name w:val="NOUS Side Header2"/>
    <w:basedOn w:val="TableNormal"/>
    <w:next w:val="TableGrid"/>
    <w:uiPriority w:val="39"/>
    <w:rsid w:val="00CC3783"/>
    <w:pPr>
      <w:spacing w:after="0" w:line="240" w:lineRule="auto"/>
    </w:pPr>
    <w:rPr>
      <w:rFonts w:ascii="Segoe UI" w:hAnsi="Segoe UI"/>
      <w:sz w:val="17"/>
    </w:rPr>
    <w:tblPr>
      <w:tblStyleRowBandSize w:val="1"/>
      <w:tblBorders>
        <w:top w:val="single" w:sz="8" w:space="0" w:color="E6E6E1" w:themeColor="accent5"/>
        <w:bottom w:val="single" w:sz="8" w:space="0" w:color="E6E6E1" w:themeColor="accent5"/>
        <w:insideH w:val="single" w:sz="8" w:space="0" w:color="E6E6E1" w:themeColor="accent5"/>
      </w:tblBorders>
      <w:tblCellMar>
        <w:top w:w="57" w:type="dxa"/>
        <w:left w:w="85" w:type="dxa"/>
        <w:bottom w:w="57" w:type="dxa"/>
        <w:right w:w="85" w:type="dxa"/>
      </w:tblCellMar>
    </w:tblPr>
    <w:tcPr>
      <w:vAlign w:val="center"/>
    </w:tcPr>
    <w:tblStylePr w:type="firstRow">
      <w:pPr>
        <w:jc w:val="left"/>
      </w:pPr>
      <w:rPr>
        <w:rFonts w:ascii="Lucida Console" w:hAnsi="Lucida Console"/>
        <w:b w:val="0"/>
        <w:color w:val="00264D" w:themeColor="background2"/>
        <w:sz w:val="18"/>
      </w:rPr>
      <w:tblPr/>
      <w:trPr>
        <w:cantSplit/>
        <w:tblHeader/>
      </w:trPr>
      <w:tcPr>
        <w:tcBorders>
          <w:top w:val="single" w:sz="24" w:space="0" w:color="F8981D" w:themeColor="accent3"/>
          <w:left w:val="nil"/>
          <w:bottom w:val="nil"/>
          <w:right w:val="nil"/>
          <w:insideH w:val="nil"/>
          <w:insideV w:val="single" w:sz="8" w:space="0" w:color="FFFFFF" w:themeColor="background1"/>
          <w:tl2br w:val="nil"/>
          <w:tr2bl w:val="nil"/>
        </w:tcBorders>
        <w:shd w:val="clear" w:color="auto" w:fill="E6E6E1" w:themeFill="accent5"/>
      </w:tcPr>
    </w:tblStylePr>
    <w:tblStylePr w:type="band1Horz">
      <w:rPr>
        <w:rFonts w:ascii="Bahnschrift Light SemiCondensed" w:hAnsi="Bahnschrift Light SemiCondensed"/>
        <w:sz w:val="17"/>
      </w:rPr>
    </w:tblStylePr>
    <w:tblStylePr w:type="band2Horz">
      <w:rPr>
        <w:rFonts w:ascii="Bahnschrift Light SemiCondensed" w:hAnsi="Bahnschrift Light SemiCondensed"/>
        <w:sz w:val="17"/>
      </w:rPr>
    </w:tblStylePr>
  </w:style>
  <w:style w:type="paragraph" w:styleId="ListParagraph">
    <w:name w:val="List Paragraph"/>
    <w:basedOn w:val="Normal"/>
    <w:uiPriority w:val="34"/>
    <w:qFormat/>
    <w:rsid w:val="005F21EB"/>
    <w:pPr>
      <w:ind w:left="720"/>
      <w:contextualSpacing/>
    </w:pPr>
  </w:style>
  <w:style w:type="paragraph" w:styleId="NormalWeb">
    <w:name w:val="Normal (Web)"/>
    <w:basedOn w:val="Normal"/>
    <w:uiPriority w:val="99"/>
    <w:unhideWhenUsed/>
    <w:rsid w:val="00681DA2"/>
    <w:pPr>
      <w:spacing w:before="100" w:beforeAutospacing="1" w:after="100" w:afterAutospacing="1"/>
    </w:pPr>
    <w:rPr>
      <w:rFonts w:ascii="Times New Roman" w:eastAsia="Times New Roman" w:hAnsi="Times New Roman" w:cs="Times New Roman"/>
      <w:sz w:val="24"/>
      <w:szCs w:val="24"/>
      <w:lang w:eastAsia="en-AU"/>
    </w:rPr>
  </w:style>
  <w:style w:type="character" w:styleId="Mention">
    <w:name w:val="Mention"/>
    <w:basedOn w:val="DefaultParagraphFont"/>
    <w:uiPriority w:val="99"/>
    <w:unhideWhenUsed/>
    <w:rsid w:val="001C0108"/>
    <w:rPr>
      <w:color w:val="2B579A"/>
      <w:shd w:val="clear" w:color="auto" w:fill="E1DFDD"/>
    </w:rPr>
  </w:style>
  <w:style w:type="paragraph" w:styleId="Revision">
    <w:name w:val="Revision"/>
    <w:hidden/>
    <w:uiPriority w:val="99"/>
    <w:semiHidden/>
    <w:rsid w:val="006D51AE"/>
    <w:pPr>
      <w:spacing w:after="0" w:line="240" w:lineRule="auto"/>
    </w:pPr>
    <w:rPr>
      <w:rFonts w:ascii="Segoe UI" w:hAnsi="Segoe UI"/>
      <w:sz w:val="19"/>
    </w:rPr>
  </w:style>
  <w:style w:type="table" w:customStyle="1" w:styleId="Table2">
    <w:name w:val="Table2"/>
    <w:basedOn w:val="TableNormal"/>
    <w:next w:val="TableGrid"/>
    <w:uiPriority w:val="39"/>
    <w:rsid w:val="00E71B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71BBE"/>
    <w:rPr>
      <w:color w:val="605E5C"/>
      <w:shd w:val="clear" w:color="auto" w:fill="E1DFDD"/>
    </w:rPr>
  </w:style>
  <w:style w:type="paragraph" w:customStyle="1" w:styleId="Callout">
    <w:name w:val="Call out"/>
    <w:basedOn w:val="Normal"/>
    <w:link w:val="CalloutChar"/>
    <w:uiPriority w:val="98"/>
    <w:qFormat/>
    <w:rsid w:val="00E71BBE"/>
    <w:pPr>
      <w:pBdr>
        <w:top w:val="single" w:sz="18" w:space="4" w:color="E6E6E1" w:themeColor="accent5"/>
      </w:pBdr>
      <w:spacing w:line="259" w:lineRule="auto"/>
    </w:pPr>
    <w:rPr>
      <w:rFonts w:ascii="Segoe UI Semilight" w:hAnsi="Segoe UI Semilight"/>
      <w:color w:val="F8981D" w:themeColor="accent3"/>
      <w:kern w:val="24"/>
      <w:sz w:val="22"/>
    </w:rPr>
  </w:style>
  <w:style w:type="table" w:customStyle="1" w:styleId="NOUSSideHeader4">
    <w:name w:val="NOUS Side Header4"/>
    <w:basedOn w:val="TableNormal"/>
    <w:next w:val="TableGrid"/>
    <w:uiPriority w:val="99"/>
    <w:rsid w:val="00D32466"/>
    <w:pPr>
      <w:spacing w:after="0" w:line="240" w:lineRule="auto"/>
    </w:pPr>
    <w:rPr>
      <w:rFonts w:ascii="Segoe UI" w:hAnsi="Segoe UI"/>
      <w:sz w:val="17"/>
    </w:rPr>
    <w:tblPr>
      <w:tblStyleRowBandSize w:val="1"/>
      <w:tblBorders>
        <w:top w:val="single" w:sz="8" w:space="0" w:color="E6E6E1" w:themeColor="accent5"/>
        <w:bottom w:val="single" w:sz="8" w:space="0" w:color="E6E6E1" w:themeColor="accent5"/>
        <w:insideH w:val="single" w:sz="8" w:space="0" w:color="E6E6E1" w:themeColor="accent5"/>
      </w:tblBorders>
      <w:tblCellMar>
        <w:top w:w="57" w:type="dxa"/>
        <w:left w:w="85" w:type="dxa"/>
        <w:bottom w:w="57" w:type="dxa"/>
        <w:right w:w="85" w:type="dxa"/>
      </w:tblCellMar>
    </w:tblPr>
    <w:tcPr>
      <w:vAlign w:val="center"/>
    </w:tcPr>
    <w:tblStylePr w:type="firstRow">
      <w:pPr>
        <w:jc w:val="left"/>
      </w:pPr>
      <w:rPr>
        <w:rFonts w:ascii="Wingdings 2" w:hAnsi="Wingdings 2"/>
        <w:b w:val="0"/>
        <w:color w:val="00264D" w:themeColor="background2"/>
        <w:sz w:val="18"/>
      </w:rPr>
      <w:tblPr/>
      <w:trPr>
        <w:cantSplit/>
        <w:tblHeader/>
      </w:trPr>
      <w:tcPr>
        <w:tcBorders>
          <w:top w:val="single" w:sz="24" w:space="0" w:color="F8981D" w:themeColor="accent3"/>
          <w:left w:val="nil"/>
          <w:bottom w:val="nil"/>
          <w:right w:val="nil"/>
          <w:insideH w:val="nil"/>
          <w:insideV w:val="single" w:sz="8" w:space="0" w:color="FFFFFF" w:themeColor="background1"/>
          <w:tl2br w:val="nil"/>
          <w:tr2bl w:val="nil"/>
        </w:tcBorders>
        <w:shd w:val="clear" w:color="auto" w:fill="E6E6E1" w:themeFill="accent5"/>
      </w:tcPr>
    </w:tblStylePr>
    <w:tblStylePr w:type="band1Horz">
      <w:rPr>
        <w:rFonts w:ascii="Yu Mincho" w:hAnsi="Yu Mincho"/>
        <w:sz w:val="17"/>
      </w:rPr>
    </w:tblStylePr>
    <w:tblStylePr w:type="band2Horz">
      <w:rPr>
        <w:rFonts w:ascii="Yu Mincho" w:hAnsi="Yu Mincho"/>
        <w:sz w:val="17"/>
      </w:rPr>
    </w:tblStylePr>
  </w:style>
  <w:style w:type="table" w:customStyle="1" w:styleId="NOUS1">
    <w:name w:val="NOUS1"/>
    <w:basedOn w:val="TableNormal"/>
    <w:uiPriority w:val="99"/>
    <w:rsid w:val="004F75B3"/>
    <w:pPr>
      <w:spacing w:after="0" w:line="240" w:lineRule="auto"/>
    </w:pPr>
    <w:rPr>
      <w:rFonts w:ascii="Segoe UI" w:hAnsi="Segoe UI"/>
      <w:sz w:val="17"/>
    </w:rPr>
    <w:tblPr>
      <w:tblBorders>
        <w:bottom w:val="single" w:sz="8" w:space="0" w:color="E6E6E1" w:themeColor="accent5"/>
        <w:insideH w:val="single" w:sz="8" w:space="0" w:color="E6E6E1" w:themeColor="accent5"/>
      </w:tblBorders>
      <w:tblCellMar>
        <w:top w:w="57" w:type="dxa"/>
        <w:left w:w="85" w:type="dxa"/>
        <w:bottom w:w="57" w:type="dxa"/>
        <w:right w:w="85" w:type="dxa"/>
      </w:tblCellMar>
    </w:tblPr>
    <w:tblStylePr w:type="firstRow">
      <w:rPr>
        <w:rFonts w:ascii="Franklin Gothic Medium" w:hAnsi="Franklin Gothic Medium"/>
        <w:b w:val="0"/>
        <w:color w:val="00264D" w:themeColor="background2"/>
        <w:sz w:val="18"/>
      </w:rPr>
      <w:tblPr/>
      <w:trPr>
        <w:tblHeader/>
      </w:trPr>
      <w:tcPr>
        <w:tcBorders>
          <w:top w:val="single" w:sz="24" w:space="0" w:color="F8981D" w:themeColor="accent3"/>
          <w:left w:val="nil"/>
          <w:bottom w:val="nil"/>
          <w:right w:val="nil"/>
          <w:insideH w:val="nil"/>
          <w:insideV w:val="single" w:sz="8" w:space="0" w:color="FFFFFF" w:themeColor="background1"/>
          <w:tl2br w:val="nil"/>
          <w:tr2bl w:val="nil"/>
        </w:tcBorders>
        <w:shd w:val="clear" w:color="auto" w:fill="E6E6E1" w:themeFill="accent5"/>
      </w:tcPr>
    </w:tblStylePr>
  </w:style>
  <w:style w:type="table" w:customStyle="1" w:styleId="NOUSSideHeader41">
    <w:name w:val="NOUS Side Header41"/>
    <w:basedOn w:val="TableNormal"/>
    <w:next w:val="TableGrid"/>
    <w:uiPriority w:val="99"/>
    <w:rsid w:val="005A3504"/>
    <w:pPr>
      <w:spacing w:after="0" w:line="240" w:lineRule="auto"/>
    </w:pPr>
    <w:rPr>
      <w:rFonts w:ascii="Segoe UI" w:hAnsi="Segoe UI"/>
      <w:sz w:val="17"/>
    </w:rPr>
    <w:tblPr>
      <w:tblStyleRowBandSize w:val="1"/>
      <w:tblBorders>
        <w:top w:val="single" w:sz="8" w:space="0" w:color="E6E6E1" w:themeColor="accent5"/>
        <w:bottom w:val="single" w:sz="8" w:space="0" w:color="E6E6E1" w:themeColor="accent5"/>
        <w:insideH w:val="single" w:sz="8" w:space="0" w:color="E6E6E1" w:themeColor="accent5"/>
      </w:tblBorders>
      <w:tblCellMar>
        <w:top w:w="57" w:type="dxa"/>
        <w:left w:w="85" w:type="dxa"/>
        <w:bottom w:w="57" w:type="dxa"/>
        <w:right w:w="85" w:type="dxa"/>
      </w:tblCellMar>
    </w:tblPr>
    <w:tcPr>
      <w:vAlign w:val="center"/>
    </w:tcPr>
    <w:tblStylePr w:type="firstRow">
      <w:pPr>
        <w:jc w:val="left"/>
      </w:pPr>
      <w:rPr>
        <w:rFonts w:ascii="Wingdings 2" w:hAnsi="Wingdings 2"/>
        <w:b w:val="0"/>
        <w:color w:val="00264D" w:themeColor="background2"/>
        <w:sz w:val="18"/>
      </w:rPr>
      <w:tblPr/>
      <w:trPr>
        <w:cantSplit/>
        <w:tblHeader/>
      </w:trPr>
      <w:tcPr>
        <w:tcBorders>
          <w:top w:val="single" w:sz="24" w:space="0" w:color="F8981D" w:themeColor="accent3"/>
          <w:left w:val="nil"/>
          <w:bottom w:val="nil"/>
          <w:right w:val="nil"/>
          <w:insideH w:val="nil"/>
          <w:insideV w:val="single" w:sz="8" w:space="0" w:color="FFFFFF" w:themeColor="background1"/>
          <w:tl2br w:val="nil"/>
          <w:tr2bl w:val="nil"/>
        </w:tcBorders>
        <w:shd w:val="clear" w:color="auto" w:fill="E6E6E1" w:themeFill="accent5"/>
      </w:tcPr>
    </w:tblStylePr>
    <w:tblStylePr w:type="band1Horz">
      <w:rPr>
        <w:rFonts w:ascii="Wingdings 2" w:hAnsi="Wingdings 2"/>
        <w:sz w:val="17"/>
      </w:rPr>
    </w:tblStylePr>
    <w:tblStylePr w:type="band2Horz">
      <w:rPr>
        <w:rFonts w:ascii="Wingdings 2" w:hAnsi="Wingdings 2"/>
        <w:sz w:val="17"/>
      </w:rPr>
    </w:tblStylePr>
  </w:style>
  <w:style w:type="table" w:customStyle="1" w:styleId="NOUSSideHeader5">
    <w:name w:val="NOUS Side Header5"/>
    <w:basedOn w:val="TableNormal"/>
    <w:next w:val="TableGrid"/>
    <w:uiPriority w:val="39"/>
    <w:rsid w:val="00FE5AFD"/>
    <w:pPr>
      <w:spacing w:after="0" w:line="240" w:lineRule="auto"/>
    </w:pPr>
    <w:rPr>
      <w:rFonts w:ascii="Segoe UI" w:hAnsi="Segoe UI"/>
      <w:sz w:val="17"/>
    </w:rPr>
    <w:tblPr>
      <w:tblStyleRowBandSize w:val="1"/>
      <w:tblBorders>
        <w:top w:val="single" w:sz="8" w:space="0" w:color="E6E6E1" w:themeColor="accent5"/>
        <w:bottom w:val="single" w:sz="8" w:space="0" w:color="E6E6E1" w:themeColor="accent5"/>
        <w:insideH w:val="single" w:sz="8" w:space="0" w:color="E6E6E1" w:themeColor="accent5"/>
      </w:tblBorders>
      <w:tblCellMar>
        <w:top w:w="57" w:type="dxa"/>
        <w:left w:w="85" w:type="dxa"/>
        <w:bottom w:w="57" w:type="dxa"/>
        <w:right w:w="85" w:type="dxa"/>
      </w:tblCellMar>
    </w:tblPr>
    <w:tcPr>
      <w:vAlign w:val="center"/>
    </w:tcPr>
    <w:tblStylePr w:type="firstRow">
      <w:pPr>
        <w:jc w:val="left"/>
      </w:pPr>
      <w:rPr>
        <w:rFonts w:ascii="Wingdings 2" w:hAnsi="Wingdings 2"/>
        <w:b w:val="0"/>
        <w:color w:val="00264D" w:themeColor="background2"/>
        <w:sz w:val="18"/>
      </w:rPr>
      <w:tblPr/>
      <w:trPr>
        <w:cantSplit/>
        <w:tblHeader/>
      </w:trPr>
      <w:tcPr>
        <w:tcBorders>
          <w:top w:val="single" w:sz="24" w:space="0" w:color="F8981D" w:themeColor="accent3"/>
          <w:left w:val="nil"/>
          <w:bottom w:val="nil"/>
          <w:right w:val="nil"/>
          <w:insideH w:val="nil"/>
          <w:insideV w:val="single" w:sz="8" w:space="0" w:color="FFFFFF" w:themeColor="background1"/>
          <w:tl2br w:val="nil"/>
          <w:tr2bl w:val="nil"/>
        </w:tcBorders>
        <w:shd w:val="clear" w:color="auto" w:fill="E6E6E1" w:themeFill="accent5"/>
      </w:tcPr>
    </w:tblStylePr>
    <w:tblStylePr w:type="band1Horz">
      <w:rPr>
        <w:rFonts w:ascii="Yu Mincho" w:hAnsi="Yu Mincho"/>
        <w:sz w:val="17"/>
      </w:rPr>
    </w:tblStylePr>
    <w:tblStylePr w:type="band2Horz">
      <w:rPr>
        <w:rFonts w:ascii="Yu Mincho" w:hAnsi="Yu Mincho"/>
        <w:sz w:val="17"/>
      </w:rPr>
    </w:tblStylePr>
  </w:style>
  <w:style w:type="table" w:customStyle="1" w:styleId="NousTableTopandside">
    <w:name w:val="Nous Table_Top and side"/>
    <w:basedOn w:val="TableNormal"/>
    <w:uiPriority w:val="99"/>
    <w:rsid w:val="004440B3"/>
    <w:pPr>
      <w:spacing w:after="0" w:line="240" w:lineRule="auto"/>
    </w:pPr>
    <w:tblPr>
      <w:tblBorders>
        <w:insideH w:val="single" w:sz="4" w:space="0" w:color="D9D9D9" w:themeColor="background1" w:themeShade="D9"/>
      </w:tblBorders>
      <w:tblCellMar>
        <w:top w:w="57" w:type="dxa"/>
        <w:left w:w="85" w:type="dxa"/>
        <w:bottom w:w="57" w:type="dxa"/>
        <w:right w:w="85" w:type="dxa"/>
      </w:tblCellMar>
    </w:tblPr>
    <w:tblStylePr w:type="firstRow">
      <w:pPr>
        <w:jc w:val="left"/>
      </w:pPr>
      <w:rPr>
        <w:rFonts w:ascii="Wingdings 2" w:hAnsi="Wingdings 2"/>
        <w:b w:val="0"/>
        <w:color w:val="00264D" w:themeColor="background2"/>
        <w:sz w:val="18"/>
      </w:rPr>
      <w:tblPr/>
      <w:tcPr>
        <w:tcBorders>
          <w:top w:val="single" w:sz="24" w:space="0" w:color="F8981D" w:themeColor="accent3"/>
          <w:insideV w:val="single" w:sz="8" w:space="0" w:color="FFFFFF" w:themeColor="background1"/>
        </w:tcBorders>
        <w:shd w:val="clear" w:color="auto" w:fill="E6E6E1" w:themeFill="accent5"/>
        <w:vAlign w:val="center"/>
      </w:tcPr>
    </w:tblStylePr>
    <w:tblStylePr w:type="firstCol">
      <w:pPr>
        <w:jc w:val="left"/>
      </w:pPr>
      <w:rPr>
        <w:rFonts w:ascii="Wingdings 2" w:hAnsi="Wingdings 2"/>
        <w:b w:val="0"/>
        <w:color w:val="00264D" w:themeColor="background2"/>
        <w:sz w:val="18"/>
      </w:rPr>
      <w:tblPr/>
      <w:tcPr>
        <w:tcBorders>
          <w:left w:val="nil"/>
        </w:tcBorders>
        <w:shd w:val="clear" w:color="auto" w:fill="E6E6E1" w:themeFill="accent5"/>
      </w:tcPr>
    </w:tblStylePr>
  </w:style>
  <w:style w:type="paragraph" w:customStyle="1" w:styleId="TableNbiophoto">
    <w:name w:val="Table N bio photo"/>
    <w:basedOn w:val="Normal"/>
    <w:qFormat/>
    <w:rsid w:val="009A5C5D"/>
    <w:pPr>
      <w:spacing w:before="60" w:after="0" w:line="256" w:lineRule="auto"/>
    </w:pPr>
    <w:rPr>
      <w:sz w:val="17"/>
    </w:rPr>
  </w:style>
  <w:style w:type="paragraph" w:customStyle="1" w:styleId="Default">
    <w:name w:val="Default"/>
    <w:rsid w:val="009A5C5D"/>
    <w:pPr>
      <w:autoSpaceDE w:val="0"/>
      <w:autoSpaceDN w:val="0"/>
      <w:adjustRightInd w:val="0"/>
      <w:spacing w:after="0" w:line="240" w:lineRule="auto"/>
    </w:pPr>
    <w:rPr>
      <w:rFonts w:ascii="Segoe UI" w:hAnsi="Segoe UI" w:cs="Segoe UI"/>
      <w:color w:val="000000"/>
      <w:sz w:val="24"/>
      <w:szCs w:val="24"/>
      <w:lang w:val="en-AU"/>
    </w:rPr>
  </w:style>
  <w:style w:type="table" w:customStyle="1" w:styleId="NousTableSide">
    <w:name w:val="Nous Table_Side"/>
    <w:basedOn w:val="TableNormal"/>
    <w:uiPriority w:val="99"/>
    <w:rsid w:val="007A72C4"/>
    <w:pPr>
      <w:spacing w:after="0" w:line="240" w:lineRule="auto"/>
    </w:pPr>
    <w:rPr>
      <w:rFonts w:ascii="Segoe UI" w:hAnsi="Segoe UI"/>
      <w:sz w:val="17"/>
    </w:rPr>
    <w:tblPr>
      <w:tblBorders>
        <w:top w:val="single" w:sz="8" w:space="0" w:color="E6E6E1" w:themeColor="accent5"/>
        <w:bottom w:val="single" w:sz="8" w:space="0" w:color="E6E6E1" w:themeColor="accent5"/>
        <w:insideH w:val="single" w:sz="8" w:space="0" w:color="E6E6E1" w:themeColor="accent5"/>
      </w:tblBorders>
      <w:tblCellMar>
        <w:top w:w="57" w:type="dxa"/>
        <w:left w:w="85" w:type="dxa"/>
        <w:bottom w:w="57" w:type="dxa"/>
        <w:right w:w="85" w:type="dxa"/>
      </w:tblCellMar>
    </w:tblPr>
    <w:tblStylePr w:type="firstCol">
      <w:pPr>
        <w:jc w:val="left"/>
      </w:pPr>
      <w:rPr>
        <w:rFonts w:ascii="Nirmala UI Semilight" w:hAnsi="Nirmala UI Semilight"/>
        <w:b w:val="0"/>
        <w:color w:val="00264D" w:themeColor="background2"/>
        <w:sz w:val="17"/>
      </w:rPr>
      <w:tblPr/>
      <w:tcPr>
        <w:tcBorders>
          <w:top w:val="single" w:sz="12" w:space="0" w:color="FFFFFF" w:themeColor="background1"/>
          <w:left w:val="single" w:sz="18" w:space="0" w:color="F8981D" w:themeColor="accent3"/>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E6E6E1" w:themeFill="accent5"/>
      </w:tcPr>
    </w:tblStylePr>
  </w:style>
  <w:style w:type="character" w:styleId="FollowedHyperlink">
    <w:name w:val="FollowedHyperlink"/>
    <w:basedOn w:val="DefaultParagraphFont"/>
    <w:uiPriority w:val="99"/>
    <w:semiHidden/>
    <w:unhideWhenUsed/>
    <w:rsid w:val="00F127FB"/>
    <w:rPr>
      <w:color w:val="0048C7" w:themeColor="followedHyperlink"/>
      <w:u w:val="single"/>
    </w:rPr>
  </w:style>
  <w:style w:type="table" w:customStyle="1" w:styleId="NOUSSideHeader6">
    <w:name w:val="NOUS Side Header6"/>
    <w:basedOn w:val="TableNormal"/>
    <w:next w:val="TableGrid"/>
    <w:uiPriority w:val="39"/>
    <w:rsid w:val="00AF07D2"/>
    <w:pPr>
      <w:spacing w:after="0" w:line="240" w:lineRule="auto"/>
    </w:pPr>
    <w:rPr>
      <w:rFonts w:ascii="Segoe UI" w:hAnsi="Segoe UI"/>
      <w:sz w:val="17"/>
    </w:rPr>
    <w:tblPr>
      <w:tblStyleRowBandSize w:val="1"/>
      <w:tblBorders>
        <w:top w:val="single" w:sz="8" w:space="0" w:color="E6E6E1" w:themeColor="accent5"/>
        <w:bottom w:val="single" w:sz="8" w:space="0" w:color="E6E6E1" w:themeColor="accent5"/>
        <w:insideH w:val="single" w:sz="8" w:space="0" w:color="E6E6E1" w:themeColor="accent5"/>
      </w:tblBorders>
      <w:tblCellMar>
        <w:top w:w="57" w:type="dxa"/>
        <w:left w:w="85" w:type="dxa"/>
        <w:bottom w:w="57" w:type="dxa"/>
        <w:right w:w="85" w:type="dxa"/>
      </w:tblCellMar>
    </w:tblPr>
    <w:tcPr>
      <w:vAlign w:val="center"/>
    </w:tcPr>
    <w:tblStylePr w:type="firstRow">
      <w:pPr>
        <w:jc w:val="left"/>
      </w:pPr>
      <w:rPr>
        <w:rFonts w:ascii="Wingdings 2" w:hAnsi="Wingdings 2"/>
        <w:b w:val="0"/>
        <w:color w:val="00264D" w:themeColor="background2"/>
        <w:sz w:val="18"/>
      </w:rPr>
      <w:tblPr/>
      <w:trPr>
        <w:cantSplit/>
        <w:tblHeader/>
      </w:trPr>
      <w:tcPr>
        <w:tcBorders>
          <w:top w:val="single" w:sz="24" w:space="0" w:color="F8981D" w:themeColor="accent3"/>
          <w:left w:val="nil"/>
          <w:bottom w:val="nil"/>
          <w:right w:val="nil"/>
          <w:insideH w:val="nil"/>
          <w:insideV w:val="single" w:sz="8" w:space="0" w:color="FFFFFF" w:themeColor="background1"/>
          <w:tl2br w:val="nil"/>
          <w:tr2bl w:val="nil"/>
        </w:tcBorders>
        <w:shd w:val="clear" w:color="auto" w:fill="E6E6E1" w:themeFill="accent5"/>
      </w:tcPr>
    </w:tblStylePr>
    <w:tblStylePr w:type="band1Horz">
      <w:rPr>
        <w:rFonts w:ascii="Wingdings 2" w:hAnsi="Wingdings 2"/>
        <w:sz w:val="17"/>
      </w:rPr>
    </w:tblStylePr>
    <w:tblStylePr w:type="band2Horz">
      <w:rPr>
        <w:rFonts w:ascii="Wingdings 2" w:hAnsi="Wingdings 2"/>
        <w:sz w:val="17"/>
      </w:rPr>
    </w:tblStylePr>
  </w:style>
  <w:style w:type="paragraph" w:customStyle="1" w:styleId="TableExpbullet">
    <w:name w:val="Table Exp bullet"/>
    <w:basedOn w:val="Normal"/>
    <w:uiPriority w:val="3"/>
    <w:qFormat/>
    <w:rsid w:val="00A137AE"/>
    <w:pPr>
      <w:numPr>
        <w:numId w:val="9"/>
      </w:numPr>
      <w:spacing w:before="60" w:after="60" w:line="259" w:lineRule="auto"/>
      <w:ind w:left="227" w:hanging="227"/>
    </w:pPr>
    <w:rPr>
      <w:sz w:val="16"/>
    </w:rPr>
  </w:style>
  <w:style w:type="paragraph" w:styleId="TOC4">
    <w:name w:val="toc 4"/>
    <w:basedOn w:val="Normal"/>
    <w:next w:val="Normal"/>
    <w:autoRedefine/>
    <w:uiPriority w:val="39"/>
    <w:unhideWhenUsed/>
    <w:rsid w:val="007078E6"/>
    <w:pPr>
      <w:spacing w:after="100" w:line="278" w:lineRule="auto"/>
      <w:ind w:left="720"/>
    </w:pPr>
    <w:rPr>
      <w:rFonts w:asciiTheme="minorHAnsi" w:eastAsiaTheme="minorEastAsia" w:hAnsiTheme="minorHAnsi"/>
      <w:kern w:val="2"/>
      <w:sz w:val="24"/>
      <w:szCs w:val="24"/>
      <w:lang w:eastAsia="en-AU"/>
      <w14:ligatures w14:val="standardContextual"/>
    </w:rPr>
  </w:style>
  <w:style w:type="paragraph" w:styleId="TOC5">
    <w:name w:val="toc 5"/>
    <w:basedOn w:val="Normal"/>
    <w:next w:val="Normal"/>
    <w:autoRedefine/>
    <w:uiPriority w:val="39"/>
    <w:unhideWhenUsed/>
    <w:rsid w:val="007078E6"/>
    <w:pPr>
      <w:spacing w:after="100" w:line="278" w:lineRule="auto"/>
      <w:ind w:left="960"/>
    </w:pPr>
    <w:rPr>
      <w:rFonts w:asciiTheme="minorHAnsi" w:eastAsiaTheme="minorEastAsia" w:hAnsiTheme="minorHAnsi"/>
      <w:kern w:val="2"/>
      <w:sz w:val="24"/>
      <w:szCs w:val="24"/>
      <w:lang w:eastAsia="en-AU"/>
      <w14:ligatures w14:val="standardContextual"/>
    </w:rPr>
  </w:style>
  <w:style w:type="paragraph" w:styleId="TOC6">
    <w:name w:val="toc 6"/>
    <w:basedOn w:val="Normal"/>
    <w:next w:val="Normal"/>
    <w:autoRedefine/>
    <w:uiPriority w:val="39"/>
    <w:unhideWhenUsed/>
    <w:rsid w:val="007078E6"/>
    <w:pPr>
      <w:spacing w:after="100" w:line="278" w:lineRule="auto"/>
      <w:ind w:left="1200"/>
    </w:pPr>
    <w:rPr>
      <w:rFonts w:asciiTheme="minorHAnsi" w:eastAsiaTheme="minorEastAsia" w:hAnsiTheme="minorHAnsi"/>
      <w:kern w:val="2"/>
      <w:sz w:val="24"/>
      <w:szCs w:val="24"/>
      <w:lang w:eastAsia="en-AU"/>
      <w14:ligatures w14:val="standardContextual"/>
    </w:rPr>
  </w:style>
  <w:style w:type="paragraph" w:styleId="TOC7">
    <w:name w:val="toc 7"/>
    <w:basedOn w:val="Normal"/>
    <w:next w:val="Normal"/>
    <w:autoRedefine/>
    <w:uiPriority w:val="39"/>
    <w:unhideWhenUsed/>
    <w:rsid w:val="007078E6"/>
    <w:pPr>
      <w:spacing w:after="100" w:line="278" w:lineRule="auto"/>
      <w:ind w:left="1440"/>
    </w:pPr>
    <w:rPr>
      <w:rFonts w:asciiTheme="minorHAnsi" w:eastAsiaTheme="minorEastAsia" w:hAnsiTheme="minorHAnsi"/>
      <w:kern w:val="2"/>
      <w:sz w:val="24"/>
      <w:szCs w:val="24"/>
      <w:lang w:eastAsia="en-AU"/>
      <w14:ligatures w14:val="standardContextual"/>
    </w:rPr>
  </w:style>
  <w:style w:type="paragraph" w:styleId="TOC8">
    <w:name w:val="toc 8"/>
    <w:basedOn w:val="Normal"/>
    <w:next w:val="Normal"/>
    <w:autoRedefine/>
    <w:uiPriority w:val="39"/>
    <w:unhideWhenUsed/>
    <w:rsid w:val="007078E6"/>
    <w:pPr>
      <w:spacing w:after="100" w:line="278" w:lineRule="auto"/>
      <w:ind w:left="1680"/>
    </w:pPr>
    <w:rPr>
      <w:rFonts w:asciiTheme="minorHAnsi" w:eastAsiaTheme="minorEastAsia" w:hAnsiTheme="minorHAnsi"/>
      <w:kern w:val="2"/>
      <w:sz w:val="24"/>
      <w:szCs w:val="24"/>
      <w:lang w:eastAsia="en-AU"/>
      <w14:ligatures w14:val="standardContextual"/>
    </w:rPr>
  </w:style>
  <w:style w:type="paragraph" w:styleId="TOC9">
    <w:name w:val="toc 9"/>
    <w:basedOn w:val="Normal"/>
    <w:next w:val="Normal"/>
    <w:autoRedefine/>
    <w:uiPriority w:val="39"/>
    <w:unhideWhenUsed/>
    <w:rsid w:val="007078E6"/>
    <w:pPr>
      <w:spacing w:after="100" w:line="278" w:lineRule="auto"/>
      <w:ind w:left="1920"/>
    </w:pPr>
    <w:rPr>
      <w:rFonts w:asciiTheme="minorHAnsi" w:eastAsiaTheme="minorEastAsia" w:hAnsiTheme="minorHAnsi"/>
      <w:kern w:val="2"/>
      <w:sz w:val="24"/>
      <w:szCs w:val="24"/>
      <w:lang w:eastAsia="en-AU"/>
      <w14:ligatures w14:val="standardContextual"/>
    </w:rPr>
  </w:style>
  <w:style w:type="character" w:styleId="Strong">
    <w:name w:val="Strong"/>
    <w:basedOn w:val="DefaultParagraphFont"/>
    <w:uiPriority w:val="22"/>
    <w:qFormat/>
    <w:rsid w:val="000A2B6D"/>
    <w:rPr>
      <w:b/>
      <w:bCs/>
    </w:rPr>
  </w:style>
  <w:style w:type="character" w:styleId="Emphasis">
    <w:name w:val="Emphasis"/>
    <w:basedOn w:val="DefaultParagraphFont"/>
    <w:uiPriority w:val="20"/>
    <w:rsid w:val="00DA2426"/>
    <w:rPr>
      <w:i/>
      <w:iCs/>
    </w:rPr>
  </w:style>
  <w:style w:type="table" w:customStyle="1" w:styleId="NOUSSideHeader42">
    <w:name w:val="NOUS Side Header42"/>
    <w:basedOn w:val="TableNormal"/>
    <w:next w:val="TableGrid"/>
    <w:uiPriority w:val="99"/>
    <w:rsid w:val="00EC230C"/>
    <w:pPr>
      <w:spacing w:after="0" w:line="240" w:lineRule="auto"/>
    </w:pPr>
    <w:rPr>
      <w:rFonts w:ascii="Segoe UI" w:hAnsi="Segoe UI"/>
      <w:sz w:val="17"/>
    </w:rPr>
    <w:tblPr>
      <w:tblStyleRowBandSize w:val="1"/>
      <w:tblBorders>
        <w:top w:val="single" w:sz="8" w:space="0" w:color="E6E6E1" w:themeColor="accent5"/>
        <w:bottom w:val="single" w:sz="8" w:space="0" w:color="E6E6E1" w:themeColor="accent5"/>
        <w:insideH w:val="single" w:sz="8" w:space="0" w:color="E6E6E1" w:themeColor="accent5"/>
      </w:tblBorders>
      <w:tblCellMar>
        <w:top w:w="57" w:type="dxa"/>
        <w:left w:w="85" w:type="dxa"/>
        <w:bottom w:w="57" w:type="dxa"/>
        <w:right w:w="85" w:type="dxa"/>
      </w:tblCellMar>
    </w:tblPr>
    <w:tcPr>
      <w:vAlign w:val="center"/>
    </w:tcPr>
    <w:tblStylePr w:type="firstRow">
      <w:pPr>
        <w:jc w:val="left"/>
      </w:pPr>
      <w:rPr>
        <w:rFonts w:ascii="Wingdings 2" w:hAnsi="Wingdings 2"/>
        <w:b w:val="0"/>
        <w:color w:val="00264D" w:themeColor="background2"/>
        <w:sz w:val="18"/>
      </w:rPr>
      <w:tblPr/>
      <w:trPr>
        <w:cantSplit/>
        <w:tblHeader/>
      </w:trPr>
      <w:tcPr>
        <w:tcBorders>
          <w:top w:val="single" w:sz="24" w:space="0" w:color="F8981D" w:themeColor="accent3"/>
          <w:left w:val="nil"/>
          <w:bottom w:val="nil"/>
          <w:right w:val="nil"/>
          <w:insideH w:val="nil"/>
          <w:insideV w:val="single" w:sz="8" w:space="0" w:color="FFFFFF" w:themeColor="background1"/>
          <w:tl2br w:val="nil"/>
          <w:tr2bl w:val="nil"/>
        </w:tcBorders>
        <w:shd w:val="clear" w:color="auto" w:fill="E6E6E1" w:themeFill="accent5"/>
      </w:tcPr>
    </w:tblStylePr>
    <w:tblStylePr w:type="band1Horz">
      <w:rPr>
        <w:rFonts w:ascii="Yu Mincho" w:hAnsi="Yu Mincho"/>
        <w:sz w:val="17"/>
      </w:rPr>
    </w:tblStylePr>
    <w:tblStylePr w:type="band2Horz">
      <w:rPr>
        <w:rFonts w:ascii="Yu Mincho" w:hAnsi="Yu Mincho"/>
        <w:sz w:val="17"/>
      </w:rPr>
    </w:tblStylePr>
  </w:style>
  <w:style w:type="character" w:styleId="IntenseEmphasis">
    <w:name w:val="Intense Emphasis"/>
    <w:basedOn w:val="DefaultParagraphFont"/>
    <w:uiPriority w:val="21"/>
    <w:rsid w:val="00DA2426"/>
    <w:rPr>
      <w:rFonts w:ascii="Segoe UI" w:hAnsi="Segoe UI"/>
      <w:b/>
      <w:i/>
      <w:iCs/>
      <w:color w:val="00264D" w:themeColor="background2"/>
    </w:rPr>
  </w:style>
  <w:style w:type="character" w:customStyle="1" w:styleId="CalloutmemberChar">
    <w:name w:val="Call out member Char"/>
    <w:basedOn w:val="CalloutChar"/>
    <w:link w:val="Calloutmember"/>
    <w:rsid w:val="00354B01"/>
    <w:rPr>
      <w:rFonts w:ascii="Segoe UI Semilight" w:hAnsi="Segoe UI Semilight" w:cstheme="minorHAnsi"/>
      <w:b/>
      <w:bCs/>
      <w:color w:val="00264D" w:themeColor="background2"/>
      <w:kern w:val="24"/>
      <w:sz w:val="14"/>
      <w:szCs w:val="1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25329">
      <w:bodyDiv w:val="1"/>
      <w:marLeft w:val="0"/>
      <w:marRight w:val="0"/>
      <w:marTop w:val="0"/>
      <w:marBottom w:val="0"/>
      <w:divBdr>
        <w:top w:val="none" w:sz="0" w:space="0" w:color="auto"/>
        <w:left w:val="none" w:sz="0" w:space="0" w:color="auto"/>
        <w:bottom w:val="none" w:sz="0" w:space="0" w:color="auto"/>
        <w:right w:val="none" w:sz="0" w:space="0" w:color="auto"/>
      </w:divBdr>
    </w:div>
    <w:div w:id="52198515">
      <w:bodyDiv w:val="1"/>
      <w:marLeft w:val="0"/>
      <w:marRight w:val="0"/>
      <w:marTop w:val="0"/>
      <w:marBottom w:val="0"/>
      <w:divBdr>
        <w:top w:val="none" w:sz="0" w:space="0" w:color="auto"/>
        <w:left w:val="none" w:sz="0" w:space="0" w:color="auto"/>
        <w:bottom w:val="none" w:sz="0" w:space="0" w:color="auto"/>
        <w:right w:val="none" w:sz="0" w:space="0" w:color="auto"/>
      </w:divBdr>
    </w:div>
    <w:div w:id="71974105">
      <w:bodyDiv w:val="1"/>
      <w:marLeft w:val="0"/>
      <w:marRight w:val="0"/>
      <w:marTop w:val="0"/>
      <w:marBottom w:val="0"/>
      <w:divBdr>
        <w:top w:val="none" w:sz="0" w:space="0" w:color="auto"/>
        <w:left w:val="none" w:sz="0" w:space="0" w:color="auto"/>
        <w:bottom w:val="none" w:sz="0" w:space="0" w:color="auto"/>
        <w:right w:val="none" w:sz="0" w:space="0" w:color="auto"/>
      </w:divBdr>
      <w:divsChild>
        <w:div w:id="1141458365">
          <w:marLeft w:val="0"/>
          <w:marRight w:val="0"/>
          <w:marTop w:val="0"/>
          <w:marBottom w:val="0"/>
          <w:divBdr>
            <w:top w:val="none" w:sz="0" w:space="0" w:color="auto"/>
            <w:left w:val="none" w:sz="0" w:space="0" w:color="auto"/>
            <w:bottom w:val="none" w:sz="0" w:space="0" w:color="auto"/>
            <w:right w:val="none" w:sz="0" w:space="0" w:color="auto"/>
          </w:divBdr>
        </w:div>
        <w:div w:id="1828354293">
          <w:marLeft w:val="0"/>
          <w:marRight w:val="0"/>
          <w:marTop w:val="0"/>
          <w:marBottom w:val="0"/>
          <w:divBdr>
            <w:top w:val="none" w:sz="0" w:space="0" w:color="auto"/>
            <w:left w:val="none" w:sz="0" w:space="0" w:color="auto"/>
            <w:bottom w:val="none" w:sz="0" w:space="0" w:color="auto"/>
            <w:right w:val="none" w:sz="0" w:space="0" w:color="auto"/>
          </w:divBdr>
        </w:div>
        <w:div w:id="2054109434">
          <w:marLeft w:val="0"/>
          <w:marRight w:val="0"/>
          <w:marTop w:val="0"/>
          <w:marBottom w:val="0"/>
          <w:divBdr>
            <w:top w:val="none" w:sz="0" w:space="0" w:color="auto"/>
            <w:left w:val="none" w:sz="0" w:space="0" w:color="auto"/>
            <w:bottom w:val="none" w:sz="0" w:space="0" w:color="auto"/>
            <w:right w:val="none" w:sz="0" w:space="0" w:color="auto"/>
          </w:divBdr>
        </w:div>
        <w:div w:id="2106224855">
          <w:marLeft w:val="0"/>
          <w:marRight w:val="0"/>
          <w:marTop w:val="0"/>
          <w:marBottom w:val="0"/>
          <w:divBdr>
            <w:top w:val="none" w:sz="0" w:space="0" w:color="auto"/>
            <w:left w:val="none" w:sz="0" w:space="0" w:color="auto"/>
            <w:bottom w:val="none" w:sz="0" w:space="0" w:color="auto"/>
            <w:right w:val="none" w:sz="0" w:space="0" w:color="auto"/>
          </w:divBdr>
        </w:div>
      </w:divsChild>
    </w:div>
    <w:div w:id="75908955">
      <w:bodyDiv w:val="1"/>
      <w:marLeft w:val="0"/>
      <w:marRight w:val="0"/>
      <w:marTop w:val="0"/>
      <w:marBottom w:val="0"/>
      <w:divBdr>
        <w:top w:val="none" w:sz="0" w:space="0" w:color="auto"/>
        <w:left w:val="none" w:sz="0" w:space="0" w:color="auto"/>
        <w:bottom w:val="none" w:sz="0" w:space="0" w:color="auto"/>
        <w:right w:val="none" w:sz="0" w:space="0" w:color="auto"/>
      </w:divBdr>
    </w:div>
    <w:div w:id="182331739">
      <w:bodyDiv w:val="1"/>
      <w:marLeft w:val="0"/>
      <w:marRight w:val="0"/>
      <w:marTop w:val="0"/>
      <w:marBottom w:val="0"/>
      <w:divBdr>
        <w:top w:val="none" w:sz="0" w:space="0" w:color="auto"/>
        <w:left w:val="none" w:sz="0" w:space="0" w:color="auto"/>
        <w:bottom w:val="none" w:sz="0" w:space="0" w:color="auto"/>
        <w:right w:val="none" w:sz="0" w:space="0" w:color="auto"/>
      </w:divBdr>
    </w:div>
    <w:div w:id="207107767">
      <w:bodyDiv w:val="1"/>
      <w:marLeft w:val="0"/>
      <w:marRight w:val="0"/>
      <w:marTop w:val="0"/>
      <w:marBottom w:val="0"/>
      <w:divBdr>
        <w:top w:val="none" w:sz="0" w:space="0" w:color="auto"/>
        <w:left w:val="none" w:sz="0" w:space="0" w:color="auto"/>
        <w:bottom w:val="none" w:sz="0" w:space="0" w:color="auto"/>
        <w:right w:val="none" w:sz="0" w:space="0" w:color="auto"/>
      </w:divBdr>
    </w:div>
    <w:div w:id="219023492">
      <w:bodyDiv w:val="1"/>
      <w:marLeft w:val="0"/>
      <w:marRight w:val="0"/>
      <w:marTop w:val="0"/>
      <w:marBottom w:val="0"/>
      <w:divBdr>
        <w:top w:val="none" w:sz="0" w:space="0" w:color="auto"/>
        <w:left w:val="none" w:sz="0" w:space="0" w:color="auto"/>
        <w:bottom w:val="none" w:sz="0" w:space="0" w:color="auto"/>
        <w:right w:val="none" w:sz="0" w:space="0" w:color="auto"/>
      </w:divBdr>
    </w:div>
    <w:div w:id="268393794">
      <w:bodyDiv w:val="1"/>
      <w:marLeft w:val="0"/>
      <w:marRight w:val="0"/>
      <w:marTop w:val="0"/>
      <w:marBottom w:val="0"/>
      <w:divBdr>
        <w:top w:val="none" w:sz="0" w:space="0" w:color="auto"/>
        <w:left w:val="none" w:sz="0" w:space="0" w:color="auto"/>
        <w:bottom w:val="none" w:sz="0" w:space="0" w:color="auto"/>
        <w:right w:val="none" w:sz="0" w:space="0" w:color="auto"/>
      </w:divBdr>
    </w:div>
    <w:div w:id="275334987">
      <w:bodyDiv w:val="1"/>
      <w:marLeft w:val="0"/>
      <w:marRight w:val="0"/>
      <w:marTop w:val="0"/>
      <w:marBottom w:val="0"/>
      <w:divBdr>
        <w:top w:val="none" w:sz="0" w:space="0" w:color="auto"/>
        <w:left w:val="none" w:sz="0" w:space="0" w:color="auto"/>
        <w:bottom w:val="none" w:sz="0" w:space="0" w:color="auto"/>
        <w:right w:val="none" w:sz="0" w:space="0" w:color="auto"/>
      </w:divBdr>
    </w:div>
    <w:div w:id="358162043">
      <w:bodyDiv w:val="1"/>
      <w:marLeft w:val="0"/>
      <w:marRight w:val="0"/>
      <w:marTop w:val="0"/>
      <w:marBottom w:val="0"/>
      <w:divBdr>
        <w:top w:val="none" w:sz="0" w:space="0" w:color="auto"/>
        <w:left w:val="none" w:sz="0" w:space="0" w:color="auto"/>
        <w:bottom w:val="none" w:sz="0" w:space="0" w:color="auto"/>
        <w:right w:val="none" w:sz="0" w:space="0" w:color="auto"/>
      </w:divBdr>
      <w:divsChild>
        <w:div w:id="721562907">
          <w:marLeft w:val="0"/>
          <w:marRight w:val="0"/>
          <w:marTop w:val="0"/>
          <w:marBottom w:val="0"/>
          <w:divBdr>
            <w:top w:val="none" w:sz="0" w:space="0" w:color="auto"/>
            <w:left w:val="none" w:sz="0" w:space="0" w:color="auto"/>
            <w:bottom w:val="none" w:sz="0" w:space="0" w:color="auto"/>
            <w:right w:val="none" w:sz="0" w:space="0" w:color="auto"/>
          </w:divBdr>
        </w:div>
        <w:div w:id="1558474310">
          <w:marLeft w:val="0"/>
          <w:marRight w:val="0"/>
          <w:marTop w:val="0"/>
          <w:marBottom w:val="0"/>
          <w:divBdr>
            <w:top w:val="none" w:sz="0" w:space="0" w:color="auto"/>
            <w:left w:val="none" w:sz="0" w:space="0" w:color="auto"/>
            <w:bottom w:val="none" w:sz="0" w:space="0" w:color="auto"/>
            <w:right w:val="none" w:sz="0" w:space="0" w:color="auto"/>
          </w:divBdr>
        </w:div>
        <w:div w:id="2131825754">
          <w:marLeft w:val="0"/>
          <w:marRight w:val="0"/>
          <w:marTop w:val="0"/>
          <w:marBottom w:val="0"/>
          <w:divBdr>
            <w:top w:val="none" w:sz="0" w:space="0" w:color="auto"/>
            <w:left w:val="none" w:sz="0" w:space="0" w:color="auto"/>
            <w:bottom w:val="none" w:sz="0" w:space="0" w:color="auto"/>
            <w:right w:val="none" w:sz="0" w:space="0" w:color="auto"/>
          </w:divBdr>
        </w:div>
      </w:divsChild>
    </w:div>
    <w:div w:id="391195136">
      <w:bodyDiv w:val="1"/>
      <w:marLeft w:val="0"/>
      <w:marRight w:val="0"/>
      <w:marTop w:val="0"/>
      <w:marBottom w:val="0"/>
      <w:divBdr>
        <w:top w:val="none" w:sz="0" w:space="0" w:color="auto"/>
        <w:left w:val="none" w:sz="0" w:space="0" w:color="auto"/>
        <w:bottom w:val="none" w:sz="0" w:space="0" w:color="auto"/>
        <w:right w:val="none" w:sz="0" w:space="0" w:color="auto"/>
      </w:divBdr>
      <w:divsChild>
        <w:div w:id="1257517657">
          <w:marLeft w:val="0"/>
          <w:marRight w:val="0"/>
          <w:marTop w:val="120"/>
          <w:marBottom w:val="60"/>
          <w:divBdr>
            <w:top w:val="none" w:sz="0" w:space="0" w:color="auto"/>
            <w:left w:val="none" w:sz="0" w:space="0" w:color="auto"/>
            <w:bottom w:val="none" w:sz="0" w:space="0" w:color="auto"/>
            <w:right w:val="none" w:sz="0" w:space="0" w:color="auto"/>
          </w:divBdr>
        </w:div>
      </w:divsChild>
    </w:div>
    <w:div w:id="391850585">
      <w:bodyDiv w:val="1"/>
      <w:marLeft w:val="0"/>
      <w:marRight w:val="0"/>
      <w:marTop w:val="0"/>
      <w:marBottom w:val="0"/>
      <w:divBdr>
        <w:top w:val="none" w:sz="0" w:space="0" w:color="auto"/>
        <w:left w:val="none" w:sz="0" w:space="0" w:color="auto"/>
        <w:bottom w:val="none" w:sz="0" w:space="0" w:color="auto"/>
        <w:right w:val="none" w:sz="0" w:space="0" w:color="auto"/>
      </w:divBdr>
    </w:div>
    <w:div w:id="410006555">
      <w:bodyDiv w:val="1"/>
      <w:marLeft w:val="0"/>
      <w:marRight w:val="0"/>
      <w:marTop w:val="0"/>
      <w:marBottom w:val="0"/>
      <w:divBdr>
        <w:top w:val="none" w:sz="0" w:space="0" w:color="auto"/>
        <w:left w:val="none" w:sz="0" w:space="0" w:color="auto"/>
        <w:bottom w:val="none" w:sz="0" w:space="0" w:color="auto"/>
        <w:right w:val="none" w:sz="0" w:space="0" w:color="auto"/>
      </w:divBdr>
    </w:div>
    <w:div w:id="433400161">
      <w:bodyDiv w:val="1"/>
      <w:marLeft w:val="0"/>
      <w:marRight w:val="0"/>
      <w:marTop w:val="0"/>
      <w:marBottom w:val="0"/>
      <w:divBdr>
        <w:top w:val="none" w:sz="0" w:space="0" w:color="auto"/>
        <w:left w:val="none" w:sz="0" w:space="0" w:color="auto"/>
        <w:bottom w:val="none" w:sz="0" w:space="0" w:color="auto"/>
        <w:right w:val="none" w:sz="0" w:space="0" w:color="auto"/>
      </w:divBdr>
      <w:divsChild>
        <w:div w:id="1481340026">
          <w:marLeft w:val="274"/>
          <w:marRight w:val="0"/>
          <w:marTop w:val="0"/>
          <w:marBottom w:val="35"/>
          <w:divBdr>
            <w:top w:val="none" w:sz="0" w:space="0" w:color="auto"/>
            <w:left w:val="none" w:sz="0" w:space="0" w:color="auto"/>
            <w:bottom w:val="none" w:sz="0" w:space="0" w:color="auto"/>
            <w:right w:val="none" w:sz="0" w:space="0" w:color="auto"/>
          </w:divBdr>
        </w:div>
      </w:divsChild>
    </w:div>
    <w:div w:id="444663891">
      <w:bodyDiv w:val="1"/>
      <w:marLeft w:val="0"/>
      <w:marRight w:val="0"/>
      <w:marTop w:val="0"/>
      <w:marBottom w:val="0"/>
      <w:divBdr>
        <w:top w:val="none" w:sz="0" w:space="0" w:color="auto"/>
        <w:left w:val="none" w:sz="0" w:space="0" w:color="auto"/>
        <w:bottom w:val="none" w:sz="0" w:space="0" w:color="auto"/>
        <w:right w:val="none" w:sz="0" w:space="0" w:color="auto"/>
      </w:divBdr>
    </w:div>
    <w:div w:id="460609383">
      <w:bodyDiv w:val="1"/>
      <w:marLeft w:val="0"/>
      <w:marRight w:val="0"/>
      <w:marTop w:val="0"/>
      <w:marBottom w:val="0"/>
      <w:divBdr>
        <w:top w:val="none" w:sz="0" w:space="0" w:color="auto"/>
        <w:left w:val="none" w:sz="0" w:space="0" w:color="auto"/>
        <w:bottom w:val="none" w:sz="0" w:space="0" w:color="auto"/>
        <w:right w:val="none" w:sz="0" w:space="0" w:color="auto"/>
      </w:divBdr>
    </w:div>
    <w:div w:id="462044107">
      <w:bodyDiv w:val="1"/>
      <w:marLeft w:val="0"/>
      <w:marRight w:val="0"/>
      <w:marTop w:val="0"/>
      <w:marBottom w:val="0"/>
      <w:divBdr>
        <w:top w:val="none" w:sz="0" w:space="0" w:color="auto"/>
        <w:left w:val="none" w:sz="0" w:space="0" w:color="auto"/>
        <w:bottom w:val="none" w:sz="0" w:space="0" w:color="auto"/>
        <w:right w:val="none" w:sz="0" w:space="0" w:color="auto"/>
      </w:divBdr>
    </w:div>
    <w:div w:id="476381393">
      <w:bodyDiv w:val="1"/>
      <w:marLeft w:val="0"/>
      <w:marRight w:val="0"/>
      <w:marTop w:val="0"/>
      <w:marBottom w:val="0"/>
      <w:divBdr>
        <w:top w:val="none" w:sz="0" w:space="0" w:color="auto"/>
        <w:left w:val="none" w:sz="0" w:space="0" w:color="auto"/>
        <w:bottom w:val="none" w:sz="0" w:space="0" w:color="auto"/>
        <w:right w:val="none" w:sz="0" w:space="0" w:color="auto"/>
      </w:divBdr>
    </w:div>
    <w:div w:id="485516062">
      <w:bodyDiv w:val="1"/>
      <w:marLeft w:val="0"/>
      <w:marRight w:val="0"/>
      <w:marTop w:val="0"/>
      <w:marBottom w:val="0"/>
      <w:divBdr>
        <w:top w:val="none" w:sz="0" w:space="0" w:color="auto"/>
        <w:left w:val="none" w:sz="0" w:space="0" w:color="auto"/>
        <w:bottom w:val="none" w:sz="0" w:space="0" w:color="auto"/>
        <w:right w:val="none" w:sz="0" w:space="0" w:color="auto"/>
      </w:divBdr>
    </w:div>
    <w:div w:id="515196013">
      <w:bodyDiv w:val="1"/>
      <w:marLeft w:val="0"/>
      <w:marRight w:val="0"/>
      <w:marTop w:val="0"/>
      <w:marBottom w:val="0"/>
      <w:divBdr>
        <w:top w:val="none" w:sz="0" w:space="0" w:color="auto"/>
        <w:left w:val="none" w:sz="0" w:space="0" w:color="auto"/>
        <w:bottom w:val="none" w:sz="0" w:space="0" w:color="auto"/>
        <w:right w:val="none" w:sz="0" w:space="0" w:color="auto"/>
      </w:divBdr>
      <w:divsChild>
        <w:div w:id="96483147">
          <w:marLeft w:val="0"/>
          <w:marRight w:val="0"/>
          <w:marTop w:val="0"/>
          <w:marBottom w:val="0"/>
          <w:divBdr>
            <w:top w:val="none" w:sz="0" w:space="0" w:color="auto"/>
            <w:left w:val="none" w:sz="0" w:space="0" w:color="auto"/>
            <w:bottom w:val="none" w:sz="0" w:space="0" w:color="auto"/>
            <w:right w:val="none" w:sz="0" w:space="0" w:color="auto"/>
          </w:divBdr>
        </w:div>
        <w:div w:id="175577734">
          <w:marLeft w:val="0"/>
          <w:marRight w:val="0"/>
          <w:marTop w:val="0"/>
          <w:marBottom w:val="0"/>
          <w:divBdr>
            <w:top w:val="none" w:sz="0" w:space="0" w:color="auto"/>
            <w:left w:val="none" w:sz="0" w:space="0" w:color="auto"/>
            <w:bottom w:val="none" w:sz="0" w:space="0" w:color="auto"/>
            <w:right w:val="none" w:sz="0" w:space="0" w:color="auto"/>
          </w:divBdr>
        </w:div>
        <w:div w:id="533495187">
          <w:marLeft w:val="0"/>
          <w:marRight w:val="0"/>
          <w:marTop w:val="0"/>
          <w:marBottom w:val="0"/>
          <w:divBdr>
            <w:top w:val="none" w:sz="0" w:space="0" w:color="auto"/>
            <w:left w:val="none" w:sz="0" w:space="0" w:color="auto"/>
            <w:bottom w:val="none" w:sz="0" w:space="0" w:color="auto"/>
            <w:right w:val="none" w:sz="0" w:space="0" w:color="auto"/>
          </w:divBdr>
        </w:div>
        <w:div w:id="1046025805">
          <w:marLeft w:val="0"/>
          <w:marRight w:val="0"/>
          <w:marTop w:val="0"/>
          <w:marBottom w:val="0"/>
          <w:divBdr>
            <w:top w:val="none" w:sz="0" w:space="0" w:color="auto"/>
            <w:left w:val="none" w:sz="0" w:space="0" w:color="auto"/>
            <w:bottom w:val="none" w:sz="0" w:space="0" w:color="auto"/>
            <w:right w:val="none" w:sz="0" w:space="0" w:color="auto"/>
          </w:divBdr>
        </w:div>
      </w:divsChild>
    </w:div>
    <w:div w:id="546140228">
      <w:bodyDiv w:val="1"/>
      <w:marLeft w:val="0"/>
      <w:marRight w:val="0"/>
      <w:marTop w:val="0"/>
      <w:marBottom w:val="0"/>
      <w:divBdr>
        <w:top w:val="none" w:sz="0" w:space="0" w:color="auto"/>
        <w:left w:val="none" w:sz="0" w:space="0" w:color="auto"/>
        <w:bottom w:val="none" w:sz="0" w:space="0" w:color="auto"/>
        <w:right w:val="none" w:sz="0" w:space="0" w:color="auto"/>
      </w:divBdr>
    </w:div>
    <w:div w:id="560360236">
      <w:bodyDiv w:val="1"/>
      <w:marLeft w:val="0"/>
      <w:marRight w:val="0"/>
      <w:marTop w:val="0"/>
      <w:marBottom w:val="0"/>
      <w:divBdr>
        <w:top w:val="none" w:sz="0" w:space="0" w:color="auto"/>
        <w:left w:val="none" w:sz="0" w:space="0" w:color="auto"/>
        <w:bottom w:val="none" w:sz="0" w:space="0" w:color="auto"/>
        <w:right w:val="none" w:sz="0" w:space="0" w:color="auto"/>
      </w:divBdr>
    </w:div>
    <w:div w:id="583954573">
      <w:bodyDiv w:val="1"/>
      <w:marLeft w:val="0"/>
      <w:marRight w:val="0"/>
      <w:marTop w:val="0"/>
      <w:marBottom w:val="0"/>
      <w:divBdr>
        <w:top w:val="none" w:sz="0" w:space="0" w:color="auto"/>
        <w:left w:val="none" w:sz="0" w:space="0" w:color="auto"/>
        <w:bottom w:val="none" w:sz="0" w:space="0" w:color="auto"/>
        <w:right w:val="none" w:sz="0" w:space="0" w:color="auto"/>
      </w:divBdr>
    </w:div>
    <w:div w:id="607932851">
      <w:bodyDiv w:val="1"/>
      <w:marLeft w:val="0"/>
      <w:marRight w:val="0"/>
      <w:marTop w:val="0"/>
      <w:marBottom w:val="0"/>
      <w:divBdr>
        <w:top w:val="none" w:sz="0" w:space="0" w:color="auto"/>
        <w:left w:val="none" w:sz="0" w:space="0" w:color="auto"/>
        <w:bottom w:val="none" w:sz="0" w:space="0" w:color="auto"/>
        <w:right w:val="none" w:sz="0" w:space="0" w:color="auto"/>
      </w:divBdr>
    </w:div>
    <w:div w:id="623928854">
      <w:bodyDiv w:val="1"/>
      <w:marLeft w:val="0"/>
      <w:marRight w:val="0"/>
      <w:marTop w:val="0"/>
      <w:marBottom w:val="0"/>
      <w:divBdr>
        <w:top w:val="none" w:sz="0" w:space="0" w:color="auto"/>
        <w:left w:val="none" w:sz="0" w:space="0" w:color="auto"/>
        <w:bottom w:val="none" w:sz="0" w:space="0" w:color="auto"/>
        <w:right w:val="none" w:sz="0" w:space="0" w:color="auto"/>
      </w:divBdr>
    </w:div>
    <w:div w:id="634720075">
      <w:bodyDiv w:val="1"/>
      <w:marLeft w:val="0"/>
      <w:marRight w:val="0"/>
      <w:marTop w:val="0"/>
      <w:marBottom w:val="0"/>
      <w:divBdr>
        <w:top w:val="none" w:sz="0" w:space="0" w:color="auto"/>
        <w:left w:val="none" w:sz="0" w:space="0" w:color="auto"/>
        <w:bottom w:val="none" w:sz="0" w:space="0" w:color="auto"/>
        <w:right w:val="none" w:sz="0" w:space="0" w:color="auto"/>
      </w:divBdr>
    </w:div>
    <w:div w:id="647243544">
      <w:bodyDiv w:val="1"/>
      <w:marLeft w:val="0"/>
      <w:marRight w:val="0"/>
      <w:marTop w:val="0"/>
      <w:marBottom w:val="0"/>
      <w:divBdr>
        <w:top w:val="none" w:sz="0" w:space="0" w:color="auto"/>
        <w:left w:val="none" w:sz="0" w:space="0" w:color="auto"/>
        <w:bottom w:val="none" w:sz="0" w:space="0" w:color="auto"/>
        <w:right w:val="none" w:sz="0" w:space="0" w:color="auto"/>
      </w:divBdr>
    </w:div>
    <w:div w:id="685794132">
      <w:bodyDiv w:val="1"/>
      <w:marLeft w:val="0"/>
      <w:marRight w:val="0"/>
      <w:marTop w:val="0"/>
      <w:marBottom w:val="0"/>
      <w:divBdr>
        <w:top w:val="none" w:sz="0" w:space="0" w:color="auto"/>
        <w:left w:val="none" w:sz="0" w:space="0" w:color="auto"/>
        <w:bottom w:val="none" w:sz="0" w:space="0" w:color="auto"/>
        <w:right w:val="none" w:sz="0" w:space="0" w:color="auto"/>
      </w:divBdr>
    </w:div>
    <w:div w:id="734664309">
      <w:bodyDiv w:val="1"/>
      <w:marLeft w:val="0"/>
      <w:marRight w:val="0"/>
      <w:marTop w:val="0"/>
      <w:marBottom w:val="0"/>
      <w:divBdr>
        <w:top w:val="none" w:sz="0" w:space="0" w:color="auto"/>
        <w:left w:val="none" w:sz="0" w:space="0" w:color="auto"/>
        <w:bottom w:val="none" w:sz="0" w:space="0" w:color="auto"/>
        <w:right w:val="none" w:sz="0" w:space="0" w:color="auto"/>
      </w:divBdr>
    </w:div>
    <w:div w:id="734666654">
      <w:bodyDiv w:val="1"/>
      <w:marLeft w:val="0"/>
      <w:marRight w:val="0"/>
      <w:marTop w:val="0"/>
      <w:marBottom w:val="0"/>
      <w:divBdr>
        <w:top w:val="none" w:sz="0" w:space="0" w:color="auto"/>
        <w:left w:val="none" w:sz="0" w:space="0" w:color="auto"/>
        <w:bottom w:val="none" w:sz="0" w:space="0" w:color="auto"/>
        <w:right w:val="none" w:sz="0" w:space="0" w:color="auto"/>
      </w:divBdr>
    </w:div>
    <w:div w:id="763188173">
      <w:bodyDiv w:val="1"/>
      <w:marLeft w:val="0"/>
      <w:marRight w:val="0"/>
      <w:marTop w:val="0"/>
      <w:marBottom w:val="0"/>
      <w:divBdr>
        <w:top w:val="none" w:sz="0" w:space="0" w:color="auto"/>
        <w:left w:val="none" w:sz="0" w:space="0" w:color="auto"/>
        <w:bottom w:val="none" w:sz="0" w:space="0" w:color="auto"/>
        <w:right w:val="none" w:sz="0" w:space="0" w:color="auto"/>
      </w:divBdr>
    </w:div>
    <w:div w:id="768697373">
      <w:bodyDiv w:val="1"/>
      <w:marLeft w:val="0"/>
      <w:marRight w:val="0"/>
      <w:marTop w:val="0"/>
      <w:marBottom w:val="0"/>
      <w:divBdr>
        <w:top w:val="none" w:sz="0" w:space="0" w:color="auto"/>
        <w:left w:val="none" w:sz="0" w:space="0" w:color="auto"/>
        <w:bottom w:val="none" w:sz="0" w:space="0" w:color="auto"/>
        <w:right w:val="none" w:sz="0" w:space="0" w:color="auto"/>
      </w:divBdr>
    </w:div>
    <w:div w:id="778333826">
      <w:bodyDiv w:val="1"/>
      <w:marLeft w:val="0"/>
      <w:marRight w:val="0"/>
      <w:marTop w:val="0"/>
      <w:marBottom w:val="0"/>
      <w:divBdr>
        <w:top w:val="none" w:sz="0" w:space="0" w:color="auto"/>
        <w:left w:val="none" w:sz="0" w:space="0" w:color="auto"/>
        <w:bottom w:val="none" w:sz="0" w:space="0" w:color="auto"/>
        <w:right w:val="none" w:sz="0" w:space="0" w:color="auto"/>
      </w:divBdr>
    </w:div>
    <w:div w:id="808286124">
      <w:bodyDiv w:val="1"/>
      <w:marLeft w:val="0"/>
      <w:marRight w:val="0"/>
      <w:marTop w:val="0"/>
      <w:marBottom w:val="0"/>
      <w:divBdr>
        <w:top w:val="none" w:sz="0" w:space="0" w:color="auto"/>
        <w:left w:val="none" w:sz="0" w:space="0" w:color="auto"/>
        <w:bottom w:val="none" w:sz="0" w:space="0" w:color="auto"/>
        <w:right w:val="none" w:sz="0" w:space="0" w:color="auto"/>
      </w:divBdr>
    </w:div>
    <w:div w:id="818813299">
      <w:bodyDiv w:val="1"/>
      <w:marLeft w:val="0"/>
      <w:marRight w:val="0"/>
      <w:marTop w:val="0"/>
      <w:marBottom w:val="0"/>
      <w:divBdr>
        <w:top w:val="none" w:sz="0" w:space="0" w:color="auto"/>
        <w:left w:val="none" w:sz="0" w:space="0" w:color="auto"/>
        <w:bottom w:val="none" w:sz="0" w:space="0" w:color="auto"/>
        <w:right w:val="none" w:sz="0" w:space="0" w:color="auto"/>
      </w:divBdr>
    </w:div>
    <w:div w:id="823472533">
      <w:bodyDiv w:val="1"/>
      <w:marLeft w:val="0"/>
      <w:marRight w:val="0"/>
      <w:marTop w:val="0"/>
      <w:marBottom w:val="0"/>
      <w:divBdr>
        <w:top w:val="none" w:sz="0" w:space="0" w:color="auto"/>
        <w:left w:val="none" w:sz="0" w:space="0" w:color="auto"/>
        <w:bottom w:val="none" w:sz="0" w:space="0" w:color="auto"/>
        <w:right w:val="none" w:sz="0" w:space="0" w:color="auto"/>
      </w:divBdr>
    </w:div>
    <w:div w:id="924344206">
      <w:bodyDiv w:val="1"/>
      <w:marLeft w:val="0"/>
      <w:marRight w:val="0"/>
      <w:marTop w:val="0"/>
      <w:marBottom w:val="0"/>
      <w:divBdr>
        <w:top w:val="none" w:sz="0" w:space="0" w:color="auto"/>
        <w:left w:val="none" w:sz="0" w:space="0" w:color="auto"/>
        <w:bottom w:val="none" w:sz="0" w:space="0" w:color="auto"/>
        <w:right w:val="none" w:sz="0" w:space="0" w:color="auto"/>
      </w:divBdr>
    </w:div>
    <w:div w:id="925769136">
      <w:bodyDiv w:val="1"/>
      <w:marLeft w:val="0"/>
      <w:marRight w:val="0"/>
      <w:marTop w:val="0"/>
      <w:marBottom w:val="0"/>
      <w:divBdr>
        <w:top w:val="none" w:sz="0" w:space="0" w:color="auto"/>
        <w:left w:val="none" w:sz="0" w:space="0" w:color="auto"/>
        <w:bottom w:val="none" w:sz="0" w:space="0" w:color="auto"/>
        <w:right w:val="none" w:sz="0" w:space="0" w:color="auto"/>
      </w:divBdr>
    </w:div>
    <w:div w:id="937835785">
      <w:bodyDiv w:val="1"/>
      <w:marLeft w:val="0"/>
      <w:marRight w:val="0"/>
      <w:marTop w:val="0"/>
      <w:marBottom w:val="0"/>
      <w:divBdr>
        <w:top w:val="none" w:sz="0" w:space="0" w:color="auto"/>
        <w:left w:val="none" w:sz="0" w:space="0" w:color="auto"/>
        <w:bottom w:val="none" w:sz="0" w:space="0" w:color="auto"/>
        <w:right w:val="none" w:sz="0" w:space="0" w:color="auto"/>
      </w:divBdr>
    </w:div>
    <w:div w:id="1012999869">
      <w:bodyDiv w:val="1"/>
      <w:marLeft w:val="0"/>
      <w:marRight w:val="0"/>
      <w:marTop w:val="0"/>
      <w:marBottom w:val="0"/>
      <w:divBdr>
        <w:top w:val="none" w:sz="0" w:space="0" w:color="auto"/>
        <w:left w:val="none" w:sz="0" w:space="0" w:color="auto"/>
        <w:bottom w:val="none" w:sz="0" w:space="0" w:color="auto"/>
        <w:right w:val="none" w:sz="0" w:space="0" w:color="auto"/>
      </w:divBdr>
    </w:div>
    <w:div w:id="1026252892">
      <w:bodyDiv w:val="1"/>
      <w:marLeft w:val="0"/>
      <w:marRight w:val="0"/>
      <w:marTop w:val="0"/>
      <w:marBottom w:val="0"/>
      <w:divBdr>
        <w:top w:val="none" w:sz="0" w:space="0" w:color="auto"/>
        <w:left w:val="none" w:sz="0" w:space="0" w:color="auto"/>
        <w:bottom w:val="none" w:sz="0" w:space="0" w:color="auto"/>
        <w:right w:val="none" w:sz="0" w:space="0" w:color="auto"/>
      </w:divBdr>
    </w:div>
    <w:div w:id="1066607683">
      <w:bodyDiv w:val="1"/>
      <w:marLeft w:val="0"/>
      <w:marRight w:val="0"/>
      <w:marTop w:val="0"/>
      <w:marBottom w:val="0"/>
      <w:divBdr>
        <w:top w:val="none" w:sz="0" w:space="0" w:color="auto"/>
        <w:left w:val="none" w:sz="0" w:space="0" w:color="auto"/>
        <w:bottom w:val="none" w:sz="0" w:space="0" w:color="auto"/>
        <w:right w:val="none" w:sz="0" w:space="0" w:color="auto"/>
      </w:divBdr>
      <w:divsChild>
        <w:div w:id="454444169">
          <w:marLeft w:val="0"/>
          <w:marRight w:val="0"/>
          <w:marTop w:val="0"/>
          <w:marBottom w:val="0"/>
          <w:divBdr>
            <w:top w:val="none" w:sz="0" w:space="0" w:color="auto"/>
            <w:left w:val="none" w:sz="0" w:space="0" w:color="auto"/>
            <w:bottom w:val="none" w:sz="0" w:space="0" w:color="auto"/>
            <w:right w:val="none" w:sz="0" w:space="0" w:color="auto"/>
          </w:divBdr>
        </w:div>
        <w:div w:id="719401165">
          <w:marLeft w:val="0"/>
          <w:marRight w:val="0"/>
          <w:marTop w:val="0"/>
          <w:marBottom w:val="0"/>
          <w:divBdr>
            <w:top w:val="none" w:sz="0" w:space="0" w:color="auto"/>
            <w:left w:val="none" w:sz="0" w:space="0" w:color="auto"/>
            <w:bottom w:val="none" w:sz="0" w:space="0" w:color="auto"/>
            <w:right w:val="none" w:sz="0" w:space="0" w:color="auto"/>
          </w:divBdr>
        </w:div>
        <w:div w:id="1493174987">
          <w:marLeft w:val="0"/>
          <w:marRight w:val="0"/>
          <w:marTop w:val="0"/>
          <w:marBottom w:val="0"/>
          <w:divBdr>
            <w:top w:val="none" w:sz="0" w:space="0" w:color="auto"/>
            <w:left w:val="none" w:sz="0" w:space="0" w:color="auto"/>
            <w:bottom w:val="none" w:sz="0" w:space="0" w:color="auto"/>
            <w:right w:val="none" w:sz="0" w:space="0" w:color="auto"/>
          </w:divBdr>
        </w:div>
        <w:div w:id="2115132249">
          <w:marLeft w:val="0"/>
          <w:marRight w:val="0"/>
          <w:marTop w:val="0"/>
          <w:marBottom w:val="0"/>
          <w:divBdr>
            <w:top w:val="none" w:sz="0" w:space="0" w:color="auto"/>
            <w:left w:val="none" w:sz="0" w:space="0" w:color="auto"/>
            <w:bottom w:val="none" w:sz="0" w:space="0" w:color="auto"/>
            <w:right w:val="none" w:sz="0" w:space="0" w:color="auto"/>
          </w:divBdr>
        </w:div>
      </w:divsChild>
    </w:div>
    <w:div w:id="1088962920">
      <w:bodyDiv w:val="1"/>
      <w:marLeft w:val="0"/>
      <w:marRight w:val="0"/>
      <w:marTop w:val="0"/>
      <w:marBottom w:val="0"/>
      <w:divBdr>
        <w:top w:val="none" w:sz="0" w:space="0" w:color="auto"/>
        <w:left w:val="none" w:sz="0" w:space="0" w:color="auto"/>
        <w:bottom w:val="none" w:sz="0" w:space="0" w:color="auto"/>
        <w:right w:val="none" w:sz="0" w:space="0" w:color="auto"/>
      </w:divBdr>
      <w:divsChild>
        <w:div w:id="2090498892">
          <w:marLeft w:val="0"/>
          <w:marRight w:val="0"/>
          <w:marTop w:val="0"/>
          <w:marBottom w:val="0"/>
          <w:divBdr>
            <w:top w:val="none" w:sz="0" w:space="0" w:color="auto"/>
            <w:left w:val="none" w:sz="0" w:space="0" w:color="auto"/>
            <w:bottom w:val="none" w:sz="0" w:space="0" w:color="auto"/>
            <w:right w:val="none" w:sz="0" w:space="0" w:color="auto"/>
          </w:divBdr>
        </w:div>
      </w:divsChild>
    </w:div>
    <w:div w:id="1128351207">
      <w:bodyDiv w:val="1"/>
      <w:marLeft w:val="0"/>
      <w:marRight w:val="0"/>
      <w:marTop w:val="0"/>
      <w:marBottom w:val="0"/>
      <w:divBdr>
        <w:top w:val="none" w:sz="0" w:space="0" w:color="auto"/>
        <w:left w:val="none" w:sz="0" w:space="0" w:color="auto"/>
        <w:bottom w:val="none" w:sz="0" w:space="0" w:color="auto"/>
        <w:right w:val="none" w:sz="0" w:space="0" w:color="auto"/>
      </w:divBdr>
    </w:div>
    <w:div w:id="1133716744">
      <w:bodyDiv w:val="1"/>
      <w:marLeft w:val="0"/>
      <w:marRight w:val="0"/>
      <w:marTop w:val="0"/>
      <w:marBottom w:val="0"/>
      <w:divBdr>
        <w:top w:val="none" w:sz="0" w:space="0" w:color="auto"/>
        <w:left w:val="none" w:sz="0" w:space="0" w:color="auto"/>
        <w:bottom w:val="none" w:sz="0" w:space="0" w:color="auto"/>
        <w:right w:val="none" w:sz="0" w:space="0" w:color="auto"/>
      </w:divBdr>
    </w:div>
    <w:div w:id="1226914376">
      <w:bodyDiv w:val="1"/>
      <w:marLeft w:val="0"/>
      <w:marRight w:val="0"/>
      <w:marTop w:val="0"/>
      <w:marBottom w:val="0"/>
      <w:divBdr>
        <w:top w:val="none" w:sz="0" w:space="0" w:color="auto"/>
        <w:left w:val="none" w:sz="0" w:space="0" w:color="auto"/>
        <w:bottom w:val="none" w:sz="0" w:space="0" w:color="auto"/>
        <w:right w:val="none" w:sz="0" w:space="0" w:color="auto"/>
      </w:divBdr>
    </w:div>
    <w:div w:id="1230191246">
      <w:bodyDiv w:val="1"/>
      <w:marLeft w:val="0"/>
      <w:marRight w:val="0"/>
      <w:marTop w:val="0"/>
      <w:marBottom w:val="0"/>
      <w:divBdr>
        <w:top w:val="none" w:sz="0" w:space="0" w:color="auto"/>
        <w:left w:val="none" w:sz="0" w:space="0" w:color="auto"/>
        <w:bottom w:val="none" w:sz="0" w:space="0" w:color="auto"/>
        <w:right w:val="none" w:sz="0" w:space="0" w:color="auto"/>
      </w:divBdr>
    </w:div>
    <w:div w:id="1238632954">
      <w:bodyDiv w:val="1"/>
      <w:marLeft w:val="0"/>
      <w:marRight w:val="0"/>
      <w:marTop w:val="0"/>
      <w:marBottom w:val="0"/>
      <w:divBdr>
        <w:top w:val="none" w:sz="0" w:space="0" w:color="auto"/>
        <w:left w:val="none" w:sz="0" w:space="0" w:color="auto"/>
        <w:bottom w:val="none" w:sz="0" w:space="0" w:color="auto"/>
        <w:right w:val="none" w:sz="0" w:space="0" w:color="auto"/>
      </w:divBdr>
    </w:div>
    <w:div w:id="1252547281">
      <w:bodyDiv w:val="1"/>
      <w:marLeft w:val="0"/>
      <w:marRight w:val="0"/>
      <w:marTop w:val="0"/>
      <w:marBottom w:val="0"/>
      <w:divBdr>
        <w:top w:val="none" w:sz="0" w:space="0" w:color="auto"/>
        <w:left w:val="none" w:sz="0" w:space="0" w:color="auto"/>
        <w:bottom w:val="none" w:sz="0" w:space="0" w:color="auto"/>
        <w:right w:val="none" w:sz="0" w:space="0" w:color="auto"/>
      </w:divBdr>
    </w:div>
    <w:div w:id="1256285099">
      <w:bodyDiv w:val="1"/>
      <w:marLeft w:val="0"/>
      <w:marRight w:val="0"/>
      <w:marTop w:val="0"/>
      <w:marBottom w:val="0"/>
      <w:divBdr>
        <w:top w:val="none" w:sz="0" w:space="0" w:color="auto"/>
        <w:left w:val="none" w:sz="0" w:space="0" w:color="auto"/>
        <w:bottom w:val="none" w:sz="0" w:space="0" w:color="auto"/>
        <w:right w:val="none" w:sz="0" w:space="0" w:color="auto"/>
      </w:divBdr>
      <w:divsChild>
        <w:div w:id="40637343">
          <w:marLeft w:val="0"/>
          <w:marRight w:val="0"/>
          <w:marTop w:val="0"/>
          <w:marBottom w:val="0"/>
          <w:divBdr>
            <w:top w:val="none" w:sz="0" w:space="0" w:color="auto"/>
            <w:left w:val="none" w:sz="0" w:space="0" w:color="auto"/>
            <w:bottom w:val="none" w:sz="0" w:space="0" w:color="auto"/>
            <w:right w:val="none" w:sz="0" w:space="0" w:color="auto"/>
          </w:divBdr>
        </w:div>
        <w:div w:id="499544929">
          <w:marLeft w:val="0"/>
          <w:marRight w:val="0"/>
          <w:marTop w:val="0"/>
          <w:marBottom w:val="0"/>
          <w:divBdr>
            <w:top w:val="none" w:sz="0" w:space="0" w:color="auto"/>
            <w:left w:val="none" w:sz="0" w:space="0" w:color="auto"/>
            <w:bottom w:val="none" w:sz="0" w:space="0" w:color="auto"/>
            <w:right w:val="none" w:sz="0" w:space="0" w:color="auto"/>
          </w:divBdr>
        </w:div>
        <w:div w:id="883711863">
          <w:marLeft w:val="0"/>
          <w:marRight w:val="0"/>
          <w:marTop w:val="0"/>
          <w:marBottom w:val="0"/>
          <w:divBdr>
            <w:top w:val="none" w:sz="0" w:space="0" w:color="auto"/>
            <w:left w:val="none" w:sz="0" w:space="0" w:color="auto"/>
            <w:bottom w:val="none" w:sz="0" w:space="0" w:color="auto"/>
            <w:right w:val="none" w:sz="0" w:space="0" w:color="auto"/>
          </w:divBdr>
        </w:div>
        <w:div w:id="1806391437">
          <w:marLeft w:val="0"/>
          <w:marRight w:val="0"/>
          <w:marTop w:val="0"/>
          <w:marBottom w:val="0"/>
          <w:divBdr>
            <w:top w:val="none" w:sz="0" w:space="0" w:color="auto"/>
            <w:left w:val="none" w:sz="0" w:space="0" w:color="auto"/>
            <w:bottom w:val="none" w:sz="0" w:space="0" w:color="auto"/>
            <w:right w:val="none" w:sz="0" w:space="0" w:color="auto"/>
          </w:divBdr>
        </w:div>
      </w:divsChild>
    </w:div>
    <w:div w:id="1298299638">
      <w:bodyDiv w:val="1"/>
      <w:marLeft w:val="0"/>
      <w:marRight w:val="0"/>
      <w:marTop w:val="0"/>
      <w:marBottom w:val="0"/>
      <w:divBdr>
        <w:top w:val="none" w:sz="0" w:space="0" w:color="auto"/>
        <w:left w:val="none" w:sz="0" w:space="0" w:color="auto"/>
        <w:bottom w:val="none" w:sz="0" w:space="0" w:color="auto"/>
        <w:right w:val="none" w:sz="0" w:space="0" w:color="auto"/>
      </w:divBdr>
    </w:div>
    <w:div w:id="1316255755">
      <w:bodyDiv w:val="1"/>
      <w:marLeft w:val="0"/>
      <w:marRight w:val="0"/>
      <w:marTop w:val="0"/>
      <w:marBottom w:val="0"/>
      <w:divBdr>
        <w:top w:val="none" w:sz="0" w:space="0" w:color="auto"/>
        <w:left w:val="none" w:sz="0" w:space="0" w:color="auto"/>
        <w:bottom w:val="none" w:sz="0" w:space="0" w:color="auto"/>
        <w:right w:val="none" w:sz="0" w:space="0" w:color="auto"/>
      </w:divBdr>
    </w:div>
    <w:div w:id="1372610834">
      <w:bodyDiv w:val="1"/>
      <w:marLeft w:val="0"/>
      <w:marRight w:val="0"/>
      <w:marTop w:val="0"/>
      <w:marBottom w:val="0"/>
      <w:divBdr>
        <w:top w:val="none" w:sz="0" w:space="0" w:color="auto"/>
        <w:left w:val="none" w:sz="0" w:space="0" w:color="auto"/>
        <w:bottom w:val="none" w:sz="0" w:space="0" w:color="auto"/>
        <w:right w:val="none" w:sz="0" w:space="0" w:color="auto"/>
      </w:divBdr>
    </w:div>
    <w:div w:id="1391806844">
      <w:bodyDiv w:val="1"/>
      <w:marLeft w:val="0"/>
      <w:marRight w:val="0"/>
      <w:marTop w:val="0"/>
      <w:marBottom w:val="0"/>
      <w:divBdr>
        <w:top w:val="none" w:sz="0" w:space="0" w:color="auto"/>
        <w:left w:val="none" w:sz="0" w:space="0" w:color="auto"/>
        <w:bottom w:val="none" w:sz="0" w:space="0" w:color="auto"/>
        <w:right w:val="none" w:sz="0" w:space="0" w:color="auto"/>
      </w:divBdr>
    </w:div>
    <w:div w:id="1443262150">
      <w:bodyDiv w:val="1"/>
      <w:marLeft w:val="0"/>
      <w:marRight w:val="0"/>
      <w:marTop w:val="0"/>
      <w:marBottom w:val="0"/>
      <w:divBdr>
        <w:top w:val="none" w:sz="0" w:space="0" w:color="auto"/>
        <w:left w:val="none" w:sz="0" w:space="0" w:color="auto"/>
        <w:bottom w:val="none" w:sz="0" w:space="0" w:color="auto"/>
        <w:right w:val="none" w:sz="0" w:space="0" w:color="auto"/>
      </w:divBdr>
      <w:divsChild>
        <w:div w:id="172186189">
          <w:blockQuote w:val="1"/>
          <w:marLeft w:val="0"/>
          <w:marRight w:val="0"/>
          <w:marTop w:val="0"/>
          <w:marBottom w:val="0"/>
          <w:divBdr>
            <w:top w:val="none" w:sz="0" w:space="0" w:color="auto"/>
            <w:left w:val="single" w:sz="6" w:space="18" w:color="707070"/>
            <w:bottom w:val="none" w:sz="0" w:space="0" w:color="auto"/>
            <w:right w:val="none" w:sz="0" w:space="0" w:color="auto"/>
          </w:divBdr>
        </w:div>
      </w:divsChild>
    </w:div>
    <w:div w:id="1452898960">
      <w:bodyDiv w:val="1"/>
      <w:marLeft w:val="0"/>
      <w:marRight w:val="0"/>
      <w:marTop w:val="0"/>
      <w:marBottom w:val="0"/>
      <w:divBdr>
        <w:top w:val="none" w:sz="0" w:space="0" w:color="auto"/>
        <w:left w:val="none" w:sz="0" w:space="0" w:color="auto"/>
        <w:bottom w:val="none" w:sz="0" w:space="0" w:color="auto"/>
        <w:right w:val="none" w:sz="0" w:space="0" w:color="auto"/>
      </w:divBdr>
      <w:divsChild>
        <w:div w:id="626936251">
          <w:marLeft w:val="0"/>
          <w:marRight w:val="0"/>
          <w:marTop w:val="0"/>
          <w:marBottom w:val="0"/>
          <w:divBdr>
            <w:top w:val="none" w:sz="0" w:space="0" w:color="auto"/>
            <w:left w:val="none" w:sz="0" w:space="0" w:color="auto"/>
            <w:bottom w:val="none" w:sz="0" w:space="0" w:color="auto"/>
            <w:right w:val="none" w:sz="0" w:space="0" w:color="auto"/>
          </w:divBdr>
        </w:div>
        <w:div w:id="885947032">
          <w:marLeft w:val="0"/>
          <w:marRight w:val="0"/>
          <w:marTop w:val="0"/>
          <w:marBottom w:val="0"/>
          <w:divBdr>
            <w:top w:val="none" w:sz="0" w:space="0" w:color="auto"/>
            <w:left w:val="none" w:sz="0" w:space="0" w:color="auto"/>
            <w:bottom w:val="none" w:sz="0" w:space="0" w:color="auto"/>
            <w:right w:val="none" w:sz="0" w:space="0" w:color="auto"/>
          </w:divBdr>
        </w:div>
      </w:divsChild>
    </w:div>
    <w:div w:id="1456169074">
      <w:bodyDiv w:val="1"/>
      <w:marLeft w:val="0"/>
      <w:marRight w:val="0"/>
      <w:marTop w:val="0"/>
      <w:marBottom w:val="0"/>
      <w:divBdr>
        <w:top w:val="none" w:sz="0" w:space="0" w:color="auto"/>
        <w:left w:val="none" w:sz="0" w:space="0" w:color="auto"/>
        <w:bottom w:val="none" w:sz="0" w:space="0" w:color="auto"/>
        <w:right w:val="none" w:sz="0" w:space="0" w:color="auto"/>
      </w:divBdr>
    </w:div>
    <w:div w:id="1466122048">
      <w:bodyDiv w:val="1"/>
      <w:marLeft w:val="0"/>
      <w:marRight w:val="0"/>
      <w:marTop w:val="0"/>
      <w:marBottom w:val="0"/>
      <w:divBdr>
        <w:top w:val="none" w:sz="0" w:space="0" w:color="auto"/>
        <w:left w:val="none" w:sz="0" w:space="0" w:color="auto"/>
        <w:bottom w:val="none" w:sz="0" w:space="0" w:color="auto"/>
        <w:right w:val="none" w:sz="0" w:space="0" w:color="auto"/>
      </w:divBdr>
    </w:div>
    <w:div w:id="1587497729">
      <w:bodyDiv w:val="1"/>
      <w:marLeft w:val="0"/>
      <w:marRight w:val="0"/>
      <w:marTop w:val="0"/>
      <w:marBottom w:val="0"/>
      <w:divBdr>
        <w:top w:val="none" w:sz="0" w:space="0" w:color="auto"/>
        <w:left w:val="none" w:sz="0" w:space="0" w:color="auto"/>
        <w:bottom w:val="none" w:sz="0" w:space="0" w:color="auto"/>
        <w:right w:val="none" w:sz="0" w:space="0" w:color="auto"/>
      </w:divBdr>
    </w:div>
    <w:div w:id="1595435550">
      <w:bodyDiv w:val="1"/>
      <w:marLeft w:val="0"/>
      <w:marRight w:val="0"/>
      <w:marTop w:val="0"/>
      <w:marBottom w:val="0"/>
      <w:divBdr>
        <w:top w:val="none" w:sz="0" w:space="0" w:color="auto"/>
        <w:left w:val="none" w:sz="0" w:space="0" w:color="auto"/>
        <w:bottom w:val="none" w:sz="0" w:space="0" w:color="auto"/>
        <w:right w:val="none" w:sz="0" w:space="0" w:color="auto"/>
      </w:divBdr>
    </w:div>
    <w:div w:id="1641499581">
      <w:bodyDiv w:val="1"/>
      <w:marLeft w:val="0"/>
      <w:marRight w:val="0"/>
      <w:marTop w:val="0"/>
      <w:marBottom w:val="0"/>
      <w:divBdr>
        <w:top w:val="none" w:sz="0" w:space="0" w:color="auto"/>
        <w:left w:val="none" w:sz="0" w:space="0" w:color="auto"/>
        <w:bottom w:val="none" w:sz="0" w:space="0" w:color="auto"/>
        <w:right w:val="none" w:sz="0" w:space="0" w:color="auto"/>
      </w:divBdr>
    </w:div>
    <w:div w:id="1704283885">
      <w:bodyDiv w:val="1"/>
      <w:marLeft w:val="0"/>
      <w:marRight w:val="0"/>
      <w:marTop w:val="0"/>
      <w:marBottom w:val="0"/>
      <w:divBdr>
        <w:top w:val="none" w:sz="0" w:space="0" w:color="auto"/>
        <w:left w:val="none" w:sz="0" w:space="0" w:color="auto"/>
        <w:bottom w:val="none" w:sz="0" w:space="0" w:color="auto"/>
        <w:right w:val="none" w:sz="0" w:space="0" w:color="auto"/>
      </w:divBdr>
    </w:div>
    <w:div w:id="1736008872">
      <w:bodyDiv w:val="1"/>
      <w:marLeft w:val="0"/>
      <w:marRight w:val="0"/>
      <w:marTop w:val="0"/>
      <w:marBottom w:val="0"/>
      <w:divBdr>
        <w:top w:val="none" w:sz="0" w:space="0" w:color="auto"/>
        <w:left w:val="none" w:sz="0" w:space="0" w:color="auto"/>
        <w:bottom w:val="none" w:sz="0" w:space="0" w:color="auto"/>
        <w:right w:val="none" w:sz="0" w:space="0" w:color="auto"/>
      </w:divBdr>
    </w:div>
    <w:div w:id="1754934460">
      <w:bodyDiv w:val="1"/>
      <w:marLeft w:val="0"/>
      <w:marRight w:val="0"/>
      <w:marTop w:val="0"/>
      <w:marBottom w:val="0"/>
      <w:divBdr>
        <w:top w:val="none" w:sz="0" w:space="0" w:color="auto"/>
        <w:left w:val="none" w:sz="0" w:space="0" w:color="auto"/>
        <w:bottom w:val="none" w:sz="0" w:space="0" w:color="auto"/>
        <w:right w:val="none" w:sz="0" w:space="0" w:color="auto"/>
      </w:divBdr>
    </w:div>
    <w:div w:id="1762217594">
      <w:bodyDiv w:val="1"/>
      <w:marLeft w:val="0"/>
      <w:marRight w:val="0"/>
      <w:marTop w:val="0"/>
      <w:marBottom w:val="0"/>
      <w:divBdr>
        <w:top w:val="none" w:sz="0" w:space="0" w:color="auto"/>
        <w:left w:val="none" w:sz="0" w:space="0" w:color="auto"/>
        <w:bottom w:val="none" w:sz="0" w:space="0" w:color="auto"/>
        <w:right w:val="none" w:sz="0" w:space="0" w:color="auto"/>
      </w:divBdr>
    </w:div>
    <w:div w:id="1763184675">
      <w:bodyDiv w:val="1"/>
      <w:marLeft w:val="0"/>
      <w:marRight w:val="0"/>
      <w:marTop w:val="0"/>
      <w:marBottom w:val="0"/>
      <w:divBdr>
        <w:top w:val="none" w:sz="0" w:space="0" w:color="auto"/>
        <w:left w:val="none" w:sz="0" w:space="0" w:color="auto"/>
        <w:bottom w:val="none" w:sz="0" w:space="0" w:color="auto"/>
        <w:right w:val="none" w:sz="0" w:space="0" w:color="auto"/>
      </w:divBdr>
    </w:div>
    <w:div w:id="1763994108">
      <w:bodyDiv w:val="1"/>
      <w:marLeft w:val="0"/>
      <w:marRight w:val="0"/>
      <w:marTop w:val="0"/>
      <w:marBottom w:val="0"/>
      <w:divBdr>
        <w:top w:val="none" w:sz="0" w:space="0" w:color="auto"/>
        <w:left w:val="none" w:sz="0" w:space="0" w:color="auto"/>
        <w:bottom w:val="none" w:sz="0" w:space="0" w:color="auto"/>
        <w:right w:val="none" w:sz="0" w:space="0" w:color="auto"/>
      </w:divBdr>
      <w:divsChild>
        <w:div w:id="433474595">
          <w:marLeft w:val="0"/>
          <w:marRight w:val="0"/>
          <w:marTop w:val="0"/>
          <w:marBottom w:val="0"/>
          <w:divBdr>
            <w:top w:val="none" w:sz="0" w:space="0" w:color="auto"/>
            <w:left w:val="none" w:sz="0" w:space="0" w:color="auto"/>
            <w:bottom w:val="none" w:sz="0" w:space="0" w:color="auto"/>
            <w:right w:val="none" w:sz="0" w:space="0" w:color="auto"/>
          </w:divBdr>
        </w:div>
        <w:div w:id="1984649665">
          <w:marLeft w:val="0"/>
          <w:marRight w:val="0"/>
          <w:marTop w:val="0"/>
          <w:marBottom w:val="0"/>
          <w:divBdr>
            <w:top w:val="none" w:sz="0" w:space="0" w:color="auto"/>
            <w:left w:val="none" w:sz="0" w:space="0" w:color="auto"/>
            <w:bottom w:val="none" w:sz="0" w:space="0" w:color="auto"/>
            <w:right w:val="none" w:sz="0" w:space="0" w:color="auto"/>
          </w:divBdr>
        </w:div>
        <w:div w:id="2057656516">
          <w:marLeft w:val="0"/>
          <w:marRight w:val="0"/>
          <w:marTop w:val="0"/>
          <w:marBottom w:val="0"/>
          <w:divBdr>
            <w:top w:val="none" w:sz="0" w:space="0" w:color="auto"/>
            <w:left w:val="none" w:sz="0" w:space="0" w:color="auto"/>
            <w:bottom w:val="none" w:sz="0" w:space="0" w:color="auto"/>
            <w:right w:val="none" w:sz="0" w:space="0" w:color="auto"/>
          </w:divBdr>
        </w:div>
      </w:divsChild>
    </w:div>
    <w:div w:id="1780296335">
      <w:bodyDiv w:val="1"/>
      <w:marLeft w:val="0"/>
      <w:marRight w:val="0"/>
      <w:marTop w:val="0"/>
      <w:marBottom w:val="0"/>
      <w:divBdr>
        <w:top w:val="none" w:sz="0" w:space="0" w:color="auto"/>
        <w:left w:val="none" w:sz="0" w:space="0" w:color="auto"/>
        <w:bottom w:val="none" w:sz="0" w:space="0" w:color="auto"/>
        <w:right w:val="none" w:sz="0" w:space="0" w:color="auto"/>
      </w:divBdr>
    </w:div>
    <w:div w:id="1793817325">
      <w:bodyDiv w:val="1"/>
      <w:marLeft w:val="0"/>
      <w:marRight w:val="0"/>
      <w:marTop w:val="0"/>
      <w:marBottom w:val="0"/>
      <w:divBdr>
        <w:top w:val="none" w:sz="0" w:space="0" w:color="auto"/>
        <w:left w:val="none" w:sz="0" w:space="0" w:color="auto"/>
        <w:bottom w:val="none" w:sz="0" w:space="0" w:color="auto"/>
        <w:right w:val="none" w:sz="0" w:space="0" w:color="auto"/>
      </w:divBdr>
    </w:div>
    <w:div w:id="1800878266">
      <w:bodyDiv w:val="1"/>
      <w:marLeft w:val="0"/>
      <w:marRight w:val="0"/>
      <w:marTop w:val="0"/>
      <w:marBottom w:val="0"/>
      <w:divBdr>
        <w:top w:val="none" w:sz="0" w:space="0" w:color="auto"/>
        <w:left w:val="none" w:sz="0" w:space="0" w:color="auto"/>
        <w:bottom w:val="none" w:sz="0" w:space="0" w:color="auto"/>
        <w:right w:val="none" w:sz="0" w:space="0" w:color="auto"/>
      </w:divBdr>
    </w:div>
    <w:div w:id="1819420803">
      <w:bodyDiv w:val="1"/>
      <w:marLeft w:val="0"/>
      <w:marRight w:val="0"/>
      <w:marTop w:val="0"/>
      <w:marBottom w:val="0"/>
      <w:divBdr>
        <w:top w:val="none" w:sz="0" w:space="0" w:color="auto"/>
        <w:left w:val="none" w:sz="0" w:space="0" w:color="auto"/>
        <w:bottom w:val="none" w:sz="0" w:space="0" w:color="auto"/>
        <w:right w:val="none" w:sz="0" w:space="0" w:color="auto"/>
      </w:divBdr>
      <w:divsChild>
        <w:div w:id="1155603868">
          <w:marLeft w:val="0"/>
          <w:marRight w:val="0"/>
          <w:marTop w:val="0"/>
          <w:marBottom w:val="0"/>
          <w:divBdr>
            <w:top w:val="none" w:sz="0" w:space="0" w:color="auto"/>
            <w:left w:val="none" w:sz="0" w:space="0" w:color="auto"/>
            <w:bottom w:val="none" w:sz="0" w:space="0" w:color="auto"/>
            <w:right w:val="none" w:sz="0" w:space="0" w:color="auto"/>
          </w:divBdr>
        </w:div>
      </w:divsChild>
    </w:div>
    <w:div w:id="1829324566">
      <w:bodyDiv w:val="1"/>
      <w:marLeft w:val="0"/>
      <w:marRight w:val="0"/>
      <w:marTop w:val="0"/>
      <w:marBottom w:val="0"/>
      <w:divBdr>
        <w:top w:val="none" w:sz="0" w:space="0" w:color="auto"/>
        <w:left w:val="none" w:sz="0" w:space="0" w:color="auto"/>
        <w:bottom w:val="none" w:sz="0" w:space="0" w:color="auto"/>
        <w:right w:val="none" w:sz="0" w:space="0" w:color="auto"/>
      </w:divBdr>
    </w:div>
    <w:div w:id="1834880913">
      <w:bodyDiv w:val="1"/>
      <w:marLeft w:val="0"/>
      <w:marRight w:val="0"/>
      <w:marTop w:val="0"/>
      <w:marBottom w:val="0"/>
      <w:divBdr>
        <w:top w:val="none" w:sz="0" w:space="0" w:color="auto"/>
        <w:left w:val="none" w:sz="0" w:space="0" w:color="auto"/>
        <w:bottom w:val="none" w:sz="0" w:space="0" w:color="auto"/>
        <w:right w:val="none" w:sz="0" w:space="0" w:color="auto"/>
      </w:divBdr>
    </w:div>
    <w:div w:id="1844083521">
      <w:bodyDiv w:val="1"/>
      <w:marLeft w:val="0"/>
      <w:marRight w:val="0"/>
      <w:marTop w:val="0"/>
      <w:marBottom w:val="0"/>
      <w:divBdr>
        <w:top w:val="none" w:sz="0" w:space="0" w:color="auto"/>
        <w:left w:val="none" w:sz="0" w:space="0" w:color="auto"/>
        <w:bottom w:val="none" w:sz="0" w:space="0" w:color="auto"/>
        <w:right w:val="none" w:sz="0" w:space="0" w:color="auto"/>
      </w:divBdr>
    </w:div>
    <w:div w:id="1913277353">
      <w:bodyDiv w:val="1"/>
      <w:marLeft w:val="0"/>
      <w:marRight w:val="0"/>
      <w:marTop w:val="0"/>
      <w:marBottom w:val="0"/>
      <w:divBdr>
        <w:top w:val="none" w:sz="0" w:space="0" w:color="auto"/>
        <w:left w:val="none" w:sz="0" w:space="0" w:color="auto"/>
        <w:bottom w:val="none" w:sz="0" w:space="0" w:color="auto"/>
        <w:right w:val="none" w:sz="0" w:space="0" w:color="auto"/>
      </w:divBdr>
      <w:divsChild>
        <w:div w:id="441151928">
          <w:marLeft w:val="0"/>
          <w:marRight w:val="0"/>
          <w:marTop w:val="0"/>
          <w:marBottom w:val="0"/>
          <w:divBdr>
            <w:top w:val="none" w:sz="0" w:space="0" w:color="auto"/>
            <w:left w:val="none" w:sz="0" w:space="0" w:color="auto"/>
            <w:bottom w:val="none" w:sz="0" w:space="0" w:color="auto"/>
            <w:right w:val="none" w:sz="0" w:space="0" w:color="auto"/>
          </w:divBdr>
        </w:div>
        <w:div w:id="545875898">
          <w:marLeft w:val="0"/>
          <w:marRight w:val="0"/>
          <w:marTop w:val="0"/>
          <w:marBottom w:val="0"/>
          <w:divBdr>
            <w:top w:val="none" w:sz="0" w:space="0" w:color="auto"/>
            <w:left w:val="none" w:sz="0" w:space="0" w:color="auto"/>
            <w:bottom w:val="none" w:sz="0" w:space="0" w:color="auto"/>
            <w:right w:val="none" w:sz="0" w:space="0" w:color="auto"/>
          </w:divBdr>
        </w:div>
        <w:div w:id="923416792">
          <w:marLeft w:val="0"/>
          <w:marRight w:val="0"/>
          <w:marTop w:val="0"/>
          <w:marBottom w:val="0"/>
          <w:divBdr>
            <w:top w:val="none" w:sz="0" w:space="0" w:color="auto"/>
            <w:left w:val="none" w:sz="0" w:space="0" w:color="auto"/>
            <w:bottom w:val="none" w:sz="0" w:space="0" w:color="auto"/>
            <w:right w:val="none" w:sz="0" w:space="0" w:color="auto"/>
          </w:divBdr>
        </w:div>
        <w:div w:id="1102919271">
          <w:marLeft w:val="0"/>
          <w:marRight w:val="0"/>
          <w:marTop w:val="0"/>
          <w:marBottom w:val="0"/>
          <w:divBdr>
            <w:top w:val="none" w:sz="0" w:space="0" w:color="auto"/>
            <w:left w:val="none" w:sz="0" w:space="0" w:color="auto"/>
            <w:bottom w:val="none" w:sz="0" w:space="0" w:color="auto"/>
            <w:right w:val="none" w:sz="0" w:space="0" w:color="auto"/>
          </w:divBdr>
        </w:div>
      </w:divsChild>
    </w:div>
    <w:div w:id="1958246317">
      <w:bodyDiv w:val="1"/>
      <w:marLeft w:val="0"/>
      <w:marRight w:val="0"/>
      <w:marTop w:val="0"/>
      <w:marBottom w:val="0"/>
      <w:divBdr>
        <w:top w:val="none" w:sz="0" w:space="0" w:color="auto"/>
        <w:left w:val="none" w:sz="0" w:space="0" w:color="auto"/>
        <w:bottom w:val="none" w:sz="0" w:space="0" w:color="auto"/>
        <w:right w:val="none" w:sz="0" w:space="0" w:color="auto"/>
      </w:divBdr>
    </w:div>
    <w:div w:id="1989283418">
      <w:bodyDiv w:val="1"/>
      <w:marLeft w:val="0"/>
      <w:marRight w:val="0"/>
      <w:marTop w:val="0"/>
      <w:marBottom w:val="0"/>
      <w:divBdr>
        <w:top w:val="none" w:sz="0" w:space="0" w:color="auto"/>
        <w:left w:val="none" w:sz="0" w:space="0" w:color="auto"/>
        <w:bottom w:val="none" w:sz="0" w:space="0" w:color="auto"/>
        <w:right w:val="none" w:sz="0" w:space="0" w:color="auto"/>
      </w:divBdr>
      <w:divsChild>
        <w:div w:id="77335836">
          <w:marLeft w:val="274"/>
          <w:marRight w:val="0"/>
          <w:marTop w:val="0"/>
          <w:marBottom w:val="35"/>
          <w:divBdr>
            <w:top w:val="none" w:sz="0" w:space="0" w:color="auto"/>
            <w:left w:val="none" w:sz="0" w:space="0" w:color="auto"/>
            <w:bottom w:val="none" w:sz="0" w:space="0" w:color="auto"/>
            <w:right w:val="none" w:sz="0" w:space="0" w:color="auto"/>
          </w:divBdr>
        </w:div>
        <w:div w:id="558905458">
          <w:marLeft w:val="274"/>
          <w:marRight w:val="0"/>
          <w:marTop w:val="0"/>
          <w:marBottom w:val="35"/>
          <w:divBdr>
            <w:top w:val="none" w:sz="0" w:space="0" w:color="auto"/>
            <w:left w:val="none" w:sz="0" w:space="0" w:color="auto"/>
            <w:bottom w:val="none" w:sz="0" w:space="0" w:color="auto"/>
            <w:right w:val="none" w:sz="0" w:space="0" w:color="auto"/>
          </w:divBdr>
        </w:div>
        <w:div w:id="963342897">
          <w:marLeft w:val="274"/>
          <w:marRight w:val="0"/>
          <w:marTop w:val="0"/>
          <w:marBottom w:val="35"/>
          <w:divBdr>
            <w:top w:val="none" w:sz="0" w:space="0" w:color="auto"/>
            <w:left w:val="none" w:sz="0" w:space="0" w:color="auto"/>
            <w:bottom w:val="none" w:sz="0" w:space="0" w:color="auto"/>
            <w:right w:val="none" w:sz="0" w:space="0" w:color="auto"/>
          </w:divBdr>
        </w:div>
        <w:div w:id="1682853263">
          <w:marLeft w:val="274"/>
          <w:marRight w:val="0"/>
          <w:marTop w:val="0"/>
          <w:marBottom w:val="35"/>
          <w:divBdr>
            <w:top w:val="none" w:sz="0" w:space="0" w:color="auto"/>
            <w:left w:val="none" w:sz="0" w:space="0" w:color="auto"/>
            <w:bottom w:val="none" w:sz="0" w:space="0" w:color="auto"/>
            <w:right w:val="none" w:sz="0" w:space="0" w:color="auto"/>
          </w:divBdr>
        </w:div>
      </w:divsChild>
    </w:div>
    <w:div w:id="1991443835">
      <w:bodyDiv w:val="1"/>
      <w:marLeft w:val="0"/>
      <w:marRight w:val="0"/>
      <w:marTop w:val="0"/>
      <w:marBottom w:val="0"/>
      <w:divBdr>
        <w:top w:val="none" w:sz="0" w:space="0" w:color="auto"/>
        <w:left w:val="none" w:sz="0" w:space="0" w:color="auto"/>
        <w:bottom w:val="none" w:sz="0" w:space="0" w:color="auto"/>
        <w:right w:val="none" w:sz="0" w:space="0" w:color="auto"/>
      </w:divBdr>
    </w:div>
    <w:div w:id="2005468241">
      <w:bodyDiv w:val="1"/>
      <w:marLeft w:val="0"/>
      <w:marRight w:val="0"/>
      <w:marTop w:val="0"/>
      <w:marBottom w:val="0"/>
      <w:divBdr>
        <w:top w:val="none" w:sz="0" w:space="0" w:color="auto"/>
        <w:left w:val="none" w:sz="0" w:space="0" w:color="auto"/>
        <w:bottom w:val="none" w:sz="0" w:space="0" w:color="auto"/>
        <w:right w:val="none" w:sz="0" w:space="0" w:color="auto"/>
      </w:divBdr>
    </w:div>
    <w:div w:id="2033609744">
      <w:bodyDiv w:val="1"/>
      <w:marLeft w:val="0"/>
      <w:marRight w:val="0"/>
      <w:marTop w:val="0"/>
      <w:marBottom w:val="0"/>
      <w:divBdr>
        <w:top w:val="none" w:sz="0" w:space="0" w:color="auto"/>
        <w:left w:val="none" w:sz="0" w:space="0" w:color="auto"/>
        <w:bottom w:val="none" w:sz="0" w:space="0" w:color="auto"/>
        <w:right w:val="none" w:sz="0" w:space="0" w:color="auto"/>
      </w:divBdr>
    </w:div>
    <w:div w:id="2049643110">
      <w:bodyDiv w:val="1"/>
      <w:marLeft w:val="0"/>
      <w:marRight w:val="0"/>
      <w:marTop w:val="0"/>
      <w:marBottom w:val="0"/>
      <w:divBdr>
        <w:top w:val="none" w:sz="0" w:space="0" w:color="auto"/>
        <w:left w:val="none" w:sz="0" w:space="0" w:color="auto"/>
        <w:bottom w:val="none" w:sz="0" w:space="0" w:color="auto"/>
        <w:right w:val="none" w:sz="0" w:space="0" w:color="auto"/>
      </w:divBdr>
    </w:div>
    <w:div w:id="2049795873">
      <w:bodyDiv w:val="1"/>
      <w:marLeft w:val="0"/>
      <w:marRight w:val="0"/>
      <w:marTop w:val="0"/>
      <w:marBottom w:val="0"/>
      <w:divBdr>
        <w:top w:val="none" w:sz="0" w:space="0" w:color="auto"/>
        <w:left w:val="none" w:sz="0" w:space="0" w:color="auto"/>
        <w:bottom w:val="none" w:sz="0" w:space="0" w:color="auto"/>
        <w:right w:val="none" w:sz="0" w:space="0" w:color="auto"/>
      </w:divBdr>
    </w:div>
    <w:div w:id="2118527188">
      <w:bodyDiv w:val="1"/>
      <w:marLeft w:val="0"/>
      <w:marRight w:val="0"/>
      <w:marTop w:val="0"/>
      <w:marBottom w:val="0"/>
      <w:divBdr>
        <w:top w:val="none" w:sz="0" w:space="0" w:color="auto"/>
        <w:left w:val="none" w:sz="0" w:space="0" w:color="auto"/>
        <w:bottom w:val="none" w:sz="0" w:space="0" w:color="auto"/>
        <w:right w:val="none" w:sz="0" w:space="0" w:color="auto"/>
      </w:divBdr>
    </w:div>
    <w:div w:id="2118795309">
      <w:bodyDiv w:val="1"/>
      <w:marLeft w:val="0"/>
      <w:marRight w:val="0"/>
      <w:marTop w:val="0"/>
      <w:marBottom w:val="0"/>
      <w:divBdr>
        <w:top w:val="none" w:sz="0" w:space="0" w:color="auto"/>
        <w:left w:val="none" w:sz="0" w:space="0" w:color="auto"/>
        <w:bottom w:val="none" w:sz="0" w:space="0" w:color="auto"/>
        <w:right w:val="none" w:sz="0" w:space="0" w:color="auto"/>
      </w:divBdr>
    </w:div>
    <w:div w:id="2140756075">
      <w:bodyDiv w:val="1"/>
      <w:marLeft w:val="0"/>
      <w:marRight w:val="0"/>
      <w:marTop w:val="0"/>
      <w:marBottom w:val="0"/>
      <w:divBdr>
        <w:top w:val="none" w:sz="0" w:space="0" w:color="auto"/>
        <w:left w:val="none" w:sz="0" w:space="0" w:color="auto"/>
        <w:bottom w:val="none" w:sz="0" w:space="0" w:color="auto"/>
        <w:right w:val="none" w:sz="0" w:space="0" w:color="auto"/>
      </w:divBdr>
      <w:divsChild>
        <w:div w:id="174810646">
          <w:marLeft w:val="274"/>
          <w:marRight w:val="0"/>
          <w:marTop w:val="0"/>
          <w:marBottom w:val="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21" Type="http://schemas.openxmlformats.org/officeDocument/2006/relationships/footer" Target="footer4.xml"/><Relationship Id="rId34" Type="http://schemas.openxmlformats.org/officeDocument/2006/relationships/image" Target="media/image16.png"/><Relationship Id="rId42" Type="http://schemas.openxmlformats.org/officeDocument/2006/relationships/image" Target="media/image24.png"/><Relationship Id="rId47" Type="http://schemas.openxmlformats.org/officeDocument/2006/relationships/image" Target="media/image29.png"/><Relationship Id="rId50" Type="http://schemas.openxmlformats.org/officeDocument/2006/relationships/image" Target="media/image31.png"/><Relationship Id="rId55" Type="http://schemas.openxmlformats.org/officeDocument/2006/relationships/header" Target="header6.xml"/><Relationship Id="rId63" Type="http://schemas.openxmlformats.org/officeDocument/2006/relationships/image" Target="media/image43.png"/><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image" Target="media/image11.png"/><Relationship Id="rId11" Type="http://schemas.openxmlformats.org/officeDocument/2006/relationships/endnotes" Target="endnotes.xml"/><Relationship Id="rId24" Type="http://schemas.openxmlformats.org/officeDocument/2006/relationships/header" Target="header4.xml"/><Relationship Id="rId32" Type="http://schemas.openxmlformats.org/officeDocument/2006/relationships/image" Target="media/image14.png"/><Relationship Id="rId37" Type="http://schemas.openxmlformats.org/officeDocument/2006/relationships/image" Target="media/image19.png"/><Relationship Id="rId40" Type="http://schemas.openxmlformats.org/officeDocument/2006/relationships/image" Target="media/image22.png"/><Relationship Id="rId45" Type="http://schemas.openxmlformats.org/officeDocument/2006/relationships/image" Target="media/image27.png"/><Relationship Id="rId53" Type="http://schemas.openxmlformats.org/officeDocument/2006/relationships/image" Target="media/image34.png"/><Relationship Id="rId58" Type="http://schemas.openxmlformats.org/officeDocument/2006/relationships/image" Target="media/image38.png"/><Relationship Id="rId66" Type="http://schemas.openxmlformats.org/officeDocument/2006/relationships/fontTable" Target="fontTable.xml"/><Relationship Id="rId5" Type="http://schemas.openxmlformats.org/officeDocument/2006/relationships/customXml" Target="../customXml/item5.xml"/><Relationship Id="rId61" Type="http://schemas.openxmlformats.org/officeDocument/2006/relationships/image" Target="media/image41.png"/><Relationship Id="rId19" Type="http://schemas.openxmlformats.org/officeDocument/2006/relationships/image" Target="media/image3.png"/><Relationship Id="rId14" Type="http://schemas.openxmlformats.org/officeDocument/2006/relationships/header" Target="header2.xml"/><Relationship Id="rId22" Type="http://schemas.openxmlformats.org/officeDocument/2006/relationships/image" Target="media/image5.png"/><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image" Target="media/image17.png"/><Relationship Id="rId43" Type="http://schemas.openxmlformats.org/officeDocument/2006/relationships/image" Target="media/image25.png"/><Relationship Id="rId48" Type="http://schemas.openxmlformats.org/officeDocument/2006/relationships/image" Target="media/image30.png"/><Relationship Id="rId56" Type="http://schemas.openxmlformats.org/officeDocument/2006/relationships/image" Target="media/image36.png"/><Relationship Id="rId64" Type="http://schemas.openxmlformats.org/officeDocument/2006/relationships/image" Target="media/image44.png"/><Relationship Id="rId8" Type="http://schemas.openxmlformats.org/officeDocument/2006/relationships/settings" Target="settings.xml"/><Relationship Id="rId51" Type="http://schemas.openxmlformats.org/officeDocument/2006/relationships/image" Target="media/image32.png"/><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eader" Target="header3.xml"/><Relationship Id="rId25" Type="http://schemas.openxmlformats.org/officeDocument/2006/relationships/image" Target="media/image7.png"/><Relationship Id="rId33" Type="http://schemas.openxmlformats.org/officeDocument/2006/relationships/image" Target="media/image15.png"/><Relationship Id="rId38" Type="http://schemas.openxmlformats.org/officeDocument/2006/relationships/image" Target="media/image20.png"/><Relationship Id="rId46" Type="http://schemas.openxmlformats.org/officeDocument/2006/relationships/image" Target="media/image28.png"/><Relationship Id="rId59" Type="http://schemas.openxmlformats.org/officeDocument/2006/relationships/image" Target="media/image39.png"/><Relationship Id="rId67" Type="http://schemas.openxmlformats.org/officeDocument/2006/relationships/theme" Target="theme/theme1.xml"/><Relationship Id="rId20" Type="http://schemas.openxmlformats.org/officeDocument/2006/relationships/image" Target="media/image4.png"/><Relationship Id="rId41" Type="http://schemas.openxmlformats.org/officeDocument/2006/relationships/image" Target="media/image23.png"/><Relationship Id="rId54" Type="http://schemas.openxmlformats.org/officeDocument/2006/relationships/image" Target="media/image35.png"/><Relationship Id="rId62" Type="http://schemas.openxmlformats.org/officeDocument/2006/relationships/image" Target="media/image42.png"/><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6.png"/><Relationship Id="rId28" Type="http://schemas.openxmlformats.org/officeDocument/2006/relationships/image" Target="media/image10.png"/><Relationship Id="rId36" Type="http://schemas.openxmlformats.org/officeDocument/2006/relationships/image" Target="media/image18.png"/><Relationship Id="rId49" Type="http://schemas.openxmlformats.org/officeDocument/2006/relationships/header" Target="header5.xml"/><Relationship Id="rId57" Type="http://schemas.openxmlformats.org/officeDocument/2006/relationships/image" Target="media/image37.png"/><Relationship Id="rId10" Type="http://schemas.openxmlformats.org/officeDocument/2006/relationships/footnotes" Target="footnotes.xml"/><Relationship Id="rId31" Type="http://schemas.openxmlformats.org/officeDocument/2006/relationships/image" Target="media/image13.png"/><Relationship Id="rId44" Type="http://schemas.openxmlformats.org/officeDocument/2006/relationships/image" Target="media/image26.png"/><Relationship Id="rId52" Type="http://schemas.openxmlformats.org/officeDocument/2006/relationships/image" Target="media/image33.png"/><Relationship Id="rId60" Type="http://schemas.openxmlformats.org/officeDocument/2006/relationships/image" Target="media/image40.png"/><Relationship Id="rId65" Type="http://schemas.openxmlformats.org/officeDocument/2006/relationships/image" Target="media/image45.png"/><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9" Type="http://schemas.openxmlformats.org/officeDocument/2006/relationships/image" Target="media/image21.png"/></Relationships>
</file>

<file path=word/_rels/footnotes.xml.rels><?xml version="1.0" encoding="UTF-8" standalone="yes"?>
<Relationships xmlns="http://schemas.openxmlformats.org/package/2006/relationships"><Relationship Id="rId3" Type="http://schemas.openxmlformats.org/officeDocument/2006/relationships/hyperlink" Target="https://www.health.gov.au/news/phi-circulars/phi-2122-prostheses-list-reform-schedule-of-prostheses-list-price-reductions?language=en" TargetMode="External"/><Relationship Id="rId2" Type="http://schemas.openxmlformats.org/officeDocument/2006/relationships/hyperlink" Target="https://www.health.gov.au/news/phi-circulars/phi-2122-prostheses-list-reform-schedule-of-prostheses-list-price-reductions?language=en" TargetMode="External"/><Relationship Id="rId1" Type="http://schemas.openxmlformats.org/officeDocument/2006/relationships/hyperlink" Target="https://www.health.gov.au/news/phi-circulars/phi-2122-prostheses-list-reform-schedule-of-prostheses-list-price-reductions?language=en" TargetMode="External"/><Relationship Id="rId4" Type="http://schemas.openxmlformats.org/officeDocument/2006/relationships/hyperlink" Target="https://www.health.gov.au/news/phi-circulars/phi-2122-prostheses-list-reform-schedule-of-prostheses-list-price-reductions?language=e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omas.Holman\AppData\Roaming\Microsoft\Templates\2%20Report\Report%20template_AU%20-%20Portrait.dotm" TargetMode="External"/></Relationships>
</file>

<file path=word/theme/theme1.xml><?xml version="1.0" encoding="utf-8"?>
<a:theme xmlns:a="http://schemas.openxmlformats.org/drawingml/2006/main" name="Default Theme">
  <a:themeElements>
    <a:clrScheme name="New Brand">
      <a:dk1>
        <a:sysClr val="windowText" lastClr="000000"/>
      </a:dk1>
      <a:lt1>
        <a:sysClr val="window" lastClr="FFFFFF"/>
      </a:lt1>
      <a:dk2>
        <a:srgbClr val="2E368F"/>
      </a:dk2>
      <a:lt2>
        <a:srgbClr val="00264D"/>
      </a:lt2>
      <a:accent1>
        <a:srgbClr val="FF3A40"/>
      </a:accent1>
      <a:accent2>
        <a:srgbClr val="F25E21"/>
      </a:accent2>
      <a:accent3>
        <a:srgbClr val="F8981D"/>
      </a:accent3>
      <a:accent4>
        <a:srgbClr val="FED13B"/>
      </a:accent4>
      <a:accent5>
        <a:srgbClr val="E6E6E1"/>
      </a:accent5>
      <a:accent6>
        <a:srgbClr val="25B3E0"/>
      </a:accent6>
      <a:hlink>
        <a:srgbClr val="0048C7"/>
      </a:hlink>
      <a:folHlink>
        <a:srgbClr val="0048C7"/>
      </a:folHlink>
    </a:clrScheme>
    <a:fontScheme name="Nous Font">
      <a:majorFont>
        <a:latin typeface="Segoe UI Semibold"/>
        <a:ea typeface=""/>
        <a:cs typeface=""/>
      </a:majorFont>
      <a:minorFont>
        <a:latin typeface="Segoe U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a:solidFill>
            <a:schemeClr val="accent3"/>
          </a:solid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lnDef>
      <a:spPr>
        <a:ln w="25400" cap="rnd">
          <a:solidFill>
            <a:schemeClr val="accent3"/>
          </a:solidFill>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2026-06-16T00:00:00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3abac70-1bb9-407d-b0e5-3398b1636e10">
      <Terms xmlns="http://schemas.microsoft.com/office/infopath/2007/PartnerControls"/>
    </lcf76f155ced4ddcb4097134ff3c332f>
    <TaxCatchAll xmlns="06d10f8f-972e-482d-ba3d-e39124a9329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246E8C8D4FAD34BBB1CAF9A5132AE35" ma:contentTypeVersion="13" ma:contentTypeDescription="Create a new document." ma:contentTypeScope="" ma:versionID="adbaf5a54d0616c49c2ad17db17745e2">
  <xsd:schema xmlns:xsd="http://www.w3.org/2001/XMLSchema" xmlns:xs="http://www.w3.org/2001/XMLSchema" xmlns:p="http://schemas.microsoft.com/office/2006/metadata/properties" xmlns:ns2="83abac70-1bb9-407d-b0e5-3398b1636e10" xmlns:ns3="06d10f8f-972e-482d-ba3d-e39124a93290" targetNamespace="http://schemas.microsoft.com/office/2006/metadata/properties" ma:root="true" ma:fieldsID="8bb3cf33b959426944384a85ecf7c25d" ns2:_="" ns3:_="">
    <xsd:import namespace="83abac70-1bb9-407d-b0e5-3398b1636e10"/>
    <xsd:import namespace="06d10f8f-972e-482d-ba3d-e39124a9329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abac70-1bb9-407d-b0e5-3398b1636e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2a39602-bab5-4ac0-a14f-71daef3a253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d10f8f-972e-482d-ba3d-e39124a9329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4edece1-497e-4349-beed-cb207436f1a6}" ma:internalName="TaxCatchAll" ma:showField="CatchAllData" ma:web="06d10f8f-972e-482d-ba3d-e39124a932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875B17F-0DB6-4FF5-A0B5-36D245B956A8}">
  <ds:schemaRefs>
    <ds:schemaRef ds:uri="http://schemas.openxmlformats.org/officeDocument/2006/bibliography"/>
  </ds:schemaRefs>
</ds:datastoreItem>
</file>

<file path=customXml/itemProps3.xml><?xml version="1.0" encoding="utf-8"?>
<ds:datastoreItem xmlns:ds="http://schemas.openxmlformats.org/officeDocument/2006/customXml" ds:itemID="{6CB462EA-10A7-4754-94DC-A6846B7C0C55}">
  <ds:schemaRefs>
    <ds:schemaRef ds:uri="http://schemas.microsoft.com/office/2006/metadata/properties"/>
    <ds:schemaRef ds:uri="http://schemas.microsoft.com/office/infopath/2007/PartnerControls"/>
    <ds:schemaRef ds:uri="83abac70-1bb9-407d-b0e5-3398b1636e10"/>
    <ds:schemaRef ds:uri="06d10f8f-972e-482d-ba3d-e39124a93290"/>
  </ds:schemaRefs>
</ds:datastoreItem>
</file>

<file path=customXml/itemProps4.xml><?xml version="1.0" encoding="utf-8"?>
<ds:datastoreItem xmlns:ds="http://schemas.openxmlformats.org/officeDocument/2006/customXml" ds:itemID="{9BB77A26-39C4-431B-87CF-68ED1164E7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abac70-1bb9-407d-b0e5-3398b1636e10"/>
    <ds:schemaRef ds:uri="06d10f8f-972e-482d-ba3d-e39124a932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51B4A30-4335-4615-B531-124E826026D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Report template_AU - Portrait.dotm</Template>
  <TotalTime>12</TotalTime>
  <Pages>97</Pages>
  <Words>29496</Words>
  <Characters>169603</Characters>
  <Application>Microsoft Office Word</Application>
  <DocSecurity>0</DocSecurity>
  <Lines>3533</Lines>
  <Paragraphs>1761</Paragraphs>
  <ScaleCrop>false</ScaleCrop>
  <HeadingPairs>
    <vt:vector size="2" baseType="variant">
      <vt:variant>
        <vt:lpstr>Title</vt:lpstr>
      </vt:variant>
      <vt:variant>
        <vt:i4>1</vt:i4>
      </vt:variant>
    </vt:vector>
  </HeadingPairs>
  <TitlesOfParts>
    <vt:vector size="1" baseType="lpstr">
      <vt:lpstr>Final Evaluation of the Prescribed List Reforms</vt:lpstr>
    </vt:vector>
  </TitlesOfParts>
  <Company>The Nous Group</Company>
  <LinksUpToDate>false</LinksUpToDate>
  <CharactersWithSpaces>197338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Evaluation of the Prescribed List Reforms</dc:title>
  <dc:subject>Department of Health, Disability and Ageing</dc:subject>
  <dc:creator>Australian Government Department of Health, Disability and Ageing</dc:creator>
  <cp:keywords>Prescribed List;_x000d_
Private health insuranceA</cp:keywords>
  <cp:lastModifiedBy>MASCHKE, Elvia</cp:lastModifiedBy>
  <cp:revision>5</cp:revision>
  <cp:lastPrinted>2026-08-07T03:35:00Z</cp:lastPrinted>
  <dcterms:created xsi:type="dcterms:W3CDTF">2026-08-10T04:15:00Z</dcterms:created>
  <dcterms:modified xsi:type="dcterms:W3CDTF">2026-08-10T04:26:00Z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0x0101007246E8C8D4FAD34BBB1CAF9A5132AE35</vt:lpwstr>
  </property>
  <property fmtid="{D5CDD505-2E9C-101B-9397-08002B2CF9AE}" pid="3" name="MediaServiceImageTags">
    <vt:lpwstr/>
  </property>
  <property fmtid="{D5CDD505-2E9C-101B-9397-08002B2CF9AE}" pid="4" name="docLang">
    <vt:lpwstr>en</vt:lpwstr>
  </property>
  <property fmtid="{D5CDD505-2E9C-101B-9397-08002B2CF9AE}" pid="5" name="ClassificationContentMarkingHeaderShapeIds">
    <vt:lpwstr>7143faf1,7bc63dec,35351e7c,3c2dcc16,50f629b6,f044ab1</vt:lpwstr>
  </property>
  <property fmtid="{D5CDD505-2E9C-101B-9397-08002B2CF9AE}" pid="6" name="ClassificationContentMarkingHeaderFontProps">
    <vt:lpwstr>#ff0000,12,Aptos</vt:lpwstr>
  </property>
  <property fmtid="{D5CDD505-2E9C-101B-9397-08002B2CF9AE}" pid="7" name="ClassificationContentMarkingHeaderText">
    <vt:lpwstr>OFFICIAL</vt:lpwstr>
  </property>
  <property fmtid="{D5CDD505-2E9C-101B-9397-08002B2CF9AE}" pid="8" name="ClassificationContentMarkingFooterShapeIds">
    <vt:lpwstr>2488e3bd,740edb7b,4b4d39fc,1f977a2</vt:lpwstr>
  </property>
  <property fmtid="{D5CDD505-2E9C-101B-9397-08002B2CF9AE}" pid="9" name="ClassificationContentMarkingFooterFontProps">
    <vt:lpwstr>#ff0000,12,Aptos</vt:lpwstr>
  </property>
  <property fmtid="{D5CDD505-2E9C-101B-9397-08002B2CF9AE}" pid="10" name="ClassificationContentMarkingFooterText">
    <vt:lpwstr>OFFICIAL</vt:lpwstr>
  </property>
  <property fmtid="{D5CDD505-2E9C-101B-9397-08002B2CF9AE}" pid="11" name="MSIP_Label_7cd3e8b9-ffed-43a8-b7f4-cc2fa0382d36_Enabled">
    <vt:lpwstr>true</vt:lpwstr>
  </property>
  <property fmtid="{D5CDD505-2E9C-101B-9397-08002B2CF9AE}" pid="12" name="MSIP_Label_7cd3e8b9-ffed-43a8-b7f4-cc2fa0382d36_SetDate">
    <vt:lpwstr>2026-08-10T04:15:32Z</vt:lpwstr>
  </property>
  <property fmtid="{D5CDD505-2E9C-101B-9397-08002B2CF9AE}" pid="13" name="MSIP_Label_7cd3e8b9-ffed-43a8-b7f4-cc2fa0382d36_Method">
    <vt:lpwstr>Privileged</vt:lpwstr>
  </property>
  <property fmtid="{D5CDD505-2E9C-101B-9397-08002B2CF9AE}" pid="14" name="MSIP_Label_7cd3e8b9-ffed-43a8-b7f4-cc2fa0382d36_Name">
    <vt:lpwstr>O</vt:lpwstr>
  </property>
  <property fmtid="{D5CDD505-2E9C-101B-9397-08002B2CF9AE}" pid="15" name="MSIP_Label_7cd3e8b9-ffed-43a8-b7f4-cc2fa0382d36_SiteId">
    <vt:lpwstr>34a3929c-73cf-4954-abfe-147dc3517892</vt:lpwstr>
  </property>
  <property fmtid="{D5CDD505-2E9C-101B-9397-08002B2CF9AE}" pid="16" name="MSIP_Label_7cd3e8b9-ffed-43a8-b7f4-cc2fa0382d36_ActionId">
    <vt:lpwstr>0a1351e3-94ec-4c06-a59b-c0ef2f1721e1</vt:lpwstr>
  </property>
  <property fmtid="{D5CDD505-2E9C-101B-9397-08002B2CF9AE}" pid="17" name="MSIP_Label_7cd3e8b9-ffed-43a8-b7f4-cc2fa0382d36_ContentBits">
    <vt:lpwstr>3</vt:lpwstr>
  </property>
  <property fmtid="{D5CDD505-2E9C-101B-9397-08002B2CF9AE}" pid="18" name="MSIP_Label_7cd3e8b9-ffed-43a8-b7f4-cc2fa0382d36_Tag">
    <vt:lpwstr>10, 0, 1, 1</vt:lpwstr>
  </property>
</Properties>
</file>