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FE5A5" w14:textId="415DCB47" w:rsidR="00AF7B50" w:rsidRPr="00997F82" w:rsidRDefault="0082308E" w:rsidP="004C13D0">
      <w:bookmarkStart w:id="0" w:name="_Hlk201951788"/>
      <w:bookmarkEnd w:id="0"/>
      <w:r w:rsidRPr="00997F82">
        <w:rPr>
          <w:noProof/>
        </w:rPr>
        <w:drawing>
          <wp:anchor distT="0" distB="0" distL="114300" distR="114300" simplePos="0" relativeHeight="251657215" behindDoc="0" locked="0" layoutInCell="1" allowOverlap="1" wp14:anchorId="5922F626" wp14:editId="4722B857">
            <wp:simplePos x="0" y="0"/>
            <wp:positionH relativeFrom="margin">
              <wp:align>center</wp:align>
            </wp:positionH>
            <wp:positionV relativeFrom="paragraph">
              <wp:posOffset>-915184</wp:posOffset>
            </wp:positionV>
            <wp:extent cx="7677785" cy="10864850"/>
            <wp:effectExtent l="0" t="0" r="0" b="0"/>
            <wp:wrapNone/>
            <wp:docPr id="55571224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12246" name="Picture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677785" cy="10864850"/>
                    </a:xfrm>
                    <a:prstGeom prst="rect">
                      <a:avLst/>
                    </a:prstGeom>
                  </pic:spPr>
                </pic:pic>
              </a:graphicData>
            </a:graphic>
            <wp14:sizeRelH relativeFrom="margin">
              <wp14:pctWidth>0</wp14:pctWidth>
            </wp14:sizeRelH>
            <wp14:sizeRelV relativeFrom="margin">
              <wp14:pctHeight>0</wp14:pctHeight>
            </wp14:sizeRelV>
          </wp:anchor>
        </w:drawing>
      </w:r>
      <w:r w:rsidR="005556F3" w:rsidRPr="00997F82">
        <w:rPr>
          <w:noProof/>
        </w:rPr>
        <mc:AlternateContent>
          <mc:Choice Requires="wps">
            <w:drawing>
              <wp:anchor distT="0" distB="0" distL="114300" distR="114300" simplePos="0" relativeHeight="251658240" behindDoc="0" locked="0" layoutInCell="1" allowOverlap="1" wp14:anchorId="6ABE644C" wp14:editId="5A8355B6">
                <wp:simplePos x="0" y="0"/>
                <wp:positionH relativeFrom="margin">
                  <wp:align>left</wp:align>
                </wp:positionH>
                <wp:positionV relativeFrom="margin">
                  <wp:posOffset>2195457</wp:posOffset>
                </wp:positionV>
                <wp:extent cx="5886450" cy="3657600"/>
                <wp:effectExtent l="0" t="0" r="0" b="0"/>
                <wp:wrapSquare wrapText="bothSides"/>
                <wp:docPr id="154" name="Text Box 163"/>
                <wp:cNvGraphicFramePr/>
                <a:graphic xmlns:a="http://schemas.openxmlformats.org/drawingml/2006/main">
                  <a:graphicData uri="http://schemas.microsoft.com/office/word/2010/wordprocessingShape">
                    <wps:wsp>
                      <wps:cNvSpPr txBox="1"/>
                      <wps:spPr>
                        <a:xfrm>
                          <a:off x="0" y="0"/>
                          <a:ext cx="5886450" cy="365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hAnsiTheme="majorHAnsi"/>
                                <w:color w:val="220054" w:themeColor="accent1"/>
                                <w:sz w:val="36"/>
                                <w:szCs w:val="36"/>
                              </w:rPr>
                              <w:alias w:val="Subtitle"/>
                              <w:tag w:val=""/>
                              <w:id w:val="1759551507"/>
                              <w:placeholder>
                                <w:docPart w:val="BBCA8BF2E80F4888B7C38C5A2B7BDECD"/>
                              </w:placeholder>
                              <w:dataBinding w:prefixMappings="xmlns:ns0='http://purl.org/dc/elements/1.1/' xmlns:ns1='http://schemas.openxmlformats.org/package/2006/metadata/core-properties' " w:xpath="/ns1:coreProperties[1]/ns0:subject[1]" w:storeItemID="{6C3C8BC8-F283-45AE-878A-BAB7291924A1}"/>
                              <w:text/>
                            </w:sdtPr>
                            <w:sdtEndPr>
                              <w:rPr>
                                <w:sz w:val="52"/>
                                <w:szCs w:val="52"/>
                              </w:rPr>
                            </w:sdtEndPr>
                            <w:sdtContent>
                              <w:p w14:paraId="5DAC5757" w14:textId="5E00085E" w:rsidR="003123B6" w:rsidRPr="003D6E09" w:rsidRDefault="005B1D82" w:rsidP="0061125F">
                                <w:pPr>
                                  <w:rPr>
                                    <w:rFonts w:asciiTheme="majorHAnsi" w:hAnsiTheme="majorHAnsi"/>
                                    <w:color w:val="220054" w:themeColor="accent1"/>
                                    <w:sz w:val="52"/>
                                    <w:szCs w:val="52"/>
                                  </w:rPr>
                                </w:pPr>
                                <w:r>
                                  <w:rPr>
                                    <w:rFonts w:asciiTheme="majorHAnsi" w:hAnsiTheme="majorHAnsi"/>
                                    <w:color w:val="220054" w:themeColor="accent1"/>
                                    <w:sz w:val="36"/>
                                    <w:szCs w:val="36"/>
                                  </w:rPr>
                                  <w:t>Evaluation of the Greater Choice for At Home Palliative Care Program</w:t>
                                </w:r>
                              </w:p>
                            </w:sdtContent>
                          </w:sdt>
                          <w:bookmarkStart w:id="1" w:name="_Hlk202104739"/>
                          <w:p w14:paraId="379F9706" w14:textId="21B25CBB" w:rsidR="003123B6" w:rsidRPr="00A26D9B" w:rsidRDefault="00000000" w:rsidP="0061125F">
                            <w:pPr>
                              <w:rPr>
                                <w:rFonts w:asciiTheme="majorHAnsi" w:hAnsiTheme="majorHAnsi"/>
                                <w:color w:val="220054" w:themeColor="accent1"/>
                                <w:sz w:val="96"/>
                                <w:szCs w:val="96"/>
                              </w:rPr>
                            </w:pPr>
                            <w:sdt>
                              <w:sdtPr>
                                <w:rPr>
                                  <w:rFonts w:asciiTheme="majorHAnsi" w:hAnsiTheme="majorHAnsi"/>
                                  <w:color w:val="220054" w:themeColor="accent1"/>
                                  <w:sz w:val="96"/>
                                  <w:szCs w:val="96"/>
                                </w:rPr>
                                <w:alias w:val="Title"/>
                                <w:tag w:val=""/>
                                <w:id w:val="630141079"/>
                                <w:placeholder>
                                  <w:docPart w:val="DFBD431F807947569FCEE09784F84DD0"/>
                                </w:placeholder>
                                <w:dataBinding w:prefixMappings="xmlns:ns0='http://purl.org/dc/elements/1.1/' xmlns:ns1='http://schemas.openxmlformats.org/package/2006/metadata/core-properties' " w:xpath="/ns1:coreProperties[1]/ns0:title[1]" w:storeItemID="{6C3C8BC8-F283-45AE-878A-BAB7291924A1}"/>
                                <w:text w:multiLine="1"/>
                              </w:sdtPr>
                              <w:sdtContent>
                                <w:r w:rsidR="005267DC">
                                  <w:rPr>
                                    <w:rFonts w:asciiTheme="majorHAnsi" w:hAnsiTheme="majorHAnsi"/>
                                    <w:color w:val="220054" w:themeColor="accent1"/>
                                    <w:sz w:val="96"/>
                                    <w:szCs w:val="96"/>
                                  </w:rPr>
                                  <w:t>Greater Choice Endpoint Report June 2026</w:t>
                                </w:r>
                              </w:sdtContent>
                            </w:sdt>
                          </w:p>
                          <w:bookmarkEnd w:id="1" w:displacedByCustomXml="next"/>
                          <w:sdt>
                            <w:sdtPr>
                              <w:rPr>
                                <w:color w:val="220054" w:themeColor="accent1"/>
                                <w:sz w:val="64"/>
                                <w:szCs w:val="64"/>
                              </w:rPr>
                              <w:id w:val="-1242168181"/>
                              <w:placeholder>
                                <w:docPart w:val="F78B4DC63729409082A7AFC6F24BC7A6"/>
                              </w:placeholder>
                            </w:sdtPr>
                            <w:sdtEndPr>
                              <w:rPr>
                                <w:color w:val="484B5D" w:themeColor="accent3"/>
                                <w:sz w:val="20"/>
                                <w:szCs w:val="20"/>
                              </w:rPr>
                            </w:sdtEndPr>
                            <w:sdtContent>
                              <w:p w14:paraId="007182AC" w14:textId="5C79D2B3" w:rsidR="003123B6" w:rsidRPr="00F572DD" w:rsidRDefault="006F29E7" w:rsidP="0061125F">
                                <w:r>
                                  <w:rPr>
                                    <w:color w:val="220054" w:themeColor="accent1"/>
                                    <w:sz w:val="32"/>
                                    <w:szCs w:val="32"/>
                                  </w:rPr>
                                  <w:t>June</w:t>
                                </w:r>
                                <w:r w:rsidR="002A3FF7" w:rsidRPr="003D6E09">
                                  <w:rPr>
                                    <w:color w:val="220054" w:themeColor="accent1"/>
                                    <w:sz w:val="32"/>
                                    <w:szCs w:val="32"/>
                                  </w:rPr>
                                  <w:t xml:space="preserve"> </w:t>
                                </w:r>
                                <w:r w:rsidR="00791F6A" w:rsidRPr="003D6E09">
                                  <w:rPr>
                                    <w:color w:val="220054" w:themeColor="accent1"/>
                                    <w:sz w:val="32"/>
                                    <w:szCs w:val="32"/>
                                  </w:rPr>
                                  <w:t>202</w:t>
                                </w:r>
                                <w:r>
                                  <w:rPr>
                                    <w:color w:val="220054" w:themeColor="accent1"/>
                                    <w:sz w:val="32"/>
                                    <w:szCs w:val="32"/>
                                  </w:rPr>
                                  <w:t>6</w:t>
                                </w:r>
                              </w:p>
                            </w:sdtContent>
                          </w:sdt>
                        </w:txbxContent>
                      </wps:txbx>
                      <wps:bodyPr rot="0" spcFirstLastPara="0" vertOverflow="overflow" horzOverflow="overflow" vert="horz" wrap="square" lIns="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ABE644C" id="_x0000_t202" coordsize="21600,21600" o:spt="202" path="m,l,21600r21600,l21600,xe">
                <v:stroke joinstyle="miter"/>
                <v:path gradientshapeok="t" o:connecttype="rect"/>
              </v:shapetype>
              <v:shape id="Text Box 163" o:spid="_x0000_s1026" type="#_x0000_t202" style="position:absolute;margin-left:0;margin-top:172.85pt;width:463.5pt;height:4in;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" filled="f" stroked="f" strokeweight=".5pt">
                <v:textbox inset="0,0,54pt,0">
                  <w:txbxContent>
                    <w:sdt>
                      <w:sdtPr>
                        <w:rPr>
                          <w:rFonts w:asciiTheme="majorHAnsi" w:hAnsiTheme="majorHAnsi"/>
                          <w:color w:val="220054" w:themeColor="accent1"/>
                          <w:sz w:val="36"/>
                          <w:szCs w:val="36"/>
                        </w:rPr>
                        <w:alias w:val="Subtitle"/>
                        <w:tag w:val=""/>
                        <w:id w:val="1759551507"/>
                        <w:placeholder>
                          <w:docPart w:val="BBCA8BF2E80F4888B7C38C5A2B7BDECD"/>
                        </w:placeholder>
                        <w:dataBinding w:prefixMappings="xmlns:ns0='http://purl.org/dc/elements/1.1/' xmlns:ns1='http://schemas.openxmlformats.org/package/2006/metadata/core-properties' " w:xpath="/ns1:coreProperties[1]/ns0:subject[1]" w:storeItemID="{6C3C8BC8-F283-45AE-878A-BAB7291924A1}"/>
                        <w:text/>
                      </w:sdtPr>
                      <w:sdtEndPr>
                        <w:rPr>
                          <w:sz w:val="52"/>
                          <w:szCs w:val="52"/>
                        </w:rPr>
                      </w:sdtEndPr>
                      <w:sdtContent>
                        <w:p w14:paraId="5DAC5757" w14:textId="5E00085E" w:rsidR="003123B6" w:rsidRPr="003D6E09" w:rsidRDefault="005B1D82" w:rsidP="0061125F">
                          <w:pPr>
                            <w:rPr>
                              <w:rFonts w:asciiTheme="majorHAnsi" w:hAnsiTheme="majorHAnsi"/>
                              <w:color w:val="220054" w:themeColor="accent1"/>
                              <w:sz w:val="52"/>
                              <w:szCs w:val="52"/>
                            </w:rPr>
                          </w:pPr>
                          <w:r>
                            <w:rPr>
                              <w:rFonts w:asciiTheme="majorHAnsi" w:hAnsiTheme="majorHAnsi"/>
                              <w:color w:val="220054" w:themeColor="accent1"/>
                              <w:sz w:val="36"/>
                              <w:szCs w:val="36"/>
                            </w:rPr>
                            <w:t>Evaluation of the Greater Choice for At Home Palliative Care Program</w:t>
                          </w:r>
                        </w:p>
                      </w:sdtContent>
                    </w:sdt>
                    <w:bookmarkStart w:id="2" w:name="_Hlk202104739"/>
                    <w:p w14:paraId="379F9706" w14:textId="21B25CBB" w:rsidR="003123B6" w:rsidRPr="00A26D9B" w:rsidRDefault="00345CD9" w:rsidP="0061125F">
                      <w:pPr>
                        <w:rPr>
                          <w:rFonts w:asciiTheme="majorHAnsi" w:hAnsiTheme="majorHAnsi"/>
                          <w:color w:val="220054" w:themeColor="accent1"/>
                          <w:sz w:val="96"/>
                          <w:szCs w:val="96"/>
                        </w:rPr>
                      </w:pPr>
                      <w:sdt>
                        <w:sdtPr>
                          <w:rPr>
                            <w:rFonts w:asciiTheme="majorHAnsi" w:hAnsiTheme="majorHAnsi"/>
                            <w:color w:val="220054" w:themeColor="accent1"/>
                            <w:sz w:val="96"/>
                            <w:szCs w:val="96"/>
                          </w:rPr>
                          <w:alias w:val="Title"/>
                          <w:tag w:val=""/>
                          <w:id w:val="630141079"/>
                          <w:placeholder>
                            <w:docPart w:val="DFBD431F807947569FCEE09784F84DD0"/>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5267DC">
                            <w:rPr>
                              <w:rFonts w:asciiTheme="majorHAnsi" w:hAnsiTheme="majorHAnsi"/>
                              <w:color w:val="220054" w:themeColor="accent1"/>
                              <w:sz w:val="96"/>
                              <w:szCs w:val="96"/>
                            </w:rPr>
                            <w:t>Greater Choice Endpoint Report June 2026</w:t>
                          </w:r>
                        </w:sdtContent>
                      </w:sdt>
                    </w:p>
                    <w:bookmarkEnd w:id="2" w:displacedByCustomXml="next"/>
                    <w:sdt>
                      <w:sdtPr>
                        <w:rPr>
                          <w:color w:val="220054" w:themeColor="accent1"/>
                          <w:sz w:val="64"/>
                          <w:szCs w:val="64"/>
                        </w:rPr>
                        <w:id w:val="-1242168181"/>
                        <w:placeholder>
                          <w:docPart w:val="F78B4DC63729409082A7AFC6F24BC7A6"/>
                        </w:placeholder>
                      </w:sdtPr>
                      <w:sdtEndPr>
                        <w:rPr>
                          <w:color w:val="484B5D" w:themeColor="accent3"/>
                          <w:sz w:val="20"/>
                          <w:szCs w:val="20"/>
                        </w:rPr>
                      </w:sdtEndPr>
                      <w:sdtContent>
                        <w:p w14:paraId="007182AC" w14:textId="5C79D2B3" w:rsidR="003123B6" w:rsidRPr="00F572DD" w:rsidRDefault="006F29E7" w:rsidP="0061125F">
                          <w:r>
                            <w:rPr>
                              <w:color w:val="220054" w:themeColor="accent1"/>
                              <w:sz w:val="32"/>
                              <w:szCs w:val="32"/>
                            </w:rPr>
                            <w:t>June</w:t>
                          </w:r>
                          <w:r w:rsidR="002A3FF7" w:rsidRPr="003D6E09">
                            <w:rPr>
                              <w:color w:val="220054" w:themeColor="accent1"/>
                              <w:sz w:val="32"/>
                              <w:szCs w:val="32"/>
                            </w:rPr>
                            <w:t xml:space="preserve"> </w:t>
                          </w:r>
                          <w:r w:rsidR="00791F6A" w:rsidRPr="003D6E09">
                            <w:rPr>
                              <w:color w:val="220054" w:themeColor="accent1"/>
                              <w:sz w:val="32"/>
                              <w:szCs w:val="32"/>
                            </w:rPr>
                            <w:t>202</w:t>
                          </w:r>
                          <w:r>
                            <w:rPr>
                              <w:color w:val="220054" w:themeColor="accent1"/>
                              <w:sz w:val="32"/>
                              <w:szCs w:val="32"/>
                            </w:rPr>
                            <w:t>6</w:t>
                          </w:r>
                        </w:p>
                      </w:sdtContent>
                    </w:sdt>
                  </w:txbxContent>
                </v:textbox>
                <w10:wrap type="square" anchorx="margin" anchory="margin"/>
              </v:shape>
            </w:pict>
          </mc:Fallback>
        </mc:AlternateContent>
      </w:r>
      <w:r w:rsidR="00411120" w:rsidRPr="00997F82">
        <w:rPr>
          <w:noProof/>
        </w:rPr>
        <w:drawing>
          <wp:anchor distT="0" distB="0" distL="114300" distR="114300" simplePos="0" relativeHeight="251658242" behindDoc="1" locked="0" layoutInCell="1" allowOverlap="1" wp14:anchorId="09AC92D8" wp14:editId="08CC2A81">
            <wp:simplePos x="0" y="0"/>
            <wp:positionH relativeFrom="page">
              <wp:posOffset>7658100</wp:posOffset>
            </wp:positionH>
            <wp:positionV relativeFrom="paragraph">
              <wp:posOffset>9886950</wp:posOffset>
            </wp:positionV>
            <wp:extent cx="7559675" cy="10697845"/>
            <wp:effectExtent l="0" t="0" r="3175" b="8255"/>
            <wp:wrapNone/>
            <wp:docPr id="50628269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82694" name="Picture 7">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559675" cy="10697845"/>
                    </a:xfrm>
                    <a:prstGeom prst="rect">
                      <a:avLst/>
                    </a:prstGeom>
                  </pic:spPr>
                </pic:pic>
              </a:graphicData>
            </a:graphic>
            <wp14:sizeRelH relativeFrom="page">
              <wp14:pctWidth>0</wp14:pctWidth>
            </wp14:sizeRelH>
            <wp14:sizeRelV relativeFrom="page">
              <wp14:pctHeight>0</wp14:pctHeight>
            </wp14:sizeRelV>
          </wp:anchor>
        </w:drawing>
      </w:r>
      <w:r w:rsidR="002320A5" w:rsidRPr="00997F82">
        <w:br w:type="page"/>
      </w:r>
    </w:p>
    <w:p w14:paraId="00BC1930" w14:textId="723D3BEC" w:rsidR="005E717F" w:rsidRPr="00997F82" w:rsidRDefault="00AF7B50" w:rsidP="00277D66">
      <w:pPr>
        <w:pStyle w:val="Heading1nonumbers"/>
      </w:pPr>
      <w:bookmarkStart w:id="2" w:name="_Toc184825939"/>
      <w:bookmarkStart w:id="3" w:name="_Toc184827466"/>
      <w:bookmarkStart w:id="4" w:name="_Toc184897622"/>
      <w:bookmarkStart w:id="5" w:name="_Toc226898028"/>
      <w:bookmarkStart w:id="6" w:name="_Toc231898080"/>
      <w:r w:rsidRPr="00997F82">
        <w:lastRenderedPageBreak/>
        <w:t>Disclaimer</w:t>
      </w:r>
      <w:bookmarkEnd w:id="2"/>
      <w:bookmarkEnd w:id="3"/>
      <w:bookmarkEnd w:id="4"/>
      <w:bookmarkEnd w:id="5"/>
      <w:bookmarkEnd w:id="6"/>
    </w:p>
    <w:p w14:paraId="3C0D61A4" w14:textId="77777777" w:rsidR="004D7F3D" w:rsidRDefault="004D7F3D" w:rsidP="004D7F3D">
      <w:r>
        <w:t xml:space="preserve">We prepared this report for the Department of Health, Disability and Ageing (DHDA)’s use and benefit in accordance with and for the purpose set out in our engagement letter with the DHDA dated 2 September 2022. </w:t>
      </w:r>
    </w:p>
    <w:p w14:paraId="6867B0A2" w14:textId="77777777" w:rsidR="004D7F3D" w:rsidRDefault="004D7F3D" w:rsidP="004D7F3D">
      <w:r>
        <w:t>The information, statements, statistics, and commentary contained in this report have been prepared by Scyne Advisory (Scyne) from the available information at the time. Scyne may, at its absolute discretion and without any obligation to do so, update, amend or supplement this document.</w:t>
      </w:r>
    </w:p>
    <w:p w14:paraId="097CBE6A" w14:textId="6CF031CE" w:rsidR="004D7F3D" w:rsidRDefault="004D7F3D" w:rsidP="004D7F3D">
      <w:r>
        <w:t xml:space="preserve">Scyne does not express an opinion as to the accuracy or completeness of the information provided, the assumptions made by the parties that provided the information or any conclusions reached by those parties. Scyne disclaims </w:t>
      </w:r>
      <w:proofErr w:type="gramStart"/>
      <w:r>
        <w:t>any and all</w:t>
      </w:r>
      <w:proofErr w:type="gramEnd"/>
      <w:r>
        <w:t xml:space="preserve"> liability arising from actions taken in response to this report. Any employees or persons associated with the preparation of the enclosed documents are in no way responsible for any errors or omissions in the enclosed document resulting from any inaccuracy, misdescription or incompleteness of information provided or from assumptions made or opinions reached by the parties that provided information.</w:t>
      </w:r>
    </w:p>
    <w:p w14:paraId="2F060F81" w14:textId="77777777" w:rsidR="004D7F3D" w:rsidRDefault="004D7F3D" w:rsidP="004D7F3D">
      <w:r>
        <w:t>Our engagement did not constitute an audit, review, or assurance engagement in accordance with Pronouncements or Standards issued by the Australian Auditing and Assurance Standards Board, and accordingly no such assurance will be provided in this report.</w:t>
      </w:r>
    </w:p>
    <w:p w14:paraId="168D9E7C" w14:textId="23CC0619" w:rsidR="004D7F3D" w:rsidRDefault="004D7F3D" w:rsidP="004D7F3D">
      <w:r>
        <w:t>This disclaimer applies:</w:t>
      </w:r>
    </w:p>
    <w:p w14:paraId="5205AD9F" w14:textId="15105857" w:rsidR="004D7F3D" w:rsidRDefault="004D7F3D" w:rsidP="00277D66">
      <w:pPr>
        <w:pStyle w:val="ListBullet"/>
      </w:pPr>
      <w:r>
        <w:t>to the maximum extent permitted by law and, without limitation, to liability arising in negligence or under statute; and</w:t>
      </w:r>
    </w:p>
    <w:p w14:paraId="69462884" w14:textId="1B91E5A2" w:rsidR="004D7F3D" w:rsidRDefault="004D7F3D" w:rsidP="00277D66">
      <w:pPr>
        <w:pStyle w:val="ListBullet"/>
      </w:pPr>
      <w:r>
        <w:t>even if we consent to anyone other than DHDA receiving or using this report.</w:t>
      </w:r>
    </w:p>
    <w:p w14:paraId="07BCA408" w14:textId="42C6FC76" w:rsidR="005E717F" w:rsidRPr="00997F82" w:rsidRDefault="005E717F" w:rsidP="004D7F3D">
      <w:r w:rsidRPr="00997F82">
        <w:br w:type="page"/>
      </w:r>
    </w:p>
    <w:p w14:paraId="2F72E33C" w14:textId="6723042D" w:rsidR="00922175" w:rsidRPr="00997F82" w:rsidRDefault="00922175" w:rsidP="00277D66">
      <w:pPr>
        <w:pStyle w:val="Heading1nonumbers"/>
      </w:pPr>
      <w:bookmarkStart w:id="7" w:name="_Toc226898029"/>
      <w:bookmarkStart w:id="8" w:name="_Toc184825610"/>
      <w:bookmarkStart w:id="9" w:name="_Toc184825646"/>
      <w:bookmarkStart w:id="10" w:name="_Toc184825670"/>
      <w:bookmarkStart w:id="11" w:name="_Toc184825940"/>
      <w:bookmarkStart w:id="12" w:name="_Toc184827467"/>
      <w:bookmarkStart w:id="13" w:name="_Toc184897623"/>
      <w:bookmarkStart w:id="14" w:name="_Toc231898081"/>
      <w:r w:rsidRPr="00997F82">
        <w:t>Exec</w:t>
      </w:r>
      <w:r w:rsidR="005556F3" w:rsidRPr="00997F82">
        <w:t>utive</w:t>
      </w:r>
      <w:r w:rsidRPr="00997F82">
        <w:t xml:space="preserve"> Summary</w:t>
      </w:r>
      <w:bookmarkEnd w:id="7"/>
      <w:bookmarkEnd w:id="8"/>
      <w:bookmarkEnd w:id="9"/>
      <w:bookmarkEnd w:id="10"/>
      <w:bookmarkEnd w:id="11"/>
      <w:bookmarkEnd w:id="12"/>
      <w:bookmarkEnd w:id="13"/>
      <w:bookmarkEnd w:id="14"/>
    </w:p>
    <w:p w14:paraId="642FE47B" w14:textId="319F1AA2" w:rsidR="00BA4BA3" w:rsidRPr="00997F82" w:rsidRDefault="00103924" w:rsidP="00277D66">
      <w:r w:rsidRPr="00997F82">
        <w:t>The Greater Choice for At Home Palliative Car</w:t>
      </w:r>
      <w:r w:rsidR="0030494D" w:rsidRPr="00997F82">
        <w:t xml:space="preserve">e </w:t>
      </w:r>
      <w:r w:rsidR="00BA4BA3" w:rsidRPr="00997F82">
        <w:t>(GCfAHPC) Program (the Program) has been established “to improve awareness of local palliative care options and to coordinate and facilitate access to palliative care services at home” and in the community</w:t>
      </w:r>
      <w:r w:rsidR="00F61330" w:rsidRPr="00997F82">
        <w:t>, including in Residential Aged Care Homes (RACHs)</w:t>
      </w:r>
      <w:r w:rsidR="00BA4BA3" w:rsidRPr="00997F82">
        <w:t>.</w:t>
      </w:r>
      <w:r w:rsidR="00BA4BA3" w:rsidRPr="00997F82">
        <w:rPr>
          <w:vertAlign w:val="superscript"/>
        </w:rPr>
        <w:footnoteReference w:id="2"/>
      </w:r>
    </w:p>
    <w:p w14:paraId="1C5D2777" w14:textId="7933D8AA" w:rsidR="00BA4BA3" w:rsidRPr="00997F82" w:rsidRDefault="00956702" w:rsidP="00277D66">
      <w:r w:rsidRPr="00997F82">
        <w:t xml:space="preserve">Through the Program, </w:t>
      </w:r>
      <w:r w:rsidR="00002260" w:rsidRPr="00997F82">
        <w:t>Primary Health Networks (</w:t>
      </w:r>
      <w:r w:rsidRPr="00997F82">
        <w:t>PHNs</w:t>
      </w:r>
      <w:r w:rsidR="00002260" w:rsidRPr="00997F82">
        <w:t>)</w:t>
      </w:r>
      <w:r w:rsidRPr="00997F82">
        <w:t xml:space="preserve"> undertake activities which </w:t>
      </w:r>
      <w:r w:rsidR="00BA4BA3" w:rsidRPr="00997F82">
        <w:t>aim to enable people’s preference for palliative and end of life care (EOLC) at home and in the</w:t>
      </w:r>
      <w:r w:rsidRPr="00997F82">
        <w:t xml:space="preserve"> community</w:t>
      </w:r>
      <w:r w:rsidR="00560350" w:rsidRPr="00997F82">
        <w:t>, and to meet the following four objectives</w:t>
      </w:r>
      <w:r w:rsidR="00BA4BA3" w:rsidRPr="00997F82">
        <w:t>:</w:t>
      </w:r>
      <w:r w:rsidR="00BA4BA3" w:rsidRPr="00997F82">
        <w:rPr>
          <w:rStyle w:val="FootnoteReference"/>
          <w:szCs w:val="22"/>
        </w:rPr>
        <w:footnoteReference w:id="3"/>
      </w:r>
    </w:p>
    <w:p w14:paraId="3CBFBF78" w14:textId="77777777" w:rsidR="00BA4BA3" w:rsidRPr="00997F82" w:rsidRDefault="00BA4BA3" w:rsidP="00277D66">
      <w:pPr>
        <w:pStyle w:val="ListBullet"/>
      </w:pPr>
      <w:r w:rsidRPr="00997F82">
        <w:t>Improve access to safe, quality palliative care at home and support EOLC systems and services in primary health care and community care.</w:t>
      </w:r>
    </w:p>
    <w:p w14:paraId="23214420" w14:textId="77777777" w:rsidR="00BA4BA3" w:rsidRPr="00997F82" w:rsidRDefault="00BA4BA3" w:rsidP="00277D66">
      <w:pPr>
        <w:pStyle w:val="ListBullet"/>
      </w:pPr>
      <w:r w:rsidRPr="00997F82">
        <w:t>Enable the right care, at the right time and in the right place, and reduce preventable hospitalisations.</w:t>
      </w:r>
    </w:p>
    <w:p w14:paraId="4E3F37D2" w14:textId="77777777" w:rsidR="00BA4BA3" w:rsidRPr="00997F82" w:rsidRDefault="00BA4BA3" w:rsidP="00277D66">
      <w:pPr>
        <w:pStyle w:val="ListBullet"/>
      </w:pPr>
      <w:r w:rsidRPr="00997F82">
        <w:t>Generate and use data to support continuous improvement of services across sectors.</w:t>
      </w:r>
    </w:p>
    <w:p w14:paraId="6A4D55F8" w14:textId="77777777" w:rsidR="00BA4BA3" w:rsidRPr="00997F82" w:rsidRDefault="00BA4BA3" w:rsidP="00277D66">
      <w:pPr>
        <w:pStyle w:val="ListBullet"/>
      </w:pPr>
      <w:r w:rsidRPr="00997F82">
        <w:t>Use available technologies to provide flexible and responsive care, including care after usual business hours.</w:t>
      </w:r>
    </w:p>
    <w:p w14:paraId="4908B8AC" w14:textId="7CE2A933" w:rsidR="00EF6C30" w:rsidRDefault="00800A78" w:rsidP="00277D66">
      <w:r w:rsidRPr="00997F82">
        <w:t>Thi</w:t>
      </w:r>
      <w:r w:rsidR="00C44652" w:rsidRPr="00997F82">
        <w:t>s</w:t>
      </w:r>
      <w:r w:rsidRPr="00997F82">
        <w:t xml:space="preserve"> report presents findings </w:t>
      </w:r>
      <w:r w:rsidR="003B67B9" w:rsidRPr="00997F82">
        <w:t xml:space="preserve">from an independent evaluation </w:t>
      </w:r>
      <w:r w:rsidRPr="00997F82">
        <w:t>conducted by Scyne Advisory commissioned by the Australian Department of Health, Disability and Ageing</w:t>
      </w:r>
      <w:r w:rsidR="000E75A4" w:rsidRPr="00997F82">
        <w:t xml:space="preserve"> (the </w:t>
      </w:r>
      <w:r w:rsidR="00791B53" w:rsidRPr="00997F82">
        <w:t>d</w:t>
      </w:r>
      <w:r w:rsidR="000E75A4" w:rsidRPr="00997F82">
        <w:t>epartment)</w:t>
      </w:r>
      <w:r w:rsidRPr="00997F82">
        <w:t xml:space="preserve">. </w:t>
      </w:r>
      <w:r w:rsidR="00EF6C30" w:rsidRPr="00997F82">
        <w:t xml:space="preserve">It examines the design, implementation and outcomes of the Program across three data collection tranches (Baseline, Midpoint and Endpoint) from 2023 to 2025. It </w:t>
      </w:r>
      <w:r w:rsidR="00C537D8" w:rsidRPr="00997F82">
        <w:t>includes</w:t>
      </w:r>
      <w:r w:rsidR="00EF6C30" w:rsidRPr="00997F82">
        <w:t xml:space="preserve"> key evidence to support the</w:t>
      </w:r>
      <w:r w:rsidR="00860E7D" w:rsidRPr="00997F82">
        <w:t xml:space="preserve"> evaluation</w:t>
      </w:r>
      <w:r w:rsidR="00EF6C30" w:rsidRPr="00997F82">
        <w:t xml:space="preserve"> </w:t>
      </w:r>
      <w:r w:rsidR="006558E4" w:rsidRPr="00997F82">
        <w:t>findings and</w:t>
      </w:r>
      <w:r w:rsidR="00EF6C30" w:rsidRPr="00997F82">
        <w:t xml:space="preserve"> </w:t>
      </w:r>
      <w:r w:rsidR="00860E7D" w:rsidRPr="00997F82">
        <w:t xml:space="preserve">identifies </w:t>
      </w:r>
      <w:r w:rsidR="00EF6C30" w:rsidRPr="00997F82">
        <w:t>how the insights might inform continuous improvement and the future direction of the Program.</w:t>
      </w:r>
      <w:r w:rsidR="006E44EA">
        <w:t xml:space="preserve"> </w:t>
      </w:r>
    </w:p>
    <w:p w14:paraId="672FAA85" w14:textId="77777777" w:rsidR="00B66C8D" w:rsidRPr="00B66C8D" w:rsidRDefault="00B66C8D" w:rsidP="00277D66">
      <w:pPr>
        <w:rPr>
          <w:lang w:val="en-AU"/>
        </w:rPr>
      </w:pPr>
      <w:r w:rsidRPr="00B66C8D">
        <w:rPr>
          <w:lang w:val="en-AU"/>
        </w:rPr>
        <w:t>While the evaluation finds that the Program has been implemented effectively across Primary Health Networks (PHNs), it also highlights that evidence of impact at the population health and health equity level remains inconclusive at this stage. This reflects both the scale of the Program and broader challenges in attributing system-level outcomes within the available timeframe and data environment.</w:t>
      </w:r>
    </w:p>
    <w:p w14:paraId="446812A5" w14:textId="0EEC41F7" w:rsidR="00B66C8D" w:rsidRPr="002E4B35" w:rsidRDefault="00B66C8D" w:rsidP="00277D66">
      <w:pPr>
        <w:rPr>
          <w:lang w:val="en-AU"/>
        </w:rPr>
      </w:pPr>
      <w:r w:rsidRPr="00B66C8D">
        <w:rPr>
          <w:lang w:val="en-AU"/>
        </w:rPr>
        <w:t xml:space="preserve">This evaluation therefore distinguishes between strong progress in implementation and capability building, and more limited evidence of </w:t>
      </w:r>
      <w:r w:rsidR="00F4479F">
        <w:rPr>
          <w:lang w:val="en-AU"/>
        </w:rPr>
        <w:t>impact</w:t>
      </w:r>
      <w:r w:rsidRPr="00B66C8D">
        <w:rPr>
          <w:lang w:val="en-AU"/>
        </w:rPr>
        <w:t xml:space="preserve"> </w:t>
      </w:r>
      <w:r w:rsidR="006C25BF">
        <w:rPr>
          <w:lang w:val="en-AU"/>
        </w:rPr>
        <w:t>on</w:t>
      </w:r>
      <w:r w:rsidRPr="00B66C8D">
        <w:rPr>
          <w:lang w:val="en-AU"/>
        </w:rPr>
        <w:t xml:space="preserve"> longer-term outcomes such as reduced hospital activity and increased access to care at home.</w:t>
      </w:r>
    </w:p>
    <w:p w14:paraId="30329F1C" w14:textId="290969F9" w:rsidR="00EF6C30" w:rsidRPr="00997F82" w:rsidRDefault="00EF6C30" w:rsidP="00277D66">
      <w:pPr>
        <w:pStyle w:val="Heading2nonumbers"/>
      </w:pPr>
      <w:r w:rsidRPr="00997F82">
        <w:t>Evaluation methodology</w:t>
      </w:r>
    </w:p>
    <w:p w14:paraId="55285C65" w14:textId="1F0AA566" w:rsidR="00EF6C30" w:rsidRPr="00997F82" w:rsidRDefault="00EF6C30" w:rsidP="00277D66">
      <w:r w:rsidRPr="00997F82">
        <w:t xml:space="preserve">The evaluation was guided by domains and lines of enquiry </w:t>
      </w:r>
      <w:r w:rsidR="000E75A4" w:rsidRPr="00997F82">
        <w:t xml:space="preserve">which were </w:t>
      </w:r>
      <w:r w:rsidRPr="00997F82">
        <w:t xml:space="preserve">co-designed in 2023 with the </w:t>
      </w:r>
      <w:r w:rsidR="0018366B" w:rsidRPr="00997F82">
        <w:t>d</w:t>
      </w:r>
      <w:r w:rsidRPr="00997F82">
        <w:t>epartment and PHNs.</w:t>
      </w:r>
      <w:r w:rsidR="006F0F60" w:rsidRPr="00997F82">
        <w:t xml:space="preserve"> There are 14 lines of enquiry which serve as key evaluation questions throughout this report and are outlined in Appendix </w:t>
      </w:r>
      <w:r w:rsidR="00A2314A" w:rsidRPr="00997F82">
        <w:t>B</w:t>
      </w:r>
      <w:r w:rsidR="0018366B" w:rsidRPr="00997F82">
        <w:t>.</w:t>
      </w:r>
    </w:p>
    <w:p w14:paraId="2A68D9C9" w14:textId="702180D4" w:rsidR="00BE5A71" w:rsidRPr="00997F82" w:rsidRDefault="00EF6C30" w:rsidP="00277D66">
      <w:r w:rsidRPr="00997F82">
        <w:t xml:space="preserve">The key </w:t>
      </w:r>
      <w:r w:rsidR="00BE5A71" w:rsidRPr="00997F82">
        <w:t xml:space="preserve">domains </w:t>
      </w:r>
      <w:r w:rsidR="00382CBB" w:rsidRPr="00997F82">
        <w:t>are</w:t>
      </w:r>
      <w:r w:rsidR="00BE5A71" w:rsidRPr="00997F82">
        <w:t xml:space="preserve">: </w:t>
      </w:r>
    </w:p>
    <w:p w14:paraId="07F5CE3F" w14:textId="0D5917B9" w:rsidR="00EF6C30" w:rsidRPr="00997F82" w:rsidRDefault="00BE5A71" w:rsidP="00277D66">
      <w:pPr>
        <w:pStyle w:val="ListBullet"/>
        <w:rPr>
          <w:rFonts w:asciiTheme="majorHAnsi" w:hAnsiTheme="majorHAnsi"/>
        </w:rPr>
      </w:pPr>
      <w:r w:rsidRPr="00997F82">
        <w:rPr>
          <w:rFonts w:asciiTheme="majorHAnsi" w:hAnsiTheme="majorHAnsi"/>
        </w:rPr>
        <w:t xml:space="preserve">Program design and delivery: </w:t>
      </w:r>
      <w:r w:rsidRPr="00997F82">
        <w:t xml:space="preserve">the extent to which the Program has been effectively implemented, governed and </w:t>
      </w:r>
      <w:r w:rsidR="00D7159D" w:rsidRPr="00997F82">
        <w:t>progressed as planned.</w:t>
      </w:r>
    </w:p>
    <w:p w14:paraId="7D807BE3" w14:textId="087E1913" w:rsidR="00BE5A71" w:rsidRPr="00997F82" w:rsidRDefault="00BE5A71" w:rsidP="00277D66">
      <w:pPr>
        <w:pStyle w:val="ListBullet"/>
        <w:rPr>
          <w:rFonts w:asciiTheme="majorHAnsi" w:hAnsiTheme="majorHAnsi"/>
        </w:rPr>
      </w:pPr>
      <w:r w:rsidRPr="00997F82">
        <w:rPr>
          <w:rFonts w:asciiTheme="majorHAnsi" w:hAnsiTheme="majorHAnsi"/>
        </w:rPr>
        <w:t xml:space="preserve">Provider experience: </w:t>
      </w:r>
      <w:r w:rsidR="00D7159D" w:rsidRPr="00997F82">
        <w:t>the extent to which PHN activities provide awareness, confidence an</w:t>
      </w:r>
      <w:r w:rsidR="00FF0ED7" w:rsidRPr="00997F82">
        <w:t xml:space="preserve">d </w:t>
      </w:r>
      <w:r w:rsidR="006F0F60" w:rsidRPr="00997F82">
        <w:t xml:space="preserve">knowledge of palliative care service </w:t>
      </w:r>
      <w:r w:rsidR="00FF0ED7" w:rsidRPr="00997F82">
        <w:t>options</w:t>
      </w:r>
      <w:r w:rsidR="00D7159D" w:rsidRPr="00997F82">
        <w:t xml:space="preserve"> for healthcare professionals and providers who have engaged in activities.</w:t>
      </w:r>
    </w:p>
    <w:p w14:paraId="18433A75" w14:textId="50582CCA" w:rsidR="00BE5A71" w:rsidRPr="00997F82" w:rsidRDefault="00BE5A71" w:rsidP="00277D66">
      <w:pPr>
        <w:pStyle w:val="ListBullet"/>
        <w:rPr>
          <w:rFonts w:asciiTheme="majorHAnsi" w:hAnsiTheme="majorHAnsi"/>
        </w:rPr>
      </w:pPr>
      <w:r w:rsidRPr="00997F82">
        <w:rPr>
          <w:rFonts w:asciiTheme="majorHAnsi" w:hAnsiTheme="majorHAnsi"/>
        </w:rPr>
        <w:t>Patient experience:</w:t>
      </w:r>
      <w:r w:rsidR="00D7159D" w:rsidRPr="00997F82">
        <w:rPr>
          <w:rFonts w:asciiTheme="majorHAnsi" w:hAnsiTheme="majorHAnsi"/>
        </w:rPr>
        <w:t xml:space="preserve"> </w:t>
      </w:r>
      <w:r w:rsidR="00D7159D" w:rsidRPr="00997F82">
        <w:t>the extent to which people and their families, carers and loved ones</w:t>
      </w:r>
      <w:r w:rsidR="00090C12" w:rsidRPr="00997F82">
        <w:t>,</w:t>
      </w:r>
      <w:r w:rsidR="00D7159D" w:rsidRPr="00997F82">
        <w:t xml:space="preserve"> </w:t>
      </w:r>
      <w:r w:rsidR="006F0F60" w:rsidRPr="00997F82">
        <w:t>are aware of options and choices for palliative and end of life care</w:t>
      </w:r>
      <w:r w:rsidR="00D7159D" w:rsidRPr="00997F82">
        <w:t>.</w:t>
      </w:r>
    </w:p>
    <w:p w14:paraId="67E3F24F" w14:textId="1A11ED67" w:rsidR="00BE5A71" w:rsidRPr="00997F82" w:rsidRDefault="00BE5A71" w:rsidP="00277D66">
      <w:pPr>
        <w:pStyle w:val="ListBullet"/>
      </w:pPr>
      <w:r w:rsidRPr="00997F82">
        <w:rPr>
          <w:rFonts w:asciiTheme="majorHAnsi" w:hAnsiTheme="majorHAnsi"/>
        </w:rPr>
        <w:t>Population Health:</w:t>
      </w:r>
      <w:r w:rsidR="00D7159D" w:rsidRPr="00997F82">
        <w:rPr>
          <w:rFonts w:asciiTheme="majorHAnsi" w:hAnsiTheme="majorHAnsi"/>
        </w:rPr>
        <w:t xml:space="preserve"> </w:t>
      </w:r>
      <w:r w:rsidR="00D7159D" w:rsidRPr="00997F82">
        <w:t>the extent to which</w:t>
      </w:r>
      <w:r w:rsidR="0060315D" w:rsidRPr="00997F82">
        <w:t xml:space="preserve"> the Program has achieved </w:t>
      </w:r>
      <w:r w:rsidR="00F61330" w:rsidRPr="00997F82">
        <w:t xml:space="preserve">population health outcomes including </w:t>
      </w:r>
      <w:r w:rsidR="0060315D" w:rsidRPr="00997F82">
        <w:t xml:space="preserve">greater coordination and reduced hospitalisations. </w:t>
      </w:r>
    </w:p>
    <w:p w14:paraId="24DAAD41" w14:textId="5A3B82A2" w:rsidR="00BE5A71" w:rsidRPr="00997F82" w:rsidRDefault="00BE5A71" w:rsidP="00277D66">
      <w:pPr>
        <w:pStyle w:val="ListBullet"/>
      </w:pPr>
      <w:r w:rsidRPr="00997F82">
        <w:rPr>
          <w:rFonts w:asciiTheme="majorHAnsi" w:hAnsiTheme="majorHAnsi"/>
        </w:rPr>
        <w:t>Health Equity:</w:t>
      </w:r>
      <w:r w:rsidR="0060315D" w:rsidRPr="00997F82">
        <w:rPr>
          <w:rFonts w:asciiTheme="majorHAnsi" w:hAnsiTheme="majorHAnsi"/>
        </w:rPr>
        <w:t xml:space="preserve"> </w:t>
      </w:r>
      <w:r w:rsidR="0060315D" w:rsidRPr="00997F82">
        <w:t>the extent to which P</w:t>
      </w:r>
      <w:r w:rsidR="001558D4" w:rsidRPr="00997F82">
        <w:t xml:space="preserve">HN activities meet the needs for all people in their regions, including </w:t>
      </w:r>
      <w:r w:rsidR="00C26F99" w:rsidRPr="00997F82">
        <w:t>underserved</w:t>
      </w:r>
      <w:r w:rsidR="001558D4" w:rsidRPr="00997F82">
        <w:t xml:space="preserve"> populations. </w:t>
      </w:r>
    </w:p>
    <w:p w14:paraId="468F56FC" w14:textId="77777777" w:rsidR="009C0ACA" w:rsidRPr="00997F82" w:rsidRDefault="00BE5A71" w:rsidP="00277D66">
      <w:pPr>
        <w:pStyle w:val="ListBullet"/>
      </w:pPr>
      <w:r w:rsidRPr="00997F82">
        <w:rPr>
          <w:rFonts w:asciiTheme="majorHAnsi" w:hAnsiTheme="majorHAnsi"/>
        </w:rPr>
        <w:t xml:space="preserve">Lower cost of care: </w:t>
      </w:r>
      <w:r w:rsidR="001558D4" w:rsidRPr="00997F82">
        <w:t>the extent to which the Program is cost-effective.</w:t>
      </w:r>
    </w:p>
    <w:p w14:paraId="76655167" w14:textId="319061F4" w:rsidR="00861601" w:rsidRPr="00997F82" w:rsidRDefault="00151074" w:rsidP="00277D66">
      <w:r w:rsidRPr="00997F82">
        <w:t>T</w:t>
      </w:r>
      <w:r w:rsidR="001558D4" w:rsidRPr="00997F82">
        <w:t xml:space="preserve">he evaluation analysed data </w:t>
      </w:r>
      <w:r w:rsidRPr="00997F82">
        <w:t xml:space="preserve">relating to the activities undertaken by PHNs </w:t>
      </w:r>
      <w:r w:rsidR="001558D4" w:rsidRPr="00997F82">
        <w:t>across the 3 years</w:t>
      </w:r>
      <w:r w:rsidR="00F003D4" w:rsidRPr="00997F82">
        <w:t>. This included</w:t>
      </w:r>
      <w:r w:rsidR="001558D4" w:rsidRPr="00997F82">
        <w:t xml:space="preserve"> </w:t>
      </w:r>
      <w:r w:rsidR="00DC104C" w:rsidRPr="00997F82">
        <w:t>data from peak bodies and other national institutions which measured population</w:t>
      </w:r>
      <w:r w:rsidR="00977324" w:rsidRPr="00997F82">
        <w:t>-level palliative care data</w:t>
      </w:r>
      <w:r w:rsidR="001558D4" w:rsidRPr="00997F82">
        <w:t xml:space="preserve">, </w:t>
      </w:r>
      <w:r w:rsidR="00977324" w:rsidRPr="00997F82">
        <w:t xml:space="preserve">surveys distributed to PHNs and service providers, </w:t>
      </w:r>
      <w:r w:rsidR="001558D4" w:rsidRPr="00997F82">
        <w:t xml:space="preserve">and </w:t>
      </w:r>
      <w:r w:rsidR="00DA3C46" w:rsidRPr="00997F82">
        <w:t xml:space="preserve">consultations </w:t>
      </w:r>
      <w:r w:rsidR="00977324" w:rsidRPr="00997F82">
        <w:t xml:space="preserve">conducted </w:t>
      </w:r>
      <w:r w:rsidR="00DA3C46" w:rsidRPr="00997F82">
        <w:t xml:space="preserve">with PHNs and external stakeholders involved in PHN activities. </w:t>
      </w:r>
    </w:p>
    <w:p w14:paraId="46DFFBD6" w14:textId="37CA7184" w:rsidR="00D578DB" w:rsidRPr="00997F82" w:rsidRDefault="00D578DB" w:rsidP="00277D66">
      <w:r w:rsidRPr="00997F82">
        <w:t>The Endpoint report finding</w:t>
      </w:r>
      <w:r w:rsidR="00963BFE" w:rsidRPr="00997F82">
        <w:t>s</w:t>
      </w:r>
      <w:r w:rsidRPr="00997F82">
        <w:t xml:space="preserve"> should be considered in the context of the following limitations: </w:t>
      </w:r>
    </w:p>
    <w:p w14:paraId="4E8D0A1F" w14:textId="6E91E6DD" w:rsidR="00D578DB" w:rsidRPr="00997F82" w:rsidRDefault="00EE7934" w:rsidP="00277D66">
      <w:pPr>
        <w:pStyle w:val="ListBullet"/>
      </w:pPr>
      <w:r w:rsidRPr="00997F82">
        <w:rPr>
          <w:rFonts w:asciiTheme="majorHAnsi" w:hAnsiTheme="majorHAnsi"/>
        </w:rPr>
        <w:t>Program magnitude</w:t>
      </w:r>
      <w:r w:rsidR="00F26876" w:rsidRPr="00997F82">
        <w:rPr>
          <w:rFonts w:asciiTheme="majorHAnsi" w:hAnsiTheme="majorHAnsi"/>
        </w:rPr>
        <w:t>:</w:t>
      </w:r>
      <w:r w:rsidR="00F26876" w:rsidRPr="00997F82">
        <w:t xml:space="preserve"> Observable changes in population level data or aggregate measures are limited due to the program size and funding, the inability to observe systemic change</w:t>
      </w:r>
      <w:r w:rsidR="00C33192" w:rsidRPr="00997F82">
        <w:t>,</w:t>
      </w:r>
      <w:r w:rsidR="00F26876" w:rsidRPr="00997F82">
        <w:t xml:space="preserve"> and variation in PHN activities.</w:t>
      </w:r>
    </w:p>
    <w:p w14:paraId="514EA73F" w14:textId="4FD7E4E8" w:rsidR="00EE7934" w:rsidRPr="00997F82" w:rsidRDefault="00EE7934" w:rsidP="00277D66">
      <w:pPr>
        <w:pStyle w:val="ListBullet"/>
      </w:pPr>
      <w:r w:rsidRPr="00997F82">
        <w:rPr>
          <w:rFonts w:asciiTheme="majorHAnsi" w:hAnsiTheme="majorHAnsi"/>
        </w:rPr>
        <w:t xml:space="preserve">Data availability and causality: </w:t>
      </w:r>
      <w:r w:rsidR="00F26876" w:rsidRPr="00997F82">
        <w:t>While it is possible to identify overall trends and associations in data, the limited strength in correlation (i.e. effect size) means the outcomes and findings are unlikely to be directly or causally related to the Program.</w:t>
      </w:r>
    </w:p>
    <w:p w14:paraId="182DCD57" w14:textId="7B19BD5C" w:rsidR="00EE7934" w:rsidRPr="00997F82" w:rsidRDefault="00EE7934" w:rsidP="00277D66">
      <w:pPr>
        <w:pStyle w:val="ListBullet"/>
      </w:pPr>
      <w:r w:rsidRPr="00997F82">
        <w:rPr>
          <w:rFonts w:asciiTheme="majorHAnsi" w:hAnsiTheme="majorHAnsi"/>
        </w:rPr>
        <w:t>Direct input from families, carers and individuals:</w:t>
      </w:r>
      <w:r w:rsidRPr="00997F82">
        <w:t xml:space="preserve"> </w:t>
      </w:r>
      <w:r w:rsidR="00272C2C" w:rsidRPr="00997F82">
        <w:t>The scope of the Endpoint evaluation did not include consultation or input from consumers and carers of palliative care services.</w:t>
      </w:r>
      <w:r w:rsidR="002C6C80" w:rsidRPr="00997F82">
        <w:t xml:space="preserve"> </w:t>
      </w:r>
      <w:r w:rsidR="008454D2" w:rsidRPr="00997F82">
        <w:t>However,</w:t>
      </w:r>
      <w:r w:rsidR="002C6C80" w:rsidRPr="00997F82">
        <w:t xml:space="preserve"> consumer, carer and family feedback were at times captured by PHNs and where available, this has been analysed and included.</w:t>
      </w:r>
    </w:p>
    <w:p w14:paraId="59A48774" w14:textId="4A5CDDB8" w:rsidR="00D578DB" w:rsidRPr="00997F82" w:rsidRDefault="00EE7934" w:rsidP="00277D66">
      <w:pPr>
        <w:pStyle w:val="ListBullet"/>
      </w:pPr>
      <w:r w:rsidRPr="00997F82">
        <w:rPr>
          <w:rFonts w:asciiTheme="majorHAnsi" w:hAnsiTheme="majorHAnsi"/>
        </w:rPr>
        <w:t>Sources of bias:</w:t>
      </w:r>
      <w:r w:rsidRPr="00997F82">
        <w:t xml:space="preserve"> </w:t>
      </w:r>
      <w:r w:rsidR="00272C2C" w:rsidRPr="00997F82">
        <w:t>Survey responses and other datasets may be subject to selection bias, response bias or non-response bias</w:t>
      </w:r>
      <w:r w:rsidR="00653818" w:rsidRPr="00997F82">
        <w:t>,</w:t>
      </w:r>
      <w:r w:rsidR="00272C2C" w:rsidRPr="00997F82">
        <w:t xml:space="preserve"> and may </w:t>
      </w:r>
      <w:r w:rsidR="00416937" w:rsidRPr="00997F82">
        <w:t xml:space="preserve">therefore </w:t>
      </w:r>
      <w:r w:rsidR="00272C2C" w:rsidRPr="00997F82">
        <w:t>not represent a</w:t>
      </w:r>
      <w:r w:rsidR="00F61330" w:rsidRPr="00997F82">
        <w:t xml:space="preserve"> </w:t>
      </w:r>
      <w:r w:rsidR="003C1E7F" w:rsidRPr="00997F82">
        <w:t xml:space="preserve">representative or </w:t>
      </w:r>
      <w:r w:rsidR="00272C2C" w:rsidRPr="00997F82">
        <w:t xml:space="preserve">objective view of </w:t>
      </w:r>
      <w:r w:rsidR="003C1E7F" w:rsidRPr="00997F82">
        <w:t>findings</w:t>
      </w:r>
      <w:r w:rsidR="00272C2C" w:rsidRPr="00997F82">
        <w:t>.</w:t>
      </w:r>
    </w:p>
    <w:p w14:paraId="6E7F5611" w14:textId="3BF4000E" w:rsidR="008454D2" w:rsidRPr="00997F82" w:rsidRDefault="008454D2" w:rsidP="006805E3">
      <w:pPr>
        <w:tabs>
          <w:tab w:val="left" w:pos="2880"/>
        </w:tabs>
      </w:pPr>
      <w:r w:rsidRPr="00997F82">
        <w:t>Notwithstanding these limitations, meaningful conclusions can be drawn from the analysis to inform the future of the Program.</w:t>
      </w:r>
    </w:p>
    <w:p w14:paraId="37ACEDC1" w14:textId="67B2B02C" w:rsidR="00C06A6B" w:rsidRPr="00997F82" w:rsidRDefault="00030798" w:rsidP="00277D66">
      <w:pPr>
        <w:pStyle w:val="Heading2nonumbers"/>
      </w:pPr>
      <w:r w:rsidRPr="00997F82">
        <w:t>S</w:t>
      </w:r>
      <w:r w:rsidR="00D52507" w:rsidRPr="00997F82">
        <w:t>ummary of PHN activities</w:t>
      </w:r>
    </w:p>
    <w:p w14:paraId="5C2D8562" w14:textId="3CE11AC7" w:rsidR="00D7598A" w:rsidRPr="00997F82" w:rsidRDefault="002C6C80" w:rsidP="00277D66">
      <w:r w:rsidRPr="00997F82">
        <w:t>The Program provide</w:t>
      </w:r>
      <w:r w:rsidR="00B7773E" w:rsidRPr="00997F82">
        <w:t>s PHNs with</w:t>
      </w:r>
      <w:r w:rsidR="00B7773E" w:rsidRPr="00997F82" w:rsidDel="00D02463">
        <w:t xml:space="preserve"> </w:t>
      </w:r>
      <w:r w:rsidR="00B7773E" w:rsidRPr="00997F82">
        <w:t>flexibility to design activities in response to local needs and in alignment with Program guidelines</w:t>
      </w:r>
      <w:r w:rsidR="00DB0085" w:rsidRPr="00997F82">
        <w:t xml:space="preserve"> and objectives</w:t>
      </w:r>
      <w:r w:rsidR="00D7598A" w:rsidRPr="00997F82">
        <w:t xml:space="preserve">. </w:t>
      </w:r>
    </w:p>
    <w:p w14:paraId="7CACFA19" w14:textId="1BD82A42" w:rsidR="00E04718" w:rsidRPr="00997F82" w:rsidRDefault="00B7773E" w:rsidP="00277D66">
      <w:r w:rsidRPr="00997F82">
        <w:t xml:space="preserve">In practice, this </w:t>
      </w:r>
      <w:r w:rsidR="00BF729C" w:rsidRPr="00997F82">
        <w:t>generates</w:t>
      </w:r>
      <w:r w:rsidRPr="00997F82">
        <w:t xml:space="preserve"> </w:t>
      </w:r>
      <w:r w:rsidR="00E04718" w:rsidRPr="00997F82">
        <w:t xml:space="preserve">diversity </w:t>
      </w:r>
      <w:r w:rsidRPr="00997F82">
        <w:t xml:space="preserve">across PHNs in the types and focus of their activities. </w:t>
      </w:r>
      <w:r w:rsidR="00C639FF" w:rsidRPr="00997F82">
        <w:t xml:space="preserve">To understand the breadth of activities across the </w:t>
      </w:r>
      <w:r w:rsidR="00FB22B4" w:rsidRPr="00997F82">
        <w:t>Program</w:t>
      </w:r>
      <w:r w:rsidR="00C639FF" w:rsidRPr="00997F82">
        <w:t xml:space="preserve">, </w:t>
      </w:r>
      <w:r w:rsidR="00FB22B4" w:rsidRPr="00997F82">
        <w:t>they</w:t>
      </w:r>
      <w:r w:rsidR="00C639FF" w:rsidRPr="00997F82">
        <w:t xml:space="preserve"> have </w:t>
      </w:r>
      <w:r w:rsidR="00FB22B4" w:rsidRPr="00997F82">
        <w:t xml:space="preserve">been </w:t>
      </w:r>
      <w:r w:rsidR="00E04718" w:rsidRPr="00997F82">
        <w:t>grouped into five broad categories and relevant sub-categories. This is detailed further in Chapter 2.</w:t>
      </w:r>
    </w:p>
    <w:p w14:paraId="7CA7A774" w14:textId="4446B341" w:rsidR="006558E4" w:rsidRPr="00277D66" w:rsidRDefault="006558E4" w:rsidP="00277D66">
      <w:pPr>
        <w:pStyle w:val="Caption"/>
      </w:pPr>
      <w:r w:rsidRPr="00997F82">
        <w:t xml:space="preserve">Figure </w:t>
      </w:r>
      <w:r w:rsidRPr="00997F82">
        <w:fldChar w:fldCharType="begin"/>
      </w:r>
      <w:r w:rsidRPr="00997F82">
        <w:instrText xml:space="preserve"> SEQ Figure \* ARABIC </w:instrText>
      </w:r>
      <w:r w:rsidRPr="00997F82">
        <w:fldChar w:fldCharType="separate"/>
      </w:r>
      <w:r w:rsidR="00735424">
        <w:rPr>
          <w:noProof/>
        </w:rPr>
        <w:t>1</w:t>
      </w:r>
      <w:r w:rsidRPr="00997F82">
        <w:fldChar w:fldCharType="end"/>
      </w:r>
      <w:r w:rsidRPr="00997F82">
        <w:t>: Categories of PHN activities</w:t>
      </w:r>
    </w:p>
    <w:p w14:paraId="6DB57C25" w14:textId="4234B8D8" w:rsidR="00E04718" w:rsidRPr="00997F82" w:rsidRDefault="00E04718" w:rsidP="006805E3">
      <w:pPr>
        <w:jc w:val="center"/>
      </w:pPr>
      <w:r w:rsidRPr="00997F82">
        <w:rPr>
          <w:noProof/>
        </w:rPr>
        <w:drawing>
          <wp:inline distT="0" distB="0" distL="0" distR="0" wp14:anchorId="7BA41733" wp14:editId="00348E0E">
            <wp:extent cx="4407291" cy="2755900"/>
            <wp:effectExtent l="0" t="0" r="0" b="6350"/>
            <wp:docPr id="550050056" name="Picture 1" descr="Figure 1 is a infographic listing 5 broad categories of PHN activities: 1. Workforce education and awareness, including Workforce capability, GP Quality Improvement, and RACHs&#10;2. Awareness in the community, including education and awareness (including Compassionate Communities)&#10;3. Palliative care medicines&#10;4. Priority populations&#10;5. Coordination and integration, including service mapping and pathways and models of shar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50056" name="Picture 1" descr="Figure 1 is a infographic listing 5 broad categories of PHN activities: 1. Workforce education and awareness, including Workforce capability, GP Quality Improvement, and RACHs&#10;2. Awareness in the community, including education and awareness (including Compassionate Communities)&#10;3. Palliative care medicines&#10;4. Priority populations&#10;5. Coordination and integration, including service mapping and pathways and models of shared care"/>
                    <pic:cNvPicPr/>
                  </pic:nvPicPr>
                  <pic:blipFill>
                    <a:blip r:embed="rId13"/>
                    <a:stretch>
                      <a:fillRect/>
                    </a:stretch>
                  </pic:blipFill>
                  <pic:spPr>
                    <a:xfrm>
                      <a:off x="0" y="0"/>
                      <a:ext cx="4430055" cy="2770134"/>
                    </a:xfrm>
                    <a:prstGeom prst="rect">
                      <a:avLst/>
                    </a:prstGeom>
                  </pic:spPr>
                </pic:pic>
              </a:graphicData>
            </a:graphic>
          </wp:inline>
        </w:drawing>
      </w:r>
    </w:p>
    <w:p w14:paraId="62EB324F" w14:textId="19144560" w:rsidR="00E20815" w:rsidRPr="00997F82" w:rsidRDefault="00E20815" w:rsidP="007B010E">
      <w:pPr>
        <w:rPr>
          <w:rFonts w:asciiTheme="minorHAnsi" w:hAnsiTheme="minorHAnsi"/>
        </w:rPr>
      </w:pPr>
      <w:r w:rsidRPr="00997F82">
        <w:rPr>
          <w:rFonts w:asciiTheme="minorHAnsi" w:hAnsiTheme="minorHAnsi"/>
        </w:rPr>
        <w:t>Based on this analysis of progress, key observations include:</w:t>
      </w:r>
    </w:p>
    <w:p w14:paraId="4093E6DA" w14:textId="39B62867" w:rsidR="00E20815" w:rsidRPr="006950EE" w:rsidRDefault="00E20815" w:rsidP="006950EE">
      <w:pPr>
        <w:pStyle w:val="ListBullet"/>
      </w:pPr>
      <w:r w:rsidRPr="00997F82">
        <w:t>Half (52%) of</w:t>
      </w:r>
      <w:r w:rsidRPr="006950EE">
        <w:t xml:space="preserve"> overall activities can be categorised as workforce education and awareness. PHNs see workforce knowledge as </w:t>
      </w:r>
      <w:r w:rsidR="00A73EBC" w:rsidRPr="006950EE">
        <w:t xml:space="preserve">a </w:t>
      </w:r>
      <w:r w:rsidRPr="006950EE">
        <w:t>critical enabler of system change and were able to utilise existing relationships with service providers to implement these activities.</w:t>
      </w:r>
    </w:p>
    <w:p w14:paraId="11994E45" w14:textId="46E6AF02" w:rsidR="00E20815" w:rsidRPr="006950EE" w:rsidRDefault="00E20815" w:rsidP="006950EE">
      <w:pPr>
        <w:pStyle w:val="ListBullet"/>
      </w:pPr>
      <w:r w:rsidRPr="006950EE">
        <w:t xml:space="preserve">71% of coordination and integration activities </w:t>
      </w:r>
      <w:r w:rsidR="00930E94" w:rsidRPr="006950EE">
        <w:t xml:space="preserve">were </w:t>
      </w:r>
      <w:r w:rsidRPr="006950EE">
        <w:t>undertaken by PHNs who serve a rural or regional area. This aligns with feedback from rural and regional PHNs where limited palliative care services in these regions make it critical that services operate effectively and efficiently through better coordination.</w:t>
      </w:r>
    </w:p>
    <w:p w14:paraId="71FF0D2A" w14:textId="45FB336F" w:rsidR="006558E4" w:rsidRPr="00054957" w:rsidRDefault="00E20815" w:rsidP="006950EE">
      <w:pPr>
        <w:pStyle w:val="ListBullet"/>
      </w:pPr>
      <w:r w:rsidRPr="006950EE">
        <w:t xml:space="preserve">The least likely activities to be undertaken continue to be those related to priority populations (22% of overall activities) </w:t>
      </w:r>
      <w:r w:rsidRPr="00277D66">
        <w:t>an</w:t>
      </w:r>
      <w:r w:rsidRPr="00054957">
        <w:t>d palliative care medicines (0.08% of overall activities).</w:t>
      </w:r>
    </w:p>
    <w:p w14:paraId="7AAD5069" w14:textId="0F876B23" w:rsidR="00F44490" w:rsidRPr="00054957" w:rsidRDefault="00735424" w:rsidP="00277D66">
      <w:pPr>
        <w:pStyle w:val="Heading2nonumbers"/>
      </w:pPr>
      <w:r w:rsidRPr="00054957">
        <w:t>O</w:t>
      </w:r>
      <w:r w:rsidR="00547921" w:rsidRPr="00054957">
        <w:t>pportunities</w:t>
      </w:r>
    </w:p>
    <w:p w14:paraId="51DAB237" w14:textId="05B98FF1" w:rsidR="00402E23" w:rsidRPr="00054957" w:rsidRDefault="00402E23" w:rsidP="00402E23">
      <w:r w:rsidRPr="00054957">
        <w:t xml:space="preserve">The evaluation </w:t>
      </w:r>
      <w:r w:rsidR="009E1009" w:rsidRPr="00054957">
        <w:t>f</w:t>
      </w:r>
      <w:r w:rsidR="009E1009">
        <w:t>inds</w:t>
      </w:r>
      <w:r w:rsidR="009E1009" w:rsidRPr="00054957">
        <w:t xml:space="preserve"> </w:t>
      </w:r>
      <w:r w:rsidRPr="00054957">
        <w:t xml:space="preserve">that the </w:t>
      </w:r>
      <w:r w:rsidR="00A430A8" w:rsidRPr="00054957">
        <w:t>Program</w:t>
      </w:r>
      <w:r w:rsidRPr="00054957">
        <w:t xml:space="preserve"> is progressing well</w:t>
      </w:r>
      <w:r w:rsidR="009E1009">
        <w:t>, with strong evidence of effective implementation and positive</w:t>
      </w:r>
      <w:r w:rsidR="001A215E">
        <w:t xml:space="preserve"> impact on workforce capability, service coordination, and awareness amongst providers, patients and communities.</w:t>
      </w:r>
      <w:r w:rsidRPr="00054957">
        <w:t xml:space="preserve"> </w:t>
      </w:r>
    </w:p>
    <w:p w14:paraId="1D0BB3B2" w14:textId="3D188CD5" w:rsidR="00402E23" w:rsidRPr="00054957" w:rsidRDefault="002C4245" w:rsidP="00402E23">
      <w:r w:rsidRPr="00054957">
        <w:t xml:space="preserve">However, </w:t>
      </w:r>
      <w:r w:rsidR="001A215E">
        <w:t xml:space="preserve">evidence of impact at the population health and health </w:t>
      </w:r>
      <w:r w:rsidR="008B282D">
        <w:t>equity level remains inconclusive. While many activities are expected to contribute to outcomes such as increase</w:t>
      </w:r>
      <w:r w:rsidR="005A7E80">
        <w:t>d</w:t>
      </w:r>
      <w:r w:rsidR="008B282D">
        <w:t xml:space="preserve"> care at home and reduced hospital activity over time, current data does not enable a definitive assessment of system-level impact or attribution to the Program.</w:t>
      </w:r>
    </w:p>
    <w:p w14:paraId="518B3A26" w14:textId="65538B96" w:rsidR="00A001BA" w:rsidRDefault="00402E23" w:rsidP="00402E23">
      <w:r w:rsidRPr="00054957">
        <w:t>Detailed findings</w:t>
      </w:r>
      <w:r w:rsidR="009215AC">
        <w:t xml:space="preserve"> and</w:t>
      </w:r>
      <w:r w:rsidRPr="00054957">
        <w:t xml:space="preserve"> domain-level assessments are presented in Chapters 3 to 9 and Appendix B.</w:t>
      </w:r>
    </w:p>
    <w:p w14:paraId="3F48228E" w14:textId="1DB414DA" w:rsidR="00E4548D" w:rsidRDefault="00E4548D" w:rsidP="00402E23">
      <w:r w:rsidRPr="00E4548D">
        <w:rPr>
          <w:noProof/>
        </w:rPr>
        <w:drawing>
          <wp:inline distT="0" distB="0" distL="0" distR="0" wp14:anchorId="2090C37E" wp14:editId="54D7236F">
            <wp:extent cx="5978273" cy="8062884"/>
            <wp:effectExtent l="0" t="0" r="3810" b="0"/>
            <wp:docPr id="1593500208" name="Picture 1" descr="1. Opportunity: PHNs should improve local governance mechanisms that are established and used as part of this Program, including with a greater focus on First Nations, CALD, provider and consumer representation and engagement.&#10;2. Opportunity: Collectively, use Activity Work Plans more effectively to track appropriateness of activities, progress and risks to implementation.&#10;3. Opportunity: The integration of consumer voices into the program presents an opportunity to enhance its appropriateness, both in identifying community needs that activities are designed to serve, and in assessing their effectiveness post-implementation.&#10;4. Opportunity: Collectively, improve and standardise the use of data collection tools to monitor outcomes across the Program. This includes approaches to monitor long term behaviour change and improved provision of palliative care.&#10;5. Opportunity: Where appropriate, PHNs should focus on activities that are supported by evidence and already have strong engagement, such as advance care planning or initiatives involving practice nurses and aged care staff.&#10;6. Opportunity: To enhance operational efficiency, PHNs should develop and facilitate access to a central repository dedicated to their palliative care education and training activity materials.&#10;7. Opportunity: The Program should retain and continue the prioritisation of coordination and integration activities, including a focus on engaging multi-disciplinary teams in local coordination.&#10;8. Opportunity: Where possible, PHNs should encourage data sharing agreements and relationships with GPs and specialist palliative care services.&#10;9. Opportunity: Collectively, establish and develop targeted outcome measures, key performance indicators or metrics and accompanying monitoring and data collection plans when undertaking activity work planning.&#10;10. Opportunity: The department should implement a mechanism that enables the identification and scaling of PHN activities that are demonstrated to be effective and have applicability at a national scale.&#10;11. Opportunity: PHNs should continue to seek opportunities for regional collaboration, either within the PHN or with other PHNs, to enable value for money and cost effici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00208" name="Picture 1" descr="1. Opportunity: PHNs should improve local governance mechanisms that are established and used as part of this Program, including with a greater focus on First Nations, CALD, provider and consumer representation and engagement.&#10;2. Opportunity: Collectively, use Activity Work Plans more effectively to track appropriateness of activities, progress and risks to implementation.&#10;3. Opportunity: The integration of consumer voices into the program presents an opportunity to enhance its appropriateness, both in identifying community needs that activities are designed to serve, and in assessing their effectiveness post-implementation.&#10;4. Opportunity: Collectively, improve and standardise the use of data collection tools to monitor outcomes across the Program. This includes approaches to monitor long term behaviour change and improved provision of palliative care.&#10;5. Opportunity: Where appropriate, PHNs should focus on activities that are supported by evidence and already have strong engagement, such as advance care planning or initiatives involving practice nurses and aged care staff.&#10;6. Opportunity: To enhance operational efficiency, PHNs should develop and facilitate access to a central repository dedicated to their palliative care education and training activity materials.&#10;7. Opportunity: The Program should retain and continue the prioritisation of coordination and integration activities, including a focus on engaging multi-disciplinary teams in local coordination.&#10;8. Opportunity: Where possible, PHNs should encourage data sharing agreements and relationships with GPs and specialist palliative care services.&#10;9. Opportunity: Collectively, establish and develop targeted outcome measures, key performance indicators or metrics and accompanying monitoring and data collection plans when undertaking activity work planning.&#10;10. Opportunity: The department should implement a mechanism that enables the identification and scaling of PHN activities that are demonstrated to be effective and have applicability at a national scale.&#10;11. Opportunity: PHNs should continue to seek opportunities for regional collaboration, either within the PHN or with other PHNs, to enable value for money and cost efficiency."/>
                    <pic:cNvPicPr/>
                  </pic:nvPicPr>
                  <pic:blipFill>
                    <a:blip r:embed="rId14"/>
                    <a:stretch>
                      <a:fillRect/>
                    </a:stretch>
                  </pic:blipFill>
                  <pic:spPr>
                    <a:xfrm>
                      <a:off x="0" y="0"/>
                      <a:ext cx="5990524" cy="8079407"/>
                    </a:xfrm>
                    <a:prstGeom prst="rect">
                      <a:avLst/>
                    </a:prstGeom>
                  </pic:spPr>
                </pic:pic>
              </a:graphicData>
            </a:graphic>
          </wp:inline>
        </w:drawing>
      </w:r>
    </w:p>
    <w:p w14:paraId="2A332C4C" w14:textId="6DF81324" w:rsidR="00E4548D" w:rsidRDefault="00E4548D">
      <w:r>
        <w:br w:type="page"/>
      </w:r>
    </w:p>
    <w:p w14:paraId="3CF02F19" w14:textId="3DDF6660" w:rsidR="00C00A38" w:rsidRPr="00997F82" w:rsidRDefault="004E681B" w:rsidP="00277D66">
      <w:pPr>
        <w:pStyle w:val="Heading2nonumbers"/>
      </w:pPr>
      <w:r w:rsidRPr="00997F82">
        <w:t xml:space="preserve">Conclusions and </w:t>
      </w:r>
      <w:r w:rsidR="00B61B0B" w:rsidRPr="00997F82">
        <w:t>next steps</w:t>
      </w:r>
    </w:p>
    <w:p w14:paraId="7BFDDCD0" w14:textId="07F645B2" w:rsidR="00685179" w:rsidRPr="00997F82" w:rsidRDefault="00DF1091" w:rsidP="006950EE">
      <w:r>
        <w:t>O</w:t>
      </w:r>
      <w:r w:rsidR="00AE55EA" w:rsidRPr="00054957">
        <w:t>verall</w:t>
      </w:r>
      <w:r w:rsidR="006A6BF9" w:rsidRPr="00054957">
        <w:t xml:space="preserve">, the Program </w:t>
      </w:r>
      <w:r w:rsidR="0069221C">
        <w:t>has</w:t>
      </w:r>
      <w:r w:rsidR="006A6BF9" w:rsidRPr="00054957">
        <w:t xml:space="preserve"> demonstrated </w:t>
      </w:r>
      <w:r w:rsidR="00AF1B19">
        <w:t>progress against its</w:t>
      </w:r>
      <w:r w:rsidR="006A6BF9" w:rsidRPr="00054957">
        <w:t xml:space="preserve"> stated objectives and </w:t>
      </w:r>
      <w:r w:rsidR="00AF1B19">
        <w:t>is contributing</w:t>
      </w:r>
      <w:r w:rsidR="00913963">
        <w:t xml:space="preserve"> to</w:t>
      </w:r>
      <w:r w:rsidR="006A6BF9" w:rsidRPr="00054957">
        <w:t xml:space="preserve"> positive impact on consumers, carers and clinicians.</w:t>
      </w:r>
      <w:r w:rsidR="00B26039" w:rsidRPr="00054957">
        <w:t xml:space="preserve"> This is detailed further in Chapter 9.</w:t>
      </w:r>
      <w:r w:rsidR="00B26039">
        <w:t xml:space="preserve"> </w:t>
      </w:r>
    </w:p>
    <w:p w14:paraId="40ACF071" w14:textId="3D845BEB" w:rsidR="00483F0E" w:rsidRPr="00997F82" w:rsidRDefault="00445D82" w:rsidP="006950EE">
      <w:r w:rsidRPr="00997F82">
        <w:t>This report highlights several achievements where PHNs have improved access to</w:t>
      </w:r>
      <w:r w:rsidR="00782CAA">
        <w:t>,</w:t>
      </w:r>
      <w:r w:rsidRPr="00997F82">
        <w:t xml:space="preserve"> and coordination of palliative care, especially in areas with limited services and awareness</w:t>
      </w:r>
      <w:r w:rsidR="0096542B" w:rsidRPr="00997F82">
        <w:t>.</w:t>
      </w:r>
      <w:r w:rsidRPr="00997F82" w:rsidDel="00445D82">
        <w:t xml:space="preserve"> </w:t>
      </w:r>
      <w:r w:rsidR="00C655F9" w:rsidRPr="00997F82">
        <w:t xml:space="preserve">There are </w:t>
      </w:r>
      <w:r w:rsidR="00B61B0B" w:rsidRPr="00997F82">
        <w:t xml:space="preserve">also </w:t>
      </w:r>
      <w:r w:rsidR="00C655F9" w:rsidRPr="00997F82">
        <w:t>several opportunities</w:t>
      </w:r>
      <w:r w:rsidR="009716C0" w:rsidRPr="00997F82">
        <w:t xml:space="preserve"> identified</w:t>
      </w:r>
      <w:r w:rsidR="00C655F9" w:rsidRPr="00997F82">
        <w:t xml:space="preserve"> to further improve and measure the impact of the </w:t>
      </w:r>
      <w:r w:rsidR="009716C0" w:rsidRPr="00997F82">
        <w:t>P</w:t>
      </w:r>
      <w:r w:rsidR="00C655F9" w:rsidRPr="00997F82">
        <w:t>rogram</w:t>
      </w:r>
      <w:r w:rsidR="00B61B0B" w:rsidRPr="00997F82">
        <w:t>.</w:t>
      </w:r>
    </w:p>
    <w:p w14:paraId="6A3DC205" w14:textId="77777777" w:rsidR="00E35A9F" w:rsidRPr="00997F82" w:rsidRDefault="00E35A9F" w:rsidP="006950EE">
      <w:r w:rsidRPr="00997F82">
        <w:t xml:space="preserve">Next steps for the Program may include: </w:t>
      </w:r>
    </w:p>
    <w:p w14:paraId="25AFDC31" w14:textId="526AE68B" w:rsidR="004E681B" w:rsidRPr="00997F82" w:rsidRDefault="004E681B" w:rsidP="006950EE">
      <w:pPr>
        <w:pStyle w:val="ListBullet"/>
      </w:pPr>
      <w:r w:rsidRPr="00997F82">
        <w:t xml:space="preserve">Developing a plan for implementation of opportunities, prioritising </w:t>
      </w:r>
      <w:r w:rsidR="00C019C0" w:rsidRPr="00997F82">
        <w:t xml:space="preserve">these based on </w:t>
      </w:r>
      <w:r w:rsidRPr="00997F82">
        <w:t xml:space="preserve">factors </w:t>
      </w:r>
      <w:r w:rsidR="00224CF9" w:rsidRPr="00997F82">
        <w:t xml:space="preserve">such </w:t>
      </w:r>
      <w:r w:rsidRPr="00997F82">
        <w:t xml:space="preserve">as </w:t>
      </w:r>
      <w:r w:rsidR="00C019C0" w:rsidRPr="00997F82">
        <w:t xml:space="preserve">potential </w:t>
      </w:r>
      <w:r w:rsidRPr="00997F82">
        <w:t>impact, feasibility, cost and timeliness.</w:t>
      </w:r>
    </w:p>
    <w:p w14:paraId="0C860B8A" w14:textId="77777777" w:rsidR="00B1143F" w:rsidRDefault="004E681B" w:rsidP="006950EE">
      <w:pPr>
        <w:pStyle w:val="ListBullet"/>
      </w:pPr>
      <w:r w:rsidRPr="00997F82">
        <w:t>Ensuring that the next phase of funding for the Program appropriately explores the opportunities identified by the Evaluation.</w:t>
      </w:r>
    </w:p>
    <w:p w14:paraId="68BC50C8" w14:textId="2154B506" w:rsidR="00B1143F" w:rsidRPr="002E4B35" w:rsidRDefault="00B1143F" w:rsidP="006950EE">
      <w:pPr>
        <w:rPr>
          <w:lang w:val="en-AU" w:eastAsia="en-AU"/>
        </w:rPr>
      </w:pPr>
      <w:r w:rsidRPr="002E4B35">
        <w:rPr>
          <w:lang w:val="en-AU" w:eastAsia="en-AU"/>
        </w:rPr>
        <w:t xml:space="preserve">Noting that </w:t>
      </w:r>
      <w:r w:rsidR="00F57AA2">
        <w:rPr>
          <w:lang w:val="en-AU" w:eastAsia="en-AU"/>
        </w:rPr>
        <w:t xml:space="preserve">while </w:t>
      </w:r>
      <w:r w:rsidRPr="002E4B35">
        <w:rPr>
          <w:lang w:val="en-AU" w:eastAsia="en-AU"/>
        </w:rPr>
        <w:t>funding per PHN is modest on an annual basis, the cumulative national investment in the Program is significant. The evaluation highlights that, while this investment has supported substantial implementation activity and capability building across the system, there remains uncertainty regarding the extent to which it is translating into measurable system-level outcomes.</w:t>
      </w:r>
    </w:p>
    <w:p w14:paraId="046355DF" w14:textId="14484EF6" w:rsidR="00B1143F" w:rsidRPr="002E4B35" w:rsidRDefault="00B1143F" w:rsidP="006950EE">
      <w:pPr>
        <w:rPr>
          <w:lang w:val="en-AU" w:eastAsia="en-AU"/>
        </w:rPr>
      </w:pPr>
      <w:r w:rsidRPr="002E4B35">
        <w:rPr>
          <w:lang w:val="en-AU" w:eastAsia="en-AU"/>
        </w:rPr>
        <w:t xml:space="preserve">This reinforces the importance of strengthening outcome measurement, data collection and consistency at a national level to better </w:t>
      </w:r>
      <w:r w:rsidR="00B85C57">
        <w:rPr>
          <w:lang w:val="en-AU" w:eastAsia="en-AU"/>
        </w:rPr>
        <w:t>understand impact</w:t>
      </w:r>
      <w:r w:rsidR="008606E0">
        <w:rPr>
          <w:lang w:val="en-AU" w:eastAsia="en-AU"/>
        </w:rPr>
        <w:t xml:space="preserve"> and </w:t>
      </w:r>
      <w:r w:rsidR="00463B90">
        <w:rPr>
          <w:lang w:val="en-AU" w:eastAsia="en-AU"/>
        </w:rPr>
        <w:t xml:space="preserve">better </w:t>
      </w:r>
      <w:r w:rsidRPr="002E4B35">
        <w:rPr>
          <w:lang w:val="en-AU" w:eastAsia="en-AU"/>
        </w:rPr>
        <w:t xml:space="preserve">inform future </w:t>
      </w:r>
      <w:r w:rsidR="00285091">
        <w:rPr>
          <w:lang w:val="en-AU" w:eastAsia="en-AU"/>
        </w:rPr>
        <w:t>policy directions</w:t>
      </w:r>
      <w:r w:rsidRPr="002E4B35">
        <w:rPr>
          <w:lang w:val="en-AU" w:eastAsia="en-AU"/>
        </w:rPr>
        <w:t>.</w:t>
      </w:r>
    </w:p>
    <w:p w14:paraId="1C858306" w14:textId="7F44905E" w:rsidR="001D0416" w:rsidRPr="00997F82" w:rsidRDefault="001D0416" w:rsidP="002E4B35">
      <w:r w:rsidRPr="00997F82">
        <w:br w:type="page"/>
      </w:r>
    </w:p>
    <w:sdt>
      <w:sdtPr>
        <w:rPr>
          <w:rFonts w:ascii="Avenir Next LT Pro" w:eastAsiaTheme="minorEastAsia" w:hAnsi="Avenir Next LT Pro" w:cstheme="minorBidi"/>
          <w:color w:val="484B5D" w:themeColor="accent3"/>
          <w:spacing w:val="0"/>
          <w:kern w:val="0"/>
          <w:sz w:val="20"/>
          <w:szCs w:val="20"/>
          <w:lang w:val="en-GB" w:eastAsia="ja-JP"/>
          <w14:ligatures w14:val="none"/>
        </w:rPr>
        <w:id w:val="-112676233"/>
        <w:docPartObj>
          <w:docPartGallery w:val="Table of Contents"/>
          <w:docPartUnique/>
        </w:docPartObj>
      </w:sdtPr>
      <w:sdtEndPr>
        <w:rPr>
          <w:b/>
          <w:bCs/>
        </w:rPr>
      </w:sdtEndPr>
      <w:sdtContent>
        <w:p w14:paraId="1563F847" w14:textId="4AB77F8B" w:rsidR="008D6A21" w:rsidRDefault="008D6A21">
          <w:pPr>
            <w:pStyle w:val="TOCHeading"/>
          </w:pPr>
          <w:r>
            <w:rPr>
              <w:lang w:val="en-GB"/>
            </w:rPr>
            <w:t>Table of Contents</w:t>
          </w:r>
        </w:p>
        <w:p w14:paraId="07D6734E" w14:textId="54A5B751" w:rsidR="008D6A21" w:rsidRDefault="008D6A21">
          <w:pPr>
            <w:pStyle w:val="TOC1"/>
            <w:rPr>
              <w:rFonts w:asciiTheme="minorHAnsi" w:hAnsiTheme="minorHAnsi"/>
              <w:b w:val="0"/>
              <w:bCs w:val="0"/>
              <w:caps w:val="0"/>
              <w:noProof/>
              <w:color w:val="auto"/>
              <w:kern w:val="2"/>
              <w:lang w:val="en-AU"/>
              <w14:ligatures w14:val="standardContextual"/>
            </w:rPr>
          </w:pPr>
          <w:r>
            <w:fldChar w:fldCharType="begin"/>
          </w:r>
          <w:r>
            <w:instrText xml:space="preserve"> TOC \o "1-1" \h \z \u </w:instrText>
          </w:r>
          <w:r>
            <w:fldChar w:fldCharType="separate"/>
          </w:r>
          <w:hyperlink w:anchor="_Toc231898080" w:history="1">
            <w:r w:rsidRPr="00476524">
              <w:rPr>
                <w:rStyle w:val="Hyperlink"/>
                <w:noProof/>
              </w:rPr>
              <w:t>Disclaimer</w:t>
            </w:r>
            <w:r>
              <w:rPr>
                <w:noProof/>
                <w:webHidden/>
              </w:rPr>
              <w:tab/>
            </w:r>
            <w:r>
              <w:rPr>
                <w:noProof/>
                <w:webHidden/>
              </w:rPr>
              <w:fldChar w:fldCharType="begin"/>
            </w:r>
            <w:r>
              <w:rPr>
                <w:noProof/>
                <w:webHidden/>
              </w:rPr>
              <w:instrText xml:space="preserve"> PAGEREF _Toc231898080 \h </w:instrText>
            </w:r>
            <w:r>
              <w:rPr>
                <w:noProof/>
                <w:webHidden/>
              </w:rPr>
            </w:r>
            <w:r>
              <w:rPr>
                <w:noProof/>
                <w:webHidden/>
              </w:rPr>
              <w:fldChar w:fldCharType="separate"/>
            </w:r>
            <w:r>
              <w:rPr>
                <w:noProof/>
                <w:webHidden/>
              </w:rPr>
              <w:t>2</w:t>
            </w:r>
            <w:r>
              <w:rPr>
                <w:noProof/>
                <w:webHidden/>
              </w:rPr>
              <w:fldChar w:fldCharType="end"/>
            </w:r>
          </w:hyperlink>
        </w:p>
        <w:p w14:paraId="49121A2D" w14:textId="7F9A5E40" w:rsidR="008D6A21" w:rsidRDefault="008D6A21">
          <w:pPr>
            <w:pStyle w:val="TOC1"/>
            <w:rPr>
              <w:rFonts w:asciiTheme="minorHAnsi" w:hAnsiTheme="minorHAnsi"/>
              <w:b w:val="0"/>
              <w:bCs w:val="0"/>
              <w:caps w:val="0"/>
              <w:noProof/>
              <w:color w:val="auto"/>
              <w:kern w:val="2"/>
              <w:lang w:val="en-AU"/>
              <w14:ligatures w14:val="standardContextual"/>
            </w:rPr>
          </w:pPr>
          <w:hyperlink w:anchor="_Toc231898081" w:history="1">
            <w:r w:rsidRPr="00476524">
              <w:rPr>
                <w:rStyle w:val="Hyperlink"/>
                <w:noProof/>
              </w:rPr>
              <w:t>Executive Summary</w:t>
            </w:r>
            <w:r>
              <w:rPr>
                <w:noProof/>
                <w:webHidden/>
              </w:rPr>
              <w:tab/>
            </w:r>
            <w:r>
              <w:rPr>
                <w:noProof/>
                <w:webHidden/>
              </w:rPr>
              <w:fldChar w:fldCharType="begin"/>
            </w:r>
            <w:r>
              <w:rPr>
                <w:noProof/>
                <w:webHidden/>
              </w:rPr>
              <w:instrText xml:space="preserve"> PAGEREF _Toc231898081 \h </w:instrText>
            </w:r>
            <w:r>
              <w:rPr>
                <w:noProof/>
                <w:webHidden/>
              </w:rPr>
            </w:r>
            <w:r>
              <w:rPr>
                <w:noProof/>
                <w:webHidden/>
              </w:rPr>
              <w:fldChar w:fldCharType="separate"/>
            </w:r>
            <w:r>
              <w:rPr>
                <w:noProof/>
                <w:webHidden/>
              </w:rPr>
              <w:t>3</w:t>
            </w:r>
            <w:r>
              <w:rPr>
                <w:noProof/>
                <w:webHidden/>
              </w:rPr>
              <w:fldChar w:fldCharType="end"/>
            </w:r>
          </w:hyperlink>
        </w:p>
        <w:p w14:paraId="56831BF2" w14:textId="178D4EEC" w:rsidR="008D6A21" w:rsidRDefault="008D6A21">
          <w:pPr>
            <w:pStyle w:val="TOC1"/>
            <w:rPr>
              <w:rFonts w:asciiTheme="minorHAnsi" w:hAnsiTheme="minorHAnsi"/>
              <w:b w:val="0"/>
              <w:bCs w:val="0"/>
              <w:caps w:val="0"/>
              <w:noProof/>
              <w:color w:val="auto"/>
              <w:kern w:val="2"/>
              <w:lang w:val="en-AU"/>
              <w14:ligatures w14:val="standardContextual"/>
            </w:rPr>
          </w:pPr>
          <w:hyperlink w:anchor="_Toc231898082" w:history="1">
            <w:r w:rsidRPr="00476524">
              <w:rPr>
                <w:rStyle w:val="Hyperlink"/>
                <w:noProof/>
              </w:rPr>
              <w:t>1.</w:t>
            </w:r>
            <w:r>
              <w:rPr>
                <w:rFonts w:asciiTheme="minorHAnsi" w:hAnsiTheme="minorHAnsi"/>
                <w:b w:val="0"/>
                <w:bCs w:val="0"/>
                <w:caps w:val="0"/>
                <w:noProof/>
                <w:color w:val="auto"/>
                <w:kern w:val="2"/>
                <w:lang w:val="en-AU"/>
                <w14:ligatures w14:val="standardContextual"/>
              </w:rPr>
              <w:tab/>
            </w:r>
            <w:r w:rsidRPr="00476524">
              <w:rPr>
                <w:rStyle w:val="Hyperlink"/>
                <w:noProof/>
              </w:rPr>
              <w:t>Introduction</w:t>
            </w:r>
            <w:r>
              <w:rPr>
                <w:noProof/>
                <w:webHidden/>
              </w:rPr>
              <w:tab/>
            </w:r>
            <w:r>
              <w:rPr>
                <w:noProof/>
                <w:webHidden/>
              </w:rPr>
              <w:fldChar w:fldCharType="begin"/>
            </w:r>
            <w:r>
              <w:rPr>
                <w:noProof/>
                <w:webHidden/>
              </w:rPr>
              <w:instrText xml:space="preserve"> PAGEREF _Toc231898082 \h </w:instrText>
            </w:r>
            <w:r>
              <w:rPr>
                <w:noProof/>
                <w:webHidden/>
              </w:rPr>
            </w:r>
            <w:r>
              <w:rPr>
                <w:noProof/>
                <w:webHidden/>
              </w:rPr>
              <w:fldChar w:fldCharType="separate"/>
            </w:r>
            <w:r>
              <w:rPr>
                <w:noProof/>
                <w:webHidden/>
              </w:rPr>
              <w:t>9</w:t>
            </w:r>
            <w:r>
              <w:rPr>
                <w:noProof/>
                <w:webHidden/>
              </w:rPr>
              <w:fldChar w:fldCharType="end"/>
            </w:r>
          </w:hyperlink>
        </w:p>
        <w:p w14:paraId="7ED3E675" w14:textId="23DDCEA8" w:rsidR="008D6A21" w:rsidRDefault="008D6A21">
          <w:pPr>
            <w:pStyle w:val="TOC1"/>
            <w:rPr>
              <w:rFonts w:asciiTheme="minorHAnsi" w:hAnsiTheme="minorHAnsi"/>
              <w:b w:val="0"/>
              <w:bCs w:val="0"/>
              <w:caps w:val="0"/>
              <w:noProof/>
              <w:color w:val="auto"/>
              <w:kern w:val="2"/>
              <w:lang w:val="en-AU"/>
              <w14:ligatures w14:val="standardContextual"/>
            </w:rPr>
          </w:pPr>
          <w:hyperlink w:anchor="_Toc231898083" w:history="1">
            <w:r w:rsidRPr="00476524">
              <w:rPr>
                <w:rStyle w:val="Hyperlink"/>
                <w:noProof/>
              </w:rPr>
              <w:t>2.</w:t>
            </w:r>
            <w:r>
              <w:rPr>
                <w:rFonts w:asciiTheme="minorHAnsi" w:hAnsiTheme="minorHAnsi"/>
                <w:b w:val="0"/>
                <w:bCs w:val="0"/>
                <w:caps w:val="0"/>
                <w:noProof/>
                <w:color w:val="auto"/>
                <w:kern w:val="2"/>
                <w:lang w:val="en-AU"/>
                <w14:ligatures w14:val="standardContextual"/>
              </w:rPr>
              <w:tab/>
            </w:r>
            <w:r w:rsidRPr="00476524">
              <w:rPr>
                <w:rStyle w:val="Hyperlink"/>
                <w:noProof/>
              </w:rPr>
              <w:t>PHN Activity Summary</w:t>
            </w:r>
            <w:r>
              <w:rPr>
                <w:noProof/>
                <w:webHidden/>
              </w:rPr>
              <w:tab/>
            </w:r>
            <w:r>
              <w:rPr>
                <w:noProof/>
                <w:webHidden/>
              </w:rPr>
              <w:fldChar w:fldCharType="begin"/>
            </w:r>
            <w:r>
              <w:rPr>
                <w:noProof/>
                <w:webHidden/>
              </w:rPr>
              <w:instrText xml:space="preserve"> PAGEREF _Toc231898083 \h </w:instrText>
            </w:r>
            <w:r>
              <w:rPr>
                <w:noProof/>
                <w:webHidden/>
              </w:rPr>
            </w:r>
            <w:r>
              <w:rPr>
                <w:noProof/>
                <w:webHidden/>
              </w:rPr>
              <w:fldChar w:fldCharType="separate"/>
            </w:r>
            <w:r>
              <w:rPr>
                <w:noProof/>
                <w:webHidden/>
              </w:rPr>
              <w:t>13</w:t>
            </w:r>
            <w:r>
              <w:rPr>
                <w:noProof/>
                <w:webHidden/>
              </w:rPr>
              <w:fldChar w:fldCharType="end"/>
            </w:r>
          </w:hyperlink>
        </w:p>
        <w:p w14:paraId="223D04A7" w14:textId="378F9AA9" w:rsidR="008D6A21" w:rsidRDefault="008D6A21">
          <w:pPr>
            <w:pStyle w:val="TOC1"/>
            <w:rPr>
              <w:rFonts w:asciiTheme="minorHAnsi" w:hAnsiTheme="minorHAnsi"/>
              <w:b w:val="0"/>
              <w:bCs w:val="0"/>
              <w:caps w:val="0"/>
              <w:noProof/>
              <w:color w:val="auto"/>
              <w:kern w:val="2"/>
              <w:lang w:val="en-AU"/>
              <w14:ligatures w14:val="standardContextual"/>
            </w:rPr>
          </w:pPr>
          <w:hyperlink w:anchor="_Toc231898084" w:history="1">
            <w:r w:rsidRPr="00476524">
              <w:rPr>
                <w:rStyle w:val="Hyperlink"/>
                <w:noProof/>
              </w:rPr>
              <w:t>3.</w:t>
            </w:r>
            <w:r>
              <w:rPr>
                <w:rFonts w:asciiTheme="minorHAnsi" w:hAnsiTheme="minorHAnsi"/>
                <w:b w:val="0"/>
                <w:bCs w:val="0"/>
                <w:caps w:val="0"/>
                <w:noProof/>
                <w:color w:val="auto"/>
                <w:kern w:val="2"/>
                <w:lang w:val="en-AU"/>
                <w14:ligatures w14:val="standardContextual"/>
              </w:rPr>
              <w:tab/>
            </w:r>
            <w:r w:rsidRPr="00476524">
              <w:rPr>
                <w:rStyle w:val="Hyperlink"/>
                <w:noProof/>
              </w:rPr>
              <w:t>Program design and delivery</w:t>
            </w:r>
            <w:r>
              <w:rPr>
                <w:noProof/>
                <w:webHidden/>
              </w:rPr>
              <w:tab/>
            </w:r>
            <w:r>
              <w:rPr>
                <w:noProof/>
                <w:webHidden/>
              </w:rPr>
              <w:fldChar w:fldCharType="begin"/>
            </w:r>
            <w:r>
              <w:rPr>
                <w:noProof/>
                <w:webHidden/>
              </w:rPr>
              <w:instrText xml:space="preserve"> PAGEREF _Toc231898084 \h </w:instrText>
            </w:r>
            <w:r>
              <w:rPr>
                <w:noProof/>
                <w:webHidden/>
              </w:rPr>
            </w:r>
            <w:r>
              <w:rPr>
                <w:noProof/>
                <w:webHidden/>
              </w:rPr>
              <w:fldChar w:fldCharType="separate"/>
            </w:r>
            <w:r>
              <w:rPr>
                <w:noProof/>
                <w:webHidden/>
              </w:rPr>
              <w:t>21</w:t>
            </w:r>
            <w:r>
              <w:rPr>
                <w:noProof/>
                <w:webHidden/>
              </w:rPr>
              <w:fldChar w:fldCharType="end"/>
            </w:r>
          </w:hyperlink>
        </w:p>
        <w:p w14:paraId="19E82EBF" w14:textId="2C9E37C6" w:rsidR="008D6A21" w:rsidRDefault="008D6A21">
          <w:pPr>
            <w:pStyle w:val="TOC1"/>
            <w:rPr>
              <w:rFonts w:asciiTheme="minorHAnsi" w:hAnsiTheme="minorHAnsi"/>
              <w:b w:val="0"/>
              <w:bCs w:val="0"/>
              <w:caps w:val="0"/>
              <w:noProof/>
              <w:color w:val="auto"/>
              <w:kern w:val="2"/>
              <w:lang w:val="en-AU"/>
              <w14:ligatures w14:val="standardContextual"/>
            </w:rPr>
          </w:pPr>
          <w:hyperlink w:anchor="_Toc231898085" w:history="1">
            <w:r w:rsidRPr="00476524">
              <w:rPr>
                <w:rStyle w:val="Hyperlink"/>
                <w:noProof/>
              </w:rPr>
              <w:t>4.</w:t>
            </w:r>
            <w:r>
              <w:rPr>
                <w:rFonts w:asciiTheme="minorHAnsi" w:hAnsiTheme="minorHAnsi"/>
                <w:b w:val="0"/>
                <w:bCs w:val="0"/>
                <w:caps w:val="0"/>
                <w:noProof/>
                <w:color w:val="auto"/>
                <w:kern w:val="2"/>
                <w:lang w:val="en-AU"/>
                <w14:ligatures w14:val="standardContextual"/>
              </w:rPr>
              <w:tab/>
            </w:r>
            <w:r w:rsidRPr="00476524">
              <w:rPr>
                <w:rStyle w:val="Hyperlink"/>
                <w:noProof/>
              </w:rPr>
              <w:t>Provider Experience</w:t>
            </w:r>
            <w:r>
              <w:rPr>
                <w:noProof/>
                <w:webHidden/>
              </w:rPr>
              <w:tab/>
            </w:r>
            <w:r>
              <w:rPr>
                <w:noProof/>
                <w:webHidden/>
              </w:rPr>
              <w:fldChar w:fldCharType="begin"/>
            </w:r>
            <w:r>
              <w:rPr>
                <w:noProof/>
                <w:webHidden/>
              </w:rPr>
              <w:instrText xml:space="preserve"> PAGEREF _Toc231898085 \h </w:instrText>
            </w:r>
            <w:r>
              <w:rPr>
                <w:noProof/>
                <w:webHidden/>
              </w:rPr>
            </w:r>
            <w:r>
              <w:rPr>
                <w:noProof/>
                <w:webHidden/>
              </w:rPr>
              <w:fldChar w:fldCharType="separate"/>
            </w:r>
            <w:r>
              <w:rPr>
                <w:noProof/>
                <w:webHidden/>
              </w:rPr>
              <w:t>32</w:t>
            </w:r>
            <w:r>
              <w:rPr>
                <w:noProof/>
                <w:webHidden/>
              </w:rPr>
              <w:fldChar w:fldCharType="end"/>
            </w:r>
          </w:hyperlink>
        </w:p>
        <w:p w14:paraId="7B561213" w14:textId="25B0DF76" w:rsidR="008D6A21" w:rsidRDefault="008D6A21">
          <w:pPr>
            <w:pStyle w:val="TOC1"/>
            <w:rPr>
              <w:rFonts w:asciiTheme="minorHAnsi" w:hAnsiTheme="minorHAnsi"/>
              <w:b w:val="0"/>
              <w:bCs w:val="0"/>
              <w:caps w:val="0"/>
              <w:noProof/>
              <w:color w:val="auto"/>
              <w:kern w:val="2"/>
              <w:lang w:val="en-AU"/>
              <w14:ligatures w14:val="standardContextual"/>
            </w:rPr>
          </w:pPr>
          <w:hyperlink w:anchor="_Toc231898086" w:history="1">
            <w:r w:rsidRPr="00476524">
              <w:rPr>
                <w:rStyle w:val="Hyperlink"/>
                <w:noProof/>
              </w:rPr>
              <w:t>5.</w:t>
            </w:r>
            <w:r>
              <w:rPr>
                <w:rFonts w:asciiTheme="minorHAnsi" w:hAnsiTheme="minorHAnsi"/>
                <w:b w:val="0"/>
                <w:bCs w:val="0"/>
                <w:caps w:val="0"/>
                <w:noProof/>
                <w:color w:val="auto"/>
                <w:kern w:val="2"/>
                <w:lang w:val="en-AU"/>
                <w14:ligatures w14:val="standardContextual"/>
              </w:rPr>
              <w:tab/>
            </w:r>
            <w:r w:rsidRPr="00476524">
              <w:rPr>
                <w:rStyle w:val="Hyperlink"/>
                <w:noProof/>
              </w:rPr>
              <w:t>Patient Experience</w:t>
            </w:r>
            <w:r>
              <w:rPr>
                <w:noProof/>
                <w:webHidden/>
              </w:rPr>
              <w:tab/>
            </w:r>
            <w:r>
              <w:rPr>
                <w:noProof/>
                <w:webHidden/>
              </w:rPr>
              <w:fldChar w:fldCharType="begin"/>
            </w:r>
            <w:r>
              <w:rPr>
                <w:noProof/>
                <w:webHidden/>
              </w:rPr>
              <w:instrText xml:space="preserve"> PAGEREF _Toc231898086 \h </w:instrText>
            </w:r>
            <w:r>
              <w:rPr>
                <w:noProof/>
                <w:webHidden/>
              </w:rPr>
            </w:r>
            <w:r>
              <w:rPr>
                <w:noProof/>
                <w:webHidden/>
              </w:rPr>
              <w:fldChar w:fldCharType="separate"/>
            </w:r>
            <w:r>
              <w:rPr>
                <w:noProof/>
                <w:webHidden/>
              </w:rPr>
              <w:t>39</w:t>
            </w:r>
            <w:r>
              <w:rPr>
                <w:noProof/>
                <w:webHidden/>
              </w:rPr>
              <w:fldChar w:fldCharType="end"/>
            </w:r>
          </w:hyperlink>
        </w:p>
        <w:p w14:paraId="3000680D" w14:textId="07793864" w:rsidR="008D6A21" w:rsidRDefault="008D6A21">
          <w:pPr>
            <w:pStyle w:val="TOC1"/>
            <w:rPr>
              <w:rFonts w:asciiTheme="minorHAnsi" w:hAnsiTheme="minorHAnsi"/>
              <w:b w:val="0"/>
              <w:bCs w:val="0"/>
              <w:caps w:val="0"/>
              <w:noProof/>
              <w:color w:val="auto"/>
              <w:kern w:val="2"/>
              <w:lang w:val="en-AU"/>
              <w14:ligatures w14:val="standardContextual"/>
            </w:rPr>
          </w:pPr>
          <w:hyperlink w:anchor="_Toc231898087" w:history="1">
            <w:r w:rsidRPr="00476524">
              <w:rPr>
                <w:rStyle w:val="Hyperlink"/>
                <w:noProof/>
              </w:rPr>
              <w:t>6.</w:t>
            </w:r>
            <w:r>
              <w:rPr>
                <w:rFonts w:asciiTheme="minorHAnsi" w:hAnsiTheme="minorHAnsi"/>
                <w:b w:val="0"/>
                <w:bCs w:val="0"/>
                <w:caps w:val="0"/>
                <w:noProof/>
                <w:color w:val="auto"/>
                <w:kern w:val="2"/>
                <w:lang w:val="en-AU"/>
                <w14:ligatures w14:val="standardContextual"/>
              </w:rPr>
              <w:tab/>
            </w:r>
            <w:r w:rsidRPr="00476524">
              <w:rPr>
                <w:rStyle w:val="Hyperlink"/>
                <w:noProof/>
              </w:rPr>
              <w:t>Population Health – Appropriate palliative care outcomes</w:t>
            </w:r>
            <w:r>
              <w:rPr>
                <w:noProof/>
                <w:webHidden/>
              </w:rPr>
              <w:tab/>
            </w:r>
            <w:r>
              <w:rPr>
                <w:noProof/>
                <w:webHidden/>
              </w:rPr>
              <w:fldChar w:fldCharType="begin"/>
            </w:r>
            <w:r>
              <w:rPr>
                <w:noProof/>
                <w:webHidden/>
              </w:rPr>
              <w:instrText xml:space="preserve"> PAGEREF _Toc231898087 \h </w:instrText>
            </w:r>
            <w:r>
              <w:rPr>
                <w:noProof/>
                <w:webHidden/>
              </w:rPr>
            </w:r>
            <w:r>
              <w:rPr>
                <w:noProof/>
                <w:webHidden/>
              </w:rPr>
              <w:fldChar w:fldCharType="separate"/>
            </w:r>
            <w:r>
              <w:rPr>
                <w:noProof/>
                <w:webHidden/>
              </w:rPr>
              <w:t>46</w:t>
            </w:r>
            <w:r>
              <w:rPr>
                <w:noProof/>
                <w:webHidden/>
              </w:rPr>
              <w:fldChar w:fldCharType="end"/>
            </w:r>
          </w:hyperlink>
        </w:p>
        <w:p w14:paraId="1AA48C06" w14:textId="35C48F7B" w:rsidR="008D6A21" w:rsidRDefault="008D6A21">
          <w:pPr>
            <w:pStyle w:val="TOC1"/>
            <w:rPr>
              <w:rFonts w:asciiTheme="minorHAnsi" w:hAnsiTheme="minorHAnsi"/>
              <w:b w:val="0"/>
              <w:bCs w:val="0"/>
              <w:caps w:val="0"/>
              <w:noProof/>
              <w:color w:val="auto"/>
              <w:kern w:val="2"/>
              <w:lang w:val="en-AU"/>
              <w14:ligatures w14:val="standardContextual"/>
            </w:rPr>
          </w:pPr>
          <w:hyperlink w:anchor="_Toc231898088" w:history="1">
            <w:r w:rsidRPr="00476524">
              <w:rPr>
                <w:rStyle w:val="Hyperlink"/>
                <w:noProof/>
              </w:rPr>
              <w:t>7.</w:t>
            </w:r>
            <w:r>
              <w:rPr>
                <w:rFonts w:asciiTheme="minorHAnsi" w:hAnsiTheme="minorHAnsi"/>
                <w:b w:val="0"/>
                <w:bCs w:val="0"/>
                <w:caps w:val="0"/>
                <w:noProof/>
                <w:color w:val="auto"/>
                <w:kern w:val="2"/>
                <w:lang w:val="en-AU"/>
                <w14:ligatures w14:val="standardContextual"/>
              </w:rPr>
              <w:tab/>
            </w:r>
            <w:r w:rsidRPr="00476524">
              <w:rPr>
                <w:rStyle w:val="Hyperlink"/>
                <w:noProof/>
              </w:rPr>
              <w:t>Health Equity</w:t>
            </w:r>
            <w:r>
              <w:rPr>
                <w:noProof/>
                <w:webHidden/>
              </w:rPr>
              <w:tab/>
            </w:r>
            <w:r>
              <w:rPr>
                <w:noProof/>
                <w:webHidden/>
              </w:rPr>
              <w:fldChar w:fldCharType="begin"/>
            </w:r>
            <w:r>
              <w:rPr>
                <w:noProof/>
                <w:webHidden/>
              </w:rPr>
              <w:instrText xml:space="preserve"> PAGEREF _Toc231898088 \h </w:instrText>
            </w:r>
            <w:r>
              <w:rPr>
                <w:noProof/>
                <w:webHidden/>
              </w:rPr>
            </w:r>
            <w:r>
              <w:rPr>
                <w:noProof/>
                <w:webHidden/>
              </w:rPr>
              <w:fldChar w:fldCharType="separate"/>
            </w:r>
            <w:r>
              <w:rPr>
                <w:noProof/>
                <w:webHidden/>
              </w:rPr>
              <w:t>54</w:t>
            </w:r>
            <w:r>
              <w:rPr>
                <w:noProof/>
                <w:webHidden/>
              </w:rPr>
              <w:fldChar w:fldCharType="end"/>
            </w:r>
          </w:hyperlink>
        </w:p>
        <w:p w14:paraId="359C78BA" w14:textId="2012757C" w:rsidR="008D6A21" w:rsidRDefault="008D6A21">
          <w:pPr>
            <w:pStyle w:val="TOC1"/>
            <w:rPr>
              <w:rFonts w:asciiTheme="minorHAnsi" w:hAnsiTheme="minorHAnsi"/>
              <w:b w:val="0"/>
              <w:bCs w:val="0"/>
              <w:caps w:val="0"/>
              <w:noProof/>
              <w:color w:val="auto"/>
              <w:kern w:val="2"/>
              <w:lang w:val="en-AU"/>
              <w14:ligatures w14:val="standardContextual"/>
            </w:rPr>
          </w:pPr>
          <w:hyperlink w:anchor="_Toc231898089" w:history="1">
            <w:r w:rsidRPr="00476524">
              <w:rPr>
                <w:rStyle w:val="Hyperlink"/>
                <w:noProof/>
              </w:rPr>
              <w:t>8.</w:t>
            </w:r>
            <w:r>
              <w:rPr>
                <w:rFonts w:asciiTheme="minorHAnsi" w:hAnsiTheme="minorHAnsi"/>
                <w:b w:val="0"/>
                <w:bCs w:val="0"/>
                <w:caps w:val="0"/>
                <w:noProof/>
                <w:color w:val="auto"/>
                <w:kern w:val="2"/>
                <w:lang w:val="en-AU"/>
                <w14:ligatures w14:val="standardContextual"/>
              </w:rPr>
              <w:tab/>
            </w:r>
            <w:r w:rsidRPr="00476524">
              <w:rPr>
                <w:rStyle w:val="Hyperlink"/>
                <w:noProof/>
              </w:rPr>
              <w:t>Value for money</w:t>
            </w:r>
            <w:r>
              <w:rPr>
                <w:noProof/>
                <w:webHidden/>
              </w:rPr>
              <w:tab/>
            </w:r>
            <w:r>
              <w:rPr>
                <w:noProof/>
                <w:webHidden/>
              </w:rPr>
              <w:fldChar w:fldCharType="begin"/>
            </w:r>
            <w:r>
              <w:rPr>
                <w:noProof/>
                <w:webHidden/>
              </w:rPr>
              <w:instrText xml:space="preserve"> PAGEREF _Toc231898089 \h </w:instrText>
            </w:r>
            <w:r>
              <w:rPr>
                <w:noProof/>
                <w:webHidden/>
              </w:rPr>
            </w:r>
            <w:r>
              <w:rPr>
                <w:noProof/>
                <w:webHidden/>
              </w:rPr>
              <w:fldChar w:fldCharType="separate"/>
            </w:r>
            <w:r>
              <w:rPr>
                <w:noProof/>
                <w:webHidden/>
              </w:rPr>
              <w:t>59</w:t>
            </w:r>
            <w:r>
              <w:rPr>
                <w:noProof/>
                <w:webHidden/>
              </w:rPr>
              <w:fldChar w:fldCharType="end"/>
            </w:r>
          </w:hyperlink>
        </w:p>
        <w:p w14:paraId="4ED05A66" w14:textId="3499C504" w:rsidR="008D6A21" w:rsidRDefault="008D6A21">
          <w:pPr>
            <w:pStyle w:val="TOC1"/>
            <w:rPr>
              <w:rFonts w:asciiTheme="minorHAnsi" w:hAnsiTheme="minorHAnsi"/>
              <w:b w:val="0"/>
              <w:bCs w:val="0"/>
              <w:caps w:val="0"/>
              <w:noProof/>
              <w:color w:val="auto"/>
              <w:kern w:val="2"/>
              <w:lang w:val="en-AU"/>
              <w14:ligatures w14:val="standardContextual"/>
            </w:rPr>
          </w:pPr>
          <w:hyperlink w:anchor="_Toc231898090" w:history="1">
            <w:r w:rsidRPr="00476524">
              <w:rPr>
                <w:rStyle w:val="Hyperlink"/>
                <w:noProof/>
              </w:rPr>
              <w:t>9.</w:t>
            </w:r>
            <w:r>
              <w:rPr>
                <w:rFonts w:asciiTheme="minorHAnsi" w:hAnsiTheme="minorHAnsi"/>
                <w:b w:val="0"/>
                <w:bCs w:val="0"/>
                <w:caps w:val="0"/>
                <w:noProof/>
                <w:color w:val="auto"/>
                <w:kern w:val="2"/>
                <w:lang w:val="en-AU"/>
                <w14:ligatures w14:val="standardContextual"/>
              </w:rPr>
              <w:tab/>
            </w:r>
            <w:r w:rsidRPr="00476524">
              <w:rPr>
                <w:rStyle w:val="Hyperlink"/>
                <w:noProof/>
              </w:rPr>
              <w:t>Conclusion and opportunities</w:t>
            </w:r>
            <w:r>
              <w:rPr>
                <w:noProof/>
                <w:webHidden/>
              </w:rPr>
              <w:tab/>
            </w:r>
            <w:r>
              <w:rPr>
                <w:noProof/>
                <w:webHidden/>
              </w:rPr>
              <w:fldChar w:fldCharType="begin"/>
            </w:r>
            <w:r>
              <w:rPr>
                <w:noProof/>
                <w:webHidden/>
              </w:rPr>
              <w:instrText xml:space="preserve"> PAGEREF _Toc231898090 \h </w:instrText>
            </w:r>
            <w:r>
              <w:rPr>
                <w:noProof/>
                <w:webHidden/>
              </w:rPr>
            </w:r>
            <w:r>
              <w:rPr>
                <w:noProof/>
                <w:webHidden/>
              </w:rPr>
              <w:fldChar w:fldCharType="separate"/>
            </w:r>
            <w:r>
              <w:rPr>
                <w:noProof/>
                <w:webHidden/>
              </w:rPr>
              <w:t>63</w:t>
            </w:r>
            <w:r>
              <w:rPr>
                <w:noProof/>
                <w:webHidden/>
              </w:rPr>
              <w:fldChar w:fldCharType="end"/>
            </w:r>
          </w:hyperlink>
        </w:p>
        <w:p w14:paraId="2A28EB4D" w14:textId="3AA71506" w:rsidR="008D6A21" w:rsidRDefault="008D6A21">
          <w:pPr>
            <w:pStyle w:val="TOC1"/>
            <w:rPr>
              <w:rFonts w:asciiTheme="minorHAnsi" w:hAnsiTheme="minorHAnsi"/>
              <w:b w:val="0"/>
              <w:bCs w:val="0"/>
              <w:caps w:val="0"/>
              <w:noProof/>
              <w:color w:val="auto"/>
              <w:kern w:val="2"/>
              <w:lang w:val="en-AU"/>
              <w14:ligatures w14:val="standardContextual"/>
            </w:rPr>
          </w:pPr>
          <w:hyperlink w:anchor="_Toc231898091" w:history="1">
            <w:r w:rsidRPr="00476524">
              <w:rPr>
                <w:rStyle w:val="Hyperlink"/>
                <w:noProof/>
              </w:rPr>
              <w:t>Appendix A: Glossary</w:t>
            </w:r>
            <w:r>
              <w:rPr>
                <w:noProof/>
                <w:webHidden/>
              </w:rPr>
              <w:tab/>
            </w:r>
            <w:r>
              <w:rPr>
                <w:noProof/>
                <w:webHidden/>
              </w:rPr>
              <w:fldChar w:fldCharType="begin"/>
            </w:r>
            <w:r>
              <w:rPr>
                <w:noProof/>
                <w:webHidden/>
              </w:rPr>
              <w:instrText xml:space="preserve"> PAGEREF _Toc231898091 \h </w:instrText>
            </w:r>
            <w:r>
              <w:rPr>
                <w:noProof/>
                <w:webHidden/>
              </w:rPr>
            </w:r>
            <w:r>
              <w:rPr>
                <w:noProof/>
                <w:webHidden/>
              </w:rPr>
              <w:fldChar w:fldCharType="separate"/>
            </w:r>
            <w:r>
              <w:rPr>
                <w:noProof/>
                <w:webHidden/>
              </w:rPr>
              <w:t>68</w:t>
            </w:r>
            <w:r>
              <w:rPr>
                <w:noProof/>
                <w:webHidden/>
              </w:rPr>
              <w:fldChar w:fldCharType="end"/>
            </w:r>
          </w:hyperlink>
        </w:p>
        <w:p w14:paraId="7ED7A031" w14:textId="0C650CAE" w:rsidR="008D6A21" w:rsidRDefault="008D6A21">
          <w:pPr>
            <w:pStyle w:val="TOC1"/>
            <w:rPr>
              <w:rFonts w:asciiTheme="minorHAnsi" w:hAnsiTheme="minorHAnsi"/>
              <w:b w:val="0"/>
              <w:bCs w:val="0"/>
              <w:caps w:val="0"/>
              <w:noProof/>
              <w:color w:val="auto"/>
              <w:kern w:val="2"/>
              <w:lang w:val="en-AU"/>
              <w14:ligatures w14:val="standardContextual"/>
            </w:rPr>
          </w:pPr>
          <w:hyperlink w:anchor="_Toc231898092" w:history="1">
            <w:r w:rsidRPr="00476524">
              <w:rPr>
                <w:rStyle w:val="Hyperlink"/>
                <w:noProof/>
              </w:rPr>
              <w:t>Appendix C: Case Studies</w:t>
            </w:r>
            <w:r>
              <w:rPr>
                <w:noProof/>
                <w:webHidden/>
              </w:rPr>
              <w:tab/>
            </w:r>
            <w:r>
              <w:rPr>
                <w:noProof/>
                <w:webHidden/>
              </w:rPr>
              <w:fldChar w:fldCharType="begin"/>
            </w:r>
            <w:r>
              <w:rPr>
                <w:noProof/>
                <w:webHidden/>
              </w:rPr>
              <w:instrText xml:space="preserve"> PAGEREF _Toc231898092 \h </w:instrText>
            </w:r>
            <w:r>
              <w:rPr>
                <w:noProof/>
                <w:webHidden/>
              </w:rPr>
            </w:r>
            <w:r>
              <w:rPr>
                <w:noProof/>
                <w:webHidden/>
              </w:rPr>
              <w:fldChar w:fldCharType="separate"/>
            </w:r>
            <w:r>
              <w:rPr>
                <w:noProof/>
                <w:webHidden/>
              </w:rPr>
              <w:t>76</w:t>
            </w:r>
            <w:r>
              <w:rPr>
                <w:noProof/>
                <w:webHidden/>
              </w:rPr>
              <w:fldChar w:fldCharType="end"/>
            </w:r>
          </w:hyperlink>
        </w:p>
        <w:p w14:paraId="37387F61" w14:textId="312972FC" w:rsidR="008D6A21" w:rsidRDefault="008D6A21">
          <w:r>
            <w:fldChar w:fldCharType="end"/>
          </w:r>
        </w:p>
      </w:sdtContent>
    </w:sdt>
    <w:p w14:paraId="7ADBA32C" w14:textId="7B5215E3" w:rsidR="00874828" w:rsidRPr="00997F82" w:rsidRDefault="004715B4" w:rsidP="008D6A21">
      <w:r w:rsidRPr="00997F82">
        <w:br w:type="page"/>
      </w:r>
      <w:r w:rsidR="00531C73" w:rsidRPr="00997F82">
        <w:rPr>
          <w:noProof/>
        </w:rPr>
        <w:drawing>
          <wp:anchor distT="0" distB="0" distL="114300" distR="114300" simplePos="0" relativeHeight="251658243" behindDoc="0" locked="0" layoutInCell="1" allowOverlap="1" wp14:anchorId="22EC1EBF" wp14:editId="68A3AD92">
            <wp:simplePos x="0" y="0"/>
            <wp:positionH relativeFrom="column">
              <wp:posOffset>598004</wp:posOffset>
            </wp:positionH>
            <wp:positionV relativeFrom="paragraph">
              <wp:posOffset>9067966</wp:posOffset>
            </wp:positionV>
            <wp:extent cx="6017284" cy="697282"/>
            <wp:effectExtent l="0" t="0" r="0" b="7620"/>
            <wp:wrapNone/>
            <wp:docPr id="1833394675"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94675" name="Graphic 13">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017284" cy="697282"/>
                    </a:xfrm>
                    <a:prstGeom prst="rect">
                      <a:avLst/>
                    </a:prstGeom>
                  </pic:spPr>
                </pic:pic>
              </a:graphicData>
            </a:graphic>
            <wp14:sizeRelH relativeFrom="page">
              <wp14:pctWidth>0</wp14:pctWidth>
            </wp14:sizeRelH>
            <wp14:sizeRelV relativeFrom="page">
              <wp14:pctHeight>0</wp14:pctHeight>
            </wp14:sizeRelV>
          </wp:anchor>
        </w:drawing>
      </w:r>
    </w:p>
    <w:p w14:paraId="65E35643" w14:textId="0A65152F" w:rsidR="009C192B" w:rsidRPr="00997F82" w:rsidRDefault="00E0478E" w:rsidP="00277D66">
      <w:pPr>
        <w:pStyle w:val="Heading1"/>
      </w:pPr>
      <w:bookmarkStart w:id="15" w:name="_Toc226898031"/>
      <w:bookmarkStart w:id="16" w:name="_Toc231898082"/>
      <w:bookmarkStart w:id="17" w:name="_Hlk184814470"/>
      <w:r w:rsidRPr="00997F82">
        <w:t>Introduction</w:t>
      </w:r>
      <w:bookmarkEnd w:id="15"/>
      <w:bookmarkEnd w:id="16"/>
    </w:p>
    <w:bookmarkEnd w:id="17"/>
    <w:p w14:paraId="68660B97" w14:textId="2021DC06" w:rsidR="378349A8" w:rsidRPr="00997F82" w:rsidRDefault="00E0478E" w:rsidP="00277D66">
      <w:pPr>
        <w:pStyle w:val="Heading2"/>
      </w:pPr>
      <w:r w:rsidRPr="00997F82">
        <w:t>Background and context</w:t>
      </w:r>
    </w:p>
    <w:p w14:paraId="5B9CE1C1" w14:textId="0C78BEDB" w:rsidR="005A713D" w:rsidRPr="00997F82" w:rsidRDefault="005A713D" w:rsidP="006950EE">
      <w:r w:rsidRPr="00997F82">
        <w:t>Palliative care is ‘person and family-centred care provided for a person with an active, progressive, advanced disease who has little or no prospect of cure and who is expected to die’.</w:t>
      </w:r>
      <w:r w:rsidRPr="00997F82">
        <w:rPr>
          <w:vertAlign w:val="superscript"/>
        </w:rPr>
        <w:footnoteReference w:id="4"/>
      </w:r>
      <w:r w:rsidRPr="00997F82">
        <w:t xml:space="preserve"> The aim of palliative care is to optimise quality of life.</w:t>
      </w:r>
      <w:r w:rsidRPr="00997F82">
        <w:rPr>
          <w:vertAlign w:val="superscript"/>
        </w:rPr>
        <w:footnoteReference w:id="5"/>
      </w:r>
      <w:r w:rsidRPr="00997F82">
        <w:t xml:space="preserve"> End-of-life care (EOLC) is care and services for people </w:t>
      </w:r>
      <w:r w:rsidR="00844F2F" w:rsidRPr="00997F82">
        <w:t xml:space="preserve">who are facing the end of their life, </w:t>
      </w:r>
      <w:r w:rsidRPr="00997F82">
        <w:t>and their families. EOLC is an important part of palliative care and is provided for people of any age. The focus of EOLC is to help a person live out their life as comfortably as possible.</w:t>
      </w:r>
      <w:r w:rsidRPr="00997F82">
        <w:rPr>
          <w:vertAlign w:val="superscript"/>
        </w:rPr>
        <w:footnoteReference w:id="6"/>
      </w:r>
    </w:p>
    <w:p w14:paraId="19A40D49" w14:textId="343972A3" w:rsidR="00F105D3" w:rsidRPr="00997F82" w:rsidRDefault="005A713D" w:rsidP="003B5B04">
      <w:r w:rsidRPr="00997F82">
        <w:t>While 70</w:t>
      </w:r>
      <w:r w:rsidR="004C6FA2" w:rsidRPr="00997F82">
        <w:t>%</w:t>
      </w:r>
      <w:r w:rsidR="008E5C63" w:rsidRPr="00997F82">
        <w:t xml:space="preserve"> </w:t>
      </w:r>
      <w:r w:rsidRPr="00997F82">
        <w:t>of Australians prefer to die at home, only 15</w:t>
      </w:r>
      <w:r w:rsidR="004C6FA2" w:rsidRPr="00997F82">
        <w:t>%</w:t>
      </w:r>
      <w:r w:rsidRPr="00997F82">
        <w:t xml:space="preserve"> do so, with half of all deaths occurring in hospitals, and more than one third in residential aged care homes (RACHs).</w:t>
      </w:r>
      <w:r w:rsidRPr="00997F82">
        <w:rPr>
          <w:vertAlign w:val="superscript"/>
        </w:rPr>
        <w:footnoteReference w:id="7"/>
      </w:r>
      <w:r w:rsidRPr="00997F82">
        <w:t xml:space="preserve"> </w:t>
      </w:r>
      <w:r w:rsidR="00AD4847" w:rsidRPr="00997F82">
        <w:t xml:space="preserve"> A 2024 report from the AIHW estimates that in 2019-20 there were 109,059 people aged 40 years or older who died from 10 selected underlying causes of death that would have required palliative care.</w:t>
      </w:r>
      <w:r w:rsidR="00AD4847" w:rsidRPr="00997F82">
        <w:rPr>
          <w:rStyle w:val="FootnoteReference"/>
        </w:rPr>
        <w:footnoteReference w:id="8"/>
      </w:r>
      <w:r w:rsidR="00AD4847" w:rsidRPr="00997F82">
        <w:t xml:space="preserve"> Each of these individuals, their families, carers, and friends, would benefit from having knowledge and awareness of palliative care. </w:t>
      </w:r>
    </w:p>
    <w:p w14:paraId="45886135" w14:textId="07DB745C" w:rsidR="378349A8" w:rsidRPr="00997F82" w:rsidRDefault="00E0478E" w:rsidP="00277D66">
      <w:pPr>
        <w:pStyle w:val="Heading2"/>
      </w:pPr>
      <w:r w:rsidRPr="00997F82">
        <w:t>The Greater Choice for At Home Palliative Care Program</w:t>
      </w:r>
    </w:p>
    <w:p w14:paraId="4438E267" w14:textId="420C2307" w:rsidR="005A713D" w:rsidRPr="00997F82" w:rsidRDefault="005A713D" w:rsidP="005A713D">
      <w:r w:rsidRPr="00997F82">
        <w:t xml:space="preserve">The Greater Choice for At Home Palliative Care (GCfAHPC) program (the Program) has been developed and funded </w:t>
      </w:r>
      <w:r w:rsidR="0062445F" w:rsidRPr="00997F82">
        <w:t>‘</w:t>
      </w:r>
      <w:r w:rsidRPr="00997F82">
        <w:t>to improve awareness of local palliative care options and to coordinate and facilitate access to palliative care services at home</w:t>
      </w:r>
      <w:r w:rsidR="0062445F" w:rsidRPr="00997F82">
        <w:t>’</w:t>
      </w:r>
      <w:r w:rsidRPr="00997F82">
        <w:t xml:space="preserve"> and in the community.</w:t>
      </w:r>
      <w:r w:rsidRPr="00997F82">
        <w:rPr>
          <w:vertAlign w:val="superscript"/>
        </w:rPr>
        <w:footnoteReference w:id="9"/>
      </w:r>
    </w:p>
    <w:p w14:paraId="4A015373" w14:textId="23E4FDD7" w:rsidR="009439F0" w:rsidRPr="00997F82" w:rsidRDefault="004A4F26" w:rsidP="5AD88DDD">
      <w:pPr>
        <w:spacing w:before="120" w:after="120" w:line="281" w:lineRule="auto"/>
      </w:pPr>
      <w:r w:rsidRPr="00997F82">
        <w:t>Initially l</w:t>
      </w:r>
      <w:r w:rsidR="7A1D1747" w:rsidRPr="00997F82">
        <w:t>aunched in May 2017</w:t>
      </w:r>
      <w:r w:rsidRPr="00997F82">
        <w:t xml:space="preserve">, as </w:t>
      </w:r>
      <w:r w:rsidR="009C2EE9" w:rsidRPr="00997F82">
        <w:t>a pilot across 11 Primary Health Networks (PHNs)</w:t>
      </w:r>
      <w:r w:rsidR="7A1D1747" w:rsidRPr="00997F82">
        <w:t xml:space="preserve"> by the Department of Health</w:t>
      </w:r>
      <w:r w:rsidR="4088E99C" w:rsidRPr="00997F82">
        <w:t>, Disability</w:t>
      </w:r>
      <w:r w:rsidR="7A1D1747" w:rsidRPr="00997F82">
        <w:t xml:space="preserve"> and </w:t>
      </w:r>
      <w:r w:rsidR="4088E99C" w:rsidRPr="00997F82">
        <w:t>Ageing</w:t>
      </w:r>
      <w:r w:rsidR="7A1D1747" w:rsidRPr="00997F82">
        <w:t xml:space="preserve"> (D</w:t>
      </w:r>
      <w:r w:rsidR="4088E99C" w:rsidRPr="00997F82">
        <w:t>HDA</w:t>
      </w:r>
      <w:r w:rsidR="7A1D1747" w:rsidRPr="00997F82">
        <w:t>), the GCfAHPC program was introduced to drive coordination with respect to how palliative care is provided at home and in the community. The Program aims to enable people’s preference</w:t>
      </w:r>
      <w:r w:rsidR="4466C9E3" w:rsidRPr="00997F82">
        <w:t>s</w:t>
      </w:r>
      <w:r w:rsidR="7A1D1747" w:rsidRPr="00997F82">
        <w:t xml:space="preserve"> for palliative and EOLC at home and in the community by empowering PHNs to undertake activities to meet the following four objectives:</w:t>
      </w:r>
    </w:p>
    <w:p w14:paraId="2FEB3CEB" w14:textId="47EA0564" w:rsidR="009439F0" w:rsidRPr="00997F82" w:rsidRDefault="00203D59" w:rsidP="006950EE">
      <w:pPr>
        <w:pStyle w:val="ListBullet"/>
      </w:pPr>
      <w:r w:rsidRPr="00997F82">
        <w:t xml:space="preserve">Improve </w:t>
      </w:r>
      <w:r w:rsidR="009439F0" w:rsidRPr="00997F82">
        <w:t>access to safe, quality palliative care at home and support EOLC systems and services in primary health care and community care.</w:t>
      </w:r>
    </w:p>
    <w:p w14:paraId="6E8CCA8D" w14:textId="77777777" w:rsidR="009439F0" w:rsidRPr="00997F82" w:rsidRDefault="009439F0" w:rsidP="006950EE">
      <w:pPr>
        <w:pStyle w:val="ListBullet"/>
      </w:pPr>
      <w:r w:rsidRPr="00997F82">
        <w:t>Enable the right care, at the right time and in the right place, to reduce preventable hospitalisations.</w:t>
      </w:r>
    </w:p>
    <w:p w14:paraId="2A43727E" w14:textId="77777777" w:rsidR="009439F0" w:rsidRPr="00997F82" w:rsidRDefault="009439F0" w:rsidP="006950EE">
      <w:pPr>
        <w:pStyle w:val="ListBullet"/>
      </w:pPr>
      <w:r w:rsidRPr="00997F82">
        <w:t>Generate and use data to support continuous improvement of services across sectors.</w:t>
      </w:r>
    </w:p>
    <w:p w14:paraId="788C1B92" w14:textId="77777777" w:rsidR="009439F0" w:rsidRPr="00997F82" w:rsidRDefault="009439F0" w:rsidP="006950EE">
      <w:pPr>
        <w:pStyle w:val="ListBullet"/>
      </w:pPr>
      <w:r w:rsidRPr="00997F82">
        <w:t>Use available technologies to provide flexible and responsive care, including care after usual business hours.</w:t>
      </w:r>
    </w:p>
    <w:p w14:paraId="320A9B0A" w14:textId="070070A6" w:rsidR="009439F0" w:rsidRPr="00997F82" w:rsidRDefault="378AE6FC" w:rsidP="009439F0">
      <w:pPr>
        <w:spacing w:before="120" w:after="120" w:line="281" w:lineRule="auto"/>
      </w:pPr>
      <w:r w:rsidRPr="00997F82">
        <w:t>The evaluation of the pilot program</w:t>
      </w:r>
      <w:r w:rsidR="0007639B" w:rsidRPr="00997F82">
        <w:t>, from July 2018 to December 2020,</w:t>
      </w:r>
      <w:r w:rsidRPr="00997F82">
        <w:t xml:space="preserve"> found that there was merit to expand the Program, with recommendations to improve clarity and guidance on the flexible use of funding, greater flexibility on what funding can be used for, and shared learnings from existing activities to facilitate knowledge exchange.</w:t>
      </w:r>
      <w:r w:rsidR="009439F0" w:rsidRPr="00997F82">
        <w:rPr>
          <w:vertAlign w:val="superscript"/>
        </w:rPr>
        <w:footnoteReference w:id="10"/>
      </w:r>
      <w:r w:rsidRPr="00997F82">
        <w:t xml:space="preserve"> In 2021-22, the Australian Government committed further funds to expand the Program to all 31 PHNs, nationally, for four years to 2024-25</w:t>
      </w:r>
      <w:r w:rsidR="500541D2" w:rsidRPr="00997F82">
        <w:t xml:space="preserve">. </w:t>
      </w:r>
      <w:r w:rsidR="49F06969" w:rsidRPr="00997F82">
        <w:t xml:space="preserve">In </w:t>
      </w:r>
      <w:r w:rsidR="500541D2" w:rsidRPr="00997F82">
        <w:t>2024</w:t>
      </w:r>
      <w:r w:rsidR="49F06969" w:rsidRPr="00997F82">
        <w:t>-25</w:t>
      </w:r>
      <w:r w:rsidR="500541D2" w:rsidRPr="00997F82">
        <w:t xml:space="preserve">, </w:t>
      </w:r>
      <w:r w:rsidR="603A3C8F" w:rsidRPr="00997F82">
        <w:t>the Australian Government</w:t>
      </w:r>
      <w:r w:rsidR="500541D2" w:rsidRPr="00997F82">
        <w:t xml:space="preserve"> committed to continue the </w:t>
      </w:r>
      <w:r w:rsidR="603A3C8F" w:rsidRPr="00997F82">
        <w:t xml:space="preserve">funding of the </w:t>
      </w:r>
      <w:r w:rsidR="500541D2" w:rsidRPr="00997F82">
        <w:t xml:space="preserve">Program </w:t>
      </w:r>
      <w:r w:rsidR="49F06969" w:rsidRPr="00997F82">
        <w:t>for an additional four years</w:t>
      </w:r>
      <w:r w:rsidR="4B6309F2" w:rsidRPr="00997F82">
        <w:t>, from 2025-26</w:t>
      </w:r>
      <w:r w:rsidR="0E8581A0" w:rsidRPr="00997F82">
        <w:t xml:space="preserve"> to </w:t>
      </w:r>
      <w:r w:rsidR="178BBD7B" w:rsidRPr="00997F82">
        <w:t>2028-</w:t>
      </w:r>
      <w:r w:rsidR="0E8581A0" w:rsidRPr="00997F82">
        <w:t>29</w:t>
      </w:r>
      <w:r w:rsidR="500541D2" w:rsidRPr="00997F82">
        <w:t>.</w:t>
      </w:r>
    </w:p>
    <w:p w14:paraId="5BEA90CB" w14:textId="47FAFE32" w:rsidR="009439F0" w:rsidRPr="00997F82" w:rsidRDefault="009439F0" w:rsidP="009439F0">
      <w:pPr>
        <w:spacing w:before="120" w:after="120" w:line="281" w:lineRule="auto"/>
      </w:pPr>
      <w:r w:rsidRPr="00997F82">
        <w:t>As part of the Program, PHNs are funded to employ up to two full-time equivalent (FTE) staff members to implement activities</w:t>
      </w:r>
      <w:r w:rsidR="00715EF9" w:rsidRPr="00997F82">
        <w:t xml:space="preserve">. </w:t>
      </w:r>
      <w:r w:rsidRPr="00997F82">
        <w:t>Funding may also be used to cover costs associated with implementing activities.</w:t>
      </w:r>
    </w:p>
    <w:p w14:paraId="50C1A47F" w14:textId="04C7B957" w:rsidR="009439F0" w:rsidRPr="00997F82" w:rsidRDefault="009439F0" w:rsidP="009439F0">
      <w:pPr>
        <w:spacing w:before="120" w:after="120" w:line="281" w:lineRule="auto"/>
      </w:pPr>
      <w:r w:rsidRPr="00997F82">
        <w:t xml:space="preserve">The Program is intended to </w:t>
      </w:r>
      <w:r w:rsidR="00041EC5" w:rsidRPr="00997F82">
        <w:t>achieve</w:t>
      </w:r>
      <w:r w:rsidRPr="00997F82">
        <w:t xml:space="preserve"> the following key outcomes:</w:t>
      </w:r>
      <w:r w:rsidRPr="00997F82">
        <w:rPr>
          <w:vertAlign w:val="superscript"/>
        </w:rPr>
        <w:footnoteReference w:id="11"/>
      </w:r>
    </w:p>
    <w:p w14:paraId="2FD0736E" w14:textId="77777777" w:rsidR="009439F0" w:rsidRPr="00997F82" w:rsidRDefault="009439F0" w:rsidP="006950EE">
      <w:pPr>
        <w:pStyle w:val="ListBullet"/>
      </w:pPr>
      <w:r w:rsidRPr="00997F82">
        <w:t>Improved capacity and responsiveness of services to meet local needs and priorities.</w:t>
      </w:r>
    </w:p>
    <w:p w14:paraId="6AE90DE3" w14:textId="77777777" w:rsidR="009439F0" w:rsidRPr="00997F82" w:rsidRDefault="009439F0" w:rsidP="006950EE">
      <w:pPr>
        <w:pStyle w:val="ListBullet"/>
      </w:pPr>
      <w:r w:rsidRPr="00997F82">
        <w:t xml:space="preserve">Improved patient access to quality palliative care services at home. </w:t>
      </w:r>
    </w:p>
    <w:p w14:paraId="789367C8" w14:textId="54965EBD" w:rsidR="009439F0" w:rsidRPr="00997F82" w:rsidRDefault="009439F0" w:rsidP="006950EE">
      <w:pPr>
        <w:pStyle w:val="ListBullet"/>
      </w:pPr>
      <w:r w:rsidRPr="00997F82">
        <w:t xml:space="preserve">Improved coordination of care for patients, across health care providers and integration of palliative care services in their region. </w:t>
      </w:r>
    </w:p>
    <w:p w14:paraId="543E97FC" w14:textId="06E0AB20" w:rsidR="378349A8" w:rsidRPr="00997F82" w:rsidRDefault="00EE78F0" w:rsidP="00277D66">
      <w:pPr>
        <w:pStyle w:val="Heading2"/>
      </w:pPr>
      <w:r w:rsidRPr="00997F82">
        <w:t>The</w:t>
      </w:r>
      <w:r w:rsidR="00E0478E" w:rsidRPr="00997F82">
        <w:t xml:space="preserve"> </w:t>
      </w:r>
      <w:r w:rsidR="00CC7AB6" w:rsidRPr="00997F82">
        <w:t xml:space="preserve">Evaluation of the GCfAHPC Program </w:t>
      </w:r>
    </w:p>
    <w:p w14:paraId="74ECFB27" w14:textId="4121FF73" w:rsidR="00B5300B" w:rsidRPr="00997F82" w:rsidRDefault="00B5300B" w:rsidP="00B5300B">
      <w:r w:rsidRPr="00997F82">
        <w:t xml:space="preserve">With the expansion of the GCfAHPC Program to all 31 PHNs, a national evaluation </w:t>
      </w:r>
      <w:r w:rsidR="00715EF9" w:rsidRPr="00997F82">
        <w:t xml:space="preserve">was </w:t>
      </w:r>
      <w:r w:rsidRPr="00997F82">
        <w:t>commissioned</w:t>
      </w:r>
      <w:r w:rsidR="00715EF9" w:rsidRPr="00997F82">
        <w:t>,</w:t>
      </w:r>
      <w:r w:rsidRPr="00997F82">
        <w:rPr>
          <w:vertAlign w:val="superscript"/>
        </w:rPr>
        <w:footnoteReference w:id="12"/>
      </w:r>
      <w:r w:rsidRPr="00997F82">
        <w:t xml:space="preserve"> </w:t>
      </w:r>
      <w:r w:rsidR="00715EF9" w:rsidRPr="00997F82">
        <w:t xml:space="preserve">with the </w:t>
      </w:r>
      <w:r w:rsidRPr="00997F82">
        <w:t xml:space="preserve">aim to assess the impact of the Program on access to palliative care at home and in the community, and to inform the future direction of the Program. </w:t>
      </w:r>
    </w:p>
    <w:p w14:paraId="426BEB6C" w14:textId="5051C92D" w:rsidR="00B5300B" w:rsidRPr="00997F82" w:rsidRDefault="00B5300B" w:rsidP="00B5300B">
      <w:r w:rsidRPr="00997F82">
        <w:t>The scope of the Evaluation includes three tranches of reporting:</w:t>
      </w:r>
    </w:p>
    <w:p w14:paraId="41336992" w14:textId="306AE4D8" w:rsidR="00B5300B" w:rsidRPr="006950EE" w:rsidRDefault="00B5300B" w:rsidP="006950EE">
      <w:pPr>
        <w:pStyle w:val="ListNumber"/>
      </w:pPr>
      <w:r w:rsidRPr="00997F82">
        <w:t>Baseline (2023) – t</w:t>
      </w:r>
      <w:r w:rsidRPr="006950EE">
        <w:t>o identify PHN activities</w:t>
      </w:r>
      <w:r w:rsidR="00715EF9" w:rsidRPr="006950EE">
        <w:t>,</w:t>
      </w:r>
      <w:r w:rsidRPr="006950EE">
        <w:t xml:space="preserve"> opportunities to better support implementation</w:t>
      </w:r>
      <w:r w:rsidR="00715EF9" w:rsidRPr="006950EE">
        <w:t>,</w:t>
      </w:r>
      <w:r w:rsidRPr="006950EE">
        <w:t xml:space="preserve"> and to establish a baseline of indicators that </w:t>
      </w:r>
      <w:r w:rsidR="00715EF9" w:rsidRPr="006950EE">
        <w:t>were</w:t>
      </w:r>
      <w:r w:rsidRPr="006950EE">
        <w:t xml:space="preserve"> used as a comparator to determine the impact of the Program</w:t>
      </w:r>
      <w:r w:rsidR="00715EF9" w:rsidRPr="006950EE">
        <w:t>.</w:t>
      </w:r>
    </w:p>
    <w:p w14:paraId="6C65EFFC" w14:textId="14D975DD" w:rsidR="00B5300B" w:rsidRPr="006950EE" w:rsidRDefault="00B5300B" w:rsidP="006950EE">
      <w:pPr>
        <w:pStyle w:val="ListNumber"/>
      </w:pPr>
      <w:r w:rsidRPr="006950EE">
        <w:t>Midpoint (2024) – to</w:t>
      </w:r>
      <w:r w:rsidR="00715EF9" w:rsidRPr="006950EE">
        <w:t xml:space="preserve"> </w:t>
      </w:r>
      <w:r w:rsidR="003C24CA" w:rsidRPr="006950EE">
        <w:t>understand</w:t>
      </w:r>
      <w:r w:rsidRPr="006950EE">
        <w:t xml:space="preserve"> PHN activity progress since Baseline</w:t>
      </w:r>
      <w:r w:rsidR="003C24CA" w:rsidRPr="006950EE">
        <w:t xml:space="preserve"> and</w:t>
      </w:r>
      <w:r w:rsidRPr="006950EE">
        <w:t xml:space="preserve"> provide case studies demonstrating earl</w:t>
      </w:r>
      <w:r w:rsidR="00056AE6" w:rsidRPr="006950EE">
        <w:t>y</w:t>
      </w:r>
      <w:r w:rsidRPr="006950EE">
        <w:t xml:space="preserve"> indicators of value and/or outcomes.</w:t>
      </w:r>
    </w:p>
    <w:p w14:paraId="1DB4909C" w14:textId="344C0F75" w:rsidR="00B5300B" w:rsidRPr="00997F82" w:rsidRDefault="65D3A3E3" w:rsidP="006950EE">
      <w:pPr>
        <w:pStyle w:val="ListNumber"/>
      </w:pPr>
      <w:r w:rsidRPr="006950EE">
        <w:t>Endpoint</w:t>
      </w:r>
      <w:r w:rsidR="1A9CEEF3" w:rsidRPr="006950EE">
        <w:t xml:space="preserve"> (2025) – to focus on impacts of the Program in achieving intended outcomes</w:t>
      </w:r>
      <w:r w:rsidR="003C24CA" w:rsidRPr="006950EE">
        <w:t xml:space="preserve"> and form</w:t>
      </w:r>
      <w:r w:rsidR="1A9CEEF3" w:rsidRPr="006950EE">
        <w:t xml:space="preserve"> insights to in</w:t>
      </w:r>
      <w:r w:rsidR="1A9CEEF3" w:rsidRPr="00997F82">
        <w:t>form the future direction of the Program.</w:t>
      </w:r>
    </w:p>
    <w:p w14:paraId="2F6E4385" w14:textId="6C6C2929" w:rsidR="00B5300B" w:rsidRPr="00997F82" w:rsidRDefault="00C67F4A" w:rsidP="00B5300B">
      <w:r w:rsidRPr="00997F82">
        <w:t xml:space="preserve">A more detailed summary of the </w:t>
      </w:r>
      <w:r w:rsidR="00D87E41" w:rsidRPr="00997F82">
        <w:t xml:space="preserve">evaluation </w:t>
      </w:r>
      <w:r w:rsidRPr="00997F82">
        <w:t xml:space="preserve">methodology can be found in Appendix </w:t>
      </w:r>
      <w:r w:rsidR="006649B7" w:rsidRPr="00997F82">
        <w:t>B</w:t>
      </w:r>
      <w:r w:rsidRPr="00997F82">
        <w:t>.</w:t>
      </w:r>
    </w:p>
    <w:p w14:paraId="6124F18D" w14:textId="0132C605" w:rsidR="00CC7AB6" w:rsidRPr="00997F82" w:rsidRDefault="00CC7AB6" w:rsidP="00277D66">
      <w:pPr>
        <w:pStyle w:val="Heading2"/>
      </w:pPr>
      <w:r w:rsidRPr="00997F82">
        <w:t xml:space="preserve">Baseline and Midpoint </w:t>
      </w:r>
      <w:r w:rsidR="00A45CFC" w:rsidRPr="00997F82">
        <w:t>e</w:t>
      </w:r>
      <w:r w:rsidRPr="00997F82">
        <w:t>valuation findings</w:t>
      </w:r>
    </w:p>
    <w:p w14:paraId="4DF4E032" w14:textId="7ABF236B" w:rsidR="00C67F4A" w:rsidRPr="00997F82" w:rsidRDefault="00C67F4A" w:rsidP="005B1D82">
      <w:pPr>
        <w:pStyle w:val="Heading3"/>
      </w:pPr>
      <w:r w:rsidRPr="00997F82">
        <w:t>Baseline Evaluation</w:t>
      </w:r>
    </w:p>
    <w:p w14:paraId="68B7CB49" w14:textId="274BE719" w:rsidR="00C67F4A" w:rsidRPr="00997F82" w:rsidRDefault="00C67F4A" w:rsidP="00C67F4A">
      <w:r w:rsidRPr="00997F82">
        <w:t>The Baseline evaluation</w:t>
      </w:r>
      <w:r w:rsidR="00225354" w:rsidRPr="00997F82">
        <w:t>,</w:t>
      </w:r>
      <w:r w:rsidRPr="00997F82">
        <w:t xml:space="preserve"> </w:t>
      </w:r>
      <w:r w:rsidR="00225354" w:rsidRPr="00997F82">
        <w:t>con</w:t>
      </w:r>
      <w:r w:rsidR="00536C75" w:rsidRPr="00997F82">
        <w:t>ducted</w:t>
      </w:r>
      <w:r w:rsidR="00225354" w:rsidRPr="00997F82">
        <w:t xml:space="preserve"> in 2023, </w:t>
      </w:r>
      <w:r w:rsidRPr="00997F82">
        <w:t>established indicators for comparison in future</w:t>
      </w:r>
      <w:r w:rsidR="003C24CA" w:rsidRPr="00997F82">
        <w:t>,</w:t>
      </w:r>
      <w:r w:rsidRPr="00997F82">
        <w:t xml:space="preserve"> </w:t>
      </w:r>
      <w:r w:rsidR="00C962A6" w:rsidRPr="00997F82">
        <w:t xml:space="preserve">data collection processes that could be used by PHNs throughout the </w:t>
      </w:r>
      <w:r w:rsidR="00843127" w:rsidRPr="00997F82">
        <w:t>Program and</w:t>
      </w:r>
      <w:r w:rsidR="000C4944" w:rsidRPr="00997F82">
        <w:t xml:space="preserve"> provide an initial checkpoint for PHN activity progress. </w:t>
      </w:r>
    </w:p>
    <w:p w14:paraId="3C3A6093" w14:textId="22CCDFB0" w:rsidR="00905541" w:rsidRPr="00997F82" w:rsidRDefault="00843127" w:rsidP="0040072E">
      <w:r w:rsidRPr="00997F82">
        <w:t>The Baseline report found that a range of different activities were being implemented by PHNs to meet the needs of their communities. These included five broad categories of PHN activities</w:t>
      </w:r>
      <w:r w:rsidR="00204CF6" w:rsidRPr="00997F82">
        <w:t>:</w:t>
      </w:r>
      <w:r w:rsidRPr="00997F82">
        <w:t xml:space="preserve"> workforce education and awareness; awareness in the community; palliative care medicines, priority populations; and coordination and integration of services.</w:t>
      </w:r>
      <w:r w:rsidR="00905541" w:rsidRPr="00997F82">
        <w:t xml:space="preserve"> Further detail on PHN activities can be found in Chapter </w:t>
      </w:r>
      <w:r w:rsidR="0040072E" w:rsidRPr="00997F82">
        <w:t xml:space="preserve">2. </w:t>
      </w:r>
      <w:r w:rsidR="00041EC5" w:rsidRPr="00997F82">
        <w:t>The following was observed as part of the</w:t>
      </w:r>
      <w:r w:rsidR="0040072E" w:rsidRPr="00997F82">
        <w:t xml:space="preserve"> Baseline checkpoint</w:t>
      </w:r>
      <w:r w:rsidR="00041EC5" w:rsidRPr="00997F82">
        <w:t>:</w:t>
      </w:r>
      <w:r w:rsidR="0040072E" w:rsidRPr="00997F82">
        <w:t xml:space="preserve"> </w:t>
      </w:r>
    </w:p>
    <w:p w14:paraId="096B201E" w14:textId="0B6825F0" w:rsidR="0040072E" w:rsidRPr="00997F82" w:rsidRDefault="0040072E" w:rsidP="006950EE">
      <w:pPr>
        <w:pStyle w:val="ListBullet"/>
      </w:pPr>
      <w:r w:rsidRPr="00997F82">
        <w:t>PHN progress against Activity Work Plans (AWP) was broadly on track. As expected</w:t>
      </w:r>
      <w:r w:rsidR="007A32AD" w:rsidRPr="00997F82">
        <w:t>,</w:t>
      </w:r>
      <w:r w:rsidRPr="00997F82">
        <w:t xml:space="preserve"> PHNs that participated in the pilot were more progressed in implementing activities. </w:t>
      </w:r>
    </w:p>
    <w:p w14:paraId="578B752E" w14:textId="25ED5EC2" w:rsidR="0040072E" w:rsidRPr="00997F82" w:rsidRDefault="0040072E" w:rsidP="006950EE">
      <w:pPr>
        <w:pStyle w:val="ListBullet"/>
      </w:pPr>
      <w:r w:rsidRPr="00997F82">
        <w:t xml:space="preserve">PHNs formed a range of partnerships with third-party organisations (including non-government organisations, local service providers, health professionals, peak industry bodies and community groups amongst others) to deliver activities. </w:t>
      </w:r>
    </w:p>
    <w:p w14:paraId="5B2B63DC" w14:textId="1E59068E" w:rsidR="0040072E" w:rsidRPr="00997F82" w:rsidRDefault="0040072E" w:rsidP="006950EE">
      <w:pPr>
        <w:pStyle w:val="ListBullet"/>
      </w:pPr>
      <w:r w:rsidRPr="00997F82">
        <w:t xml:space="preserve">Activities focused on improving workforce </w:t>
      </w:r>
      <w:r w:rsidR="003C24CA" w:rsidRPr="00997F82">
        <w:t>capability were</w:t>
      </w:r>
      <w:r w:rsidRPr="00997F82">
        <w:t xml:space="preserve"> the most common activities undertaken (26</w:t>
      </w:r>
      <w:r w:rsidR="003C24CA" w:rsidRPr="00997F82">
        <w:t xml:space="preserve"> of 31</w:t>
      </w:r>
      <w:r w:rsidRPr="00997F82">
        <w:t xml:space="preserve"> PHNs).</w:t>
      </w:r>
    </w:p>
    <w:p w14:paraId="05A204D9" w14:textId="6CC8A01F" w:rsidR="0040072E" w:rsidRPr="00997F82" w:rsidRDefault="0040072E" w:rsidP="006950EE">
      <w:pPr>
        <w:pStyle w:val="ListBullet"/>
      </w:pPr>
      <w:r w:rsidRPr="00997F82">
        <w:t xml:space="preserve">Palliative </w:t>
      </w:r>
      <w:r w:rsidR="003C24CA" w:rsidRPr="00997F82">
        <w:t>c</w:t>
      </w:r>
      <w:r w:rsidRPr="00997F82">
        <w:t xml:space="preserve">are </w:t>
      </w:r>
      <w:r w:rsidR="003C24CA" w:rsidRPr="00997F82">
        <w:t>m</w:t>
      </w:r>
      <w:r w:rsidRPr="00997F82">
        <w:t>edicines and</w:t>
      </w:r>
      <w:r w:rsidR="003C24CA" w:rsidRPr="00997F82">
        <w:t xml:space="preserve"> p</w:t>
      </w:r>
      <w:r w:rsidRPr="00997F82">
        <w:t xml:space="preserve">riority </w:t>
      </w:r>
      <w:r w:rsidR="003C24CA" w:rsidRPr="00997F82">
        <w:t>p</w:t>
      </w:r>
      <w:r w:rsidRPr="00997F82">
        <w:t>opulations were the least likely types of activities to be undertaken</w:t>
      </w:r>
      <w:r w:rsidR="003C24CA" w:rsidRPr="00997F82">
        <w:t>.</w:t>
      </w:r>
    </w:p>
    <w:p w14:paraId="6C3EA877" w14:textId="4AD4F370" w:rsidR="00C67F4A" w:rsidRPr="00997F82" w:rsidRDefault="00C67F4A" w:rsidP="005B1D82">
      <w:pPr>
        <w:pStyle w:val="Heading3"/>
      </w:pPr>
      <w:r w:rsidRPr="00997F82">
        <w:t>Midpoint Evaluation</w:t>
      </w:r>
    </w:p>
    <w:p w14:paraId="47D18171" w14:textId="332A01F0" w:rsidR="00C67F4A" w:rsidRPr="00997F82" w:rsidRDefault="00225354" w:rsidP="00C67F4A">
      <w:r w:rsidRPr="00997F82">
        <w:t xml:space="preserve">The Midpoint </w:t>
      </w:r>
      <w:r w:rsidR="000748A8" w:rsidRPr="00997F82">
        <w:t>e</w:t>
      </w:r>
      <w:r w:rsidRPr="00997F82">
        <w:t xml:space="preserve">valuation, concluding in 2024, </w:t>
      </w:r>
      <w:r w:rsidR="00FB5600" w:rsidRPr="00997F82">
        <w:t xml:space="preserve">served as a secondary checkpoint </w:t>
      </w:r>
      <w:r w:rsidR="000B469D" w:rsidRPr="00997F82">
        <w:t xml:space="preserve">of PHN activities and </w:t>
      </w:r>
      <w:r w:rsidR="003C24CA" w:rsidRPr="00997F82">
        <w:t xml:space="preserve">to </w:t>
      </w:r>
      <w:r w:rsidR="000B469D" w:rsidRPr="00997F82">
        <w:t xml:space="preserve">identify any </w:t>
      </w:r>
      <w:r w:rsidR="00FB5600" w:rsidRPr="00997F82">
        <w:t xml:space="preserve">early indicators </w:t>
      </w:r>
      <w:r w:rsidR="003C24CA" w:rsidRPr="00997F82">
        <w:t xml:space="preserve">of </w:t>
      </w:r>
      <w:r w:rsidR="000B469D" w:rsidRPr="00997F82">
        <w:t>outcomes</w:t>
      </w:r>
      <w:r w:rsidR="00FB5600" w:rsidRPr="00997F82">
        <w:t xml:space="preserve">. </w:t>
      </w:r>
      <w:r w:rsidR="000B469D" w:rsidRPr="00997F82">
        <w:t xml:space="preserve">It </w:t>
      </w:r>
      <w:r w:rsidR="009245F0" w:rsidRPr="00997F82">
        <w:t xml:space="preserve">also </w:t>
      </w:r>
      <w:r w:rsidR="000B469D" w:rsidRPr="00997F82">
        <w:t xml:space="preserve">explored the challenges to the </w:t>
      </w:r>
      <w:r w:rsidR="009245F0" w:rsidRPr="00997F82">
        <w:t xml:space="preserve">implementation </w:t>
      </w:r>
      <w:r w:rsidR="000B469D" w:rsidRPr="00997F82">
        <w:t>of PHN activities</w:t>
      </w:r>
      <w:r w:rsidR="004A396A" w:rsidRPr="00997F82">
        <w:t xml:space="preserve">. </w:t>
      </w:r>
      <w:r w:rsidR="009245F0" w:rsidRPr="00997F82">
        <w:t>T</w:t>
      </w:r>
      <w:r w:rsidR="00D87E41" w:rsidRPr="00997F82">
        <w:t xml:space="preserve">he following was observed: </w:t>
      </w:r>
    </w:p>
    <w:p w14:paraId="2C8A2C70" w14:textId="74018D88" w:rsidR="00663D26" w:rsidRPr="00997F82" w:rsidRDefault="00663D26" w:rsidP="006950EE">
      <w:pPr>
        <w:pStyle w:val="ListBullet"/>
      </w:pPr>
      <w:r w:rsidRPr="00997F82">
        <w:t xml:space="preserve">Most PHN activities </w:t>
      </w:r>
      <w:r w:rsidR="002621DC" w:rsidRPr="00997F82">
        <w:t>were</w:t>
      </w:r>
      <w:r w:rsidRPr="00997F82">
        <w:t xml:space="preserve"> meeting the needs of their PHN region </w:t>
      </w:r>
      <w:r w:rsidR="00611064" w:rsidRPr="00997F82">
        <w:t xml:space="preserve">and aligned to </w:t>
      </w:r>
      <w:r w:rsidR="00A13924" w:rsidRPr="00997F82">
        <w:t xml:space="preserve">Population </w:t>
      </w:r>
      <w:r w:rsidRPr="00997F82">
        <w:t>Health</w:t>
      </w:r>
      <w:r w:rsidR="00A13924" w:rsidRPr="00997F82">
        <w:t xml:space="preserve"> Needs</w:t>
      </w:r>
      <w:r w:rsidRPr="00997F82">
        <w:t xml:space="preserve"> or Palliative Care Needs Assessments and Healthy Ageing Strategies.</w:t>
      </w:r>
    </w:p>
    <w:p w14:paraId="4BD78CB1" w14:textId="0ADF5CBB" w:rsidR="00663D26" w:rsidRPr="00997F82" w:rsidRDefault="00663D26" w:rsidP="006950EE">
      <w:pPr>
        <w:pStyle w:val="ListBullet"/>
        <w:rPr>
          <w:szCs w:val="22"/>
        </w:rPr>
      </w:pPr>
      <w:r w:rsidRPr="00997F82">
        <w:rPr>
          <w:szCs w:val="22"/>
        </w:rPr>
        <w:t xml:space="preserve">There </w:t>
      </w:r>
      <w:r w:rsidR="005359A3" w:rsidRPr="00997F82">
        <w:rPr>
          <w:szCs w:val="22"/>
        </w:rPr>
        <w:t>was</w:t>
      </w:r>
      <w:r w:rsidRPr="00997F82">
        <w:rPr>
          <w:szCs w:val="22"/>
        </w:rPr>
        <w:t xml:space="preserve"> </w:t>
      </w:r>
      <w:r w:rsidR="007327A3" w:rsidRPr="00997F82">
        <w:rPr>
          <w:szCs w:val="22"/>
        </w:rPr>
        <w:t>increased</w:t>
      </w:r>
      <w:r w:rsidRPr="00997F82">
        <w:rPr>
          <w:szCs w:val="22"/>
        </w:rPr>
        <w:t xml:space="preserve"> uptake nationally </w:t>
      </w:r>
      <w:r w:rsidR="00611064" w:rsidRPr="00997F82">
        <w:rPr>
          <w:szCs w:val="22"/>
        </w:rPr>
        <w:t>of</w:t>
      </w:r>
      <w:r w:rsidRPr="00997F82">
        <w:rPr>
          <w:szCs w:val="22"/>
        </w:rPr>
        <w:t xml:space="preserve"> PHN-driven palliative care education and awareness workshops by health professionals.</w:t>
      </w:r>
    </w:p>
    <w:p w14:paraId="273D517F" w14:textId="3A36A566" w:rsidR="00663D26" w:rsidRPr="00997F82" w:rsidRDefault="00663D26" w:rsidP="006950EE">
      <w:pPr>
        <w:pStyle w:val="ListBullet"/>
        <w:rPr>
          <w:szCs w:val="22"/>
        </w:rPr>
      </w:pPr>
      <w:r w:rsidRPr="00997F82">
        <w:rPr>
          <w:szCs w:val="22"/>
        </w:rPr>
        <w:t xml:space="preserve">The importance of partnerships and collaboration to deliver successful </w:t>
      </w:r>
      <w:r w:rsidR="00177B16" w:rsidRPr="00997F82">
        <w:rPr>
          <w:szCs w:val="22"/>
        </w:rPr>
        <w:t>P</w:t>
      </w:r>
      <w:r w:rsidRPr="00997F82">
        <w:rPr>
          <w:szCs w:val="22"/>
        </w:rPr>
        <w:t>rogram activities continue</w:t>
      </w:r>
      <w:r w:rsidR="00DF0473" w:rsidRPr="00997F82">
        <w:rPr>
          <w:szCs w:val="22"/>
        </w:rPr>
        <w:t>d</w:t>
      </w:r>
      <w:r w:rsidRPr="00997F82">
        <w:rPr>
          <w:szCs w:val="22"/>
        </w:rPr>
        <w:t xml:space="preserve"> to be highlighted.</w:t>
      </w:r>
    </w:p>
    <w:p w14:paraId="766C3DE4" w14:textId="35F537D8" w:rsidR="00663D26" w:rsidRPr="00997F82" w:rsidRDefault="00663D26" w:rsidP="006950EE">
      <w:pPr>
        <w:pStyle w:val="ListBullet"/>
        <w:rPr>
          <w:szCs w:val="22"/>
        </w:rPr>
      </w:pPr>
      <w:r w:rsidRPr="00997F82">
        <w:rPr>
          <w:szCs w:val="22"/>
        </w:rPr>
        <w:t>Projects with the potential for greater impact include</w:t>
      </w:r>
      <w:r w:rsidR="00BB61C1" w:rsidRPr="00997F82">
        <w:rPr>
          <w:szCs w:val="22"/>
        </w:rPr>
        <w:t>d</w:t>
      </w:r>
      <w:r w:rsidRPr="00997F82">
        <w:rPr>
          <w:szCs w:val="22"/>
        </w:rPr>
        <w:t xml:space="preserve"> longer-term planning, sustained efforts, pilot</w:t>
      </w:r>
      <w:r w:rsidR="00DF0473" w:rsidRPr="00997F82">
        <w:rPr>
          <w:szCs w:val="22"/>
        </w:rPr>
        <w:t>s</w:t>
      </w:r>
      <w:r w:rsidRPr="00997F82">
        <w:rPr>
          <w:szCs w:val="22"/>
        </w:rPr>
        <w:t xml:space="preserve"> and trials, or PHNs working together towards shared goals.</w:t>
      </w:r>
    </w:p>
    <w:p w14:paraId="318F3BFB" w14:textId="568DC139" w:rsidR="00663D26" w:rsidRPr="00997F82" w:rsidRDefault="00663D26" w:rsidP="006950EE">
      <w:pPr>
        <w:pStyle w:val="ListBullet"/>
        <w:rPr>
          <w:szCs w:val="22"/>
        </w:rPr>
      </w:pPr>
      <w:r w:rsidRPr="00997F82">
        <w:rPr>
          <w:szCs w:val="22"/>
        </w:rPr>
        <w:t>Targeting</w:t>
      </w:r>
      <w:r w:rsidR="00ED3173" w:rsidRPr="00997F82">
        <w:rPr>
          <w:szCs w:val="22"/>
        </w:rPr>
        <w:t xml:space="preserve"> quality improvement in</w:t>
      </w:r>
      <w:r w:rsidRPr="00997F82">
        <w:rPr>
          <w:szCs w:val="22"/>
        </w:rPr>
        <w:t xml:space="preserve"> </w:t>
      </w:r>
      <w:r w:rsidR="00ED3173" w:rsidRPr="00997F82">
        <w:rPr>
          <w:szCs w:val="22"/>
        </w:rPr>
        <w:t>g</w:t>
      </w:r>
      <w:r w:rsidRPr="00997F82">
        <w:rPr>
          <w:szCs w:val="22"/>
        </w:rPr>
        <w:t xml:space="preserve">eneral </w:t>
      </w:r>
      <w:r w:rsidR="00ED3173" w:rsidRPr="00997F82">
        <w:rPr>
          <w:szCs w:val="22"/>
        </w:rPr>
        <w:t>p</w:t>
      </w:r>
      <w:r w:rsidRPr="00997F82">
        <w:rPr>
          <w:szCs w:val="22"/>
        </w:rPr>
        <w:t>ractice continue</w:t>
      </w:r>
      <w:r w:rsidR="00C42A5A" w:rsidRPr="00997F82">
        <w:rPr>
          <w:szCs w:val="22"/>
        </w:rPr>
        <w:t>d</w:t>
      </w:r>
      <w:r w:rsidRPr="00997F82">
        <w:rPr>
          <w:szCs w:val="22"/>
        </w:rPr>
        <w:t xml:space="preserve"> to remain a </w:t>
      </w:r>
      <w:r w:rsidR="00611064" w:rsidRPr="00997F82">
        <w:rPr>
          <w:szCs w:val="22"/>
        </w:rPr>
        <w:t xml:space="preserve">challenge </w:t>
      </w:r>
      <w:r w:rsidRPr="00997F82">
        <w:rPr>
          <w:szCs w:val="22"/>
        </w:rPr>
        <w:t>for PHNs</w:t>
      </w:r>
      <w:r w:rsidR="005B4A63" w:rsidRPr="00997F82">
        <w:rPr>
          <w:szCs w:val="22"/>
        </w:rPr>
        <w:t>,</w:t>
      </w:r>
      <w:r w:rsidRPr="00997F82">
        <w:rPr>
          <w:szCs w:val="22"/>
        </w:rPr>
        <w:t xml:space="preserve"> with only 8 activities occurring overall in this space. This </w:t>
      </w:r>
      <w:r w:rsidR="003A062F" w:rsidRPr="00997F82">
        <w:rPr>
          <w:szCs w:val="22"/>
        </w:rPr>
        <w:t>was</w:t>
      </w:r>
      <w:r w:rsidR="004A5037" w:rsidRPr="00997F82">
        <w:rPr>
          <w:szCs w:val="22"/>
        </w:rPr>
        <w:t xml:space="preserve"> </w:t>
      </w:r>
      <w:r w:rsidRPr="00997F82">
        <w:rPr>
          <w:szCs w:val="22"/>
        </w:rPr>
        <w:t xml:space="preserve">due to </w:t>
      </w:r>
      <w:r w:rsidR="00F3577D" w:rsidRPr="00997F82">
        <w:rPr>
          <w:szCs w:val="22"/>
        </w:rPr>
        <w:t>limited time available for</w:t>
      </w:r>
      <w:r w:rsidRPr="00997F82">
        <w:rPr>
          <w:szCs w:val="22"/>
        </w:rPr>
        <w:t xml:space="preserve"> GPs </w:t>
      </w:r>
      <w:r w:rsidR="00F3577D" w:rsidRPr="00997F82">
        <w:rPr>
          <w:szCs w:val="22"/>
        </w:rPr>
        <w:t xml:space="preserve">to engage, with </w:t>
      </w:r>
      <w:r w:rsidRPr="00997F82">
        <w:rPr>
          <w:szCs w:val="22"/>
        </w:rPr>
        <w:t>competing priorities.</w:t>
      </w:r>
    </w:p>
    <w:p w14:paraId="7EE24664" w14:textId="7F2BEECA" w:rsidR="378349A8" w:rsidRPr="00997F82" w:rsidRDefault="00EE78F0" w:rsidP="00277D66">
      <w:pPr>
        <w:pStyle w:val="Heading2"/>
      </w:pPr>
      <w:r w:rsidRPr="00997F82">
        <w:t>Purpose of this document</w:t>
      </w:r>
    </w:p>
    <w:p w14:paraId="38AA1318" w14:textId="4C70DF64" w:rsidR="00BC37A1" w:rsidRPr="00997F82" w:rsidRDefault="00041734" w:rsidP="006950EE">
      <w:r w:rsidRPr="00997F82">
        <w:t xml:space="preserve">This document </w:t>
      </w:r>
      <w:r w:rsidR="00BC37A1" w:rsidRPr="00997F82">
        <w:t>presents:</w:t>
      </w:r>
    </w:p>
    <w:p w14:paraId="7F9927C3" w14:textId="4EC41932" w:rsidR="00E029B4" w:rsidRPr="00997F82" w:rsidRDefault="00E029B4" w:rsidP="006950EE">
      <w:pPr>
        <w:pStyle w:val="ListBullet"/>
      </w:pPr>
      <w:r w:rsidRPr="00997F82">
        <w:t xml:space="preserve">An </w:t>
      </w:r>
      <w:r w:rsidR="00D8670D" w:rsidRPr="00997F82">
        <w:t>Endpoint</w:t>
      </w:r>
      <w:r w:rsidRPr="00997F82">
        <w:t xml:space="preserve"> assessment of PHN </w:t>
      </w:r>
      <w:r w:rsidR="006F1085" w:rsidRPr="00997F82">
        <w:t>activity progress</w:t>
      </w:r>
      <w:r w:rsidR="007327A3" w:rsidRPr="00997F82">
        <w:t xml:space="preserve"> from 2023 to 2025</w:t>
      </w:r>
      <w:r w:rsidR="006F1085" w:rsidRPr="00997F82">
        <w:t>.</w:t>
      </w:r>
    </w:p>
    <w:p w14:paraId="4BC85D0A" w14:textId="27CE93A4" w:rsidR="000748A8" w:rsidRPr="00997F82" w:rsidRDefault="00BC37A1" w:rsidP="006950EE">
      <w:pPr>
        <w:pStyle w:val="ListBullet"/>
      </w:pPr>
      <w:r w:rsidRPr="00997F82">
        <w:t xml:space="preserve">Findings </w:t>
      </w:r>
      <w:r w:rsidR="000D5D36" w:rsidRPr="00997F82">
        <w:t>identified</w:t>
      </w:r>
      <w:r w:rsidRPr="00997F82">
        <w:t xml:space="preserve"> from </w:t>
      </w:r>
      <w:r w:rsidR="000D5D36" w:rsidRPr="00997F82">
        <w:t xml:space="preserve">a range of </w:t>
      </w:r>
      <w:r w:rsidRPr="00997F82">
        <w:t>mixed-method</w:t>
      </w:r>
      <w:r w:rsidR="0059192C" w:rsidRPr="00997F82">
        <w:t>s</w:t>
      </w:r>
      <w:r w:rsidRPr="00997F82">
        <w:t xml:space="preserve"> data</w:t>
      </w:r>
      <w:r w:rsidR="00885D71" w:rsidRPr="00997F82">
        <w:t xml:space="preserve"> </w:t>
      </w:r>
      <w:r w:rsidR="00E00E27" w:rsidRPr="00997F82">
        <w:t>against the evaluation lines of enquiry</w:t>
      </w:r>
      <w:r w:rsidR="0087624B" w:rsidRPr="00997F82">
        <w:t>.</w:t>
      </w:r>
    </w:p>
    <w:p w14:paraId="3471BBC4" w14:textId="318A3A46" w:rsidR="00BC37A1" w:rsidRPr="00997F82" w:rsidRDefault="00BC37A1" w:rsidP="006950EE">
      <w:pPr>
        <w:pStyle w:val="ListBullet"/>
      </w:pPr>
      <w:r w:rsidRPr="00997F82">
        <w:t xml:space="preserve">A comparative analysis, where possible, of </w:t>
      </w:r>
      <w:r w:rsidR="00F00818" w:rsidRPr="00997F82">
        <w:t xml:space="preserve">changes in data </w:t>
      </w:r>
      <w:r w:rsidR="00A25D30" w:rsidRPr="00997F82">
        <w:t xml:space="preserve">observed between </w:t>
      </w:r>
      <w:r w:rsidR="00F00818" w:rsidRPr="00997F82">
        <w:t xml:space="preserve">Baseline to </w:t>
      </w:r>
      <w:r w:rsidR="00D8670D" w:rsidRPr="00997F82">
        <w:t>Endpoint</w:t>
      </w:r>
      <w:r w:rsidR="00A25D30" w:rsidRPr="00997F82">
        <w:t>, and any insights this provides in terms of outcomes</w:t>
      </w:r>
      <w:r w:rsidR="00750246" w:rsidRPr="00997F82">
        <w:t xml:space="preserve"> and impact</w:t>
      </w:r>
      <w:r w:rsidR="00F00818" w:rsidRPr="00997F82">
        <w:t>.</w:t>
      </w:r>
    </w:p>
    <w:p w14:paraId="1E5D6AE1" w14:textId="0F740A30" w:rsidR="00B0428F" w:rsidRPr="00997F82" w:rsidRDefault="006F1085" w:rsidP="006950EE">
      <w:pPr>
        <w:pStyle w:val="ListBullet"/>
      </w:pPr>
      <w:r w:rsidRPr="00997F82">
        <w:t>Potential next steps and considerations for the future of the GCfAHPC Program.</w:t>
      </w:r>
    </w:p>
    <w:p w14:paraId="745BC780" w14:textId="25B14E29" w:rsidR="000A5B6A" w:rsidRPr="00997F82" w:rsidRDefault="000A5B6A" w:rsidP="00277D66">
      <w:pPr>
        <w:pStyle w:val="Heading2"/>
      </w:pPr>
      <w:r w:rsidRPr="00997F82">
        <w:t>Limitations and considerations</w:t>
      </w:r>
    </w:p>
    <w:p w14:paraId="1D6E3FCD" w14:textId="00E6966F" w:rsidR="007C3E81" w:rsidRPr="006950EE" w:rsidRDefault="00617DA1" w:rsidP="006950EE">
      <w:r w:rsidRPr="002E4B35">
        <w:rPr>
          <w:lang w:val="en-AU" w:eastAsia="en-AU"/>
        </w:rPr>
        <w:t>Current limitations in data availability, attribution and timeframe</w:t>
      </w:r>
      <w:r w:rsidR="007C3E81">
        <w:rPr>
          <w:lang w:val="en-AU" w:eastAsia="en-AU"/>
        </w:rPr>
        <w:t>s</w:t>
      </w:r>
      <w:r w:rsidRPr="002E4B35">
        <w:rPr>
          <w:lang w:val="en-AU" w:eastAsia="en-AU"/>
        </w:rPr>
        <w:t xml:space="preserve"> constrain the ability to observe system-level outcomes, and should be considered when interpreting the findings, particularly in relation to population health and equity impacts</w:t>
      </w:r>
      <w:r>
        <w:rPr>
          <w:lang w:val="en-AU" w:eastAsia="en-AU"/>
        </w:rPr>
        <w:t xml:space="preserve">. </w:t>
      </w:r>
      <w:r w:rsidR="00B0428F" w:rsidRPr="00997F82">
        <w:t>The analysis</w:t>
      </w:r>
      <w:r w:rsidR="00485BB7" w:rsidRPr="00997F82">
        <w:t xml:space="preserve"> and findings of this evaluation should be considered in the context of the following limitations and considerations</w:t>
      </w:r>
      <w:r w:rsidR="00B1757F" w:rsidRPr="00997F82">
        <w:t>.</w:t>
      </w:r>
    </w:p>
    <w:p w14:paraId="0D7C6063" w14:textId="2210430B" w:rsidR="00427E58" w:rsidRPr="00997F82" w:rsidRDefault="00427E58" w:rsidP="006950EE">
      <w:pPr>
        <w:pStyle w:val="Heading3"/>
      </w:pPr>
      <w:r w:rsidRPr="00997F82">
        <w:t>Program magnitude</w:t>
      </w:r>
      <w:r w:rsidR="007327A3" w:rsidRPr="00997F82">
        <w:t xml:space="preserve"> and effect size</w:t>
      </w:r>
    </w:p>
    <w:p w14:paraId="050C9256" w14:textId="4A970BD9" w:rsidR="00583688" w:rsidRPr="00997F82" w:rsidRDefault="0022262E" w:rsidP="006950EE">
      <w:r w:rsidRPr="00997F82">
        <w:t xml:space="preserve">While </w:t>
      </w:r>
      <w:r w:rsidR="00F3577D" w:rsidRPr="00997F82">
        <w:t xml:space="preserve">there is evidence of </w:t>
      </w:r>
      <w:r w:rsidRPr="00997F82">
        <w:t xml:space="preserve">effective implementation, significant </w:t>
      </w:r>
      <w:r w:rsidR="00703151" w:rsidRPr="00997F82">
        <w:t>changes</w:t>
      </w:r>
      <w:r w:rsidRPr="00997F82">
        <w:t xml:space="preserve"> in </w:t>
      </w:r>
      <w:r w:rsidR="007327A3" w:rsidRPr="00997F82">
        <w:t>population-level</w:t>
      </w:r>
      <w:r w:rsidRPr="00997F82">
        <w:t xml:space="preserve"> data</w:t>
      </w:r>
      <w:r w:rsidR="007327A3" w:rsidRPr="00997F82">
        <w:t xml:space="preserve"> or aggregate measures</w:t>
      </w:r>
      <w:r w:rsidR="00F3577D" w:rsidRPr="00997F82">
        <w:t xml:space="preserve"> were </w:t>
      </w:r>
      <w:r w:rsidR="00B32A09" w:rsidRPr="00997F82">
        <w:t>infrequently</w:t>
      </w:r>
      <w:r w:rsidR="00F3577D" w:rsidRPr="00997F82">
        <w:t xml:space="preserve"> observed</w:t>
      </w:r>
      <w:r w:rsidRPr="00997F82">
        <w:t>. This is due to</w:t>
      </w:r>
      <w:r w:rsidR="009572DA" w:rsidRPr="00997F82">
        <w:t xml:space="preserve">: </w:t>
      </w:r>
    </w:p>
    <w:p w14:paraId="3A74C616" w14:textId="1FAE70EE" w:rsidR="00926F7C" w:rsidRPr="00997F82" w:rsidRDefault="006E1948" w:rsidP="006950EE">
      <w:pPr>
        <w:pStyle w:val="ListBullet"/>
      </w:pPr>
      <w:r w:rsidRPr="00997F82">
        <w:t xml:space="preserve">The inability to observe systemic </w:t>
      </w:r>
      <w:r w:rsidR="00B32A09" w:rsidRPr="00997F82">
        <w:t xml:space="preserve">data </w:t>
      </w:r>
      <w:r w:rsidRPr="00997F82">
        <w:t xml:space="preserve">changes within a </w:t>
      </w:r>
      <w:r w:rsidR="00583688" w:rsidRPr="00997F82">
        <w:t>3</w:t>
      </w:r>
      <w:r w:rsidRPr="00997F82">
        <w:t>-year timeframe.</w:t>
      </w:r>
    </w:p>
    <w:p w14:paraId="431A9869" w14:textId="4796A07E" w:rsidR="00AF3ED2" w:rsidRPr="00997F82" w:rsidRDefault="08405DC3" w:rsidP="006950EE">
      <w:pPr>
        <w:pStyle w:val="ListBullet"/>
      </w:pPr>
      <w:r w:rsidRPr="00997F82">
        <w:t>T</w:t>
      </w:r>
      <w:r w:rsidR="3F96D61B" w:rsidRPr="00997F82">
        <w:t xml:space="preserve">he </w:t>
      </w:r>
      <w:r w:rsidR="00583688" w:rsidRPr="00997F82">
        <w:t xml:space="preserve">scope of the </w:t>
      </w:r>
      <w:r w:rsidR="100C375C" w:rsidRPr="00997F82">
        <w:t xml:space="preserve">overall program funding </w:t>
      </w:r>
      <w:r w:rsidR="00583688" w:rsidRPr="00997F82">
        <w:t xml:space="preserve">was intended and limited to PHN local system efforts, and therefore </w:t>
      </w:r>
      <w:r w:rsidR="1F0EAAF5" w:rsidRPr="00997F82">
        <w:t xml:space="preserve">comparison to </w:t>
      </w:r>
      <w:r w:rsidR="00583688" w:rsidRPr="00997F82">
        <w:t xml:space="preserve">national </w:t>
      </w:r>
      <w:r w:rsidR="002477A0" w:rsidRPr="00997F82">
        <w:t>palliative care data is also limited.</w:t>
      </w:r>
      <w:r w:rsidR="53D8AD94" w:rsidRPr="00997F82">
        <w:t xml:space="preserve"> </w:t>
      </w:r>
    </w:p>
    <w:p w14:paraId="03930032" w14:textId="233A99DA" w:rsidR="00252FE6" w:rsidRPr="00997F82" w:rsidRDefault="004C18DC" w:rsidP="006950EE">
      <w:pPr>
        <w:pStyle w:val="ListBullet"/>
      </w:pPr>
      <w:r w:rsidRPr="00997F82">
        <w:t>V</w:t>
      </w:r>
      <w:r w:rsidR="00E104A6" w:rsidRPr="00997F82">
        <w:t xml:space="preserve">ariation in PHN activities </w:t>
      </w:r>
      <w:r w:rsidR="00B32A09" w:rsidRPr="00997F82">
        <w:t>reduces</w:t>
      </w:r>
      <w:r w:rsidR="00E104A6" w:rsidRPr="00997F82">
        <w:t xml:space="preserve"> the likelihood of consistent and uniform </w:t>
      </w:r>
      <w:r w:rsidR="009572DA" w:rsidRPr="00997F82">
        <w:t>impact</w:t>
      </w:r>
      <w:r w:rsidR="00E104A6" w:rsidRPr="00997F82">
        <w:t xml:space="preserve"> </w:t>
      </w:r>
      <w:r w:rsidR="009C0002" w:rsidRPr="00997F82">
        <w:t xml:space="preserve">that can be detected within </w:t>
      </w:r>
      <w:r w:rsidR="009572DA" w:rsidRPr="00997F82">
        <w:t>data</w:t>
      </w:r>
      <w:r w:rsidRPr="00997F82">
        <w:t>.</w:t>
      </w:r>
    </w:p>
    <w:p w14:paraId="3E33E992" w14:textId="2533DF84" w:rsidR="006558E4" w:rsidRPr="00997F82" w:rsidRDefault="004C18DC" w:rsidP="006950EE">
      <w:pPr>
        <w:pStyle w:val="ListBullet"/>
      </w:pPr>
      <w:r w:rsidRPr="00997F82">
        <w:t>L</w:t>
      </w:r>
      <w:r w:rsidR="00252FE6" w:rsidRPr="00997F82">
        <w:t xml:space="preserve">imited </w:t>
      </w:r>
      <w:r w:rsidR="00476F3D" w:rsidRPr="00997F82">
        <w:t xml:space="preserve">strength in </w:t>
      </w:r>
      <w:r w:rsidR="004654F6" w:rsidRPr="00997F82">
        <w:t>the correlation</w:t>
      </w:r>
      <w:r w:rsidR="00476F3D" w:rsidRPr="00997F82">
        <w:t xml:space="preserve"> between </w:t>
      </w:r>
      <w:r w:rsidR="004654F6" w:rsidRPr="00997F82">
        <w:t xml:space="preserve">population-level data </w:t>
      </w:r>
      <w:r w:rsidR="00476F3D" w:rsidRPr="00997F82">
        <w:t>and the Program</w:t>
      </w:r>
      <w:r w:rsidR="004654F6" w:rsidRPr="00997F82">
        <w:t xml:space="preserve"> (i.e. effect size).</w:t>
      </w:r>
    </w:p>
    <w:p w14:paraId="54E9A30F" w14:textId="5F3BF5CC" w:rsidR="00427E58" w:rsidRPr="00997F82" w:rsidRDefault="00427E58" w:rsidP="006950EE">
      <w:pPr>
        <w:pStyle w:val="Heading3"/>
      </w:pPr>
      <w:r w:rsidRPr="00997F82">
        <w:t>Data availability and causality</w:t>
      </w:r>
    </w:p>
    <w:p w14:paraId="4398D256" w14:textId="77777777" w:rsidR="00494541" w:rsidRPr="00997F82" w:rsidRDefault="001F6FA5" w:rsidP="00494541">
      <w:pPr>
        <w:rPr>
          <w:lang w:val="en-AU"/>
        </w:rPr>
      </w:pPr>
      <w:r w:rsidRPr="00997F82">
        <w:t xml:space="preserve">There is limited nationally relevant data examining palliative care in Australia and PHNs described gathering data from local service providers as challenging. </w:t>
      </w:r>
    </w:p>
    <w:p w14:paraId="32686EB4" w14:textId="77777777" w:rsidR="00494541" w:rsidRPr="00997F82" w:rsidRDefault="00494541" w:rsidP="00494541">
      <w:pPr>
        <w:rPr>
          <w:lang w:val="en-AU"/>
        </w:rPr>
      </w:pPr>
      <w:r w:rsidRPr="00997F82">
        <w:rPr>
          <w:lang w:val="en-AU"/>
        </w:rPr>
        <w:t xml:space="preserve">Nationally relevant data on palliative care remains limited, and PHNs report challenges in sourcing information from local service providers. While broader trends may be observable through ongoing programs and policies, any outcomes are unlikely to be directly attributable to the program. To mitigate this, multiple data sources have been triangulated to strengthen insights. </w:t>
      </w:r>
    </w:p>
    <w:p w14:paraId="74E9684D" w14:textId="641B5C31" w:rsidR="00907E37" w:rsidRPr="006950EE" w:rsidRDefault="00427E58" w:rsidP="006950EE">
      <w:pPr>
        <w:pStyle w:val="Heading3"/>
      </w:pPr>
      <w:r w:rsidRPr="006950EE">
        <w:t xml:space="preserve">Direct input from families, carers and </w:t>
      </w:r>
      <w:r w:rsidR="006E5FA6" w:rsidRPr="006950EE">
        <w:t>individuals</w:t>
      </w:r>
    </w:p>
    <w:p w14:paraId="02E92463" w14:textId="4E1A8CF5" w:rsidR="006E5FA6" w:rsidRPr="00997F82" w:rsidRDefault="009A4739" w:rsidP="006E5FA6">
      <w:r w:rsidRPr="00997F82">
        <w:t>Due to the</w:t>
      </w:r>
      <w:r w:rsidR="00FF78DB" w:rsidRPr="00997F82">
        <w:t xml:space="preserve"> absence </w:t>
      </w:r>
      <w:r w:rsidR="00BA3BBA" w:rsidRPr="00997F82">
        <w:t xml:space="preserve">of lived experience </w:t>
      </w:r>
      <w:r w:rsidR="00486302" w:rsidRPr="00997F82">
        <w:t xml:space="preserve">groups </w:t>
      </w:r>
      <w:r w:rsidR="00622BA5" w:rsidRPr="00997F82">
        <w:t xml:space="preserve">relating </w:t>
      </w:r>
      <w:r w:rsidR="00486302" w:rsidRPr="00997F82">
        <w:t xml:space="preserve">to activities, </w:t>
      </w:r>
      <w:r w:rsidR="00E2149D" w:rsidRPr="00997F82">
        <w:t xml:space="preserve">and the ethical </w:t>
      </w:r>
      <w:r w:rsidR="0021052C" w:rsidRPr="00997F82">
        <w:t xml:space="preserve">considerations with </w:t>
      </w:r>
      <w:r w:rsidRPr="00997F82">
        <w:t>engaging</w:t>
      </w:r>
      <w:r w:rsidR="00E34CBF" w:rsidRPr="00997F82">
        <w:t xml:space="preserve"> patients</w:t>
      </w:r>
      <w:r w:rsidR="0021052C" w:rsidRPr="00997F82">
        <w:t>, families and carers</w:t>
      </w:r>
      <w:r w:rsidR="0006577E" w:rsidRPr="00997F82">
        <w:t xml:space="preserve">, </w:t>
      </w:r>
      <w:r w:rsidR="00646228" w:rsidRPr="00997F82">
        <w:t xml:space="preserve">the scope of the evaluation did not include </w:t>
      </w:r>
      <w:r w:rsidRPr="00997F82">
        <w:t xml:space="preserve">direct </w:t>
      </w:r>
      <w:r w:rsidR="00083B6F" w:rsidRPr="00997F82">
        <w:t xml:space="preserve">consultation or input from </w:t>
      </w:r>
      <w:r w:rsidR="00495C2F" w:rsidRPr="00997F82">
        <w:t xml:space="preserve">consumers and carers of palliative care </w:t>
      </w:r>
      <w:r w:rsidR="003767E8" w:rsidRPr="00997F82">
        <w:t>services.</w:t>
      </w:r>
      <w:r w:rsidR="002C6C80" w:rsidRPr="00997F82">
        <w:t xml:space="preserve"> </w:t>
      </w:r>
      <w:r w:rsidRPr="00997F82">
        <w:t>However,</w:t>
      </w:r>
      <w:r w:rsidR="002C6C80" w:rsidRPr="00997F82">
        <w:t xml:space="preserve"> consumer, carer and family feedback captured by PHNs where available</w:t>
      </w:r>
      <w:r w:rsidRPr="00997F82">
        <w:t xml:space="preserve"> and </w:t>
      </w:r>
      <w:r w:rsidR="0006577E" w:rsidRPr="00997F82">
        <w:t>included in the</w:t>
      </w:r>
      <w:r w:rsidR="002C6C80" w:rsidRPr="00997F82">
        <w:t xml:space="preserve"> analys</w:t>
      </w:r>
      <w:r w:rsidR="0006577E" w:rsidRPr="00997F82">
        <w:t>is</w:t>
      </w:r>
      <w:r w:rsidRPr="00997F82">
        <w:t>.</w:t>
      </w:r>
    </w:p>
    <w:p w14:paraId="34DB1D80" w14:textId="77777777" w:rsidR="005B2C64" w:rsidRPr="00997F82" w:rsidRDefault="005B2C64" w:rsidP="006950EE">
      <w:pPr>
        <w:pStyle w:val="Heading3"/>
      </w:pPr>
      <w:r w:rsidRPr="00997F82">
        <w:t>Sources of bias</w:t>
      </w:r>
    </w:p>
    <w:p w14:paraId="3D4CA196" w14:textId="7633CEAA" w:rsidR="0045555C" w:rsidRPr="00997F82" w:rsidRDefault="005B2C64" w:rsidP="0008516E">
      <w:r w:rsidRPr="00997F82">
        <w:t>Survey responses collected through the evaluation may be subject to selection bias, response bias or non-response bias. Where bias is present, insights may not represent an objective view of the subject. A range of data sources have been collected, synthesised and triangulated to mitigate this risk.</w:t>
      </w:r>
    </w:p>
    <w:p w14:paraId="1917E173" w14:textId="3FDFD946" w:rsidR="004C13D0" w:rsidRPr="00997F82" w:rsidRDefault="004C13D0">
      <w:pPr>
        <w:spacing w:line="279" w:lineRule="auto"/>
        <w:rPr>
          <w:color w:val="auto"/>
        </w:rPr>
      </w:pPr>
      <w:r w:rsidRPr="00997F82">
        <w:rPr>
          <w:color w:val="auto"/>
        </w:rPr>
        <w:br w:type="page"/>
      </w:r>
    </w:p>
    <w:p w14:paraId="5C952425" w14:textId="3EBB004B" w:rsidR="00BE524B" w:rsidRPr="00997F82" w:rsidRDefault="00EE78F0" w:rsidP="00277D66">
      <w:pPr>
        <w:pStyle w:val="Heading1"/>
      </w:pPr>
      <w:bookmarkStart w:id="18" w:name="_Toc226898032"/>
      <w:bookmarkStart w:id="19" w:name="_Toc231898083"/>
      <w:r w:rsidRPr="00997F82">
        <w:t>PHN Activity Summary</w:t>
      </w:r>
      <w:bookmarkEnd w:id="18"/>
      <w:bookmarkEnd w:id="19"/>
    </w:p>
    <w:p w14:paraId="3B4AEAD4" w14:textId="77EC223D" w:rsidR="00BE524B" w:rsidRPr="00997F82" w:rsidRDefault="00A42CC5" w:rsidP="00277D66">
      <w:pPr>
        <w:pStyle w:val="Heading2"/>
      </w:pPr>
      <w:r w:rsidRPr="00997F82">
        <w:t xml:space="preserve">Summary of PHN activities </w:t>
      </w:r>
    </w:p>
    <w:p w14:paraId="6D318014" w14:textId="6FC42756" w:rsidR="000A7E0A" w:rsidRPr="00997F82" w:rsidRDefault="00B749D0" w:rsidP="00C93821">
      <w:r w:rsidRPr="00997F82">
        <w:t>PHNs delivered diverse activities tailored to local palliative care needs, supported by funding for 2 FTE. These efforts aligned with each PHN’s Health or Palliative Care Needs Assessments or Healthy Ageing Strategies.</w:t>
      </w:r>
      <w:r w:rsidR="000A7E0A" w:rsidRPr="00997F82">
        <w:t xml:space="preserve"> </w:t>
      </w:r>
      <w:r w:rsidR="00102B5D" w:rsidRPr="00997F82">
        <w:t>A</w:t>
      </w:r>
      <w:r w:rsidR="000A7E0A" w:rsidRPr="00997F82">
        <w:t xml:space="preserve">ctivity data included in this evaluation was current up to April 2025. </w:t>
      </w:r>
      <w:r w:rsidR="000C52F1" w:rsidRPr="00997F82">
        <w:t>The</w:t>
      </w:r>
      <w:r w:rsidR="000A7E0A" w:rsidRPr="00997F82">
        <w:t xml:space="preserve"> evaluation did not have access to the full 2024-25 annual reports, which would typically provide comprehensive data for the entire financial year.</w:t>
      </w:r>
    </w:p>
    <w:p w14:paraId="37634C1D" w14:textId="68F995CD" w:rsidR="004F7438" w:rsidRPr="00997F82" w:rsidRDefault="00B11CD6" w:rsidP="00C93821">
      <w:pPr>
        <w:rPr>
          <w:i/>
          <w:iCs/>
        </w:rPr>
      </w:pPr>
      <w:r w:rsidRPr="00997F82">
        <w:t xml:space="preserve"> </w:t>
      </w:r>
      <w:r w:rsidR="007309DC" w:rsidRPr="00997F82">
        <w:t>To understand the breadth</w:t>
      </w:r>
      <w:r w:rsidR="00170B11" w:rsidRPr="00997F82">
        <w:t>,</w:t>
      </w:r>
      <w:r w:rsidR="007309DC" w:rsidRPr="00997F82">
        <w:t xml:space="preserve"> </w:t>
      </w:r>
      <w:r w:rsidR="004F7438" w:rsidRPr="00997F82">
        <w:t>activities</w:t>
      </w:r>
      <w:r w:rsidR="007309DC" w:rsidRPr="00997F82">
        <w:t xml:space="preserve"> </w:t>
      </w:r>
      <w:r w:rsidR="00C93821" w:rsidRPr="00997F82">
        <w:t>have been</w:t>
      </w:r>
      <w:r w:rsidR="00A06A75" w:rsidRPr="00997F82">
        <w:t xml:space="preserve"> </w:t>
      </w:r>
      <w:r w:rsidR="007309DC" w:rsidRPr="00997F82">
        <w:t>grouped</w:t>
      </w:r>
      <w:r w:rsidR="00A06A75" w:rsidRPr="00997F82">
        <w:t xml:space="preserve"> </w:t>
      </w:r>
      <w:r w:rsidR="00197D71" w:rsidRPr="00997F82">
        <w:t>in</w:t>
      </w:r>
      <w:r w:rsidR="00B63419" w:rsidRPr="00997F82">
        <w:t>to</w:t>
      </w:r>
      <w:r w:rsidR="00A06A75" w:rsidRPr="00997F82">
        <w:t xml:space="preserve"> five broad categories</w:t>
      </w:r>
      <w:r w:rsidR="00366871" w:rsidRPr="00997F82">
        <w:t>, and relevant sub-categories</w:t>
      </w:r>
      <w:r w:rsidR="00771D8F" w:rsidRPr="00997F82">
        <w:t xml:space="preserve"> (</w:t>
      </w:r>
      <w:r w:rsidR="00A71A2B" w:rsidRPr="00997F82">
        <w:fldChar w:fldCharType="begin"/>
      </w:r>
      <w:r w:rsidR="00A71A2B" w:rsidRPr="00997F82">
        <w:instrText xml:space="preserve"> REF _Ref197696647 \h </w:instrText>
      </w:r>
      <w:r w:rsidR="00B150C2" w:rsidRPr="00997F82">
        <w:instrText xml:space="preserve"> \* MERGEFORMAT </w:instrText>
      </w:r>
      <w:r w:rsidR="00A71A2B" w:rsidRPr="00997F82">
        <w:fldChar w:fldCharType="separate"/>
      </w:r>
      <w:r w:rsidR="00735424" w:rsidRPr="00997F82">
        <w:t xml:space="preserve">Figure </w:t>
      </w:r>
      <w:r w:rsidR="00735424" w:rsidRPr="00735424">
        <w:t>2</w:t>
      </w:r>
      <w:r w:rsidR="00A71A2B" w:rsidRPr="00997F82">
        <w:fldChar w:fldCharType="end"/>
      </w:r>
      <w:proofErr w:type="gramStart"/>
      <w:r w:rsidR="00771D8F" w:rsidRPr="00997F82">
        <w:t>)</w:t>
      </w:r>
      <w:r w:rsidR="005B5552" w:rsidRPr="00997F82">
        <w:t>.</w:t>
      </w:r>
      <w:r w:rsidR="004F7438" w:rsidRPr="00997F82">
        <w:t>A</w:t>
      </w:r>
      <w:proofErr w:type="gramEnd"/>
      <w:r w:rsidR="004F7438" w:rsidRPr="00997F82">
        <w:t xml:space="preserve"> more detailed summary of</w:t>
      </w:r>
      <w:r w:rsidR="00CE1BD5" w:rsidRPr="00997F82">
        <w:t xml:space="preserve"> </w:t>
      </w:r>
      <w:r w:rsidR="004F7438" w:rsidRPr="00997F82">
        <w:t xml:space="preserve">PHN activities can be found in the </w:t>
      </w:r>
      <w:r w:rsidR="006A7A8E" w:rsidRPr="00997F82">
        <w:t>companion</w:t>
      </w:r>
      <w:r w:rsidR="004F7438" w:rsidRPr="00997F82">
        <w:t xml:space="preserve"> document </w:t>
      </w:r>
      <w:r w:rsidR="00CE1BD5" w:rsidRPr="00997F82">
        <w:rPr>
          <w:i/>
          <w:iCs/>
        </w:rPr>
        <w:t>Greater Choice for At Home Palliative Care Program Activity and Partnerships Document (2025).</w:t>
      </w:r>
    </w:p>
    <w:p w14:paraId="2173F98D" w14:textId="21EE4726" w:rsidR="005B5552" w:rsidRPr="00997F82" w:rsidRDefault="005B5552" w:rsidP="00277D66">
      <w:pPr>
        <w:pStyle w:val="Caption"/>
        <w:rPr>
          <w:i/>
        </w:rPr>
      </w:pPr>
      <w:bookmarkStart w:id="20" w:name="_Ref197696647"/>
      <w:r w:rsidRPr="00997F82">
        <w:t xml:space="preserve">Figure </w:t>
      </w:r>
      <w:r w:rsidR="006558E4" w:rsidRPr="00997F82">
        <w:rPr>
          <w:i/>
        </w:rPr>
        <w:fldChar w:fldCharType="begin"/>
      </w:r>
      <w:r w:rsidR="006558E4" w:rsidRPr="00997F82">
        <w:instrText xml:space="preserve"> SEQ Figure \* ARABIC </w:instrText>
      </w:r>
      <w:r w:rsidR="006558E4" w:rsidRPr="00997F82">
        <w:rPr>
          <w:i/>
        </w:rPr>
        <w:fldChar w:fldCharType="separate"/>
      </w:r>
      <w:r w:rsidR="00735424">
        <w:rPr>
          <w:noProof/>
        </w:rPr>
        <w:t>2</w:t>
      </w:r>
      <w:r w:rsidR="006558E4" w:rsidRPr="00997F82">
        <w:rPr>
          <w:i/>
        </w:rPr>
        <w:fldChar w:fldCharType="end"/>
      </w:r>
      <w:bookmarkEnd w:id="20"/>
      <w:r w:rsidRPr="00997F82">
        <w:t>: Categories of PHN activities</w:t>
      </w:r>
    </w:p>
    <w:p w14:paraId="5C7AA377" w14:textId="79615400" w:rsidR="00366871" w:rsidRPr="00997F82" w:rsidRDefault="006112DB" w:rsidP="006112DB">
      <w:pPr>
        <w:jc w:val="center"/>
      </w:pPr>
      <w:r w:rsidRPr="00997F82">
        <w:rPr>
          <w:noProof/>
        </w:rPr>
        <w:drawing>
          <wp:inline distT="0" distB="0" distL="0" distR="0" wp14:anchorId="25E08E3F" wp14:editId="40887671">
            <wp:extent cx="4069977" cy="2544976"/>
            <wp:effectExtent l="0" t="0" r="6985" b="8255"/>
            <wp:docPr id="536700933" name="Picture 1" descr="Figure 2 is a infographic listing 5 broad categories of PHN activities: 1. Workforce education and awareness, including Workforce capability, GP Quality Improvement, and RACHs&#10;2. Awareness in the community, including education and awareness (including Compassionate Communities)&#10;3. Palliative care medicines&#10;4. Priority populations&#10;5. Coordination and integration, including service mapping and pathways and models of shar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00933" name="Picture 1" descr="Figure 2 is a infographic listing 5 broad categories of PHN activities: 1. Workforce education and awareness, including Workforce capability, GP Quality Improvement, and RACHs&#10;2. Awareness in the community, including education and awareness (including Compassionate Communities)&#10;3. Palliative care medicines&#10;4. Priority populations&#10;5. Coordination and integration, including service mapping and pathways and models of shared care"/>
                    <pic:cNvPicPr/>
                  </pic:nvPicPr>
                  <pic:blipFill>
                    <a:blip r:embed="rId13"/>
                    <a:stretch>
                      <a:fillRect/>
                    </a:stretch>
                  </pic:blipFill>
                  <pic:spPr>
                    <a:xfrm>
                      <a:off x="0" y="0"/>
                      <a:ext cx="4086379" cy="2555232"/>
                    </a:xfrm>
                    <a:prstGeom prst="rect">
                      <a:avLst/>
                    </a:prstGeom>
                  </pic:spPr>
                </pic:pic>
              </a:graphicData>
            </a:graphic>
          </wp:inline>
        </w:drawing>
      </w:r>
    </w:p>
    <w:p w14:paraId="5354422C" w14:textId="26530F70" w:rsidR="005B5552" w:rsidRPr="00997F82" w:rsidRDefault="00CE1BD5" w:rsidP="005B5552">
      <w:r w:rsidRPr="00997F82">
        <w:t xml:space="preserve">The key observations </w:t>
      </w:r>
      <w:r w:rsidR="009A4739" w:rsidRPr="00997F82">
        <w:t xml:space="preserve">on the </w:t>
      </w:r>
      <w:r w:rsidR="004F7438" w:rsidRPr="00997F82">
        <w:t>progress of PHN activities include:</w:t>
      </w:r>
    </w:p>
    <w:p w14:paraId="0ED66B99" w14:textId="77777777" w:rsidR="002337DF" w:rsidRPr="00997F82" w:rsidRDefault="00596209" w:rsidP="006950EE">
      <w:pPr>
        <w:pStyle w:val="ListBullet"/>
      </w:pPr>
      <w:r w:rsidRPr="00997F82">
        <w:t>PHNs largely implemented activities as planned, based on Activity Work Plans and reporting.</w:t>
      </w:r>
    </w:p>
    <w:p w14:paraId="0DFF8DDB" w14:textId="26907D2D" w:rsidR="00CE1BD5" w:rsidRPr="00997F82" w:rsidRDefault="00C108E1" w:rsidP="006950EE">
      <w:pPr>
        <w:pStyle w:val="ListBullet"/>
      </w:pPr>
      <w:r w:rsidRPr="00997F82">
        <w:t>H</w:t>
      </w:r>
      <w:r w:rsidR="000F22B7" w:rsidRPr="00997F82">
        <w:t>alf (</w:t>
      </w:r>
      <w:r w:rsidR="0030424F" w:rsidRPr="00997F82">
        <w:t>52</w:t>
      </w:r>
      <w:r w:rsidR="000F22B7" w:rsidRPr="00997F82">
        <w:t xml:space="preserve">%) of overall activities </w:t>
      </w:r>
      <w:r w:rsidR="000C7041" w:rsidRPr="00997F82">
        <w:t>can be</w:t>
      </w:r>
      <w:r w:rsidR="000F22B7" w:rsidRPr="00997F82">
        <w:t xml:space="preserve"> categorised </w:t>
      </w:r>
      <w:r w:rsidR="00095BBD" w:rsidRPr="00997F82">
        <w:t>as</w:t>
      </w:r>
      <w:r w:rsidR="00BA403C" w:rsidRPr="00997F82">
        <w:t xml:space="preserve"> </w:t>
      </w:r>
      <w:r w:rsidR="000F22B7" w:rsidRPr="00997F82">
        <w:t>workforce education and awareness</w:t>
      </w:r>
      <w:r w:rsidR="009A4739" w:rsidRPr="00997F82">
        <w:t xml:space="preserve">. </w:t>
      </w:r>
      <w:r w:rsidR="00FC4348" w:rsidRPr="00997F82">
        <w:t xml:space="preserve">PHNs </w:t>
      </w:r>
      <w:r w:rsidR="00EC6A16" w:rsidRPr="00997F82">
        <w:t>see workforce knowledge as critical enablers of system change and</w:t>
      </w:r>
      <w:r w:rsidR="00FC4348" w:rsidRPr="00997F82">
        <w:t xml:space="preserve"> </w:t>
      </w:r>
      <w:r w:rsidR="009A4739" w:rsidRPr="00997F82">
        <w:t xml:space="preserve">were </w:t>
      </w:r>
      <w:r w:rsidR="002337DF" w:rsidRPr="00997F82">
        <w:t>able to</w:t>
      </w:r>
      <w:r w:rsidR="00FC4348" w:rsidRPr="00997F82">
        <w:t xml:space="preserve"> </w:t>
      </w:r>
      <w:r w:rsidR="002337DF" w:rsidRPr="00997F82">
        <w:t xml:space="preserve">utilise </w:t>
      </w:r>
      <w:r w:rsidR="00FC4348" w:rsidRPr="00997F82">
        <w:t xml:space="preserve">existing relationships with service providers </w:t>
      </w:r>
      <w:r w:rsidR="00B23570" w:rsidRPr="00997F82">
        <w:t>to implement these activities</w:t>
      </w:r>
      <w:r w:rsidR="00FC4348" w:rsidRPr="00997F82">
        <w:t>.</w:t>
      </w:r>
    </w:p>
    <w:p w14:paraId="576DBA19" w14:textId="6D1740BC" w:rsidR="009A4739" w:rsidRPr="00997F82" w:rsidRDefault="002F22CD" w:rsidP="006950EE">
      <w:pPr>
        <w:pStyle w:val="ListBullet"/>
      </w:pPr>
      <w:r w:rsidRPr="00997F82">
        <w:t>C</w:t>
      </w:r>
      <w:r w:rsidR="00536D96" w:rsidRPr="00997F82">
        <w:t>oordination and integration activities are being undertaken by</w:t>
      </w:r>
      <w:r w:rsidR="005B5CB0" w:rsidRPr="00997F82">
        <w:t xml:space="preserve"> all</w:t>
      </w:r>
      <w:r w:rsidR="00536D96" w:rsidRPr="00997F82">
        <w:t xml:space="preserve"> </w:t>
      </w:r>
      <w:r w:rsidR="00F34DB9" w:rsidRPr="00997F82">
        <w:t>PHNs</w:t>
      </w:r>
      <w:r w:rsidR="007410F8" w:rsidRPr="00997F82">
        <w:t xml:space="preserve"> </w:t>
      </w:r>
      <w:r w:rsidR="005B5CB0" w:rsidRPr="00997F82">
        <w:t xml:space="preserve">and </w:t>
      </w:r>
      <w:r w:rsidR="005C1910" w:rsidRPr="00997F82">
        <w:t>are</w:t>
      </w:r>
      <w:r w:rsidR="0096677E" w:rsidRPr="00997F82">
        <w:t xml:space="preserve"> consistently viewed as the ‘glue’ connecting service providers, industry bodies, and communities, actively bringing stakeholders together to implement initiatives</w:t>
      </w:r>
      <w:r w:rsidR="0098044C" w:rsidRPr="00997F82">
        <w:t>.</w:t>
      </w:r>
      <w:r w:rsidR="00F34DB9" w:rsidRPr="00997F82">
        <w:t xml:space="preserve"> Th</w:t>
      </w:r>
      <w:r w:rsidR="00817377" w:rsidRPr="00997F82">
        <w:t xml:space="preserve">is </w:t>
      </w:r>
      <w:r w:rsidR="00EC6A16" w:rsidRPr="00997F82">
        <w:t xml:space="preserve">aligns with feedback from rural and regional PHNs </w:t>
      </w:r>
      <w:r w:rsidR="009A4739" w:rsidRPr="00997F82">
        <w:t xml:space="preserve">where </w:t>
      </w:r>
      <w:r w:rsidR="00943906" w:rsidRPr="00997F82">
        <w:t>limited palliative care services in these regions make it critical that services operate effectively and efficiently through better coordination.</w:t>
      </w:r>
    </w:p>
    <w:p w14:paraId="7CB1ED2A" w14:textId="1C9E2B58" w:rsidR="00920227" w:rsidRPr="00997F82" w:rsidRDefault="00025215" w:rsidP="006950EE">
      <w:pPr>
        <w:pStyle w:val="ListBullet"/>
      </w:pPr>
      <w:r w:rsidRPr="00997F82">
        <w:t>The</w:t>
      </w:r>
      <w:r w:rsidR="000C7041" w:rsidRPr="00997F82">
        <w:t xml:space="preserve"> least likely activities to be undertaken </w:t>
      </w:r>
      <w:r w:rsidRPr="00997F82">
        <w:t xml:space="preserve">continue to be </w:t>
      </w:r>
      <w:r w:rsidR="000C7041" w:rsidRPr="00997F82">
        <w:t xml:space="preserve">those </w:t>
      </w:r>
      <w:r w:rsidR="00DD31E4" w:rsidRPr="00997F82">
        <w:t xml:space="preserve">related to </w:t>
      </w:r>
      <w:r w:rsidR="000C7041" w:rsidRPr="00997F82">
        <w:t>priority populations (</w:t>
      </w:r>
      <w:r w:rsidR="00CC42BC" w:rsidRPr="00997F82">
        <w:t>22</w:t>
      </w:r>
      <w:r w:rsidR="000C7041" w:rsidRPr="00997F82">
        <w:t>% of overall activities) and palliative care medicines (</w:t>
      </w:r>
      <w:r w:rsidR="007A4898" w:rsidRPr="00997F82">
        <w:t>0.0</w:t>
      </w:r>
      <w:r w:rsidR="001929EF" w:rsidRPr="00997F82">
        <w:t>8</w:t>
      </w:r>
      <w:r w:rsidR="000C7041" w:rsidRPr="00997F82">
        <w:t>% of overall activities).</w:t>
      </w:r>
    </w:p>
    <w:p w14:paraId="7A4755C9" w14:textId="577B046B" w:rsidR="00BE524B" w:rsidRPr="00997F82" w:rsidRDefault="00A42CC5" w:rsidP="00277D66">
      <w:pPr>
        <w:pStyle w:val="Heading2"/>
      </w:pPr>
      <w:bookmarkStart w:id="21" w:name="_Ref202171099"/>
      <w:r w:rsidRPr="00997F82">
        <w:t>Workforce education and awareness</w:t>
      </w:r>
      <w:bookmarkEnd w:id="21"/>
    </w:p>
    <w:p w14:paraId="04174ACC" w14:textId="752ACA64" w:rsidR="00FA35CA" w:rsidRPr="00997F82" w:rsidRDefault="004F4066" w:rsidP="001E32EE">
      <w:bookmarkStart w:id="22" w:name="_Hlk197944886"/>
      <w:r w:rsidRPr="00997F82">
        <w:t xml:space="preserve">PHN efforts in workforce education and awareness activities are strategically designed to complement, rather than duplicate, existing national initiatives. These activities frequently involve linking with and leveraging resources from National Palliative Care Projects and similar programs or addressing specific regional gaps in education and awareness that are not comprehensively covered by broader national strategies. This approach ensures an efficient use of resources and avoids </w:t>
      </w:r>
      <w:r w:rsidR="001142DD" w:rsidRPr="00997F82">
        <w:t xml:space="preserve">duplication of efforts and resources. </w:t>
      </w:r>
    </w:p>
    <w:p w14:paraId="5833417D" w14:textId="50C080BA" w:rsidR="001E32EE" w:rsidRPr="00997F82" w:rsidRDefault="00ED4FFF" w:rsidP="001E32EE">
      <w:r w:rsidRPr="00997F82">
        <w:t xml:space="preserve">Workforce education and awareness activities </w:t>
      </w:r>
      <w:r w:rsidR="00A928D2" w:rsidRPr="00997F82">
        <w:t xml:space="preserve">can be further broken down into three sub-categories: </w:t>
      </w:r>
    </w:p>
    <w:bookmarkEnd w:id="22"/>
    <w:p w14:paraId="72963361" w14:textId="40B28BBF" w:rsidR="00A928D2" w:rsidRPr="00997F82" w:rsidRDefault="00A928D2" w:rsidP="006950EE">
      <w:pPr>
        <w:pStyle w:val="ListBullet"/>
      </w:pPr>
      <w:r w:rsidRPr="00997F82">
        <w:rPr>
          <w:b/>
          <w:bCs/>
        </w:rPr>
        <w:t>Workforce capability</w:t>
      </w:r>
      <w:r w:rsidR="006F6837" w:rsidRPr="00997F82">
        <w:t xml:space="preserve"> – </w:t>
      </w:r>
      <w:r w:rsidR="007D7CFE" w:rsidRPr="00997F82">
        <w:t>intended</w:t>
      </w:r>
      <w:r w:rsidRPr="00997F82">
        <w:t xml:space="preserve"> to improve capability in </w:t>
      </w:r>
      <w:r w:rsidR="00355C8D" w:rsidRPr="00997F82">
        <w:t>target workforces such as GPs,</w:t>
      </w:r>
      <w:r w:rsidR="009A4739" w:rsidRPr="00997F82">
        <w:t xml:space="preserve"> </w:t>
      </w:r>
      <w:r w:rsidR="00355C8D" w:rsidRPr="00997F82">
        <w:t>nurses, care professionals, allied health</w:t>
      </w:r>
      <w:r w:rsidR="000C3481" w:rsidRPr="00997F82">
        <w:t>,</w:t>
      </w:r>
      <w:r w:rsidR="00355C8D" w:rsidRPr="00997F82">
        <w:t xml:space="preserve"> paramedics</w:t>
      </w:r>
      <w:r w:rsidR="000C3481" w:rsidRPr="00997F82">
        <w:t xml:space="preserve"> and community services.</w:t>
      </w:r>
    </w:p>
    <w:p w14:paraId="68C6EF91" w14:textId="586850BD" w:rsidR="00355C8D" w:rsidRPr="00997F82" w:rsidRDefault="00355C8D" w:rsidP="006950EE">
      <w:pPr>
        <w:pStyle w:val="ListBullet"/>
      </w:pPr>
      <w:r w:rsidRPr="00997F82">
        <w:rPr>
          <w:b/>
          <w:bCs/>
        </w:rPr>
        <w:t>GP quality improvement</w:t>
      </w:r>
      <w:r w:rsidR="006F6837" w:rsidRPr="00997F82">
        <w:t xml:space="preserve"> – </w:t>
      </w:r>
      <w:r w:rsidR="00471A6F" w:rsidRPr="00997F82">
        <w:t xml:space="preserve">intended to enable </w:t>
      </w:r>
      <w:r w:rsidR="00F44705" w:rsidRPr="00997F82">
        <w:t>clinicians</w:t>
      </w:r>
      <w:r w:rsidR="00471A6F" w:rsidRPr="00997F82">
        <w:t xml:space="preserve"> and practices to engage with Quality Improvement (QI) programs and processes related to palliative care.</w:t>
      </w:r>
    </w:p>
    <w:p w14:paraId="3C5A624B" w14:textId="7743C20E" w:rsidR="00471A6F" w:rsidRPr="00997F82" w:rsidRDefault="007A41CE" w:rsidP="006950EE">
      <w:pPr>
        <w:pStyle w:val="ListBullet"/>
        <w:rPr>
          <w:b/>
          <w:bCs/>
        </w:rPr>
      </w:pPr>
      <w:r w:rsidRPr="00997F82">
        <w:rPr>
          <w:b/>
          <w:bCs/>
        </w:rPr>
        <w:t xml:space="preserve">Residential </w:t>
      </w:r>
      <w:r w:rsidR="002F60D1" w:rsidRPr="00997F82">
        <w:rPr>
          <w:b/>
          <w:bCs/>
        </w:rPr>
        <w:t>a</w:t>
      </w:r>
      <w:r w:rsidRPr="00997F82">
        <w:rPr>
          <w:b/>
          <w:bCs/>
        </w:rPr>
        <w:t xml:space="preserve">ged </w:t>
      </w:r>
      <w:r w:rsidR="002F60D1" w:rsidRPr="00997F82">
        <w:rPr>
          <w:b/>
          <w:bCs/>
        </w:rPr>
        <w:t>c</w:t>
      </w:r>
      <w:r w:rsidRPr="00997F82">
        <w:rPr>
          <w:b/>
          <w:bCs/>
        </w:rPr>
        <w:t xml:space="preserve">are </w:t>
      </w:r>
      <w:r w:rsidR="002F60D1" w:rsidRPr="00997F82">
        <w:rPr>
          <w:b/>
          <w:bCs/>
        </w:rPr>
        <w:t>h</w:t>
      </w:r>
      <w:r w:rsidRPr="00997F82">
        <w:rPr>
          <w:b/>
          <w:bCs/>
        </w:rPr>
        <w:t>omes</w:t>
      </w:r>
      <w:r w:rsidR="006F6837" w:rsidRPr="00997F82">
        <w:t xml:space="preserve"> –</w:t>
      </w:r>
      <w:r w:rsidRPr="00997F82">
        <w:rPr>
          <w:b/>
          <w:bCs/>
        </w:rPr>
        <w:t xml:space="preserve"> </w:t>
      </w:r>
      <w:r w:rsidRPr="00997F82">
        <w:t xml:space="preserve">intended to support RACHs </w:t>
      </w:r>
      <w:r w:rsidR="00920227" w:rsidRPr="00997F82">
        <w:t>through education and awareness of palliative care and advance care planning</w:t>
      </w:r>
      <w:r w:rsidR="00355D4D" w:rsidRPr="00997F82">
        <w:t xml:space="preserve"> (ACP)</w:t>
      </w:r>
      <w:r w:rsidR="00920227" w:rsidRPr="00997F82">
        <w:t>.</w:t>
      </w:r>
    </w:p>
    <w:p w14:paraId="67B55595" w14:textId="535C692C" w:rsidR="003F43D1" w:rsidRPr="00997F82" w:rsidRDefault="007E7FDF" w:rsidP="00DF0063">
      <w:pPr>
        <w:pStyle w:val="CVHeading"/>
      </w:pPr>
      <w:r w:rsidRPr="00997F82">
        <w:t xml:space="preserve">As of </w:t>
      </w:r>
      <w:r w:rsidR="00D8670D" w:rsidRPr="00997F82">
        <w:t>Endpoint</w:t>
      </w:r>
      <w:r w:rsidRPr="00997F82">
        <w:t>,</w:t>
      </w:r>
      <w:r w:rsidR="00A47236" w:rsidRPr="00997F82">
        <w:t xml:space="preserve"> all</w:t>
      </w:r>
      <w:r w:rsidRPr="00997F82">
        <w:t xml:space="preserve"> 31 PHNs implemented a total of </w:t>
      </w:r>
      <w:r w:rsidR="006C3268" w:rsidRPr="00997F82">
        <w:t>106</w:t>
      </w:r>
      <w:r w:rsidRPr="00997F82">
        <w:t xml:space="preserve"> activities </w:t>
      </w:r>
      <w:r w:rsidR="00946514" w:rsidRPr="00997F82">
        <w:t>in</w:t>
      </w:r>
      <w:r w:rsidRPr="00997F82">
        <w:t xml:space="preserve"> workforce education and awareness.</w:t>
      </w:r>
    </w:p>
    <w:p w14:paraId="2C3D8954" w14:textId="64487A25" w:rsidR="00920227" w:rsidRPr="00997F82" w:rsidRDefault="00920227" w:rsidP="00920227">
      <w:r w:rsidRPr="00997F82">
        <w:t xml:space="preserve">The following table </w:t>
      </w:r>
      <w:r w:rsidR="007E7FDF" w:rsidRPr="00997F82">
        <w:t xml:space="preserve">provides a </w:t>
      </w:r>
      <w:r w:rsidR="000247E1" w:rsidRPr="00997F82">
        <w:t xml:space="preserve">summary </w:t>
      </w:r>
      <w:r w:rsidR="007E7FDF" w:rsidRPr="00997F82">
        <w:t>of where these activities are being implemented, whether this is more commonly seen in metro or rural areas, and whether pilot or non-pilot PHNs are more likely to undertake activities in this category.</w:t>
      </w:r>
    </w:p>
    <w:p w14:paraId="40D73F2A" w14:textId="67B9D214" w:rsidR="002E2924" w:rsidRPr="00997F82" w:rsidRDefault="002E2924" w:rsidP="00277D66">
      <w:pPr>
        <w:pStyle w:val="Caption"/>
        <w:rPr>
          <w:i/>
        </w:rPr>
      </w:pPr>
      <w:bookmarkStart w:id="23" w:name="_Ref201866973"/>
      <w:bookmarkStart w:id="24" w:name="_Ref202170556"/>
      <w:r w:rsidRPr="00997F82">
        <w:t xml:space="preserve">Table </w:t>
      </w:r>
      <w:r w:rsidRPr="00997F82">
        <w:rPr>
          <w:i/>
        </w:rPr>
        <w:fldChar w:fldCharType="begin"/>
      </w:r>
      <w:r w:rsidRPr="00997F82">
        <w:instrText xml:space="preserve"> SEQ Table \* ARABIC </w:instrText>
      </w:r>
      <w:r w:rsidRPr="00997F82">
        <w:rPr>
          <w:i/>
        </w:rPr>
        <w:fldChar w:fldCharType="separate"/>
      </w:r>
      <w:r w:rsidR="00735424">
        <w:rPr>
          <w:noProof/>
        </w:rPr>
        <w:t>1</w:t>
      </w:r>
      <w:r w:rsidRPr="00997F82">
        <w:rPr>
          <w:i/>
        </w:rPr>
        <w:fldChar w:fldCharType="end"/>
      </w:r>
      <w:bookmarkEnd w:id="23"/>
      <w:r w:rsidRPr="00997F82">
        <w:t>: Workforce Education and Awareness activities, by sub-category and PHN characteristics</w:t>
      </w:r>
      <w:bookmarkEnd w:id="24"/>
    </w:p>
    <w:tbl>
      <w:tblPr>
        <w:tblStyle w:val="GridTable1Light-Accent31"/>
        <w:tblW w:w="5000" w:type="pct"/>
        <w:tblLayout w:type="fixed"/>
        <w:tblLook w:val="04A0" w:firstRow="1" w:lastRow="0" w:firstColumn="1" w:lastColumn="0" w:noHBand="0" w:noVBand="1"/>
      </w:tblPr>
      <w:tblGrid>
        <w:gridCol w:w="2826"/>
        <w:gridCol w:w="757"/>
        <w:gridCol w:w="1087"/>
        <w:gridCol w:w="1084"/>
        <w:gridCol w:w="1046"/>
        <w:gridCol w:w="1124"/>
        <w:gridCol w:w="1093"/>
      </w:tblGrid>
      <w:tr w:rsidR="001B7D56" w:rsidRPr="00997F82" w14:paraId="290D1263" w14:textId="77777777" w:rsidTr="005B1D82">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1567" w:type="pct"/>
            <w:tcBorders>
              <w:top w:val="single" w:sz="4" w:space="0" w:color="FFFFFF"/>
              <w:left w:val="single" w:sz="4" w:space="0" w:color="FFFFFF"/>
              <w:bottom w:val="single" w:sz="4" w:space="0" w:color="FFFFFF"/>
              <w:right w:val="single" w:sz="4" w:space="0" w:color="FFFFFF"/>
            </w:tcBorders>
          </w:tcPr>
          <w:p w14:paraId="332236A7" w14:textId="3B7DF3A8" w:rsidR="00117556" w:rsidRPr="00A57CA5" w:rsidRDefault="00117556" w:rsidP="00A57CA5">
            <w:pPr>
              <w:pStyle w:val="Tablehead"/>
            </w:pPr>
          </w:p>
        </w:tc>
        <w:tc>
          <w:tcPr>
            <w:tcW w:w="1023" w:type="pct"/>
            <w:gridSpan w:val="2"/>
            <w:tcBorders>
              <w:top w:val="single" w:sz="4" w:space="0" w:color="FFFFFF"/>
              <w:left w:val="single" w:sz="4" w:space="0" w:color="FFFFFF"/>
              <w:bottom w:val="single" w:sz="4" w:space="0" w:color="FFFFFF"/>
              <w:right w:val="single" w:sz="4" w:space="0" w:color="FFFFFF"/>
            </w:tcBorders>
            <w:shd w:val="clear" w:color="auto" w:fill="B4B5DB"/>
            <w:vAlign w:val="center"/>
          </w:tcPr>
          <w:p w14:paraId="49FC85F7" w14:textId="0D4BE22C" w:rsidR="00117556" w:rsidRPr="00A57CA5" w:rsidRDefault="00117556" w:rsidP="00A57CA5">
            <w:pPr>
              <w:pStyle w:val="Tablehead"/>
              <w:cnfStyle w:val="100000000000" w:firstRow="1" w:lastRow="0" w:firstColumn="0" w:lastColumn="0" w:oddVBand="0" w:evenVBand="0" w:oddHBand="0" w:evenHBand="0" w:firstRowFirstColumn="0" w:firstRowLastColumn="0" w:lastRowFirstColumn="0" w:lastRowLastColumn="0"/>
            </w:pPr>
            <w:r w:rsidRPr="00A57CA5">
              <w:t>Workforce Capability</w:t>
            </w:r>
            <w:r w:rsidR="00A57CA5">
              <w:t xml:space="preserve"> </w:t>
            </w:r>
            <w:r w:rsidRPr="00A57CA5">
              <w:t>(</w:t>
            </w:r>
            <w:r w:rsidR="00D46351" w:rsidRPr="00A57CA5">
              <w:t>62</w:t>
            </w:r>
            <w:r w:rsidRPr="00A57CA5">
              <w:t xml:space="preserve"> activities)</w:t>
            </w:r>
          </w:p>
        </w:tc>
        <w:tc>
          <w:tcPr>
            <w:tcW w:w="1181" w:type="pct"/>
            <w:gridSpan w:val="2"/>
            <w:tcBorders>
              <w:top w:val="single" w:sz="4" w:space="0" w:color="FFFFFF"/>
              <w:left w:val="single" w:sz="4" w:space="0" w:color="FFFFFF"/>
              <w:bottom w:val="single" w:sz="4" w:space="0" w:color="FFFFFF"/>
              <w:right w:val="single" w:sz="4" w:space="0" w:color="FFFFFF"/>
            </w:tcBorders>
            <w:shd w:val="clear" w:color="auto" w:fill="B4B5DB"/>
            <w:vAlign w:val="center"/>
          </w:tcPr>
          <w:p w14:paraId="24ED986B" w14:textId="55D0E616" w:rsidR="00117556" w:rsidRPr="00A57CA5" w:rsidRDefault="00117556" w:rsidP="00A57CA5">
            <w:pPr>
              <w:pStyle w:val="Tablehead"/>
              <w:cnfStyle w:val="100000000000" w:firstRow="1" w:lastRow="0" w:firstColumn="0" w:lastColumn="0" w:oddVBand="0" w:evenVBand="0" w:oddHBand="0" w:evenHBand="0" w:firstRowFirstColumn="0" w:firstRowLastColumn="0" w:lastRowFirstColumn="0" w:lastRowLastColumn="0"/>
            </w:pPr>
            <w:r w:rsidRPr="00A57CA5">
              <w:t>RACH</w:t>
            </w:r>
            <w:r w:rsidR="00A57CA5">
              <w:t xml:space="preserve"> </w:t>
            </w:r>
            <w:r w:rsidRPr="00A57CA5">
              <w:t>(</w:t>
            </w:r>
            <w:r w:rsidR="004F6D4A" w:rsidRPr="00A57CA5">
              <w:t>32</w:t>
            </w:r>
            <w:r w:rsidRPr="00A57CA5">
              <w:t xml:space="preserve"> Activities)</w:t>
            </w:r>
          </w:p>
        </w:tc>
        <w:tc>
          <w:tcPr>
            <w:tcW w:w="1229" w:type="pct"/>
            <w:gridSpan w:val="2"/>
            <w:tcBorders>
              <w:top w:val="single" w:sz="4" w:space="0" w:color="FFFFFF"/>
              <w:left w:val="single" w:sz="4" w:space="0" w:color="FFFFFF"/>
              <w:bottom w:val="single" w:sz="4" w:space="0" w:color="FFFFFF"/>
              <w:right w:val="single" w:sz="4" w:space="0" w:color="FFFFFF"/>
            </w:tcBorders>
            <w:shd w:val="clear" w:color="auto" w:fill="B4B5DB"/>
            <w:vAlign w:val="center"/>
          </w:tcPr>
          <w:p w14:paraId="0AD1AE01" w14:textId="6429601E" w:rsidR="00117556" w:rsidRPr="00A57CA5" w:rsidRDefault="00117556" w:rsidP="00A57CA5">
            <w:pPr>
              <w:pStyle w:val="Tablehead"/>
              <w:cnfStyle w:val="100000000000" w:firstRow="1" w:lastRow="0" w:firstColumn="0" w:lastColumn="0" w:oddVBand="0" w:evenVBand="0" w:oddHBand="0" w:evenHBand="0" w:firstRowFirstColumn="0" w:firstRowLastColumn="0" w:lastRowFirstColumn="0" w:lastRowLastColumn="0"/>
            </w:pPr>
            <w:r w:rsidRPr="00A57CA5">
              <w:t>GP QI</w:t>
            </w:r>
            <w:r w:rsidR="00A57CA5">
              <w:t xml:space="preserve"> </w:t>
            </w:r>
            <w:r w:rsidRPr="00A57CA5">
              <w:t>(</w:t>
            </w:r>
            <w:r w:rsidR="00732FEF" w:rsidRPr="00A57CA5">
              <w:t>12</w:t>
            </w:r>
            <w:r w:rsidRPr="00A57CA5">
              <w:t xml:space="preserve"> activities)</w:t>
            </w:r>
          </w:p>
        </w:tc>
      </w:tr>
      <w:tr w:rsidR="001B7D56" w:rsidRPr="00997F82" w14:paraId="541AEAAC" w14:textId="77777777" w:rsidTr="005B1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7" w:type="pct"/>
            <w:tcBorders>
              <w:top w:val="single" w:sz="4" w:space="0" w:color="FFFFFF"/>
              <w:left w:val="single" w:sz="4" w:space="0" w:color="FFFFFF"/>
              <w:bottom w:val="single" w:sz="4" w:space="0" w:color="FFFFFF"/>
              <w:right w:val="single" w:sz="4" w:space="0" w:color="FFFFFF"/>
            </w:tcBorders>
            <w:shd w:val="clear" w:color="auto" w:fill="E0E1F0"/>
          </w:tcPr>
          <w:p w14:paraId="75873861" w14:textId="77777777" w:rsidR="00117556" w:rsidRPr="00997F82" w:rsidRDefault="00117556" w:rsidP="00117556">
            <w:pPr>
              <w:kinsoku w:val="0"/>
              <w:overflowPunct w:val="0"/>
              <w:autoSpaceDE w:val="0"/>
              <w:autoSpaceDN w:val="0"/>
              <w:adjustRightInd w:val="0"/>
              <w:snapToGrid w:val="0"/>
              <w:spacing w:line="276" w:lineRule="auto"/>
              <w:rPr>
                <w:rFonts w:asciiTheme="majorHAnsi" w:eastAsia="MS Mincho" w:hAnsiTheme="majorHAnsi"/>
                <w:snapToGrid w:val="0"/>
                <w:color w:val="auto"/>
                <w:lang w:eastAsia="en-US"/>
              </w:rPr>
            </w:pPr>
            <w:r w:rsidRPr="00997F82">
              <w:rPr>
                <w:rFonts w:asciiTheme="majorHAnsi" w:eastAsia="MS Mincho" w:hAnsiTheme="majorHAnsi"/>
                <w:snapToGrid w:val="0"/>
                <w:color w:val="auto"/>
                <w:lang w:eastAsia="en-US"/>
              </w:rPr>
              <w:t>Rurality</w:t>
            </w:r>
          </w:p>
        </w:tc>
        <w:tc>
          <w:tcPr>
            <w:tcW w:w="420" w:type="pct"/>
            <w:tcBorders>
              <w:top w:val="single" w:sz="4" w:space="0" w:color="FFFFFF"/>
              <w:left w:val="single" w:sz="4" w:space="0" w:color="FFFFFF"/>
              <w:bottom w:val="single" w:sz="4" w:space="0" w:color="FFFFFF"/>
              <w:right w:val="single" w:sz="4" w:space="0" w:color="FFFFFF"/>
            </w:tcBorders>
            <w:shd w:val="clear" w:color="auto" w:fill="E0E1F0"/>
          </w:tcPr>
          <w:p w14:paraId="5F8AC7F7" w14:textId="77777777" w:rsidR="00117556" w:rsidRPr="00997F82" w:rsidRDefault="00117556" w:rsidP="00117556">
            <w:pPr>
              <w:kinsoku w:val="0"/>
              <w:overflowPunct w:val="0"/>
              <w:autoSpaceDE w:val="0"/>
              <w:autoSpaceDN w:val="0"/>
              <w:adjustRightInd w:val="0"/>
              <w:snapToGrid w:val="0"/>
              <w:spacing w:line="276" w:lineRule="auto"/>
              <w:cnfStyle w:val="100000000000" w:firstRow="1" w:lastRow="0" w:firstColumn="0" w:lastColumn="0" w:oddVBand="0" w:evenVBand="0" w:oddHBand="0" w:evenHBand="0" w:firstRowFirstColumn="0" w:firstRowLastColumn="0" w:lastRowFirstColumn="0" w:lastRowLastColumn="0"/>
              <w:rPr>
                <w:rFonts w:eastAsia="MS Mincho"/>
                <w:snapToGrid w:val="0"/>
                <w:color w:val="auto"/>
                <w:sz w:val="16"/>
                <w:szCs w:val="16"/>
                <w:lang w:eastAsia="en-US"/>
              </w:rPr>
            </w:pPr>
            <w:r w:rsidRPr="00997F82">
              <w:rPr>
                <w:rFonts w:eastAsia="MS Mincho"/>
                <w:snapToGrid w:val="0"/>
                <w:color w:val="auto"/>
                <w:sz w:val="16"/>
                <w:szCs w:val="16"/>
                <w:lang w:eastAsia="en-US"/>
              </w:rPr>
              <w:t># PHNs</w:t>
            </w:r>
          </w:p>
        </w:tc>
        <w:tc>
          <w:tcPr>
            <w:tcW w:w="603" w:type="pct"/>
            <w:tcBorders>
              <w:top w:val="single" w:sz="4" w:space="0" w:color="FFFFFF"/>
              <w:left w:val="single" w:sz="4" w:space="0" w:color="FFFFFF"/>
              <w:bottom w:val="single" w:sz="4" w:space="0" w:color="FFFFFF"/>
              <w:right w:val="single" w:sz="4" w:space="0" w:color="FFFFFF"/>
            </w:tcBorders>
            <w:shd w:val="clear" w:color="auto" w:fill="E0E1F0"/>
          </w:tcPr>
          <w:p w14:paraId="6A2629C4" w14:textId="77777777" w:rsidR="00117556" w:rsidRPr="00997F82" w:rsidRDefault="00117556" w:rsidP="00117556">
            <w:pPr>
              <w:kinsoku w:val="0"/>
              <w:overflowPunct w:val="0"/>
              <w:autoSpaceDE w:val="0"/>
              <w:autoSpaceDN w:val="0"/>
              <w:adjustRightInd w:val="0"/>
              <w:snapToGrid w:val="0"/>
              <w:spacing w:line="276" w:lineRule="auto"/>
              <w:cnfStyle w:val="100000000000" w:firstRow="1" w:lastRow="0" w:firstColumn="0" w:lastColumn="0" w:oddVBand="0" w:evenVBand="0" w:oddHBand="0" w:evenHBand="0" w:firstRowFirstColumn="0" w:firstRowLastColumn="0" w:lastRowFirstColumn="0" w:lastRowLastColumn="0"/>
              <w:rPr>
                <w:rFonts w:eastAsia="MS Mincho"/>
                <w:snapToGrid w:val="0"/>
                <w:color w:val="auto"/>
                <w:sz w:val="16"/>
                <w:szCs w:val="16"/>
                <w:lang w:eastAsia="en-US"/>
              </w:rPr>
            </w:pPr>
            <w:r w:rsidRPr="00997F82">
              <w:rPr>
                <w:rFonts w:eastAsia="MS Mincho"/>
                <w:snapToGrid w:val="0"/>
                <w:color w:val="auto"/>
                <w:sz w:val="16"/>
                <w:szCs w:val="16"/>
                <w:lang w:eastAsia="en-US"/>
              </w:rPr>
              <w:t># Activities</w:t>
            </w:r>
          </w:p>
        </w:tc>
        <w:tc>
          <w:tcPr>
            <w:tcW w:w="601" w:type="pct"/>
            <w:tcBorders>
              <w:top w:val="single" w:sz="4" w:space="0" w:color="FFFFFF"/>
              <w:left w:val="single" w:sz="4" w:space="0" w:color="FFFFFF"/>
              <w:bottom w:val="single" w:sz="4" w:space="0" w:color="FFFFFF"/>
              <w:right w:val="single" w:sz="4" w:space="0" w:color="FFFFFF"/>
            </w:tcBorders>
            <w:shd w:val="clear" w:color="auto" w:fill="E0E1F0"/>
          </w:tcPr>
          <w:p w14:paraId="551D38A4" w14:textId="77777777" w:rsidR="00117556" w:rsidRPr="00997F82" w:rsidRDefault="00117556" w:rsidP="00117556">
            <w:pPr>
              <w:kinsoku w:val="0"/>
              <w:overflowPunct w:val="0"/>
              <w:autoSpaceDE w:val="0"/>
              <w:autoSpaceDN w:val="0"/>
              <w:adjustRightInd w:val="0"/>
              <w:snapToGrid w:val="0"/>
              <w:spacing w:line="276" w:lineRule="auto"/>
              <w:cnfStyle w:val="100000000000" w:firstRow="1" w:lastRow="0" w:firstColumn="0" w:lastColumn="0" w:oddVBand="0" w:evenVBand="0" w:oddHBand="0" w:evenHBand="0" w:firstRowFirstColumn="0" w:firstRowLastColumn="0" w:lastRowFirstColumn="0" w:lastRowLastColumn="0"/>
              <w:rPr>
                <w:rFonts w:eastAsia="MS Mincho"/>
                <w:snapToGrid w:val="0"/>
                <w:color w:val="auto"/>
                <w:sz w:val="16"/>
                <w:szCs w:val="16"/>
                <w:lang w:eastAsia="en-US"/>
              </w:rPr>
            </w:pPr>
            <w:r w:rsidRPr="00997F82">
              <w:rPr>
                <w:rFonts w:eastAsia="MS Mincho"/>
                <w:snapToGrid w:val="0"/>
                <w:color w:val="auto"/>
                <w:sz w:val="16"/>
                <w:szCs w:val="16"/>
                <w:lang w:eastAsia="en-US"/>
              </w:rPr>
              <w:t># PHNs</w:t>
            </w:r>
          </w:p>
        </w:tc>
        <w:tc>
          <w:tcPr>
            <w:tcW w:w="580" w:type="pct"/>
            <w:tcBorders>
              <w:top w:val="single" w:sz="4" w:space="0" w:color="FFFFFF"/>
              <w:left w:val="single" w:sz="4" w:space="0" w:color="FFFFFF"/>
              <w:bottom w:val="single" w:sz="4" w:space="0" w:color="FFFFFF"/>
              <w:right w:val="single" w:sz="4" w:space="0" w:color="FFFFFF"/>
            </w:tcBorders>
            <w:shd w:val="clear" w:color="auto" w:fill="E0E1F0"/>
          </w:tcPr>
          <w:p w14:paraId="5D12CFC1" w14:textId="77777777" w:rsidR="00117556" w:rsidRPr="00997F82" w:rsidRDefault="00117556" w:rsidP="00117556">
            <w:pPr>
              <w:kinsoku w:val="0"/>
              <w:overflowPunct w:val="0"/>
              <w:autoSpaceDE w:val="0"/>
              <w:autoSpaceDN w:val="0"/>
              <w:adjustRightInd w:val="0"/>
              <w:snapToGrid w:val="0"/>
              <w:spacing w:line="276" w:lineRule="auto"/>
              <w:cnfStyle w:val="100000000000" w:firstRow="1" w:lastRow="0" w:firstColumn="0" w:lastColumn="0" w:oddVBand="0" w:evenVBand="0" w:oddHBand="0" w:evenHBand="0" w:firstRowFirstColumn="0" w:firstRowLastColumn="0" w:lastRowFirstColumn="0" w:lastRowLastColumn="0"/>
              <w:rPr>
                <w:rFonts w:eastAsia="MS Mincho"/>
                <w:snapToGrid w:val="0"/>
                <w:color w:val="auto"/>
                <w:sz w:val="16"/>
                <w:szCs w:val="16"/>
                <w:lang w:eastAsia="en-US"/>
              </w:rPr>
            </w:pPr>
            <w:r w:rsidRPr="00997F82">
              <w:rPr>
                <w:rFonts w:eastAsia="MS Mincho"/>
                <w:snapToGrid w:val="0"/>
                <w:color w:val="auto"/>
                <w:sz w:val="16"/>
                <w:szCs w:val="16"/>
                <w:lang w:eastAsia="en-US"/>
              </w:rPr>
              <w:t># Activities</w:t>
            </w:r>
          </w:p>
        </w:tc>
        <w:tc>
          <w:tcPr>
            <w:tcW w:w="623" w:type="pct"/>
            <w:tcBorders>
              <w:top w:val="single" w:sz="4" w:space="0" w:color="FFFFFF"/>
              <w:left w:val="single" w:sz="4" w:space="0" w:color="FFFFFF"/>
              <w:bottom w:val="single" w:sz="4" w:space="0" w:color="FFFFFF"/>
              <w:right w:val="single" w:sz="4" w:space="0" w:color="FFFFFF"/>
            </w:tcBorders>
            <w:shd w:val="clear" w:color="auto" w:fill="E0E1F0"/>
          </w:tcPr>
          <w:p w14:paraId="35B919B2" w14:textId="77777777" w:rsidR="00117556" w:rsidRPr="00997F82" w:rsidRDefault="00117556" w:rsidP="00117556">
            <w:pPr>
              <w:kinsoku w:val="0"/>
              <w:overflowPunct w:val="0"/>
              <w:autoSpaceDE w:val="0"/>
              <w:autoSpaceDN w:val="0"/>
              <w:adjustRightInd w:val="0"/>
              <w:snapToGrid w:val="0"/>
              <w:spacing w:line="276" w:lineRule="auto"/>
              <w:cnfStyle w:val="100000000000" w:firstRow="1" w:lastRow="0" w:firstColumn="0" w:lastColumn="0" w:oddVBand="0" w:evenVBand="0" w:oddHBand="0" w:evenHBand="0" w:firstRowFirstColumn="0" w:firstRowLastColumn="0" w:lastRowFirstColumn="0" w:lastRowLastColumn="0"/>
              <w:rPr>
                <w:rFonts w:eastAsia="MS Mincho"/>
                <w:snapToGrid w:val="0"/>
                <w:color w:val="auto"/>
                <w:sz w:val="16"/>
                <w:szCs w:val="16"/>
                <w:lang w:eastAsia="en-US"/>
              </w:rPr>
            </w:pPr>
            <w:r w:rsidRPr="00997F82">
              <w:rPr>
                <w:rFonts w:eastAsia="MS Mincho"/>
                <w:snapToGrid w:val="0"/>
                <w:color w:val="auto"/>
                <w:sz w:val="16"/>
                <w:szCs w:val="16"/>
                <w:lang w:eastAsia="en-US"/>
              </w:rPr>
              <w:t># PHNs</w:t>
            </w:r>
          </w:p>
        </w:tc>
        <w:tc>
          <w:tcPr>
            <w:tcW w:w="606" w:type="pct"/>
            <w:tcBorders>
              <w:top w:val="single" w:sz="4" w:space="0" w:color="FFFFFF"/>
              <w:left w:val="single" w:sz="4" w:space="0" w:color="FFFFFF"/>
              <w:bottom w:val="single" w:sz="4" w:space="0" w:color="FFFFFF"/>
              <w:right w:val="single" w:sz="4" w:space="0" w:color="FFFFFF"/>
            </w:tcBorders>
            <w:shd w:val="clear" w:color="auto" w:fill="E0E1F0"/>
          </w:tcPr>
          <w:p w14:paraId="191BA1CD" w14:textId="77777777" w:rsidR="00117556" w:rsidRPr="00997F82" w:rsidRDefault="00117556" w:rsidP="00117556">
            <w:pPr>
              <w:kinsoku w:val="0"/>
              <w:overflowPunct w:val="0"/>
              <w:autoSpaceDE w:val="0"/>
              <w:autoSpaceDN w:val="0"/>
              <w:adjustRightInd w:val="0"/>
              <w:snapToGrid w:val="0"/>
              <w:spacing w:line="276" w:lineRule="auto"/>
              <w:cnfStyle w:val="100000000000" w:firstRow="1" w:lastRow="0" w:firstColumn="0" w:lastColumn="0" w:oddVBand="0" w:evenVBand="0" w:oddHBand="0" w:evenHBand="0" w:firstRowFirstColumn="0" w:firstRowLastColumn="0" w:lastRowFirstColumn="0" w:lastRowLastColumn="0"/>
              <w:rPr>
                <w:rFonts w:eastAsia="MS Mincho"/>
                <w:snapToGrid w:val="0"/>
                <w:color w:val="auto"/>
                <w:sz w:val="16"/>
                <w:szCs w:val="16"/>
                <w:lang w:eastAsia="en-US"/>
              </w:rPr>
            </w:pPr>
            <w:r w:rsidRPr="00997F82">
              <w:rPr>
                <w:rFonts w:eastAsia="MS Mincho"/>
                <w:snapToGrid w:val="0"/>
                <w:color w:val="auto"/>
                <w:sz w:val="16"/>
                <w:szCs w:val="16"/>
                <w:lang w:eastAsia="en-US"/>
              </w:rPr>
              <w:t># Activities</w:t>
            </w:r>
          </w:p>
        </w:tc>
      </w:tr>
      <w:tr w:rsidR="001B7D56" w:rsidRPr="00997F82" w14:paraId="2157F2AD" w14:textId="77777777" w:rsidTr="002E2924">
        <w:trPr>
          <w:trHeight w:val="50"/>
        </w:trPr>
        <w:tc>
          <w:tcPr>
            <w:cnfStyle w:val="001000000000" w:firstRow="0" w:lastRow="0" w:firstColumn="1" w:lastColumn="0" w:oddVBand="0" w:evenVBand="0" w:oddHBand="0" w:evenHBand="0" w:firstRowFirstColumn="0" w:firstRowLastColumn="0" w:lastRowFirstColumn="0" w:lastRowLastColumn="0"/>
            <w:tcW w:w="1567" w:type="pct"/>
            <w:tcBorders>
              <w:top w:val="single" w:sz="4" w:space="0" w:color="FFFFFF"/>
            </w:tcBorders>
          </w:tcPr>
          <w:p w14:paraId="27A9A0FA" w14:textId="77777777"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Metro PHNs (14 total)</w:t>
            </w:r>
          </w:p>
        </w:tc>
        <w:tc>
          <w:tcPr>
            <w:tcW w:w="420" w:type="pct"/>
            <w:tcBorders>
              <w:top w:val="single" w:sz="4" w:space="0" w:color="FFFFFF"/>
            </w:tcBorders>
          </w:tcPr>
          <w:p w14:paraId="31915E27" w14:textId="40B9116F"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13</w:t>
            </w:r>
          </w:p>
        </w:tc>
        <w:tc>
          <w:tcPr>
            <w:tcW w:w="603" w:type="pct"/>
            <w:tcBorders>
              <w:top w:val="single" w:sz="4" w:space="0" w:color="FFFFFF"/>
            </w:tcBorders>
          </w:tcPr>
          <w:p w14:paraId="30D5D503" w14:textId="293341B6"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26</w:t>
            </w:r>
          </w:p>
        </w:tc>
        <w:tc>
          <w:tcPr>
            <w:tcW w:w="601" w:type="pct"/>
            <w:tcBorders>
              <w:top w:val="single" w:sz="4" w:space="0" w:color="FFFFFF"/>
            </w:tcBorders>
          </w:tcPr>
          <w:p w14:paraId="16599B93" w14:textId="2C8327FE" w:rsidR="00117556" w:rsidRPr="00997F82" w:rsidRDefault="004F6D4A" w:rsidP="00117556">
            <w:pPr>
              <w:kinsoku w:val="0"/>
              <w:overflowPunct w:val="0"/>
              <w:autoSpaceDE w:val="0"/>
              <w:autoSpaceDN w:val="0"/>
              <w:adjustRightInd w:val="0"/>
              <w:snapToGrid w:val="0"/>
              <w:spacing w:line="264"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10</w:t>
            </w:r>
          </w:p>
        </w:tc>
        <w:tc>
          <w:tcPr>
            <w:tcW w:w="580" w:type="pct"/>
            <w:tcBorders>
              <w:top w:val="single" w:sz="4" w:space="0" w:color="FFFFFF"/>
            </w:tcBorders>
          </w:tcPr>
          <w:p w14:paraId="06B214D2" w14:textId="148C401E" w:rsidR="00117556" w:rsidRPr="00997F82" w:rsidRDefault="004F6D4A" w:rsidP="00117556">
            <w:pPr>
              <w:kinsoku w:val="0"/>
              <w:overflowPunct w:val="0"/>
              <w:autoSpaceDE w:val="0"/>
              <w:autoSpaceDN w:val="0"/>
              <w:adjustRightInd w:val="0"/>
              <w:snapToGrid w:val="0"/>
              <w:spacing w:line="264"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22</w:t>
            </w:r>
          </w:p>
        </w:tc>
        <w:tc>
          <w:tcPr>
            <w:tcW w:w="623" w:type="pct"/>
            <w:tcBorders>
              <w:top w:val="single" w:sz="4" w:space="0" w:color="FFFFFF"/>
            </w:tcBorders>
          </w:tcPr>
          <w:p w14:paraId="78D57B87" w14:textId="54EFE901" w:rsidR="00117556" w:rsidRPr="00997F82" w:rsidRDefault="00732FEF" w:rsidP="00117556">
            <w:pPr>
              <w:kinsoku w:val="0"/>
              <w:overflowPunct w:val="0"/>
              <w:autoSpaceDE w:val="0"/>
              <w:autoSpaceDN w:val="0"/>
              <w:adjustRightInd w:val="0"/>
              <w:snapToGrid w:val="0"/>
              <w:spacing w:line="264"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c>
          <w:tcPr>
            <w:tcW w:w="606" w:type="pct"/>
            <w:tcBorders>
              <w:top w:val="single" w:sz="4" w:space="0" w:color="FFFFFF"/>
            </w:tcBorders>
          </w:tcPr>
          <w:p w14:paraId="30F0CF92" w14:textId="7D656BA3" w:rsidR="00117556" w:rsidRPr="00997F82" w:rsidRDefault="00732FEF" w:rsidP="00117556">
            <w:pPr>
              <w:kinsoku w:val="0"/>
              <w:overflowPunct w:val="0"/>
              <w:autoSpaceDE w:val="0"/>
              <w:autoSpaceDN w:val="0"/>
              <w:adjustRightInd w:val="0"/>
              <w:snapToGrid w:val="0"/>
              <w:spacing w:line="264"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r>
      <w:tr w:rsidR="001B7D56" w:rsidRPr="00997F82" w14:paraId="207FA9FE"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46059A22" w14:textId="77777777"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Rural PHNs (17 total)</w:t>
            </w:r>
          </w:p>
        </w:tc>
        <w:tc>
          <w:tcPr>
            <w:tcW w:w="420" w:type="pct"/>
          </w:tcPr>
          <w:p w14:paraId="5FF6E889" w14:textId="74690051" w:rsidR="00117556" w:rsidRPr="00997F82" w:rsidRDefault="002B08B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r w:rsidR="00D46351" w:rsidRPr="00997F82">
              <w:rPr>
                <w:rFonts w:eastAsia="MS Mincho"/>
                <w:snapToGrid w:val="0"/>
                <w:color w:val="auto"/>
                <w:lang w:eastAsia="en-US"/>
              </w:rPr>
              <w:t>6</w:t>
            </w:r>
          </w:p>
        </w:tc>
        <w:tc>
          <w:tcPr>
            <w:tcW w:w="603" w:type="pct"/>
          </w:tcPr>
          <w:p w14:paraId="1E43B5F9" w14:textId="39EDA21A"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36</w:t>
            </w:r>
          </w:p>
        </w:tc>
        <w:tc>
          <w:tcPr>
            <w:tcW w:w="601" w:type="pct"/>
          </w:tcPr>
          <w:p w14:paraId="26A8E202" w14:textId="55A19852"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7</w:t>
            </w:r>
          </w:p>
        </w:tc>
        <w:tc>
          <w:tcPr>
            <w:tcW w:w="580" w:type="pct"/>
          </w:tcPr>
          <w:p w14:paraId="37F32452" w14:textId="689A14F2"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10</w:t>
            </w:r>
          </w:p>
        </w:tc>
        <w:tc>
          <w:tcPr>
            <w:tcW w:w="623" w:type="pct"/>
          </w:tcPr>
          <w:p w14:paraId="05C51D1B" w14:textId="2D8B210B" w:rsidR="00117556" w:rsidRPr="00997F82" w:rsidRDefault="006256AD"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c>
          <w:tcPr>
            <w:tcW w:w="606" w:type="pct"/>
          </w:tcPr>
          <w:p w14:paraId="75FA5AF0" w14:textId="40399907" w:rsidR="00117556" w:rsidRPr="00997F82" w:rsidRDefault="0072294F"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r>
      <w:tr w:rsidR="001B7D56" w:rsidRPr="00997F82" w14:paraId="1141F184" w14:textId="77777777" w:rsidTr="002E2924">
        <w:tc>
          <w:tcPr>
            <w:cnfStyle w:val="001000000000" w:firstRow="0" w:lastRow="0" w:firstColumn="1" w:lastColumn="0" w:oddVBand="0" w:evenVBand="0" w:oddHBand="0" w:evenHBand="0" w:firstRowFirstColumn="0" w:firstRowLastColumn="0" w:lastRowFirstColumn="0" w:lastRowLastColumn="0"/>
            <w:tcW w:w="1567" w:type="pct"/>
            <w:shd w:val="clear" w:color="auto" w:fill="E0E1F0"/>
          </w:tcPr>
          <w:p w14:paraId="5CA9320A" w14:textId="77777777" w:rsidR="00117556" w:rsidRPr="00997F82" w:rsidRDefault="00117556" w:rsidP="00117556">
            <w:pPr>
              <w:kinsoku w:val="0"/>
              <w:overflowPunct w:val="0"/>
              <w:autoSpaceDE w:val="0"/>
              <w:autoSpaceDN w:val="0"/>
              <w:adjustRightInd w:val="0"/>
              <w:snapToGrid w:val="0"/>
              <w:spacing w:line="276" w:lineRule="auto"/>
              <w:rPr>
                <w:rFonts w:asciiTheme="majorHAnsi" w:eastAsia="MS Mincho" w:hAnsiTheme="majorHAnsi"/>
                <w:snapToGrid w:val="0"/>
                <w:color w:val="auto"/>
                <w:lang w:eastAsia="en-US"/>
              </w:rPr>
            </w:pPr>
            <w:r w:rsidRPr="00997F82">
              <w:rPr>
                <w:rFonts w:asciiTheme="majorHAnsi" w:eastAsia="MS Mincho" w:hAnsiTheme="majorHAnsi"/>
                <w:snapToGrid w:val="0"/>
                <w:color w:val="auto"/>
                <w:lang w:eastAsia="en-US"/>
              </w:rPr>
              <w:t>Pilot status</w:t>
            </w:r>
          </w:p>
        </w:tc>
        <w:tc>
          <w:tcPr>
            <w:tcW w:w="420" w:type="pct"/>
            <w:shd w:val="clear" w:color="auto" w:fill="E0E1F0"/>
          </w:tcPr>
          <w:p w14:paraId="61F18F62"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603" w:type="pct"/>
            <w:shd w:val="clear" w:color="auto" w:fill="E0E1F0"/>
          </w:tcPr>
          <w:p w14:paraId="0B169612"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601" w:type="pct"/>
            <w:shd w:val="clear" w:color="auto" w:fill="E0E1F0"/>
          </w:tcPr>
          <w:p w14:paraId="7C87E07D"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580" w:type="pct"/>
            <w:shd w:val="clear" w:color="auto" w:fill="E0E1F0"/>
          </w:tcPr>
          <w:p w14:paraId="03BC2535"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623" w:type="pct"/>
            <w:shd w:val="clear" w:color="auto" w:fill="E0E1F0"/>
          </w:tcPr>
          <w:p w14:paraId="63EC173A"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606" w:type="pct"/>
            <w:shd w:val="clear" w:color="auto" w:fill="E0E1F0"/>
          </w:tcPr>
          <w:p w14:paraId="7343F604"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r>
      <w:tr w:rsidR="001B7D56" w:rsidRPr="00997F82" w14:paraId="60335694"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29DB0462" w14:textId="77777777"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Pilot PHNs (13 total)</w:t>
            </w:r>
          </w:p>
        </w:tc>
        <w:tc>
          <w:tcPr>
            <w:tcW w:w="420" w:type="pct"/>
          </w:tcPr>
          <w:p w14:paraId="5243FC9E" w14:textId="76CC5C16"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11</w:t>
            </w:r>
          </w:p>
        </w:tc>
        <w:tc>
          <w:tcPr>
            <w:tcW w:w="603" w:type="pct"/>
          </w:tcPr>
          <w:p w14:paraId="153F0B26" w14:textId="6C50EE52"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20</w:t>
            </w:r>
          </w:p>
        </w:tc>
        <w:tc>
          <w:tcPr>
            <w:tcW w:w="601" w:type="pct"/>
          </w:tcPr>
          <w:p w14:paraId="2E9B6ACD" w14:textId="30750D51"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7</w:t>
            </w:r>
          </w:p>
        </w:tc>
        <w:tc>
          <w:tcPr>
            <w:tcW w:w="580" w:type="pct"/>
          </w:tcPr>
          <w:p w14:paraId="1B5D0494" w14:textId="198CCCB3"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12</w:t>
            </w:r>
          </w:p>
        </w:tc>
        <w:tc>
          <w:tcPr>
            <w:tcW w:w="623" w:type="pct"/>
          </w:tcPr>
          <w:p w14:paraId="5A856DE4" w14:textId="5FCEEF88" w:rsidR="00117556" w:rsidRPr="00997F82" w:rsidRDefault="00732FEF"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c>
          <w:tcPr>
            <w:tcW w:w="606" w:type="pct"/>
          </w:tcPr>
          <w:p w14:paraId="4BD5B2A6" w14:textId="30582D0D" w:rsidR="00117556" w:rsidRPr="00997F82" w:rsidRDefault="00732FEF"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r>
      <w:tr w:rsidR="001B7D56" w:rsidRPr="00997F82" w14:paraId="5D0A7E49"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2C8D6886" w14:textId="77777777"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Non-pilot PHNs (18 total)</w:t>
            </w:r>
          </w:p>
        </w:tc>
        <w:tc>
          <w:tcPr>
            <w:tcW w:w="420" w:type="pct"/>
          </w:tcPr>
          <w:p w14:paraId="47EFA0B7" w14:textId="24A8537F"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r w:rsidR="00D46351" w:rsidRPr="00997F82">
              <w:rPr>
                <w:rFonts w:eastAsia="MS Mincho"/>
                <w:snapToGrid w:val="0"/>
                <w:color w:val="auto"/>
                <w:lang w:eastAsia="en-US"/>
              </w:rPr>
              <w:t>8</w:t>
            </w:r>
          </w:p>
        </w:tc>
        <w:tc>
          <w:tcPr>
            <w:tcW w:w="603" w:type="pct"/>
          </w:tcPr>
          <w:p w14:paraId="4EF5639F" w14:textId="5F715D5F"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42</w:t>
            </w:r>
          </w:p>
        </w:tc>
        <w:tc>
          <w:tcPr>
            <w:tcW w:w="601" w:type="pct"/>
          </w:tcPr>
          <w:p w14:paraId="36FBAE1E" w14:textId="5BF2EEF8"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10</w:t>
            </w:r>
          </w:p>
        </w:tc>
        <w:tc>
          <w:tcPr>
            <w:tcW w:w="580" w:type="pct"/>
          </w:tcPr>
          <w:p w14:paraId="70538931" w14:textId="6CA20568"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20</w:t>
            </w:r>
          </w:p>
        </w:tc>
        <w:tc>
          <w:tcPr>
            <w:tcW w:w="623" w:type="pct"/>
          </w:tcPr>
          <w:p w14:paraId="4FC303E7" w14:textId="24E65BBA" w:rsidR="00117556" w:rsidRPr="00997F82" w:rsidRDefault="00732FEF"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c>
          <w:tcPr>
            <w:tcW w:w="606" w:type="pct"/>
          </w:tcPr>
          <w:p w14:paraId="07798C5D" w14:textId="3EC3EA96" w:rsidR="00117556" w:rsidRPr="00997F82" w:rsidRDefault="00732FEF"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7</w:t>
            </w:r>
          </w:p>
        </w:tc>
      </w:tr>
      <w:tr w:rsidR="001B7D56" w:rsidRPr="00997F82" w14:paraId="6B98AA30" w14:textId="77777777" w:rsidTr="002E2924">
        <w:tc>
          <w:tcPr>
            <w:cnfStyle w:val="001000000000" w:firstRow="0" w:lastRow="0" w:firstColumn="1" w:lastColumn="0" w:oddVBand="0" w:evenVBand="0" w:oddHBand="0" w:evenHBand="0" w:firstRowFirstColumn="0" w:firstRowLastColumn="0" w:lastRowFirstColumn="0" w:lastRowLastColumn="0"/>
            <w:tcW w:w="1567" w:type="pct"/>
            <w:shd w:val="clear" w:color="auto" w:fill="E0E1F0"/>
          </w:tcPr>
          <w:p w14:paraId="769BA0B1" w14:textId="77777777" w:rsidR="00117556" w:rsidRPr="00997F82" w:rsidRDefault="00117556" w:rsidP="00117556">
            <w:pPr>
              <w:kinsoku w:val="0"/>
              <w:overflowPunct w:val="0"/>
              <w:autoSpaceDE w:val="0"/>
              <w:autoSpaceDN w:val="0"/>
              <w:adjustRightInd w:val="0"/>
              <w:snapToGrid w:val="0"/>
              <w:spacing w:line="276" w:lineRule="auto"/>
              <w:rPr>
                <w:rFonts w:asciiTheme="majorHAnsi" w:eastAsia="MS Mincho" w:hAnsiTheme="majorHAnsi"/>
                <w:snapToGrid w:val="0"/>
                <w:color w:val="auto"/>
                <w:lang w:eastAsia="en-US"/>
              </w:rPr>
            </w:pPr>
            <w:r w:rsidRPr="00997F82">
              <w:rPr>
                <w:rFonts w:asciiTheme="majorHAnsi" w:eastAsia="MS Mincho" w:hAnsiTheme="majorHAnsi"/>
                <w:snapToGrid w:val="0"/>
                <w:color w:val="auto"/>
                <w:lang w:eastAsia="en-US"/>
              </w:rPr>
              <w:t>Jurisdiction</w:t>
            </w:r>
          </w:p>
        </w:tc>
        <w:tc>
          <w:tcPr>
            <w:tcW w:w="420" w:type="pct"/>
            <w:shd w:val="clear" w:color="auto" w:fill="E0E1F0"/>
          </w:tcPr>
          <w:p w14:paraId="4B708EE6"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603" w:type="pct"/>
            <w:shd w:val="clear" w:color="auto" w:fill="E0E1F0"/>
          </w:tcPr>
          <w:p w14:paraId="3826FD46"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601" w:type="pct"/>
            <w:shd w:val="clear" w:color="auto" w:fill="E0E1F0"/>
          </w:tcPr>
          <w:p w14:paraId="4ACF399A"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580" w:type="pct"/>
            <w:shd w:val="clear" w:color="auto" w:fill="E0E1F0"/>
          </w:tcPr>
          <w:p w14:paraId="0AE19440"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623" w:type="pct"/>
            <w:shd w:val="clear" w:color="auto" w:fill="E0E1F0"/>
          </w:tcPr>
          <w:p w14:paraId="0B0123C9"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606" w:type="pct"/>
            <w:shd w:val="clear" w:color="auto" w:fill="E0E1F0"/>
          </w:tcPr>
          <w:p w14:paraId="45C682E7"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r>
      <w:tr w:rsidR="001B7D56" w:rsidRPr="00997F82" w14:paraId="19A79228"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5AC5DE36" w14:textId="77777777"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ACT (1 total)</w:t>
            </w:r>
          </w:p>
        </w:tc>
        <w:tc>
          <w:tcPr>
            <w:tcW w:w="420" w:type="pct"/>
          </w:tcPr>
          <w:p w14:paraId="73EA914F"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03" w:type="pct"/>
          </w:tcPr>
          <w:p w14:paraId="08D57FC9" w14:textId="3CD05218" w:rsidR="00117556" w:rsidRPr="00997F82" w:rsidRDefault="00983838"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c>
          <w:tcPr>
            <w:tcW w:w="601" w:type="pct"/>
          </w:tcPr>
          <w:p w14:paraId="0193EDB5"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580" w:type="pct"/>
          </w:tcPr>
          <w:p w14:paraId="2312E843" w14:textId="1C30BCCA"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c>
          <w:tcPr>
            <w:tcW w:w="623" w:type="pct"/>
          </w:tcPr>
          <w:p w14:paraId="27650BF6"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06" w:type="pct"/>
          </w:tcPr>
          <w:p w14:paraId="6A88B57E" w14:textId="04056812" w:rsidR="00117556" w:rsidRPr="00997F82" w:rsidRDefault="00D42CDB"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r>
      <w:tr w:rsidR="001B7D56" w:rsidRPr="00997F82" w14:paraId="7C41D4C6"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4C9ECF90" w14:textId="77777777"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NSW (10 total)</w:t>
            </w:r>
          </w:p>
        </w:tc>
        <w:tc>
          <w:tcPr>
            <w:tcW w:w="420" w:type="pct"/>
          </w:tcPr>
          <w:p w14:paraId="038DA8A6" w14:textId="65F98E15"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10</w:t>
            </w:r>
          </w:p>
        </w:tc>
        <w:tc>
          <w:tcPr>
            <w:tcW w:w="603" w:type="pct"/>
          </w:tcPr>
          <w:p w14:paraId="6C8B99E8" w14:textId="41DCAE1D"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22</w:t>
            </w:r>
          </w:p>
        </w:tc>
        <w:tc>
          <w:tcPr>
            <w:tcW w:w="601" w:type="pct"/>
          </w:tcPr>
          <w:p w14:paraId="429C3C90" w14:textId="3467901C" w:rsidR="00117556" w:rsidRPr="00997F82" w:rsidRDefault="00123D8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8</w:t>
            </w:r>
          </w:p>
        </w:tc>
        <w:tc>
          <w:tcPr>
            <w:tcW w:w="580" w:type="pct"/>
          </w:tcPr>
          <w:p w14:paraId="7ECC2DB6" w14:textId="1793F586"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r w:rsidR="004F6D4A" w:rsidRPr="00997F82">
              <w:rPr>
                <w:rFonts w:eastAsia="MS Mincho"/>
                <w:snapToGrid w:val="0"/>
                <w:color w:val="auto"/>
                <w:lang w:eastAsia="en-US"/>
              </w:rPr>
              <w:t>7</w:t>
            </w:r>
          </w:p>
        </w:tc>
        <w:tc>
          <w:tcPr>
            <w:tcW w:w="623" w:type="pct"/>
          </w:tcPr>
          <w:p w14:paraId="7A02914E" w14:textId="6025F1A2" w:rsidR="00117556" w:rsidRPr="00997F82" w:rsidRDefault="00732FEF"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c>
          <w:tcPr>
            <w:tcW w:w="606" w:type="pct"/>
          </w:tcPr>
          <w:p w14:paraId="4F8D56A5" w14:textId="361E7683" w:rsidR="00117556" w:rsidRPr="00997F82" w:rsidRDefault="00732FEF"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r>
      <w:tr w:rsidR="001B7D56" w:rsidRPr="00997F82" w14:paraId="0AF22BB5"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048CB229" w14:textId="77777777"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NT (1 total)</w:t>
            </w:r>
          </w:p>
        </w:tc>
        <w:tc>
          <w:tcPr>
            <w:tcW w:w="420" w:type="pct"/>
          </w:tcPr>
          <w:p w14:paraId="249B76AF"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03" w:type="pct"/>
          </w:tcPr>
          <w:p w14:paraId="7B24DC5B" w14:textId="7084336F"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c>
          <w:tcPr>
            <w:tcW w:w="601" w:type="pct"/>
          </w:tcPr>
          <w:p w14:paraId="50268585"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580" w:type="pct"/>
          </w:tcPr>
          <w:p w14:paraId="70DD1FE5"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23" w:type="pct"/>
          </w:tcPr>
          <w:p w14:paraId="6E1D9990"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606" w:type="pct"/>
          </w:tcPr>
          <w:p w14:paraId="00990F72"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1B7D56" w:rsidRPr="00997F82" w14:paraId="5C6DB682"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07838770" w14:textId="6529FB6B"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QLD (</w:t>
            </w:r>
            <w:r w:rsidR="004D4351" w:rsidRPr="00997F82">
              <w:rPr>
                <w:rFonts w:eastAsia="MS Mincho"/>
                <w:b w:val="0"/>
                <w:bCs w:val="0"/>
                <w:snapToGrid w:val="0"/>
                <w:color w:val="auto"/>
                <w:lang w:eastAsia="en-US"/>
              </w:rPr>
              <w:t>7</w:t>
            </w:r>
            <w:r w:rsidRPr="00997F82">
              <w:rPr>
                <w:rFonts w:eastAsia="MS Mincho"/>
                <w:b w:val="0"/>
                <w:bCs w:val="0"/>
                <w:snapToGrid w:val="0"/>
                <w:color w:val="auto"/>
                <w:lang w:eastAsia="en-US"/>
              </w:rPr>
              <w:t xml:space="preserve"> total)</w:t>
            </w:r>
          </w:p>
        </w:tc>
        <w:tc>
          <w:tcPr>
            <w:tcW w:w="420" w:type="pct"/>
          </w:tcPr>
          <w:p w14:paraId="5BEF9A02"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7</w:t>
            </w:r>
          </w:p>
        </w:tc>
        <w:tc>
          <w:tcPr>
            <w:tcW w:w="603" w:type="pct"/>
          </w:tcPr>
          <w:p w14:paraId="11F41768" w14:textId="5966D196" w:rsidR="00117556" w:rsidRPr="00997F82" w:rsidRDefault="00291A65"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r w:rsidR="00D46351" w:rsidRPr="00997F82">
              <w:rPr>
                <w:rFonts w:eastAsia="MS Mincho"/>
                <w:snapToGrid w:val="0"/>
                <w:color w:val="auto"/>
                <w:lang w:eastAsia="en-US"/>
              </w:rPr>
              <w:t>5</w:t>
            </w:r>
          </w:p>
        </w:tc>
        <w:tc>
          <w:tcPr>
            <w:tcW w:w="601" w:type="pct"/>
          </w:tcPr>
          <w:p w14:paraId="5C32B650" w14:textId="52F6298A"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c>
          <w:tcPr>
            <w:tcW w:w="580" w:type="pct"/>
          </w:tcPr>
          <w:p w14:paraId="20890A7C" w14:textId="5D225BED"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8</w:t>
            </w:r>
          </w:p>
        </w:tc>
        <w:tc>
          <w:tcPr>
            <w:tcW w:w="623" w:type="pct"/>
          </w:tcPr>
          <w:p w14:paraId="4463EE58" w14:textId="1CF6E182" w:rsidR="00117556" w:rsidRPr="00997F82" w:rsidRDefault="00D90717"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06" w:type="pct"/>
          </w:tcPr>
          <w:p w14:paraId="48BB81C1" w14:textId="1F6C155F" w:rsidR="00117556" w:rsidRPr="00997F82" w:rsidRDefault="00D90717"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r>
      <w:tr w:rsidR="001B7D56" w:rsidRPr="00997F82" w14:paraId="2AD2EEED"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77FF7A8E" w14:textId="77777777"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SA (2 total)</w:t>
            </w:r>
          </w:p>
        </w:tc>
        <w:tc>
          <w:tcPr>
            <w:tcW w:w="420" w:type="pct"/>
          </w:tcPr>
          <w:p w14:paraId="1F0D97EB"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c>
          <w:tcPr>
            <w:tcW w:w="603" w:type="pct"/>
          </w:tcPr>
          <w:p w14:paraId="6789CF70" w14:textId="3DBED371"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c>
          <w:tcPr>
            <w:tcW w:w="601" w:type="pct"/>
          </w:tcPr>
          <w:p w14:paraId="2CE7D6F4"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580" w:type="pct"/>
          </w:tcPr>
          <w:p w14:paraId="552E0B42" w14:textId="0F061ED7"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c>
          <w:tcPr>
            <w:tcW w:w="623" w:type="pct"/>
          </w:tcPr>
          <w:p w14:paraId="6272BACA" w14:textId="7A40F505" w:rsidR="00117556" w:rsidRPr="00997F82" w:rsidRDefault="00135ED3"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606" w:type="pct"/>
          </w:tcPr>
          <w:p w14:paraId="6674D316" w14:textId="3695ECC1" w:rsidR="00117556" w:rsidRPr="00997F82" w:rsidRDefault="00135ED3"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1B7D56" w:rsidRPr="00997F82" w14:paraId="079ABC66"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7924BE34" w14:textId="77777777"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TAS (1 total)</w:t>
            </w:r>
          </w:p>
        </w:tc>
        <w:tc>
          <w:tcPr>
            <w:tcW w:w="420" w:type="pct"/>
          </w:tcPr>
          <w:p w14:paraId="11A1D55E"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03" w:type="pct"/>
          </w:tcPr>
          <w:p w14:paraId="08833006" w14:textId="5AC362FA" w:rsidR="00117556" w:rsidRPr="00997F82" w:rsidRDefault="00BB2C2C"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c>
          <w:tcPr>
            <w:tcW w:w="601" w:type="pct"/>
          </w:tcPr>
          <w:p w14:paraId="2BD6047D" w14:textId="449889C2"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580" w:type="pct"/>
          </w:tcPr>
          <w:p w14:paraId="4C76ECA0" w14:textId="599FF7E6" w:rsidR="00117556" w:rsidRPr="00997F82" w:rsidRDefault="004F6D4A"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23" w:type="pct"/>
          </w:tcPr>
          <w:p w14:paraId="09609F54"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06" w:type="pct"/>
          </w:tcPr>
          <w:p w14:paraId="5ACD0DE4"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r>
      <w:tr w:rsidR="001B7D56" w:rsidRPr="00997F82" w14:paraId="027B7D6A"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563A3CFE" w14:textId="77777777"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VIC (6 total)</w:t>
            </w:r>
          </w:p>
        </w:tc>
        <w:tc>
          <w:tcPr>
            <w:tcW w:w="420" w:type="pct"/>
          </w:tcPr>
          <w:p w14:paraId="1342AEFF"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c>
          <w:tcPr>
            <w:tcW w:w="603" w:type="pct"/>
          </w:tcPr>
          <w:p w14:paraId="0040347F" w14:textId="6B928695" w:rsidR="00117556" w:rsidRPr="00997F82" w:rsidRDefault="00D46351"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12</w:t>
            </w:r>
          </w:p>
        </w:tc>
        <w:tc>
          <w:tcPr>
            <w:tcW w:w="601" w:type="pct"/>
          </w:tcPr>
          <w:p w14:paraId="3A2AA708" w14:textId="283D9221" w:rsidR="00117556" w:rsidRPr="00997F82" w:rsidRDefault="00672E40"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580" w:type="pct"/>
          </w:tcPr>
          <w:p w14:paraId="1156AEE9" w14:textId="0C66200A" w:rsidR="00117556" w:rsidRPr="00997F82" w:rsidRDefault="00672E40"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23" w:type="pct"/>
          </w:tcPr>
          <w:p w14:paraId="4580C9B5" w14:textId="0DCB8569" w:rsidR="00117556" w:rsidRPr="00997F82" w:rsidRDefault="00732FEF"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c>
          <w:tcPr>
            <w:tcW w:w="606" w:type="pct"/>
          </w:tcPr>
          <w:p w14:paraId="78C6ECE8" w14:textId="48F61385" w:rsidR="00117556" w:rsidRPr="00997F82" w:rsidRDefault="00732FEF"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r>
      <w:tr w:rsidR="001B7D56" w:rsidRPr="00997F82" w14:paraId="631BFAD2" w14:textId="77777777" w:rsidTr="002E2924">
        <w:tc>
          <w:tcPr>
            <w:cnfStyle w:val="001000000000" w:firstRow="0" w:lastRow="0" w:firstColumn="1" w:lastColumn="0" w:oddVBand="0" w:evenVBand="0" w:oddHBand="0" w:evenHBand="0" w:firstRowFirstColumn="0" w:firstRowLastColumn="0" w:lastRowFirstColumn="0" w:lastRowLastColumn="0"/>
            <w:tcW w:w="1567" w:type="pct"/>
          </w:tcPr>
          <w:p w14:paraId="56870C2B" w14:textId="09A56F73" w:rsidR="00117556" w:rsidRPr="00997F82" w:rsidRDefault="00117556" w:rsidP="00117556">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WA (3</w:t>
            </w:r>
            <w:r w:rsidR="00DF065F" w:rsidRPr="00997F82">
              <w:rPr>
                <w:rFonts w:eastAsia="MS Mincho"/>
                <w:b w:val="0"/>
                <w:bCs w:val="0"/>
                <w:snapToGrid w:val="0"/>
                <w:color w:val="auto"/>
                <w:lang w:eastAsia="en-US"/>
              </w:rPr>
              <w:t>*</w:t>
            </w:r>
            <w:r w:rsidRPr="00997F82">
              <w:rPr>
                <w:rFonts w:eastAsia="MS Mincho"/>
                <w:b w:val="0"/>
                <w:bCs w:val="0"/>
                <w:snapToGrid w:val="0"/>
                <w:color w:val="auto"/>
                <w:lang w:eastAsia="en-US"/>
              </w:rPr>
              <w:t xml:space="preserve"> total)</w:t>
            </w:r>
          </w:p>
        </w:tc>
        <w:tc>
          <w:tcPr>
            <w:tcW w:w="420" w:type="pct"/>
          </w:tcPr>
          <w:p w14:paraId="15EAC476" w14:textId="06C5235E" w:rsidR="00117556" w:rsidRPr="00997F82" w:rsidRDefault="00AC418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03" w:type="pct"/>
          </w:tcPr>
          <w:p w14:paraId="6A7FB07E"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601" w:type="pct"/>
          </w:tcPr>
          <w:p w14:paraId="3FA2B282"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580" w:type="pct"/>
          </w:tcPr>
          <w:p w14:paraId="5FA6EBCF"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623" w:type="pct"/>
          </w:tcPr>
          <w:p w14:paraId="21B14216"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606" w:type="pct"/>
          </w:tcPr>
          <w:p w14:paraId="28411053" w14:textId="77777777" w:rsidR="00117556" w:rsidRPr="00997F82" w:rsidRDefault="00117556" w:rsidP="00117556">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bl>
    <w:p w14:paraId="30D35F6B" w14:textId="6EC6EEE7" w:rsidR="00DF065F" w:rsidRPr="00997F82" w:rsidRDefault="00DF065F" w:rsidP="00920227">
      <w:pPr>
        <w:rPr>
          <w:sz w:val="16"/>
          <w:szCs w:val="16"/>
        </w:rPr>
      </w:pPr>
      <w:r w:rsidRPr="00997F82">
        <w:rPr>
          <w:sz w:val="16"/>
          <w:szCs w:val="16"/>
        </w:rPr>
        <w:t>*WA operates</w:t>
      </w:r>
      <w:r w:rsidR="00E52739" w:rsidRPr="00997F82">
        <w:rPr>
          <w:sz w:val="16"/>
          <w:szCs w:val="16"/>
        </w:rPr>
        <w:t xml:space="preserve"> </w:t>
      </w:r>
      <w:r w:rsidR="00016998" w:rsidRPr="00997F82">
        <w:rPr>
          <w:sz w:val="16"/>
          <w:szCs w:val="16"/>
        </w:rPr>
        <w:t>1 organisation</w:t>
      </w:r>
      <w:r w:rsidRPr="00997F82">
        <w:rPr>
          <w:sz w:val="16"/>
          <w:szCs w:val="16"/>
        </w:rPr>
        <w:t xml:space="preserve"> as an alliance of 3 PHN regions, </w:t>
      </w:r>
      <w:r w:rsidR="00016998" w:rsidRPr="00997F82">
        <w:rPr>
          <w:sz w:val="16"/>
          <w:szCs w:val="16"/>
        </w:rPr>
        <w:t xml:space="preserve">the </w:t>
      </w:r>
      <w:r w:rsidRPr="00997F82">
        <w:rPr>
          <w:sz w:val="16"/>
          <w:szCs w:val="16"/>
        </w:rPr>
        <w:t>Western Aus</w:t>
      </w:r>
      <w:r w:rsidR="00016998" w:rsidRPr="00997F82">
        <w:rPr>
          <w:sz w:val="16"/>
          <w:szCs w:val="16"/>
        </w:rPr>
        <w:t>tralian Primary Health Alliance</w:t>
      </w:r>
      <w:r w:rsidR="00E52739" w:rsidRPr="00997F82">
        <w:rPr>
          <w:sz w:val="16"/>
          <w:szCs w:val="16"/>
        </w:rPr>
        <w:t>.</w:t>
      </w:r>
    </w:p>
    <w:p w14:paraId="000FAD6D" w14:textId="089B42F5" w:rsidR="00B66A0B" w:rsidRPr="00997F82" w:rsidRDefault="00B66A0B" w:rsidP="00920227">
      <w:r w:rsidRPr="00997F82">
        <w:t>PHNs have used a range of approaches</w:t>
      </w:r>
      <w:r w:rsidR="00A760FB" w:rsidRPr="00997F82">
        <w:t xml:space="preserve"> implementing activities in this category</w:t>
      </w:r>
      <w:r w:rsidRPr="00997F82">
        <w:t xml:space="preserve"> </w:t>
      </w:r>
      <w:r w:rsidR="009A4739" w:rsidRPr="00997F82">
        <w:t xml:space="preserve">including: </w:t>
      </w:r>
    </w:p>
    <w:p w14:paraId="37AF4F10" w14:textId="28E1EF20" w:rsidR="0053490C" w:rsidRPr="006950EE" w:rsidRDefault="0053490C" w:rsidP="006950EE">
      <w:pPr>
        <w:pStyle w:val="ListBullet"/>
      </w:pPr>
      <w:r w:rsidRPr="00997F82">
        <w:rPr>
          <w:b/>
          <w:bCs/>
        </w:rPr>
        <w:t xml:space="preserve">Education and awareness events: </w:t>
      </w:r>
      <w:r w:rsidRPr="00997F82">
        <w:t>involv</w:t>
      </w:r>
      <w:r w:rsidR="009A4739" w:rsidRPr="00997F82">
        <w:t>ing</w:t>
      </w:r>
      <w:r w:rsidR="009A4739" w:rsidRPr="00997F82" w:rsidDel="006C1B02">
        <w:t xml:space="preserve"> </w:t>
      </w:r>
      <w:r w:rsidRPr="00997F82">
        <w:t>in</w:t>
      </w:r>
      <w:r w:rsidR="00AC64C0" w:rsidRPr="00997F82">
        <w:t>-</w:t>
      </w:r>
      <w:r w:rsidRPr="00997F82">
        <w:t>person and/or virtual events or sessions</w:t>
      </w:r>
      <w:r w:rsidR="00A760FB" w:rsidRPr="00997F82">
        <w:t xml:space="preserve">, </w:t>
      </w:r>
      <w:r w:rsidRPr="00997F82">
        <w:t>often delivered in partnership with other organisations.</w:t>
      </w:r>
      <w:r w:rsidRPr="006950EE">
        <w:t xml:space="preserve"> </w:t>
      </w:r>
    </w:p>
    <w:p w14:paraId="56FB72B5" w14:textId="4D00FB89" w:rsidR="00F3360F" w:rsidRPr="00997F82" w:rsidRDefault="0053490C" w:rsidP="006950EE">
      <w:pPr>
        <w:pStyle w:val="ListBullet"/>
      </w:pPr>
      <w:r w:rsidRPr="00997F82">
        <w:rPr>
          <w:b/>
          <w:bCs/>
        </w:rPr>
        <w:t xml:space="preserve">Development of resources and toolkits: </w:t>
      </w:r>
      <w:r w:rsidRPr="00997F82">
        <w:t>creating educational resources such as toolkits, frameworks, and modules for GPs, nurses, and the RACH workforce.</w:t>
      </w:r>
    </w:p>
    <w:p w14:paraId="00D1518E" w14:textId="2C795C69" w:rsidR="006558E4" w:rsidRPr="00997F82" w:rsidRDefault="0053490C" w:rsidP="006950EE">
      <w:pPr>
        <w:pStyle w:val="ListBullet"/>
      </w:pPr>
      <w:r w:rsidRPr="00997F82">
        <w:rPr>
          <w:b/>
          <w:bCs/>
        </w:rPr>
        <w:t>Communities of Practice, connecting with experts, and QI champion</w:t>
      </w:r>
      <w:r w:rsidR="00092DBD" w:rsidRPr="00997F82">
        <w:rPr>
          <w:b/>
          <w:bCs/>
        </w:rPr>
        <w:t>s for the purpose of continuous improvement</w:t>
      </w:r>
      <w:r w:rsidRPr="00997F82">
        <w:rPr>
          <w:b/>
          <w:bCs/>
        </w:rPr>
        <w:t xml:space="preserve">: </w:t>
      </w:r>
      <w:r w:rsidRPr="00997F82">
        <w:t xml:space="preserve">establishing </w:t>
      </w:r>
      <w:r w:rsidR="00491CFE" w:rsidRPr="00997F82">
        <w:t>networks</w:t>
      </w:r>
      <w:r w:rsidRPr="00997F82">
        <w:t xml:space="preserve"> for ongoing</w:t>
      </w:r>
      <w:r w:rsidR="00491CFE" w:rsidRPr="00997F82">
        <w:t xml:space="preserve"> collaboration,</w:t>
      </w:r>
      <w:r w:rsidRPr="00997F82">
        <w:t xml:space="preserve"> </w:t>
      </w:r>
      <w:r w:rsidR="00491CFE" w:rsidRPr="00997F82">
        <w:t xml:space="preserve">and the </w:t>
      </w:r>
      <w:r w:rsidRPr="00997F82">
        <w:t>sharing of ideas, resources, and knowledge to foster continuous improvement</w:t>
      </w:r>
      <w:r w:rsidR="00491CFE" w:rsidRPr="00997F82">
        <w:t xml:space="preserve">. </w:t>
      </w:r>
      <w:r w:rsidR="009A4739" w:rsidRPr="00997F82">
        <w:t>This</w:t>
      </w:r>
      <w:r w:rsidRPr="00997F82">
        <w:t xml:space="preserve"> </w:t>
      </w:r>
      <w:r w:rsidR="009A4739" w:rsidRPr="00997F82">
        <w:t xml:space="preserve">at times </w:t>
      </w:r>
      <w:r w:rsidRPr="00997F82">
        <w:t>link</w:t>
      </w:r>
      <w:r w:rsidR="009A4739" w:rsidRPr="00997F82">
        <w:t>ed</w:t>
      </w:r>
      <w:r w:rsidRPr="00997F82">
        <w:t xml:space="preserve"> non-specialist healthcare professionals with experts to empower them </w:t>
      </w:r>
      <w:r w:rsidR="00F37206" w:rsidRPr="00997F82">
        <w:t>to</w:t>
      </w:r>
      <w:r w:rsidRPr="00997F82">
        <w:t xml:space="preserve"> deliver best practice care</w:t>
      </w:r>
      <w:r w:rsidR="00491CFE" w:rsidRPr="00997F82">
        <w:t>.</w:t>
      </w:r>
      <w:r w:rsidR="00F3360F" w:rsidRPr="00997F82">
        <w:t xml:space="preserve"> </w:t>
      </w:r>
    </w:p>
    <w:p w14:paraId="1C5545F6" w14:textId="32765616" w:rsidR="005013A2" w:rsidRPr="004541BB" w:rsidRDefault="001F2486" w:rsidP="004541BB">
      <w:pPr>
        <w:rPr>
          <w:rStyle w:val="Strong"/>
        </w:rPr>
      </w:pPr>
      <w:r w:rsidRPr="004541BB">
        <w:rPr>
          <w:rStyle w:val="Strong"/>
        </w:rPr>
        <w:t>Activity example</w:t>
      </w:r>
      <w:r w:rsidR="005013A2" w:rsidRPr="004541BB">
        <w:rPr>
          <w:rStyle w:val="Strong"/>
        </w:rPr>
        <w:t xml:space="preserve">: </w:t>
      </w:r>
    </w:p>
    <w:tbl>
      <w:tblPr>
        <w:tblStyle w:val="TableGrid"/>
        <w:tblW w:w="9069" w:type="dxa"/>
        <w:tblLook w:val="04A0" w:firstRow="1" w:lastRow="0" w:firstColumn="1" w:lastColumn="0" w:noHBand="0" w:noVBand="1"/>
      </w:tblPr>
      <w:tblGrid>
        <w:gridCol w:w="4563"/>
        <w:gridCol w:w="4506"/>
      </w:tblGrid>
      <w:tr w:rsidR="005013A2" w:rsidRPr="00997F82" w14:paraId="529CA4F3" w14:textId="77777777" w:rsidTr="00BD4EEB">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069" w:type="dxa"/>
            <w:gridSpan w:val="2"/>
          </w:tcPr>
          <w:p w14:paraId="2B721502" w14:textId="1242A9C4" w:rsidR="005013A2" w:rsidRPr="00997F82" w:rsidRDefault="00ED0BAD" w:rsidP="00C42093">
            <w:pPr>
              <w:pStyle w:val="TableHeader"/>
              <w:rPr>
                <w:color w:val="FFFFFF" w:themeColor="background1"/>
                <w:szCs w:val="20"/>
                <w:lang w:val="en-GB"/>
              </w:rPr>
            </w:pPr>
            <w:r w:rsidRPr="00997F82">
              <w:rPr>
                <w:color w:val="FFFFFF" w:themeColor="background1"/>
                <w:szCs w:val="20"/>
                <w:lang w:val="en-GB"/>
              </w:rPr>
              <w:t>Central and Eastern Sydney PHN</w:t>
            </w:r>
            <w:r w:rsidR="009C5C99" w:rsidRPr="00997F82">
              <w:rPr>
                <w:color w:val="FFFFFF" w:themeColor="background1"/>
                <w:szCs w:val="20"/>
                <w:lang w:val="en-GB"/>
              </w:rPr>
              <w:t xml:space="preserve"> </w:t>
            </w:r>
            <w:r w:rsidRPr="00997F82">
              <w:rPr>
                <w:color w:val="FFFFFF" w:themeColor="background1"/>
                <w:szCs w:val="20"/>
                <w:lang w:val="en-GB"/>
              </w:rPr>
              <w:t xml:space="preserve">– Nurse Education Program </w:t>
            </w:r>
          </w:p>
        </w:tc>
      </w:tr>
      <w:tr w:rsidR="005013A2" w:rsidRPr="00997F82" w14:paraId="02F9E69B" w14:textId="77777777" w:rsidTr="00BD4EEB">
        <w:trPr>
          <w:trHeight w:val="3376"/>
        </w:trPr>
        <w:tc>
          <w:tcPr>
            <w:cnfStyle w:val="001000000000" w:firstRow="0" w:lastRow="0" w:firstColumn="1" w:lastColumn="0" w:oddVBand="0" w:evenVBand="0" w:oddHBand="0" w:evenHBand="0" w:firstRowFirstColumn="0" w:firstRowLastColumn="0" w:lastRowFirstColumn="0" w:lastRowLastColumn="0"/>
            <w:tcW w:w="4675" w:type="dxa"/>
          </w:tcPr>
          <w:p w14:paraId="1B0DF858" w14:textId="5F970DB4" w:rsidR="00BB0717" w:rsidRPr="00997F82" w:rsidRDefault="00ED0BAD" w:rsidP="00C42093">
            <w:pPr>
              <w:pStyle w:val="TableText"/>
              <w:rPr>
                <w:rFonts w:asciiTheme="majorHAnsi" w:hAnsiTheme="majorHAnsi"/>
                <w:color w:val="auto"/>
                <w:lang w:val="en-GB"/>
              </w:rPr>
            </w:pPr>
            <w:r w:rsidRPr="00997F82">
              <w:rPr>
                <w:rFonts w:asciiTheme="majorHAnsi" w:hAnsiTheme="majorHAnsi"/>
                <w:color w:val="auto"/>
                <w:lang w:val="en-GB"/>
              </w:rPr>
              <w:t xml:space="preserve">CESPHN have </w:t>
            </w:r>
            <w:r w:rsidR="00A14F88" w:rsidRPr="00997F82">
              <w:rPr>
                <w:rFonts w:asciiTheme="majorHAnsi" w:hAnsiTheme="majorHAnsi"/>
                <w:color w:val="auto"/>
                <w:lang w:val="en-GB"/>
              </w:rPr>
              <w:t>developed a Nurse Education Program for nurses who are p</w:t>
            </w:r>
            <w:r w:rsidR="00BB0717" w:rsidRPr="00997F82">
              <w:rPr>
                <w:rFonts w:asciiTheme="majorHAnsi" w:hAnsiTheme="majorHAnsi"/>
                <w:color w:val="auto"/>
                <w:lang w:val="en-GB"/>
              </w:rPr>
              <w:t>roviding care in general practice settings, in patient homes and in residential aged care homes in their region.</w:t>
            </w:r>
          </w:p>
          <w:p w14:paraId="4C74DB7E" w14:textId="74D599B9" w:rsidR="00E125DB" w:rsidRPr="00997F82" w:rsidRDefault="00BB0717" w:rsidP="00C42093">
            <w:pPr>
              <w:pStyle w:val="TableText"/>
              <w:rPr>
                <w:rFonts w:asciiTheme="minorHAnsi" w:hAnsiTheme="minorHAnsi"/>
                <w:color w:val="auto"/>
                <w:szCs w:val="20"/>
                <w:lang w:val="en-GB"/>
              </w:rPr>
            </w:pPr>
            <w:r w:rsidRPr="00997F82">
              <w:rPr>
                <w:rFonts w:asciiTheme="minorHAnsi" w:hAnsiTheme="minorHAnsi"/>
                <w:color w:val="auto"/>
                <w:szCs w:val="20"/>
                <w:lang w:val="en-GB"/>
              </w:rPr>
              <w:t xml:space="preserve">The program was delivered by senior palliative care clinicians across academia, </w:t>
            </w:r>
            <w:r w:rsidR="00E125DB" w:rsidRPr="00997F82">
              <w:rPr>
                <w:rFonts w:asciiTheme="minorHAnsi" w:hAnsiTheme="minorHAnsi"/>
                <w:color w:val="auto"/>
                <w:szCs w:val="20"/>
                <w:lang w:val="en-GB"/>
              </w:rPr>
              <w:t xml:space="preserve">with a key objective being to increase the confidence, skills and knowledge of nurses in providing a palliative approach to care. </w:t>
            </w:r>
          </w:p>
          <w:p w14:paraId="295F313D" w14:textId="692EE50C" w:rsidR="005013A2" w:rsidRPr="00997F82" w:rsidRDefault="00E125DB" w:rsidP="00C42093">
            <w:pPr>
              <w:pStyle w:val="TableText"/>
              <w:rPr>
                <w:rFonts w:asciiTheme="minorHAnsi" w:hAnsiTheme="minorHAnsi" w:cs="Arial"/>
                <w:szCs w:val="20"/>
                <w:lang w:val="en-GB"/>
              </w:rPr>
            </w:pPr>
            <w:r w:rsidRPr="00997F82">
              <w:rPr>
                <w:rFonts w:asciiTheme="minorHAnsi" w:hAnsiTheme="minorHAnsi"/>
                <w:color w:val="auto"/>
                <w:szCs w:val="20"/>
                <w:lang w:val="en-GB"/>
              </w:rPr>
              <w:t>13 interactive education sessions were held between 2024-2025 and the program is now being evaluated by the University of Technology Sydney.</w:t>
            </w:r>
          </w:p>
        </w:tc>
        <w:tc>
          <w:tcPr>
            <w:tcW w:w="4394" w:type="dxa"/>
          </w:tcPr>
          <w:p w14:paraId="43F0ABC1" w14:textId="485EDBF9" w:rsidR="005013A2" w:rsidRPr="00997F82" w:rsidRDefault="00F3360F" w:rsidP="00C42093">
            <w:pPr>
              <w:pStyle w:val="TableText"/>
              <w:cnfStyle w:val="000000000000" w:firstRow="0" w:lastRow="0" w:firstColumn="0" w:lastColumn="0" w:oddVBand="0" w:evenVBand="0" w:oddHBand="0" w:evenHBand="0" w:firstRowFirstColumn="0" w:firstRowLastColumn="0" w:lastRowFirstColumn="0" w:lastRowLastColumn="0"/>
              <w:rPr>
                <w:lang w:val="en-GB"/>
              </w:rPr>
            </w:pPr>
            <w:r w:rsidRPr="00997F82">
              <w:rPr>
                <w:noProof/>
                <w:lang w:val="en-GB"/>
              </w:rPr>
              <w:drawing>
                <wp:inline distT="0" distB="0" distL="0" distR="0" wp14:anchorId="27A12D13" wp14:editId="2810DFBF">
                  <wp:extent cx="2719058" cy="2261937"/>
                  <wp:effectExtent l="0" t="0" r="5715" b="5080"/>
                  <wp:docPr id="1045442242" name="Picture 1" descr="An image of the reception desk at Central and Eastern Sydney PH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42242" name="Picture 1" descr="An image of the reception desk at Central and Eastern Sydney PHN.">
                            <a:extLst>
                              <a:ext uri="{C183D7F6-B498-43B3-948B-1728B52AA6E4}">
                                <adec:decorative xmlns:adec="http://schemas.microsoft.com/office/drawing/2017/decorative" val="0"/>
                              </a:ext>
                            </a:extLst>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726317" cy="22679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5EA943C" w14:textId="4119E2C5" w:rsidR="00A5405C" w:rsidRPr="00997F82" w:rsidRDefault="000A5B6A" w:rsidP="00277D66">
      <w:pPr>
        <w:pStyle w:val="Heading2"/>
      </w:pPr>
      <w:bookmarkStart w:id="25" w:name="_Ref202259081"/>
      <w:r w:rsidRPr="00997F82">
        <w:t>Awareness in the community</w:t>
      </w:r>
      <w:bookmarkEnd w:id="25"/>
    </w:p>
    <w:p w14:paraId="30E07565" w14:textId="7D0F1C33" w:rsidR="00382FB0" w:rsidRPr="00997F82" w:rsidRDefault="007F539D" w:rsidP="00F05F2A">
      <w:bookmarkStart w:id="26" w:name="_Hlk199084996"/>
      <w:r w:rsidRPr="00997F82">
        <w:t xml:space="preserve">PHNs targeted </w:t>
      </w:r>
      <w:r w:rsidR="00193FD9" w:rsidRPr="00997F82">
        <w:t>several activities towards increasing awareness, knowledge and resources for their communities. This include</w:t>
      </w:r>
      <w:r w:rsidR="004A11EE" w:rsidRPr="00997F82">
        <w:t>d</w:t>
      </w:r>
      <w:r w:rsidR="00193FD9" w:rsidRPr="00997F82">
        <w:t xml:space="preserve"> </w:t>
      </w:r>
      <w:r w:rsidR="006860E2" w:rsidRPr="00997F82">
        <w:t xml:space="preserve">activities to improve </w:t>
      </w:r>
      <w:r w:rsidR="00193FD9" w:rsidRPr="00997F82">
        <w:t>ACP knowledge, delivering workshops for those experiencing palliative care or</w:t>
      </w:r>
      <w:r w:rsidR="00670DCB" w:rsidRPr="00997F82">
        <w:t xml:space="preserve"> their</w:t>
      </w:r>
      <w:r w:rsidR="00193FD9" w:rsidRPr="00997F82">
        <w:t xml:space="preserve"> families, and </w:t>
      </w:r>
      <w:r w:rsidR="002E6520" w:rsidRPr="00997F82">
        <w:t>normalising conversations around death literacy, grief, bereavement and dying.</w:t>
      </w:r>
      <w:r w:rsidR="00F56BB6" w:rsidRPr="00997F82">
        <w:t xml:space="preserve"> Some PHNs have focused specifically on </w:t>
      </w:r>
      <w:r w:rsidR="00DA3F43" w:rsidRPr="00997F82">
        <w:t xml:space="preserve">the </w:t>
      </w:r>
      <w:r w:rsidR="00F56BB6" w:rsidRPr="00997F82">
        <w:t xml:space="preserve">compassionate </w:t>
      </w:r>
      <w:proofErr w:type="gramStart"/>
      <w:r w:rsidR="00F56BB6" w:rsidRPr="00997F82">
        <w:t>communities</w:t>
      </w:r>
      <w:proofErr w:type="gramEnd"/>
      <w:r w:rsidR="00F56BB6" w:rsidRPr="00997F82">
        <w:t xml:space="preserve"> approach.</w:t>
      </w:r>
    </w:p>
    <w:p w14:paraId="353A891F" w14:textId="7EAFBF71" w:rsidR="000310D7" w:rsidRPr="00997F82" w:rsidRDefault="000310D7" w:rsidP="00DF0063">
      <w:pPr>
        <w:pStyle w:val="CVHeading"/>
      </w:pPr>
      <w:r w:rsidRPr="00997F82">
        <w:t xml:space="preserve">As of </w:t>
      </w:r>
      <w:r w:rsidR="00D8670D" w:rsidRPr="00997F82">
        <w:t>Endpoint</w:t>
      </w:r>
      <w:r w:rsidRPr="00997F82">
        <w:t xml:space="preserve">, </w:t>
      </w:r>
      <w:r w:rsidR="00347737" w:rsidRPr="00997F82">
        <w:t>2</w:t>
      </w:r>
      <w:r w:rsidR="00A23984" w:rsidRPr="00997F82">
        <w:t>4</w:t>
      </w:r>
      <w:r w:rsidRPr="00997F82">
        <w:t xml:space="preserve"> PHNs have implemented a total of </w:t>
      </w:r>
      <w:r w:rsidR="00B932D5" w:rsidRPr="00997F82">
        <w:t>65</w:t>
      </w:r>
      <w:r w:rsidRPr="00997F82">
        <w:t xml:space="preserve"> activities that can be categorised as </w:t>
      </w:r>
      <w:r w:rsidR="00B932D5" w:rsidRPr="00997F82">
        <w:t>awareness in the community</w:t>
      </w:r>
      <w:r w:rsidRPr="00997F82">
        <w:t>.</w:t>
      </w:r>
    </w:p>
    <w:p w14:paraId="4932690F" w14:textId="75200F95" w:rsidR="00007AD8" w:rsidRPr="00997F82" w:rsidRDefault="000310D7" w:rsidP="000310D7">
      <w:r w:rsidRPr="00997F82">
        <w:t>The following table provides a</w:t>
      </w:r>
      <w:r w:rsidR="009A4739" w:rsidRPr="00997F82">
        <w:t xml:space="preserve"> </w:t>
      </w:r>
      <w:r w:rsidR="006558E4" w:rsidRPr="00997F82">
        <w:t>similar overall</w:t>
      </w:r>
      <w:r w:rsidRPr="00997F82">
        <w:t xml:space="preserve"> summary</w:t>
      </w:r>
      <w:r w:rsidR="009A4739" w:rsidRPr="00997F82">
        <w:t>.</w:t>
      </w:r>
      <w:bookmarkEnd w:id="26"/>
    </w:p>
    <w:p w14:paraId="0C9DE341" w14:textId="3E1833CB" w:rsidR="00F05F2A" w:rsidRPr="00997F82" w:rsidRDefault="00F05F2A" w:rsidP="00277D66">
      <w:pPr>
        <w:pStyle w:val="Caption"/>
        <w:rPr>
          <w:i/>
        </w:rPr>
      </w:pPr>
      <w:bookmarkStart w:id="27" w:name="_Ref202170677"/>
      <w:r w:rsidRPr="00997F82">
        <w:t xml:space="preserve">Table </w:t>
      </w:r>
      <w:r w:rsidRPr="00997F82">
        <w:rPr>
          <w:i/>
        </w:rPr>
        <w:fldChar w:fldCharType="begin"/>
      </w:r>
      <w:r w:rsidRPr="00997F82">
        <w:instrText xml:space="preserve"> SEQ Table \* ARABIC </w:instrText>
      </w:r>
      <w:r w:rsidRPr="00997F82">
        <w:rPr>
          <w:i/>
        </w:rPr>
        <w:fldChar w:fldCharType="separate"/>
      </w:r>
      <w:r w:rsidR="00735424">
        <w:rPr>
          <w:noProof/>
        </w:rPr>
        <w:t>2</w:t>
      </w:r>
      <w:r w:rsidRPr="00997F82">
        <w:rPr>
          <w:i/>
        </w:rPr>
        <w:fldChar w:fldCharType="end"/>
      </w:r>
      <w:bookmarkEnd w:id="27"/>
      <w:r w:rsidRPr="00997F82">
        <w:t>: Awareness in community activities, by sub-category and PHN characteristics</w:t>
      </w:r>
    </w:p>
    <w:tbl>
      <w:tblPr>
        <w:tblStyle w:val="GridTable1Light-Accent32"/>
        <w:tblW w:w="4988" w:type="pct"/>
        <w:tblLook w:val="04A0" w:firstRow="1" w:lastRow="0" w:firstColumn="1" w:lastColumn="0" w:noHBand="0" w:noVBand="1"/>
      </w:tblPr>
      <w:tblGrid>
        <w:gridCol w:w="2830"/>
        <w:gridCol w:w="2986"/>
        <w:gridCol w:w="3179"/>
      </w:tblGrid>
      <w:tr w:rsidR="003F4C5A" w:rsidRPr="00997F82" w14:paraId="287B1F41" w14:textId="77777777" w:rsidTr="00A57CA5">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000" w:firstRow="0" w:lastRow="0" w:firstColumn="1" w:lastColumn="0" w:oddVBand="0" w:evenVBand="0" w:oddHBand="0" w:evenHBand="0" w:firstRowFirstColumn="0" w:firstRowLastColumn="0" w:lastRowFirstColumn="0" w:lastRowLastColumn="0"/>
            <w:tcW w:w="1573" w:type="pct"/>
            <w:tcBorders>
              <w:top w:val="single" w:sz="4" w:space="0" w:color="FFFFFF"/>
              <w:left w:val="single" w:sz="4" w:space="0" w:color="FFFFFF"/>
              <w:bottom w:val="single" w:sz="4" w:space="0" w:color="FFFFFF"/>
              <w:right w:val="single" w:sz="4" w:space="0" w:color="FFFFFF"/>
            </w:tcBorders>
          </w:tcPr>
          <w:p w14:paraId="405BCA67" w14:textId="77777777" w:rsidR="00F05F2A" w:rsidRPr="00A57CA5" w:rsidRDefault="00F05F2A" w:rsidP="00A57CA5">
            <w:pPr>
              <w:pStyle w:val="Tablehead"/>
            </w:pPr>
          </w:p>
        </w:tc>
        <w:tc>
          <w:tcPr>
            <w:tcW w:w="3427" w:type="pct"/>
            <w:gridSpan w:val="2"/>
            <w:tcBorders>
              <w:top w:val="single" w:sz="4" w:space="0" w:color="FFFFFF"/>
              <w:left w:val="single" w:sz="4" w:space="0" w:color="FFFFFF"/>
              <w:bottom w:val="single" w:sz="4" w:space="0" w:color="FFFFFF"/>
              <w:right w:val="single" w:sz="4" w:space="0" w:color="FFFFFF"/>
            </w:tcBorders>
            <w:shd w:val="clear" w:color="auto" w:fill="B4B5DB"/>
          </w:tcPr>
          <w:p w14:paraId="1C70A51E" w14:textId="7AFFE5A3" w:rsidR="00F05F2A" w:rsidRPr="00A57CA5" w:rsidRDefault="00F05F2A" w:rsidP="00A57CA5">
            <w:pPr>
              <w:pStyle w:val="Tablehead"/>
              <w:cnfStyle w:val="100000000000" w:firstRow="1" w:lastRow="0" w:firstColumn="0" w:lastColumn="0" w:oddVBand="0" w:evenVBand="0" w:oddHBand="0" w:evenHBand="0" w:firstRowFirstColumn="0" w:firstRowLastColumn="0" w:lastRowFirstColumn="0" w:lastRowLastColumn="0"/>
            </w:pPr>
            <w:r w:rsidRPr="00A57CA5">
              <w:t>Awareness in the Community</w:t>
            </w:r>
          </w:p>
        </w:tc>
      </w:tr>
      <w:tr w:rsidR="00F5481B" w:rsidRPr="00997F82" w14:paraId="67898AC7" w14:textId="77777777" w:rsidTr="00A57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73" w:type="pct"/>
            <w:tcBorders>
              <w:top w:val="single" w:sz="4" w:space="0" w:color="FFFFFF"/>
              <w:left w:val="single" w:sz="4" w:space="0" w:color="FFFFFF"/>
              <w:bottom w:val="single" w:sz="4" w:space="0" w:color="FFFFFF"/>
              <w:right w:val="single" w:sz="4" w:space="0" w:color="FFFFFF"/>
            </w:tcBorders>
            <w:shd w:val="clear" w:color="auto" w:fill="E0E1F0"/>
          </w:tcPr>
          <w:p w14:paraId="166AD2AA" w14:textId="77777777" w:rsidR="00F05F2A" w:rsidRPr="00997F82" w:rsidRDefault="00F05F2A" w:rsidP="00F05F2A">
            <w:pPr>
              <w:kinsoku w:val="0"/>
              <w:overflowPunct w:val="0"/>
              <w:autoSpaceDE w:val="0"/>
              <w:autoSpaceDN w:val="0"/>
              <w:adjustRightInd w:val="0"/>
              <w:snapToGrid w:val="0"/>
              <w:spacing w:line="276" w:lineRule="auto"/>
              <w:rPr>
                <w:rFonts w:asciiTheme="majorHAnsi" w:eastAsia="MS Mincho" w:hAnsiTheme="majorHAnsi"/>
                <w:snapToGrid w:val="0"/>
                <w:color w:val="auto"/>
                <w:lang w:eastAsia="en-US"/>
              </w:rPr>
            </w:pPr>
            <w:r w:rsidRPr="00997F82">
              <w:rPr>
                <w:rFonts w:asciiTheme="majorHAnsi" w:eastAsia="MS Mincho" w:hAnsiTheme="majorHAnsi"/>
                <w:snapToGrid w:val="0"/>
                <w:color w:val="auto"/>
                <w:lang w:eastAsia="en-US"/>
              </w:rPr>
              <w:t>Rurality</w:t>
            </w:r>
          </w:p>
        </w:tc>
        <w:tc>
          <w:tcPr>
            <w:tcW w:w="1660" w:type="pct"/>
            <w:tcBorders>
              <w:top w:val="single" w:sz="4" w:space="0" w:color="FFFFFF"/>
              <w:left w:val="single" w:sz="4" w:space="0" w:color="FFFFFF"/>
              <w:bottom w:val="single" w:sz="4" w:space="0" w:color="FFFFFF"/>
              <w:right w:val="single" w:sz="4" w:space="0" w:color="FFFFFF"/>
            </w:tcBorders>
            <w:shd w:val="clear" w:color="auto" w:fill="E0E1F0"/>
          </w:tcPr>
          <w:p w14:paraId="1B207344" w14:textId="77777777" w:rsidR="00F05F2A" w:rsidRPr="00997F82" w:rsidRDefault="00F05F2A" w:rsidP="00F05F2A">
            <w:pPr>
              <w:kinsoku w:val="0"/>
              <w:overflowPunct w:val="0"/>
              <w:autoSpaceDE w:val="0"/>
              <w:autoSpaceDN w:val="0"/>
              <w:adjustRightInd w:val="0"/>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 PHNs (31 total)</w:t>
            </w:r>
          </w:p>
        </w:tc>
        <w:tc>
          <w:tcPr>
            <w:tcW w:w="1767" w:type="pct"/>
            <w:tcBorders>
              <w:top w:val="single" w:sz="4" w:space="0" w:color="FFFFFF"/>
              <w:left w:val="single" w:sz="4" w:space="0" w:color="FFFFFF"/>
              <w:bottom w:val="single" w:sz="4" w:space="0" w:color="FFFFFF"/>
              <w:right w:val="single" w:sz="4" w:space="0" w:color="FFFFFF"/>
            </w:tcBorders>
            <w:shd w:val="clear" w:color="auto" w:fill="E0E1F0"/>
          </w:tcPr>
          <w:p w14:paraId="46F2B153" w14:textId="220741B2" w:rsidR="00F05F2A" w:rsidRPr="00997F82" w:rsidRDefault="00F05F2A" w:rsidP="00F05F2A">
            <w:pPr>
              <w:kinsoku w:val="0"/>
              <w:overflowPunct w:val="0"/>
              <w:autoSpaceDE w:val="0"/>
              <w:autoSpaceDN w:val="0"/>
              <w:adjustRightInd w:val="0"/>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 Activities (6</w:t>
            </w:r>
            <w:r w:rsidR="00E1755A" w:rsidRPr="00997F82">
              <w:rPr>
                <w:rFonts w:eastAsia="MS Mincho"/>
                <w:snapToGrid w:val="0"/>
                <w:color w:val="auto"/>
                <w:lang w:eastAsia="en-US"/>
              </w:rPr>
              <w:t>5</w:t>
            </w:r>
            <w:r w:rsidRPr="00997F82">
              <w:rPr>
                <w:rFonts w:eastAsia="MS Mincho"/>
                <w:snapToGrid w:val="0"/>
                <w:color w:val="auto"/>
                <w:lang w:eastAsia="en-US"/>
              </w:rPr>
              <w:t xml:space="preserve"> total)</w:t>
            </w:r>
          </w:p>
        </w:tc>
      </w:tr>
      <w:tr w:rsidR="001B7D56" w:rsidRPr="00997F82" w14:paraId="79BFA4EA" w14:textId="77777777" w:rsidTr="00A57CA5">
        <w:trPr>
          <w:trHeight w:val="50"/>
        </w:trPr>
        <w:tc>
          <w:tcPr>
            <w:cnfStyle w:val="001000000000" w:firstRow="0" w:lastRow="0" w:firstColumn="1" w:lastColumn="0" w:oddVBand="0" w:evenVBand="0" w:oddHBand="0" w:evenHBand="0" w:firstRowFirstColumn="0" w:firstRowLastColumn="0" w:lastRowFirstColumn="0" w:lastRowLastColumn="0"/>
            <w:tcW w:w="1573" w:type="pct"/>
            <w:tcBorders>
              <w:top w:val="single" w:sz="4" w:space="0" w:color="FFFFFF"/>
            </w:tcBorders>
          </w:tcPr>
          <w:p w14:paraId="229DD507" w14:textId="77777777" w:rsidR="00F05F2A" w:rsidRPr="00997F82" w:rsidRDefault="00F05F2A"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Metro PHNs (14 total)</w:t>
            </w:r>
          </w:p>
        </w:tc>
        <w:tc>
          <w:tcPr>
            <w:tcW w:w="1660" w:type="pct"/>
            <w:tcBorders>
              <w:top w:val="single" w:sz="4" w:space="0" w:color="FFFFFF"/>
            </w:tcBorders>
          </w:tcPr>
          <w:p w14:paraId="1C023421" w14:textId="3E65BEC8"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9</w:t>
            </w:r>
          </w:p>
        </w:tc>
        <w:tc>
          <w:tcPr>
            <w:tcW w:w="1767" w:type="pct"/>
            <w:tcBorders>
              <w:top w:val="single" w:sz="4" w:space="0" w:color="FFFFFF"/>
            </w:tcBorders>
          </w:tcPr>
          <w:p w14:paraId="1B968D83" w14:textId="307908FE"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22</w:t>
            </w:r>
          </w:p>
        </w:tc>
      </w:tr>
      <w:tr w:rsidR="001B7D56" w:rsidRPr="00997F82" w14:paraId="4E672303"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4826AC67" w14:textId="77777777" w:rsidR="00F05F2A" w:rsidRPr="00997F82" w:rsidRDefault="00F05F2A"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Rural PHNs (17 total)</w:t>
            </w:r>
          </w:p>
        </w:tc>
        <w:tc>
          <w:tcPr>
            <w:tcW w:w="1660" w:type="pct"/>
          </w:tcPr>
          <w:p w14:paraId="0EB0CDF4" w14:textId="5D9ADCB5" w:rsidR="00F05F2A" w:rsidRPr="00997F82" w:rsidRDefault="00F05F2A"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r w:rsidR="00780C55" w:rsidRPr="00997F82">
              <w:rPr>
                <w:rFonts w:eastAsia="MS Mincho"/>
                <w:snapToGrid w:val="0"/>
                <w:color w:val="auto"/>
                <w:lang w:eastAsia="en-US"/>
              </w:rPr>
              <w:t>5</w:t>
            </w:r>
          </w:p>
        </w:tc>
        <w:tc>
          <w:tcPr>
            <w:tcW w:w="1767" w:type="pct"/>
          </w:tcPr>
          <w:p w14:paraId="2FD9B7A6" w14:textId="223EB474"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43</w:t>
            </w:r>
          </w:p>
        </w:tc>
      </w:tr>
      <w:tr w:rsidR="00F5481B" w:rsidRPr="00997F82" w14:paraId="140CFD9C" w14:textId="77777777" w:rsidTr="00A57CA5">
        <w:tc>
          <w:tcPr>
            <w:cnfStyle w:val="001000000000" w:firstRow="0" w:lastRow="0" w:firstColumn="1" w:lastColumn="0" w:oddVBand="0" w:evenVBand="0" w:oddHBand="0" w:evenHBand="0" w:firstRowFirstColumn="0" w:firstRowLastColumn="0" w:lastRowFirstColumn="0" w:lastRowLastColumn="0"/>
            <w:tcW w:w="1573" w:type="pct"/>
            <w:shd w:val="clear" w:color="auto" w:fill="E0E1F0"/>
          </w:tcPr>
          <w:p w14:paraId="65B6FD68" w14:textId="77777777" w:rsidR="00F05F2A" w:rsidRPr="00997F82" w:rsidRDefault="00F05F2A" w:rsidP="00F05F2A">
            <w:pPr>
              <w:kinsoku w:val="0"/>
              <w:overflowPunct w:val="0"/>
              <w:autoSpaceDE w:val="0"/>
              <w:autoSpaceDN w:val="0"/>
              <w:adjustRightInd w:val="0"/>
              <w:snapToGrid w:val="0"/>
              <w:spacing w:line="276" w:lineRule="auto"/>
              <w:rPr>
                <w:rFonts w:eastAsia="MS Mincho"/>
                <w:snapToGrid w:val="0"/>
                <w:color w:val="auto"/>
                <w:lang w:eastAsia="en-US"/>
              </w:rPr>
            </w:pPr>
            <w:r w:rsidRPr="00997F82">
              <w:rPr>
                <w:rFonts w:asciiTheme="majorHAnsi" w:eastAsia="MS Mincho" w:hAnsiTheme="majorHAnsi"/>
                <w:snapToGrid w:val="0"/>
                <w:color w:val="auto"/>
                <w:lang w:eastAsia="en-US"/>
              </w:rPr>
              <w:t>Pilot status</w:t>
            </w:r>
          </w:p>
        </w:tc>
        <w:tc>
          <w:tcPr>
            <w:tcW w:w="1660" w:type="pct"/>
            <w:shd w:val="clear" w:color="auto" w:fill="E0E1F0"/>
          </w:tcPr>
          <w:p w14:paraId="38247E63" w14:textId="77777777" w:rsidR="00F05F2A" w:rsidRPr="00997F82" w:rsidRDefault="00F05F2A"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1767" w:type="pct"/>
            <w:shd w:val="clear" w:color="auto" w:fill="E0E1F0"/>
          </w:tcPr>
          <w:p w14:paraId="6B115C40" w14:textId="77777777" w:rsidR="00F05F2A" w:rsidRPr="00997F82" w:rsidRDefault="00F05F2A"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r>
      <w:tr w:rsidR="001B7D56" w:rsidRPr="00997F82" w14:paraId="42227DE6"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516A14F9" w14:textId="77777777" w:rsidR="00F05F2A" w:rsidRPr="00997F82" w:rsidRDefault="00F05F2A"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Pilot PHNs (13 total)</w:t>
            </w:r>
          </w:p>
        </w:tc>
        <w:tc>
          <w:tcPr>
            <w:tcW w:w="1660" w:type="pct"/>
          </w:tcPr>
          <w:p w14:paraId="6DB38359" w14:textId="2EC3972F"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9</w:t>
            </w:r>
          </w:p>
        </w:tc>
        <w:tc>
          <w:tcPr>
            <w:tcW w:w="1767" w:type="pct"/>
          </w:tcPr>
          <w:p w14:paraId="1AC2E6F1" w14:textId="7BEC9DAD"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23</w:t>
            </w:r>
          </w:p>
        </w:tc>
      </w:tr>
      <w:tr w:rsidR="001B7D56" w:rsidRPr="00997F82" w14:paraId="29DA5071"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4044ABEF" w14:textId="77777777" w:rsidR="00F05F2A" w:rsidRPr="00997F82" w:rsidRDefault="00F05F2A"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Non-pilot PHNs (18 total)</w:t>
            </w:r>
          </w:p>
        </w:tc>
        <w:tc>
          <w:tcPr>
            <w:tcW w:w="1660" w:type="pct"/>
          </w:tcPr>
          <w:p w14:paraId="2584BF53" w14:textId="2C7F237C" w:rsidR="00F05F2A" w:rsidRPr="00997F82" w:rsidRDefault="00F05F2A"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r w:rsidR="00B63173" w:rsidRPr="00997F82">
              <w:rPr>
                <w:rFonts w:eastAsia="MS Mincho"/>
                <w:snapToGrid w:val="0"/>
                <w:color w:val="auto"/>
                <w:lang w:eastAsia="en-US"/>
              </w:rPr>
              <w:t>5</w:t>
            </w:r>
          </w:p>
        </w:tc>
        <w:tc>
          <w:tcPr>
            <w:tcW w:w="1767" w:type="pct"/>
          </w:tcPr>
          <w:p w14:paraId="70ACA246" w14:textId="79C0A5AB"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42</w:t>
            </w:r>
          </w:p>
        </w:tc>
      </w:tr>
      <w:tr w:rsidR="00F5481B" w:rsidRPr="00997F82" w14:paraId="211394BD" w14:textId="77777777" w:rsidTr="00A57CA5">
        <w:tc>
          <w:tcPr>
            <w:cnfStyle w:val="001000000000" w:firstRow="0" w:lastRow="0" w:firstColumn="1" w:lastColumn="0" w:oddVBand="0" w:evenVBand="0" w:oddHBand="0" w:evenHBand="0" w:firstRowFirstColumn="0" w:firstRowLastColumn="0" w:lastRowFirstColumn="0" w:lastRowLastColumn="0"/>
            <w:tcW w:w="1573" w:type="pct"/>
            <w:shd w:val="clear" w:color="auto" w:fill="E0E1F0"/>
          </w:tcPr>
          <w:p w14:paraId="374CC004" w14:textId="77777777" w:rsidR="00F05F2A" w:rsidRPr="00997F82" w:rsidRDefault="00F05F2A" w:rsidP="00F05F2A">
            <w:pPr>
              <w:kinsoku w:val="0"/>
              <w:overflowPunct w:val="0"/>
              <w:autoSpaceDE w:val="0"/>
              <w:autoSpaceDN w:val="0"/>
              <w:adjustRightInd w:val="0"/>
              <w:snapToGrid w:val="0"/>
              <w:spacing w:line="276" w:lineRule="auto"/>
              <w:rPr>
                <w:rFonts w:asciiTheme="majorHAnsi" w:eastAsia="MS Mincho" w:hAnsiTheme="majorHAnsi"/>
                <w:snapToGrid w:val="0"/>
                <w:color w:val="auto"/>
                <w:lang w:eastAsia="en-US"/>
              </w:rPr>
            </w:pPr>
            <w:r w:rsidRPr="00997F82">
              <w:rPr>
                <w:rFonts w:asciiTheme="majorHAnsi" w:eastAsia="MS Mincho" w:hAnsiTheme="majorHAnsi"/>
                <w:snapToGrid w:val="0"/>
                <w:color w:val="auto"/>
                <w:lang w:eastAsia="en-US"/>
              </w:rPr>
              <w:t>Jurisdiction</w:t>
            </w:r>
          </w:p>
        </w:tc>
        <w:tc>
          <w:tcPr>
            <w:tcW w:w="1660" w:type="pct"/>
            <w:shd w:val="clear" w:color="auto" w:fill="E0E1F0"/>
          </w:tcPr>
          <w:p w14:paraId="166F1F70" w14:textId="77777777" w:rsidR="00F05F2A" w:rsidRPr="00997F82" w:rsidRDefault="00F05F2A"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1767" w:type="pct"/>
            <w:shd w:val="clear" w:color="auto" w:fill="E0E1F0"/>
          </w:tcPr>
          <w:p w14:paraId="4015D831" w14:textId="77777777" w:rsidR="00F05F2A" w:rsidRPr="00997F82" w:rsidRDefault="00F05F2A"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r>
      <w:tr w:rsidR="001B7D56" w:rsidRPr="00997F82" w14:paraId="0B8B88D4"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393716B1" w14:textId="1C46AD50" w:rsidR="00A8396C" w:rsidRPr="00997F82" w:rsidRDefault="00A8396C"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ACT (1 total)</w:t>
            </w:r>
          </w:p>
        </w:tc>
        <w:tc>
          <w:tcPr>
            <w:tcW w:w="1660" w:type="pct"/>
          </w:tcPr>
          <w:p w14:paraId="116E5A3F" w14:textId="5E739201" w:rsidR="00A8396C" w:rsidRPr="00997F82" w:rsidDel="00274EE3" w:rsidRDefault="00A8396C"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1767" w:type="pct"/>
          </w:tcPr>
          <w:p w14:paraId="5188E379" w14:textId="12B51632" w:rsidR="00A8396C" w:rsidRPr="00997F82" w:rsidRDefault="00A8396C"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1B7D56" w:rsidRPr="00997F82" w14:paraId="37D811A4"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073DCE56" w14:textId="77777777" w:rsidR="00F05F2A" w:rsidRPr="00997F82" w:rsidRDefault="00F05F2A"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NSW (10 total)</w:t>
            </w:r>
          </w:p>
        </w:tc>
        <w:tc>
          <w:tcPr>
            <w:tcW w:w="1660" w:type="pct"/>
          </w:tcPr>
          <w:p w14:paraId="69216B24" w14:textId="3F917003"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10</w:t>
            </w:r>
          </w:p>
        </w:tc>
        <w:tc>
          <w:tcPr>
            <w:tcW w:w="1767" w:type="pct"/>
          </w:tcPr>
          <w:p w14:paraId="4218433B" w14:textId="1A8F5B09"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39</w:t>
            </w:r>
          </w:p>
        </w:tc>
      </w:tr>
      <w:tr w:rsidR="001B7D56" w:rsidRPr="00997F82" w14:paraId="18BC235F"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22432A31" w14:textId="5596B873" w:rsidR="00A8396C" w:rsidRPr="00997F82" w:rsidRDefault="00A8396C"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NT (1 total)</w:t>
            </w:r>
          </w:p>
        </w:tc>
        <w:tc>
          <w:tcPr>
            <w:tcW w:w="1660" w:type="pct"/>
          </w:tcPr>
          <w:p w14:paraId="05B6682E" w14:textId="4FCF1D55" w:rsidR="00A8396C" w:rsidRPr="00997F82" w:rsidDel="00274EE3" w:rsidRDefault="00184D04"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1767" w:type="pct"/>
          </w:tcPr>
          <w:p w14:paraId="41C76009" w14:textId="57A5196C" w:rsidR="00A8396C" w:rsidRPr="00997F82" w:rsidRDefault="00184D04"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1B7D56" w:rsidRPr="00997F82" w14:paraId="1B5622B7"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772986EF" w14:textId="77777777" w:rsidR="00F05F2A" w:rsidRPr="00997F82" w:rsidRDefault="00F05F2A"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QLD (7 total)</w:t>
            </w:r>
          </w:p>
        </w:tc>
        <w:tc>
          <w:tcPr>
            <w:tcW w:w="1660" w:type="pct"/>
          </w:tcPr>
          <w:p w14:paraId="0F2A6E2C" w14:textId="3E59A8B9"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c>
          <w:tcPr>
            <w:tcW w:w="1767" w:type="pct"/>
          </w:tcPr>
          <w:p w14:paraId="69D13E76" w14:textId="443F7AB3"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10</w:t>
            </w:r>
          </w:p>
        </w:tc>
      </w:tr>
      <w:tr w:rsidR="001B7D56" w:rsidRPr="00997F82" w14:paraId="2461C2FE"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527E84E5" w14:textId="77777777" w:rsidR="00F05F2A" w:rsidRPr="00997F82" w:rsidRDefault="00F05F2A"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SA (2 total)</w:t>
            </w:r>
          </w:p>
        </w:tc>
        <w:tc>
          <w:tcPr>
            <w:tcW w:w="1660" w:type="pct"/>
          </w:tcPr>
          <w:p w14:paraId="5ABD2ACB" w14:textId="77777777" w:rsidR="00F05F2A" w:rsidRPr="00997F82" w:rsidRDefault="00F05F2A"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c>
          <w:tcPr>
            <w:tcW w:w="1767" w:type="pct"/>
          </w:tcPr>
          <w:p w14:paraId="261F9347" w14:textId="1BE6C893" w:rsidR="00F05F2A" w:rsidRPr="00997F82" w:rsidRDefault="00332F46"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r>
      <w:tr w:rsidR="001B7D56" w:rsidRPr="00997F82" w14:paraId="2C636848"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55824697" w14:textId="77777777" w:rsidR="00F05F2A" w:rsidRPr="00997F82" w:rsidRDefault="00F05F2A"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TAS (1 total)</w:t>
            </w:r>
          </w:p>
        </w:tc>
        <w:tc>
          <w:tcPr>
            <w:tcW w:w="1660" w:type="pct"/>
          </w:tcPr>
          <w:p w14:paraId="01DAF12A" w14:textId="77777777" w:rsidR="00F05F2A" w:rsidRPr="00997F82" w:rsidRDefault="00F05F2A"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sidDel="00274EE3">
              <w:rPr>
                <w:rFonts w:eastAsia="MS Mincho"/>
                <w:snapToGrid w:val="0"/>
                <w:color w:val="auto"/>
                <w:lang w:eastAsia="en-US"/>
              </w:rPr>
              <w:t>1</w:t>
            </w:r>
          </w:p>
        </w:tc>
        <w:tc>
          <w:tcPr>
            <w:tcW w:w="1767" w:type="pct"/>
          </w:tcPr>
          <w:p w14:paraId="476297B9" w14:textId="24A1511B" w:rsidR="00F05F2A" w:rsidRPr="00997F82" w:rsidRDefault="00332F46"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r>
      <w:tr w:rsidR="001B7D56" w:rsidRPr="00997F82" w14:paraId="3C6E4134"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7CA454FD" w14:textId="77777777" w:rsidR="00F05F2A" w:rsidRPr="00997F82" w:rsidRDefault="00F05F2A"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VIC (6 total)</w:t>
            </w:r>
          </w:p>
        </w:tc>
        <w:tc>
          <w:tcPr>
            <w:tcW w:w="1660" w:type="pct"/>
          </w:tcPr>
          <w:p w14:paraId="475D6F03" w14:textId="77777777" w:rsidR="00F05F2A" w:rsidRPr="00997F82" w:rsidRDefault="00F05F2A"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c>
          <w:tcPr>
            <w:tcW w:w="1767" w:type="pct"/>
          </w:tcPr>
          <w:p w14:paraId="66789EBA" w14:textId="05459279" w:rsidR="00F05F2A" w:rsidRPr="00997F82" w:rsidRDefault="00B63173"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8</w:t>
            </w:r>
          </w:p>
        </w:tc>
      </w:tr>
      <w:tr w:rsidR="001B7D56" w:rsidRPr="00997F82" w14:paraId="6BDA9DD6" w14:textId="77777777" w:rsidTr="00A57CA5">
        <w:tc>
          <w:tcPr>
            <w:cnfStyle w:val="001000000000" w:firstRow="0" w:lastRow="0" w:firstColumn="1" w:lastColumn="0" w:oddVBand="0" w:evenVBand="0" w:oddHBand="0" w:evenHBand="0" w:firstRowFirstColumn="0" w:firstRowLastColumn="0" w:lastRowFirstColumn="0" w:lastRowLastColumn="0"/>
            <w:tcW w:w="1573" w:type="pct"/>
          </w:tcPr>
          <w:p w14:paraId="6CC8367D" w14:textId="2AEA2993" w:rsidR="00F05F2A" w:rsidRPr="00997F82" w:rsidRDefault="00F05F2A" w:rsidP="00F05F2A">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WA (3</w:t>
            </w:r>
            <w:r w:rsidR="001925BD" w:rsidRPr="00997F82">
              <w:rPr>
                <w:rFonts w:eastAsia="MS Mincho"/>
                <w:b w:val="0"/>
                <w:bCs w:val="0"/>
                <w:snapToGrid w:val="0"/>
                <w:color w:val="auto"/>
                <w:lang w:eastAsia="en-US"/>
              </w:rPr>
              <w:t>*</w:t>
            </w:r>
            <w:r w:rsidRPr="00997F82">
              <w:rPr>
                <w:rFonts w:eastAsia="MS Mincho"/>
                <w:b w:val="0"/>
                <w:bCs w:val="0"/>
                <w:snapToGrid w:val="0"/>
                <w:color w:val="auto"/>
                <w:lang w:eastAsia="en-US"/>
              </w:rPr>
              <w:t xml:space="preserve"> total)</w:t>
            </w:r>
          </w:p>
        </w:tc>
        <w:tc>
          <w:tcPr>
            <w:tcW w:w="1660" w:type="pct"/>
          </w:tcPr>
          <w:p w14:paraId="57DF4801" w14:textId="3274E2A9" w:rsidR="00F05F2A" w:rsidRPr="00997F82" w:rsidRDefault="000D659F"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1767" w:type="pct"/>
          </w:tcPr>
          <w:p w14:paraId="2BDA2C1A" w14:textId="77777777" w:rsidR="00F05F2A" w:rsidRPr="00997F82" w:rsidRDefault="00F05F2A" w:rsidP="00F05F2A">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r>
    </w:tbl>
    <w:p w14:paraId="374822E9" w14:textId="1FF0EA42" w:rsidR="006558E4" w:rsidRPr="00997F82" w:rsidRDefault="001925BD" w:rsidP="00F05F2A">
      <w:r w:rsidRPr="00997F82">
        <w:rPr>
          <w:sz w:val="16"/>
          <w:szCs w:val="16"/>
        </w:rPr>
        <w:t>*WA operates 1 organisation as an alliance of 3 PHN regions, the Western Australian Primary Health Alliance.</w:t>
      </w:r>
    </w:p>
    <w:p w14:paraId="31367FA2" w14:textId="657018B6" w:rsidR="00F05F2A" w:rsidRPr="00997F82" w:rsidRDefault="00F05F2A" w:rsidP="00F05F2A">
      <w:r w:rsidRPr="00997F82">
        <w:t xml:space="preserve">Awareness in community activities </w:t>
      </w:r>
      <w:r w:rsidR="00C07442" w:rsidRPr="00997F82">
        <w:t>most adopted included</w:t>
      </w:r>
      <w:r w:rsidRPr="00997F82">
        <w:t>:</w:t>
      </w:r>
    </w:p>
    <w:p w14:paraId="1B976779" w14:textId="4DCD48C4" w:rsidR="00F05F2A" w:rsidRPr="00997F82" w:rsidRDefault="00F05F2A" w:rsidP="006950EE">
      <w:pPr>
        <w:pStyle w:val="ListBullet"/>
      </w:pPr>
      <w:r w:rsidRPr="00997F82">
        <w:rPr>
          <w:b/>
          <w:bCs/>
        </w:rPr>
        <w:t>Development of community palliative care resources</w:t>
      </w:r>
      <w:r w:rsidR="00505BDF" w:rsidRPr="00997F82">
        <w:t xml:space="preserve"> –</w:t>
      </w:r>
      <w:r w:rsidRPr="00997F82">
        <w:rPr>
          <w:b/>
          <w:bCs/>
        </w:rPr>
        <w:t xml:space="preserve"> </w:t>
      </w:r>
      <w:r w:rsidRPr="00997F82">
        <w:t>providing</w:t>
      </w:r>
      <w:r w:rsidR="000A6F8F" w:rsidRPr="00997F82">
        <w:t xml:space="preserve"> locally tailored</w:t>
      </w:r>
      <w:r w:rsidRPr="00997F82">
        <w:t xml:space="preserve"> information on what palliative care is, how it can be accessed, where it is provided, and different services available to the community. Resources include webpages, printed booklets, videos and information flyers.</w:t>
      </w:r>
    </w:p>
    <w:p w14:paraId="1A695D82" w14:textId="4EF39284" w:rsidR="00F05F2A" w:rsidRPr="00997F82" w:rsidRDefault="00F05F2A" w:rsidP="006950EE">
      <w:pPr>
        <w:pStyle w:val="ListBullet"/>
      </w:pPr>
      <w:r w:rsidRPr="00997F82">
        <w:rPr>
          <w:b/>
          <w:bCs/>
        </w:rPr>
        <w:t>Partnering with organisations to deliver face-to-face and virtual workshops</w:t>
      </w:r>
      <w:r w:rsidR="00505BDF" w:rsidRPr="00997F82">
        <w:t xml:space="preserve"> </w:t>
      </w:r>
      <w:r w:rsidR="006558E4" w:rsidRPr="00997F82">
        <w:t>–</w:t>
      </w:r>
      <w:r w:rsidR="006558E4" w:rsidRPr="00997F82">
        <w:rPr>
          <w:b/>
          <w:bCs/>
        </w:rPr>
        <w:t xml:space="preserve"> </w:t>
      </w:r>
      <w:r w:rsidR="006558E4" w:rsidRPr="00997F82">
        <w:t>including</w:t>
      </w:r>
      <w:r w:rsidR="009A4739" w:rsidRPr="00997F82">
        <w:t xml:space="preserve"> </w:t>
      </w:r>
      <w:r w:rsidRPr="00997F82">
        <w:t>local service providers, peak bodies, non-government organisations, local government</w:t>
      </w:r>
      <w:r w:rsidR="00B40184" w:rsidRPr="00997F82">
        <w:t>,</w:t>
      </w:r>
      <w:r w:rsidRPr="00997F82">
        <w:t xml:space="preserve"> community service providers </w:t>
      </w:r>
      <w:r w:rsidR="00B40184" w:rsidRPr="00997F82">
        <w:t xml:space="preserve">and </w:t>
      </w:r>
      <w:r w:rsidRPr="00997F82">
        <w:t xml:space="preserve">Local Heath Districts. </w:t>
      </w:r>
    </w:p>
    <w:p w14:paraId="6387F3E3" w14:textId="734D523B" w:rsidR="00256CB1" w:rsidRPr="00997F82" w:rsidRDefault="00256CB1" w:rsidP="006950EE">
      <w:pPr>
        <w:pStyle w:val="ListBullet"/>
      </w:pPr>
      <w:r w:rsidRPr="00997F82">
        <w:rPr>
          <w:b/>
          <w:bCs/>
        </w:rPr>
        <w:t xml:space="preserve">Encouraging Compassionate Communities approaches or events </w:t>
      </w:r>
      <w:r w:rsidRPr="00997F82">
        <w:t>–</w:t>
      </w:r>
      <w:r w:rsidR="003903F3" w:rsidRPr="00997F82">
        <w:t xml:space="preserve"> </w:t>
      </w:r>
      <w:r w:rsidRPr="00997F82">
        <w:t>build</w:t>
      </w:r>
      <w:r w:rsidR="009A4739" w:rsidRPr="00997F82">
        <w:t>ing</w:t>
      </w:r>
      <w:r w:rsidR="006558E4" w:rsidRPr="00997F82">
        <w:t xml:space="preserve"> </w:t>
      </w:r>
      <w:r w:rsidRPr="00997F82">
        <w:t>holistic community capacity to provide wraparound informal support to a person</w:t>
      </w:r>
      <w:r w:rsidR="00496D64" w:rsidRPr="00997F82">
        <w:t xml:space="preserve"> wishing to remain at home whilst rec</w:t>
      </w:r>
      <w:r w:rsidR="000C3D64" w:rsidRPr="00997F82">
        <w:t xml:space="preserve">eiving palliative </w:t>
      </w:r>
      <w:proofErr w:type="gramStart"/>
      <w:r w:rsidR="000C3D64" w:rsidRPr="00997F82">
        <w:t>care, and</w:t>
      </w:r>
      <w:proofErr w:type="gramEnd"/>
      <w:r w:rsidRPr="00997F82" w:rsidDel="000C3D64">
        <w:t xml:space="preserve"> </w:t>
      </w:r>
      <w:r w:rsidRPr="00997F82">
        <w:t>wishing to die at home.</w:t>
      </w:r>
    </w:p>
    <w:p w14:paraId="7FEBF805" w14:textId="5603478A" w:rsidR="009A4739" w:rsidRPr="006950EE" w:rsidRDefault="00256CB1" w:rsidP="006950EE">
      <w:pPr>
        <w:pStyle w:val="ListBullet"/>
      </w:pPr>
      <w:r w:rsidRPr="00997F82">
        <w:rPr>
          <w:b/>
          <w:bCs/>
        </w:rPr>
        <w:t>Community Awareness events</w:t>
      </w:r>
      <w:r w:rsidRPr="00997F82">
        <w:t xml:space="preserve"> –increas</w:t>
      </w:r>
      <w:r w:rsidR="009A4739" w:rsidRPr="00997F82">
        <w:t>ing</w:t>
      </w:r>
      <w:r w:rsidRPr="00997F82">
        <w:t xml:space="preserve"> death literacy and improv</w:t>
      </w:r>
      <w:r w:rsidR="009A4739" w:rsidRPr="00997F82">
        <w:t>ing</w:t>
      </w:r>
      <w:r w:rsidRPr="00997F82">
        <w:t xml:space="preserve"> the navigation of local services and resources. Examples of events include film screenings, guest speaker panel discussions, facilitating Death Café events and Dying to Know Day Events.</w:t>
      </w:r>
    </w:p>
    <w:p w14:paraId="59F29EEB" w14:textId="6DADA83F" w:rsidR="00F05F2A" w:rsidRPr="00997F82" w:rsidRDefault="001F2486" w:rsidP="00A06E4A">
      <w:pPr>
        <w:rPr>
          <w:b/>
          <w:color w:val="464E7E" w:themeColor="accent2"/>
          <w:sz w:val="22"/>
          <w:szCs w:val="22"/>
        </w:rPr>
      </w:pPr>
      <w:r w:rsidRPr="00997F82">
        <w:rPr>
          <w:b/>
          <w:color w:val="464E7E" w:themeColor="accent2"/>
          <w:sz w:val="22"/>
          <w:szCs w:val="22"/>
        </w:rPr>
        <w:t>Activity example</w:t>
      </w:r>
      <w:r w:rsidR="00F05F2A" w:rsidRPr="00997F82">
        <w:rPr>
          <w:b/>
          <w:color w:val="464E7E" w:themeColor="accent2"/>
          <w:sz w:val="22"/>
          <w:szCs w:val="22"/>
        </w:rPr>
        <w:t>:</w:t>
      </w:r>
      <w:r w:rsidR="00ED0BAD" w:rsidRPr="00997F82">
        <w:rPr>
          <w:b/>
          <w:color w:val="464E7E" w:themeColor="accent2"/>
          <w:sz w:val="22"/>
          <w:szCs w:val="22"/>
        </w:rPr>
        <w:t xml:space="preserve"> </w:t>
      </w:r>
    </w:p>
    <w:tbl>
      <w:tblPr>
        <w:tblStyle w:val="IMSTable"/>
        <w:tblW w:w="9069" w:type="dxa"/>
        <w:tblBorders>
          <w:top w:val="single" w:sz="2" w:space="0" w:color="D6D9E8" w:themeColor="accent2" w:themeTint="33"/>
          <w:left w:val="single" w:sz="2" w:space="0" w:color="D6D9E8" w:themeColor="accent2" w:themeTint="33"/>
          <w:bottom w:val="single" w:sz="2" w:space="0" w:color="D6D9E8" w:themeColor="accent2" w:themeTint="33"/>
          <w:right w:val="single" w:sz="2" w:space="0" w:color="D6D9E8" w:themeColor="accent2" w:themeTint="33"/>
          <w:insideH w:val="single" w:sz="2" w:space="0" w:color="D6D9E8" w:themeColor="accent2" w:themeTint="33"/>
          <w:insideV w:val="single" w:sz="2" w:space="0" w:color="D6D9E8" w:themeColor="accent2" w:themeTint="33"/>
        </w:tblBorders>
        <w:tblLook w:val="04A0" w:firstRow="1" w:lastRow="0" w:firstColumn="1" w:lastColumn="0" w:noHBand="0" w:noVBand="1"/>
      </w:tblPr>
      <w:tblGrid>
        <w:gridCol w:w="4318"/>
        <w:gridCol w:w="4751"/>
      </w:tblGrid>
      <w:tr w:rsidR="00F05F2A" w:rsidRPr="00997F82" w14:paraId="3E85A0AB" w14:textId="77777777" w:rsidTr="00A57CA5">
        <w:trPr>
          <w:cnfStyle w:val="100000000000" w:firstRow="1" w:lastRow="0" w:firstColumn="0" w:lastColumn="0" w:oddVBand="0" w:evenVBand="0" w:oddHBand="0" w:evenHBand="0" w:firstRowFirstColumn="0" w:firstRowLastColumn="0" w:lastRowFirstColumn="0" w:lastRowLastColumn="0"/>
          <w:cantSplit/>
          <w:trHeight w:val="385"/>
          <w:tblHeader/>
        </w:trPr>
        <w:tc>
          <w:tcPr>
            <w:tcW w:w="9069" w:type="dxa"/>
            <w:gridSpan w:val="2"/>
            <w:tcBorders>
              <w:bottom w:val="single" w:sz="4" w:space="0" w:color="FFFFFF" w:themeColor="background1"/>
            </w:tcBorders>
            <w:shd w:val="clear" w:color="auto" w:fill="464E7E" w:themeFill="accent2"/>
            <w:vAlign w:val="center"/>
          </w:tcPr>
          <w:p w14:paraId="4BC7794F" w14:textId="311BB901" w:rsidR="00F05F2A" w:rsidRPr="00997F82" w:rsidRDefault="005B4DB4" w:rsidP="00A57CA5">
            <w:pPr>
              <w:pStyle w:val="TableHeader"/>
              <w:rPr>
                <w:color w:val="FFFFFF" w:themeColor="background1"/>
                <w:szCs w:val="20"/>
                <w:lang w:val="en-GB"/>
              </w:rPr>
            </w:pPr>
            <w:r w:rsidRPr="00997F82">
              <w:rPr>
                <w:color w:val="FFFFFF" w:themeColor="background1"/>
                <w:szCs w:val="20"/>
                <w:lang w:val="en-GB"/>
              </w:rPr>
              <w:t>Country South Australia PHN – Nurturing Compassionate Communities in Country SA</w:t>
            </w:r>
          </w:p>
        </w:tc>
      </w:tr>
      <w:tr w:rsidR="00F05F2A" w:rsidRPr="00997F82" w14:paraId="09016FBA" w14:textId="77777777" w:rsidTr="00674FFE">
        <w:trPr>
          <w:cantSplit/>
          <w:trHeight w:val="3779"/>
        </w:trPr>
        <w:tc>
          <w:tcPr>
            <w:tcW w:w="43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D9E8" w:themeFill="accent2" w:themeFillTint="33"/>
          </w:tcPr>
          <w:p w14:paraId="28744B61" w14:textId="5E5EE3CD" w:rsidR="00F05F2A" w:rsidRPr="00997F82" w:rsidRDefault="005B4DB4" w:rsidP="00C42093">
            <w:pPr>
              <w:pStyle w:val="TableText"/>
              <w:rPr>
                <w:rFonts w:asciiTheme="majorHAnsi" w:hAnsiTheme="majorHAnsi"/>
                <w:color w:val="auto"/>
                <w:lang w:val="en-GB"/>
              </w:rPr>
            </w:pPr>
            <w:r w:rsidRPr="00997F82">
              <w:rPr>
                <w:rFonts w:asciiTheme="majorHAnsi" w:hAnsiTheme="majorHAnsi"/>
                <w:color w:val="auto"/>
                <w:lang w:val="en-GB"/>
              </w:rPr>
              <w:t xml:space="preserve">CSAPHN have developed a ‘Nurturing Compassionate Communities in Country SA’ project for a coordinated and holistic approach to </w:t>
            </w:r>
            <w:r w:rsidR="001D5A05" w:rsidRPr="00997F82">
              <w:rPr>
                <w:rFonts w:asciiTheme="majorHAnsi" w:hAnsiTheme="majorHAnsi"/>
                <w:color w:val="auto"/>
                <w:lang w:val="en-GB"/>
              </w:rPr>
              <w:t>palliative care community awareness</w:t>
            </w:r>
            <w:r w:rsidRPr="00997F82">
              <w:rPr>
                <w:rFonts w:asciiTheme="majorHAnsi" w:hAnsiTheme="majorHAnsi"/>
                <w:color w:val="auto"/>
                <w:lang w:val="en-GB"/>
              </w:rPr>
              <w:t xml:space="preserve"> in their region. </w:t>
            </w:r>
          </w:p>
          <w:p w14:paraId="71D62447" w14:textId="0F3C6EA9" w:rsidR="005B4DB4" w:rsidRPr="00997F82" w:rsidRDefault="005B4DB4" w:rsidP="00C42093">
            <w:pPr>
              <w:pStyle w:val="TableText"/>
              <w:rPr>
                <w:rFonts w:asciiTheme="minorHAnsi" w:hAnsiTheme="minorHAnsi"/>
                <w:color w:val="auto"/>
                <w:szCs w:val="20"/>
                <w:lang w:val="en-GB"/>
              </w:rPr>
            </w:pPr>
            <w:r w:rsidRPr="00997F82">
              <w:rPr>
                <w:rFonts w:asciiTheme="minorHAnsi" w:hAnsiTheme="minorHAnsi"/>
                <w:color w:val="auto"/>
                <w:szCs w:val="20"/>
                <w:lang w:val="en-GB"/>
              </w:rPr>
              <w:t xml:space="preserve">The project </w:t>
            </w:r>
            <w:r w:rsidR="00053C9A" w:rsidRPr="00997F82">
              <w:rPr>
                <w:rFonts w:asciiTheme="minorHAnsi" w:hAnsiTheme="minorHAnsi"/>
                <w:color w:val="auto"/>
                <w:szCs w:val="20"/>
                <w:lang w:val="en-GB"/>
              </w:rPr>
              <w:t>was</w:t>
            </w:r>
            <w:r w:rsidR="009C26F4" w:rsidRPr="00997F82">
              <w:rPr>
                <w:rFonts w:asciiTheme="minorHAnsi" w:hAnsiTheme="minorHAnsi"/>
                <w:color w:val="auto"/>
                <w:szCs w:val="20"/>
                <w:lang w:val="en-GB"/>
              </w:rPr>
              <w:t xml:space="preserve"> designed to</w:t>
            </w:r>
            <w:r w:rsidRPr="00997F82">
              <w:rPr>
                <w:rFonts w:asciiTheme="minorHAnsi" w:hAnsiTheme="minorHAnsi"/>
                <w:color w:val="auto"/>
                <w:szCs w:val="20"/>
                <w:lang w:val="en-GB"/>
              </w:rPr>
              <w:t xml:space="preserve"> deliver over 60 face-to-face and/or virtual sessions for community members including </w:t>
            </w:r>
            <w:proofErr w:type="spellStart"/>
            <w:r w:rsidR="001D5A05" w:rsidRPr="00997F82">
              <w:rPr>
                <w:rFonts w:asciiTheme="minorHAnsi" w:hAnsiTheme="minorHAnsi"/>
                <w:color w:val="auto"/>
                <w:szCs w:val="20"/>
                <w:lang w:val="en-GB"/>
              </w:rPr>
              <w:t>PalliLEARN</w:t>
            </w:r>
            <w:proofErr w:type="spellEnd"/>
            <w:r w:rsidR="001D5A05" w:rsidRPr="00997F82">
              <w:rPr>
                <w:rFonts w:asciiTheme="minorHAnsi" w:hAnsiTheme="minorHAnsi"/>
                <w:color w:val="auto"/>
                <w:szCs w:val="20"/>
                <w:lang w:val="en-GB"/>
              </w:rPr>
              <w:t xml:space="preserve"> workshops, Last Aid workshops, Health Professional Hot Topic webinars</w:t>
            </w:r>
            <w:r w:rsidR="00220EB7" w:rsidRPr="00997F82">
              <w:rPr>
                <w:rFonts w:asciiTheme="minorHAnsi" w:hAnsiTheme="minorHAnsi"/>
                <w:color w:val="auto"/>
                <w:szCs w:val="20"/>
                <w:lang w:val="en-GB"/>
              </w:rPr>
              <w:t>, and the publication of Palliative Care Plans for each L</w:t>
            </w:r>
            <w:r w:rsidR="00654C76" w:rsidRPr="00997F82">
              <w:rPr>
                <w:rFonts w:asciiTheme="minorHAnsi" w:hAnsiTheme="minorHAnsi"/>
                <w:color w:val="auto"/>
                <w:szCs w:val="20"/>
                <w:lang w:val="en-GB"/>
              </w:rPr>
              <w:t xml:space="preserve">ocal </w:t>
            </w:r>
            <w:r w:rsidR="00220EB7" w:rsidRPr="00997F82">
              <w:rPr>
                <w:rFonts w:asciiTheme="minorHAnsi" w:hAnsiTheme="minorHAnsi"/>
                <w:color w:val="auto"/>
                <w:szCs w:val="20"/>
                <w:lang w:val="en-GB"/>
              </w:rPr>
              <w:t>H</w:t>
            </w:r>
            <w:r w:rsidR="00654C76" w:rsidRPr="00997F82">
              <w:rPr>
                <w:rFonts w:asciiTheme="minorHAnsi" w:hAnsiTheme="minorHAnsi"/>
                <w:color w:val="auto"/>
                <w:szCs w:val="20"/>
                <w:lang w:val="en-GB"/>
              </w:rPr>
              <w:t xml:space="preserve">ealth </w:t>
            </w:r>
            <w:r w:rsidR="00220EB7" w:rsidRPr="00997F82">
              <w:rPr>
                <w:rFonts w:asciiTheme="minorHAnsi" w:hAnsiTheme="minorHAnsi"/>
                <w:color w:val="auto"/>
                <w:szCs w:val="20"/>
                <w:lang w:val="en-GB"/>
              </w:rPr>
              <w:t>N</w:t>
            </w:r>
            <w:r w:rsidR="00654C76" w:rsidRPr="00997F82">
              <w:rPr>
                <w:rFonts w:asciiTheme="minorHAnsi" w:hAnsiTheme="minorHAnsi"/>
                <w:color w:val="auto"/>
                <w:szCs w:val="20"/>
                <w:lang w:val="en-GB"/>
              </w:rPr>
              <w:t>etwork</w:t>
            </w:r>
            <w:r w:rsidR="00220EB7" w:rsidRPr="00997F82">
              <w:rPr>
                <w:rFonts w:asciiTheme="minorHAnsi" w:hAnsiTheme="minorHAnsi"/>
                <w:color w:val="auto"/>
                <w:szCs w:val="20"/>
                <w:lang w:val="en-GB"/>
              </w:rPr>
              <w:t>.</w:t>
            </w:r>
          </w:p>
          <w:p w14:paraId="107C90D9" w14:textId="3E5805CF" w:rsidR="00F05F2A" w:rsidRPr="00997F82" w:rsidRDefault="00220EB7" w:rsidP="00C42093">
            <w:pPr>
              <w:pStyle w:val="TableText"/>
              <w:rPr>
                <w:rFonts w:asciiTheme="minorHAnsi" w:hAnsiTheme="minorHAnsi" w:cs="Arial"/>
                <w:szCs w:val="20"/>
                <w:lang w:val="en-GB"/>
              </w:rPr>
            </w:pPr>
            <w:r w:rsidRPr="00997F82">
              <w:rPr>
                <w:rFonts w:asciiTheme="minorHAnsi" w:hAnsiTheme="minorHAnsi"/>
                <w:color w:val="auto"/>
                <w:szCs w:val="20"/>
                <w:lang w:val="en-GB"/>
              </w:rPr>
              <w:t>The project monitor</w:t>
            </w:r>
            <w:r w:rsidR="00C61917" w:rsidRPr="00997F82">
              <w:rPr>
                <w:rFonts w:asciiTheme="minorHAnsi" w:hAnsiTheme="minorHAnsi"/>
                <w:color w:val="auto"/>
                <w:szCs w:val="20"/>
                <w:lang w:val="en-GB"/>
              </w:rPr>
              <w:t>s</w:t>
            </w:r>
            <w:r w:rsidRPr="00997F82">
              <w:rPr>
                <w:rFonts w:asciiTheme="minorHAnsi" w:hAnsiTheme="minorHAnsi"/>
                <w:color w:val="auto"/>
                <w:szCs w:val="20"/>
                <w:lang w:val="en-GB"/>
              </w:rPr>
              <w:t xml:space="preserve"> change in the community through the Death Literacy Index, palliative care surveys, evaluations and online project showcases.</w:t>
            </w:r>
          </w:p>
        </w:tc>
        <w:tc>
          <w:tcPr>
            <w:tcW w:w="47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CD88AF" w14:textId="787EBA69" w:rsidR="00F05F2A" w:rsidRPr="00997F82" w:rsidRDefault="00693819" w:rsidP="00C42093">
            <w:pPr>
              <w:pStyle w:val="TableText"/>
              <w:rPr>
                <w:rFonts w:asciiTheme="minorHAnsi" w:hAnsiTheme="minorHAnsi" w:cs="Arial"/>
                <w:szCs w:val="20"/>
                <w:lang w:val="en-GB"/>
              </w:rPr>
            </w:pPr>
            <w:r w:rsidRPr="00997F82">
              <w:rPr>
                <w:noProof/>
                <w:lang w:val="en-GB"/>
              </w:rPr>
              <w:drawing>
                <wp:inline distT="0" distB="0" distL="0" distR="0" wp14:anchorId="6094823C" wp14:editId="22D475AD">
                  <wp:extent cx="2880000" cy="2567606"/>
                  <wp:effectExtent l="0" t="0" r="0" b="4445"/>
                  <wp:docPr id="725688875" name="Picture 2" descr="A cartoon image of four people with their arms over each other's shoulders standing in a line, facing away from us looking up at a sign that reads CCSA Conversations, Activity of Palliative Care S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88875" name="Picture 2" descr="A cartoon image of four people with their arms over each other's shoulders standing in a line, facing away from us looking up at a sign that reads CCSA Conversations, Activity of Palliative Care SA.">
                            <a:extLst>
                              <a:ext uri="{C183D7F6-B498-43B3-948B-1728B52AA6E4}">
                                <adec:decorative xmlns:adec="http://schemas.microsoft.com/office/drawing/2017/decorative" val="0"/>
                              </a:ext>
                            </a:extLst>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880000" cy="2567606"/>
                          </a:xfrm>
                          <a:prstGeom prst="rect">
                            <a:avLst/>
                          </a:prstGeom>
                          <a:noFill/>
                          <a:ln>
                            <a:noFill/>
                          </a:ln>
                          <a:extLst>
                            <a:ext uri="{53640926-AAD7-44D8-BBD7-CCE9431645EC}">
                              <a14:shadowObscured xmlns:a14="http://schemas.microsoft.com/office/drawing/2010/main"/>
                            </a:ext>
                          </a:extLst>
                        </pic:spPr>
                      </pic:pic>
                    </a:graphicData>
                  </a:graphic>
                </wp:inline>
              </w:drawing>
            </w:r>
            <w:r w:rsidRPr="00997F82">
              <w:rPr>
                <w:rStyle w:val="CommentReference"/>
                <w:rFonts w:asciiTheme="minorHAnsi" w:eastAsiaTheme="minorEastAsia" w:hAnsiTheme="minorHAnsi" w:cs="Arial"/>
                <w:sz w:val="20"/>
                <w:szCs w:val="20"/>
                <w:lang w:val="en-GB"/>
              </w:rPr>
              <w:t xml:space="preserve"> </w:t>
            </w:r>
          </w:p>
        </w:tc>
      </w:tr>
    </w:tbl>
    <w:p w14:paraId="2AE4B8C1" w14:textId="25E0655C" w:rsidR="00226981" w:rsidRPr="00997F82" w:rsidRDefault="000A5B6A" w:rsidP="00277D66">
      <w:pPr>
        <w:pStyle w:val="Heading2"/>
      </w:pPr>
      <w:r w:rsidRPr="00997F82">
        <w:t>Palliative care medicines</w:t>
      </w:r>
    </w:p>
    <w:p w14:paraId="6CD5DBAF" w14:textId="59A3C8D2" w:rsidR="00821232" w:rsidRPr="00997F82" w:rsidRDefault="00F85C59" w:rsidP="00226981">
      <w:pPr>
        <w:spacing w:after="120"/>
      </w:pPr>
      <w:r w:rsidRPr="00997F82">
        <w:t xml:space="preserve">Seven </w:t>
      </w:r>
      <w:r w:rsidR="0069469D" w:rsidRPr="00997F82">
        <w:t xml:space="preserve">PHNs </w:t>
      </w:r>
      <w:r w:rsidR="00DB5394" w:rsidRPr="00997F82">
        <w:t>implemented</w:t>
      </w:r>
      <w:r w:rsidR="0069469D" w:rsidRPr="00997F82">
        <w:t xml:space="preserve"> palliative care medicine</w:t>
      </w:r>
      <w:r w:rsidR="00DC3D9F" w:rsidRPr="00997F82">
        <w:t>s</w:t>
      </w:r>
      <w:r w:rsidR="0069469D" w:rsidRPr="00997F82">
        <w:t xml:space="preserve"> activities, often working together or </w:t>
      </w:r>
      <w:r w:rsidR="004335D3" w:rsidRPr="00997F82">
        <w:t xml:space="preserve">partnering </w:t>
      </w:r>
      <w:r w:rsidR="0069469D" w:rsidRPr="00997F82">
        <w:t xml:space="preserve">with </w:t>
      </w:r>
      <w:r w:rsidR="009A4739" w:rsidRPr="00997F82">
        <w:t xml:space="preserve">state-based peak bodies and </w:t>
      </w:r>
      <w:r w:rsidR="0069469D" w:rsidRPr="00997F82">
        <w:t>organisations</w:t>
      </w:r>
      <w:r w:rsidR="009A4739" w:rsidRPr="00997F82">
        <w:t>.</w:t>
      </w:r>
    </w:p>
    <w:p w14:paraId="669475BA" w14:textId="23EA630A" w:rsidR="00E8375C" w:rsidRPr="00997F82" w:rsidRDefault="009A4739" w:rsidP="00E8375C">
      <w:r w:rsidRPr="00997F82">
        <w:t xml:space="preserve">This work </w:t>
      </w:r>
      <w:r w:rsidR="002C0867" w:rsidRPr="00997F82">
        <w:t>align</w:t>
      </w:r>
      <w:r w:rsidRPr="00997F82">
        <w:t>ed</w:t>
      </w:r>
      <w:r w:rsidR="002C0867" w:rsidRPr="00997F82">
        <w:t xml:space="preserve"> to broader national </w:t>
      </w:r>
      <w:r w:rsidR="00624811" w:rsidRPr="00997F82">
        <w:t>init</w:t>
      </w:r>
      <w:r w:rsidR="00321297" w:rsidRPr="00997F82">
        <w:t>i</w:t>
      </w:r>
      <w:r w:rsidR="00624811" w:rsidRPr="00997F82">
        <w:t>ative</w:t>
      </w:r>
      <w:r w:rsidR="00380968" w:rsidRPr="00997F82">
        <w:t>s</w:t>
      </w:r>
      <w:r w:rsidR="002C0867" w:rsidRPr="00997F82">
        <w:t xml:space="preserve"> to establish a National Core Community Palliative Care Medicines List. Since PHNs activities </w:t>
      </w:r>
      <w:r w:rsidR="00BC6B5B" w:rsidRPr="00997F82">
        <w:t>began</w:t>
      </w:r>
      <w:r w:rsidR="002C0867" w:rsidRPr="00997F82">
        <w:t xml:space="preserve">, </w:t>
      </w:r>
      <w:r w:rsidR="005E7993" w:rsidRPr="00997F82">
        <w:t>a</w:t>
      </w:r>
      <w:r w:rsidR="002C0867" w:rsidRPr="00997F82">
        <w:t xml:space="preserve"> new </w:t>
      </w:r>
      <w:r w:rsidR="00FA4034" w:rsidRPr="00997F82">
        <w:t>n</w:t>
      </w:r>
      <w:r w:rsidR="002C0867" w:rsidRPr="00997F82">
        <w:t xml:space="preserve">ational </w:t>
      </w:r>
      <w:r w:rsidR="00FA4034" w:rsidRPr="00997F82">
        <w:t>l</w:t>
      </w:r>
      <w:r w:rsidR="002C0867" w:rsidRPr="00997F82">
        <w:t>ist identif</w:t>
      </w:r>
      <w:r w:rsidRPr="00997F82">
        <w:t>ied</w:t>
      </w:r>
      <w:r w:rsidR="002C0867" w:rsidRPr="00997F82">
        <w:t xml:space="preserve"> four medicines for use by home-based palliative patients in the terminal phase who require urgent symptom relief.</w:t>
      </w:r>
    </w:p>
    <w:p w14:paraId="21C591CF" w14:textId="796A6806" w:rsidR="00777A32" w:rsidRPr="00997F82" w:rsidRDefault="00777A32" w:rsidP="00DF0063">
      <w:pPr>
        <w:pStyle w:val="CVHeading"/>
      </w:pPr>
      <w:r w:rsidRPr="00997F82">
        <w:t xml:space="preserve">As of </w:t>
      </w:r>
      <w:r w:rsidR="00D8670D" w:rsidRPr="00997F82">
        <w:t>Endpoint</w:t>
      </w:r>
      <w:r w:rsidRPr="00997F82">
        <w:t xml:space="preserve">, </w:t>
      </w:r>
      <w:r w:rsidR="00A23984" w:rsidRPr="00997F82">
        <w:t>7</w:t>
      </w:r>
      <w:r w:rsidRPr="00997F82">
        <w:t xml:space="preserve"> PHNs have implemented a total of </w:t>
      </w:r>
      <w:r w:rsidR="00295E18" w:rsidRPr="00997F82">
        <w:t>9</w:t>
      </w:r>
      <w:r w:rsidR="000D35A4" w:rsidRPr="00997F82">
        <w:t xml:space="preserve"> </w:t>
      </w:r>
      <w:r w:rsidRPr="00997F82">
        <w:t xml:space="preserve">activities that can be categorised as </w:t>
      </w:r>
      <w:r w:rsidR="002A0595" w:rsidRPr="00997F82">
        <w:t>palliative care medicines</w:t>
      </w:r>
      <w:r w:rsidRPr="00997F82">
        <w:t>.</w:t>
      </w:r>
    </w:p>
    <w:p w14:paraId="472E569E" w14:textId="530A63C4" w:rsidR="006558E4" w:rsidRPr="00997F82" w:rsidRDefault="000D35A4" w:rsidP="00E8375C">
      <w:r w:rsidRPr="00997F82">
        <w:t>The following table provides an overall summary of these activities</w:t>
      </w:r>
      <w:r w:rsidR="001848CD" w:rsidRPr="00997F82">
        <w:t>.</w:t>
      </w:r>
    </w:p>
    <w:p w14:paraId="41814375" w14:textId="3C7B812B" w:rsidR="00B53999" w:rsidRPr="00997F82" w:rsidRDefault="00B53999" w:rsidP="00277D66">
      <w:pPr>
        <w:pStyle w:val="Caption"/>
        <w:rPr>
          <w:i/>
        </w:rPr>
      </w:pPr>
      <w:r w:rsidRPr="00997F82">
        <w:t xml:space="preserve">Table </w:t>
      </w:r>
      <w:r w:rsidRPr="00997F82">
        <w:rPr>
          <w:i/>
        </w:rPr>
        <w:fldChar w:fldCharType="begin"/>
      </w:r>
      <w:r w:rsidRPr="00997F82">
        <w:instrText xml:space="preserve"> SEQ Table \* ARABIC </w:instrText>
      </w:r>
      <w:r w:rsidRPr="00997F82">
        <w:rPr>
          <w:i/>
        </w:rPr>
        <w:fldChar w:fldCharType="separate"/>
      </w:r>
      <w:r w:rsidR="00735424">
        <w:rPr>
          <w:noProof/>
        </w:rPr>
        <w:t>3</w:t>
      </w:r>
      <w:r w:rsidRPr="00997F82">
        <w:rPr>
          <w:i/>
        </w:rPr>
        <w:fldChar w:fldCharType="end"/>
      </w:r>
      <w:r w:rsidRPr="00997F82">
        <w:t xml:space="preserve">: </w:t>
      </w:r>
      <w:r w:rsidR="00C1431D" w:rsidRPr="00997F82">
        <w:t>Palliative Care Medicines</w:t>
      </w:r>
      <w:r w:rsidRPr="00997F82">
        <w:t xml:space="preserve"> activities, by sub-category and PHN characteristics</w:t>
      </w:r>
    </w:p>
    <w:tbl>
      <w:tblPr>
        <w:tblStyle w:val="GridTable1Light-Accent33"/>
        <w:tblW w:w="4988" w:type="pct"/>
        <w:tblLook w:val="04A0" w:firstRow="1" w:lastRow="0" w:firstColumn="1" w:lastColumn="0" w:noHBand="0" w:noVBand="1"/>
      </w:tblPr>
      <w:tblGrid>
        <w:gridCol w:w="2972"/>
        <w:gridCol w:w="2866"/>
        <w:gridCol w:w="3157"/>
      </w:tblGrid>
      <w:tr w:rsidR="003F4C5A" w:rsidRPr="00997F82" w14:paraId="7CF71582" w14:textId="77777777" w:rsidTr="006950EE">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1652" w:type="pct"/>
            <w:tcBorders>
              <w:top w:val="single" w:sz="4" w:space="0" w:color="FFFFFF"/>
              <w:left w:val="single" w:sz="4" w:space="0" w:color="FFFFFF"/>
              <w:bottom w:val="single" w:sz="4" w:space="0" w:color="FFFFFF"/>
              <w:right w:val="single" w:sz="4" w:space="0" w:color="FFFFFF"/>
            </w:tcBorders>
          </w:tcPr>
          <w:p w14:paraId="3F48F550" w14:textId="77777777" w:rsidR="00B93B6F" w:rsidRPr="00A57CA5" w:rsidRDefault="00B93B6F" w:rsidP="00A57CA5">
            <w:pPr>
              <w:pStyle w:val="Tablehead"/>
            </w:pPr>
          </w:p>
        </w:tc>
        <w:tc>
          <w:tcPr>
            <w:tcW w:w="3348" w:type="pct"/>
            <w:gridSpan w:val="2"/>
            <w:tcBorders>
              <w:top w:val="single" w:sz="4" w:space="0" w:color="FFFFFF"/>
              <w:left w:val="single" w:sz="4" w:space="0" w:color="FFFFFF"/>
              <w:bottom w:val="single" w:sz="4" w:space="0" w:color="FFFFFF"/>
              <w:right w:val="single" w:sz="4" w:space="0" w:color="FFFFFF"/>
            </w:tcBorders>
            <w:shd w:val="clear" w:color="auto" w:fill="B4B5DB"/>
          </w:tcPr>
          <w:p w14:paraId="6CF7E41D" w14:textId="780B1F8E" w:rsidR="00B93B6F" w:rsidRPr="00A57CA5" w:rsidRDefault="00B93B6F" w:rsidP="00A57CA5">
            <w:pPr>
              <w:pStyle w:val="Tablehead"/>
              <w:cnfStyle w:val="100000000000" w:firstRow="1" w:lastRow="0" w:firstColumn="0" w:lastColumn="0" w:oddVBand="0" w:evenVBand="0" w:oddHBand="0" w:evenHBand="0" w:firstRowFirstColumn="0" w:firstRowLastColumn="0" w:lastRowFirstColumn="0" w:lastRowLastColumn="0"/>
            </w:pPr>
            <w:r w:rsidRPr="00A57CA5">
              <w:t>Palliative Care Medicines</w:t>
            </w:r>
          </w:p>
        </w:tc>
      </w:tr>
      <w:tr w:rsidR="00F5481B" w:rsidRPr="00997F82" w14:paraId="320DCDB4" w14:textId="77777777" w:rsidTr="00A57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52" w:type="pct"/>
            <w:tcBorders>
              <w:top w:val="single" w:sz="4" w:space="0" w:color="FFFFFF"/>
              <w:left w:val="single" w:sz="4" w:space="0" w:color="FFFFFF"/>
              <w:bottom w:val="single" w:sz="4" w:space="0" w:color="FFFFFF"/>
              <w:right w:val="single" w:sz="4" w:space="0" w:color="FFFFFF"/>
            </w:tcBorders>
            <w:shd w:val="clear" w:color="auto" w:fill="E0E1F0"/>
          </w:tcPr>
          <w:p w14:paraId="2E010880" w14:textId="77777777" w:rsidR="00B93B6F" w:rsidRPr="00997F82" w:rsidRDefault="00B93B6F" w:rsidP="00A57CA5">
            <w:pPr>
              <w:kinsoku w:val="0"/>
              <w:overflowPunct w:val="0"/>
              <w:autoSpaceDE w:val="0"/>
              <w:autoSpaceDN w:val="0"/>
              <w:adjustRightInd w:val="0"/>
              <w:snapToGrid w:val="0"/>
              <w:spacing w:line="276" w:lineRule="auto"/>
              <w:jc w:val="left"/>
              <w:rPr>
                <w:rFonts w:eastAsia="MS Mincho"/>
                <w:snapToGrid w:val="0"/>
                <w:color w:val="auto"/>
                <w:lang w:eastAsia="en-US"/>
              </w:rPr>
            </w:pPr>
            <w:r w:rsidRPr="00997F82">
              <w:rPr>
                <w:rFonts w:asciiTheme="majorHAnsi" w:eastAsia="MS Mincho" w:hAnsiTheme="majorHAnsi"/>
                <w:snapToGrid w:val="0"/>
                <w:color w:val="auto"/>
                <w:lang w:eastAsia="en-US"/>
              </w:rPr>
              <w:t>Rurality</w:t>
            </w:r>
          </w:p>
        </w:tc>
        <w:tc>
          <w:tcPr>
            <w:tcW w:w="1593" w:type="pct"/>
            <w:tcBorders>
              <w:top w:val="single" w:sz="4" w:space="0" w:color="FFFFFF"/>
              <w:left w:val="single" w:sz="4" w:space="0" w:color="FFFFFF"/>
              <w:bottom w:val="single" w:sz="4" w:space="0" w:color="FFFFFF"/>
              <w:right w:val="single" w:sz="4" w:space="0" w:color="FFFFFF"/>
            </w:tcBorders>
            <w:shd w:val="clear" w:color="auto" w:fill="E0E1F0"/>
          </w:tcPr>
          <w:p w14:paraId="78AFDC1B" w14:textId="77777777" w:rsidR="00B93B6F" w:rsidRPr="00997F82" w:rsidRDefault="00B93B6F" w:rsidP="00B93B6F">
            <w:pPr>
              <w:kinsoku w:val="0"/>
              <w:overflowPunct w:val="0"/>
              <w:autoSpaceDE w:val="0"/>
              <w:autoSpaceDN w:val="0"/>
              <w:adjustRightInd w:val="0"/>
              <w:snapToGrid w:val="0"/>
              <w:spacing w:line="276" w:lineRule="auto"/>
              <w:cnfStyle w:val="100000000000" w:firstRow="1"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 PHNs (31 total)</w:t>
            </w:r>
          </w:p>
        </w:tc>
        <w:tc>
          <w:tcPr>
            <w:tcW w:w="1755" w:type="pct"/>
            <w:tcBorders>
              <w:top w:val="single" w:sz="4" w:space="0" w:color="FFFFFF"/>
              <w:left w:val="single" w:sz="4" w:space="0" w:color="FFFFFF"/>
              <w:bottom w:val="single" w:sz="4" w:space="0" w:color="FFFFFF"/>
              <w:right w:val="single" w:sz="4" w:space="0" w:color="FFFFFF"/>
            </w:tcBorders>
            <w:shd w:val="clear" w:color="auto" w:fill="E0E1F0"/>
          </w:tcPr>
          <w:p w14:paraId="0D9BEE33" w14:textId="0E84BF14" w:rsidR="00B93B6F" w:rsidRPr="00997F82" w:rsidRDefault="00B93B6F" w:rsidP="00B93B6F">
            <w:pPr>
              <w:kinsoku w:val="0"/>
              <w:overflowPunct w:val="0"/>
              <w:autoSpaceDE w:val="0"/>
              <w:autoSpaceDN w:val="0"/>
              <w:adjustRightInd w:val="0"/>
              <w:snapToGrid w:val="0"/>
              <w:spacing w:line="276" w:lineRule="auto"/>
              <w:cnfStyle w:val="100000000000" w:firstRow="1"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 Activities (</w:t>
            </w:r>
            <w:r w:rsidR="001079E6" w:rsidRPr="00997F82">
              <w:rPr>
                <w:rFonts w:eastAsia="MS Mincho"/>
                <w:snapToGrid w:val="0"/>
                <w:color w:val="auto"/>
                <w:lang w:eastAsia="en-US"/>
              </w:rPr>
              <w:t>9</w:t>
            </w:r>
            <w:r w:rsidRPr="00997F82">
              <w:rPr>
                <w:rFonts w:eastAsia="MS Mincho"/>
                <w:snapToGrid w:val="0"/>
                <w:color w:val="auto"/>
                <w:lang w:eastAsia="en-US"/>
              </w:rPr>
              <w:t xml:space="preserve"> total)</w:t>
            </w:r>
          </w:p>
        </w:tc>
      </w:tr>
      <w:tr w:rsidR="001B7D56" w:rsidRPr="00997F82" w14:paraId="4998870A" w14:textId="77777777" w:rsidTr="00674FFE">
        <w:trPr>
          <w:trHeight w:val="50"/>
        </w:trPr>
        <w:tc>
          <w:tcPr>
            <w:cnfStyle w:val="001000000000" w:firstRow="0" w:lastRow="0" w:firstColumn="1" w:lastColumn="0" w:oddVBand="0" w:evenVBand="0" w:oddHBand="0" w:evenHBand="0" w:firstRowFirstColumn="0" w:firstRowLastColumn="0" w:lastRowFirstColumn="0" w:lastRowLastColumn="0"/>
            <w:tcW w:w="1652" w:type="pct"/>
            <w:tcBorders>
              <w:top w:val="single" w:sz="4" w:space="0" w:color="FFFFFF"/>
            </w:tcBorders>
          </w:tcPr>
          <w:p w14:paraId="56994E8D" w14:textId="77777777" w:rsidR="00B93B6F" w:rsidRPr="00997F82" w:rsidRDefault="00B93B6F" w:rsidP="00B93B6F">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Metro PHNs (14 total)</w:t>
            </w:r>
          </w:p>
        </w:tc>
        <w:tc>
          <w:tcPr>
            <w:tcW w:w="1593" w:type="pct"/>
            <w:tcBorders>
              <w:top w:val="single" w:sz="4" w:space="0" w:color="FFFFFF"/>
            </w:tcBorders>
          </w:tcPr>
          <w:p w14:paraId="52676118" w14:textId="2BDC5354" w:rsidR="00B93B6F" w:rsidRPr="00997F82" w:rsidRDefault="001079E6"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c>
          <w:tcPr>
            <w:tcW w:w="1755" w:type="pct"/>
            <w:tcBorders>
              <w:top w:val="single" w:sz="4" w:space="0" w:color="FFFFFF"/>
            </w:tcBorders>
          </w:tcPr>
          <w:p w14:paraId="6304C8CF" w14:textId="7EE1326B" w:rsidR="00B93B6F" w:rsidRPr="00997F82" w:rsidRDefault="001079E6"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r>
      <w:tr w:rsidR="001B7D56" w:rsidRPr="00997F82" w14:paraId="6A7273BB"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7B815C4D" w14:textId="77777777" w:rsidR="00B93B6F" w:rsidRPr="00997F82" w:rsidRDefault="00B93B6F" w:rsidP="00B93B6F">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Rural PHNs (17 total)</w:t>
            </w:r>
          </w:p>
        </w:tc>
        <w:tc>
          <w:tcPr>
            <w:tcW w:w="1593" w:type="pct"/>
          </w:tcPr>
          <w:p w14:paraId="2CBEF5BA" w14:textId="3C5C9C59" w:rsidR="00B93B6F" w:rsidRPr="00997F82" w:rsidRDefault="001079E6"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c>
          <w:tcPr>
            <w:tcW w:w="1755" w:type="pct"/>
          </w:tcPr>
          <w:p w14:paraId="34E5AEDF" w14:textId="7469BDAD" w:rsidR="00B93B6F" w:rsidRPr="00997F82" w:rsidRDefault="001079E6"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r>
      <w:tr w:rsidR="00F5481B" w:rsidRPr="00997F82" w14:paraId="59C864B2" w14:textId="77777777" w:rsidTr="00674FFE">
        <w:tc>
          <w:tcPr>
            <w:cnfStyle w:val="001000000000" w:firstRow="0" w:lastRow="0" w:firstColumn="1" w:lastColumn="0" w:oddVBand="0" w:evenVBand="0" w:oddHBand="0" w:evenHBand="0" w:firstRowFirstColumn="0" w:firstRowLastColumn="0" w:lastRowFirstColumn="0" w:lastRowLastColumn="0"/>
            <w:tcW w:w="1652" w:type="pct"/>
            <w:shd w:val="clear" w:color="auto" w:fill="E0E1F0"/>
          </w:tcPr>
          <w:p w14:paraId="43CEBB27" w14:textId="77777777" w:rsidR="00B93B6F" w:rsidRPr="00997F82" w:rsidRDefault="00B93B6F" w:rsidP="00B93B6F">
            <w:pPr>
              <w:kinsoku w:val="0"/>
              <w:overflowPunct w:val="0"/>
              <w:autoSpaceDE w:val="0"/>
              <w:autoSpaceDN w:val="0"/>
              <w:adjustRightInd w:val="0"/>
              <w:snapToGrid w:val="0"/>
              <w:spacing w:line="276" w:lineRule="auto"/>
              <w:rPr>
                <w:rFonts w:eastAsia="MS Mincho"/>
                <w:snapToGrid w:val="0"/>
                <w:color w:val="auto"/>
                <w:lang w:eastAsia="en-US"/>
              </w:rPr>
            </w:pPr>
            <w:r w:rsidRPr="00997F82">
              <w:rPr>
                <w:rFonts w:asciiTheme="majorHAnsi" w:eastAsia="MS Mincho" w:hAnsiTheme="majorHAnsi"/>
                <w:snapToGrid w:val="0"/>
                <w:color w:val="auto"/>
                <w:lang w:eastAsia="en-US"/>
              </w:rPr>
              <w:t>Pilot status</w:t>
            </w:r>
          </w:p>
        </w:tc>
        <w:tc>
          <w:tcPr>
            <w:tcW w:w="1593" w:type="pct"/>
            <w:shd w:val="clear" w:color="auto" w:fill="E0E1F0"/>
          </w:tcPr>
          <w:p w14:paraId="6CEEA86C" w14:textId="77777777" w:rsidR="00B93B6F" w:rsidRPr="00997F82" w:rsidRDefault="00B93B6F"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1755" w:type="pct"/>
            <w:shd w:val="clear" w:color="auto" w:fill="E0E1F0"/>
          </w:tcPr>
          <w:p w14:paraId="1AC02E99" w14:textId="77777777" w:rsidR="00B93B6F" w:rsidRPr="00997F82" w:rsidRDefault="00B93B6F"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r>
      <w:tr w:rsidR="001B7D56" w:rsidRPr="00997F82" w14:paraId="0FA667FA"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77CBD495" w14:textId="77777777" w:rsidR="00B93B6F" w:rsidRPr="00997F82" w:rsidRDefault="00B93B6F" w:rsidP="00B93B6F">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Pilot PHNs (13 total)</w:t>
            </w:r>
          </w:p>
        </w:tc>
        <w:tc>
          <w:tcPr>
            <w:tcW w:w="1593" w:type="pct"/>
          </w:tcPr>
          <w:p w14:paraId="61A742C0" w14:textId="38377655" w:rsidR="00B93B6F" w:rsidRPr="00997F82" w:rsidRDefault="001079E6"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c>
          <w:tcPr>
            <w:tcW w:w="1755" w:type="pct"/>
          </w:tcPr>
          <w:p w14:paraId="68B8ABDF" w14:textId="43581D18" w:rsidR="00B93B6F" w:rsidRPr="00997F82" w:rsidRDefault="001079E6"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r>
      <w:tr w:rsidR="001B7D56" w:rsidRPr="00997F82" w14:paraId="1E26CEF9"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7DEF8CC0" w14:textId="77777777" w:rsidR="00B93B6F" w:rsidRPr="00997F82" w:rsidRDefault="00B93B6F" w:rsidP="00B93B6F">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Non-pilot PHNs (18 total)</w:t>
            </w:r>
          </w:p>
        </w:tc>
        <w:tc>
          <w:tcPr>
            <w:tcW w:w="1593" w:type="pct"/>
          </w:tcPr>
          <w:p w14:paraId="69F7A506" w14:textId="5E28369C" w:rsidR="00B93B6F" w:rsidRPr="00997F82" w:rsidRDefault="001079E6"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c>
          <w:tcPr>
            <w:tcW w:w="1755" w:type="pct"/>
          </w:tcPr>
          <w:p w14:paraId="5C82BA02" w14:textId="6F8BA68B" w:rsidR="00B93B6F" w:rsidRPr="00997F82" w:rsidRDefault="001079E6"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r>
      <w:tr w:rsidR="00F5481B" w:rsidRPr="00997F82" w14:paraId="02AEDF7C" w14:textId="77777777" w:rsidTr="00674FFE">
        <w:tc>
          <w:tcPr>
            <w:cnfStyle w:val="001000000000" w:firstRow="0" w:lastRow="0" w:firstColumn="1" w:lastColumn="0" w:oddVBand="0" w:evenVBand="0" w:oddHBand="0" w:evenHBand="0" w:firstRowFirstColumn="0" w:firstRowLastColumn="0" w:lastRowFirstColumn="0" w:lastRowLastColumn="0"/>
            <w:tcW w:w="1652" w:type="pct"/>
            <w:shd w:val="clear" w:color="auto" w:fill="E0E1F0"/>
          </w:tcPr>
          <w:p w14:paraId="51DEDDAE" w14:textId="77777777" w:rsidR="00B93B6F" w:rsidRPr="00997F82" w:rsidRDefault="00B93B6F" w:rsidP="00B93B6F">
            <w:pPr>
              <w:kinsoku w:val="0"/>
              <w:overflowPunct w:val="0"/>
              <w:autoSpaceDE w:val="0"/>
              <w:autoSpaceDN w:val="0"/>
              <w:adjustRightInd w:val="0"/>
              <w:snapToGrid w:val="0"/>
              <w:spacing w:line="276" w:lineRule="auto"/>
              <w:rPr>
                <w:rFonts w:asciiTheme="majorHAnsi" w:eastAsia="MS Mincho" w:hAnsiTheme="majorHAnsi"/>
                <w:snapToGrid w:val="0"/>
                <w:color w:val="auto"/>
                <w:lang w:eastAsia="en-US"/>
              </w:rPr>
            </w:pPr>
            <w:r w:rsidRPr="00997F82">
              <w:rPr>
                <w:rFonts w:asciiTheme="majorHAnsi" w:eastAsia="MS Mincho" w:hAnsiTheme="majorHAnsi"/>
                <w:snapToGrid w:val="0"/>
                <w:color w:val="auto"/>
                <w:lang w:eastAsia="en-US"/>
              </w:rPr>
              <w:t>Jurisdiction</w:t>
            </w:r>
          </w:p>
        </w:tc>
        <w:tc>
          <w:tcPr>
            <w:tcW w:w="1593" w:type="pct"/>
            <w:shd w:val="clear" w:color="auto" w:fill="E0E1F0"/>
          </w:tcPr>
          <w:p w14:paraId="6DEB3107" w14:textId="77777777" w:rsidR="00B93B6F" w:rsidRPr="00997F82" w:rsidRDefault="00B93B6F"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1755" w:type="pct"/>
            <w:shd w:val="clear" w:color="auto" w:fill="E0E1F0"/>
          </w:tcPr>
          <w:p w14:paraId="72C4CB0E" w14:textId="77777777" w:rsidR="00B93B6F" w:rsidRPr="00997F82" w:rsidRDefault="00B93B6F" w:rsidP="00B93B6F">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r>
      <w:tr w:rsidR="001B7D56" w:rsidRPr="00997F82" w14:paraId="01B22833"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56134E64" w14:textId="149417B4" w:rsidR="007102A2" w:rsidRPr="00997F82" w:rsidRDefault="007102A2" w:rsidP="007102A2">
            <w:pPr>
              <w:kinsoku w:val="0"/>
              <w:overflowPunct w:val="0"/>
              <w:autoSpaceDE w:val="0"/>
              <w:autoSpaceDN w:val="0"/>
              <w:adjustRightInd w:val="0"/>
              <w:snapToGrid w:val="0"/>
              <w:spacing w:line="276" w:lineRule="auto"/>
              <w:ind w:left="227"/>
              <w:rPr>
                <w:rFonts w:eastAsia="MS Mincho"/>
                <w:snapToGrid w:val="0"/>
                <w:color w:val="auto"/>
                <w:lang w:eastAsia="en-US"/>
              </w:rPr>
            </w:pPr>
            <w:r w:rsidRPr="00997F82">
              <w:rPr>
                <w:rFonts w:eastAsia="MS Mincho"/>
                <w:b w:val="0"/>
                <w:bCs w:val="0"/>
                <w:snapToGrid w:val="0"/>
                <w:color w:val="auto"/>
                <w:lang w:eastAsia="en-US"/>
              </w:rPr>
              <w:t>ACT (1 total)</w:t>
            </w:r>
          </w:p>
        </w:tc>
        <w:tc>
          <w:tcPr>
            <w:tcW w:w="1593" w:type="pct"/>
          </w:tcPr>
          <w:p w14:paraId="3DB327AC" w14:textId="67081C92" w:rsidR="007102A2" w:rsidRPr="00997F82" w:rsidRDefault="00E1674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1755" w:type="pct"/>
          </w:tcPr>
          <w:p w14:paraId="1D05C70E" w14:textId="3D3CF1AB" w:rsidR="007102A2" w:rsidRPr="00997F82" w:rsidRDefault="00E1674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1B7D56" w:rsidRPr="00997F82" w14:paraId="554BC76E"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2721B77A" w14:textId="105E0971" w:rsidR="007102A2" w:rsidRPr="00997F82" w:rsidRDefault="007102A2" w:rsidP="007102A2">
            <w:pPr>
              <w:kinsoku w:val="0"/>
              <w:overflowPunct w:val="0"/>
              <w:autoSpaceDE w:val="0"/>
              <w:autoSpaceDN w:val="0"/>
              <w:adjustRightInd w:val="0"/>
              <w:snapToGrid w:val="0"/>
              <w:spacing w:line="276" w:lineRule="auto"/>
              <w:ind w:left="227"/>
              <w:rPr>
                <w:rFonts w:eastAsia="MS Mincho"/>
                <w:snapToGrid w:val="0"/>
                <w:color w:val="auto"/>
                <w:lang w:eastAsia="en-US"/>
              </w:rPr>
            </w:pPr>
            <w:r w:rsidRPr="00997F82">
              <w:rPr>
                <w:rFonts w:eastAsia="MS Mincho"/>
                <w:b w:val="0"/>
                <w:bCs w:val="0"/>
                <w:snapToGrid w:val="0"/>
                <w:color w:val="auto"/>
                <w:lang w:eastAsia="en-US"/>
              </w:rPr>
              <w:t>NSW (10 total)</w:t>
            </w:r>
          </w:p>
        </w:tc>
        <w:tc>
          <w:tcPr>
            <w:tcW w:w="1593" w:type="pct"/>
          </w:tcPr>
          <w:p w14:paraId="538886FB" w14:textId="0350E7E3" w:rsidR="007102A2" w:rsidRPr="00997F82" w:rsidRDefault="001079E6"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c>
          <w:tcPr>
            <w:tcW w:w="1755" w:type="pct"/>
          </w:tcPr>
          <w:p w14:paraId="37AF25D9" w14:textId="162D82B4" w:rsidR="007102A2" w:rsidRPr="00997F82" w:rsidRDefault="001079E6"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r>
      <w:tr w:rsidR="001B7D56" w:rsidRPr="00997F82" w14:paraId="5F81FCF9"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562A8387" w14:textId="029CFE9C" w:rsidR="007102A2" w:rsidRPr="00997F82" w:rsidRDefault="007102A2" w:rsidP="007102A2">
            <w:pPr>
              <w:kinsoku w:val="0"/>
              <w:overflowPunct w:val="0"/>
              <w:autoSpaceDE w:val="0"/>
              <w:autoSpaceDN w:val="0"/>
              <w:adjustRightInd w:val="0"/>
              <w:snapToGrid w:val="0"/>
              <w:spacing w:line="276" w:lineRule="auto"/>
              <w:ind w:left="227"/>
              <w:rPr>
                <w:rFonts w:eastAsia="MS Mincho"/>
                <w:snapToGrid w:val="0"/>
                <w:color w:val="auto"/>
                <w:lang w:eastAsia="en-US"/>
              </w:rPr>
            </w:pPr>
            <w:r w:rsidRPr="00997F82">
              <w:rPr>
                <w:rFonts w:eastAsia="MS Mincho"/>
                <w:b w:val="0"/>
                <w:bCs w:val="0"/>
                <w:snapToGrid w:val="0"/>
                <w:color w:val="auto"/>
                <w:lang w:eastAsia="en-US"/>
              </w:rPr>
              <w:t>NT (1 total)</w:t>
            </w:r>
          </w:p>
        </w:tc>
        <w:tc>
          <w:tcPr>
            <w:tcW w:w="1593" w:type="pct"/>
          </w:tcPr>
          <w:p w14:paraId="3804C788" w14:textId="0BA012D2" w:rsidR="007102A2" w:rsidRPr="00997F82" w:rsidRDefault="00E1674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1755" w:type="pct"/>
          </w:tcPr>
          <w:p w14:paraId="2A677F0E" w14:textId="16FEAD00" w:rsidR="007102A2" w:rsidRPr="00997F82" w:rsidRDefault="00E1674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1B7D56" w:rsidRPr="00997F82" w14:paraId="3D426A50"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18D2C1D6" w14:textId="5BE04FE2" w:rsidR="007102A2" w:rsidRPr="00997F82" w:rsidRDefault="007102A2" w:rsidP="007102A2">
            <w:pPr>
              <w:kinsoku w:val="0"/>
              <w:overflowPunct w:val="0"/>
              <w:autoSpaceDE w:val="0"/>
              <w:autoSpaceDN w:val="0"/>
              <w:adjustRightInd w:val="0"/>
              <w:snapToGrid w:val="0"/>
              <w:spacing w:line="276" w:lineRule="auto"/>
              <w:ind w:left="227"/>
              <w:rPr>
                <w:rFonts w:eastAsia="MS Mincho"/>
                <w:snapToGrid w:val="0"/>
                <w:color w:val="auto"/>
                <w:lang w:eastAsia="en-US"/>
              </w:rPr>
            </w:pPr>
            <w:r w:rsidRPr="00997F82">
              <w:rPr>
                <w:rFonts w:eastAsia="MS Mincho"/>
                <w:b w:val="0"/>
                <w:bCs w:val="0"/>
                <w:snapToGrid w:val="0"/>
                <w:color w:val="auto"/>
                <w:lang w:eastAsia="en-US"/>
              </w:rPr>
              <w:t>QLD (7 total)</w:t>
            </w:r>
          </w:p>
        </w:tc>
        <w:tc>
          <w:tcPr>
            <w:tcW w:w="1593" w:type="pct"/>
          </w:tcPr>
          <w:p w14:paraId="6862FF5D" w14:textId="433FA102" w:rsidR="007102A2" w:rsidRPr="00997F82" w:rsidRDefault="00E1674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1755" w:type="pct"/>
          </w:tcPr>
          <w:p w14:paraId="38EB7DB5" w14:textId="7B10928E" w:rsidR="007102A2" w:rsidRPr="00997F82" w:rsidRDefault="00E1674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r>
      <w:tr w:rsidR="001B7D56" w:rsidRPr="00997F82" w14:paraId="341DBEF5"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62E89BCC" w14:textId="47656732" w:rsidR="007102A2" w:rsidRPr="00997F82" w:rsidRDefault="007102A2" w:rsidP="007102A2">
            <w:pPr>
              <w:kinsoku w:val="0"/>
              <w:overflowPunct w:val="0"/>
              <w:autoSpaceDE w:val="0"/>
              <w:autoSpaceDN w:val="0"/>
              <w:adjustRightInd w:val="0"/>
              <w:snapToGrid w:val="0"/>
              <w:spacing w:line="276" w:lineRule="auto"/>
              <w:ind w:left="227"/>
              <w:rPr>
                <w:rFonts w:eastAsia="MS Mincho"/>
                <w:snapToGrid w:val="0"/>
                <w:color w:val="auto"/>
                <w:lang w:eastAsia="en-US"/>
              </w:rPr>
            </w:pPr>
            <w:r w:rsidRPr="00997F82">
              <w:rPr>
                <w:rFonts w:eastAsia="MS Mincho"/>
                <w:b w:val="0"/>
                <w:bCs w:val="0"/>
                <w:snapToGrid w:val="0"/>
                <w:color w:val="auto"/>
                <w:lang w:eastAsia="en-US"/>
              </w:rPr>
              <w:t>SA (2 total)</w:t>
            </w:r>
          </w:p>
        </w:tc>
        <w:tc>
          <w:tcPr>
            <w:tcW w:w="1593" w:type="pct"/>
          </w:tcPr>
          <w:p w14:paraId="10ADC717" w14:textId="45D340B4" w:rsidR="007102A2" w:rsidRPr="00997F82" w:rsidRDefault="00E1674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1755" w:type="pct"/>
          </w:tcPr>
          <w:p w14:paraId="75BB78FF" w14:textId="5466219D" w:rsidR="007102A2" w:rsidRPr="00997F82" w:rsidRDefault="00E1674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1B7D56" w:rsidRPr="00997F82" w14:paraId="4B67D90F"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09C05438" w14:textId="3CEA3ADC" w:rsidR="007102A2" w:rsidRPr="00997F82" w:rsidRDefault="007102A2" w:rsidP="007102A2">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TAS (1 total)</w:t>
            </w:r>
          </w:p>
        </w:tc>
        <w:tc>
          <w:tcPr>
            <w:tcW w:w="1593" w:type="pct"/>
          </w:tcPr>
          <w:p w14:paraId="326B965A" w14:textId="2B00A035" w:rsidR="007102A2" w:rsidRPr="00997F82" w:rsidRDefault="00E1674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1755" w:type="pct"/>
          </w:tcPr>
          <w:p w14:paraId="6473D965" w14:textId="1EEB2596" w:rsidR="007102A2" w:rsidRPr="00997F82" w:rsidRDefault="00E1674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1B7D56" w:rsidRPr="00997F82" w14:paraId="02E27B5E"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69FF030B" w14:textId="4FE1B240" w:rsidR="007102A2" w:rsidRPr="00997F82" w:rsidRDefault="007102A2" w:rsidP="007102A2">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VIC (6 total)</w:t>
            </w:r>
          </w:p>
        </w:tc>
        <w:tc>
          <w:tcPr>
            <w:tcW w:w="1593" w:type="pct"/>
          </w:tcPr>
          <w:p w14:paraId="77249ABA" w14:textId="0349DE99" w:rsidR="007102A2" w:rsidRPr="00997F82" w:rsidRDefault="00082630"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c>
          <w:tcPr>
            <w:tcW w:w="1755" w:type="pct"/>
          </w:tcPr>
          <w:p w14:paraId="5250DAB0" w14:textId="613E9C19" w:rsidR="007102A2" w:rsidRPr="00997F82" w:rsidRDefault="00CD7D55"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r>
      <w:tr w:rsidR="001B7D56" w:rsidRPr="00997F82" w14:paraId="7F0CD235"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45A36811" w14:textId="5B86A4D7" w:rsidR="007102A2" w:rsidRPr="00997F82" w:rsidRDefault="007102A2" w:rsidP="007102A2">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WA (3</w:t>
            </w:r>
            <w:r w:rsidR="006558E4" w:rsidRPr="00997F82">
              <w:rPr>
                <w:rFonts w:eastAsia="MS Mincho"/>
                <w:b w:val="0"/>
                <w:bCs w:val="0"/>
                <w:snapToGrid w:val="0"/>
                <w:color w:val="auto"/>
                <w:lang w:eastAsia="en-US"/>
              </w:rPr>
              <w:t>*</w:t>
            </w:r>
            <w:r w:rsidRPr="00997F82">
              <w:rPr>
                <w:rFonts w:eastAsia="MS Mincho"/>
                <w:b w:val="0"/>
                <w:bCs w:val="0"/>
                <w:snapToGrid w:val="0"/>
                <w:color w:val="auto"/>
                <w:lang w:eastAsia="en-US"/>
              </w:rPr>
              <w:t xml:space="preserve"> total)</w:t>
            </w:r>
          </w:p>
        </w:tc>
        <w:tc>
          <w:tcPr>
            <w:tcW w:w="1593" w:type="pct"/>
          </w:tcPr>
          <w:p w14:paraId="28DC2062" w14:textId="48B2DDD3" w:rsidR="007102A2" w:rsidRPr="00997F82" w:rsidRDefault="00082630"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1755" w:type="pct"/>
          </w:tcPr>
          <w:p w14:paraId="1FD30FAB" w14:textId="1BCC0CA0" w:rsidR="007102A2" w:rsidRPr="00997F82" w:rsidRDefault="00082630" w:rsidP="007102A2">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bl>
    <w:p w14:paraId="576EAFFC" w14:textId="77777777" w:rsidR="006558E4" w:rsidRPr="00997F82" w:rsidRDefault="006558E4" w:rsidP="006558E4">
      <w:pPr>
        <w:rPr>
          <w:sz w:val="16"/>
          <w:szCs w:val="16"/>
        </w:rPr>
      </w:pPr>
      <w:r w:rsidRPr="00997F82">
        <w:rPr>
          <w:sz w:val="16"/>
          <w:szCs w:val="16"/>
        </w:rPr>
        <w:t>*WA operates 1 organisation as an alliance of 3 PHN regions, the Western Australian Primary Health Alliance.</w:t>
      </w:r>
    </w:p>
    <w:p w14:paraId="1E5DC3F0" w14:textId="2968FE1A" w:rsidR="00226981" w:rsidRPr="00997F82" w:rsidRDefault="00226981" w:rsidP="00226981">
      <w:pPr>
        <w:spacing w:after="120"/>
      </w:pPr>
      <w:r w:rsidRPr="00997F82">
        <w:t>Activities in this category focus</w:t>
      </w:r>
      <w:r w:rsidR="0023331A" w:rsidRPr="00997F82">
        <w:t>ed</w:t>
      </w:r>
      <w:r w:rsidRPr="00997F82">
        <w:t xml:space="preserve"> on:</w:t>
      </w:r>
    </w:p>
    <w:p w14:paraId="0E32A1A9" w14:textId="77777777" w:rsidR="00226981" w:rsidRPr="00997F82" w:rsidRDefault="00226981" w:rsidP="006950EE">
      <w:pPr>
        <w:pStyle w:val="ListBullet"/>
      </w:pPr>
      <w:r w:rsidRPr="00997F82">
        <w:t>Increasing the number of community pharmacies stocking palliative care medicines as part of the Core Medicines List (CML).</w:t>
      </w:r>
    </w:p>
    <w:p w14:paraId="47709135" w14:textId="5490FA6B" w:rsidR="00226981" w:rsidRPr="00997F82" w:rsidRDefault="00226981" w:rsidP="006950EE">
      <w:pPr>
        <w:pStyle w:val="ListBullet"/>
      </w:pPr>
      <w:r w:rsidRPr="00997F82">
        <w:t>Improving awareness and use of the CML a</w:t>
      </w:r>
      <w:r w:rsidR="0023331A" w:rsidRPr="00997F82">
        <w:t>nd</w:t>
      </w:r>
      <w:r w:rsidRPr="00997F82">
        <w:t xml:space="preserve"> palliative care clinical capacity by prescribers, community palliative care providers and community pharmacists.</w:t>
      </w:r>
    </w:p>
    <w:p w14:paraId="447F7CAA" w14:textId="023C73A5" w:rsidR="00226981" w:rsidRPr="00997F82" w:rsidRDefault="00226981" w:rsidP="006950EE">
      <w:pPr>
        <w:pStyle w:val="ListBullet"/>
      </w:pPr>
      <w:r w:rsidRPr="00997F82">
        <w:t>Increasing awareness and understanding of anticipatory prescribing</w:t>
      </w:r>
      <w:r w:rsidR="00646247" w:rsidRPr="00997F82">
        <w:t xml:space="preserve">, which </w:t>
      </w:r>
      <w:r w:rsidR="009A4739" w:rsidRPr="00997F82">
        <w:t>are</w:t>
      </w:r>
      <w:r w:rsidR="00646247" w:rsidRPr="00997F82">
        <w:t xml:space="preserve"> </w:t>
      </w:r>
      <w:r w:rsidR="00CB28DB" w:rsidRPr="00997F82">
        <w:t xml:space="preserve">medicines that are prescribed in advance to ensure treatment is timely </w:t>
      </w:r>
      <w:r w:rsidR="009A4739" w:rsidRPr="00997F82">
        <w:t xml:space="preserve">to </w:t>
      </w:r>
      <w:r w:rsidR="00CB28DB" w:rsidRPr="00997F82">
        <w:t>prevent unplanned hospital admissions</w:t>
      </w:r>
      <w:r w:rsidRPr="00997F82">
        <w:t xml:space="preserve">. </w:t>
      </w:r>
    </w:p>
    <w:p w14:paraId="69DE5A80" w14:textId="012846DA" w:rsidR="00226981" w:rsidRPr="00997F82" w:rsidRDefault="00226981" w:rsidP="006950EE">
      <w:pPr>
        <w:pStyle w:val="ListBullet"/>
      </w:pPr>
      <w:r w:rsidRPr="00997F82">
        <w:t>Increasing collaboration between providers</w:t>
      </w:r>
      <w:r w:rsidR="00CB28DB" w:rsidRPr="00997F82">
        <w:t xml:space="preserve"> to ensure </w:t>
      </w:r>
      <w:r w:rsidR="00F7254A" w:rsidRPr="00997F82">
        <w:t>coordinated medication and pain management</w:t>
      </w:r>
      <w:r w:rsidRPr="00997F82">
        <w:t>.</w:t>
      </w:r>
    </w:p>
    <w:p w14:paraId="1242CB0D" w14:textId="51A9FD49" w:rsidR="00226981" w:rsidRPr="00997F82" w:rsidRDefault="00226981" w:rsidP="006950EE">
      <w:pPr>
        <w:pStyle w:val="ListBullet"/>
      </w:pPr>
      <w:r w:rsidRPr="00997F82">
        <w:t>Working with RACHs to implement the IMPREST system</w:t>
      </w:r>
      <w:r w:rsidR="00F7254A" w:rsidRPr="00997F82">
        <w:t xml:space="preserve"> (described below)</w:t>
      </w:r>
      <w:r w:rsidRPr="00997F82">
        <w:t>.</w:t>
      </w:r>
    </w:p>
    <w:p w14:paraId="6013813A" w14:textId="690106B2" w:rsidR="00226981" w:rsidRPr="004541BB" w:rsidRDefault="001F2486" w:rsidP="004541BB">
      <w:pPr>
        <w:rPr>
          <w:rStyle w:val="Strong"/>
        </w:rPr>
      </w:pPr>
      <w:r w:rsidRPr="004541BB">
        <w:rPr>
          <w:rStyle w:val="Strong"/>
        </w:rPr>
        <w:t>Activity example</w:t>
      </w:r>
      <w:r w:rsidR="00226981" w:rsidRPr="004541BB">
        <w:rPr>
          <w:rStyle w:val="Strong"/>
        </w:rPr>
        <w:t>:</w:t>
      </w:r>
    </w:p>
    <w:tbl>
      <w:tblPr>
        <w:tblStyle w:val="TableGrid"/>
        <w:tblW w:w="9139" w:type="dxa"/>
        <w:tblLook w:val="04A0" w:firstRow="1" w:lastRow="0" w:firstColumn="1" w:lastColumn="0" w:noHBand="0" w:noVBand="1"/>
      </w:tblPr>
      <w:tblGrid>
        <w:gridCol w:w="4356"/>
        <w:gridCol w:w="4783"/>
      </w:tblGrid>
      <w:tr w:rsidR="00226981" w:rsidRPr="00997F82" w14:paraId="3C959E94" w14:textId="77777777" w:rsidTr="0088712F">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9139" w:type="dxa"/>
            <w:gridSpan w:val="2"/>
          </w:tcPr>
          <w:p w14:paraId="67517F82" w14:textId="51709BCD" w:rsidR="00226981" w:rsidRPr="00997F82" w:rsidRDefault="006F5F7C" w:rsidP="00984522">
            <w:pPr>
              <w:pStyle w:val="TableHeader"/>
              <w:rPr>
                <w:color w:val="FFFFFF" w:themeColor="background1"/>
                <w:szCs w:val="20"/>
                <w:lang w:val="en-GB"/>
              </w:rPr>
            </w:pPr>
            <w:r w:rsidRPr="00997F82">
              <w:rPr>
                <w:color w:val="FFFFFF" w:themeColor="background1"/>
                <w:szCs w:val="20"/>
                <w:lang w:val="en-GB"/>
              </w:rPr>
              <w:t xml:space="preserve">Gippsland PHN – </w:t>
            </w:r>
            <w:r w:rsidR="0043648A" w:rsidRPr="00997F82">
              <w:rPr>
                <w:color w:val="FFFFFF" w:themeColor="background1"/>
                <w:szCs w:val="20"/>
                <w:lang w:val="en-GB"/>
              </w:rPr>
              <w:t>Medication I</w:t>
            </w:r>
            <w:r w:rsidRPr="00997F82">
              <w:rPr>
                <w:color w:val="FFFFFF" w:themeColor="background1"/>
                <w:szCs w:val="20"/>
                <w:lang w:val="en-GB"/>
              </w:rPr>
              <w:t>MPREST system in RACHs</w:t>
            </w:r>
          </w:p>
        </w:tc>
      </w:tr>
      <w:tr w:rsidR="00226981" w:rsidRPr="00997F82" w14:paraId="69397847" w14:textId="77777777" w:rsidTr="0088712F">
        <w:trPr>
          <w:trHeight w:val="3295"/>
        </w:trPr>
        <w:tc>
          <w:tcPr>
            <w:cnfStyle w:val="001000000000" w:firstRow="0" w:lastRow="0" w:firstColumn="1" w:lastColumn="0" w:oddVBand="0" w:evenVBand="0" w:oddHBand="0" w:evenHBand="0" w:firstRowFirstColumn="0" w:firstRowLastColumn="0" w:lastRowFirstColumn="0" w:lastRowLastColumn="0"/>
            <w:tcW w:w="4356" w:type="dxa"/>
          </w:tcPr>
          <w:p w14:paraId="78DA36FC" w14:textId="0F087F09" w:rsidR="00611A5C" w:rsidRPr="006950EE" w:rsidRDefault="008D6F44" w:rsidP="006950EE">
            <w:pPr>
              <w:pStyle w:val="TableText"/>
              <w:rPr>
                <w:rFonts w:asciiTheme="minorHAnsi" w:hAnsiTheme="minorHAnsi"/>
                <w:color w:val="auto"/>
                <w:lang w:val="en-GB"/>
              </w:rPr>
            </w:pPr>
            <w:r w:rsidRPr="00997F82">
              <w:rPr>
                <w:rFonts w:asciiTheme="majorHAnsi" w:hAnsiTheme="majorHAnsi"/>
                <w:color w:val="auto"/>
                <w:lang w:val="en-GB"/>
              </w:rPr>
              <w:t xml:space="preserve">GPHN </w:t>
            </w:r>
            <w:r w:rsidR="00CE6589" w:rsidRPr="00997F82">
              <w:rPr>
                <w:rFonts w:asciiTheme="majorHAnsi" w:hAnsiTheme="majorHAnsi"/>
                <w:color w:val="auto"/>
                <w:lang w:val="en-GB"/>
              </w:rPr>
              <w:t>are supporting</w:t>
            </w:r>
            <w:r w:rsidRPr="00997F82">
              <w:rPr>
                <w:rFonts w:asciiTheme="majorHAnsi" w:hAnsiTheme="majorHAnsi"/>
                <w:color w:val="auto"/>
                <w:lang w:val="en-GB"/>
              </w:rPr>
              <w:t xml:space="preserve"> </w:t>
            </w:r>
            <w:r w:rsidR="007F2C8A" w:rsidRPr="00997F82">
              <w:rPr>
                <w:rFonts w:asciiTheme="majorHAnsi" w:hAnsiTheme="majorHAnsi"/>
                <w:color w:val="auto"/>
                <w:lang w:val="en-GB"/>
              </w:rPr>
              <w:t>RACHs</w:t>
            </w:r>
            <w:r w:rsidRPr="00997F82">
              <w:rPr>
                <w:rFonts w:asciiTheme="majorHAnsi" w:hAnsiTheme="majorHAnsi"/>
                <w:color w:val="auto"/>
                <w:lang w:val="en-GB"/>
              </w:rPr>
              <w:t xml:space="preserve"> to implement IMPREST systems in their facilities. </w:t>
            </w:r>
            <w:r w:rsidR="00611A5C" w:rsidRPr="00997F82">
              <w:rPr>
                <w:rFonts w:asciiTheme="minorHAnsi" w:hAnsiTheme="minorHAnsi"/>
                <w:color w:val="auto"/>
                <w:lang w:val="en-GB"/>
              </w:rPr>
              <w:t>IM</w:t>
            </w:r>
            <w:r w:rsidR="0043648A" w:rsidRPr="00997F82">
              <w:rPr>
                <w:rFonts w:asciiTheme="minorHAnsi" w:hAnsiTheme="minorHAnsi"/>
                <w:color w:val="auto"/>
                <w:lang w:val="en-GB"/>
              </w:rPr>
              <w:t>PREST allows RACHs to hold ‘ward stock’ of palliative care medications that have not been prescribed for a specific resident.</w:t>
            </w:r>
            <w:r w:rsidR="004F1B4A" w:rsidRPr="00997F82">
              <w:rPr>
                <w:rFonts w:asciiTheme="minorHAnsi" w:hAnsiTheme="minorHAnsi"/>
                <w:color w:val="auto"/>
                <w:lang w:val="en-GB"/>
              </w:rPr>
              <w:t xml:space="preserve"> </w:t>
            </w:r>
            <w:r w:rsidR="0043648A" w:rsidRPr="00997F82">
              <w:rPr>
                <w:rFonts w:asciiTheme="minorHAnsi" w:hAnsiTheme="minorHAnsi"/>
                <w:color w:val="auto"/>
                <w:lang w:val="en-GB"/>
              </w:rPr>
              <w:t xml:space="preserve">This allows </w:t>
            </w:r>
            <w:r w:rsidR="00611A5C" w:rsidRPr="00997F82">
              <w:rPr>
                <w:rFonts w:asciiTheme="minorHAnsi" w:hAnsiTheme="minorHAnsi"/>
                <w:color w:val="auto"/>
                <w:lang w:val="en-GB"/>
              </w:rPr>
              <w:t>staff to have access to emergency and out</w:t>
            </w:r>
            <w:r w:rsidR="00923953" w:rsidRPr="00997F82">
              <w:rPr>
                <w:rFonts w:asciiTheme="minorHAnsi" w:hAnsiTheme="minorHAnsi"/>
                <w:color w:val="auto"/>
                <w:lang w:val="en-GB"/>
              </w:rPr>
              <w:t>-</w:t>
            </w:r>
            <w:r w:rsidR="00611A5C" w:rsidRPr="00997F82">
              <w:rPr>
                <w:rFonts w:asciiTheme="minorHAnsi" w:hAnsiTheme="minorHAnsi"/>
                <w:color w:val="auto"/>
                <w:lang w:val="en-GB"/>
              </w:rPr>
              <w:t>of</w:t>
            </w:r>
            <w:r w:rsidR="00923953" w:rsidRPr="00997F82">
              <w:rPr>
                <w:rFonts w:asciiTheme="minorHAnsi" w:hAnsiTheme="minorHAnsi"/>
                <w:color w:val="auto"/>
                <w:lang w:val="en-GB"/>
              </w:rPr>
              <w:t>-</w:t>
            </w:r>
            <w:r w:rsidR="00611A5C" w:rsidRPr="00997F82">
              <w:rPr>
                <w:rFonts w:asciiTheme="minorHAnsi" w:hAnsiTheme="minorHAnsi"/>
                <w:color w:val="auto"/>
                <w:lang w:val="en-GB"/>
              </w:rPr>
              <w:t>hours medication needed in the case of rapid deterioration.</w:t>
            </w:r>
          </w:p>
          <w:p w14:paraId="01C8EEA8" w14:textId="40D68CB7" w:rsidR="00611A5C" w:rsidRPr="00997F82" w:rsidRDefault="00611A5C" w:rsidP="00C42093">
            <w:pPr>
              <w:pStyle w:val="TableText"/>
              <w:rPr>
                <w:rFonts w:asciiTheme="minorHAnsi" w:hAnsiTheme="minorHAnsi" w:cs="Arial"/>
                <w:szCs w:val="20"/>
                <w:lang w:val="en-GB"/>
              </w:rPr>
            </w:pPr>
            <w:r w:rsidRPr="00997F82">
              <w:rPr>
                <w:rFonts w:asciiTheme="minorHAnsi" w:hAnsiTheme="minorHAnsi"/>
                <w:color w:val="auto"/>
                <w:szCs w:val="20"/>
                <w:lang w:val="en-GB"/>
              </w:rPr>
              <w:t xml:space="preserve">GPHN have supplied small grants to RACHs for license fees </w:t>
            </w:r>
            <w:r w:rsidR="00F7254A" w:rsidRPr="00997F82">
              <w:rPr>
                <w:rFonts w:asciiTheme="minorHAnsi" w:hAnsiTheme="minorHAnsi"/>
                <w:color w:val="auto"/>
                <w:szCs w:val="20"/>
                <w:lang w:val="en-GB"/>
              </w:rPr>
              <w:t>for the IMPREST system</w:t>
            </w:r>
            <w:r w:rsidRPr="00997F82">
              <w:rPr>
                <w:rFonts w:asciiTheme="minorHAnsi" w:hAnsiTheme="minorHAnsi"/>
                <w:color w:val="auto"/>
                <w:szCs w:val="20"/>
                <w:lang w:val="en-GB"/>
              </w:rPr>
              <w:t xml:space="preserve"> and have commissioned </w:t>
            </w:r>
            <w:r w:rsidR="00FD65F5" w:rsidRPr="00997F82">
              <w:rPr>
                <w:rFonts w:asciiTheme="minorHAnsi" w:hAnsiTheme="minorHAnsi"/>
                <w:color w:val="auto"/>
                <w:szCs w:val="20"/>
                <w:lang w:val="en-GB"/>
              </w:rPr>
              <w:t>t</w:t>
            </w:r>
            <w:r w:rsidR="00A714C6" w:rsidRPr="00997F82">
              <w:rPr>
                <w:rFonts w:asciiTheme="minorHAnsi" w:hAnsiTheme="minorHAnsi"/>
                <w:color w:val="auto"/>
                <w:szCs w:val="20"/>
                <w:lang w:val="en-GB"/>
              </w:rPr>
              <w:t>he Gippsland Region Palliative Care Consortium to develop a guide and support implementation.</w:t>
            </w:r>
            <w:r w:rsidRPr="00997F82">
              <w:rPr>
                <w:rFonts w:asciiTheme="minorHAnsi" w:hAnsiTheme="minorHAnsi"/>
                <w:color w:val="auto"/>
                <w:szCs w:val="20"/>
                <w:lang w:val="en-GB"/>
              </w:rPr>
              <w:t xml:space="preserve"> </w:t>
            </w:r>
          </w:p>
        </w:tc>
        <w:tc>
          <w:tcPr>
            <w:tcW w:w="4783" w:type="dxa"/>
          </w:tcPr>
          <w:p w14:paraId="1478614D" w14:textId="57103E3B" w:rsidR="00226981" w:rsidRPr="00997F82" w:rsidRDefault="00885A8A" w:rsidP="00C42093">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0"/>
                <w:lang w:val="en-GB"/>
              </w:rPr>
            </w:pPr>
            <w:r w:rsidRPr="00997F82">
              <w:rPr>
                <w:rFonts w:asciiTheme="minorHAnsi" w:hAnsiTheme="minorHAnsi" w:cs="Arial"/>
                <w:noProof/>
                <w:szCs w:val="20"/>
                <w:lang w:val="en-GB"/>
              </w:rPr>
              <w:drawing>
                <wp:inline distT="0" distB="0" distL="0" distR="0" wp14:anchorId="1BAA320D" wp14:editId="44FC83E1">
                  <wp:extent cx="2879677" cy="2251480"/>
                  <wp:effectExtent l="0" t="0" r="0" b="0"/>
                  <wp:docPr id="156353621" name="Picture 3" descr="A photograph of an older person with someone behind them giving them a gentle hug. The holder person has their hand placed over the other persons crossed hands. It is a caring gestur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3621" name="Picture 3" descr="A photograph of an older person with someone behind them giving them a gentle hug. The holder person has their hand placed over the other persons crossed hands. It is a caring gesture. ">
                            <a:extLst>
                              <a:ext uri="{C183D7F6-B498-43B3-948B-1728B52AA6E4}">
                                <adec:decorative xmlns:adec="http://schemas.microsoft.com/office/drawing/2017/decorative" val="0"/>
                              </a:ext>
                            </a:extLst>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905136" cy="227138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67FDD1E" w14:textId="5A57084A" w:rsidR="000A5B6A" w:rsidRPr="00997F82" w:rsidRDefault="000A5B6A" w:rsidP="00277D66">
      <w:pPr>
        <w:pStyle w:val="Heading2"/>
      </w:pPr>
      <w:r w:rsidRPr="00997F82">
        <w:t>Priority populations</w:t>
      </w:r>
    </w:p>
    <w:p w14:paraId="0ACCEE5E" w14:textId="59C78016" w:rsidR="00226981" w:rsidRPr="00997F82" w:rsidRDefault="00CF7E3D" w:rsidP="00226981">
      <w:r w:rsidRPr="00997F82">
        <w:t xml:space="preserve">PHNs </w:t>
      </w:r>
      <w:r w:rsidR="00076BD2" w:rsidRPr="00997F82">
        <w:t xml:space="preserve">regularly undertake </w:t>
      </w:r>
      <w:r w:rsidR="007C2037" w:rsidRPr="00997F82">
        <w:t xml:space="preserve">regional population Health Needs Assessments, through which </w:t>
      </w:r>
      <w:r w:rsidR="007B021F" w:rsidRPr="00997F82">
        <w:t xml:space="preserve">certain underserved groups can be </w:t>
      </w:r>
      <w:r w:rsidRPr="00997F82">
        <w:t>identified</w:t>
      </w:r>
      <w:r w:rsidR="001A54BC" w:rsidRPr="00997F82">
        <w:t>.</w:t>
      </w:r>
      <w:r w:rsidRPr="00997F82">
        <w:t xml:space="preserve"> </w:t>
      </w:r>
      <w:r w:rsidR="001A54BC" w:rsidRPr="00997F82">
        <w:t xml:space="preserve">As such, some </w:t>
      </w:r>
      <w:r w:rsidR="00C85B9E" w:rsidRPr="00997F82">
        <w:t>PHN regions</w:t>
      </w:r>
      <w:r w:rsidR="001A54BC" w:rsidRPr="00997F82">
        <w:t xml:space="preserve"> may have specific palliative care needs </w:t>
      </w:r>
      <w:r w:rsidR="00C85B9E" w:rsidRPr="00997F82">
        <w:t xml:space="preserve">relating to their local population. </w:t>
      </w:r>
    </w:p>
    <w:p w14:paraId="11D43911" w14:textId="3813E2BC" w:rsidR="00C24861" w:rsidRPr="00997F82" w:rsidRDefault="00C24861" w:rsidP="00DF0063">
      <w:pPr>
        <w:pStyle w:val="CVHeading"/>
      </w:pPr>
      <w:r w:rsidRPr="00997F82">
        <w:t xml:space="preserve">As of </w:t>
      </w:r>
      <w:r w:rsidR="00D8670D" w:rsidRPr="00997F82">
        <w:t>Endpoint</w:t>
      </w:r>
      <w:r w:rsidRPr="00997F82">
        <w:t xml:space="preserve">, </w:t>
      </w:r>
      <w:r w:rsidR="0019168A" w:rsidRPr="00997F82">
        <w:t>1</w:t>
      </w:r>
      <w:r w:rsidR="00A23984" w:rsidRPr="00997F82">
        <w:t>4</w:t>
      </w:r>
      <w:r w:rsidR="0019168A" w:rsidRPr="00997F82">
        <w:t xml:space="preserve"> </w:t>
      </w:r>
      <w:r w:rsidRPr="00997F82">
        <w:t xml:space="preserve">PHNs </w:t>
      </w:r>
      <w:r w:rsidR="00BB7098" w:rsidRPr="00997F82">
        <w:t>had</w:t>
      </w:r>
      <w:r w:rsidRPr="00997F82">
        <w:t xml:space="preserve"> implemented a total of </w:t>
      </w:r>
      <w:r w:rsidR="00E51395" w:rsidRPr="00997F82">
        <w:t>23</w:t>
      </w:r>
      <w:r w:rsidRPr="00997F82">
        <w:t xml:space="preserve"> activities </w:t>
      </w:r>
      <w:r w:rsidR="00E51395" w:rsidRPr="00997F82">
        <w:t>targeted for priority populations</w:t>
      </w:r>
      <w:r w:rsidR="003114EA" w:rsidRPr="00997F82">
        <w:t>.</w:t>
      </w:r>
    </w:p>
    <w:p w14:paraId="7989FFD6" w14:textId="4E65BCC2" w:rsidR="006649B7" w:rsidRPr="00997F82" w:rsidRDefault="00C24861" w:rsidP="00C24861">
      <w:pPr>
        <w:rPr>
          <w:color w:val="auto"/>
        </w:rPr>
      </w:pPr>
      <w:r w:rsidRPr="00997F82">
        <w:t>The following table provides an overall summary of these activities</w:t>
      </w:r>
      <w:r w:rsidR="00702D42" w:rsidRPr="00997F82">
        <w:t>.</w:t>
      </w:r>
    </w:p>
    <w:p w14:paraId="682CB76C" w14:textId="22B87366" w:rsidR="00C24861" w:rsidRPr="00997F82" w:rsidRDefault="00C24861" w:rsidP="00277D66">
      <w:pPr>
        <w:pStyle w:val="Caption"/>
        <w:rPr>
          <w:i/>
        </w:rPr>
      </w:pPr>
      <w:r w:rsidRPr="00997F82">
        <w:t xml:space="preserve">Table </w:t>
      </w:r>
      <w:r w:rsidRPr="00997F82">
        <w:rPr>
          <w:i/>
        </w:rPr>
        <w:fldChar w:fldCharType="begin"/>
      </w:r>
      <w:r w:rsidRPr="00997F82">
        <w:instrText xml:space="preserve"> SEQ Table \* ARABIC </w:instrText>
      </w:r>
      <w:r w:rsidRPr="00997F82">
        <w:rPr>
          <w:i/>
        </w:rPr>
        <w:fldChar w:fldCharType="separate"/>
      </w:r>
      <w:r w:rsidR="00735424">
        <w:rPr>
          <w:noProof/>
        </w:rPr>
        <w:t>4</w:t>
      </w:r>
      <w:r w:rsidRPr="00997F82">
        <w:rPr>
          <w:i/>
        </w:rPr>
        <w:fldChar w:fldCharType="end"/>
      </w:r>
      <w:r w:rsidRPr="00997F82">
        <w:t xml:space="preserve">: </w:t>
      </w:r>
      <w:r w:rsidR="00713D8C" w:rsidRPr="00997F82">
        <w:t>Priority population</w:t>
      </w:r>
      <w:r w:rsidRPr="00997F82">
        <w:t xml:space="preserve"> activities, by sub-category and PHN characteristics</w:t>
      </w:r>
    </w:p>
    <w:tbl>
      <w:tblPr>
        <w:tblStyle w:val="GridTable1Light-Accent33"/>
        <w:tblW w:w="4988" w:type="pct"/>
        <w:tblLook w:val="04A0" w:firstRow="1" w:lastRow="0" w:firstColumn="1" w:lastColumn="0" w:noHBand="0" w:noVBand="1"/>
      </w:tblPr>
      <w:tblGrid>
        <w:gridCol w:w="2972"/>
        <w:gridCol w:w="2866"/>
        <w:gridCol w:w="3157"/>
      </w:tblGrid>
      <w:tr w:rsidR="003F4C5A" w:rsidRPr="00997F82" w14:paraId="5FF8340F" w14:textId="77777777" w:rsidTr="006950EE">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1652" w:type="pct"/>
            <w:tcBorders>
              <w:top w:val="single" w:sz="4" w:space="0" w:color="FFFFFF"/>
              <w:left w:val="single" w:sz="4" w:space="0" w:color="FFFFFF"/>
              <w:bottom w:val="single" w:sz="4" w:space="0" w:color="FFFFFF"/>
              <w:right w:val="single" w:sz="4" w:space="0" w:color="FFFFFF"/>
            </w:tcBorders>
          </w:tcPr>
          <w:p w14:paraId="1685A6D8" w14:textId="77777777" w:rsidR="00C24861" w:rsidRPr="00A57CA5" w:rsidRDefault="00C24861" w:rsidP="00A57CA5">
            <w:pPr>
              <w:rPr>
                <w:lang w:eastAsia="en-US"/>
              </w:rPr>
            </w:pPr>
          </w:p>
        </w:tc>
        <w:tc>
          <w:tcPr>
            <w:tcW w:w="3348" w:type="pct"/>
            <w:gridSpan w:val="2"/>
            <w:tcBorders>
              <w:top w:val="single" w:sz="4" w:space="0" w:color="FFFFFF"/>
              <w:left w:val="single" w:sz="4" w:space="0" w:color="FFFFFF"/>
              <w:bottom w:val="single" w:sz="4" w:space="0" w:color="FFFFFF"/>
              <w:right w:val="single" w:sz="4" w:space="0" w:color="FFFFFF"/>
            </w:tcBorders>
            <w:shd w:val="clear" w:color="auto" w:fill="B4B5DB"/>
          </w:tcPr>
          <w:p w14:paraId="205E6292" w14:textId="0285C86D" w:rsidR="00C24861" w:rsidRPr="00A57CA5" w:rsidRDefault="00567515" w:rsidP="00A57CA5">
            <w:pPr>
              <w:pStyle w:val="Tablehead"/>
              <w:cnfStyle w:val="100000000000" w:firstRow="1" w:lastRow="0" w:firstColumn="0" w:lastColumn="0" w:oddVBand="0" w:evenVBand="0" w:oddHBand="0" w:evenHBand="0" w:firstRowFirstColumn="0" w:firstRowLastColumn="0" w:lastRowFirstColumn="0" w:lastRowLastColumn="0"/>
            </w:pPr>
            <w:r w:rsidRPr="00A57CA5">
              <w:t xml:space="preserve">Priority </w:t>
            </w:r>
            <w:r w:rsidR="00713D8C" w:rsidRPr="00A57CA5">
              <w:t>P</w:t>
            </w:r>
            <w:r w:rsidRPr="00A57CA5">
              <w:t>opulations</w:t>
            </w:r>
          </w:p>
        </w:tc>
      </w:tr>
      <w:tr w:rsidR="00F5481B" w:rsidRPr="00997F82" w14:paraId="31A7A5C5" w14:textId="77777777" w:rsidTr="006950E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52" w:type="pct"/>
            <w:tcBorders>
              <w:top w:val="single" w:sz="4" w:space="0" w:color="FFFFFF"/>
              <w:left w:val="single" w:sz="4" w:space="0" w:color="FFFFFF"/>
              <w:bottom w:val="single" w:sz="4" w:space="0" w:color="FFFFFF"/>
              <w:right w:val="single" w:sz="4" w:space="0" w:color="FFFFFF"/>
            </w:tcBorders>
            <w:shd w:val="clear" w:color="auto" w:fill="E0E1F0"/>
          </w:tcPr>
          <w:p w14:paraId="4FF2060E" w14:textId="77777777" w:rsidR="00C24861" w:rsidRPr="00A57CA5" w:rsidRDefault="00C24861" w:rsidP="00A57CA5">
            <w:pPr>
              <w:rPr>
                <w:lang w:eastAsia="en-US"/>
              </w:rPr>
            </w:pPr>
            <w:r w:rsidRPr="00A57CA5">
              <w:rPr>
                <w:lang w:eastAsia="en-US"/>
              </w:rPr>
              <w:t>Rurality</w:t>
            </w:r>
          </w:p>
        </w:tc>
        <w:tc>
          <w:tcPr>
            <w:tcW w:w="1593" w:type="pct"/>
            <w:tcBorders>
              <w:top w:val="single" w:sz="4" w:space="0" w:color="FFFFFF"/>
              <w:left w:val="single" w:sz="4" w:space="0" w:color="FFFFFF"/>
              <w:bottom w:val="single" w:sz="4" w:space="0" w:color="FFFFFF"/>
              <w:right w:val="single" w:sz="4" w:space="0" w:color="FFFFFF"/>
            </w:tcBorders>
            <w:shd w:val="clear" w:color="auto" w:fill="E0E1F0"/>
          </w:tcPr>
          <w:p w14:paraId="12DF226D" w14:textId="77777777" w:rsidR="00C24861" w:rsidRPr="00A57CA5" w:rsidRDefault="00C24861" w:rsidP="00A57CA5">
            <w:pPr>
              <w:cnfStyle w:val="100000000000" w:firstRow="1" w:lastRow="0" w:firstColumn="0" w:lastColumn="0" w:oddVBand="0" w:evenVBand="0" w:oddHBand="0" w:evenHBand="0" w:firstRowFirstColumn="0" w:firstRowLastColumn="0" w:lastRowFirstColumn="0" w:lastRowLastColumn="0"/>
              <w:rPr>
                <w:lang w:eastAsia="en-US"/>
              </w:rPr>
            </w:pPr>
            <w:r w:rsidRPr="00A57CA5">
              <w:rPr>
                <w:lang w:eastAsia="en-US"/>
              </w:rPr>
              <w:t># PHNs (31 total)</w:t>
            </w:r>
          </w:p>
        </w:tc>
        <w:tc>
          <w:tcPr>
            <w:tcW w:w="1755" w:type="pct"/>
            <w:tcBorders>
              <w:top w:val="single" w:sz="4" w:space="0" w:color="FFFFFF"/>
              <w:left w:val="single" w:sz="4" w:space="0" w:color="FFFFFF"/>
              <w:bottom w:val="single" w:sz="4" w:space="0" w:color="FFFFFF"/>
              <w:right w:val="single" w:sz="4" w:space="0" w:color="FFFFFF"/>
            </w:tcBorders>
            <w:shd w:val="clear" w:color="auto" w:fill="E0E1F0"/>
          </w:tcPr>
          <w:p w14:paraId="15387330" w14:textId="70D4FBC5" w:rsidR="00C24861" w:rsidRPr="00A57CA5" w:rsidRDefault="00C24861" w:rsidP="00A57CA5">
            <w:pPr>
              <w:cnfStyle w:val="100000000000" w:firstRow="1" w:lastRow="0" w:firstColumn="0" w:lastColumn="0" w:oddVBand="0" w:evenVBand="0" w:oddHBand="0" w:evenHBand="0" w:firstRowFirstColumn="0" w:firstRowLastColumn="0" w:lastRowFirstColumn="0" w:lastRowLastColumn="0"/>
              <w:rPr>
                <w:lang w:eastAsia="en-US"/>
              </w:rPr>
            </w:pPr>
            <w:r w:rsidRPr="00A57CA5">
              <w:rPr>
                <w:lang w:eastAsia="en-US"/>
              </w:rPr>
              <w:t># Activities (</w:t>
            </w:r>
            <w:r w:rsidR="00F00CD8" w:rsidRPr="00A57CA5">
              <w:rPr>
                <w:lang w:eastAsia="en-US"/>
              </w:rPr>
              <w:t>23</w:t>
            </w:r>
            <w:r w:rsidRPr="00A57CA5">
              <w:rPr>
                <w:lang w:eastAsia="en-US"/>
              </w:rPr>
              <w:t xml:space="preserve"> total)</w:t>
            </w:r>
          </w:p>
        </w:tc>
      </w:tr>
      <w:tr w:rsidR="001B7D56" w:rsidRPr="00997F82" w14:paraId="631DD27A" w14:textId="77777777" w:rsidTr="00674FFE">
        <w:trPr>
          <w:trHeight w:val="50"/>
        </w:trPr>
        <w:tc>
          <w:tcPr>
            <w:cnfStyle w:val="001000000000" w:firstRow="0" w:lastRow="0" w:firstColumn="1" w:lastColumn="0" w:oddVBand="0" w:evenVBand="0" w:oddHBand="0" w:evenHBand="0" w:firstRowFirstColumn="0" w:firstRowLastColumn="0" w:lastRowFirstColumn="0" w:lastRowLastColumn="0"/>
            <w:tcW w:w="1652" w:type="pct"/>
            <w:tcBorders>
              <w:top w:val="single" w:sz="4" w:space="0" w:color="FFFFFF"/>
            </w:tcBorders>
          </w:tcPr>
          <w:p w14:paraId="078F4C4A"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Metro PHNs (14 total)</w:t>
            </w:r>
          </w:p>
        </w:tc>
        <w:tc>
          <w:tcPr>
            <w:tcW w:w="1593" w:type="pct"/>
            <w:tcBorders>
              <w:top w:val="single" w:sz="4" w:space="0" w:color="FFFFFF"/>
            </w:tcBorders>
          </w:tcPr>
          <w:p w14:paraId="1F6E5E91" w14:textId="60141BA5" w:rsidR="00C24861" w:rsidRPr="00997F82" w:rsidRDefault="00F00C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8</w:t>
            </w:r>
          </w:p>
        </w:tc>
        <w:tc>
          <w:tcPr>
            <w:tcW w:w="1755" w:type="pct"/>
            <w:tcBorders>
              <w:top w:val="single" w:sz="4" w:space="0" w:color="FFFFFF"/>
            </w:tcBorders>
          </w:tcPr>
          <w:p w14:paraId="682EB68B" w14:textId="576DB9B9" w:rsidR="00C24861" w:rsidRPr="00997F82" w:rsidRDefault="00683E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14</w:t>
            </w:r>
          </w:p>
        </w:tc>
      </w:tr>
      <w:tr w:rsidR="001B7D56" w:rsidRPr="00997F82" w14:paraId="6E23B72A"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0A208650"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Rural PHNs (17 total)</w:t>
            </w:r>
          </w:p>
        </w:tc>
        <w:tc>
          <w:tcPr>
            <w:tcW w:w="1593" w:type="pct"/>
          </w:tcPr>
          <w:p w14:paraId="1CCD656F" w14:textId="3AAEDBEE" w:rsidR="00C24861" w:rsidRPr="00997F82" w:rsidRDefault="003A4FE7"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c>
          <w:tcPr>
            <w:tcW w:w="1755" w:type="pct"/>
          </w:tcPr>
          <w:p w14:paraId="0EB919E9" w14:textId="2C424711" w:rsidR="00C24861" w:rsidRPr="00997F82" w:rsidRDefault="00683E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9</w:t>
            </w:r>
          </w:p>
        </w:tc>
      </w:tr>
      <w:tr w:rsidR="00F5481B" w:rsidRPr="00997F82" w14:paraId="29DB51CE" w14:textId="77777777" w:rsidTr="00674FFE">
        <w:tc>
          <w:tcPr>
            <w:cnfStyle w:val="001000000000" w:firstRow="0" w:lastRow="0" w:firstColumn="1" w:lastColumn="0" w:oddVBand="0" w:evenVBand="0" w:oddHBand="0" w:evenHBand="0" w:firstRowFirstColumn="0" w:firstRowLastColumn="0" w:lastRowFirstColumn="0" w:lastRowLastColumn="0"/>
            <w:tcW w:w="1652" w:type="pct"/>
            <w:shd w:val="clear" w:color="auto" w:fill="E0E1F0"/>
          </w:tcPr>
          <w:p w14:paraId="6B36B6F3" w14:textId="77777777" w:rsidR="00C24861" w:rsidRPr="00997F82" w:rsidRDefault="00C24861" w:rsidP="00C42093">
            <w:pPr>
              <w:kinsoku w:val="0"/>
              <w:overflowPunct w:val="0"/>
              <w:autoSpaceDE w:val="0"/>
              <w:autoSpaceDN w:val="0"/>
              <w:adjustRightInd w:val="0"/>
              <w:snapToGrid w:val="0"/>
              <w:spacing w:line="276" w:lineRule="auto"/>
              <w:rPr>
                <w:rFonts w:eastAsia="MS Mincho"/>
                <w:snapToGrid w:val="0"/>
                <w:color w:val="auto"/>
                <w:lang w:eastAsia="en-US"/>
              </w:rPr>
            </w:pPr>
            <w:r w:rsidRPr="00997F82">
              <w:rPr>
                <w:rFonts w:asciiTheme="majorHAnsi" w:eastAsia="MS Mincho" w:hAnsiTheme="majorHAnsi"/>
                <w:snapToGrid w:val="0"/>
                <w:color w:val="auto"/>
                <w:lang w:eastAsia="en-US"/>
              </w:rPr>
              <w:t>Pilot status</w:t>
            </w:r>
          </w:p>
        </w:tc>
        <w:tc>
          <w:tcPr>
            <w:tcW w:w="1593" w:type="pct"/>
            <w:shd w:val="clear" w:color="auto" w:fill="E0E1F0"/>
          </w:tcPr>
          <w:p w14:paraId="2D156950" w14:textId="77777777" w:rsidR="00C24861" w:rsidRPr="00997F82" w:rsidRDefault="00C248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1755" w:type="pct"/>
            <w:shd w:val="clear" w:color="auto" w:fill="E0E1F0"/>
          </w:tcPr>
          <w:p w14:paraId="2975DE3B" w14:textId="77777777" w:rsidR="00C24861" w:rsidRPr="00997F82" w:rsidRDefault="00C248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r>
      <w:tr w:rsidR="001B7D56" w:rsidRPr="00997F82" w14:paraId="44664EE9"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5DDE138A"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Pilot PHNs (13 total)</w:t>
            </w:r>
          </w:p>
        </w:tc>
        <w:tc>
          <w:tcPr>
            <w:tcW w:w="1593" w:type="pct"/>
          </w:tcPr>
          <w:p w14:paraId="2BA08ED1" w14:textId="7880C2A5" w:rsidR="00C24861" w:rsidRPr="00997F82" w:rsidRDefault="00F00C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c>
          <w:tcPr>
            <w:tcW w:w="1755" w:type="pct"/>
          </w:tcPr>
          <w:p w14:paraId="4993C12A" w14:textId="3487B98B" w:rsidR="00C24861" w:rsidRPr="00997F82" w:rsidRDefault="00683E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11</w:t>
            </w:r>
          </w:p>
        </w:tc>
      </w:tr>
      <w:tr w:rsidR="001B7D56" w:rsidRPr="00997F82" w14:paraId="31783048"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23EE14A4"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Non-pilot PHNs (18 total)</w:t>
            </w:r>
          </w:p>
        </w:tc>
        <w:tc>
          <w:tcPr>
            <w:tcW w:w="1593" w:type="pct"/>
          </w:tcPr>
          <w:p w14:paraId="7F9AA2CD" w14:textId="09BA62C1" w:rsidR="00C24861" w:rsidRPr="00997F82" w:rsidRDefault="00727F05"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8</w:t>
            </w:r>
          </w:p>
        </w:tc>
        <w:tc>
          <w:tcPr>
            <w:tcW w:w="1755" w:type="pct"/>
          </w:tcPr>
          <w:p w14:paraId="6A64A0C2" w14:textId="6EF0502E" w:rsidR="00C24861" w:rsidRPr="00997F82" w:rsidRDefault="00727F05"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r w:rsidR="00683ED8" w:rsidRPr="00997F82">
              <w:rPr>
                <w:rFonts w:eastAsia="MS Mincho"/>
                <w:snapToGrid w:val="0"/>
                <w:color w:val="auto"/>
                <w:lang w:eastAsia="en-US"/>
              </w:rPr>
              <w:t>2</w:t>
            </w:r>
          </w:p>
        </w:tc>
      </w:tr>
      <w:tr w:rsidR="00F5481B" w:rsidRPr="00997F82" w14:paraId="0881A4D2" w14:textId="77777777" w:rsidTr="00674FFE">
        <w:tc>
          <w:tcPr>
            <w:cnfStyle w:val="001000000000" w:firstRow="0" w:lastRow="0" w:firstColumn="1" w:lastColumn="0" w:oddVBand="0" w:evenVBand="0" w:oddHBand="0" w:evenHBand="0" w:firstRowFirstColumn="0" w:firstRowLastColumn="0" w:lastRowFirstColumn="0" w:lastRowLastColumn="0"/>
            <w:tcW w:w="1652" w:type="pct"/>
            <w:shd w:val="clear" w:color="auto" w:fill="E0E1F0"/>
          </w:tcPr>
          <w:p w14:paraId="6AE11305" w14:textId="77777777" w:rsidR="00C24861" w:rsidRPr="00997F82" w:rsidRDefault="00C24861" w:rsidP="00C42093">
            <w:pPr>
              <w:kinsoku w:val="0"/>
              <w:overflowPunct w:val="0"/>
              <w:autoSpaceDE w:val="0"/>
              <w:autoSpaceDN w:val="0"/>
              <w:adjustRightInd w:val="0"/>
              <w:snapToGrid w:val="0"/>
              <w:spacing w:line="276" w:lineRule="auto"/>
              <w:rPr>
                <w:rFonts w:asciiTheme="majorHAnsi" w:eastAsia="MS Mincho" w:hAnsiTheme="majorHAnsi"/>
                <w:snapToGrid w:val="0"/>
                <w:color w:val="auto"/>
                <w:lang w:eastAsia="en-US"/>
              </w:rPr>
            </w:pPr>
            <w:r w:rsidRPr="00997F82">
              <w:rPr>
                <w:rFonts w:asciiTheme="majorHAnsi" w:eastAsia="MS Mincho" w:hAnsiTheme="majorHAnsi"/>
                <w:snapToGrid w:val="0"/>
                <w:color w:val="auto"/>
                <w:lang w:eastAsia="en-US"/>
              </w:rPr>
              <w:t>Jurisdiction</w:t>
            </w:r>
          </w:p>
        </w:tc>
        <w:tc>
          <w:tcPr>
            <w:tcW w:w="1593" w:type="pct"/>
            <w:shd w:val="clear" w:color="auto" w:fill="E0E1F0"/>
          </w:tcPr>
          <w:p w14:paraId="57A390FD" w14:textId="77777777" w:rsidR="00C24861" w:rsidRPr="00997F82" w:rsidRDefault="00C248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1755" w:type="pct"/>
            <w:shd w:val="clear" w:color="auto" w:fill="E0E1F0"/>
          </w:tcPr>
          <w:p w14:paraId="38FE2296" w14:textId="77777777" w:rsidR="00C24861" w:rsidRPr="00997F82" w:rsidRDefault="00C248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r>
      <w:tr w:rsidR="001B7D56" w:rsidRPr="00997F82" w14:paraId="62B2BCF8"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709CB4F9"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snapToGrid w:val="0"/>
                <w:color w:val="auto"/>
                <w:lang w:eastAsia="en-US"/>
              </w:rPr>
            </w:pPr>
            <w:r w:rsidRPr="00997F82">
              <w:rPr>
                <w:rFonts w:eastAsia="MS Mincho"/>
                <w:b w:val="0"/>
                <w:bCs w:val="0"/>
                <w:snapToGrid w:val="0"/>
                <w:color w:val="auto"/>
                <w:lang w:eastAsia="en-US"/>
              </w:rPr>
              <w:t>ACT (1 total)</w:t>
            </w:r>
          </w:p>
        </w:tc>
        <w:tc>
          <w:tcPr>
            <w:tcW w:w="1593" w:type="pct"/>
          </w:tcPr>
          <w:p w14:paraId="46D7A67F" w14:textId="77777777" w:rsidR="00C24861" w:rsidRPr="00997F82" w:rsidRDefault="00C248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1755" w:type="pct"/>
          </w:tcPr>
          <w:p w14:paraId="5A1B41A8" w14:textId="77777777" w:rsidR="00C24861" w:rsidRPr="00997F82" w:rsidRDefault="00C248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1B7D56" w:rsidRPr="00997F82" w14:paraId="13F4A55F"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7E08685B"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snapToGrid w:val="0"/>
                <w:color w:val="auto"/>
                <w:lang w:eastAsia="en-US"/>
              </w:rPr>
            </w:pPr>
            <w:r w:rsidRPr="00997F82">
              <w:rPr>
                <w:rFonts w:eastAsia="MS Mincho"/>
                <w:b w:val="0"/>
                <w:bCs w:val="0"/>
                <w:snapToGrid w:val="0"/>
                <w:color w:val="auto"/>
                <w:lang w:eastAsia="en-US"/>
              </w:rPr>
              <w:t>NSW (10 total)</w:t>
            </w:r>
          </w:p>
        </w:tc>
        <w:tc>
          <w:tcPr>
            <w:tcW w:w="1593" w:type="pct"/>
          </w:tcPr>
          <w:p w14:paraId="23986B56" w14:textId="2F4A47FC" w:rsidR="00C24861" w:rsidRPr="00997F82" w:rsidRDefault="00F00C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c>
          <w:tcPr>
            <w:tcW w:w="1755" w:type="pct"/>
          </w:tcPr>
          <w:p w14:paraId="295A9AE2" w14:textId="62B6FA46" w:rsidR="00C24861" w:rsidRPr="00997F82" w:rsidRDefault="00683E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11</w:t>
            </w:r>
          </w:p>
        </w:tc>
      </w:tr>
      <w:tr w:rsidR="001B7D56" w:rsidRPr="00997F82" w14:paraId="15BFB1F2"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2B78FC1D"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snapToGrid w:val="0"/>
                <w:color w:val="auto"/>
                <w:lang w:eastAsia="en-US"/>
              </w:rPr>
            </w:pPr>
            <w:r w:rsidRPr="00997F82">
              <w:rPr>
                <w:rFonts w:eastAsia="MS Mincho"/>
                <w:b w:val="0"/>
                <w:bCs w:val="0"/>
                <w:snapToGrid w:val="0"/>
                <w:color w:val="auto"/>
                <w:lang w:eastAsia="en-US"/>
              </w:rPr>
              <w:t>NT (1 total)</w:t>
            </w:r>
          </w:p>
        </w:tc>
        <w:tc>
          <w:tcPr>
            <w:tcW w:w="1593" w:type="pct"/>
          </w:tcPr>
          <w:p w14:paraId="5B6CACC4" w14:textId="68005CDC" w:rsidR="00C24861" w:rsidRPr="00997F82" w:rsidRDefault="00431A96"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1755" w:type="pct"/>
          </w:tcPr>
          <w:p w14:paraId="732CB8F0" w14:textId="5C33A388" w:rsidR="00C24861" w:rsidRPr="00997F82" w:rsidRDefault="00431A96"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r>
      <w:tr w:rsidR="001B7D56" w:rsidRPr="00997F82" w14:paraId="66919B8B"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761A53F9"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snapToGrid w:val="0"/>
                <w:color w:val="auto"/>
                <w:lang w:eastAsia="en-US"/>
              </w:rPr>
            </w:pPr>
            <w:r w:rsidRPr="00997F82">
              <w:rPr>
                <w:rFonts w:eastAsia="MS Mincho"/>
                <w:b w:val="0"/>
                <w:bCs w:val="0"/>
                <w:snapToGrid w:val="0"/>
                <w:color w:val="auto"/>
                <w:lang w:eastAsia="en-US"/>
              </w:rPr>
              <w:t>QLD (7 total)</w:t>
            </w:r>
          </w:p>
        </w:tc>
        <w:tc>
          <w:tcPr>
            <w:tcW w:w="1593" w:type="pct"/>
          </w:tcPr>
          <w:p w14:paraId="6B146719" w14:textId="6F729C2E" w:rsidR="00C24861" w:rsidRPr="00997F82" w:rsidRDefault="00F00C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c>
          <w:tcPr>
            <w:tcW w:w="1755" w:type="pct"/>
          </w:tcPr>
          <w:p w14:paraId="08C41CCD" w14:textId="03EB4579" w:rsidR="00C24861" w:rsidRPr="00997F82" w:rsidRDefault="00683E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r>
      <w:tr w:rsidR="001B7D56" w:rsidRPr="00997F82" w14:paraId="6F5F62AA"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7B0910BD"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snapToGrid w:val="0"/>
                <w:color w:val="auto"/>
                <w:lang w:eastAsia="en-US"/>
              </w:rPr>
            </w:pPr>
            <w:r w:rsidRPr="00997F82">
              <w:rPr>
                <w:rFonts w:eastAsia="MS Mincho"/>
                <w:b w:val="0"/>
                <w:bCs w:val="0"/>
                <w:snapToGrid w:val="0"/>
                <w:color w:val="auto"/>
                <w:lang w:eastAsia="en-US"/>
              </w:rPr>
              <w:t>SA (2 total)</w:t>
            </w:r>
          </w:p>
        </w:tc>
        <w:tc>
          <w:tcPr>
            <w:tcW w:w="1593" w:type="pct"/>
          </w:tcPr>
          <w:p w14:paraId="25D41C6C" w14:textId="640339DD" w:rsidR="00C24861" w:rsidRPr="00997F82" w:rsidRDefault="00F00C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c>
          <w:tcPr>
            <w:tcW w:w="1755" w:type="pct"/>
          </w:tcPr>
          <w:p w14:paraId="55531527" w14:textId="49F7DDBA" w:rsidR="00C24861" w:rsidRPr="00997F82" w:rsidRDefault="00683ED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r>
      <w:tr w:rsidR="001B7D56" w:rsidRPr="00997F82" w14:paraId="50631F57"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39590A5F"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TAS (1 total)</w:t>
            </w:r>
          </w:p>
        </w:tc>
        <w:tc>
          <w:tcPr>
            <w:tcW w:w="1593" w:type="pct"/>
          </w:tcPr>
          <w:p w14:paraId="27EFA6AB" w14:textId="77777777" w:rsidR="00C24861" w:rsidRPr="00997F82" w:rsidRDefault="00C248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1755" w:type="pct"/>
          </w:tcPr>
          <w:p w14:paraId="2FD9C4E4" w14:textId="77777777" w:rsidR="00C24861" w:rsidRPr="00997F82" w:rsidRDefault="00C248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1B7D56" w:rsidRPr="00997F82" w14:paraId="5FA60495"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05B63582" w14:textId="77777777" w:rsidR="00C24861" w:rsidRPr="00997F82" w:rsidRDefault="00C24861"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VIC (6 total)</w:t>
            </w:r>
          </w:p>
        </w:tc>
        <w:tc>
          <w:tcPr>
            <w:tcW w:w="1593" w:type="pct"/>
          </w:tcPr>
          <w:p w14:paraId="3A2F7B18" w14:textId="18A90E02" w:rsidR="00C24861" w:rsidRPr="00997F82" w:rsidRDefault="00554B96"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c>
          <w:tcPr>
            <w:tcW w:w="1755" w:type="pct"/>
          </w:tcPr>
          <w:p w14:paraId="4A920A68" w14:textId="77777777" w:rsidR="00C24861" w:rsidRPr="00997F82" w:rsidRDefault="00C248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r>
      <w:tr w:rsidR="001B7D56" w:rsidRPr="00997F82" w14:paraId="7210282B" w14:textId="77777777" w:rsidTr="00674FFE">
        <w:tc>
          <w:tcPr>
            <w:cnfStyle w:val="001000000000" w:firstRow="0" w:lastRow="0" w:firstColumn="1" w:lastColumn="0" w:oddVBand="0" w:evenVBand="0" w:oddHBand="0" w:evenHBand="0" w:firstRowFirstColumn="0" w:firstRowLastColumn="0" w:lastRowFirstColumn="0" w:lastRowLastColumn="0"/>
            <w:tcW w:w="1652" w:type="pct"/>
          </w:tcPr>
          <w:p w14:paraId="7F0AA8EF" w14:textId="24383E1F" w:rsidR="00C24861" w:rsidRPr="00997F82" w:rsidRDefault="00C24861"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WA (3</w:t>
            </w:r>
            <w:r w:rsidR="003B7F1F" w:rsidRPr="00997F82">
              <w:rPr>
                <w:rFonts w:eastAsia="MS Mincho"/>
                <w:b w:val="0"/>
                <w:bCs w:val="0"/>
                <w:snapToGrid w:val="0"/>
                <w:color w:val="auto"/>
                <w:lang w:eastAsia="en-US"/>
              </w:rPr>
              <w:t>*</w:t>
            </w:r>
            <w:r w:rsidRPr="00997F82">
              <w:rPr>
                <w:rFonts w:eastAsia="MS Mincho"/>
                <w:b w:val="0"/>
                <w:bCs w:val="0"/>
                <w:snapToGrid w:val="0"/>
                <w:color w:val="auto"/>
                <w:lang w:eastAsia="en-US"/>
              </w:rPr>
              <w:t xml:space="preserve"> total)</w:t>
            </w:r>
          </w:p>
        </w:tc>
        <w:tc>
          <w:tcPr>
            <w:tcW w:w="1593" w:type="pct"/>
          </w:tcPr>
          <w:p w14:paraId="56FFCCBD" w14:textId="721851D0" w:rsidR="00C24861" w:rsidRPr="00997F82" w:rsidRDefault="00CC529A"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1755" w:type="pct"/>
          </w:tcPr>
          <w:p w14:paraId="2E5E4880" w14:textId="14BF8AD3" w:rsidR="00C24861" w:rsidRPr="00997F82" w:rsidRDefault="00554B96"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r>
    </w:tbl>
    <w:p w14:paraId="70E1F95F" w14:textId="149E8AEA" w:rsidR="00C24861" w:rsidRPr="00997F82" w:rsidRDefault="003B7F1F" w:rsidP="00F85C59">
      <w:pPr>
        <w:rPr>
          <w:sz w:val="16"/>
          <w:szCs w:val="16"/>
        </w:rPr>
      </w:pPr>
      <w:r w:rsidRPr="00997F82">
        <w:rPr>
          <w:sz w:val="16"/>
          <w:szCs w:val="16"/>
        </w:rPr>
        <w:t>*WA operates 1 organisation as an alliance of 3 PHN regions, the Western Australian Primary Health Alliance.</w:t>
      </w:r>
    </w:p>
    <w:p w14:paraId="0E2EBE3D" w14:textId="2947BBB3" w:rsidR="00C24861" w:rsidRPr="00997F82" w:rsidRDefault="00C24861" w:rsidP="00C24861">
      <w:pPr>
        <w:spacing w:after="120"/>
      </w:pPr>
      <w:r w:rsidRPr="00997F82">
        <w:t>Activities in this category focus</w:t>
      </w:r>
      <w:r w:rsidR="00C7675D" w:rsidRPr="00997F82">
        <w:t>ed</w:t>
      </w:r>
      <w:r w:rsidRPr="00997F82">
        <w:t xml:space="preserve"> on:</w:t>
      </w:r>
    </w:p>
    <w:p w14:paraId="3244F46A" w14:textId="072F7DA0" w:rsidR="00C24861" w:rsidRPr="00997F82" w:rsidRDefault="00C24861" w:rsidP="006950EE">
      <w:pPr>
        <w:pStyle w:val="ListBullet"/>
      </w:pPr>
      <w:r w:rsidRPr="00997F82">
        <w:t xml:space="preserve">Increasing </w:t>
      </w:r>
      <w:r w:rsidR="006C5CDE" w:rsidRPr="00997F82">
        <w:t xml:space="preserve">cultural competency </w:t>
      </w:r>
      <w:r w:rsidR="00E143D3" w:rsidRPr="00997F82">
        <w:t xml:space="preserve">and skills </w:t>
      </w:r>
      <w:r w:rsidR="006C5CDE" w:rsidRPr="00997F82">
        <w:t xml:space="preserve">for health providers working with </w:t>
      </w:r>
      <w:r w:rsidR="00CA1A27" w:rsidRPr="00997F82">
        <w:t>First Nation communities.</w:t>
      </w:r>
      <w:r w:rsidR="006C5CDE" w:rsidRPr="00997F82">
        <w:t xml:space="preserve"> </w:t>
      </w:r>
    </w:p>
    <w:p w14:paraId="6FA1707B" w14:textId="1DEA6E56" w:rsidR="0048126B" w:rsidRPr="00997F82" w:rsidRDefault="006C5CDE" w:rsidP="006950EE">
      <w:pPr>
        <w:pStyle w:val="ListBullet"/>
      </w:pPr>
      <w:r w:rsidRPr="00997F82">
        <w:t xml:space="preserve">Increasing </w:t>
      </w:r>
      <w:r w:rsidR="0048126B" w:rsidRPr="00997F82">
        <w:t>ACP knowledge</w:t>
      </w:r>
      <w:r w:rsidR="00B62F54" w:rsidRPr="00997F82">
        <w:t xml:space="preserve"> and self-empowerment</w:t>
      </w:r>
      <w:r w:rsidR="0048126B" w:rsidRPr="00997F82">
        <w:t xml:space="preserve"> for </w:t>
      </w:r>
      <w:r w:rsidR="004A02DB" w:rsidRPr="00997F82">
        <w:t>underserved</w:t>
      </w:r>
      <w:r w:rsidR="0048126B" w:rsidRPr="00997F82">
        <w:t xml:space="preserve"> communities in their region</w:t>
      </w:r>
      <w:r w:rsidR="00880269" w:rsidRPr="00997F82">
        <w:t>, for example</w:t>
      </w:r>
      <w:r w:rsidR="00856388" w:rsidRPr="00997F82">
        <w:t xml:space="preserve"> First Nations,</w:t>
      </w:r>
      <w:r w:rsidR="00880269" w:rsidRPr="00997F82">
        <w:t xml:space="preserve"> LGBTIQ+, CALD</w:t>
      </w:r>
      <w:r w:rsidR="00305C65" w:rsidRPr="00997F82">
        <w:t xml:space="preserve">, or </w:t>
      </w:r>
      <w:r w:rsidR="00EF1428" w:rsidRPr="00997F82">
        <w:t>c</w:t>
      </w:r>
      <w:r w:rsidR="00305C65" w:rsidRPr="00997F82">
        <w:t xml:space="preserve">are </w:t>
      </w:r>
      <w:r w:rsidR="00EF1428" w:rsidRPr="00997F82">
        <w:t>l</w:t>
      </w:r>
      <w:r w:rsidR="00305C65" w:rsidRPr="00997F82">
        <w:t>eavers</w:t>
      </w:r>
      <w:r w:rsidR="00C83511" w:rsidRPr="00997F82">
        <w:t>.</w:t>
      </w:r>
      <w:r w:rsidR="0048126B" w:rsidRPr="00997F82">
        <w:t xml:space="preserve"> </w:t>
      </w:r>
    </w:p>
    <w:p w14:paraId="2B177D52" w14:textId="102D670E" w:rsidR="006C5CDE" w:rsidRPr="00997F82" w:rsidRDefault="0048126B" w:rsidP="006950EE">
      <w:pPr>
        <w:pStyle w:val="ListBullet"/>
      </w:pPr>
      <w:r w:rsidRPr="00997F82">
        <w:t>D</w:t>
      </w:r>
      <w:r w:rsidR="00E143D3" w:rsidRPr="00997F82">
        <w:t xml:space="preserve">eveloping </w:t>
      </w:r>
      <w:r w:rsidRPr="00997F82">
        <w:t xml:space="preserve">culturally </w:t>
      </w:r>
      <w:r w:rsidR="00E143D3" w:rsidRPr="00997F82">
        <w:t>appropriate</w:t>
      </w:r>
      <w:r w:rsidRPr="00997F82">
        <w:t>, easy-</w:t>
      </w:r>
      <w:r w:rsidR="00ED1FF0" w:rsidRPr="00997F82">
        <w:t>to-</w:t>
      </w:r>
      <w:r w:rsidRPr="00997F82">
        <w:t>read</w:t>
      </w:r>
      <w:r w:rsidR="00E143D3" w:rsidRPr="00997F82">
        <w:t xml:space="preserve"> and translated palliative care resources</w:t>
      </w:r>
      <w:r w:rsidR="00F7254A" w:rsidRPr="00997F82">
        <w:t xml:space="preserve"> for workforces and community</w:t>
      </w:r>
      <w:r w:rsidR="00E143D3" w:rsidRPr="00997F82">
        <w:t>.</w:t>
      </w:r>
    </w:p>
    <w:p w14:paraId="472753EC" w14:textId="647CE9B2" w:rsidR="00E143D3" w:rsidRPr="00997F82" w:rsidRDefault="00F54EC2" w:rsidP="006950EE">
      <w:pPr>
        <w:pStyle w:val="ListBullet"/>
      </w:pPr>
      <w:r w:rsidRPr="00997F82">
        <w:t>Increasing</w:t>
      </w:r>
      <w:r w:rsidR="0090030C" w:rsidRPr="00997F82">
        <w:t xml:space="preserve"> </w:t>
      </w:r>
      <w:r w:rsidR="00F7254A" w:rsidRPr="00997F82">
        <w:t xml:space="preserve">workforce </w:t>
      </w:r>
      <w:r w:rsidR="0090030C" w:rsidRPr="00997F82">
        <w:t>capacity and awareness for dementia and dementia</w:t>
      </w:r>
      <w:r w:rsidR="00737655" w:rsidRPr="00997F82">
        <w:t>-</w:t>
      </w:r>
      <w:r w:rsidR="0090030C" w:rsidRPr="00997F82">
        <w:t>related palliative care services.</w:t>
      </w:r>
    </w:p>
    <w:p w14:paraId="2073D8BC" w14:textId="3062252A" w:rsidR="006558E4" w:rsidRPr="00997F82" w:rsidRDefault="00C24861" w:rsidP="006950EE">
      <w:pPr>
        <w:pStyle w:val="ListBullet"/>
      </w:pPr>
      <w:r w:rsidRPr="00997F82">
        <w:t xml:space="preserve">Improving </w:t>
      </w:r>
      <w:r w:rsidR="00CC39B0" w:rsidRPr="00997F82">
        <w:t xml:space="preserve">services and resources available for people with </w:t>
      </w:r>
      <w:r w:rsidR="00856388" w:rsidRPr="00997F82">
        <w:t>disabilities</w:t>
      </w:r>
      <w:r w:rsidR="00CC39B0" w:rsidRPr="00997F82">
        <w:t xml:space="preserve">, </w:t>
      </w:r>
      <w:r w:rsidR="00B62F54" w:rsidRPr="00997F82">
        <w:t xml:space="preserve">including deaf populations, </w:t>
      </w:r>
      <w:r w:rsidR="00D778C1" w:rsidRPr="00997F82">
        <w:t xml:space="preserve">those </w:t>
      </w:r>
      <w:r w:rsidR="00B62F54" w:rsidRPr="00997F82">
        <w:t>hard of hearing</w:t>
      </w:r>
      <w:r w:rsidR="00D778C1" w:rsidRPr="00997F82">
        <w:t>,</w:t>
      </w:r>
      <w:r w:rsidR="00B62F54" w:rsidRPr="00997F82">
        <w:t xml:space="preserve"> </w:t>
      </w:r>
      <w:r w:rsidR="00F54EC2" w:rsidRPr="00997F82">
        <w:t>and</w:t>
      </w:r>
      <w:r w:rsidR="00B62F54" w:rsidRPr="00997F82">
        <w:t xml:space="preserve"> those with sensory impairments.</w:t>
      </w:r>
    </w:p>
    <w:p w14:paraId="39796944" w14:textId="3F413FE6" w:rsidR="00F733E5" w:rsidRPr="00997F82" w:rsidRDefault="001F2486" w:rsidP="006950EE">
      <w:pPr>
        <w:pStyle w:val="Heading3"/>
      </w:pPr>
      <w:r w:rsidRPr="00997F82">
        <w:t>Activity example</w:t>
      </w:r>
      <w:r w:rsidR="00F733E5" w:rsidRPr="00997F82">
        <w:t>:</w:t>
      </w:r>
    </w:p>
    <w:tbl>
      <w:tblPr>
        <w:tblStyle w:val="TableGrid"/>
        <w:tblW w:w="9139" w:type="dxa"/>
        <w:tblLook w:val="04A0" w:firstRow="1" w:lastRow="0" w:firstColumn="1" w:lastColumn="0" w:noHBand="0" w:noVBand="1"/>
      </w:tblPr>
      <w:tblGrid>
        <w:gridCol w:w="4356"/>
        <w:gridCol w:w="4783"/>
      </w:tblGrid>
      <w:tr w:rsidR="00F733E5" w:rsidRPr="00997F82" w14:paraId="75735495" w14:textId="77777777" w:rsidTr="0088712F">
        <w:trPr>
          <w:cnfStyle w:val="100000000000" w:firstRow="1" w:lastRow="0" w:firstColumn="0" w:lastColumn="0" w:oddVBand="0" w:evenVBand="0" w:oddHBand="0" w:evenHBand="0" w:firstRowFirstColumn="0" w:firstRowLastColumn="0" w:lastRowFirstColumn="0" w:lastRowLastColumn="0"/>
          <w:trHeight w:val="351"/>
          <w:tblHeader/>
        </w:trPr>
        <w:tc>
          <w:tcPr>
            <w:cnfStyle w:val="001000000000" w:firstRow="0" w:lastRow="0" w:firstColumn="1" w:lastColumn="0" w:oddVBand="0" w:evenVBand="0" w:oddHBand="0" w:evenHBand="0" w:firstRowFirstColumn="0" w:firstRowLastColumn="0" w:lastRowFirstColumn="0" w:lastRowLastColumn="0"/>
            <w:tcW w:w="9139" w:type="dxa"/>
            <w:gridSpan w:val="2"/>
          </w:tcPr>
          <w:p w14:paraId="01C81FA9" w14:textId="138372B9" w:rsidR="00F733E5" w:rsidRPr="00997F82" w:rsidRDefault="009F6B56" w:rsidP="00984522">
            <w:pPr>
              <w:pStyle w:val="TableHeader"/>
              <w:rPr>
                <w:color w:val="FFFFFF" w:themeColor="background1"/>
                <w:szCs w:val="20"/>
                <w:lang w:val="en-GB"/>
              </w:rPr>
            </w:pPr>
            <w:r w:rsidRPr="00997F82">
              <w:rPr>
                <w:color w:val="FFFFFF" w:themeColor="background1"/>
                <w:szCs w:val="20"/>
                <w:lang w:val="en-GB"/>
              </w:rPr>
              <w:t>Brisbane North PHN</w:t>
            </w:r>
            <w:r w:rsidR="0090240D" w:rsidRPr="00997F82">
              <w:rPr>
                <w:color w:val="FFFFFF" w:themeColor="background1"/>
                <w:szCs w:val="20"/>
                <w:lang w:val="en-GB"/>
              </w:rPr>
              <w:t xml:space="preserve"> – </w:t>
            </w:r>
            <w:r w:rsidRPr="00997F82">
              <w:rPr>
                <w:color w:val="FFFFFF" w:themeColor="background1"/>
                <w:szCs w:val="20"/>
                <w:lang w:val="en-GB"/>
              </w:rPr>
              <w:t>Disability Action Plan</w:t>
            </w:r>
          </w:p>
        </w:tc>
      </w:tr>
      <w:tr w:rsidR="00F733E5" w:rsidRPr="00997F82" w14:paraId="186F0B65" w14:textId="77777777" w:rsidTr="0088712F">
        <w:trPr>
          <w:trHeight w:val="3154"/>
        </w:trPr>
        <w:tc>
          <w:tcPr>
            <w:cnfStyle w:val="001000000000" w:firstRow="0" w:lastRow="0" w:firstColumn="1" w:lastColumn="0" w:oddVBand="0" w:evenVBand="0" w:oddHBand="0" w:evenHBand="0" w:firstRowFirstColumn="0" w:firstRowLastColumn="0" w:lastRowFirstColumn="0" w:lastRowLastColumn="0"/>
            <w:tcW w:w="4356" w:type="dxa"/>
          </w:tcPr>
          <w:p w14:paraId="6AA873F3" w14:textId="453D34B2" w:rsidR="009F6B56" w:rsidRPr="006950EE" w:rsidRDefault="009F6B56" w:rsidP="006950EE">
            <w:pPr>
              <w:pStyle w:val="TableText"/>
              <w:rPr>
                <w:rFonts w:asciiTheme="majorHAnsi" w:hAnsiTheme="majorHAnsi"/>
                <w:color w:val="auto"/>
                <w:lang w:val="en-GB"/>
              </w:rPr>
            </w:pPr>
            <w:r w:rsidRPr="00997F82">
              <w:rPr>
                <w:rFonts w:asciiTheme="majorHAnsi" w:hAnsiTheme="majorHAnsi"/>
                <w:color w:val="auto"/>
                <w:lang w:val="en-GB"/>
              </w:rPr>
              <w:t>BNPHN have developed and are implementing a Disability Action Plan to improve access to at home palliative care for people living with disability</w:t>
            </w:r>
            <w:r w:rsidR="00490458" w:rsidRPr="00997F82">
              <w:rPr>
                <w:rFonts w:asciiTheme="majorHAnsi" w:hAnsiTheme="majorHAnsi"/>
                <w:color w:val="auto"/>
                <w:lang w:val="en-GB"/>
              </w:rPr>
              <w:t>.</w:t>
            </w:r>
            <w:r w:rsidRPr="00997F82">
              <w:rPr>
                <w:rFonts w:asciiTheme="majorHAnsi" w:hAnsiTheme="majorHAnsi"/>
                <w:color w:val="auto"/>
                <w:lang w:val="en-GB"/>
              </w:rPr>
              <w:t xml:space="preserve"> </w:t>
            </w:r>
          </w:p>
          <w:p w14:paraId="6BD5A0F4" w14:textId="2A006487" w:rsidR="009F6B56" w:rsidRPr="00997F82" w:rsidRDefault="00020AD6" w:rsidP="00D23625">
            <w:pPr>
              <w:pStyle w:val="TableText"/>
              <w:rPr>
                <w:rFonts w:asciiTheme="minorHAnsi" w:hAnsiTheme="minorHAnsi" w:cs="Arial"/>
                <w:szCs w:val="20"/>
                <w:lang w:val="en-GB"/>
              </w:rPr>
            </w:pPr>
            <w:r w:rsidRPr="00997F82">
              <w:rPr>
                <w:rFonts w:asciiTheme="minorHAnsi" w:hAnsiTheme="minorHAnsi"/>
                <w:color w:val="auto"/>
                <w:szCs w:val="20"/>
                <w:lang w:val="en-GB"/>
              </w:rPr>
              <w:t xml:space="preserve">After a </w:t>
            </w:r>
            <w:r w:rsidR="001252C5" w:rsidRPr="00997F82">
              <w:rPr>
                <w:rFonts w:asciiTheme="minorHAnsi" w:hAnsiTheme="minorHAnsi"/>
                <w:color w:val="auto"/>
                <w:szCs w:val="20"/>
                <w:lang w:val="en-GB"/>
              </w:rPr>
              <w:t>10-month</w:t>
            </w:r>
            <w:r w:rsidRPr="00997F82">
              <w:rPr>
                <w:rFonts w:asciiTheme="minorHAnsi" w:hAnsiTheme="minorHAnsi"/>
                <w:color w:val="auto"/>
                <w:szCs w:val="20"/>
                <w:lang w:val="en-GB"/>
              </w:rPr>
              <w:t xml:space="preserve"> consultation process, key progress on this activity include</w:t>
            </w:r>
            <w:r w:rsidR="00231E6C" w:rsidRPr="00997F82">
              <w:rPr>
                <w:rFonts w:asciiTheme="minorHAnsi" w:hAnsiTheme="minorHAnsi"/>
                <w:color w:val="auto"/>
                <w:szCs w:val="20"/>
                <w:lang w:val="en-GB"/>
              </w:rPr>
              <w:t>d</w:t>
            </w:r>
            <w:r w:rsidRPr="00997F82">
              <w:rPr>
                <w:rFonts w:asciiTheme="minorHAnsi" w:hAnsiTheme="minorHAnsi"/>
                <w:color w:val="auto"/>
                <w:szCs w:val="20"/>
                <w:lang w:val="en-GB"/>
              </w:rPr>
              <w:t xml:space="preserve"> developing </w:t>
            </w:r>
            <w:r w:rsidR="009F6B56" w:rsidRPr="00997F82">
              <w:rPr>
                <w:rFonts w:asciiTheme="minorHAnsi" w:hAnsiTheme="minorHAnsi"/>
                <w:color w:val="auto"/>
                <w:szCs w:val="20"/>
                <w:lang w:val="en-GB"/>
              </w:rPr>
              <w:t>a disability knowledge framework</w:t>
            </w:r>
            <w:r w:rsidR="00650E58" w:rsidRPr="00997F82">
              <w:rPr>
                <w:rFonts w:asciiTheme="minorHAnsi" w:hAnsiTheme="minorHAnsi"/>
                <w:color w:val="auto"/>
                <w:szCs w:val="20"/>
                <w:lang w:val="en-GB"/>
              </w:rPr>
              <w:t xml:space="preserve"> for health professionals</w:t>
            </w:r>
            <w:r w:rsidR="009F6B56" w:rsidRPr="00997F82">
              <w:rPr>
                <w:rFonts w:asciiTheme="minorHAnsi" w:hAnsiTheme="minorHAnsi"/>
                <w:color w:val="auto"/>
                <w:szCs w:val="20"/>
                <w:lang w:val="en-GB"/>
              </w:rPr>
              <w:t xml:space="preserve"> </w:t>
            </w:r>
            <w:r w:rsidR="00650E58" w:rsidRPr="00997F82">
              <w:rPr>
                <w:rFonts w:asciiTheme="minorHAnsi" w:hAnsiTheme="minorHAnsi"/>
                <w:color w:val="auto"/>
                <w:szCs w:val="20"/>
                <w:lang w:val="en-GB"/>
              </w:rPr>
              <w:t xml:space="preserve">to identify gaps in </w:t>
            </w:r>
            <w:r w:rsidR="00490458" w:rsidRPr="00997F82">
              <w:rPr>
                <w:rFonts w:asciiTheme="minorHAnsi" w:hAnsiTheme="minorHAnsi"/>
                <w:color w:val="auto"/>
                <w:szCs w:val="20"/>
                <w:lang w:val="en-GB"/>
              </w:rPr>
              <w:t>knowledge</w:t>
            </w:r>
            <w:r w:rsidR="00F71D3E" w:rsidRPr="00997F82">
              <w:rPr>
                <w:rFonts w:asciiTheme="minorHAnsi" w:hAnsiTheme="minorHAnsi"/>
                <w:color w:val="auto"/>
                <w:szCs w:val="20"/>
                <w:lang w:val="en-GB"/>
              </w:rPr>
              <w:t>,</w:t>
            </w:r>
            <w:r w:rsidR="00490458" w:rsidRPr="00997F82">
              <w:rPr>
                <w:rFonts w:asciiTheme="minorHAnsi" w:hAnsiTheme="minorHAnsi"/>
                <w:color w:val="auto"/>
                <w:szCs w:val="20"/>
                <w:lang w:val="en-GB"/>
              </w:rPr>
              <w:t xml:space="preserve"> </w:t>
            </w:r>
            <w:r w:rsidR="00F7254A" w:rsidRPr="00997F82">
              <w:rPr>
                <w:rFonts w:asciiTheme="minorHAnsi" w:hAnsiTheme="minorHAnsi"/>
                <w:color w:val="auto"/>
                <w:szCs w:val="20"/>
                <w:lang w:val="en-GB"/>
              </w:rPr>
              <w:t>share existing resources and</w:t>
            </w:r>
            <w:r w:rsidR="00650E58" w:rsidRPr="00997F82">
              <w:rPr>
                <w:rFonts w:asciiTheme="minorHAnsi" w:hAnsiTheme="minorHAnsi"/>
                <w:color w:val="auto"/>
                <w:szCs w:val="20"/>
                <w:lang w:val="en-GB"/>
              </w:rPr>
              <w:t xml:space="preserve"> information</w:t>
            </w:r>
            <w:r w:rsidR="00F71D3E" w:rsidRPr="00997F82">
              <w:rPr>
                <w:rFonts w:asciiTheme="minorHAnsi" w:hAnsiTheme="minorHAnsi"/>
                <w:color w:val="auto"/>
                <w:szCs w:val="20"/>
                <w:lang w:val="en-GB"/>
              </w:rPr>
              <w:t>, and</w:t>
            </w:r>
            <w:r w:rsidR="00650E58" w:rsidRPr="00997F82">
              <w:rPr>
                <w:rFonts w:asciiTheme="minorHAnsi" w:hAnsiTheme="minorHAnsi"/>
                <w:color w:val="auto"/>
                <w:szCs w:val="20"/>
                <w:lang w:val="en-GB"/>
              </w:rPr>
              <w:t xml:space="preserve"> to build knowledge and </w:t>
            </w:r>
            <w:r w:rsidR="00F71D3E" w:rsidRPr="00997F82">
              <w:rPr>
                <w:rFonts w:asciiTheme="minorHAnsi" w:hAnsiTheme="minorHAnsi"/>
                <w:color w:val="auto"/>
                <w:szCs w:val="20"/>
                <w:lang w:val="en-GB"/>
              </w:rPr>
              <w:t>networks</w:t>
            </w:r>
            <w:r w:rsidR="00650E58" w:rsidRPr="00997F82">
              <w:rPr>
                <w:rFonts w:asciiTheme="minorHAnsi" w:hAnsiTheme="minorHAnsi"/>
                <w:color w:val="auto"/>
                <w:szCs w:val="20"/>
                <w:lang w:val="en-GB"/>
              </w:rPr>
              <w:t>.</w:t>
            </w:r>
            <w:r w:rsidR="009F6B56" w:rsidRPr="00997F82">
              <w:rPr>
                <w:rFonts w:asciiTheme="minorHAnsi" w:hAnsiTheme="minorHAnsi"/>
                <w:color w:val="auto"/>
                <w:szCs w:val="20"/>
                <w:lang w:val="en-GB"/>
              </w:rPr>
              <w:t xml:space="preserve"> </w:t>
            </w:r>
          </w:p>
        </w:tc>
        <w:tc>
          <w:tcPr>
            <w:tcW w:w="4783" w:type="dxa"/>
          </w:tcPr>
          <w:p w14:paraId="7D8CAA52" w14:textId="6F3CD727" w:rsidR="00F733E5" w:rsidRPr="00997F82" w:rsidRDefault="00E26BE3" w:rsidP="00C42093">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0"/>
                <w:lang w:val="en-GB"/>
              </w:rPr>
            </w:pPr>
            <w:r w:rsidRPr="00997F82">
              <w:rPr>
                <w:rFonts w:asciiTheme="minorHAnsi" w:hAnsiTheme="minorHAnsi" w:cs="Arial"/>
                <w:noProof/>
                <w:szCs w:val="20"/>
                <w:lang w:val="en-GB"/>
              </w:rPr>
              <w:drawing>
                <wp:inline distT="0" distB="0" distL="0" distR="0" wp14:anchorId="5C933B94" wp14:editId="4354D234">
                  <wp:extent cx="2878335" cy="2156346"/>
                  <wp:effectExtent l="0" t="0" r="0" b="0"/>
                  <wp:docPr id="2129312163" name="Picture 4" descr="The logo of North Brisbane PHN, it is all words in dark blue text that read PHN Brisbane North, An Australian Government Initi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12163" name="Picture 4" descr="The logo of North Brisbane PHN, it is all words in dark blue text that read PHN Brisbane North, An Australian Government Initiative">
                            <a:extLst>
                              <a:ext uri="{C183D7F6-B498-43B3-948B-1728B52AA6E4}">
                                <adec:decorative xmlns:adec="http://schemas.microsoft.com/office/drawing/2017/decorative" val="0"/>
                              </a:ext>
                            </a:extLst>
                          </pic:cNvP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63"/>
                          <a:stretch/>
                        </pic:blipFill>
                        <pic:spPr bwMode="auto">
                          <a:xfrm>
                            <a:off x="0" y="0"/>
                            <a:ext cx="2880000" cy="215759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12F175" w14:textId="46BF2DFB" w:rsidR="03DCCFB2" w:rsidRPr="00997F82" w:rsidRDefault="000A5B6A" w:rsidP="00277D66">
      <w:pPr>
        <w:pStyle w:val="Heading2"/>
      </w:pPr>
      <w:r w:rsidRPr="00997F82">
        <w:t>Coordination and integration</w:t>
      </w:r>
    </w:p>
    <w:p w14:paraId="07162EE0" w14:textId="68DE625D" w:rsidR="002835A3" w:rsidRPr="00997F82" w:rsidRDefault="007B6ACD" w:rsidP="00F733E5">
      <w:r w:rsidRPr="00997F82">
        <w:t>D</w:t>
      </w:r>
      <w:r w:rsidR="00F733E5" w:rsidRPr="00997F82">
        <w:t>uring consultations and focus groups</w:t>
      </w:r>
      <w:r w:rsidRPr="00997F82">
        <w:t>,</w:t>
      </w:r>
      <w:r w:rsidR="00856388" w:rsidRPr="00997F82">
        <w:t xml:space="preserve"> </w:t>
      </w:r>
      <w:r w:rsidR="007F352D" w:rsidRPr="00997F82">
        <w:t xml:space="preserve">stakeholders </w:t>
      </w:r>
      <w:r w:rsidR="00F733E5" w:rsidRPr="00997F82">
        <w:t>indicate</w:t>
      </w:r>
      <w:r w:rsidRPr="00997F82">
        <w:t>d</w:t>
      </w:r>
      <w:r w:rsidR="00F733E5" w:rsidRPr="00997F82">
        <w:t xml:space="preserve"> </w:t>
      </w:r>
      <w:r w:rsidR="007F352D" w:rsidRPr="00997F82">
        <w:t>that PHNs play a critical</w:t>
      </w:r>
      <w:r w:rsidR="00F733E5" w:rsidRPr="00997F82">
        <w:t xml:space="preserve"> role in the palliative care sector as being the ‘glue’ between service providers, industry bodies and communities. </w:t>
      </w:r>
      <w:r w:rsidR="007F352D" w:rsidRPr="00997F82">
        <w:t xml:space="preserve">This view was shared amongst PHNs who </w:t>
      </w:r>
      <w:r w:rsidR="00044392" w:rsidRPr="00997F82">
        <w:t xml:space="preserve">had seen the impact of bringing service providers and champions of palliative care together to implement activities. </w:t>
      </w:r>
      <w:r w:rsidR="002E6520" w:rsidRPr="00997F82">
        <w:t xml:space="preserve">This aligns to </w:t>
      </w:r>
      <w:r w:rsidR="00B8117A" w:rsidRPr="00997F82">
        <w:t>one of the</w:t>
      </w:r>
      <w:r w:rsidR="002E6520" w:rsidRPr="00997F82">
        <w:t xml:space="preserve"> objective</w:t>
      </w:r>
      <w:r w:rsidR="00B8117A" w:rsidRPr="00997F82">
        <w:t>s</w:t>
      </w:r>
      <w:r w:rsidR="002E6520" w:rsidRPr="00997F82">
        <w:t xml:space="preserve"> of </w:t>
      </w:r>
      <w:r w:rsidR="00420232" w:rsidRPr="00997F82">
        <w:t>PHNs</w:t>
      </w:r>
      <w:r w:rsidR="00B8117A" w:rsidRPr="00997F82">
        <w:t>, which is to work in collaboration to integrate and coordinate local health services.</w:t>
      </w:r>
      <w:r w:rsidR="002835A3" w:rsidRPr="00997F82">
        <w:t xml:space="preserve"> The </w:t>
      </w:r>
      <w:r w:rsidR="00304A8B" w:rsidRPr="00997F82">
        <w:t>summary below</w:t>
      </w:r>
      <w:r w:rsidR="002835A3" w:rsidRPr="00997F82">
        <w:t xml:space="preserve"> outlines </w:t>
      </w:r>
      <w:r w:rsidR="00304A8B" w:rsidRPr="00997F82">
        <w:t>formal activities of service mapping and developing models of shared care. However, it does not account for</w:t>
      </w:r>
      <w:r w:rsidR="00304A8B" w:rsidRPr="00997F82" w:rsidDel="003513C9">
        <w:t xml:space="preserve"> </w:t>
      </w:r>
      <w:r w:rsidR="003513C9" w:rsidRPr="00997F82">
        <w:t>all the</w:t>
      </w:r>
      <w:r w:rsidR="009C38F6" w:rsidRPr="00997F82">
        <w:t xml:space="preserve"> significant local</w:t>
      </w:r>
      <w:r w:rsidR="003513C9" w:rsidRPr="00997F82">
        <w:t xml:space="preserve"> </w:t>
      </w:r>
      <w:r w:rsidR="00304A8B" w:rsidRPr="00997F82">
        <w:t xml:space="preserve">channels of coordination and </w:t>
      </w:r>
      <w:r w:rsidR="009C38F6" w:rsidRPr="00997F82">
        <w:t>integration</w:t>
      </w:r>
      <w:r w:rsidR="00304A8B" w:rsidRPr="00997F82">
        <w:t xml:space="preserve"> </w:t>
      </w:r>
      <w:r w:rsidR="003B2470" w:rsidRPr="00997F82">
        <w:t>provided</w:t>
      </w:r>
      <w:r w:rsidR="00304A8B" w:rsidRPr="00997F82">
        <w:t xml:space="preserve"> by all 31</w:t>
      </w:r>
      <w:r w:rsidR="0063294C" w:rsidRPr="00997F82">
        <w:t xml:space="preserve"> </w:t>
      </w:r>
      <w:r w:rsidR="00304A8B" w:rsidRPr="00997F82">
        <w:t xml:space="preserve">PHNs as part of </w:t>
      </w:r>
      <w:r w:rsidR="003B2470" w:rsidRPr="00997F82">
        <w:t>the core function of the 2</w:t>
      </w:r>
      <w:r w:rsidR="006D3D40" w:rsidRPr="00997F82">
        <w:t xml:space="preserve"> </w:t>
      </w:r>
      <w:r w:rsidR="003B2470" w:rsidRPr="00997F82">
        <w:t>FTE.</w:t>
      </w:r>
      <w:r w:rsidR="009F1023" w:rsidRPr="00997F82">
        <w:t xml:space="preserve"> Rather, it focuses on specific activities which are best </w:t>
      </w:r>
      <w:r w:rsidR="00272E49" w:rsidRPr="00997F82">
        <w:t>categorised</w:t>
      </w:r>
      <w:r w:rsidR="009F1023" w:rsidRPr="00997F82">
        <w:t xml:space="preserve"> under the term </w:t>
      </w:r>
      <w:r w:rsidR="00272E49" w:rsidRPr="00997F82">
        <w:t xml:space="preserve">‘coordination and integration’.  </w:t>
      </w:r>
    </w:p>
    <w:p w14:paraId="32070AC9" w14:textId="04609608" w:rsidR="00F733E5" w:rsidRPr="00997F82" w:rsidRDefault="00F733E5" w:rsidP="00DF0063">
      <w:pPr>
        <w:pStyle w:val="CVHeading"/>
      </w:pPr>
      <w:r w:rsidRPr="00997F82">
        <w:t xml:space="preserve">As of </w:t>
      </w:r>
      <w:r w:rsidR="00D8670D" w:rsidRPr="00997F82">
        <w:t>Endpoint</w:t>
      </w:r>
      <w:r w:rsidRPr="00997F82">
        <w:t>, 2</w:t>
      </w:r>
      <w:r w:rsidR="00C04CDE" w:rsidRPr="00997F82">
        <w:t>4</w:t>
      </w:r>
      <w:r w:rsidR="00B13B79" w:rsidRPr="00997F82">
        <w:t xml:space="preserve"> </w:t>
      </w:r>
      <w:r w:rsidRPr="00997F82">
        <w:t>PHNs ha</w:t>
      </w:r>
      <w:r w:rsidR="006B22D4" w:rsidRPr="00997F82">
        <w:t>d</w:t>
      </w:r>
      <w:r w:rsidRPr="00997F82">
        <w:t xml:space="preserve"> implemented a total of </w:t>
      </w:r>
      <w:r w:rsidR="006A04D8" w:rsidRPr="00997F82">
        <w:t>4</w:t>
      </w:r>
      <w:r w:rsidR="002250D9" w:rsidRPr="00997F82">
        <w:t>2</w:t>
      </w:r>
      <w:r w:rsidRPr="00997F82">
        <w:t xml:space="preserve"> activities that can be categorised as </w:t>
      </w:r>
      <w:r w:rsidR="00713D8C" w:rsidRPr="00997F82">
        <w:t>coordination and integration activities</w:t>
      </w:r>
      <w:r w:rsidRPr="00997F82">
        <w:t>.</w:t>
      </w:r>
    </w:p>
    <w:p w14:paraId="2E3AD4EE" w14:textId="4D9E3975" w:rsidR="00025215" w:rsidRPr="00997F82" w:rsidRDefault="00F733E5" w:rsidP="00F733E5">
      <w:r w:rsidRPr="00997F82">
        <w:t>The following table provides an overall summary of these activities</w:t>
      </w:r>
      <w:r w:rsidR="009A3A4B" w:rsidRPr="00997F82">
        <w:t>.</w:t>
      </w:r>
    </w:p>
    <w:p w14:paraId="7E11194D" w14:textId="133D5A50" w:rsidR="00F733E5" w:rsidRPr="00997F82" w:rsidRDefault="00F733E5" w:rsidP="00277D66">
      <w:pPr>
        <w:pStyle w:val="Caption"/>
        <w:rPr>
          <w:i/>
        </w:rPr>
      </w:pPr>
      <w:r w:rsidRPr="00997F82">
        <w:t xml:space="preserve">Table </w:t>
      </w:r>
      <w:r w:rsidRPr="00997F82">
        <w:rPr>
          <w:i/>
        </w:rPr>
        <w:fldChar w:fldCharType="begin"/>
      </w:r>
      <w:r w:rsidRPr="00997F82">
        <w:instrText xml:space="preserve"> SEQ Table \* ARABIC </w:instrText>
      </w:r>
      <w:r w:rsidRPr="00997F82">
        <w:rPr>
          <w:i/>
        </w:rPr>
        <w:fldChar w:fldCharType="separate"/>
      </w:r>
      <w:r w:rsidR="00735424">
        <w:rPr>
          <w:noProof/>
        </w:rPr>
        <w:t>5</w:t>
      </w:r>
      <w:r w:rsidRPr="00997F82">
        <w:rPr>
          <w:i/>
        </w:rPr>
        <w:fldChar w:fldCharType="end"/>
      </w:r>
      <w:r w:rsidRPr="00997F82">
        <w:t xml:space="preserve">: </w:t>
      </w:r>
      <w:r w:rsidR="00713D8C" w:rsidRPr="00997F82">
        <w:t>Coordination and integration</w:t>
      </w:r>
      <w:r w:rsidRPr="00997F82">
        <w:t xml:space="preserve"> activities, by sub-category and PHN characteristics</w:t>
      </w:r>
    </w:p>
    <w:tbl>
      <w:tblPr>
        <w:tblStyle w:val="GridTable1Light-Accent33"/>
        <w:tblW w:w="5006" w:type="pct"/>
        <w:tblInd w:w="-5" w:type="dxa"/>
        <w:tblLook w:val="04A0" w:firstRow="1" w:lastRow="0" w:firstColumn="1" w:lastColumn="0" w:noHBand="0" w:noVBand="1"/>
      </w:tblPr>
      <w:tblGrid>
        <w:gridCol w:w="3118"/>
        <w:gridCol w:w="1419"/>
        <w:gridCol w:w="56"/>
        <w:gridCol w:w="1479"/>
        <w:gridCol w:w="1446"/>
        <w:gridCol w:w="29"/>
        <w:gridCol w:w="1481"/>
      </w:tblGrid>
      <w:tr w:rsidR="00984522" w:rsidRPr="00997F82" w14:paraId="03703FE7" w14:textId="77777777" w:rsidTr="00A57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27" w:type="pct"/>
            <w:tcBorders>
              <w:top w:val="single" w:sz="4" w:space="0" w:color="FFFFFF"/>
              <w:left w:val="single" w:sz="4" w:space="0" w:color="FFFFFF"/>
              <w:bottom w:val="single" w:sz="4" w:space="0" w:color="FFFFFF"/>
              <w:right w:val="single" w:sz="4" w:space="0" w:color="FFFFFF"/>
            </w:tcBorders>
            <w:shd w:val="clear" w:color="auto" w:fill="FFFFFF" w:themeFill="background1"/>
          </w:tcPr>
          <w:p w14:paraId="21DF960E" w14:textId="77777777" w:rsidR="00984522" w:rsidRPr="0088712F" w:rsidRDefault="00984522" w:rsidP="0088712F">
            <w:pPr>
              <w:rPr>
                <w:rStyle w:val="Strong"/>
                <w:lang w:eastAsia="en-US"/>
              </w:rPr>
            </w:pPr>
          </w:p>
        </w:tc>
        <w:tc>
          <w:tcPr>
            <w:tcW w:w="1636" w:type="pct"/>
            <w:gridSpan w:val="3"/>
            <w:tcBorders>
              <w:top w:val="single" w:sz="4" w:space="0" w:color="FFFFFF"/>
              <w:left w:val="single" w:sz="4" w:space="0" w:color="FFFFFF"/>
              <w:bottom w:val="single" w:sz="4" w:space="0" w:color="FFFFFF"/>
              <w:right w:val="single" w:sz="4" w:space="0" w:color="FFFFFF"/>
            </w:tcBorders>
            <w:shd w:val="clear" w:color="auto" w:fill="E0E1F0"/>
          </w:tcPr>
          <w:p w14:paraId="3954029C" w14:textId="225475C6" w:rsidR="00984522" w:rsidRPr="006950EE" w:rsidRDefault="00984522" w:rsidP="00A57CA5">
            <w:pPr>
              <w:pStyle w:val="Tablehead"/>
              <w:cnfStyle w:val="100000000000" w:firstRow="1" w:lastRow="0" w:firstColumn="0" w:lastColumn="0" w:oddVBand="0" w:evenVBand="0" w:oddHBand="0" w:evenHBand="0" w:firstRowFirstColumn="0" w:firstRowLastColumn="0" w:lastRowFirstColumn="0" w:lastRowLastColumn="0"/>
            </w:pPr>
            <w:r w:rsidRPr="00984522">
              <w:t>Service mapping and pathways (26 activities)</w:t>
            </w:r>
          </w:p>
        </w:tc>
        <w:tc>
          <w:tcPr>
            <w:tcW w:w="1637" w:type="pct"/>
            <w:gridSpan w:val="3"/>
            <w:tcBorders>
              <w:top w:val="single" w:sz="4" w:space="0" w:color="FFFFFF"/>
              <w:left w:val="single" w:sz="4" w:space="0" w:color="FFFFFF"/>
              <w:bottom w:val="single" w:sz="4" w:space="0" w:color="FFFFFF"/>
              <w:right w:val="single" w:sz="4" w:space="0" w:color="FFFFFF"/>
            </w:tcBorders>
            <w:shd w:val="clear" w:color="auto" w:fill="E0E1F0"/>
          </w:tcPr>
          <w:p w14:paraId="5E01BB03" w14:textId="74680197" w:rsidR="00984522" w:rsidRPr="006950EE" w:rsidRDefault="00984522" w:rsidP="00A57CA5">
            <w:pPr>
              <w:pStyle w:val="Tablehead"/>
              <w:cnfStyle w:val="100000000000" w:firstRow="1" w:lastRow="0" w:firstColumn="0" w:lastColumn="0" w:oddVBand="0" w:evenVBand="0" w:oddHBand="0" w:evenHBand="0" w:firstRowFirstColumn="0" w:firstRowLastColumn="0" w:lastRowFirstColumn="0" w:lastRowLastColumn="0"/>
            </w:pPr>
            <w:r w:rsidRPr="00984522">
              <w:t>Models of shared care (16 activities)</w:t>
            </w:r>
          </w:p>
        </w:tc>
      </w:tr>
      <w:tr w:rsidR="006361D8" w:rsidRPr="00997F82" w14:paraId="49BEAE29" w14:textId="46425696" w:rsidTr="00A57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27" w:type="pct"/>
            <w:tcBorders>
              <w:top w:val="single" w:sz="4" w:space="0" w:color="FFFFFF"/>
              <w:left w:val="single" w:sz="4" w:space="0" w:color="FFFFFF"/>
              <w:bottom w:val="single" w:sz="4" w:space="0" w:color="FFFFFF"/>
              <w:right w:val="single" w:sz="4" w:space="0" w:color="FFFFFF"/>
            </w:tcBorders>
            <w:shd w:val="clear" w:color="auto" w:fill="E0E1F0"/>
          </w:tcPr>
          <w:p w14:paraId="1397D490" w14:textId="77777777" w:rsidR="001C4382" w:rsidRPr="0088712F" w:rsidRDefault="001C4382" w:rsidP="0088712F">
            <w:pPr>
              <w:jc w:val="left"/>
              <w:rPr>
                <w:rStyle w:val="Strong"/>
                <w:lang w:eastAsia="en-US"/>
              </w:rPr>
            </w:pPr>
            <w:r w:rsidRPr="0088712F">
              <w:rPr>
                <w:rStyle w:val="Strong"/>
                <w:lang w:eastAsia="en-US"/>
              </w:rPr>
              <w:t>Rurality</w:t>
            </w:r>
          </w:p>
        </w:tc>
        <w:tc>
          <w:tcPr>
            <w:tcW w:w="817" w:type="pct"/>
            <w:gridSpan w:val="2"/>
            <w:tcBorders>
              <w:top w:val="single" w:sz="4" w:space="0" w:color="FFFFFF"/>
              <w:left w:val="single" w:sz="4" w:space="0" w:color="FFFFFF"/>
              <w:bottom w:val="single" w:sz="4" w:space="0" w:color="FFFFFF"/>
              <w:right w:val="single" w:sz="4" w:space="0" w:color="FFFFFF"/>
            </w:tcBorders>
            <w:shd w:val="clear" w:color="auto" w:fill="E0E1F0"/>
          </w:tcPr>
          <w:p w14:paraId="18AD14E9" w14:textId="56C003F4" w:rsidR="001C4382" w:rsidRPr="006950EE" w:rsidRDefault="001C4382" w:rsidP="006950EE">
            <w:pPr>
              <w:cnfStyle w:val="100000000000" w:firstRow="1" w:lastRow="0" w:firstColumn="0" w:lastColumn="0" w:oddVBand="0" w:evenVBand="0" w:oddHBand="0" w:evenHBand="0" w:firstRowFirstColumn="0" w:firstRowLastColumn="0" w:lastRowFirstColumn="0" w:lastRowLastColumn="0"/>
              <w:rPr>
                <w:lang w:eastAsia="en-US"/>
              </w:rPr>
            </w:pPr>
            <w:r w:rsidRPr="006950EE">
              <w:rPr>
                <w:lang w:eastAsia="en-US"/>
              </w:rPr>
              <w:t xml:space="preserve"># PHNs </w:t>
            </w:r>
          </w:p>
        </w:tc>
        <w:tc>
          <w:tcPr>
            <w:tcW w:w="819" w:type="pct"/>
            <w:tcBorders>
              <w:top w:val="single" w:sz="4" w:space="0" w:color="FFFFFF"/>
              <w:left w:val="single" w:sz="4" w:space="0" w:color="FFFFFF"/>
              <w:bottom w:val="single" w:sz="4" w:space="0" w:color="FFFFFF"/>
              <w:right w:val="single" w:sz="4" w:space="0" w:color="FFFFFF"/>
            </w:tcBorders>
            <w:shd w:val="clear" w:color="auto" w:fill="E0E1F0"/>
          </w:tcPr>
          <w:p w14:paraId="42C247E4" w14:textId="1F648EAB" w:rsidR="001C4382" w:rsidRPr="006950EE" w:rsidRDefault="001C4382" w:rsidP="006950EE">
            <w:pPr>
              <w:cnfStyle w:val="100000000000" w:firstRow="1" w:lastRow="0" w:firstColumn="0" w:lastColumn="0" w:oddVBand="0" w:evenVBand="0" w:oddHBand="0" w:evenHBand="0" w:firstRowFirstColumn="0" w:firstRowLastColumn="0" w:lastRowFirstColumn="0" w:lastRowLastColumn="0"/>
              <w:rPr>
                <w:lang w:eastAsia="en-US"/>
              </w:rPr>
            </w:pPr>
            <w:r w:rsidRPr="006950EE">
              <w:rPr>
                <w:lang w:eastAsia="en-US"/>
              </w:rPr>
              <w:t xml:space="preserve"># Activities </w:t>
            </w:r>
          </w:p>
        </w:tc>
        <w:tc>
          <w:tcPr>
            <w:tcW w:w="817" w:type="pct"/>
            <w:gridSpan w:val="2"/>
            <w:tcBorders>
              <w:top w:val="single" w:sz="4" w:space="0" w:color="FFFFFF"/>
              <w:left w:val="single" w:sz="4" w:space="0" w:color="FFFFFF"/>
              <w:bottom w:val="single" w:sz="4" w:space="0" w:color="FFFFFF"/>
              <w:right w:val="single" w:sz="4" w:space="0" w:color="FFFFFF"/>
            </w:tcBorders>
            <w:shd w:val="clear" w:color="auto" w:fill="E0E1F0"/>
          </w:tcPr>
          <w:p w14:paraId="324CDCC8" w14:textId="6FC20697" w:rsidR="001C4382" w:rsidRPr="006950EE" w:rsidRDefault="001C4382" w:rsidP="006950EE">
            <w:pPr>
              <w:cnfStyle w:val="100000000000" w:firstRow="1" w:lastRow="0" w:firstColumn="0" w:lastColumn="0" w:oddVBand="0" w:evenVBand="0" w:oddHBand="0" w:evenHBand="0" w:firstRowFirstColumn="0" w:firstRowLastColumn="0" w:lastRowFirstColumn="0" w:lastRowLastColumn="0"/>
              <w:rPr>
                <w:lang w:eastAsia="en-US"/>
              </w:rPr>
            </w:pPr>
            <w:r w:rsidRPr="006950EE">
              <w:rPr>
                <w:lang w:eastAsia="en-US"/>
              </w:rPr>
              <w:t xml:space="preserve"># PHNs </w:t>
            </w:r>
          </w:p>
        </w:tc>
        <w:tc>
          <w:tcPr>
            <w:tcW w:w="820" w:type="pct"/>
            <w:tcBorders>
              <w:top w:val="single" w:sz="4" w:space="0" w:color="FFFFFF"/>
              <w:left w:val="single" w:sz="4" w:space="0" w:color="FFFFFF"/>
              <w:bottom w:val="single" w:sz="4" w:space="0" w:color="FFFFFF"/>
              <w:right w:val="single" w:sz="4" w:space="0" w:color="FFFFFF"/>
            </w:tcBorders>
            <w:shd w:val="clear" w:color="auto" w:fill="E0E1F0"/>
          </w:tcPr>
          <w:p w14:paraId="7A009819" w14:textId="0183D235" w:rsidR="001C4382" w:rsidRPr="006950EE" w:rsidRDefault="001C4382" w:rsidP="006950EE">
            <w:pPr>
              <w:cnfStyle w:val="100000000000" w:firstRow="1" w:lastRow="0" w:firstColumn="0" w:lastColumn="0" w:oddVBand="0" w:evenVBand="0" w:oddHBand="0" w:evenHBand="0" w:firstRowFirstColumn="0" w:firstRowLastColumn="0" w:lastRowFirstColumn="0" w:lastRowLastColumn="0"/>
              <w:rPr>
                <w:lang w:eastAsia="en-US"/>
              </w:rPr>
            </w:pPr>
            <w:r w:rsidRPr="006950EE">
              <w:rPr>
                <w:lang w:eastAsia="en-US"/>
              </w:rPr>
              <w:t># Activities</w:t>
            </w:r>
          </w:p>
        </w:tc>
      </w:tr>
      <w:tr w:rsidR="00F5481B" w:rsidRPr="00997F82" w14:paraId="661B86F0" w14:textId="40887EBF" w:rsidTr="00984522">
        <w:trPr>
          <w:trHeight w:val="50"/>
        </w:trPr>
        <w:tc>
          <w:tcPr>
            <w:cnfStyle w:val="001000000000" w:firstRow="0" w:lastRow="0" w:firstColumn="1" w:lastColumn="0" w:oddVBand="0" w:evenVBand="0" w:oddHBand="0" w:evenHBand="0" w:firstRowFirstColumn="0" w:firstRowLastColumn="0" w:lastRowFirstColumn="0" w:lastRowLastColumn="0"/>
            <w:tcW w:w="1727" w:type="pct"/>
            <w:tcBorders>
              <w:top w:val="single" w:sz="4" w:space="0" w:color="FFFFFF"/>
            </w:tcBorders>
          </w:tcPr>
          <w:p w14:paraId="332C3C01" w14:textId="77777777" w:rsidR="001C4382" w:rsidRPr="00997F82" w:rsidRDefault="001C4382" w:rsidP="0088712F">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Metro PHNs (14 total)</w:t>
            </w:r>
          </w:p>
        </w:tc>
        <w:tc>
          <w:tcPr>
            <w:tcW w:w="786" w:type="pct"/>
            <w:tcBorders>
              <w:top w:val="single" w:sz="4" w:space="0" w:color="FFFFFF"/>
            </w:tcBorders>
          </w:tcPr>
          <w:p w14:paraId="7F9812F1" w14:textId="43318EA2" w:rsidR="001C4382" w:rsidRPr="00997F82" w:rsidRDefault="007A5F54"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7</w:t>
            </w:r>
          </w:p>
        </w:tc>
        <w:tc>
          <w:tcPr>
            <w:tcW w:w="850" w:type="pct"/>
            <w:gridSpan w:val="2"/>
            <w:tcBorders>
              <w:top w:val="single" w:sz="4" w:space="0" w:color="FFFFFF"/>
            </w:tcBorders>
          </w:tcPr>
          <w:p w14:paraId="4306B56D" w14:textId="458F858C" w:rsidR="001C4382" w:rsidRPr="00997F82" w:rsidRDefault="007A5F54"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8</w:t>
            </w:r>
          </w:p>
        </w:tc>
        <w:tc>
          <w:tcPr>
            <w:tcW w:w="801" w:type="pct"/>
            <w:tcBorders>
              <w:top w:val="single" w:sz="4" w:space="0" w:color="FFFFFF"/>
            </w:tcBorders>
          </w:tcPr>
          <w:p w14:paraId="736ADFE0" w14:textId="1805615E" w:rsidR="001C4382" w:rsidRPr="00997F82" w:rsidRDefault="00E33A1D"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c>
          <w:tcPr>
            <w:tcW w:w="836" w:type="pct"/>
            <w:gridSpan w:val="2"/>
            <w:tcBorders>
              <w:top w:val="single" w:sz="4" w:space="0" w:color="FFFFFF"/>
            </w:tcBorders>
          </w:tcPr>
          <w:p w14:paraId="4F732A65" w14:textId="76CE9A00" w:rsidR="001C4382" w:rsidRPr="00997F82" w:rsidRDefault="004E2D1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r>
      <w:tr w:rsidR="00F5481B" w:rsidRPr="00997F82" w14:paraId="1F135A93" w14:textId="2CC1AF5E" w:rsidTr="00984522">
        <w:tc>
          <w:tcPr>
            <w:cnfStyle w:val="001000000000" w:firstRow="0" w:lastRow="0" w:firstColumn="1" w:lastColumn="0" w:oddVBand="0" w:evenVBand="0" w:oddHBand="0" w:evenHBand="0" w:firstRowFirstColumn="0" w:firstRowLastColumn="0" w:lastRowFirstColumn="0" w:lastRowLastColumn="0"/>
            <w:tcW w:w="1727" w:type="pct"/>
          </w:tcPr>
          <w:p w14:paraId="49149B0D"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Rural PHNs (17 total)</w:t>
            </w:r>
          </w:p>
        </w:tc>
        <w:tc>
          <w:tcPr>
            <w:tcW w:w="786" w:type="pct"/>
          </w:tcPr>
          <w:p w14:paraId="112C1BAA" w14:textId="0EF3653B" w:rsidR="001C4382" w:rsidRPr="00997F82" w:rsidRDefault="007A5F54"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13</w:t>
            </w:r>
          </w:p>
        </w:tc>
        <w:tc>
          <w:tcPr>
            <w:tcW w:w="850" w:type="pct"/>
            <w:gridSpan w:val="2"/>
          </w:tcPr>
          <w:p w14:paraId="368D10D9" w14:textId="67539228"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r w:rsidR="007A5F54" w:rsidRPr="00997F82">
              <w:rPr>
                <w:rFonts w:eastAsia="MS Mincho"/>
                <w:snapToGrid w:val="0"/>
                <w:color w:val="auto"/>
                <w:lang w:eastAsia="en-US"/>
              </w:rPr>
              <w:t>8</w:t>
            </w:r>
          </w:p>
        </w:tc>
        <w:tc>
          <w:tcPr>
            <w:tcW w:w="801" w:type="pct"/>
          </w:tcPr>
          <w:p w14:paraId="5CCC277A" w14:textId="67064518" w:rsidR="001C4382" w:rsidRPr="00997F82" w:rsidRDefault="004E2D1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c>
          <w:tcPr>
            <w:tcW w:w="836" w:type="pct"/>
            <w:gridSpan w:val="2"/>
          </w:tcPr>
          <w:p w14:paraId="1D716279" w14:textId="64D544DA" w:rsidR="001C4382" w:rsidRPr="00997F82" w:rsidRDefault="004E2D1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12</w:t>
            </w:r>
          </w:p>
        </w:tc>
      </w:tr>
      <w:tr w:rsidR="003F4C5A" w:rsidRPr="00997F82" w14:paraId="7738634B" w14:textId="52E17A8A" w:rsidTr="00984522">
        <w:tc>
          <w:tcPr>
            <w:cnfStyle w:val="001000000000" w:firstRow="0" w:lastRow="0" w:firstColumn="1" w:lastColumn="0" w:oddVBand="0" w:evenVBand="0" w:oddHBand="0" w:evenHBand="0" w:firstRowFirstColumn="0" w:firstRowLastColumn="0" w:lastRowFirstColumn="0" w:lastRowLastColumn="0"/>
            <w:tcW w:w="1727" w:type="pct"/>
            <w:shd w:val="clear" w:color="auto" w:fill="E0E1F0"/>
          </w:tcPr>
          <w:p w14:paraId="4486786B" w14:textId="77777777" w:rsidR="001C4382" w:rsidRPr="00997F82" w:rsidRDefault="001C4382" w:rsidP="00C42093">
            <w:pPr>
              <w:kinsoku w:val="0"/>
              <w:overflowPunct w:val="0"/>
              <w:autoSpaceDE w:val="0"/>
              <w:autoSpaceDN w:val="0"/>
              <w:adjustRightInd w:val="0"/>
              <w:snapToGrid w:val="0"/>
              <w:spacing w:line="276" w:lineRule="auto"/>
              <w:rPr>
                <w:rFonts w:eastAsia="MS Mincho"/>
                <w:snapToGrid w:val="0"/>
                <w:color w:val="auto"/>
                <w:lang w:eastAsia="en-US"/>
              </w:rPr>
            </w:pPr>
            <w:r w:rsidRPr="00997F82">
              <w:rPr>
                <w:rFonts w:asciiTheme="majorHAnsi" w:eastAsia="MS Mincho" w:hAnsiTheme="majorHAnsi"/>
                <w:snapToGrid w:val="0"/>
                <w:color w:val="auto"/>
                <w:lang w:eastAsia="en-US"/>
              </w:rPr>
              <w:t>Pilot status</w:t>
            </w:r>
          </w:p>
        </w:tc>
        <w:tc>
          <w:tcPr>
            <w:tcW w:w="786" w:type="pct"/>
            <w:shd w:val="clear" w:color="auto" w:fill="E0E1F0"/>
          </w:tcPr>
          <w:p w14:paraId="4A63CDB2" w14:textId="77777777"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850" w:type="pct"/>
            <w:gridSpan w:val="2"/>
            <w:shd w:val="clear" w:color="auto" w:fill="E0E1F0"/>
          </w:tcPr>
          <w:p w14:paraId="75C6717E" w14:textId="3BB5D972"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801" w:type="pct"/>
            <w:shd w:val="clear" w:color="auto" w:fill="E0E1F0"/>
          </w:tcPr>
          <w:p w14:paraId="58FCD9B2" w14:textId="77777777"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836" w:type="pct"/>
            <w:gridSpan w:val="2"/>
            <w:shd w:val="clear" w:color="auto" w:fill="E0E1F0"/>
          </w:tcPr>
          <w:p w14:paraId="2F26EC41" w14:textId="77777777"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r>
      <w:tr w:rsidR="00F5481B" w:rsidRPr="00997F82" w14:paraId="78AC3C2B" w14:textId="153176F2" w:rsidTr="00984522">
        <w:tc>
          <w:tcPr>
            <w:cnfStyle w:val="001000000000" w:firstRow="0" w:lastRow="0" w:firstColumn="1" w:lastColumn="0" w:oddVBand="0" w:evenVBand="0" w:oddHBand="0" w:evenHBand="0" w:firstRowFirstColumn="0" w:firstRowLastColumn="0" w:lastRowFirstColumn="0" w:lastRowLastColumn="0"/>
            <w:tcW w:w="1727" w:type="pct"/>
          </w:tcPr>
          <w:p w14:paraId="49462816"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Pilot PHNs (13 total)</w:t>
            </w:r>
          </w:p>
        </w:tc>
        <w:tc>
          <w:tcPr>
            <w:tcW w:w="786" w:type="pct"/>
          </w:tcPr>
          <w:p w14:paraId="038A8F22" w14:textId="707A50AC" w:rsidR="001C4382" w:rsidRPr="00997F82" w:rsidRDefault="007A5F54"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7</w:t>
            </w:r>
          </w:p>
        </w:tc>
        <w:tc>
          <w:tcPr>
            <w:tcW w:w="850" w:type="pct"/>
            <w:gridSpan w:val="2"/>
          </w:tcPr>
          <w:p w14:paraId="237CA6F1" w14:textId="0868509B" w:rsidR="001C4382" w:rsidRPr="00997F82" w:rsidRDefault="00E5759D"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8</w:t>
            </w:r>
          </w:p>
        </w:tc>
        <w:tc>
          <w:tcPr>
            <w:tcW w:w="801" w:type="pct"/>
          </w:tcPr>
          <w:p w14:paraId="001D21F4" w14:textId="705A7860" w:rsidR="001C4382" w:rsidRPr="00997F82" w:rsidRDefault="00CE4829"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c>
          <w:tcPr>
            <w:tcW w:w="836" w:type="pct"/>
            <w:gridSpan w:val="2"/>
          </w:tcPr>
          <w:p w14:paraId="25ACCF06" w14:textId="185A902B" w:rsidR="001C4382" w:rsidRPr="00997F82" w:rsidRDefault="004E2D1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r>
      <w:tr w:rsidR="00F5481B" w:rsidRPr="00997F82" w14:paraId="754085EB" w14:textId="1258E552" w:rsidTr="00984522">
        <w:tc>
          <w:tcPr>
            <w:cnfStyle w:val="001000000000" w:firstRow="0" w:lastRow="0" w:firstColumn="1" w:lastColumn="0" w:oddVBand="0" w:evenVBand="0" w:oddHBand="0" w:evenHBand="0" w:firstRowFirstColumn="0" w:firstRowLastColumn="0" w:lastRowFirstColumn="0" w:lastRowLastColumn="0"/>
            <w:tcW w:w="1727" w:type="pct"/>
          </w:tcPr>
          <w:p w14:paraId="028D361C"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Non-pilot PHNs (18 total)</w:t>
            </w:r>
          </w:p>
        </w:tc>
        <w:tc>
          <w:tcPr>
            <w:tcW w:w="786" w:type="pct"/>
          </w:tcPr>
          <w:p w14:paraId="441866BC" w14:textId="225F24CE" w:rsidR="001C4382" w:rsidRPr="00997F82" w:rsidRDefault="007A5F54"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13</w:t>
            </w:r>
          </w:p>
        </w:tc>
        <w:tc>
          <w:tcPr>
            <w:tcW w:w="850" w:type="pct"/>
            <w:gridSpan w:val="2"/>
          </w:tcPr>
          <w:p w14:paraId="7E619507" w14:textId="24E8F76B" w:rsidR="001C4382" w:rsidRPr="00997F82" w:rsidRDefault="008F7C2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r w:rsidR="00E5759D" w:rsidRPr="00997F82">
              <w:rPr>
                <w:rFonts w:eastAsia="MS Mincho"/>
                <w:snapToGrid w:val="0"/>
                <w:color w:val="auto"/>
                <w:lang w:eastAsia="en-US"/>
              </w:rPr>
              <w:t>8</w:t>
            </w:r>
          </w:p>
        </w:tc>
        <w:tc>
          <w:tcPr>
            <w:tcW w:w="801" w:type="pct"/>
          </w:tcPr>
          <w:p w14:paraId="009F2AFB" w14:textId="48F5DC34" w:rsidR="001C4382" w:rsidRPr="00997F82" w:rsidRDefault="00DE603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7</w:t>
            </w:r>
          </w:p>
        </w:tc>
        <w:tc>
          <w:tcPr>
            <w:tcW w:w="836" w:type="pct"/>
            <w:gridSpan w:val="2"/>
          </w:tcPr>
          <w:p w14:paraId="77623EF9" w14:textId="76AB210F" w:rsidR="001C4382" w:rsidRPr="00997F82" w:rsidRDefault="004E2D1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11</w:t>
            </w:r>
          </w:p>
        </w:tc>
      </w:tr>
      <w:tr w:rsidR="003F4C5A" w:rsidRPr="00997F82" w14:paraId="463AB81A" w14:textId="10C60005" w:rsidTr="00984522">
        <w:tc>
          <w:tcPr>
            <w:cnfStyle w:val="001000000000" w:firstRow="0" w:lastRow="0" w:firstColumn="1" w:lastColumn="0" w:oddVBand="0" w:evenVBand="0" w:oddHBand="0" w:evenHBand="0" w:firstRowFirstColumn="0" w:firstRowLastColumn="0" w:lastRowFirstColumn="0" w:lastRowLastColumn="0"/>
            <w:tcW w:w="1727" w:type="pct"/>
            <w:shd w:val="clear" w:color="auto" w:fill="E0E1F0"/>
          </w:tcPr>
          <w:p w14:paraId="475E850E" w14:textId="77777777" w:rsidR="001C4382" w:rsidRPr="00997F82" w:rsidRDefault="001C4382" w:rsidP="00C42093">
            <w:pPr>
              <w:kinsoku w:val="0"/>
              <w:overflowPunct w:val="0"/>
              <w:autoSpaceDE w:val="0"/>
              <w:autoSpaceDN w:val="0"/>
              <w:adjustRightInd w:val="0"/>
              <w:snapToGrid w:val="0"/>
              <w:spacing w:line="276" w:lineRule="auto"/>
              <w:rPr>
                <w:rFonts w:asciiTheme="majorHAnsi" w:eastAsia="MS Mincho" w:hAnsiTheme="majorHAnsi"/>
                <w:snapToGrid w:val="0"/>
                <w:color w:val="auto"/>
                <w:lang w:eastAsia="en-US"/>
              </w:rPr>
            </w:pPr>
            <w:r w:rsidRPr="00997F82">
              <w:rPr>
                <w:rFonts w:asciiTheme="majorHAnsi" w:eastAsia="MS Mincho" w:hAnsiTheme="majorHAnsi"/>
                <w:snapToGrid w:val="0"/>
                <w:color w:val="auto"/>
                <w:lang w:eastAsia="en-US"/>
              </w:rPr>
              <w:t>Jurisdiction</w:t>
            </w:r>
          </w:p>
        </w:tc>
        <w:tc>
          <w:tcPr>
            <w:tcW w:w="786" w:type="pct"/>
            <w:shd w:val="clear" w:color="auto" w:fill="E0E1F0"/>
          </w:tcPr>
          <w:p w14:paraId="1590447D" w14:textId="77777777"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850" w:type="pct"/>
            <w:gridSpan w:val="2"/>
            <w:shd w:val="clear" w:color="auto" w:fill="E0E1F0"/>
          </w:tcPr>
          <w:p w14:paraId="102332B2" w14:textId="13CF5F86"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801" w:type="pct"/>
            <w:shd w:val="clear" w:color="auto" w:fill="E0E1F0"/>
          </w:tcPr>
          <w:p w14:paraId="315C8A84" w14:textId="77777777"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c>
          <w:tcPr>
            <w:tcW w:w="836" w:type="pct"/>
            <w:gridSpan w:val="2"/>
            <w:shd w:val="clear" w:color="auto" w:fill="E0E1F0"/>
          </w:tcPr>
          <w:p w14:paraId="16FB7565" w14:textId="77777777"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p>
        </w:tc>
      </w:tr>
      <w:tr w:rsidR="00F5481B" w:rsidRPr="00997F82" w14:paraId="77F196DD" w14:textId="2252D9BF" w:rsidTr="00984522">
        <w:tc>
          <w:tcPr>
            <w:cnfStyle w:val="001000000000" w:firstRow="0" w:lastRow="0" w:firstColumn="1" w:lastColumn="0" w:oddVBand="0" w:evenVBand="0" w:oddHBand="0" w:evenHBand="0" w:firstRowFirstColumn="0" w:firstRowLastColumn="0" w:lastRowFirstColumn="0" w:lastRowLastColumn="0"/>
            <w:tcW w:w="1727" w:type="pct"/>
          </w:tcPr>
          <w:p w14:paraId="55B5A897"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ACT (1 total)</w:t>
            </w:r>
          </w:p>
        </w:tc>
        <w:tc>
          <w:tcPr>
            <w:tcW w:w="786" w:type="pct"/>
          </w:tcPr>
          <w:p w14:paraId="3473E284" w14:textId="0AF874A7" w:rsidR="001C4382" w:rsidRPr="00997F82" w:rsidRDefault="00CC0D73"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50" w:type="pct"/>
            <w:gridSpan w:val="2"/>
          </w:tcPr>
          <w:p w14:paraId="35119F51" w14:textId="63EE130C" w:rsidR="001C4382" w:rsidRPr="00997F82" w:rsidRDefault="00CC0D73"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01" w:type="pct"/>
          </w:tcPr>
          <w:p w14:paraId="0019C6F0" w14:textId="759263C7" w:rsidR="001C4382" w:rsidRPr="00997F82" w:rsidRDefault="00DE603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36" w:type="pct"/>
            <w:gridSpan w:val="2"/>
          </w:tcPr>
          <w:p w14:paraId="5F782A42" w14:textId="56677CF8" w:rsidR="001C4382" w:rsidRPr="00997F82" w:rsidRDefault="004E2D1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r>
      <w:tr w:rsidR="00F5481B" w:rsidRPr="00997F82" w14:paraId="3EC64283" w14:textId="335BB168" w:rsidTr="00984522">
        <w:tc>
          <w:tcPr>
            <w:cnfStyle w:val="001000000000" w:firstRow="0" w:lastRow="0" w:firstColumn="1" w:lastColumn="0" w:oddVBand="0" w:evenVBand="0" w:oddHBand="0" w:evenHBand="0" w:firstRowFirstColumn="0" w:firstRowLastColumn="0" w:lastRowFirstColumn="0" w:lastRowLastColumn="0"/>
            <w:tcW w:w="1727" w:type="pct"/>
          </w:tcPr>
          <w:p w14:paraId="0A35868A"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NSW (10 total)</w:t>
            </w:r>
          </w:p>
        </w:tc>
        <w:tc>
          <w:tcPr>
            <w:tcW w:w="786" w:type="pct"/>
          </w:tcPr>
          <w:p w14:paraId="3DCFE493" w14:textId="2A2DCB31" w:rsidR="001C4382" w:rsidRPr="00997F82" w:rsidRDefault="00CC0D73"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9</w:t>
            </w:r>
          </w:p>
        </w:tc>
        <w:tc>
          <w:tcPr>
            <w:tcW w:w="850" w:type="pct"/>
            <w:gridSpan w:val="2"/>
          </w:tcPr>
          <w:p w14:paraId="42770CC3" w14:textId="02C64784" w:rsidR="001C4382" w:rsidRPr="00997F82" w:rsidRDefault="00CC0D73"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12</w:t>
            </w:r>
          </w:p>
        </w:tc>
        <w:tc>
          <w:tcPr>
            <w:tcW w:w="801" w:type="pct"/>
          </w:tcPr>
          <w:p w14:paraId="6C316A41" w14:textId="4DDBDE3F" w:rsidR="001C4382" w:rsidRPr="00997F82" w:rsidRDefault="00F85D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5</w:t>
            </w:r>
          </w:p>
        </w:tc>
        <w:tc>
          <w:tcPr>
            <w:tcW w:w="836" w:type="pct"/>
            <w:gridSpan w:val="2"/>
          </w:tcPr>
          <w:p w14:paraId="5FB1B0EE" w14:textId="555773CC" w:rsidR="001C4382" w:rsidRPr="00997F82" w:rsidRDefault="00F85D61"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7</w:t>
            </w:r>
          </w:p>
        </w:tc>
      </w:tr>
      <w:tr w:rsidR="00F5481B" w:rsidRPr="00997F82" w14:paraId="106618D1" w14:textId="788E4312" w:rsidTr="00984522">
        <w:tc>
          <w:tcPr>
            <w:cnfStyle w:val="001000000000" w:firstRow="0" w:lastRow="0" w:firstColumn="1" w:lastColumn="0" w:oddVBand="0" w:evenVBand="0" w:oddHBand="0" w:evenHBand="0" w:firstRowFirstColumn="0" w:firstRowLastColumn="0" w:lastRowFirstColumn="0" w:lastRowLastColumn="0"/>
            <w:tcW w:w="1727" w:type="pct"/>
          </w:tcPr>
          <w:p w14:paraId="56F28204"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NT (1 total)</w:t>
            </w:r>
          </w:p>
        </w:tc>
        <w:tc>
          <w:tcPr>
            <w:tcW w:w="786" w:type="pct"/>
          </w:tcPr>
          <w:p w14:paraId="08190A0E" w14:textId="00B1A4A5" w:rsidR="001C4382" w:rsidRPr="00997F82" w:rsidRDefault="006D310A"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50" w:type="pct"/>
            <w:gridSpan w:val="2"/>
          </w:tcPr>
          <w:p w14:paraId="3072B8E8" w14:textId="10943887" w:rsidR="001C4382" w:rsidRPr="00997F82" w:rsidRDefault="006D310A"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01" w:type="pct"/>
          </w:tcPr>
          <w:p w14:paraId="3C2C73DF" w14:textId="607A2929" w:rsidR="001C4382" w:rsidRPr="00997F82" w:rsidRDefault="003D4C9F"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836" w:type="pct"/>
            <w:gridSpan w:val="2"/>
          </w:tcPr>
          <w:p w14:paraId="04B007F2" w14:textId="4B2EA6BE" w:rsidR="001C4382" w:rsidRPr="00997F82" w:rsidRDefault="003D4C9F"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F5481B" w:rsidRPr="00997F82" w14:paraId="655A3C82" w14:textId="03F2C17D" w:rsidTr="00984522">
        <w:tc>
          <w:tcPr>
            <w:cnfStyle w:val="001000000000" w:firstRow="0" w:lastRow="0" w:firstColumn="1" w:lastColumn="0" w:oddVBand="0" w:evenVBand="0" w:oddHBand="0" w:evenHBand="0" w:firstRowFirstColumn="0" w:firstRowLastColumn="0" w:lastRowFirstColumn="0" w:lastRowLastColumn="0"/>
            <w:tcW w:w="1727" w:type="pct"/>
          </w:tcPr>
          <w:p w14:paraId="37D2C57F"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QLD (7 total)</w:t>
            </w:r>
          </w:p>
        </w:tc>
        <w:tc>
          <w:tcPr>
            <w:tcW w:w="786" w:type="pct"/>
          </w:tcPr>
          <w:p w14:paraId="6EE00006" w14:textId="27D87328" w:rsidR="001C4382" w:rsidRPr="00997F82" w:rsidRDefault="00CC0D73"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c>
          <w:tcPr>
            <w:tcW w:w="850" w:type="pct"/>
            <w:gridSpan w:val="2"/>
          </w:tcPr>
          <w:p w14:paraId="2BEF5C20" w14:textId="4ED217D4" w:rsidR="001C4382" w:rsidRPr="00997F82" w:rsidRDefault="00CC0D73"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6</w:t>
            </w:r>
          </w:p>
        </w:tc>
        <w:tc>
          <w:tcPr>
            <w:tcW w:w="801" w:type="pct"/>
          </w:tcPr>
          <w:p w14:paraId="18ADF9F0" w14:textId="71FCFF0D" w:rsidR="001C4382" w:rsidRPr="00997F82" w:rsidRDefault="003D4C9F"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2</w:t>
            </w:r>
          </w:p>
        </w:tc>
        <w:tc>
          <w:tcPr>
            <w:tcW w:w="836" w:type="pct"/>
            <w:gridSpan w:val="2"/>
          </w:tcPr>
          <w:p w14:paraId="12F593E8" w14:textId="29D3BE6C" w:rsidR="001C4382" w:rsidRPr="00997F82" w:rsidRDefault="004E2D1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r>
      <w:tr w:rsidR="00F5481B" w:rsidRPr="00997F82" w14:paraId="53C9738D" w14:textId="5B40D4BA" w:rsidTr="00984522">
        <w:tc>
          <w:tcPr>
            <w:cnfStyle w:val="001000000000" w:firstRow="0" w:lastRow="0" w:firstColumn="1" w:lastColumn="0" w:oddVBand="0" w:evenVBand="0" w:oddHBand="0" w:evenHBand="0" w:firstRowFirstColumn="0" w:firstRowLastColumn="0" w:lastRowFirstColumn="0" w:lastRowLastColumn="0"/>
            <w:tcW w:w="1727" w:type="pct"/>
          </w:tcPr>
          <w:p w14:paraId="51D03CA3"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SA (2 total)</w:t>
            </w:r>
          </w:p>
        </w:tc>
        <w:tc>
          <w:tcPr>
            <w:tcW w:w="786" w:type="pct"/>
          </w:tcPr>
          <w:p w14:paraId="32516486" w14:textId="30FEB14C" w:rsidR="001C4382" w:rsidRPr="00997F82" w:rsidRDefault="0023545A"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50" w:type="pct"/>
            <w:gridSpan w:val="2"/>
          </w:tcPr>
          <w:p w14:paraId="3CB32B42" w14:textId="4650001A" w:rsidR="001C4382" w:rsidRPr="00997F82" w:rsidRDefault="0023545A"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01" w:type="pct"/>
          </w:tcPr>
          <w:p w14:paraId="408F47FC" w14:textId="43EF4FCF" w:rsidR="001C4382" w:rsidRPr="00997F82" w:rsidRDefault="003D4C9F"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36" w:type="pct"/>
            <w:gridSpan w:val="2"/>
          </w:tcPr>
          <w:p w14:paraId="612DDC81" w14:textId="2D05A547" w:rsidR="001C4382" w:rsidRPr="00997F82" w:rsidRDefault="004E2D1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r>
      <w:tr w:rsidR="00F5481B" w:rsidRPr="00997F82" w14:paraId="7245763E" w14:textId="5A4CFACC" w:rsidTr="00984522">
        <w:tc>
          <w:tcPr>
            <w:cnfStyle w:val="001000000000" w:firstRow="0" w:lastRow="0" w:firstColumn="1" w:lastColumn="0" w:oddVBand="0" w:evenVBand="0" w:oddHBand="0" w:evenHBand="0" w:firstRowFirstColumn="0" w:firstRowLastColumn="0" w:lastRowFirstColumn="0" w:lastRowLastColumn="0"/>
            <w:tcW w:w="1727" w:type="pct"/>
          </w:tcPr>
          <w:p w14:paraId="7262BC5D"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TAS (1 total)</w:t>
            </w:r>
          </w:p>
        </w:tc>
        <w:tc>
          <w:tcPr>
            <w:tcW w:w="786" w:type="pct"/>
          </w:tcPr>
          <w:p w14:paraId="6140E2AA" w14:textId="1916A3AF" w:rsidR="001C4382" w:rsidRPr="00997F82" w:rsidRDefault="0023545A"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50" w:type="pct"/>
            <w:gridSpan w:val="2"/>
          </w:tcPr>
          <w:p w14:paraId="50E13B50" w14:textId="2F5D3BF4" w:rsidR="001C4382" w:rsidRPr="00997F82" w:rsidRDefault="0023545A"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01" w:type="pct"/>
          </w:tcPr>
          <w:p w14:paraId="6BAD4BE5" w14:textId="77777777"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836" w:type="pct"/>
            <w:gridSpan w:val="2"/>
          </w:tcPr>
          <w:p w14:paraId="563E528D" w14:textId="6E880493" w:rsidR="001C4382" w:rsidRPr="00997F82" w:rsidRDefault="003D4C9F"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r w:rsidR="00F5481B" w:rsidRPr="00997F82" w14:paraId="0AF4228C" w14:textId="240D711C" w:rsidTr="00984522">
        <w:tc>
          <w:tcPr>
            <w:cnfStyle w:val="001000000000" w:firstRow="0" w:lastRow="0" w:firstColumn="1" w:lastColumn="0" w:oddVBand="0" w:evenVBand="0" w:oddHBand="0" w:evenHBand="0" w:firstRowFirstColumn="0" w:firstRowLastColumn="0" w:lastRowFirstColumn="0" w:lastRowLastColumn="0"/>
            <w:tcW w:w="1727" w:type="pct"/>
          </w:tcPr>
          <w:p w14:paraId="6DD611A5"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VIC (6 total)</w:t>
            </w:r>
          </w:p>
        </w:tc>
        <w:tc>
          <w:tcPr>
            <w:tcW w:w="786" w:type="pct"/>
          </w:tcPr>
          <w:p w14:paraId="26D3FE60" w14:textId="1CE201BF" w:rsidR="001C4382" w:rsidRPr="00997F82" w:rsidRDefault="00CC0D73"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3</w:t>
            </w:r>
          </w:p>
        </w:tc>
        <w:tc>
          <w:tcPr>
            <w:tcW w:w="850" w:type="pct"/>
            <w:gridSpan w:val="2"/>
          </w:tcPr>
          <w:p w14:paraId="486FE126" w14:textId="3D92139F" w:rsidR="001C4382" w:rsidRPr="00997F82" w:rsidRDefault="00CC0D73"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4</w:t>
            </w:r>
          </w:p>
        </w:tc>
        <w:tc>
          <w:tcPr>
            <w:tcW w:w="801" w:type="pct"/>
          </w:tcPr>
          <w:p w14:paraId="071D528A" w14:textId="64B34AC7" w:rsidR="001C4382" w:rsidRPr="00997F82" w:rsidRDefault="004E2D10"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c>
          <w:tcPr>
            <w:tcW w:w="836" w:type="pct"/>
            <w:gridSpan w:val="2"/>
          </w:tcPr>
          <w:p w14:paraId="32B901A2" w14:textId="37A46631" w:rsidR="001C4382" w:rsidRPr="00997F82" w:rsidRDefault="00326354"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1</w:t>
            </w:r>
          </w:p>
        </w:tc>
      </w:tr>
      <w:tr w:rsidR="00F5481B" w:rsidRPr="00997F82" w14:paraId="0EB1E169" w14:textId="2BCC5179" w:rsidTr="00984522">
        <w:tc>
          <w:tcPr>
            <w:cnfStyle w:val="001000000000" w:firstRow="0" w:lastRow="0" w:firstColumn="1" w:lastColumn="0" w:oddVBand="0" w:evenVBand="0" w:oddHBand="0" w:evenHBand="0" w:firstRowFirstColumn="0" w:firstRowLastColumn="0" w:lastRowFirstColumn="0" w:lastRowLastColumn="0"/>
            <w:tcW w:w="1727" w:type="pct"/>
          </w:tcPr>
          <w:p w14:paraId="52DE00FE" w14:textId="77777777" w:rsidR="001C4382" w:rsidRPr="00997F82" w:rsidRDefault="001C4382" w:rsidP="00C42093">
            <w:pPr>
              <w:kinsoku w:val="0"/>
              <w:overflowPunct w:val="0"/>
              <w:autoSpaceDE w:val="0"/>
              <w:autoSpaceDN w:val="0"/>
              <w:adjustRightInd w:val="0"/>
              <w:snapToGrid w:val="0"/>
              <w:spacing w:line="276" w:lineRule="auto"/>
              <w:ind w:left="227"/>
              <w:rPr>
                <w:rFonts w:eastAsia="MS Mincho"/>
                <w:b w:val="0"/>
                <w:bCs w:val="0"/>
                <w:snapToGrid w:val="0"/>
                <w:color w:val="auto"/>
                <w:lang w:eastAsia="en-US"/>
              </w:rPr>
            </w:pPr>
            <w:r w:rsidRPr="00997F82">
              <w:rPr>
                <w:rFonts w:eastAsia="MS Mincho"/>
                <w:b w:val="0"/>
                <w:bCs w:val="0"/>
                <w:snapToGrid w:val="0"/>
                <w:color w:val="auto"/>
                <w:lang w:eastAsia="en-US"/>
              </w:rPr>
              <w:t>WA (3 total)</w:t>
            </w:r>
          </w:p>
        </w:tc>
        <w:tc>
          <w:tcPr>
            <w:tcW w:w="786" w:type="pct"/>
          </w:tcPr>
          <w:p w14:paraId="2E147D1F" w14:textId="6737C210" w:rsidR="001C4382" w:rsidRPr="00997F82" w:rsidRDefault="00F61258"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850" w:type="pct"/>
            <w:gridSpan w:val="2"/>
          </w:tcPr>
          <w:p w14:paraId="29D8E997" w14:textId="17BC4E4C"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801" w:type="pct"/>
          </w:tcPr>
          <w:p w14:paraId="01860D1E" w14:textId="77777777" w:rsidR="001C4382" w:rsidRPr="00997F82" w:rsidRDefault="001C4382"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c>
          <w:tcPr>
            <w:tcW w:w="836" w:type="pct"/>
            <w:gridSpan w:val="2"/>
          </w:tcPr>
          <w:p w14:paraId="585E53E4" w14:textId="188C7722" w:rsidR="001C4382" w:rsidRPr="00997F82" w:rsidRDefault="003D4C9F" w:rsidP="00C42093">
            <w:pPr>
              <w:kinsoku w:val="0"/>
              <w:overflowPunct w:val="0"/>
              <w:autoSpaceDE w:val="0"/>
              <w:autoSpaceDN w:val="0"/>
              <w:adjustRightInd w:val="0"/>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MS Mincho"/>
                <w:snapToGrid w:val="0"/>
                <w:color w:val="auto"/>
                <w:lang w:eastAsia="en-US"/>
              </w:rPr>
            </w:pPr>
            <w:r w:rsidRPr="00997F82">
              <w:rPr>
                <w:rFonts w:eastAsia="MS Mincho"/>
                <w:snapToGrid w:val="0"/>
                <w:color w:val="auto"/>
                <w:lang w:eastAsia="en-US"/>
              </w:rPr>
              <w:t>0</w:t>
            </w:r>
          </w:p>
        </w:tc>
      </w:tr>
    </w:tbl>
    <w:p w14:paraId="126C4F99" w14:textId="702D57D9" w:rsidR="00972AAD" w:rsidRPr="00997F82" w:rsidRDefault="00972AAD" w:rsidP="00972AAD">
      <w:pPr>
        <w:spacing w:after="120"/>
      </w:pPr>
      <w:r w:rsidRPr="00997F82">
        <w:t>Coordination and integration activities range</w:t>
      </w:r>
      <w:r w:rsidR="008D65CF" w:rsidRPr="00997F82">
        <w:t>d</w:t>
      </w:r>
      <w:r w:rsidRPr="00997F82">
        <w:t xml:space="preserve"> from:</w:t>
      </w:r>
    </w:p>
    <w:p w14:paraId="61CC8BDA" w14:textId="5A126209" w:rsidR="00044392" w:rsidRPr="00997F82" w:rsidRDefault="00044392" w:rsidP="006950EE">
      <w:pPr>
        <w:pStyle w:val="ListBullet"/>
      </w:pPr>
      <w:r w:rsidRPr="00997F82">
        <w:t xml:space="preserve">Bringing services providers and the community together </w:t>
      </w:r>
      <w:r w:rsidR="00304A8B" w:rsidRPr="00997F82">
        <w:t>through</w:t>
      </w:r>
      <w:r w:rsidRPr="00997F82">
        <w:t xml:space="preserve"> educational initiatives. </w:t>
      </w:r>
    </w:p>
    <w:p w14:paraId="7F1E0442" w14:textId="765EC3EB" w:rsidR="00044392" w:rsidRPr="00997F82" w:rsidRDefault="00044392" w:rsidP="006950EE">
      <w:pPr>
        <w:pStyle w:val="ListBullet"/>
      </w:pPr>
      <w:r w:rsidRPr="00997F82">
        <w:t>Participating in and establishing collaborations</w:t>
      </w:r>
      <w:r w:rsidR="00304A8B" w:rsidRPr="00997F82">
        <w:t xml:space="preserve">, professional networks </w:t>
      </w:r>
      <w:r w:rsidRPr="00997F82">
        <w:t>and consortiums for palliative care</w:t>
      </w:r>
      <w:r w:rsidR="00304A8B" w:rsidRPr="00997F82">
        <w:t>, including RACHs</w:t>
      </w:r>
      <w:r w:rsidRPr="00997F82">
        <w:t>.</w:t>
      </w:r>
    </w:p>
    <w:p w14:paraId="60366CA2" w14:textId="02793FB7" w:rsidR="00972AAD" w:rsidRPr="00997F82" w:rsidRDefault="00E57D2F" w:rsidP="006950EE">
      <w:pPr>
        <w:pStyle w:val="ListBullet"/>
      </w:pPr>
      <w:r w:rsidRPr="00997F82">
        <w:t xml:space="preserve">Updating and </w:t>
      </w:r>
      <w:r w:rsidR="000D2E5F" w:rsidRPr="00997F82">
        <w:t>reviewing</w:t>
      </w:r>
      <w:r w:rsidRPr="00997F82">
        <w:t xml:space="preserve"> </w:t>
      </w:r>
      <w:proofErr w:type="spellStart"/>
      <w:r w:rsidRPr="00997F82">
        <w:t>HealthPathways</w:t>
      </w:r>
      <w:proofErr w:type="spellEnd"/>
      <w:r w:rsidRPr="00997F82">
        <w:t xml:space="preserve"> for practitioners to </w:t>
      </w:r>
      <w:r w:rsidR="000D2E5F" w:rsidRPr="00997F82">
        <w:t xml:space="preserve">better identify palliative care services </w:t>
      </w:r>
      <w:r w:rsidR="00DC476D" w:rsidRPr="00997F82">
        <w:t xml:space="preserve">to support </w:t>
      </w:r>
      <w:r w:rsidR="00007AD8" w:rsidRPr="00997F82">
        <w:t xml:space="preserve">a </w:t>
      </w:r>
      <w:r w:rsidR="00DC476D" w:rsidRPr="00997F82">
        <w:t>better continuum of care journey for individuals</w:t>
      </w:r>
      <w:r w:rsidR="001B3EC3" w:rsidRPr="00997F82">
        <w:t xml:space="preserve"> at home and in the community</w:t>
      </w:r>
      <w:r w:rsidR="00DC476D" w:rsidRPr="00997F82">
        <w:t>.</w:t>
      </w:r>
    </w:p>
    <w:p w14:paraId="72736315" w14:textId="4BAB3A3B" w:rsidR="00DC476D" w:rsidRPr="00997F82" w:rsidRDefault="004B7EA8" w:rsidP="006950EE">
      <w:pPr>
        <w:pStyle w:val="ListBullet"/>
      </w:pPr>
      <w:r w:rsidRPr="00997F82">
        <w:t>Producing service and navigation directories</w:t>
      </w:r>
      <w:r w:rsidR="00007AD8" w:rsidRPr="00997F82">
        <w:t xml:space="preserve">, tools </w:t>
      </w:r>
      <w:r w:rsidRPr="00997F82">
        <w:t xml:space="preserve">or webpages for the community </w:t>
      </w:r>
      <w:r w:rsidR="001B3EC3" w:rsidRPr="00997F82">
        <w:t xml:space="preserve">and </w:t>
      </w:r>
      <w:r w:rsidRPr="00997F82">
        <w:t>for health professionals.</w:t>
      </w:r>
    </w:p>
    <w:p w14:paraId="4ADD759C" w14:textId="49EFCEF9" w:rsidR="004B7EA8" w:rsidRPr="00997F82" w:rsidRDefault="00D13DBA" w:rsidP="006950EE">
      <w:pPr>
        <w:pStyle w:val="ListBullet"/>
      </w:pPr>
      <w:r w:rsidRPr="00997F82">
        <w:t xml:space="preserve">Establishing </w:t>
      </w:r>
      <w:r w:rsidR="009944BC" w:rsidRPr="00997F82">
        <w:t xml:space="preserve">multi-disciplinary </w:t>
      </w:r>
      <w:r w:rsidRPr="00997F82">
        <w:t>groups</w:t>
      </w:r>
      <w:r w:rsidR="00007AD8" w:rsidRPr="00997F82">
        <w:t>, partnerships</w:t>
      </w:r>
      <w:r w:rsidRPr="00997F82">
        <w:t xml:space="preserve"> and advisory committees across </w:t>
      </w:r>
      <w:r w:rsidR="00383E06" w:rsidRPr="00997F82">
        <w:t xml:space="preserve">PHN </w:t>
      </w:r>
      <w:r w:rsidRPr="00997F82">
        <w:t>region</w:t>
      </w:r>
      <w:r w:rsidR="00383E06" w:rsidRPr="00997F82">
        <w:t>s</w:t>
      </w:r>
      <w:r w:rsidRPr="00997F82">
        <w:t xml:space="preserve"> with the intention of better coordinated palliative care journeys.</w:t>
      </w:r>
    </w:p>
    <w:p w14:paraId="3E4B78A2" w14:textId="7E7C3FC7" w:rsidR="00304A8B" w:rsidRPr="00997F82" w:rsidRDefault="00D13DBA" w:rsidP="006950EE">
      <w:pPr>
        <w:pStyle w:val="ListBullet"/>
      </w:pPr>
      <w:r w:rsidRPr="00997F82">
        <w:t xml:space="preserve">Developing </w:t>
      </w:r>
      <w:r w:rsidR="009944BC" w:rsidRPr="00997F82">
        <w:t>or implementing models of care for palliative care service</w:t>
      </w:r>
      <w:r w:rsidR="003A551E" w:rsidRPr="00997F82">
        <w:t>s to better support integration, joint services</w:t>
      </w:r>
      <w:r w:rsidR="000009FC" w:rsidRPr="00997F82">
        <w:t xml:space="preserve">, shared </w:t>
      </w:r>
      <w:r w:rsidR="003A551E" w:rsidRPr="00997F82">
        <w:t xml:space="preserve">documentation, referral systems, </w:t>
      </w:r>
      <w:r w:rsidR="00007AD8" w:rsidRPr="00997F82">
        <w:t>and palliative care capacity building.</w:t>
      </w:r>
      <w:r w:rsidR="00304A8B" w:rsidRPr="00997F82">
        <w:t xml:space="preserve"> </w:t>
      </w:r>
    </w:p>
    <w:p w14:paraId="0CE5160E" w14:textId="2E4E2FC7" w:rsidR="00007AD8" w:rsidRPr="00997F82" w:rsidRDefault="001F2486" w:rsidP="006950EE">
      <w:pPr>
        <w:pStyle w:val="Heading3"/>
      </w:pPr>
      <w:r w:rsidRPr="00997F82">
        <w:t>Activity example</w:t>
      </w:r>
      <w:r w:rsidR="00007AD8" w:rsidRPr="00997F82">
        <w:t>:</w:t>
      </w:r>
    </w:p>
    <w:tbl>
      <w:tblPr>
        <w:tblStyle w:val="TableGrid"/>
        <w:tblW w:w="9217" w:type="dxa"/>
        <w:tblLayout w:type="fixed"/>
        <w:tblLook w:val="04A0" w:firstRow="1" w:lastRow="0" w:firstColumn="1" w:lastColumn="0" w:noHBand="0" w:noVBand="1"/>
      </w:tblPr>
      <w:tblGrid>
        <w:gridCol w:w="5384"/>
        <w:gridCol w:w="3833"/>
      </w:tblGrid>
      <w:tr w:rsidR="00007AD8" w:rsidRPr="00997F82" w14:paraId="4E3FCF75" w14:textId="77777777" w:rsidTr="005E676D">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9217" w:type="dxa"/>
            <w:gridSpan w:val="2"/>
          </w:tcPr>
          <w:p w14:paraId="4B8BD38E" w14:textId="5114660A" w:rsidR="00007AD8" w:rsidRPr="00997F82" w:rsidRDefault="00512124" w:rsidP="00984522">
            <w:pPr>
              <w:pStyle w:val="TableHeader"/>
              <w:rPr>
                <w:color w:val="FFFFFF" w:themeColor="background1"/>
                <w:lang w:val="en-GB"/>
              </w:rPr>
            </w:pPr>
            <w:proofErr w:type="gramStart"/>
            <w:r w:rsidRPr="00997F82">
              <w:rPr>
                <w:color w:val="FFFFFF" w:themeColor="background1"/>
                <w:lang w:val="en-GB"/>
              </w:rPr>
              <w:t>South Eastern</w:t>
            </w:r>
            <w:proofErr w:type="gramEnd"/>
            <w:r w:rsidRPr="00997F82">
              <w:rPr>
                <w:color w:val="FFFFFF" w:themeColor="background1"/>
                <w:lang w:val="en-GB"/>
              </w:rPr>
              <w:t xml:space="preserve"> Melbourne PHN – Integrated Secure </w:t>
            </w:r>
            <w:proofErr w:type="spellStart"/>
            <w:r w:rsidR="00636A85" w:rsidRPr="00997F82">
              <w:rPr>
                <w:color w:val="FFFFFF" w:themeColor="background1"/>
                <w:lang w:val="en-GB"/>
              </w:rPr>
              <w:t>e</w:t>
            </w:r>
            <w:r w:rsidRPr="00997F82">
              <w:rPr>
                <w:color w:val="FFFFFF" w:themeColor="background1"/>
                <w:lang w:val="en-GB"/>
              </w:rPr>
              <w:t>Referral</w:t>
            </w:r>
            <w:proofErr w:type="spellEnd"/>
            <w:r w:rsidRPr="00997F82">
              <w:rPr>
                <w:color w:val="FFFFFF" w:themeColor="background1"/>
                <w:lang w:val="en-GB"/>
              </w:rPr>
              <w:t xml:space="preserve"> system</w:t>
            </w:r>
          </w:p>
        </w:tc>
      </w:tr>
      <w:tr w:rsidR="00007AD8" w:rsidRPr="00997F82" w14:paraId="5CF87B76" w14:textId="77777777" w:rsidTr="005E676D">
        <w:trPr>
          <w:trHeight w:val="3472"/>
        </w:trPr>
        <w:tc>
          <w:tcPr>
            <w:cnfStyle w:val="001000000000" w:firstRow="0" w:lastRow="0" w:firstColumn="1" w:lastColumn="0" w:oddVBand="0" w:evenVBand="0" w:oddHBand="0" w:evenHBand="0" w:firstRowFirstColumn="0" w:firstRowLastColumn="0" w:lastRowFirstColumn="0" w:lastRowLastColumn="0"/>
            <w:tcW w:w="5384" w:type="dxa"/>
          </w:tcPr>
          <w:p w14:paraId="089AB23E" w14:textId="7272C111" w:rsidR="00304A8B" w:rsidRPr="00997F82" w:rsidRDefault="00512124" w:rsidP="006950EE">
            <w:pPr>
              <w:pStyle w:val="TableText"/>
              <w:rPr>
                <w:rFonts w:asciiTheme="minorHAnsi" w:hAnsiTheme="minorHAnsi"/>
                <w:color w:val="auto"/>
                <w:szCs w:val="20"/>
                <w:lang w:val="en-GB"/>
              </w:rPr>
            </w:pPr>
            <w:r w:rsidRPr="00997F82">
              <w:rPr>
                <w:rFonts w:asciiTheme="majorHAnsi" w:hAnsiTheme="majorHAnsi"/>
                <w:color w:val="auto"/>
                <w:lang w:val="en-GB"/>
              </w:rPr>
              <w:t xml:space="preserve">SEMPHN have </w:t>
            </w:r>
            <w:r w:rsidR="00917B22" w:rsidRPr="00997F82">
              <w:rPr>
                <w:rFonts w:asciiTheme="majorHAnsi" w:hAnsiTheme="majorHAnsi"/>
                <w:color w:val="auto"/>
                <w:lang w:val="en-GB"/>
              </w:rPr>
              <w:t xml:space="preserve">supported the integration of secure </w:t>
            </w:r>
            <w:proofErr w:type="spellStart"/>
            <w:r w:rsidR="00917B22" w:rsidRPr="00997F82">
              <w:rPr>
                <w:rFonts w:asciiTheme="majorHAnsi" w:hAnsiTheme="majorHAnsi"/>
                <w:color w:val="auto"/>
                <w:lang w:val="en-GB"/>
              </w:rPr>
              <w:t>eReferrals</w:t>
            </w:r>
            <w:proofErr w:type="spellEnd"/>
            <w:r w:rsidR="00917B22" w:rsidRPr="00997F82">
              <w:rPr>
                <w:rFonts w:asciiTheme="majorHAnsi" w:hAnsiTheme="majorHAnsi"/>
                <w:color w:val="auto"/>
                <w:lang w:val="en-GB"/>
              </w:rPr>
              <w:t xml:space="preserve"> into GP and Specialist medical software. </w:t>
            </w:r>
            <w:r w:rsidR="00917B22" w:rsidRPr="00997F82">
              <w:rPr>
                <w:rFonts w:asciiTheme="minorHAnsi" w:hAnsiTheme="minorHAnsi"/>
                <w:color w:val="auto"/>
                <w:szCs w:val="20"/>
                <w:lang w:val="en-GB"/>
              </w:rPr>
              <w:t>This is intended to improve the referral process to community palliative care providers in the region</w:t>
            </w:r>
            <w:r w:rsidR="00E471C2" w:rsidRPr="00997F82">
              <w:rPr>
                <w:rFonts w:asciiTheme="minorHAnsi" w:hAnsiTheme="minorHAnsi"/>
                <w:color w:val="auto"/>
                <w:szCs w:val="20"/>
                <w:lang w:val="en-GB"/>
              </w:rPr>
              <w:t xml:space="preserve">, improving efficiency for GPs </w:t>
            </w:r>
            <w:r w:rsidR="00383E06" w:rsidRPr="00997F82">
              <w:rPr>
                <w:rFonts w:asciiTheme="minorHAnsi" w:hAnsiTheme="minorHAnsi"/>
                <w:color w:val="auto"/>
                <w:szCs w:val="20"/>
                <w:lang w:val="en-GB"/>
              </w:rPr>
              <w:t xml:space="preserve">and </w:t>
            </w:r>
            <w:r w:rsidR="00E471C2" w:rsidRPr="00997F82">
              <w:rPr>
                <w:rFonts w:asciiTheme="minorHAnsi" w:hAnsiTheme="minorHAnsi"/>
                <w:color w:val="auto"/>
                <w:szCs w:val="20"/>
                <w:lang w:val="en-GB"/>
              </w:rPr>
              <w:t>specialist</w:t>
            </w:r>
            <w:r w:rsidR="00383E06" w:rsidRPr="00997F82">
              <w:rPr>
                <w:rFonts w:asciiTheme="minorHAnsi" w:hAnsiTheme="minorHAnsi"/>
                <w:color w:val="auto"/>
                <w:szCs w:val="20"/>
                <w:lang w:val="en-GB"/>
              </w:rPr>
              <w:t xml:space="preserve"> palliative care practitioners,</w:t>
            </w:r>
            <w:r w:rsidR="00E471C2" w:rsidRPr="00997F82">
              <w:rPr>
                <w:rFonts w:asciiTheme="minorHAnsi" w:hAnsiTheme="minorHAnsi"/>
                <w:color w:val="auto"/>
                <w:szCs w:val="20"/>
                <w:lang w:val="en-GB"/>
              </w:rPr>
              <w:t xml:space="preserve"> and </w:t>
            </w:r>
            <w:r w:rsidR="00383E06" w:rsidRPr="00997F82">
              <w:rPr>
                <w:rFonts w:asciiTheme="minorHAnsi" w:hAnsiTheme="minorHAnsi"/>
                <w:color w:val="auto"/>
                <w:szCs w:val="20"/>
                <w:lang w:val="en-GB"/>
              </w:rPr>
              <w:t xml:space="preserve">to </w:t>
            </w:r>
            <w:r w:rsidR="00E471C2" w:rsidRPr="00997F82">
              <w:rPr>
                <w:rFonts w:asciiTheme="minorHAnsi" w:hAnsiTheme="minorHAnsi"/>
                <w:color w:val="auto"/>
                <w:szCs w:val="20"/>
                <w:lang w:val="en-GB"/>
              </w:rPr>
              <w:t>improve the accuracy and quality of referrals being received.</w:t>
            </w:r>
          </w:p>
          <w:p w14:paraId="452931EA" w14:textId="6E0BF6BF" w:rsidR="00917B22" w:rsidRPr="00997F82" w:rsidRDefault="00917B22" w:rsidP="00C42093">
            <w:pPr>
              <w:pStyle w:val="TableText"/>
              <w:rPr>
                <w:rFonts w:asciiTheme="minorHAnsi" w:hAnsiTheme="minorHAnsi" w:cs="Arial"/>
                <w:szCs w:val="20"/>
                <w:lang w:val="en-GB"/>
              </w:rPr>
            </w:pPr>
            <w:r w:rsidRPr="00997F82">
              <w:rPr>
                <w:rFonts w:asciiTheme="minorHAnsi" w:hAnsiTheme="minorHAnsi"/>
                <w:color w:val="auto"/>
                <w:szCs w:val="20"/>
                <w:lang w:val="en-GB"/>
              </w:rPr>
              <w:t xml:space="preserve">SEMPHN </w:t>
            </w:r>
            <w:r w:rsidR="00264EDF" w:rsidRPr="00997F82">
              <w:rPr>
                <w:rFonts w:asciiTheme="minorHAnsi" w:hAnsiTheme="minorHAnsi"/>
                <w:color w:val="auto"/>
                <w:szCs w:val="20"/>
                <w:lang w:val="en-GB"/>
              </w:rPr>
              <w:t xml:space="preserve">selected </w:t>
            </w:r>
            <w:r w:rsidRPr="00997F82">
              <w:rPr>
                <w:rFonts w:asciiTheme="minorHAnsi" w:hAnsiTheme="minorHAnsi"/>
                <w:color w:val="auto"/>
                <w:szCs w:val="20"/>
                <w:lang w:val="en-GB"/>
              </w:rPr>
              <w:t xml:space="preserve">a </w:t>
            </w:r>
            <w:r w:rsidR="00E471C2" w:rsidRPr="00997F82">
              <w:rPr>
                <w:rFonts w:asciiTheme="minorHAnsi" w:hAnsiTheme="minorHAnsi"/>
                <w:color w:val="auto"/>
                <w:szCs w:val="20"/>
                <w:lang w:val="en-GB"/>
              </w:rPr>
              <w:t>vendor and</w:t>
            </w:r>
            <w:r w:rsidR="00260D3F" w:rsidRPr="00997F82">
              <w:rPr>
                <w:rFonts w:asciiTheme="minorHAnsi" w:hAnsiTheme="minorHAnsi"/>
                <w:color w:val="auto"/>
                <w:szCs w:val="20"/>
                <w:lang w:val="en-GB"/>
              </w:rPr>
              <w:t xml:space="preserve"> commenced the integration and design phase in early 2025. </w:t>
            </w:r>
            <w:r w:rsidR="00E471C2" w:rsidRPr="00997F82">
              <w:rPr>
                <w:rFonts w:asciiTheme="minorHAnsi" w:hAnsiTheme="minorHAnsi"/>
                <w:color w:val="auto"/>
                <w:szCs w:val="20"/>
                <w:lang w:val="en-GB"/>
              </w:rPr>
              <w:t xml:space="preserve">They are supporting implementation through education and promotion of the feature, </w:t>
            </w:r>
            <w:r w:rsidR="00636A85" w:rsidRPr="00997F82">
              <w:rPr>
                <w:rFonts w:asciiTheme="minorHAnsi" w:hAnsiTheme="minorHAnsi"/>
                <w:color w:val="auto"/>
                <w:szCs w:val="20"/>
                <w:lang w:val="en-GB"/>
              </w:rPr>
              <w:t>with the go-live intended for May 2025.</w:t>
            </w:r>
          </w:p>
        </w:tc>
        <w:tc>
          <w:tcPr>
            <w:tcW w:w="3833" w:type="dxa"/>
          </w:tcPr>
          <w:p w14:paraId="586CB214" w14:textId="17180F98" w:rsidR="00007AD8" w:rsidRPr="00997F82" w:rsidRDefault="004D486C" w:rsidP="00C42093">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0"/>
                <w:lang w:val="en-GB"/>
              </w:rPr>
            </w:pPr>
            <w:r w:rsidRPr="00997F82">
              <w:rPr>
                <w:rFonts w:asciiTheme="minorHAnsi" w:hAnsiTheme="minorHAnsi" w:cs="Arial"/>
                <w:noProof/>
                <w:szCs w:val="20"/>
                <w:lang w:val="en-GB"/>
              </w:rPr>
              <w:drawing>
                <wp:inline distT="0" distB="0" distL="0" distR="0" wp14:anchorId="58B2298E" wp14:editId="353E3AA6">
                  <wp:extent cx="2440982" cy="2145700"/>
                  <wp:effectExtent l="0" t="0" r="0" b="6985"/>
                  <wp:docPr id="277193588" name="Picture 1" descr="A photograph of a person in an open office environment looking at a screen and holding the speaker piece of a headset and smiling.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93588" name="Picture 1" descr="A photograph of a person in an open office environment looking at a screen and holding the speaker piece of a headset and smiling. ">
                            <a:extLst>
                              <a:ext uri="{C183D7F6-B498-43B3-948B-1728B52AA6E4}">
                                <adec:decorative xmlns:adec="http://schemas.microsoft.com/office/drawing/2017/decorative" val="0"/>
                              </a:ext>
                            </a:extLst>
                          </pic:cNvPr>
                          <pic:cNvPicPr/>
                        </pic:nvPicPr>
                        <pic:blipFill rotWithShape="1">
                          <a:blip r:embed="rId21"/>
                          <a:srcRect l="7135" t="-909" r="5119" b="2523"/>
                          <a:stretch/>
                        </pic:blipFill>
                        <pic:spPr bwMode="auto">
                          <a:xfrm>
                            <a:off x="0" y="0"/>
                            <a:ext cx="2443763" cy="214814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69D1983" w14:textId="77777777" w:rsidR="00886181" w:rsidRPr="006950EE" w:rsidRDefault="00886181" w:rsidP="006950EE">
      <w:pPr>
        <w:rPr>
          <w:lang w:eastAsia="en-US"/>
        </w:rPr>
      </w:pPr>
      <w:r w:rsidRPr="00997F82">
        <w:br w:type="page"/>
      </w:r>
    </w:p>
    <w:p w14:paraId="122C5AAB" w14:textId="63572CF1" w:rsidR="006A0C40" w:rsidRPr="00997F82" w:rsidRDefault="00F058AF" w:rsidP="00277D66">
      <w:pPr>
        <w:pStyle w:val="Heading1"/>
      </w:pPr>
      <w:bookmarkStart w:id="28" w:name="_Toc226898033"/>
      <w:bookmarkStart w:id="29" w:name="_Toc231898084"/>
      <w:r w:rsidRPr="00997F82">
        <w:t>Program design and delivery</w:t>
      </w:r>
      <w:bookmarkEnd w:id="28"/>
      <w:bookmarkEnd w:id="29"/>
    </w:p>
    <w:p w14:paraId="1E7640C8" w14:textId="179F0A42" w:rsidR="00124BFC" w:rsidRPr="00997F82" w:rsidRDefault="009A56CB" w:rsidP="00277D66">
      <w:pPr>
        <w:pStyle w:val="Heading2"/>
      </w:pPr>
      <w:r w:rsidRPr="00997F82">
        <w:t>How effective have governance arrangements been for implementing and achieving the objectives of the GC</w:t>
      </w:r>
      <w:r w:rsidR="00C566DE" w:rsidRPr="00997F82">
        <w:t>f</w:t>
      </w:r>
      <w:r w:rsidRPr="00997F82">
        <w:t>AHPC Program?</w:t>
      </w:r>
    </w:p>
    <w:tbl>
      <w:tblPr>
        <w:tblStyle w:val="IMSTable"/>
        <w:tblW w:w="0" w:type="auto"/>
        <w:tblLook w:val="04E0" w:firstRow="1" w:lastRow="1" w:firstColumn="1" w:lastColumn="0" w:noHBand="0" w:noVBand="1"/>
      </w:tblPr>
      <w:tblGrid>
        <w:gridCol w:w="9027"/>
      </w:tblGrid>
      <w:tr w:rsidR="005E676D" w14:paraId="0BDC35FB" w14:textId="77777777" w:rsidTr="005E676D">
        <w:trPr>
          <w:cnfStyle w:val="100000000000" w:firstRow="1" w:lastRow="0" w:firstColumn="0" w:lastColumn="0" w:oddVBand="0" w:evenVBand="0" w:oddHBand="0" w:evenHBand="0" w:firstRowFirstColumn="0" w:firstRowLastColumn="0" w:lastRowFirstColumn="0" w:lastRowLastColumn="0"/>
          <w:tblHeader/>
        </w:trPr>
        <w:tc>
          <w:tcPr>
            <w:tcW w:w="9027" w:type="dxa"/>
          </w:tcPr>
          <w:p w14:paraId="346E7070" w14:textId="6320F357" w:rsidR="005E676D" w:rsidRDefault="005E676D" w:rsidP="005E676D">
            <w:r>
              <w:t>Key finding</w:t>
            </w:r>
          </w:p>
        </w:tc>
      </w:tr>
      <w:tr w:rsidR="005E676D" w14:paraId="65AC6B86" w14:textId="77777777" w:rsidTr="005E676D">
        <w:tc>
          <w:tcPr>
            <w:tcW w:w="9027" w:type="dxa"/>
          </w:tcPr>
          <w:p w14:paraId="1A0FA7FE" w14:textId="5D9DDA58" w:rsidR="005E676D" w:rsidRDefault="005E676D" w:rsidP="005E676D">
            <w:r w:rsidRPr="005E676D">
              <w:t>Most PHNs have established or have utilised existing governance arrangements to support the design and implementation of activities. While there have been reported challenges to maintaining membership and attendance of governance mechanisms, they have proven effective in supporting a coordinated localised approach to palliative care. However, there are opportunities to ensure governance mechanisms include voices from underserved groups or priority populations.</w:t>
            </w:r>
          </w:p>
        </w:tc>
      </w:tr>
      <w:tr w:rsidR="005E676D" w14:paraId="53677853" w14:textId="77777777" w:rsidTr="005E676D">
        <w:trPr>
          <w:cnfStyle w:val="010000000000" w:firstRow="0" w:lastRow="1" w:firstColumn="0" w:lastColumn="0" w:oddVBand="0" w:evenVBand="0" w:oddHBand="0" w:evenHBand="0" w:firstRowFirstColumn="0" w:firstRowLastColumn="0" w:lastRowFirstColumn="0" w:lastRowLastColumn="0"/>
        </w:trPr>
        <w:tc>
          <w:tcPr>
            <w:tcW w:w="9027" w:type="dxa"/>
          </w:tcPr>
          <w:p w14:paraId="22A5F2FC" w14:textId="0A0295E7" w:rsidR="005E676D" w:rsidRDefault="005E676D" w:rsidP="005E676D">
            <w:pPr>
              <w:pStyle w:val="Tablefooterwhite"/>
            </w:pPr>
            <w:r w:rsidRPr="005E676D">
              <w:t>Overall, evidence indicates strong progress in this area</w:t>
            </w:r>
          </w:p>
        </w:tc>
      </w:tr>
    </w:tbl>
    <w:p w14:paraId="3B42E1B8" w14:textId="499CD5EE" w:rsidR="00D22271" w:rsidRPr="00997F82" w:rsidRDefault="00D22271" w:rsidP="006950EE">
      <w:pPr>
        <w:pStyle w:val="Heading3"/>
      </w:pPr>
      <w:r w:rsidRPr="00997F82">
        <w:t xml:space="preserve">Background </w:t>
      </w:r>
    </w:p>
    <w:p w14:paraId="3D1E5304" w14:textId="3701748B" w:rsidR="00CA0689" w:rsidRPr="00997F82" w:rsidRDefault="006E48CE" w:rsidP="002508B7">
      <w:r w:rsidRPr="00997F82">
        <w:t>The guidelines</w:t>
      </w:r>
      <w:r w:rsidR="00044392" w:rsidRPr="00997F82">
        <w:t xml:space="preserve"> PHNs received from the </w:t>
      </w:r>
      <w:r w:rsidR="000F5D68" w:rsidRPr="00997F82">
        <w:t>d</w:t>
      </w:r>
      <w:r w:rsidR="00044392" w:rsidRPr="00997F82">
        <w:t>epartment</w:t>
      </w:r>
      <w:r w:rsidRPr="00997F82">
        <w:t xml:space="preserve"> </w:t>
      </w:r>
      <w:r w:rsidR="00044392" w:rsidRPr="00997F82">
        <w:t xml:space="preserve">to design and deliver their activities, </w:t>
      </w:r>
      <w:r w:rsidRPr="00997F82">
        <w:t>specify that PHNs ‘have responsibility for… working with local communities, clinicians, service providers and state and local governments to identify and prioritise the health care needs of the population in their region</w:t>
      </w:r>
      <w:r w:rsidR="008A4C6D" w:rsidRPr="00997F82">
        <w:t>.</w:t>
      </w:r>
      <w:r w:rsidRPr="00997F82">
        <w:t>’</w:t>
      </w:r>
      <w:r w:rsidR="0073070B" w:rsidRPr="00997F82">
        <w:rPr>
          <w:rStyle w:val="FootnoteReference"/>
        </w:rPr>
        <w:footnoteReference w:id="13"/>
      </w:r>
      <w:r w:rsidRPr="00997F82">
        <w:t xml:space="preserve"> The Guidelines further state they will collaborate with networks and ensure linkage of their activities without causing duplication</w:t>
      </w:r>
      <w:r w:rsidR="00F53814" w:rsidRPr="00997F82">
        <w:t>.</w:t>
      </w:r>
      <w:r w:rsidR="003134D4" w:rsidRPr="00997F82">
        <w:rPr>
          <w:vertAlign w:val="superscript"/>
        </w:rPr>
        <w:t>10</w:t>
      </w:r>
      <w:r w:rsidR="003134D4" w:rsidRPr="00997F82">
        <w:t xml:space="preserve"> </w:t>
      </w:r>
      <w:r w:rsidR="00044392" w:rsidRPr="00997F82">
        <w:t>A</w:t>
      </w:r>
      <w:r w:rsidR="00751E94" w:rsidRPr="00997F82">
        <w:t xml:space="preserve">n exploration of governance arrangements was conducted to determine whether these </w:t>
      </w:r>
      <w:r w:rsidR="000F1363" w:rsidRPr="00997F82">
        <w:t>were effective in enabling PHNs to design and implement activities.</w:t>
      </w:r>
    </w:p>
    <w:p w14:paraId="761D04AB" w14:textId="74062BFD" w:rsidR="006D7AFF" w:rsidRPr="00997F82" w:rsidRDefault="006D7AFF" w:rsidP="006950EE">
      <w:pPr>
        <w:pStyle w:val="Heading3"/>
      </w:pPr>
      <w:r w:rsidRPr="00997F82">
        <w:t>Findings</w:t>
      </w:r>
    </w:p>
    <w:p w14:paraId="08FBF68B" w14:textId="67AF1F50" w:rsidR="00FB6852" w:rsidRPr="00997F82" w:rsidRDefault="00FB6852" w:rsidP="00FB6852">
      <w:pPr>
        <w:rPr>
          <w:vertAlign w:val="superscript"/>
        </w:rPr>
      </w:pPr>
      <w:r w:rsidRPr="00997F82">
        <w:t>At Baseline 23 PHNs indicated through consultation that they had established governance groups or leveraged existing advisory bodies to govern program activities. In many cases</w:t>
      </w:r>
      <w:r w:rsidR="00A342D2" w:rsidRPr="00997F82">
        <w:t>,</w:t>
      </w:r>
      <w:r w:rsidRPr="00997F82">
        <w:t xml:space="preserve"> governance arrangements consisted of </w:t>
      </w:r>
      <w:r w:rsidR="00691338" w:rsidRPr="00997F82">
        <w:t xml:space="preserve">PHN </w:t>
      </w:r>
      <w:r w:rsidR="00A109F6" w:rsidRPr="00997F82">
        <w:t>C</w:t>
      </w:r>
      <w:r w:rsidR="00691338" w:rsidRPr="00997F82">
        <w:t xml:space="preserve">ommunity or </w:t>
      </w:r>
      <w:r w:rsidR="00A109F6" w:rsidRPr="00997F82">
        <w:t>C</w:t>
      </w:r>
      <w:r w:rsidR="00691338" w:rsidRPr="00997F82">
        <w:t xml:space="preserve">linical </w:t>
      </w:r>
      <w:r w:rsidR="00A109F6" w:rsidRPr="00997F82">
        <w:t>C</w:t>
      </w:r>
      <w:r w:rsidR="00691338" w:rsidRPr="00997F82">
        <w:t>ouncils</w:t>
      </w:r>
      <w:r w:rsidR="00CA110C" w:rsidRPr="00997F82">
        <w:t>,</w:t>
      </w:r>
      <w:r w:rsidR="00035DB0" w:rsidRPr="00997F82">
        <w:t xml:space="preserve"> </w:t>
      </w:r>
      <w:r w:rsidRPr="00997F82">
        <w:t>steering committees, advisory bodies, and regional representative groups</w:t>
      </w:r>
      <w:r w:rsidRPr="00997F82">
        <w:rPr>
          <w:vertAlign w:val="superscript"/>
        </w:rPr>
        <w:t>.</w:t>
      </w:r>
      <w:r w:rsidRPr="00997F82">
        <w:rPr>
          <w:vertAlign w:val="superscript"/>
        </w:rPr>
        <w:footnoteReference w:id="14"/>
      </w:r>
    </w:p>
    <w:p w14:paraId="00D63EA4" w14:textId="26E14A96" w:rsidR="00890561" w:rsidRPr="00997F82" w:rsidRDefault="00C961EB" w:rsidP="00260275">
      <w:r w:rsidRPr="00997F82">
        <w:t xml:space="preserve">These governance groups and advisory bodies </w:t>
      </w:r>
      <w:r w:rsidR="00575BEB" w:rsidRPr="00997F82">
        <w:t xml:space="preserve">incorporated </w:t>
      </w:r>
      <w:r w:rsidRPr="00997F82">
        <w:t xml:space="preserve">membership of </w:t>
      </w:r>
      <w:r w:rsidR="0075007E" w:rsidRPr="00997F82">
        <w:t>LHDs</w:t>
      </w:r>
      <w:r w:rsidR="00FB6392" w:rsidRPr="00997F82">
        <w:t>/LHNs</w:t>
      </w:r>
      <w:r w:rsidR="000D143A" w:rsidRPr="00997F82">
        <w:t>, palliative care service providers</w:t>
      </w:r>
      <w:r w:rsidR="0058378D" w:rsidRPr="00997F82">
        <w:t>,</w:t>
      </w:r>
      <w:r w:rsidR="00890561" w:rsidRPr="00997F82">
        <w:t xml:space="preserve"> </w:t>
      </w:r>
      <w:r w:rsidR="0058378D" w:rsidRPr="00997F82">
        <w:t>RACH</w:t>
      </w:r>
      <w:r w:rsidR="00C649BA" w:rsidRPr="00997F82">
        <w:t>s</w:t>
      </w:r>
      <w:r w:rsidR="00A96EAF" w:rsidRPr="00997F82">
        <w:t>, cancer services</w:t>
      </w:r>
      <w:r w:rsidR="00F61BC4" w:rsidRPr="00997F82">
        <w:t>, emergency services</w:t>
      </w:r>
      <w:r w:rsidR="005622CD" w:rsidRPr="00997F82">
        <w:t xml:space="preserve">, </w:t>
      </w:r>
      <w:r w:rsidR="00C649BA" w:rsidRPr="00997F82">
        <w:t xml:space="preserve">and </w:t>
      </w:r>
      <w:r w:rsidR="009B0E63" w:rsidRPr="00997F82">
        <w:t xml:space="preserve">carer and </w:t>
      </w:r>
      <w:r w:rsidR="00890561" w:rsidRPr="00997F82">
        <w:t>consumer representatives</w:t>
      </w:r>
      <w:bookmarkStart w:id="30" w:name="_Hlk202118107"/>
      <w:r w:rsidR="00890561" w:rsidRPr="00997F82">
        <w:t>.</w:t>
      </w:r>
    </w:p>
    <w:p w14:paraId="1A395970" w14:textId="44513E8B" w:rsidR="009E468D" w:rsidRPr="00997F82" w:rsidRDefault="3057AC5D" w:rsidP="009E468D">
      <w:pPr>
        <w:rPr>
          <w:rFonts w:eastAsiaTheme="majorEastAsia"/>
        </w:rPr>
      </w:pPr>
      <w:r w:rsidRPr="00997F82">
        <w:t xml:space="preserve">At </w:t>
      </w:r>
      <w:r w:rsidR="4CC49D54" w:rsidRPr="00997F82">
        <w:t>Endpoint</w:t>
      </w:r>
      <w:r w:rsidRPr="00997F82">
        <w:t xml:space="preserve">, </w:t>
      </w:r>
      <w:r w:rsidR="4C5A5D1A" w:rsidRPr="00997F82">
        <w:t xml:space="preserve">a survey of </w:t>
      </w:r>
      <w:r w:rsidR="105B8172" w:rsidRPr="00997F82">
        <w:t>PHN</w:t>
      </w:r>
      <w:r w:rsidR="4C5A5D1A" w:rsidRPr="00997F82">
        <w:t>s</w:t>
      </w:r>
      <w:r w:rsidR="57261C61" w:rsidRPr="00997F82">
        <w:t xml:space="preserve"> </w:t>
      </w:r>
      <w:r w:rsidR="471CA2A8" w:rsidRPr="00997F82">
        <w:t>highlight</w:t>
      </w:r>
      <w:r w:rsidR="4FFF3882" w:rsidRPr="00997F82">
        <w:t>ed</w:t>
      </w:r>
      <w:r w:rsidR="471CA2A8" w:rsidRPr="00997F82">
        <w:t xml:space="preserve"> that the e</w:t>
      </w:r>
      <w:r w:rsidR="76A57A78" w:rsidRPr="00997F82">
        <w:t xml:space="preserve">stablishment of </w:t>
      </w:r>
      <w:r w:rsidR="471CA2A8" w:rsidRPr="00997F82">
        <w:t xml:space="preserve">these </w:t>
      </w:r>
      <w:r w:rsidR="26842920" w:rsidRPr="00997F82">
        <w:t xml:space="preserve">governance structures </w:t>
      </w:r>
      <w:r w:rsidR="70FDC409" w:rsidRPr="00997F82">
        <w:t>help</w:t>
      </w:r>
      <w:r w:rsidR="71FB5F43" w:rsidRPr="00997F82">
        <w:t>ed</w:t>
      </w:r>
      <w:r w:rsidR="70FDC409" w:rsidRPr="00997F82">
        <w:t xml:space="preserve"> to </w:t>
      </w:r>
      <w:r w:rsidR="05103BF1" w:rsidRPr="00997F82">
        <w:t>bolster relationships, collaboration</w:t>
      </w:r>
      <w:r w:rsidR="2522172D" w:rsidRPr="00997F82">
        <w:t>,</w:t>
      </w:r>
      <w:r w:rsidR="05103BF1" w:rsidRPr="00997F82">
        <w:t xml:space="preserve"> and </w:t>
      </w:r>
      <w:r w:rsidR="5479DD1F" w:rsidRPr="00997F82">
        <w:t>opportunities for system level improvement,</w:t>
      </w:r>
      <w:r w:rsidR="330641E1" w:rsidRPr="00997F82">
        <w:t xml:space="preserve"> </w:t>
      </w:r>
      <w:r w:rsidR="10EA13E1" w:rsidRPr="00997F82">
        <w:t xml:space="preserve">and </w:t>
      </w:r>
      <w:r w:rsidR="330641E1" w:rsidRPr="00997F82">
        <w:t>creat</w:t>
      </w:r>
      <w:r w:rsidR="5B199CA6" w:rsidRPr="00997F82">
        <w:t>ed</w:t>
      </w:r>
      <w:r w:rsidR="330641E1" w:rsidRPr="00997F82">
        <w:t xml:space="preserve"> a strong foundation </w:t>
      </w:r>
      <w:r w:rsidR="4FFF3882" w:rsidRPr="00997F82">
        <w:t xml:space="preserve">to </w:t>
      </w:r>
      <w:r w:rsidR="2E19DF56" w:rsidRPr="00997F82">
        <w:t>achieve</w:t>
      </w:r>
      <w:r w:rsidR="330641E1" w:rsidRPr="00997F82">
        <w:t xml:space="preserve"> program outcomes</w:t>
      </w:r>
      <w:r w:rsidR="625F7BAC" w:rsidRPr="00997F82">
        <w:t xml:space="preserve"> within PHN regions.</w:t>
      </w:r>
      <w:r w:rsidR="00260275" w:rsidRPr="00997F82">
        <w:rPr>
          <w:rStyle w:val="FootnoteReference"/>
        </w:rPr>
        <w:footnoteReference w:id="15"/>
      </w:r>
      <w:r w:rsidR="625F7BAC" w:rsidRPr="00997F82">
        <w:t xml:space="preserve"> </w:t>
      </w:r>
      <w:r w:rsidR="009E468D" w:rsidRPr="00997F82">
        <w:rPr>
          <w:rFonts w:eastAsiaTheme="majorEastAsia"/>
        </w:rPr>
        <w:t xml:space="preserve">On an ongoing basis, </w:t>
      </w:r>
      <w:r w:rsidR="009E468D" w:rsidRPr="00997F82">
        <w:t>survey responses from PHNs noted that governance arrangements assisted with:</w:t>
      </w:r>
      <w:r w:rsidR="009E468D" w:rsidRPr="00997F82">
        <w:rPr>
          <w:rStyle w:val="FootnoteReference"/>
        </w:rPr>
        <w:footnoteReference w:id="16"/>
      </w:r>
    </w:p>
    <w:p w14:paraId="2528CBEC" w14:textId="77777777" w:rsidR="009E468D" w:rsidRPr="00997F82" w:rsidRDefault="009E468D" w:rsidP="006950EE">
      <w:pPr>
        <w:pStyle w:val="ListBullet"/>
      </w:pPr>
      <w:r w:rsidRPr="00997F82">
        <w:t>Developing and reinforcing referral pathways.</w:t>
      </w:r>
    </w:p>
    <w:p w14:paraId="2923D2FC" w14:textId="77777777" w:rsidR="009E468D" w:rsidRPr="00997F82" w:rsidRDefault="009E468D" w:rsidP="006950EE">
      <w:pPr>
        <w:pStyle w:val="ListBullet"/>
      </w:pPr>
      <w:r w:rsidRPr="00997F82">
        <w:t>Supporting continuous improvement.</w:t>
      </w:r>
    </w:p>
    <w:p w14:paraId="5E61D481" w14:textId="77777777" w:rsidR="009E468D" w:rsidRPr="00997F82" w:rsidRDefault="009E468D" w:rsidP="006950EE">
      <w:pPr>
        <w:pStyle w:val="ListBullet"/>
      </w:pPr>
      <w:r w:rsidRPr="00997F82">
        <w:t>Providing opportunities for professional development.</w:t>
      </w:r>
    </w:p>
    <w:p w14:paraId="6A223339" w14:textId="77777777" w:rsidR="009E468D" w:rsidRPr="00997F82" w:rsidRDefault="009E468D" w:rsidP="006950EE">
      <w:pPr>
        <w:pStyle w:val="ListBullet"/>
      </w:pPr>
      <w:r w:rsidRPr="00997F82">
        <w:t>Improving knowledge and awareness.</w:t>
      </w:r>
    </w:p>
    <w:p w14:paraId="3D141428" w14:textId="77777777" w:rsidR="009E468D" w:rsidRPr="00997F82" w:rsidRDefault="009E468D" w:rsidP="006950EE">
      <w:pPr>
        <w:pStyle w:val="ListBullet"/>
      </w:pPr>
      <w:r w:rsidRPr="00997F82">
        <w:t>Providing opportunities for networking.</w:t>
      </w:r>
    </w:p>
    <w:p w14:paraId="3138C163" w14:textId="1A6E0362" w:rsidR="009E468D" w:rsidRPr="00997F82" w:rsidRDefault="009E468D" w:rsidP="006805E3">
      <w:pPr>
        <w:rPr>
          <w:rFonts w:eastAsiaTheme="majorEastAsia"/>
        </w:rPr>
      </w:pPr>
      <w:r w:rsidRPr="00997F82">
        <w:rPr>
          <w:rFonts w:eastAsiaTheme="majorEastAsia"/>
        </w:rPr>
        <w:t xml:space="preserve">This was re-iterated in consultations, where </w:t>
      </w:r>
      <w:r w:rsidR="00E66608" w:rsidRPr="00997F82">
        <w:rPr>
          <w:rFonts w:eastAsiaTheme="majorEastAsia"/>
        </w:rPr>
        <w:t xml:space="preserve">it was identified that </w:t>
      </w:r>
      <w:r w:rsidRPr="00997F82">
        <w:rPr>
          <w:rFonts w:eastAsiaTheme="majorEastAsia"/>
        </w:rPr>
        <w:t xml:space="preserve">forums are used for </w:t>
      </w:r>
      <w:r w:rsidR="00602593" w:rsidRPr="00997F82">
        <w:rPr>
          <w:rFonts w:eastAsiaTheme="majorEastAsia"/>
        </w:rPr>
        <w:t>the overarching governance</w:t>
      </w:r>
      <w:r w:rsidRPr="00997F82">
        <w:rPr>
          <w:rFonts w:eastAsiaTheme="majorEastAsia"/>
        </w:rPr>
        <w:t xml:space="preserve"> and </w:t>
      </w:r>
      <w:r w:rsidR="008911D1" w:rsidRPr="00997F82">
        <w:rPr>
          <w:rFonts w:eastAsiaTheme="majorEastAsia"/>
        </w:rPr>
        <w:t>the inclusion of</w:t>
      </w:r>
      <w:r w:rsidR="00602593" w:rsidRPr="00997F82">
        <w:rPr>
          <w:rFonts w:eastAsiaTheme="majorEastAsia"/>
        </w:rPr>
        <w:t xml:space="preserve"> </w:t>
      </w:r>
      <w:r w:rsidR="00045682" w:rsidRPr="00997F82">
        <w:rPr>
          <w:rFonts w:eastAsiaTheme="majorEastAsia"/>
        </w:rPr>
        <w:t xml:space="preserve">representative voices </w:t>
      </w:r>
      <w:r w:rsidR="008911D1" w:rsidRPr="00997F82">
        <w:rPr>
          <w:rFonts w:eastAsiaTheme="majorEastAsia"/>
        </w:rPr>
        <w:t>to</w:t>
      </w:r>
      <w:r w:rsidR="00045682" w:rsidRPr="00997F82">
        <w:rPr>
          <w:rFonts w:eastAsiaTheme="majorEastAsia"/>
        </w:rPr>
        <w:t xml:space="preserve"> imp</w:t>
      </w:r>
      <w:r w:rsidR="008911D1" w:rsidRPr="00997F82">
        <w:rPr>
          <w:rFonts w:eastAsiaTheme="majorEastAsia"/>
        </w:rPr>
        <w:t>lement</w:t>
      </w:r>
      <w:r w:rsidR="00602593" w:rsidRPr="00997F82">
        <w:rPr>
          <w:rFonts w:eastAsiaTheme="majorEastAsia"/>
        </w:rPr>
        <w:t xml:space="preserve"> PHN activities.</w:t>
      </w:r>
      <w:r w:rsidR="00542A04" w:rsidRPr="00997F82">
        <w:rPr>
          <w:rFonts w:eastAsiaTheme="majorEastAsia"/>
        </w:rPr>
        <w:t xml:space="preserve"> </w:t>
      </w:r>
      <w:r w:rsidR="008911D1" w:rsidRPr="00997F82">
        <w:rPr>
          <w:rFonts w:eastAsiaTheme="majorEastAsia"/>
        </w:rPr>
        <w:t>For example, many</w:t>
      </w:r>
      <w:r w:rsidR="006328D6" w:rsidRPr="00997F82">
        <w:rPr>
          <w:rFonts w:eastAsiaTheme="majorEastAsia"/>
        </w:rPr>
        <w:t xml:space="preserve"> of these</w:t>
      </w:r>
      <w:r w:rsidR="00542A04" w:rsidRPr="00997F82">
        <w:rPr>
          <w:rFonts w:eastAsiaTheme="majorEastAsia"/>
        </w:rPr>
        <w:t xml:space="preserve"> forums are used for specific </w:t>
      </w:r>
      <w:r w:rsidR="007E6819" w:rsidRPr="00997F82">
        <w:rPr>
          <w:rFonts w:eastAsiaTheme="majorEastAsia"/>
        </w:rPr>
        <w:t>PHN activity categories</w:t>
      </w:r>
      <w:r w:rsidR="00542A04" w:rsidRPr="00997F82">
        <w:rPr>
          <w:rFonts w:eastAsiaTheme="majorEastAsia"/>
        </w:rPr>
        <w:t xml:space="preserve"> </w:t>
      </w:r>
      <w:r w:rsidR="007E6819" w:rsidRPr="00997F82">
        <w:rPr>
          <w:rFonts w:eastAsiaTheme="majorEastAsia"/>
        </w:rPr>
        <w:t>such as improving</w:t>
      </w:r>
      <w:r w:rsidR="00542A04" w:rsidRPr="00997F82">
        <w:rPr>
          <w:rFonts w:eastAsiaTheme="majorEastAsia"/>
        </w:rPr>
        <w:t xml:space="preserve"> coordination and integration, </w:t>
      </w:r>
      <w:r w:rsidR="007E6819" w:rsidRPr="00997F82">
        <w:rPr>
          <w:rFonts w:eastAsiaTheme="majorEastAsia"/>
        </w:rPr>
        <w:t xml:space="preserve">developing </w:t>
      </w:r>
      <w:r w:rsidR="00F9203A" w:rsidRPr="00997F82">
        <w:rPr>
          <w:rFonts w:eastAsiaTheme="majorEastAsia"/>
        </w:rPr>
        <w:t>workforce education</w:t>
      </w:r>
      <w:r w:rsidR="006328D6" w:rsidRPr="00997F82">
        <w:rPr>
          <w:rFonts w:eastAsiaTheme="majorEastAsia"/>
        </w:rPr>
        <w:t xml:space="preserve"> and </w:t>
      </w:r>
      <w:r w:rsidR="007E6819" w:rsidRPr="00997F82">
        <w:rPr>
          <w:rFonts w:eastAsiaTheme="majorEastAsia"/>
        </w:rPr>
        <w:t>awareness or developing shared outcomes for priority populations</w:t>
      </w:r>
      <w:r w:rsidRPr="00997F82">
        <w:rPr>
          <w:rFonts w:eastAsiaTheme="majorEastAsia"/>
        </w:rPr>
        <w:t>.</w:t>
      </w:r>
      <w:r w:rsidRPr="00997F82">
        <w:rPr>
          <w:rStyle w:val="FootnoteReference"/>
          <w:rFonts w:eastAsiaTheme="majorEastAsia"/>
        </w:rPr>
        <w:footnoteReference w:id="17"/>
      </w:r>
    </w:p>
    <w:p w14:paraId="049B51EB" w14:textId="77777777" w:rsidR="004B61FB" w:rsidRDefault="004B61FB" w:rsidP="004B61FB">
      <w:pPr>
        <w:pStyle w:val="IntenseQuote"/>
      </w:pPr>
      <w:r>
        <w:t>“Our active involvement in the [PHN] Aged Care Consortium, bringing together various community groups, alliances and people with lived experience enabled us to act as a central connector, bringing together diverse providers to address shared challenges and leverage collective expertise.”</w:t>
      </w:r>
    </w:p>
    <w:p w14:paraId="46562570" w14:textId="55A261F6" w:rsidR="009E468D" w:rsidRPr="00997F82" w:rsidRDefault="004B61FB" w:rsidP="004B61FB">
      <w:pPr>
        <w:pStyle w:val="IntenseQuote"/>
      </w:pPr>
      <w:r>
        <w:t>- PHN Survey</w:t>
      </w:r>
    </w:p>
    <w:p w14:paraId="71E70A88" w14:textId="2936A465" w:rsidR="009E468D" w:rsidRPr="00997F82" w:rsidRDefault="009E468D" w:rsidP="009E468D">
      <w:pPr>
        <w:rPr>
          <w:rFonts w:eastAsiaTheme="majorEastAsia"/>
        </w:rPr>
      </w:pPr>
      <w:r w:rsidRPr="00997F82">
        <w:t>PHNs also identified community i</w:t>
      </w:r>
      <w:r w:rsidRPr="00997F82">
        <w:rPr>
          <w:rFonts w:eastAsiaTheme="majorEastAsia"/>
        </w:rPr>
        <w:t xml:space="preserve">nvolvement </w:t>
      </w:r>
      <w:r w:rsidRPr="00997F82">
        <w:t>in governance arrangements as being key to successful</w:t>
      </w:r>
      <w:r w:rsidRPr="00997F82">
        <w:rPr>
          <w:rFonts w:eastAsiaTheme="majorEastAsia"/>
        </w:rPr>
        <w:t xml:space="preserve"> initiatives aimed at improving death literacy in the community. Collaboration with local councils and </w:t>
      </w:r>
      <w:r w:rsidRPr="00997F82">
        <w:t xml:space="preserve">other community-based </w:t>
      </w:r>
      <w:r w:rsidRPr="00997F82">
        <w:rPr>
          <w:rFonts w:eastAsiaTheme="majorEastAsia"/>
        </w:rPr>
        <w:t>organisations helped facilitate improved community engagement.</w:t>
      </w:r>
      <w:r w:rsidRPr="00997F82">
        <w:rPr>
          <w:rStyle w:val="FootnoteReference"/>
          <w:rFonts w:eastAsiaTheme="majorEastAsia"/>
        </w:rPr>
        <w:footnoteReference w:id="18"/>
      </w:r>
      <w:r w:rsidRPr="00997F82">
        <w:rPr>
          <w:rFonts w:eastAsiaTheme="majorEastAsia"/>
        </w:rPr>
        <w:t xml:space="preserve"> </w:t>
      </w:r>
    </w:p>
    <w:p w14:paraId="3FE235D3" w14:textId="77777777" w:rsidR="004B61FB" w:rsidRPr="004B61FB" w:rsidRDefault="004B61FB" w:rsidP="004B61FB">
      <w:pPr>
        <w:pStyle w:val="IntenseQuote"/>
      </w:pPr>
      <w:r w:rsidRPr="004B61FB">
        <w:t xml:space="preserve">“Members work together at Palliative Care Advisory Committee meetings to solve issues raised during discussion e.g. RACH staff identified the use of syringe pump drivers in palliative care as a challenge. The LHD Nurse Practitioner now provides training to RNs in RACHs to upskill their staff.” </w:t>
      </w:r>
    </w:p>
    <w:p w14:paraId="478C033C" w14:textId="6437B957" w:rsidR="009E468D" w:rsidRPr="00997F82" w:rsidRDefault="004B61FB" w:rsidP="004B61FB">
      <w:pPr>
        <w:pStyle w:val="IntenseQuote"/>
      </w:pPr>
      <w:r w:rsidRPr="004B61FB">
        <w:t>– PHN Survey</w:t>
      </w:r>
    </w:p>
    <w:p w14:paraId="7008138E" w14:textId="55FC3681" w:rsidR="00CA09F4" w:rsidRPr="00997F82" w:rsidRDefault="0033390B" w:rsidP="00041479">
      <w:pPr>
        <w:rPr>
          <w:color w:val="auto"/>
        </w:rPr>
      </w:pPr>
      <w:r w:rsidRPr="00997F82">
        <w:rPr>
          <w:rFonts w:eastAsiaTheme="majorEastAsia"/>
        </w:rPr>
        <w:t>However, there were challenges in maintaining governance arrangements due to member availability and turnover</w:t>
      </w:r>
      <w:r w:rsidR="00094B6A" w:rsidRPr="00997F82">
        <w:rPr>
          <w:rFonts w:eastAsiaTheme="majorEastAsia"/>
        </w:rPr>
        <w:t xml:space="preserve">, especially in regional and remote areas. </w:t>
      </w:r>
      <w:r w:rsidR="00DA1BBA" w:rsidRPr="00997F82">
        <w:t>PHN</w:t>
      </w:r>
      <w:r w:rsidR="00AB3FCE" w:rsidRPr="00997F82">
        <w:t xml:space="preserve">s indicated that GPs are </w:t>
      </w:r>
      <w:r w:rsidR="00A82DD6" w:rsidRPr="00997F82">
        <w:t>invited to be part of governance mechanisms as part of this program but</w:t>
      </w:r>
      <w:r w:rsidR="00AB3FCE" w:rsidRPr="00997F82">
        <w:t xml:space="preserve"> </w:t>
      </w:r>
      <w:r w:rsidR="00A82DD6" w:rsidRPr="00997F82">
        <w:t xml:space="preserve">are </w:t>
      </w:r>
      <w:r w:rsidR="00AB3FCE" w:rsidRPr="00997F82">
        <w:t>not</w:t>
      </w:r>
      <w:r w:rsidR="0078713F" w:rsidRPr="00997F82">
        <w:t xml:space="preserve"> always</w:t>
      </w:r>
      <w:r w:rsidR="00AB3FCE" w:rsidRPr="00997F82">
        <w:t xml:space="preserve"> involved </w:t>
      </w:r>
      <w:r w:rsidR="00A82DD6" w:rsidRPr="00997F82">
        <w:t>or engaged</w:t>
      </w:r>
      <w:r w:rsidR="0078713F" w:rsidRPr="00997F82">
        <w:t xml:space="preserve"> or lack</w:t>
      </w:r>
      <w:r w:rsidR="00C85C44" w:rsidRPr="00997F82">
        <w:t xml:space="preserve"> attendance</w:t>
      </w:r>
      <w:r w:rsidR="0078713F" w:rsidRPr="00997F82">
        <w:t xml:space="preserve"> continuity</w:t>
      </w:r>
      <w:r w:rsidR="00E46C4B" w:rsidRPr="00997F82">
        <w:t>, leading to limitations in having a whole of system view on activities.</w:t>
      </w:r>
      <w:r w:rsidR="00FD0975" w:rsidRPr="00997F82">
        <w:t xml:space="preserve"> </w:t>
      </w:r>
      <w:r w:rsidR="00DA1BBA" w:rsidRPr="00997F82">
        <w:rPr>
          <w:rStyle w:val="FootnoteReference"/>
        </w:rPr>
        <w:footnoteReference w:id="19"/>
      </w:r>
      <w:r w:rsidR="00DA1BBA" w:rsidRPr="00997F82">
        <w:t xml:space="preserve"> </w:t>
      </w:r>
      <w:r w:rsidR="002958E8" w:rsidRPr="00997F82">
        <w:t>In contrast</w:t>
      </w:r>
      <w:r w:rsidR="00F47E09" w:rsidRPr="00997F82">
        <w:t xml:space="preserve">, GPs shared that </w:t>
      </w:r>
      <w:r w:rsidR="00F87E82" w:rsidRPr="00997F82">
        <w:t xml:space="preserve">Program meetings </w:t>
      </w:r>
      <w:r w:rsidR="00B57374" w:rsidRPr="00997F82">
        <w:t>did not</w:t>
      </w:r>
      <w:r w:rsidR="00F87E82" w:rsidRPr="00997F82">
        <w:t xml:space="preserve"> always include information </w:t>
      </w:r>
      <w:r w:rsidR="00207968" w:rsidRPr="00997F82">
        <w:t xml:space="preserve">or activities </w:t>
      </w:r>
      <w:r w:rsidR="00F87E82" w:rsidRPr="00997F82">
        <w:t xml:space="preserve">that </w:t>
      </w:r>
      <w:r w:rsidR="00A503AA" w:rsidRPr="00997F82">
        <w:t>they felt was</w:t>
      </w:r>
      <w:r w:rsidR="00F87E82" w:rsidRPr="00997F82">
        <w:t xml:space="preserve"> relevant to </w:t>
      </w:r>
      <w:r w:rsidR="00A503AA" w:rsidRPr="00997F82">
        <w:t>their delivery</w:t>
      </w:r>
      <w:r w:rsidR="00207968" w:rsidRPr="00997F82">
        <w:t xml:space="preserve">. As GPs are funded differently to other service providers, </w:t>
      </w:r>
      <w:r w:rsidR="006778BD" w:rsidRPr="00997F82">
        <w:t>some felt that forums could have had a greater focus on exploring the role of GPs when working with palliative care services rather than symptom management or care itself.</w:t>
      </w:r>
      <w:r w:rsidR="009E468D" w:rsidRPr="00997F82">
        <w:rPr>
          <w:rStyle w:val="FootnoteReference"/>
        </w:rPr>
        <w:footnoteReference w:id="20"/>
      </w:r>
      <w:r w:rsidR="0033741A" w:rsidRPr="00997F82">
        <w:t xml:space="preserve"> </w:t>
      </w:r>
      <w:r w:rsidR="004274A5" w:rsidRPr="00997F82">
        <w:t xml:space="preserve">Similarly, </w:t>
      </w:r>
      <w:r w:rsidR="00041479" w:rsidRPr="00997F82">
        <w:t xml:space="preserve">observations from </w:t>
      </w:r>
      <w:r w:rsidR="004274A5" w:rsidRPr="00997F82">
        <w:rPr>
          <w:rFonts w:eastAsiaTheme="majorEastAsia"/>
        </w:rPr>
        <w:t>a</w:t>
      </w:r>
      <w:r w:rsidR="00041479" w:rsidRPr="00997F82">
        <w:rPr>
          <w:rFonts w:eastAsiaTheme="majorEastAsia"/>
        </w:rPr>
        <w:t>n understanding of existing governance mechanisms</w:t>
      </w:r>
      <w:r w:rsidR="004274A5" w:rsidRPr="00997F82">
        <w:rPr>
          <w:rFonts w:eastAsiaTheme="majorEastAsia"/>
        </w:rPr>
        <w:t xml:space="preserve"> </w:t>
      </w:r>
      <w:r w:rsidR="00041479" w:rsidRPr="00997F82">
        <w:rPr>
          <w:rFonts w:eastAsiaTheme="majorEastAsia"/>
        </w:rPr>
        <w:t xml:space="preserve">highlighted </w:t>
      </w:r>
      <w:r w:rsidR="008B599F" w:rsidRPr="00997F82">
        <w:rPr>
          <w:rFonts w:eastAsiaTheme="majorEastAsia"/>
        </w:rPr>
        <w:t xml:space="preserve">that there are </w:t>
      </w:r>
      <w:r w:rsidR="00041479" w:rsidRPr="00997F82">
        <w:rPr>
          <w:rFonts w:eastAsiaTheme="majorEastAsia"/>
        </w:rPr>
        <w:t xml:space="preserve">limited community member representatives </w:t>
      </w:r>
      <w:r w:rsidR="008B599F" w:rsidRPr="00997F82">
        <w:rPr>
          <w:rFonts w:eastAsiaTheme="majorEastAsia"/>
        </w:rPr>
        <w:t xml:space="preserve">form underserved groups </w:t>
      </w:r>
      <w:r w:rsidR="00041479" w:rsidRPr="00997F82">
        <w:rPr>
          <w:rFonts w:eastAsiaTheme="majorEastAsia"/>
        </w:rPr>
        <w:t>as part of membership</w:t>
      </w:r>
      <w:r w:rsidR="008B599F" w:rsidRPr="00997F82">
        <w:rPr>
          <w:rFonts w:eastAsiaTheme="majorEastAsia"/>
        </w:rPr>
        <w:t xml:space="preserve"> and attendance.</w:t>
      </w:r>
      <w:bookmarkEnd w:id="30"/>
    </w:p>
    <w:p w14:paraId="3B24AE87" w14:textId="1131EA91" w:rsidR="00CF1D69" w:rsidRPr="00997F82" w:rsidRDefault="00E12696" w:rsidP="00760CE8">
      <w:pPr>
        <w:rPr>
          <w:b/>
          <w:bCs/>
        </w:rPr>
      </w:pPr>
      <w:r w:rsidRPr="00997F82">
        <w:rPr>
          <w:b/>
          <w:bCs/>
        </w:rPr>
        <w:t>Implications</w:t>
      </w:r>
    </w:p>
    <w:p w14:paraId="444E07D7" w14:textId="62EEEC59" w:rsidR="00EB5510" w:rsidRPr="00997F82" w:rsidRDefault="00A032A8" w:rsidP="006950EE">
      <w:pPr>
        <w:pStyle w:val="ListBullet"/>
      </w:pPr>
      <w:r w:rsidRPr="00997F82">
        <w:t>PHNs have a</w:t>
      </w:r>
      <w:r w:rsidR="0033390B" w:rsidRPr="00997F82">
        <w:t xml:space="preserve">n established </w:t>
      </w:r>
      <w:r w:rsidRPr="00997F82">
        <w:t xml:space="preserve">role in </w:t>
      </w:r>
      <w:r w:rsidR="0033390B" w:rsidRPr="00997F82">
        <w:t>developing</w:t>
      </w:r>
      <w:r w:rsidR="00044392" w:rsidRPr="00997F82">
        <w:t xml:space="preserve"> </w:t>
      </w:r>
      <w:r w:rsidRPr="00997F82">
        <w:t xml:space="preserve">local partnerships to create collective momentum </w:t>
      </w:r>
      <w:r w:rsidR="008F33C2" w:rsidRPr="00997F82">
        <w:t xml:space="preserve">in improving </w:t>
      </w:r>
      <w:r w:rsidRPr="00997F82">
        <w:t xml:space="preserve">access of palliative care. </w:t>
      </w:r>
      <w:r w:rsidR="00284D1A" w:rsidRPr="00997F82">
        <w:t xml:space="preserve">Having </w:t>
      </w:r>
      <w:r w:rsidR="005F52C7" w:rsidRPr="00997F82">
        <w:t>governance mechanisms in place</w:t>
      </w:r>
      <w:r w:rsidR="00A4149C" w:rsidRPr="00997F82">
        <w:t xml:space="preserve"> </w:t>
      </w:r>
      <w:r w:rsidR="005B1709" w:rsidRPr="00997F82">
        <w:t>w</w:t>
      </w:r>
      <w:r w:rsidR="00ED0117" w:rsidRPr="00997F82">
        <w:t>as</w:t>
      </w:r>
      <w:r w:rsidR="005B1709" w:rsidRPr="00997F82">
        <w:t xml:space="preserve"> an enabler to PHNs implementing and achieving the objectives of the Program</w:t>
      </w:r>
      <w:r w:rsidR="003075CE" w:rsidRPr="00997F82">
        <w:t>.</w:t>
      </w:r>
      <w:r w:rsidR="00390DA6" w:rsidRPr="00997F82">
        <w:t xml:space="preserve"> This was </w:t>
      </w:r>
      <w:r w:rsidR="00771A23" w:rsidRPr="00997F82">
        <w:t>particularly beneficial when members were local stakeholders</w:t>
      </w:r>
      <w:r w:rsidR="00EB006A" w:rsidRPr="00997F82">
        <w:t xml:space="preserve"> including service providers, community organisations, and local councils.</w:t>
      </w:r>
    </w:p>
    <w:p w14:paraId="6C67565B" w14:textId="22398938" w:rsidR="003B07EE" w:rsidRPr="00997F82" w:rsidRDefault="00920BFA" w:rsidP="006950EE">
      <w:pPr>
        <w:pStyle w:val="ListBullet"/>
      </w:pPr>
      <w:r w:rsidRPr="00997F82">
        <w:t xml:space="preserve">Challenges with member availability and turnover in governance mechanisms can be mitigated by </w:t>
      </w:r>
      <w:r w:rsidR="00071AE2" w:rsidRPr="00997F82">
        <w:t xml:space="preserve">ensuring there are active incentives to participation, such as opportunities to network, exploring referral pathways and </w:t>
      </w:r>
      <w:r w:rsidR="00390DA6" w:rsidRPr="00997F82">
        <w:t>shared outcomes for program activities</w:t>
      </w:r>
      <w:r w:rsidR="009E468D" w:rsidRPr="00997F82">
        <w:t xml:space="preserve"> for all types of providers</w:t>
      </w:r>
      <w:r w:rsidR="00390DA6" w:rsidRPr="00997F82">
        <w:t>.</w:t>
      </w:r>
    </w:p>
    <w:p w14:paraId="5C2158B6" w14:textId="4F4BC7EE" w:rsidR="00976F5C" w:rsidRPr="00997F82" w:rsidRDefault="00EB006A" w:rsidP="006950EE">
      <w:pPr>
        <w:pStyle w:val="ListBullet"/>
        <w:rPr>
          <w:b/>
          <w:bCs/>
        </w:rPr>
      </w:pPr>
      <w:r w:rsidRPr="00997F82">
        <w:rPr>
          <w:rFonts w:eastAsiaTheme="majorEastAsia"/>
        </w:rPr>
        <w:t xml:space="preserve">Program governance arrangements that include </w:t>
      </w:r>
      <w:r w:rsidRPr="00997F82">
        <w:t xml:space="preserve">members from </w:t>
      </w:r>
      <w:r w:rsidR="00F553B3" w:rsidRPr="00997F82">
        <w:t>community groups</w:t>
      </w:r>
      <w:r w:rsidRPr="00997F82">
        <w:t xml:space="preserve"> and providers, </w:t>
      </w:r>
      <w:r w:rsidR="00F553B3" w:rsidRPr="00997F82">
        <w:t xml:space="preserve">such as from </w:t>
      </w:r>
      <w:r w:rsidR="00010C28" w:rsidRPr="00997F82">
        <w:t>First Nations and CALD communities</w:t>
      </w:r>
      <w:r w:rsidR="009041C3" w:rsidRPr="00997F82">
        <w:t xml:space="preserve">, </w:t>
      </w:r>
      <w:r w:rsidR="00193B4D" w:rsidRPr="00997F82">
        <w:t xml:space="preserve">could better </w:t>
      </w:r>
      <w:r w:rsidR="00010C28" w:rsidRPr="00997F82">
        <w:t>ensur</w:t>
      </w:r>
      <w:r w:rsidR="00A222D5" w:rsidRPr="00997F82">
        <w:t>e</w:t>
      </w:r>
      <w:r w:rsidR="00010C28" w:rsidRPr="00997F82">
        <w:t xml:space="preserve"> the voices and needs of </w:t>
      </w:r>
      <w:r w:rsidR="008B599F" w:rsidRPr="00997F82">
        <w:t xml:space="preserve">underserved </w:t>
      </w:r>
      <w:r w:rsidR="00010C28" w:rsidRPr="00997F82">
        <w:t>groups are recogni</w:t>
      </w:r>
      <w:r w:rsidR="004B2365" w:rsidRPr="00997F82">
        <w:t>s</w:t>
      </w:r>
      <w:r w:rsidR="00010C28" w:rsidRPr="00997F82">
        <w:t xml:space="preserve">ed in </w:t>
      </w:r>
      <w:r w:rsidR="00966354" w:rsidRPr="00997F82">
        <w:t>the design and implementation of activities</w:t>
      </w:r>
      <w:r w:rsidR="001B4ED2" w:rsidRPr="00997F82">
        <w:t>.</w:t>
      </w:r>
    </w:p>
    <w:p w14:paraId="4F33B4B0" w14:textId="629D7889" w:rsidR="00690569" w:rsidRPr="00997F82" w:rsidRDefault="00DC59F9" w:rsidP="006950EE">
      <w:pPr>
        <w:pStyle w:val="ListBullet"/>
        <w:rPr>
          <w:b/>
          <w:bCs/>
        </w:rPr>
      </w:pPr>
      <w:r w:rsidRPr="00997F82">
        <w:t xml:space="preserve">While </w:t>
      </w:r>
      <w:r w:rsidR="00AA2C65" w:rsidRPr="00997F82">
        <w:t xml:space="preserve">many </w:t>
      </w:r>
      <w:r w:rsidR="00231D7B" w:rsidRPr="00997F82">
        <w:t xml:space="preserve">PHNs </w:t>
      </w:r>
      <w:r w:rsidR="00EE4CC7" w:rsidRPr="00997F82">
        <w:t xml:space="preserve">engaged with local stakeholders as part of their activities, </w:t>
      </w:r>
      <w:r w:rsidR="00690569" w:rsidRPr="00997F82">
        <w:t>there was limited</w:t>
      </w:r>
      <w:r w:rsidR="00E94152" w:rsidRPr="00997F82">
        <w:t xml:space="preserve"> information captured </w:t>
      </w:r>
      <w:r w:rsidR="0086245E" w:rsidRPr="00997F82">
        <w:t>regarding</w:t>
      </w:r>
      <w:r w:rsidR="00E94152" w:rsidRPr="00997F82">
        <w:t xml:space="preserve"> the level of engagement and </w:t>
      </w:r>
      <w:r w:rsidR="00297CAC" w:rsidRPr="00997F82">
        <w:t>outcomes</w:t>
      </w:r>
      <w:r w:rsidR="00E94152" w:rsidRPr="00997F82">
        <w:t xml:space="preserve"> resulting from that engagement</w:t>
      </w:r>
      <w:r w:rsidR="00297CAC" w:rsidRPr="00997F82">
        <w:t xml:space="preserve"> </w:t>
      </w:r>
      <w:r w:rsidR="00690569" w:rsidRPr="00997F82">
        <w:t xml:space="preserve">which could further strengthen the impact of the program. </w:t>
      </w:r>
    </w:p>
    <w:p w14:paraId="21F6D176" w14:textId="752939D7" w:rsidR="002B5DFD" w:rsidRPr="005E676D" w:rsidRDefault="00A12409" w:rsidP="005E676D">
      <w:pPr>
        <w:pStyle w:val="Heading2"/>
        <w:rPr>
          <w:rFonts w:ascii="Arial" w:hAnsi="Arial" w:cs="Arial"/>
        </w:rPr>
      </w:pPr>
      <w:bookmarkStart w:id="31" w:name="_Ref202296501"/>
      <w:r w:rsidRPr="00997F82">
        <w:t>To what extent do activities/initiatives implemented by PHNs align with Program objectives?</w:t>
      </w:r>
      <w:r w:rsidRPr="00997F82">
        <w:rPr>
          <w:rFonts w:ascii="Arial" w:hAnsi="Arial" w:cs="Arial"/>
        </w:rPr>
        <w:t> </w:t>
      </w:r>
      <w:bookmarkEnd w:id="31"/>
    </w:p>
    <w:tbl>
      <w:tblPr>
        <w:tblStyle w:val="IMSTable"/>
        <w:tblW w:w="0" w:type="auto"/>
        <w:tblLook w:val="04E0" w:firstRow="1" w:lastRow="1" w:firstColumn="1" w:lastColumn="0" w:noHBand="0" w:noVBand="1"/>
      </w:tblPr>
      <w:tblGrid>
        <w:gridCol w:w="9027"/>
      </w:tblGrid>
      <w:tr w:rsidR="005E676D" w14:paraId="3AC9DC8B" w14:textId="77777777" w:rsidTr="00A06733">
        <w:trPr>
          <w:cnfStyle w:val="100000000000" w:firstRow="1" w:lastRow="0" w:firstColumn="0" w:lastColumn="0" w:oddVBand="0" w:evenVBand="0" w:oddHBand="0" w:evenHBand="0" w:firstRowFirstColumn="0" w:firstRowLastColumn="0" w:lastRowFirstColumn="0" w:lastRowLastColumn="0"/>
          <w:tblHeader/>
        </w:trPr>
        <w:tc>
          <w:tcPr>
            <w:tcW w:w="9027" w:type="dxa"/>
          </w:tcPr>
          <w:p w14:paraId="149F353B" w14:textId="77777777" w:rsidR="005E676D" w:rsidRDefault="005E676D" w:rsidP="00A06733">
            <w:r>
              <w:t>Key finding</w:t>
            </w:r>
          </w:p>
        </w:tc>
      </w:tr>
      <w:tr w:rsidR="005E676D" w14:paraId="4AB77F8B" w14:textId="77777777" w:rsidTr="00A06733">
        <w:tc>
          <w:tcPr>
            <w:tcW w:w="9027" w:type="dxa"/>
          </w:tcPr>
          <w:p w14:paraId="6D1E9E9B" w14:textId="5200A875" w:rsidR="005E676D" w:rsidRDefault="005E676D" w:rsidP="00A06733">
            <w:r w:rsidRPr="006E02A3">
              <w:t>P</w:t>
            </w:r>
            <w:r w:rsidRPr="005E676D">
              <w:t>HN activities under all categories align to both the objectives and intended outcomes of the Program, as indicated by the Program guidelines. Similarly, PHN activities have aligned to priorities identified (explicitly and implicitly) in PHN Health Needs Assessments, Palliative Care Needs Assessments and other strategies and plans.</w:t>
            </w:r>
          </w:p>
        </w:tc>
      </w:tr>
      <w:tr w:rsidR="005E676D" w14:paraId="593C2AB5" w14:textId="77777777" w:rsidTr="00A06733">
        <w:trPr>
          <w:cnfStyle w:val="010000000000" w:firstRow="0" w:lastRow="1" w:firstColumn="0" w:lastColumn="0" w:oddVBand="0" w:evenVBand="0" w:oddHBand="0" w:evenHBand="0" w:firstRowFirstColumn="0" w:firstRowLastColumn="0" w:lastRowFirstColumn="0" w:lastRowLastColumn="0"/>
        </w:trPr>
        <w:tc>
          <w:tcPr>
            <w:tcW w:w="9027" w:type="dxa"/>
          </w:tcPr>
          <w:p w14:paraId="7CA4CC3D" w14:textId="20BAD860" w:rsidR="005E676D" w:rsidRDefault="005E676D" w:rsidP="00A06733">
            <w:pPr>
              <w:pStyle w:val="Tablefooterwhite"/>
            </w:pPr>
            <w:r w:rsidRPr="006E02A3">
              <w:t xml:space="preserve">Overall, evidence indicates </w:t>
            </w:r>
            <w:r>
              <w:t>strong progress in this area</w:t>
            </w:r>
          </w:p>
        </w:tc>
      </w:tr>
    </w:tbl>
    <w:p w14:paraId="78ABCFCE" w14:textId="11035BF8" w:rsidR="00EA5C68" w:rsidRPr="00997F82" w:rsidRDefault="00EA5C68" w:rsidP="006950EE">
      <w:pPr>
        <w:pStyle w:val="Heading3"/>
      </w:pPr>
      <w:r w:rsidRPr="00997F82">
        <w:t>Background</w:t>
      </w:r>
    </w:p>
    <w:p w14:paraId="703AC8F2" w14:textId="56303897" w:rsidR="008E39F0" w:rsidRPr="00997F82" w:rsidRDefault="005A2197" w:rsidP="00446563">
      <w:r w:rsidRPr="00997F82">
        <w:t>Guidance provided to PHNs indicated that they</w:t>
      </w:r>
      <w:r w:rsidR="00B550F8" w:rsidRPr="00997F82">
        <w:t xml:space="preserve"> were expected to identify, design, and implement activities that </w:t>
      </w:r>
      <w:r w:rsidR="00172B8F" w:rsidRPr="00997F82">
        <w:t xml:space="preserve">aligned </w:t>
      </w:r>
      <w:r w:rsidR="001574CB" w:rsidRPr="00997F82">
        <w:t xml:space="preserve">with </w:t>
      </w:r>
      <w:r w:rsidR="00F316FB" w:rsidRPr="00997F82">
        <w:t>l</w:t>
      </w:r>
      <w:r w:rsidR="00436E12" w:rsidRPr="00997F82">
        <w:t xml:space="preserve">ocal </w:t>
      </w:r>
      <w:r w:rsidR="000A65EC" w:rsidRPr="00997F82">
        <w:t xml:space="preserve">needs </w:t>
      </w:r>
      <w:r w:rsidR="007120A6" w:rsidRPr="00997F82">
        <w:t xml:space="preserve">identified as part of their own </w:t>
      </w:r>
      <w:r w:rsidR="004230AF" w:rsidRPr="00997F82">
        <w:t>Health Needs Assessments</w:t>
      </w:r>
      <w:r w:rsidR="0081391F" w:rsidRPr="00997F82">
        <w:t xml:space="preserve"> (HNA</w:t>
      </w:r>
      <w:r w:rsidR="00117E21" w:rsidRPr="00997F82">
        <w:t>s</w:t>
      </w:r>
      <w:r w:rsidR="0081391F" w:rsidRPr="00997F82">
        <w:t>)</w:t>
      </w:r>
      <w:r w:rsidR="007120A6" w:rsidRPr="00997F82">
        <w:t>,</w:t>
      </w:r>
      <w:r w:rsidR="004230AF" w:rsidRPr="00997F82">
        <w:t xml:space="preserve"> Palliative Care Needs Assessments</w:t>
      </w:r>
      <w:r w:rsidR="0081391F" w:rsidRPr="00997F82">
        <w:t xml:space="preserve"> (PCNA</w:t>
      </w:r>
      <w:r w:rsidR="00117E21" w:rsidRPr="00997F82">
        <w:t>s</w:t>
      </w:r>
      <w:r w:rsidR="0081391F" w:rsidRPr="00997F82">
        <w:t>)</w:t>
      </w:r>
      <w:r w:rsidR="00BD33C0" w:rsidRPr="00997F82">
        <w:t xml:space="preserve">, </w:t>
      </w:r>
      <w:r w:rsidR="007120A6" w:rsidRPr="00997F82">
        <w:t>and/or other</w:t>
      </w:r>
      <w:r w:rsidR="00165D35" w:rsidRPr="00997F82">
        <w:t xml:space="preserve"> local strategies and plans</w:t>
      </w:r>
      <w:r w:rsidR="00FC73D2" w:rsidRPr="00997F82" w:rsidDel="00AA0DE3">
        <w:t>.</w:t>
      </w:r>
      <w:r w:rsidR="00165D35" w:rsidRPr="00997F82">
        <w:t xml:space="preserve"> </w:t>
      </w:r>
      <w:r w:rsidR="005905F8" w:rsidRPr="00997F82">
        <w:t xml:space="preserve">For most PHNs, this included areas relating to </w:t>
      </w:r>
      <w:r w:rsidR="009E3B80" w:rsidRPr="00997F82">
        <w:t>ageing</w:t>
      </w:r>
      <w:r w:rsidR="00CA0BDD" w:rsidRPr="00997F82">
        <w:t>,</w:t>
      </w:r>
      <w:r w:rsidR="009E3B80" w:rsidRPr="00997F82">
        <w:t xml:space="preserve"> chronic disease</w:t>
      </w:r>
      <w:r w:rsidR="00CA0BDD" w:rsidRPr="00997F82">
        <w:t>,</w:t>
      </w:r>
      <w:r w:rsidR="009E3B80" w:rsidRPr="00997F82">
        <w:t xml:space="preserve"> workforce</w:t>
      </w:r>
      <w:r w:rsidR="00D03E99" w:rsidRPr="00997F82">
        <w:t xml:space="preserve">, </w:t>
      </w:r>
      <w:r w:rsidR="00C622AF" w:rsidRPr="00997F82">
        <w:t xml:space="preserve">local health </w:t>
      </w:r>
      <w:r w:rsidR="0081118A" w:rsidRPr="00997F82">
        <w:t xml:space="preserve">and community </w:t>
      </w:r>
      <w:r w:rsidR="009E3B80" w:rsidRPr="00997F82">
        <w:t>infrastructure</w:t>
      </w:r>
      <w:r w:rsidR="00765711" w:rsidRPr="00997F82">
        <w:t xml:space="preserve">. </w:t>
      </w:r>
      <w:r w:rsidR="002B67FC" w:rsidRPr="00997F82">
        <w:t xml:space="preserve">However, it should be noted that </w:t>
      </w:r>
      <w:r w:rsidR="00B56142" w:rsidRPr="00997F82">
        <w:t xml:space="preserve">the identification of </w:t>
      </w:r>
      <w:r w:rsidR="00243D29" w:rsidRPr="00997F82">
        <w:t xml:space="preserve">local needs by PHNs was limited </w:t>
      </w:r>
      <w:r w:rsidR="0066658B" w:rsidRPr="00997F82">
        <w:t>by</w:t>
      </w:r>
      <w:r w:rsidR="00243D29" w:rsidRPr="00997F82">
        <w:t xml:space="preserve"> a paucity of reliable </w:t>
      </w:r>
      <w:r w:rsidR="00CA6CEB" w:rsidRPr="00997F82">
        <w:t xml:space="preserve">palliative care </w:t>
      </w:r>
      <w:r w:rsidR="00243D29" w:rsidRPr="00997F82">
        <w:t>data</w:t>
      </w:r>
      <w:r w:rsidR="00485C64" w:rsidRPr="00997F82">
        <w:t xml:space="preserve">. </w:t>
      </w:r>
      <w:r w:rsidR="00D03E99" w:rsidRPr="00997F82">
        <w:t xml:space="preserve">Therefore, </w:t>
      </w:r>
      <w:r w:rsidR="00485C64" w:rsidRPr="00997F82">
        <w:t xml:space="preserve">PHNs also </w:t>
      </w:r>
      <w:r w:rsidR="00803DDF" w:rsidRPr="00997F82">
        <w:t xml:space="preserve">relied on </w:t>
      </w:r>
      <w:r w:rsidR="00D03E99" w:rsidRPr="00997F82">
        <w:t xml:space="preserve">extensive </w:t>
      </w:r>
      <w:r w:rsidR="00803DDF" w:rsidRPr="00997F82">
        <w:t xml:space="preserve">stakeholder engagement to </w:t>
      </w:r>
      <w:r w:rsidR="0008575E" w:rsidRPr="00997F82">
        <w:t xml:space="preserve">select and design their activities. </w:t>
      </w:r>
    </w:p>
    <w:p w14:paraId="57F945B9" w14:textId="6BA0D50A" w:rsidR="00D32F45" w:rsidRPr="00997F82" w:rsidRDefault="002B73F6" w:rsidP="00D32F45">
      <w:r w:rsidRPr="00997F82">
        <w:t>Alignment</w:t>
      </w:r>
      <w:r w:rsidR="00D32F45" w:rsidRPr="00997F82">
        <w:t xml:space="preserve"> of activities </w:t>
      </w:r>
      <w:r w:rsidRPr="00997F82">
        <w:t xml:space="preserve">to broader </w:t>
      </w:r>
      <w:r w:rsidR="00D03E99" w:rsidRPr="00997F82">
        <w:t xml:space="preserve">program </w:t>
      </w:r>
      <w:r w:rsidRPr="00997F82">
        <w:t xml:space="preserve">objectives </w:t>
      </w:r>
      <w:r w:rsidR="00D03E99" w:rsidRPr="00997F82">
        <w:t xml:space="preserve">were </w:t>
      </w:r>
      <w:r w:rsidR="0042080B" w:rsidRPr="00997F82">
        <w:t>assessed</w:t>
      </w:r>
      <w:r w:rsidR="00B94BF9" w:rsidRPr="00997F82">
        <w:t xml:space="preserve"> </w:t>
      </w:r>
      <w:r w:rsidR="00D32F45" w:rsidRPr="00997F82">
        <w:t>across the five categories</w:t>
      </w:r>
      <w:r w:rsidR="00234934" w:rsidRPr="00997F82">
        <w:t xml:space="preserve"> </w:t>
      </w:r>
      <w:r w:rsidRPr="00997F82">
        <w:t>of activities</w:t>
      </w:r>
      <w:r w:rsidR="00D03E99" w:rsidRPr="00997F82">
        <w:t xml:space="preserve"> below</w:t>
      </w:r>
      <w:r w:rsidR="00926888" w:rsidRPr="00997F82">
        <w:t xml:space="preserve">. </w:t>
      </w:r>
    </w:p>
    <w:p w14:paraId="4746EFC2" w14:textId="1419BF1F" w:rsidR="00AE5258" w:rsidRPr="00997F82" w:rsidRDefault="00AE5258" w:rsidP="006950EE">
      <w:pPr>
        <w:pStyle w:val="Heading3"/>
      </w:pPr>
      <w:r w:rsidRPr="00997F82">
        <w:t>Findings</w:t>
      </w:r>
    </w:p>
    <w:p w14:paraId="574A102D" w14:textId="13B1BC16" w:rsidR="009A0879" w:rsidRPr="00997F82" w:rsidRDefault="009A0879" w:rsidP="006950EE">
      <w:pPr>
        <w:pStyle w:val="Heading4"/>
      </w:pPr>
      <w:r w:rsidRPr="00997F82">
        <w:t>Workforce</w:t>
      </w:r>
      <w:r w:rsidR="00247333" w:rsidRPr="00997F82">
        <w:t xml:space="preserve"> Education and Awareness</w:t>
      </w:r>
    </w:p>
    <w:p w14:paraId="1AC2E41E" w14:textId="70A71113" w:rsidR="00B63ABA" w:rsidRPr="00997F82" w:rsidRDefault="007B1ABF" w:rsidP="007B1ABF">
      <w:r w:rsidRPr="00997F82">
        <w:t>PHNs</w:t>
      </w:r>
      <w:r w:rsidR="006A307B" w:rsidRPr="00997F82">
        <w:t xml:space="preserve"> (previously Medicare Locals</w:t>
      </w:r>
      <w:r w:rsidR="00E56D4C" w:rsidRPr="00997F82">
        <w:t xml:space="preserve"> and Divisions of General Practice)</w:t>
      </w:r>
      <w:r w:rsidRPr="00997F82">
        <w:t xml:space="preserve"> have historically had </w:t>
      </w:r>
      <w:r w:rsidR="00D03E99" w:rsidRPr="00997F82">
        <w:t xml:space="preserve">a role </w:t>
      </w:r>
      <w:r w:rsidRPr="00997F82">
        <w:t>in the delivery of professional development to the primary care workforce.</w:t>
      </w:r>
      <w:r w:rsidR="00B63ABA" w:rsidRPr="00997F82">
        <w:t xml:space="preserve"> </w:t>
      </w:r>
      <w:r w:rsidR="006304AD" w:rsidRPr="00997F82">
        <w:t>Aligned with this historical function,</w:t>
      </w:r>
      <w:r w:rsidR="00400947" w:rsidRPr="00997F82">
        <w:t xml:space="preserve"> </w:t>
      </w:r>
      <w:r w:rsidR="00B63ABA" w:rsidRPr="00997F82">
        <w:t xml:space="preserve">all 31 PHNs undertook </w:t>
      </w:r>
      <w:r w:rsidR="00642E3A" w:rsidRPr="00997F82">
        <w:t>activities</w:t>
      </w:r>
      <w:r w:rsidR="00B63ABA" w:rsidRPr="00997F82">
        <w:t xml:space="preserve"> aimed at raising capabilities in palliative care for </w:t>
      </w:r>
      <w:r w:rsidR="00BC3676" w:rsidRPr="00997F82">
        <w:t xml:space="preserve">primary health </w:t>
      </w:r>
      <w:r w:rsidR="00B63ABA" w:rsidRPr="00997F82">
        <w:t>workforces</w:t>
      </w:r>
      <w:r w:rsidR="0089384D" w:rsidRPr="00997F82">
        <w:t xml:space="preserve">. </w:t>
      </w:r>
    </w:p>
    <w:p w14:paraId="6D5550B7" w14:textId="5CB0E609" w:rsidR="00EB1CCB" w:rsidRPr="00997F82" w:rsidRDefault="00EB1CCB" w:rsidP="00EB1CCB">
      <w:r w:rsidRPr="00997F82">
        <w:t>In HNAs and PCNAs, 20 PHNs identified that increasing knowledge and skills about palliative care</w:t>
      </w:r>
      <w:r w:rsidR="00D03E99" w:rsidRPr="00997F82">
        <w:t xml:space="preserve"> and </w:t>
      </w:r>
      <w:r w:rsidRPr="00997F82">
        <w:t xml:space="preserve">improving workforce capability was a priority for their region. Where this </w:t>
      </w:r>
      <w:r w:rsidR="00D03E99" w:rsidRPr="00997F82">
        <w:t xml:space="preserve">was </w:t>
      </w:r>
      <w:r w:rsidRPr="00997F82">
        <w:t>not explicitly stated as a priority</w:t>
      </w:r>
      <w:r w:rsidR="00D03E99" w:rsidRPr="00997F82">
        <w:t xml:space="preserve"> for PHNs</w:t>
      </w:r>
      <w:r w:rsidRPr="00997F82">
        <w:t xml:space="preserve">, </w:t>
      </w:r>
      <w:r w:rsidR="00B25634" w:rsidRPr="00997F82">
        <w:t>it was noted to be</w:t>
      </w:r>
      <w:r w:rsidRPr="00997F82">
        <w:t xml:space="preserve"> intended as part of other </w:t>
      </w:r>
      <w:r w:rsidR="00B25634" w:rsidRPr="00997F82">
        <w:t xml:space="preserve">identified </w:t>
      </w:r>
      <w:r w:rsidRPr="00997F82">
        <w:t>priorities</w:t>
      </w:r>
      <w:r w:rsidR="00B25634" w:rsidRPr="00997F82">
        <w:t>.</w:t>
      </w:r>
      <w:r w:rsidRPr="00997F82">
        <w:t xml:space="preserve"> </w:t>
      </w:r>
    </w:p>
    <w:p w14:paraId="3A2BE456" w14:textId="52A962E6" w:rsidR="00C35151" w:rsidRPr="00997F82" w:rsidRDefault="00B25634" w:rsidP="004025A7">
      <w:r w:rsidRPr="00997F82">
        <w:t>Similarly, w</w:t>
      </w:r>
      <w:r w:rsidR="00277349" w:rsidRPr="00997F82">
        <w:t xml:space="preserve">orkforce education and awareness </w:t>
      </w:r>
      <w:r w:rsidR="0090476B" w:rsidRPr="00997F82">
        <w:t xml:space="preserve">activities implemented </w:t>
      </w:r>
      <w:r w:rsidR="00277349" w:rsidRPr="00997F82">
        <w:t xml:space="preserve">were </w:t>
      </w:r>
      <w:r w:rsidR="000A34FE" w:rsidRPr="00997F82">
        <w:t>al</w:t>
      </w:r>
      <w:r w:rsidR="00C35151" w:rsidRPr="00997F82">
        <w:t xml:space="preserve">igned with the </w:t>
      </w:r>
      <w:r w:rsidR="004029CC" w:rsidRPr="00997F82">
        <w:t>P</w:t>
      </w:r>
      <w:r w:rsidR="00C35151" w:rsidRPr="00997F82">
        <w:t>rogram objectives</w:t>
      </w:r>
      <w:r w:rsidRPr="00997F82">
        <w:t xml:space="preserve"> as they</w:t>
      </w:r>
      <w:r w:rsidR="000E64E2" w:rsidRPr="00997F82">
        <w:t xml:space="preserve"> </w:t>
      </w:r>
      <w:r w:rsidR="00C35151" w:rsidRPr="00997F82">
        <w:t>w</w:t>
      </w:r>
      <w:r w:rsidR="0062158A" w:rsidRPr="00997F82">
        <w:t xml:space="preserve">ere </w:t>
      </w:r>
      <w:r w:rsidR="00C35151" w:rsidRPr="00997F82">
        <w:t>focused</w:t>
      </w:r>
      <w:r w:rsidR="00620C58" w:rsidRPr="00997F82">
        <w:t xml:space="preserve"> on areas of </w:t>
      </w:r>
      <w:r w:rsidR="00C35151" w:rsidRPr="00997F82">
        <w:t xml:space="preserve">locally </w:t>
      </w:r>
      <w:r w:rsidR="00620C58" w:rsidRPr="00997F82">
        <w:t xml:space="preserve">identified need in the </w:t>
      </w:r>
      <w:r w:rsidR="00642E3A" w:rsidRPr="00997F82">
        <w:t>population and</w:t>
      </w:r>
      <w:r w:rsidR="002B5A4E" w:rsidRPr="00997F82">
        <w:t xml:space="preserve"> targeted </w:t>
      </w:r>
      <w:r w:rsidR="0087221A" w:rsidRPr="00997F82">
        <w:t xml:space="preserve">to </w:t>
      </w:r>
      <w:r w:rsidR="003448C2" w:rsidRPr="00997F82">
        <w:t xml:space="preserve">workforces </w:t>
      </w:r>
      <w:r w:rsidR="003A5376" w:rsidRPr="00997F82">
        <w:t>that</w:t>
      </w:r>
      <w:r w:rsidR="006C1E46" w:rsidRPr="00997F82">
        <w:t xml:space="preserve"> </w:t>
      </w:r>
      <w:r w:rsidR="00E36FB9" w:rsidRPr="00997F82">
        <w:t>could translate</w:t>
      </w:r>
      <w:r w:rsidRPr="00997F82">
        <w:t xml:space="preserve"> the education</w:t>
      </w:r>
      <w:r w:rsidR="00E36FB9" w:rsidRPr="00997F82">
        <w:t xml:space="preserve"> to </w:t>
      </w:r>
      <w:r w:rsidR="00D36176" w:rsidRPr="00997F82">
        <w:t xml:space="preserve">clinical practice. </w:t>
      </w:r>
      <w:r w:rsidR="00D36176" w:rsidRPr="00997F82">
        <w:rPr>
          <w:b/>
          <w:bCs/>
        </w:rPr>
        <w:t xml:space="preserve"> </w:t>
      </w:r>
    </w:p>
    <w:p w14:paraId="38AD898D" w14:textId="0480D41B" w:rsidR="00F732C6" w:rsidRPr="00997F82" w:rsidRDefault="00B15985" w:rsidP="006950EE">
      <w:pPr>
        <w:pStyle w:val="Heading4"/>
      </w:pPr>
      <w:r w:rsidRPr="00997F82">
        <w:t>Awareness in the Community</w:t>
      </w:r>
    </w:p>
    <w:p w14:paraId="6CA6F1DC" w14:textId="546FF7C1" w:rsidR="002C3BED" w:rsidRPr="00997F82" w:rsidRDefault="00D36247" w:rsidP="002C3BED">
      <w:r w:rsidRPr="00997F82">
        <w:t>Most PHNs (</w:t>
      </w:r>
      <w:r w:rsidR="00CC2942" w:rsidRPr="00997F82">
        <w:t>2</w:t>
      </w:r>
      <w:r w:rsidR="004E041D" w:rsidRPr="00997F82">
        <w:t>4</w:t>
      </w:r>
      <w:r w:rsidR="00CC2942" w:rsidRPr="00997F82">
        <w:t xml:space="preserve"> </w:t>
      </w:r>
      <w:r w:rsidRPr="00997F82">
        <w:t xml:space="preserve">out </w:t>
      </w:r>
      <w:r w:rsidR="00CC2942" w:rsidRPr="00997F82">
        <w:t>of 31</w:t>
      </w:r>
      <w:r w:rsidRPr="00997F82">
        <w:t>)</w:t>
      </w:r>
      <w:r w:rsidR="00CC2942" w:rsidRPr="00997F82">
        <w:t xml:space="preserve"> </w:t>
      </w:r>
      <w:r w:rsidR="00195A04" w:rsidRPr="00997F82">
        <w:t xml:space="preserve">implemented </w:t>
      </w:r>
      <w:r w:rsidR="00A52502" w:rsidRPr="00997F82">
        <w:t>c</w:t>
      </w:r>
      <w:r w:rsidR="00E2715E" w:rsidRPr="00997F82">
        <w:t>o</w:t>
      </w:r>
      <w:r w:rsidR="00505A3E" w:rsidRPr="00997F82">
        <w:t xml:space="preserve">mmunity </w:t>
      </w:r>
      <w:r w:rsidR="00EB1CCB" w:rsidRPr="00997F82">
        <w:t xml:space="preserve">awareness </w:t>
      </w:r>
      <w:r w:rsidR="00CC2942" w:rsidRPr="00997F82">
        <w:t>activities</w:t>
      </w:r>
      <w:r w:rsidR="00F651B9" w:rsidRPr="00997F82">
        <w:t xml:space="preserve"> intended to increase knowledge of palliative care, services, and death literacy. </w:t>
      </w:r>
      <w:r w:rsidR="007125CC" w:rsidRPr="00997F82">
        <w:t xml:space="preserve">PHNs were just as likely to </w:t>
      </w:r>
      <w:r w:rsidR="006B697A" w:rsidRPr="00997F82">
        <w:t xml:space="preserve">have undertaken </w:t>
      </w:r>
      <w:r w:rsidR="009F3344" w:rsidRPr="00997F82">
        <w:t>these</w:t>
      </w:r>
      <w:r w:rsidR="006B697A" w:rsidRPr="00997F82">
        <w:t xml:space="preserve"> activities whether they were from metropolitan </w:t>
      </w:r>
      <w:r w:rsidR="00F651B9" w:rsidRPr="00997F82">
        <w:t xml:space="preserve">or </w:t>
      </w:r>
      <w:r w:rsidR="006B697A" w:rsidRPr="00997F82">
        <w:t xml:space="preserve">rural </w:t>
      </w:r>
      <w:r w:rsidR="00F651B9" w:rsidRPr="00997F82">
        <w:t>areas,</w:t>
      </w:r>
      <w:r w:rsidR="006B697A" w:rsidRPr="00997F82">
        <w:t xml:space="preserve"> pilot </w:t>
      </w:r>
      <w:r w:rsidR="00F651B9" w:rsidRPr="00997F82">
        <w:t xml:space="preserve">or </w:t>
      </w:r>
      <w:r w:rsidR="006B697A" w:rsidRPr="00997F82">
        <w:t xml:space="preserve">non-pilot PHNs, or </w:t>
      </w:r>
      <w:r w:rsidR="003811D7" w:rsidRPr="00997F82">
        <w:t xml:space="preserve">based on jurisdiction. However, </w:t>
      </w:r>
      <w:r w:rsidR="00F316FB" w:rsidRPr="00997F82">
        <w:t>the number of activities varied. T</w:t>
      </w:r>
      <w:r w:rsidR="005E56FB" w:rsidRPr="00997F82">
        <w:t xml:space="preserve">wice as </w:t>
      </w:r>
      <w:r w:rsidR="00F316FB" w:rsidRPr="00997F82">
        <w:t xml:space="preserve">many community awareness </w:t>
      </w:r>
      <w:r w:rsidR="005E56FB" w:rsidRPr="00997F82">
        <w:t xml:space="preserve">activities were implemented in </w:t>
      </w:r>
      <w:r w:rsidR="00F651B9" w:rsidRPr="00997F82">
        <w:t>rural areas</w:t>
      </w:r>
      <w:r w:rsidR="005E56FB" w:rsidRPr="00997F82">
        <w:t xml:space="preserve"> than metropolitan (4</w:t>
      </w:r>
      <w:r w:rsidR="00AB20C5" w:rsidRPr="00997F82">
        <w:t>2</w:t>
      </w:r>
      <w:r w:rsidR="005E56FB" w:rsidRPr="00997F82">
        <w:t xml:space="preserve"> </w:t>
      </w:r>
      <w:r w:rsidR="00F651B9" w:rsidRPr="00997F82">
        <w:t xml:space="preserve">vs </w:t>
      </w:r>
      <w:r w:rsidR="005E56FB" w:rsidRPr="00997F82">
        <w:t>2</w:t>
      </w:r>
      <w:r w:rsidR="00AB20C5" w:rsidRPr="00997F82">
        <w:t xml:space="preserve">3). </w:t>
      </w:r>
      <w:r w:rsidR="00210D1B" w:rsidRPr="00997F82">
        <w:t>T</w:t>
      </w:r>
      <w:r w:rsidR="00F651B9" w:rsidRPr="00997F82">
        <w:t xml:space="preserve">his may </w:t>
      </w:r>
      <w:r w:rsidR="0051188C" w:rsidRPr="00997F82">
        <w:t>reflect the strong social cohesion</w:t>
      </w:r>
      <w:r w:rsidR="00F651B9" w:rsidRPr="00997F82">
        <w:t xml:space="preserve"> and self-relian</w:t>
      </w:r>
      <w:r w:rsidR="0051188C" w:rsidRPr="00997F82">
        <w:t>ce often found</w:t>
      </w:r>
      <w:r w:rsidR="00F651B9" w:rsidRPr="00997F82">
        <w:t xml:space="preserve"> </w:t>
      </w:r>
      <w:r w:rsidR="0033182C" w:rsidRPr="00997F82">
        <w:t>in</w:t>
      </w:r>
      <w:r w:rsidR="00F651B9" w:rsidRPr="00997F82">
        <w:t xml:space="preserve"> rural communities, </w:t>
      </w:r>
      <w:r w:rsidR="0033182C" w:rsidRPr="00997F82">
        <w:t>particularly where service gaps exist</w:t>
      </w:r>
      <w:r w:rsidR="006403BF" w:rsidRPr="00997F82">
        <w:t>.</w:t>
      </w:r>
      <w:r w:rsidR="00984C69" w:rsidRPr="00997F82">
        <w:t xml:space="preserve"> </w:t>
      </w:r>
      <w:r w:rsidR="0033182C" w:rsidRPr="00997F82">
        <w:t>I</w:t>
      </w:r>
      <w:r w:rsidR="00531CB0" w:rsidRPr="00997F82">
        <w:t>n metropolitan areas</w:t>
      </w:r>
      <w:r w:rsidR="007F27BA" w:rsidRPr="00997F82">
        <w:t>, the lower number of activities may be due to the presence of multiple stakeholder</w:t>
      </w:r>
      <w:r w:rsidR="000B2A8E" w:rsidRPr="00997F82">
        <w:t>s already engaged in palliative care awareness, resulting in a more distributed approach.</w:t>
      </w:r>
      <w:r w:rsidR="00F651B9" w:rsidRPr="00997F82" w:rsidDel="000B2A8E">
        <w:t xml:space="preserve"> </w:t>
      </w:r>
    </w:p>
    <w:p w14:paraId="0A63BF98" w14:textId="57CA09A3" w:rsidR="00DA70EA" w:rsidRPr="00997F82" w:rsidRDefault="00752004" w:rsidP="00985225">
      <w:r w:rsidRPr="00997F82">
        <w:t>PHNs in regional locations i</w:t>
      </w:r>
      <w:r w:rsidR="00311B14" w:rsidRPr="00997F82">
        <w:t>ndicated</w:t>
      </w:r>
      <w:r w:rsidR="00A0110B" w:rsidRPr="00997F82">
        <w:t xml:space="preserve"> in </w:t>
      </w:r>
      <w:r w:rsidR="00D8670D" w:rsidRPr="00997F82">
        <w:t>Endpoint</w:t>
      </w:r>
      <w:r w:rsidR="00A0110B" w:rsidRPr="00997F82">
        <w:t xml:space="preserve"> survey</w:t>
      </w:r>
      <w:r w:rsidR="006957B7" w:rsidRPr="00997F82">
        <w:t>s</w:t>
      </w:r>
      <w:r w:rsidRPr="00997F82">
        <w:t xml:space="preserve"> </w:t>
      </w:r>
      <w:r w:rsidR="007F3A88" w:rsidRPr="00997F82">
        <w:t>that coordination</w:t>
      </w:r>
      <w:r w:rsidRPr="00997F82">
        <w:t xml:space="preserve"> of </w:t>
      </w:r>
      <w:r w:rsidR="001A4E25" w:rsidRPr="00997F82">
        <w:t xml:space="preserve">community </w:t>
      </w:r>
      <w:r w:rsidR="007F3A88" w:rsidRPr="00997F82">
        <w:t xml:space="preserve">awareness </w:t>
      </w:r>
      <w:r w:rsidR="001A4E25" w:rsidRPr="00997F82">
        <w:t>activities</w:t>
      </w:r>
      <w:r w:rsidR="00B51286" w:rsidRPr="00997F82">
        <w:t xml:space="preserve"> </w:t>
      </w:r>
      <w:r w:rsidR="00E4384E" w:rsidRPr="00997F82">
        <w:t xml:space="preserve">was challenging </w:t>
      </w:r>
      <w:r w:rsidR="00B51286" w:rsidRPr="00997F82">
        <w:t xml:space="preserve">due to </w:t>
      </w:r>
      <w:r w:rsidR="00531CB0" w:rsidRPr="00997F82">
        <w:t xml:space="preserve">logistics </w:t>
      </w:r>
      <w:r w:rsidR="00B51286" w:rsidRPr="00997F82">
        <w:t>of</w:t>
      </w:r>
      <w:r w:rsidR="00C7347C" w:rsidRPr="00997F82">
        <w:t xml:space="preserve"> distance</w:t>
      </w:r>
      <w:r w:rsidR="000A4F08" w:rsidRPr="00997F82">
        <w:t xml:space="preserve"> </w:t>
      </w:r>
      <w:r w:rsidR="00E4384E" w:rsidRPr="00997F82">
        <w:t>and travel</w:t>
      </w:r>
      <w:r w:rsidR="00F4698A" w:rsidRPr="00997F82">
        <w:t xml:space="preserve">, </w:t>
      </w:r>
      <w:r w:rsidR="00531CB0" w:rsidRPr="00997F82">
        <w:t xml:space="preserve">however, </w:t>
      </w:r>
      <w:r w:rsidR="00F4698A" w:rsidRPr="00997F82">
        <w:t xml:space="preserve">it also inspired innovation and </w:t>
      </w:r>
      <w:r w:rsidR="00783F9C" w:rsidRPr="00997F82">
        <w:t>partnerships</w:t>
      </w:r>
      <w:r w:rsidR="002A57BC" w:rsidRPr="00997F82">
        <w:t xml:space="preserve"> </w:t>
      </w:r>
      <w:r w:rsidR="007F3A88" w:rsidRPr="00997F82">
        <w:t xml:space="preserve">that </w:t>
      </w:r>
      <w:r w:rsidR="002D450A" w:rsidRPr="00997F82">
        <w:t>resulted in increase</w:t>
      </w:r>
      <w:r w:rsidR="0055031C" w:rsidRPr="00997F82">
        <w:t>d</w:t>
      </w:r>
      <w:r w:rsidR="002D450A" w:rsidRPr="00997F82">
        <w:t xml:space="preserve"> co</w:t>
      </w:r>
      <w:r w:rsidR="0055031C" w:rsidRPr="00997F82">
        <w:t>mmunity capacity</w:t>
      </w:r>
      <w:r w:rsidR="009625C0" w:rsidRPr="00997F82">
        <w:t>.</w:t>
      </w:r>
      <w:r w:rsidR="00A52502" w:rsidRPr="00997F82">
        <w:rPr>
          <w:rStyle w:val="FootnoteReference"/>
        </w:rPr>
        <w:footnoteReference w:id="21"/>
      </w:r>
    </w:p>
    <w:p w14:paraId="1FB74E68" w14:textId="6A760EFF" w:rsidR="008301D3" w:rsidRPr="00997F82" w:rsidRDefault="00C22B3C" w:rsidP="00195075">
      <w:r w:rsidRPr="00997F82">
        <w:t xml:space="preserve">In </w:t>
      </w:r>
      <w:r w:rsidR="00531CB0" w:rsidRPr="00997F82">
        <w:t xml:space="preserve">HNAs </w:t>
      </w:r>
      <w:r w:rsidRPr="00997F82">
        <w:t xml:space="preserve">and </w:t>
      </w:r>
      <w:r w:rsidR="00531CB0" w:rsidRPr="00997F82">
        <w:t>PCNAs,</w:t>
      </w:r>
      <w:r w:rsidRPr="00997F82">
        <w:t xml:space="preserve"> 12 PHNs explicitly identified improved community education and awareness as a priority.</w:t>
      </w:r>
      <w:r w:rsidR="00EB502F" w:rsidRPr="00997F82">
        <w:t xml:space="preserve"> PHNs that did not </w:t>
      </w:r>
      <w:r w:rsidR="007E1D9B" w:rsidRPr="00997F82">
        <w:t xml:space="preserve">identify this, did examine broader workforce and population demographics </w:t>
      </w:r>
      <w:r w:rsidRPr="00997F82">
        <w:t xml:space="preserve">which </w:t>
      </w:r>
      <w:r w:rsidR="00531CB0" w:rsidRPr="00997F82">
        <w:t xml:space="preserve">ultimately assisted in </w:t>
      </w:r>
      <w:r w:rsidRPr="00997F82">
        <w:t>highlight</w:t>
      </w:r>
      <w:r w:rsidR="00531CB0" w:rsidRPr="00997F82">
        <w:t>ing</w:t>
      </w:r>
      <w:r w:rsidRPr="00997F82">
        <w:t xml:space="preserve"> areas where </w:t>
      </w:r>
      <w:r w:rsidR="00531CB0" w:rsidRPr="00997F82">
        <w:t xml:space="preserve">targeted </w:t>
      </w:r>
      <w:r w:rsidRPr="00997F82">
        <w:t>community awareness initiatives could be beneficial.</w:t>
      </w:r>
    </w:p>
    <w:p w14:paraId="6E4EE904" w14:textId="6A60F047" w:rsidR="00B15985" w:rsidRPr="00997F82" w:rsidRDefault="00CD6911" w:rsidP="006950EE">
      <w:pPr>
        <w:pStyle w:val="Heading4"/>
      </w:pPr>
      <w:r w:rsidRPr="00997F82">
        <w:t>Palliative Care Medicines</w:t>
      </w:r>
    </w:p>
    <w:p w14:paraId="59A9A5E7" w14:textId="0663C324" w:rsidR="00F34EB6" w:rsidRPr="00997F82" w:rsidRDefault="007661A7" w:rsidP="002B6D2C">
      <w:r w:rsidRPr="00997F82">
        <w:t xml:space="preserve">PHNs </w:t>
      </w:r>
      <w:r w:rsidR="00EC3346" w:rsidRPr="00997F82">
        <w:t xml:space="preserve">in Victoria, </w:t>
      </w:r>
      <w:r w:rsidR="00772BBB" w:rsidRPr="00997F82">
        <w:t xml:space="preserve">New South Wales </w:t>
      </w:r>
      <w:r w:rsidR="00EC3346" w:rsidRPr="00997F82">
        <w:t xml:space="preserve">and </w:t>
      </w:r>
      <w:r w:rsidR="00772BBB" w:rsidRPr="00997F82">
        <w:t xml:space="preserve">Queensland </w:t>
      </w:r>
      <w:r w:rsidR="00054B17" w:rsidRPr="00997F82">
        <w:t>(</w:t>
      </w:r>
      <w:r w:rsidR="00772BBB" w:rsidRPr="00997F82">
        <w:t>7</w:t>
      </w:r>
      <w:r w:rsidR="00054B17" w:rsidRPr="00997F82">
        <w:t xml:space="preserve"> PHNs total) </w:t>
      </w:r>
      <w:r w:rsidR="00704FFD" w:rsidRPr="00997F82">
        <w:t>undertook P</w:t>
      </w:r>
      <w:r w:rsidR="00054B17" w:rsidRPr="00997F82">
        <w:t xml:space="preserve">rogram </w:t>
      </w:r>
      <w:r w:rsidR="00704FFD" w:rsidRPr="00997F82">
        <w:t>a</w:t>
      </w:r>
      <w:r w:rsidR="00054B17" w:rsidRPr="00997F82">
        <w:t>ctivities focused on improving access to Palliative Care Medicines.</w:t>
      </w:r>
      <w:r w:rsidR="00817DE8" w:rsidRPr="00997F82">
        <w:t xml:space="preserve"> </w:t>
      </w:r>
      <w:r w:rsidR="00184126" w:rsidRPr="00997F82">
        <w:t>Improving</w:t>
      </w:r>
      <w:r w:rsidR="00817DE8" w:rsidRPr="00997F82">
        <w:t xml:space="preserve"> access to </w:t>
      </w:r>
      <w:r w:rsidR="00023781" w:rsidRPr="00997F82">
        <w:t xml:space="preserve">core palliative care medicines </w:t>
      </w:r>
      <w:r w:rsidR="00F67B08" w:rsidRPr="00997F82">
        <w:t>w</w:t>
      </w:r>
      <w:r w:rsidR="00184126" w:rsidRPr="00997F82">
        <w:t xml:space="preserve">as identified at a </w:t>
      </w:r>
      <w:r w:rsidR="007703EB" w:rsidRPr="00997F82">
        <w:t>national</w:t>
      </w:r>
      <w:r w:rsidR="00184126" w:rsidRPr="00997F82">
        <w:t xml:space="preserve"> level as being key to improving access to </w:t>
      </w:r>
      <w:r w:rsidR="003A2924" w:rsidRPr="00997F82">
        <w:t xml:space="preserve">palliative care supports at home and in the </w:t>
      </w:r>
      <w:r w:rsidR="00642E3A" w:rsidRPr="00997F82">
        <w:t>community and</w:t>
      </w:r>
      <w:r w:rsidR="00991343" w:rsidRPr="00997F82">
        <w:t xml:space="preserve"> contribut</w:t>
      </w:r>
      <w:r w:rsidR="0010413A" w:rsidRPr="00997F82">
        <w:t>ing</w:t>
      </w:r>
      <w:r w:rsidR="00991343" w:rsidRPr="00997F82">
        <w:t xml:space="preserve"> to</w:t>
      </w:r>
      <w:r w:rsidR="003A2924" w:rsidRPr="00997F82">
        <w:t xml:space="preserve"> reduc</w:t>
      </w:r>
      <w:r w:rsidR="0010413A" w:rsidRPr="00997F82">
        <w:t>ed</w:t>
      </w:r>
      <w:r w:rsidR="003A2924" w:rsidRPr="00997F82">
        <w:t xml:space="preserve"> preventable hospitalisations.</w:t>
      </w:r>
      <w:r w:rsidR="006C31AE" w:rsidRPr="00997F82">
        <w:rPr>
          <w:rStyle w:val="FootnoteReference"/>
        </w:rPr>
        <w:footnoteReference w:id="22"/>
      </w:r>
      <w:r w:rsidR="003A2924" w:rsidRPr="00997F82">
        <w:t xml:space="preserve"> </w:t>
      </w:r>
      <w:r w:rsidR="00F1562D" w:rsidRPr="00997F82">
        <w:t>As such, t</w:t>
      </w:r>
      <w:r w:rsidR="003A2924" w:rsidRPr="00997F82">
        <w:t>he</w:t>
      </w:r>
      <w:r w:rsidR="006C31AE" w:rsidRPr="00997F82">
        <w:t>se</w:t>
      </w:r>
      <w:r w:rsidR="003A2924" w:rsidRPr="00997F82">
        <w:t xml:space="preserve"> activities are highly aligned to the </w:t>
      </w:r>
      <w:r w:rsidR="006C31AE" w:rsidRPr="00997F82">
        <w:t>P</w:t>
      </w:r>
      <w:r w:rsidR="003A2924" w:rsidRPr="00997F82">
        <w:t xml:space="preserve">rogram </w:t>
      </w:r>
      <w:r w:rsidR="006C31AE" w:rsidRPr="00997F82">
        <w:t>objectives</w:t>
      </w:r>
      <w:r w:rsidR="00DE6BBC" w:rsidRPr="00997F82">
        <w:t xml:space="preserve"> and evidenced through</w:t>
      </w:r>
      <w:r w:rsidR="003A2924" w:rsidRPr="00997F82">
        <w:t xml:space="preserve"> </w:t>
      </w:r>
      <w:r w:rsidR="008F6EB1" w:rsidRPr="00997F82">
        <w:t>strong uptake in the community</w:t>
      </w:r>
      <w:r w:rsidR="00DE6BBC" w:rsidRPr="00997F82">
        <w:t>.</w:t>
      </w:r>
      <w:r w:rsidR="008F6EB1" w:rsidRPr="00997F82">
        <w:t xml:space="preserve"> </w:t>
      </w:r>
    </w:p>
    <w:p w14:paraId="51CED242" w14:textId="7EB7E952" w:rsidR="001D4F66" w:rsidRPr="00997F82" w:rsidRDefault="00D04B77" w:rsidP="002B6D2C">
      <w:r w:rsidRPr="00997F82">
        <w:t>Several</w:t>
      </w:r>
      <w:r w:rsidR="0036497E" w:rsidRPr="00997F82">
        <w:t xml:space="preserve"> PHNs </w:t>
      </w:r>
      <w:r w:rsidR="009C5D8A" w:rsidRPr="00997F82">
        <w:t xml:space="preserve">(10 in total) </w:t>
      </w:r>
      <w:r w:rsidR="0036497E" w:rsidRPr="00997F82">
        <w:t xml:space="preserve">indicated that </w:t>
      </w:r>
      <w:r w:rsidR="006075A9" w:rsidRPr="00997F82">
        <w:t>medication management and anticipatory prescribing were</w:t>
      </w:r>
      <w:r w:rsidR="009908B8" w:rsidRPr="00997F82">
        <w:t xml:space="preserve"> areas</w:t>
      </w:r>
      <w:r w:rsidR="00B02EFD" w:rsidRPr="00997F82">
        <w:t xml:space="preserve"> of identified need</w:t>
      </w:r>
      <w:r w:rsidR="009908B8" w:rsidRPr="00997F82">
        <w:t xml:space="preserve"> for health professional development</w:t>
      </w:r>
      <w:r w:rsidR="00B02EFD" w:rsidRPr="00997F82">
        <w:t xml:space="preserve"> </w:t>
      </w:r>
      <w:r w:rsidR="00D27173" w:rsidRPr="00997F82">
        <w:t xml:space="preserve">and would enable </w:t>
      </w:r>
      <w:r w:rsidR="002C5AD9" w:rsidRPr="00997F82">
        <w:t xml:space="preserve">health professional referrals </w:t>
      </w:r>
      <w:r w:rsidR="0037166F" w:rsidRPr="00997F82">
        <w:t>to community pharmacy</w:t>
      </w:r>
      <w:r w:rsidR="009260CA" w:rsidRPr="00997F82">
        <w:t xml:space="preserve"> and core </w:t>
      </w:r>
      <w:r w:rsidR="00323A7F" w:rsidRPr="00997F82">
        <w:t>medicines</w:t>
      </w:r>
      <w:r w:rsidR="009260CA" w:rsidRPr="00997F82">
        <w:t xml:space="preserve"> in HNA</w:t>
      </w:r>
      <w:r w:rsidR="00323A7F" w:rsidRPr="00997F82">
        <w:t xml:space="preserve"> or PCNAs</w:t>
      </w:r>
      <w:r w:rsidR="005F1B36" w:rsidRPr="00997F82">
        <w:t>.</w:t>
      </w:r>
    </w:p>
    <w:p w14:paraId="5E35AE53" w14:textId="6A0C196F" w:rsidR="00CD6911" w:rsidRPr="00997F82" w:rsidRDefault="00CD6911" w:rsidP="006950EE">
      <w:pPr>
        <w:pStyle w:val="Heading4"/>
      </w:pPr>
      <w:r w:rsidRPr="00997F82">
        <w:t>Priority Populations</w:t>
      </w:r>
    </w:p>
    <w:p w14:paraId="5ECA9E20" w14:textId="57BA3459" w:rsidR="00101908" w:rsidRPr="00997F82" w:rsidRDefault="005C5978" w:rsidP="002B6D2C">
      <w:r w:rsidRPr="00997F82">
        <w:t xml:space="preserve">PHNs </w:t>
      </w:r>
      <w:r w:rsidR="00EC11CD" w:rsidRPr="00997F82">
        <w:t>in 1</w:t>
      </w:r>
      <w:r w:rsidR="00A439D3" w:rsidRPr="00997F82">
        <w:t>4</w:t>
      </w:r>
      <w:r w:rsidR="00EC11CD" w:rsidRPr="00997F82">
        <w:t xml:space="preserve"> regions </w:t>
      </w:r>
      <w:r w:rsidRPr="00997F82">
        <w:t xml:space="preserve">identified a broad range of </w:t>
      </w:r>
      <w:r w:rsidR="00393A70" w:rsidRPr="00997F82">
        <w:t xml:space="preserve">priority </w:t>
      </w:r>
      <w:r w:rsidR="00595772" w:rsidRPr="00997F82">
        <w:t>populations</w:t>
      </w:r>
      <w:r w:rsidR="00056FEF" w:rsidRPr="00997F82">
        <w:t xml:space="preserve"> who would benefit from </w:t>
      </w:r>
      <w:r w:rsidR="00A620D1" w:rsidRPr="00997F82">
        <w:t xml:space="preserve">improved access to knowledge, information and </w:t>
      </w:r>
      <w:r w:rsidR="00595772" w:rsidRPr="00997F82">
        <w:t xml:space="preserve">awareness of palliative </w:t>
      </w:r>
      <w:r w:rsidR="00D647FC" w:rsidRPr="00997F82">
        <w:t>care</w:t>
      </w:r>
      <w:r w:rsidR="00595772" w:rsidRPr="00997F82">
        <w:t xml:space="preserve">. </w:t>
      </w:r>
      <w:r w:rsidR="00FE26ED" w:rsidRPr="00997F82">
        <w:t>1</w:t>
      </w:r>
      <w:r w:rsidR="00BF6D47" w:rsidRPr="00997F82">
        <w:t>4</w:t>
      </w:r>
      <w:r w:rsidR="00FE26ED" w:rsidRPr="00997F82">
        <w:t xml:space="preserve"> PHNs</w:t>
      </w:r>
      <w:r w:rsidR="003F2943" w:rsidRPr="00997F82">
        <w:t>,</w:t>
      </w:r>
      <w:r w:rsidR="00A1249E" w:rsidRPr="00997F82">
        <w:t xml:space="preserve"> evenly distributed between rural and metropolitan,</w:t>
      </w:r>
      <w:r w:rsidR="005F2595" w:rsidRPr="00997F82">
        <w:t xml:space="preserve"> </w:t>
      </w:r>
      <w:r w:rsidR="00A439D3" w:rsidRPr="00997F82">
        <w:t xml:space="preserve">also </w:t>
      </w:r>
      <w:r w:rsidR="00697DE5" w:rsidRPr="00997F82">
        <w:t>undertook</w:t>
      </w:r>
      <w:r w:rsidR="005F2595" w:rsidRPr="00997F82">
        <w:t xml:space="preserve"> activities for priority populations</w:t>
      </w:r>
      <w:r w:rsidR="00207FE8" w:rsidRPr="00997F82">
        <w:t>.</w:t>
      </w:r>
      <w:r w:rsidR="00D45145" w:rsidRPr="00997F82">
        <w:t xml:space="preserve"> </w:t>
      </w:r>
      <w:r w:rsidR="00926CA2" w:rsidRPr="00997F82">
        <w:t>The</w:t>
      </w:r>
      <w:r w:rsidR="008F677A" w:rsidRPr="00997F82">
        <w:t xml:space="preserve">se efforts </w:t>
      </w:r>
      <w:r w:rsidR="00926CA2" w:rsidRPr="00997F82">
        <w:t xml:space="preserve">focused on </w:t>
      </w:r>
      <w:r w:rsidR="003F5FE5" w:rsidRPr="00997F82">
        <w:t>people who identif</w:t>
      </w:r>
      <w:r w:rsidR="00A23DD4" w:rsidRPr="00997F82">
        <w:t>ied</w:t>
      </w:r>
      <w:r w:rsidR="003F5FE5" w:rsidRPr="00997F82">
        <w:t xml:space="preserve"> </w:t>
      </w:r>
      <w:r w:rsidR="003F2943" w:rsidRPr="00997F82">
        <w:t>as First</w:t>
      </w:r>
      <w:r w:rsidR="00A3442D" w:rsidRPr="00997F82">
        <w:t xml:space="preserve"> Nations </w:t>
      </w:r>
      <w:r w:rsidR="00FB7E03" w:rsidRPr="00997F82">
        <w:t>(9 activities in 8 PHNs),</w:t>
      </w:r>
      <w:r w:rsidR="009815D9" w:rsidRPr="00997F82">
        <w:t xml:space="preserve"> from CALD backgrounds (5 activities in 4 PHNs), </w:t>
      </w:r>
      <w:r w:rsidR="008A4475" w:rsidRPr="00997F82">
        <w:t>LGBTI</w:t>
      </w:r>
      <w:r w:rsidR="001D7CD2" w:rsidRPr="00997F82">
        <w:t>QA</w:t>
      </w:r>
      <w:r w:rsidR="008A4475" w:rsidRPr="00997F82">
        <w:t>+ (</w:t>
      </w:r>
      <w:r w:rsidR="00BC1E76" w:rsidRPr="00997F82">
        <w:t>1</w:t>
      </w:r>
      <w:r w:rsidR="008A4475" w:rsidRPr="00997F82">
        <w:t xml:space="preserve"> activity)</w:t>
      </w:r>
      <w:r w:rsidR="00B220EF" w:rsidRPr="00997F82">
        <w:t xml:space="preserve">, </w:t>
      </w:r>
      <w:r w:rsidR="009815D9" w:rsidRPr="00997F82">
        <w:t xml:space="preserve">and </w:t>
      </w:r>
      <w:r w:rsidR="00A23DD4" w:rsidRPr="00997F82">
        <w:t>living</w:t>
      </w:r>
      <w:r w:rsidR="00F314D1" w:rsidRPr="00997F82">
        <w:t xml:space="preserve"> with </w:t>
      </w:r>
      <w:r w:rsidR="0099450A" w:rsidRPr="00997F82">
        <w:t>disability</w:t>
      </w:r>
      <w:r w:rsidR="008A4475" w:rsidRPr="00997F82">
        <w:t xml:space="preserve"> </w:t>
      </w:r>
      <w:r w:rsidR="006F09EB" w:rsidRPr="00997F82">
        <w:t xml:space="preserve">(7 activities in </w:t>
      </w:r>
      <w:r w:rsidR="00785DBF" w:rsidRPr="00997F82">
        <w:t>7 PHNs). These</w:t>
      </w:r>
      <w:r w:rsidR="00570370" w:rsidRPr="00997F82">
        <w:t xml:space="preserve"> a</w:t>
      </w:r>
      <w:r w:rsidR="0058479F" w:rsidRPr="00997F82">
        <w:t xml:space="preserve">ctivities </w:t>
      </w:r>
      <w:r w:rsidR="00570370" w:rsidRPr="00997F82">
        <w:t>align</w:t>
      </w:r>
      <w:r w:rsidR="003F2943" w:rsidRPr="00997F82">
        <w:t>ed</w:t>
      </w:r>
      <w:r w:rsidR="00570370" w:rsidRPr="00997F82">
        <w:t xml:space="preserve"> to the </w:t>
      </w:r>
      <w:r w:rsidR="00D647FC" w:rsidRPr="00997F82">
        <w:t>P</w:t>
      </w:r>
      <w:r w:rsidR="00570370" w:rsidRPr="00997F82">
        <w:t xml:space="preserve">rogram objectives </w:t>
      </w:r>
      <w:r w:rsidR="006825CE" w:rsidRPr="00997F82">
        <w:t>of increasing access to palliative care in the community.</w:t>
      </w:r>
    </w:p>
    <w:p w14:paraId="1428B772" w14:textId="23AC0B55" w:rsidR="00860F4E" w:rsidRPr="00997F82" w:rsidRDefault="002D2C5B" w:rsidP="002B6D2C">
      <w:r w:rsidRPr="00997F82">
        <w:t>PHNs</w:t>
      </w:r>
      <w:r w:rsidR="00CE165C" w:rsidRPr="00997F82">
        <w:t xml:space="preserve"> demonstrate</w:t>
      </w:r>
      <w:r w:rsidR="001031F7" w:rsidRPr="00997F82">
        <w:t>d</w:t>
      </w:r>
      <w:r w:rsidR="00CE165C" w:rsidRPr="00997F82">
        <w:t xml:space="preserve"> effective engagement with priority populations</w:t>
      </w:r>
      <w:r w:rsidR="00592638" w:rsidRPr="00997F82">
        <w:t>, undertaking extensive consultation projects</w:t>
      </w:r>
      <w:r w:rsidR="00DF39D1" w:rsidRPr="00997F82">
        <w:t xml:space="preserve"> </w:t>
      </w:r>
      <w:r w:rsidR="00B72C93" w:rsidRPr="00997F82">
        <w:t xml:space="preserve">to </w:t>
      </w:r>
      <w:r w:rsidR="00592638" w:rsidRPr="00997F82">
        <w:t>identi</w:t>
      </w:r>
      <w:r w:rsidR="00DF39D1" w:rsidRPr="00997F82">
        <w:t>fy unmet needs for priority population</w:t>
      </w:r>
      <w:r w:rsidR="000144E4" w:rsidRPr="00997F82">
        <w:t>s</w:t>
      </w:r>
      <w:r w:rsidR="00DF39D1" w:rsidRPr="00997F82">
        <w:t xml:space="preserve"> and </w:t>
      </w:r>
      <w:r w:rsidR="00860F4E" w:rsidRPr="00997F82">
        <w:t xml:space="preserve">implementing </w:t>
      </w:r>
      <w:r w:rsidR="00347609" w:rsidRPr="00997F82">
        <w:t xml:space="preserve">targeted </w:t>
      </w:r>
      <w:r w:rsidR="00860F4E" w:rsidRPr="00997F82">
        <w:t xml:space="preserve">activities </w:t>
      </w:r>
      <w:r w:rsidR="00347609" w:rsidRPr="00997F82">
        <w:t>to</w:t>
      </w:r>
      <w:r w:rsidR="00D647FC" w:rsidRPr="00997F82">
        <w:t xml:space="preserve"> </w:t>
      </w:r>
      <w:r w:rsidR="00860F4E" w:rsidRPr="00997F82">
        <w:t>address these needs.</w:t>
      </w:r>
      <w:r w:rsidR="006C6AFF" w:rsidRPr="00997F82">
        <w:t xml:space="preserve"> However, much of th</w:t>
      </w:r>
      <w:r w:rsidR="00D671F8" w:rsidRPr="00997F82">
        <w:t>ese efforts</w:t>
      </w:r>
      <w:r w:rsidR="006C6AFF" w:rsidRPr="00997F82">
        <w:t xml:space="preserve"> </w:t>
      </w:r>
      <w:r w:rsidR="00B01E3A" w:rsidRPr="00997F82">
        <w:t>are</w:t>
      </w:r>
      <w:r w:rsidR="006C6AFF" w:rsidRPr="00997F82">
        <w:t xml:space="preserve"> </w:t>
      </w:r>
      <w:r w:rsidR="00B613CE" w:rsidRPr="00997F82">
        <w:t xml:space="preserve">only </w:t>
      </w:r>
      <w:r w:rsidR="006C6AFF" w:rsidRPr="00997F82">
        <w:t xml:space="preserve">now </w:t>
      </w:r>
      <w:r w:rsidR="00B613CE" w:rsidRPr="00997F82">
        <w:t xml:space="preserve">(at the time of this endpoint report) </w:t>
      </w:r>
      <w:r w:rsidR="006C6AFF" w:rsidRPr="00997F82">
        <w:t>being translated into new activities.</w:t>
      </w:r>
    </w:p>
    <w:p w14:paraId="100C2489" w14:textId="130A69F5" w:rsidR="00EF0EB6" w:rsidRPr="00997F82" w:rsidRDefault="00EF0EB6" w:rsidP="006950EE">
      <w:pPr>
        <w:pStyle w:val="Heading4"/>
      </w:pPr>
      <w:r w:rsidRPr="00997F82">
        <w:t>Coordination and Integration</w:t>
      </w:r>
    </w:p>
    <w:p w14:paraId="2D29BD0B" w14:textId="6ED0A857" w:rsidR="00AA69A2" w:rsidRPr="00997F82" w:rsidRDefault="0010525D" w:rsidP="00AA69A2">
      <w:pPr>
        <w:rPr>
          <w:iCs/>
        </w:rPr>
      </w:pPr>
      <w:r w:rsidRPr="00997F82">
        <w:rPr>
          <w:iCs/>
        </w:rPr>
        <w:t>Improv</w:t>
      </w:r>
      <w:r w:rsidR="000433DF" w:rsidRPr="00997F82">
        <w:rPr>
          <w:iCs/>
        </w:rPr>
        <w:t>ing</w:t>
      </w:r>
      <w:r w:rsidRPr="00997F82">
        <w:rPr>
          <w:iCs/>
        </w:rPr>
        <w:t xml:space="preserve"> </w:t>
      </w:r>
      <w:r w:rsidR="00EE51D6" w:rsidRPr="00997F82">
        <w:rPr>
          <w:iCs/>
        </w:rPr>
        <w:t>the</w:t>
      </w:r>
      <w:r w:rsidRPr="00997F82">
        <w:rPr>
          <w:iCs/>
        </w:rPr>
        <w:t xml:space="preserve"> coordination </w:t>
      </w:r>
      <w:r w:rsidR="008D2E08" w:rsidRPr="00997F82">
        <w:rPr>
          <w:iCs/>
        </w:rPr>
        <w:t xml:space="preserve">of care </w:t>
      </w:r>
      <w:r w:rsidRPr="00997F82">
        <w:rPr>
          <w:iCs/>
        </w:rPr>
        <w:t>and integration</w:t>
      </w:r>
      <w:r w:rsidR="007F083D" w:rsidRPr="00997F82">
        <w:rPr>
          <w:iCs/>
        </w:rPr>
        <w:t xml:space="preserve"> of palliative care services</w:t>
      </w:r>
      <w:r w:rsidRPr="00997F82">
        <w:rPr>
          <w:iCs/>
        </w:rPr>
        <w:t xml:space="preserve"> </w:t>
      </w:r>
      <w:r w:rsidR="000433DF" w:rsidRPr="00997F82">
        <w:rPr>
          <w:iCs/>
        </w:rPr>
        <w:t xml:space="preserve">for patients and carers is </w:t>
      </w:r>
      <w:r w:rsidR="00ED2C0E" w:rsidRPr="00997F82">
        <w:rPr>
          <w:iCs/>
        </w:rPr>
        <w:t>a</w:t>
      </w:r>
      <w:r w:rsidR="00593070" w:rsidRPr="00997F82">
        <w:rPr>
          <w:iCs/>
        </w:rPr>
        <w:t xml:space="preserve">n identified outcome of the Program and key to enabling </w:t>
      </w:r>
      <w:r w:rsidR="002F474F" w:rsidRPr="00997F82">
        <w:rPr>
          <w:iCs/>
        </w:rPr>
        <w:t xml:space="preserve">access. </w:t>
      </w:r>
      <w:r w:rsidR="00AA69A2" w:rsidRPr="00997F82">
        <w:rPr>
          <w:iCs/>
        </w:rPr>
        <w:t xml:space="preserve">HNAs and PCNAs identified needs around improving care pathways, referral pathways, service navigation and system integration in </w:t>
      </w:r>
      <w:r w:rsidR="00AA69A2" w:rsidRPr="00997F82">
        <w:t>12</w:t>
      </w:r>
      <w:r w:rsidR="00AA69A2" w:rsidRPr="00997F82">
        <w:rPr>
          <w:iCs/>
        </w:rPr>
        <w:t xml:space="preserve"> PHN regions.</w:t>
      </w:r>
    </w:p>
    <w:p w14:paraId="66FA9C44" w14:textId="5725BFA7" w:rsidR="00FF4A22" w:rsidRPr="00997F82" w:rsidRDefault="004339EB" w:rsidP="00C64E75">
      <w:pPr>
        <w:rPr>
          <w:iCs/>
        </w:rPr>
      </w:pPr>
      <w:r w:rsidRPr="00997F82">
        <w:rPr>
          <w:iCs/>
        </w:rPr>
        <w:t xml:space="preserve">24 PHNs </w:t>
      </w:r>
      <w:r w:rsidR="003E2103" w:rsidRPr="00997F82">
        <w:rPr>
          <w:iCs/>
        </w:rPr>
        <w:t xml:space="preserve">undertook </w:t>
      </w:r>
      <w:r w:rsidR="00B01E3A" w:rsidRPr="00997F82">
        <w:rPr>
          <w:iCs/>
        </w:rPr>
        <w:t>c</w:t>
      </w:r>
      <w:r w:rsidR="00A30B25" w:rsidRPr="00997F82">
        <w:rPr>
          <w:iCs/>
        </w:rPr>
        <w:t>oordination</w:t>
      </w:r>
      <w:r w:rsidR="00211AFC" w:rsidRPr="00997F82">
        <w:rPr>
          <w:iCs/>
        </w:rPr>
        <w:t xml:space="preserve"> and </w:t>
      </w:r>
      <w:r w:rsidR="00B01E3A" w:rsidRPr="00997F82">
        <w:rPr>
          <w:iCs/>
        </w:rPr>
        <w:t>i</w:t>
      </w:r>
      <w:r w:rsidR="00A30B25" w:rsidRPr="00997F82">
        <w:rPr>
          <w:iCs/>
        </w:rPr>
        <w:t>ntegration</w:t>
      </w:r>
      <w:r w:rsidR="00211AFC" w:rsidRPr="00997F82">
        <w:rPr>
          <w:iCs/>
        </w:rPr>
        <w:t xml:space="preserve"> </w:t>
      </w:r>
      <w:r w:rsidR="003E2103" w:rsidRPr="00997F82">
        <w:rPr>
          <w:iCs/>
        </w:rPr>
        <w:t>activities</w:t>
      </w:r>
      <w:r w:rsidR="006A1599" w:rsidRPr="00997F82">
        <w:rPr>
          <w:iCs/>
        </w:rPr>
        <w:t xml:space="preserve">, with a majority relating to </w:t>
      </w:r>
      <w:r w:rsidR="000520DB" w:rsidRPr="00997F82">
        <w:rPr>
          <w:iCs/>
        </w:rPr>
        <w:t xml:space="preserve">the use and update of </w:t>
      </w:r>
      <w:proofErr w:type="spellStart"/>
      <w:r w:rsidR="000520DB" w:rsidRPr="00997F82">
        <w:rPr>
          <w:iCs/>
        </w:rPr>
        <w:t>HealthPathways</w:t>
      </w:r>
      <w:proofErr w:type="spellEnd"/>
      <w:r w:rsidR="000520DB" w:rsidRPr="00997F82">
        <w:rPr>
          <w:iCs/>
        </w:rPr>
        <w:t xml:space="preserve"> to assist health professionals in identifying local </w:t>
      </w:r>
      <w:r w:rsidR="00FF4A22" w:rsidRPr="00997F82">
        <w:rPr>
          <w:iCs/>
        </w:rPr>
        <w:t xml:space="preserve">referral networks and services. </w:t>
      </w:r>
      <w:r w:rsidR="00042C53" w:rsidRPr="00997F82">
        <w:rPr>
          <w:iCs/>
        </w:rPr>
        <w:t>While these only account for formal models of coordinated palliative care, all PHNs reported working informally with providers and local groups to deliver activities.</w:t>
      </w:r>
      <w:r w:rsidR="0043441F" w:rsidRPr="00997F82">
        <w:rPr>
          <w:iCs/>
        </w:rPr>
        <w:t xml:space="preserve"> This informal work is a critical component of embedding palliative care into local systems. PHNs are actively connecting services, fostering relationships, and integrating palliative care into existing structures and agendas across health and community sectors.</w:t>
      </w:r>
    </w:p>
    <w:p w14:paraId="02C04BF4" w14:textId="1C974161" w:rsidR="00EB59E2" w:rsidRPr="00997F82" w:rsidRDefault="00EB59E2" w:rsidP="006950EE">
      <w:pPr>
        <w:pStyle w:val="Heading3"/>
      </w:pPr>
      <w:r w:rsidRPr="00997F82">
        <w:t>Implications</w:t>
      </w:r>
    </w:p>
    <w:p w14:paraId="3E31DB49" w14:textId="497118AC" w:rsidR="00B72B45" w:rsidRPr="00997F82" w:rsidRDefault="008E276E" w:rsidP="006950EE">
      <w:pPr>
        <w:pStyle w:val="ListBullet"/>
      </w:pPr>
      <w:r w:rsidRPr="00997F82">
        <w:t>All categories of activities undertaken by PHNs align to both the obje</w:t>
      </w:r>
      <w:r w:rsidR="00851C93" w:rsidRPr="00997F82">
        <w:t>ctives, and the intended outcomes of the Program.</w:t>
      </w:r>
      <w:r w:rsidR="00C61A18" w:rsidRPr="00997F82">
        <w:t xml:space="preserve"> </w:t>
      </w:r>
      <w:r w:rsidR="00B72B45" w:rsidRPr="00997F82">
        <w:t xml:space="preserve">Similarly, PHN activities </w:t>
      </w:r>
      <w:r w:rsidR="00E472CA" w:rsidRPr="00997F82">
        <w:t>were aligned to priorities identified by PHNs as part of HNAs, PCNAs, and other strategies and plans.</w:t>
      </w:r>
    </w:p>
    <w:p w14:paraId="693B644B" w14:textId="4F676065" w:rsidR="002C5AD9" w:rsidRPr="00997F82" w:rsidRDefault="008070DB" w:rsidP="00277D66">
      <w:pPr>
        <w:pStyle w:val="Heading2"/>
      </w:pPr>
      <w:bookmarkStart w:id="32" w:name="_Ref202655636"/>
      <w:bookmarkStart w:id="33" w:name="_Ref202455005"/>
      <w:r w:rsidRPr="00997F82">
        <w:t>How appropriate are PHN activities and initiatives in meeting the preferences and needs of individuals/carers/workforce?</w:t>
      </w:r>
      <w:r w:rsidRPr="00997F82">
        <w:rPr>
          <w:rFonts w:ascii="Arial" w:hAnsi="Arial" w:cs="Arial"/>
        </w:rPr>
        <w:t> </w:t>
      </w:r>
      <w:bookmarkEnd w:id="32"/>
    </w:p>
    <w:tbl>
      <w:tblPr>
        <w:tblStyle w:val="IMSTable"/>
        <w:tblW w:w="0" w:type="auto"/>
        <w:tblLook w:val="04E0" w:firstRow="1" w:lastRow="1" w:firstColumn="1" w:lastColumn="0" w:noHBand="0" w:noVBand="1"/>
      </w:tblPr>
      <w:tblGrid>
        <w:gridCol w:w="9027"/>
      </w:tblGrid>
      <w:tr w:rsidR="006E02A3" w14:paraId="16B06DFA" w14:textId="77777777" w:rsidTr="005E676D">
        <w:trPr>
          <w:cnfStyle w:val="100000000000" w:firstRow="1" w:lastRow="0" w:firstColumn="0" w:lastColumn="0" w:oddVBand="0" w:evenVBand="0" w:oddHBand="0" w:evenHBand="0" w:firstRowFirstColumn="0" w:firstRowLastColumn="0" w:lastRowFirstColumn="0" w:lastRowLastColumn="0"/>
          <w:tblHeader/>
        </w:trPr>
        <w:tc>
          <w:tcPr>
            <w:tcW w:w="9027" w:type="dxa"/>
          </w:tcPr>
          <w:p w14:paraId="3139EFC7" w14:textId="3B484F8B" w:rsidR="006E02A3" w:rsidRDefault="006E02A3" w:rsidP="006E02A3">
            <w:r>
              <w:t>Key finding</w:t>
            </w:r>
          </w:p>
        </w:tc>
      </w:tr>
      <w:tr w:rsidR="006E02A3" w14:paraId="53A5BF9B" w14:textId="77777777" w:rsidTr="006E02A3">
        <w:tc>
          <w:tcPr>
            <w:tcW w:w="9027" w:type="dxa"/>
          </w:tcPr>
          <w:p w14:paraId="0977CAA5" w14:textId="4E73F604" w:rsidR="006E02A3" w:rsidRDefault="006E02A3" w:rsidP="006E02A3">
            <w:r w:rsidRPr="006E02A3">
              <w:t>Program activities currently meet the needs of local workforces and communities, as identified by PHNs. However, significant effort has been required to identify these needs and there are still opportunities to improve monitoring of the appropriateness of activities. To identify these needs has been critical to the design and selection of activities, and there is still improvement that can be made to monitor the progress of this over time. The integration of consumer voices into the program presents an opportunity to enhance its appropriateness, both in identifying community needs that activities are designed to serve, and in assessing their effectiveness post-implementation. For example, this could be included as standard practice in HNA and PCNA methodologies.</w:t>
            </w:r>
          </w:p>
        </w:tc>
      </w:tr>
      <w:tr w:rsidR="006E02A3" w14:paraId="60F21FF4" w14:textId="77777777" w:rsidTr="006E02A3">
        <w:trPr>
          <w:cnfStyle w:val="010000000000" w:firstRow="0" w:lastRow="1" w:firstColumn="0" w:lastColumn="0" w:oddVBand="0" w:evenVBand="0" w:oddHBand="0" w:evenHBand="0" w:firstRowFirstColumn="0" w:firstRowLastColumn="0" w:lastRowFirstColumn="0" w:lastRowLastColumn="0"/>
        </w:trPr>
        <w:tc>
          <w:tcPr>
            <w:tcW w:w="9027" w:type="dxa"/>
          </w:tcPr>
          <w:p w14:paraId="18B488D5" w14:textId="3FCF5054" w:rsidR="006E02A3" w:rsidRDefault="006E02A3" w:rsidP="006E02A3">
            <w:pPr>
              <w:pStyle w:val="Tablefooterwhite"/>
            </w:pPr>
            <w:r w:rsidRPr="006E02A3">
              <w:t>Overall, evidence indicates moderate progress, with some areas for improvement</w:t>
            </w:r>
          </w:p>
        </w:tc>
      </w:tr>
    </w:tbl>
    <w:p w14:paraId="268830B6" w14:textId="325EDE00" w:rsidR="008070DB" w:rsidRPr="00997F82" w:rsidRDefault="008070DB" w:rsidP="006950EE">
      <w:pPr>
        <w:pStyle w:val="Heading3"/>
      </w:pPr>
      <w:r w:rsidRPr="00997F82">
        <w:t>Background</w:t>
      </w:r>
    </w:p>
    <w:p w14:paraId="1CCA66CB" w14:textId="2C0D59D4" w:rsidR="007F5C65" w:rsidRPr="00997F82" w:rsidRDefault="007F5C65" w:rsidP="007F5C65">
      <w:r w:rsidRPr="00997F82">
        <w:t>Palliative Care NSW describe</w:t>
      </w:r>
      <w:r w:rsidR="00114F8E" w:rsidRPr="00997F82">
        <w:t>s</w:t>
      </w:r>
      <w:r w:rsidRPr="00997F82">
        <w:t xml:space="preserve"> how ‘there continues to be a lack of awareness about the role of palliative care and the benefits it can provide to patients with life-limiting illnesses.’</w:t>
      </w:r>
      <w:r w:rsidRPr="00997F82">
        <w:rPr>
          <w:rStyle w:val="FootnoteReference"/>
        </w:rPr>
        <w:footnoteReference w:id="23"/>
      </w:r>
      <w:r w:rsidRPr="00997F82">
        <w:t xml:space="preserve"> This applies to both community and workforce. </w:t>
      </w:r>
      <w:r w:rsidR="00D00544" w:rsidRPr="00997F82">
        <w:t>Similarly, r</w:t>
      </w:r>
      <w:r w:rsidRPr="00997F82">
        <w:t>esearch undertaken by PCA identified gaps in knowledge and understanding of palliative care and the need for better training and education of the workforce.</w:t>
      </w:r>
      <w:r w:rsidRPr="00997F82">
        <w:rPr>
          <w:rStyle w:val="FootnoteReference"/>
        </w:rPr>
        <w:footnoteReference w:id="24"/>
      </w:r>
      <w:r w:rsidRPr="00997F82">
        <w:t xml:space="preserve"> </w:t>
      </w:r>
    </w:p>
    <w:p w14:paraId="5EDB7D7A" w14:textId="51FB5A1E" w:rsidR="00761455" w:rsidRPr="00997F82" w:rsidRDefault="00925EA7" w:rsidP="007528E8">
      <w:r w:rsidRPr="00997F82">
        <w:t xml:space="preserve">To achieve outcomes in line with local needs and preferences, awareness activities should be tailored to specific knowledge gaps, resource needs, preferred topics and preferred delivery methods of local individuals, carers and workforces. </w:t>
      </w:r>
      <w:r w:rsidR="00A14838" w:rsidRPr="00997F82">
        <w:t xml:space="preserve">PHNs </w:t>
      </w:r>
      <w:r w:rsidR="00E14A33" w:rsidRPr="00997F82">
        <w:t xml:space="preserve">supplemented </w:t>
      </w:r>
      <w:r w:rsidR="009540E2" w:rsidRPr="00997F82">
        <w:t xml:space="preserve">needs assessments with </w:t>
      </w:r>
      <w:r w:rsidR="00A14838" w:rsidRPr="00997F82">
        <w:t xml:space="preserve">other planning activities </w:t>
      </w:r>
      <w:r w:rsidR="009540E2" w:rsidRPr="00997F82">
        <w:t xml:space="preserve">such as consultation </w:t>
      </w:r>
      <w:r w:rsidR="00B27754" w:rsidRPr="00997F82">
        <w:t>and co-</w:t>
      </w:r>
      <w:r w:rsidR="0042742E" w:rsidRPr="00997F82">
        <w:t>design of activities</w:t>
      </w:r>
      <w:r w:rsidR="00D00544" w:rsidRPr="00997F82">
        <w:t>, to further understand this.</w:t>
      </w:r>
    </w:p>
    <w:p w14:paraId="0593FE66" w14:textId="32BD06D8" w:rsidR="008070DB" w:rsidRPr="00997F82" w:rsidRDefault="008070DB" w:rsidP="006950EE">
      <w:pPr>
        <w:pStyle w:val="Heading3"/>
      </w:pPr>
      <w:r w:rsidRPr="00997F82">
        <w:t>Findings</w:t>
      </w:r>
    </w:p>
    <w:p w14:paraId="33905DC3" w14:textId="0306423E" w:rsidR="00B878CC" w:rsidRPr="00997F82" w:rsidRDefault="00AE0FD6" w:rsidP="008070DB">
      <w:r w:rsidRPr="00997F82">
        <w:t>A</w:t>
      </w:r>
      <w:r w:rsidR="00FC4D38" w:rsidRPr="00997F82">
        <w:t>s described in the previous chapter, a</w:t>
      </w:r>
      <w:r w:rsidRPr="00997F82">
        <w:t xml:space="preserve">nalysis of PHN needs assessments (HNAs and PCNAs) </w:t>
      </w:r>
      <w:r w:rsidR="00FC4D38" w:rsidRPr="00997F82">
        <w:t xml:space="preserve">indicates </w:t>
      </w:r>
      <w:r w:rsidR="001F2EEB" w:rsidRPr="00997F82">
        <w:t xml:space="preserve">alignment between </w:t>
      </w:r>
      <w:r w:rsidR="000F5934" w:rsidRPr="00997F82">
        <w:t>PHN needs assessments and the PHN activities that were undertaken as part of the Program</w:t>
      </w:r>
      <w:r w:rsidR="00FC4D38" w:rsidRPr="00997F82">
        <w:t>.</w:t>
      </w:r>
      <w:r w:rsidR="0034284E" w:rsidRPr="00997F82">
        <w:t xml:space="preserve"> </w:t>
      </w:r>
    </w:p>
    <w:p w14:paraId="14129E33" w14:textId="6C1E2534" w:rsidR="00B878CC" w:rsidRPr="00997F82" w:rsidRDefault="00B878CC" w:rsidP="00B878CC">
      <w:pPr>
        <w:rPr>
          <w:color w:val="auto"/>
        </w:rPr>
      </w:pPr>
      <w:r w:rsidRPr="00997F82">
        <w:t>This sentiment is shared by service providers. Results from the Endpoint service provider survey show that 69% (n=62/90) of respondents believed PHN activities either significantly or somewhat assisted with meeting needs and preferences of individuals</w:t>
      </w:r>
      <w:r w:rsidRPr="00997F82">
        <w:rPr>
          <w:color w:val="auto"/>
        </w:rPr>
        <w:t xml:space="preserve"> (</w:t>
      </w:r>
      <w:r w:rsidR="00642E3A" w:rsidRPr="00997F82">
        <w:rPr>
          <w:color w:val="auto"/>
        </w:rPr>
        <w:fldChar w:fldCharType="begin"/>
      </w:r>
      <w:r w:rsidR="00642E3A" w:rsidRPr="00997F82">
        <w:rPr>
          <w:color w:val="auto"/>
        </w:rPr>
        <w:instrText xml:space="preserve"> REF _Ref210381109 \h </w:instrText>
      </w:r>
      <w:r w:rsidR="00997F82">
        <w:rPr>
          <w:color w:val="auto"/>
        </w:rPr>
        <w:instrText xml:space="preserve"> \* MERGEFORMAT </w:instrText>
      </w:r>
      <w:r w:rsidR="00642E3A" w:rsidRPr="00997F82">
        <w:rPr>
          <w:color w:val="auto"/>
        </w:rPr>
      </w:r>
      <w:r w:rsidR="00642E3A" w:rsidRPr="00997F82">
        <w:rPr>
          <w:color w:val="auto"/>
        </w:rPr>
        <w:fldChar w:fldCharType="separate"/>
      </w:r>
      <w:r w:rsidR="00735424" w:rsidRPr="00997F82">
        <w:t xml:space="preserve">Figure </w:t>
      </w:r>
      <w:r w:rsidR="00735424">
        <w:t>3</w:t>
      </w:r>
      <w:r w:rsidR="00642E3A" w:rsidRPr="00997F82">
        <w:rPr>
          <w:color w:val="auto"/>
        </w:rPr>
        <w:fldChar w:fldCharType="end"/>
      </w:r>
      <w:r w:rsidRPr="00997F82">
        <w:rPr>
          <w:color w:val="auto"/>
        </w:rPr>
        <w:t>).</w:t>
      </w:r>
    </w:p>
    <w:p w14:paraId="294BBBFB" w14:textId="1F76DE58" w:rsidR="00B878CC" w:rsidRPr="00997F82" w:rsidRDefault="00B878CC" w:rsidP="00277D66">
      <w:pPr>
        <w:pStyle w:val="Caption"/>
      </w:pPr>
      <w:bookmarkStart w:id="34" w:name="_Ref210381109"/>
      <w:r w:rsidRPr="00997F82">
        <w:t xml:space="preserve">Figure </w:t>
      </w:r>
      <w:r w:rsidR="006558E4" w:rsidRPr="00997F82">
        <w:fldChar w:fldCharType="begin"/>
      </w:r>
      <w:r w:rsidR="006558E4" w:rsidRPr="00997F82">
        <w:instrText xml:space="preserve"> SEQ Figure \* ARABIC </w:instrText>
      </w:r>
      <w:r w:rsidR="006558E4" w:rsidRPr="00997F82">
        <w:fldChar w:fldCharType="separate"/>
      </w:r>
      <w:r w:rsidR="00735424">
        <w:rPr>
          <w:noProof/>
        </w:rPr>
        <w:t>3</w:t>
      </w:r>
      <w:r w:rsidR="006558E4" w:rsidRPr="00997F82">
        <w:fldChar w:fldCharType="end"/>
      </w:r>
      <w:bookmarkEnd w:id="34"/>
      <w:r w:rsidRPr="00997F82">
        <w:t>: Service providers beliefs about whether the Program activities assist with meeting individual needs and preferences.</w:t>
      </w:r>
    </w:p>
    <w:p w14:paraId="2427FB91" w14:textId="5AD51C09" w:rsidR="00B878CC" w:rsidRPr="00997F82" w:rsidRDefault="00B878CC" w:rsidP="006805E3">
      <w:pPr>
        <w:jc w:val="center"/>
      </w:pPr>
      <w:r w:rsidRPr="00997F82">
        <w:rPr>
          <w:noProof/>
          <w:shd w:val="clear" w:color="auto" w:fill="B4B5DB" w:themeFill="accent4"/>
        </w:rPr>
        <w:drawing>
          <wp:inline distT="0" distB="0" distL="0" distR="0" wp14:anchorId="53E54D9C" wp14:editId="636461ED">
            <wp:extent cx="5132717" cy="2749550"/>
            <wp:effectExtent l="0" t="0" r="0" b="0"/>
            <wp:docPr id="1820621327" name="Chart 1" descr="Figure 3 is a horizontal bar chart showing service providers' beliefs about whether Program activities assist with meeting individual needs and preferences.&#10;&#10;Significantly assists: 31%&#10;&#10;Somewhat assists: 38%&#10;&#10;Does not assist: 7%&#10;&#10;Unsure: 24%">
              <a:extLst xmlns:a="http://schemas.openxmlformats.org/drawingml/2006/main">
                <a:ext uri="{FF2B5EF4-FFF2-40B4-BE49-F238E27FC236}">
                  <a16:creationId xmlns:a16="http://schemas.microsoft.com/office/drawing/2014/main" id="{601B8A81-ED03-0F1C-9AEE-479B708A39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DFED096" w14:textId="72D51E55" w:rsidR="00B878CC" w:rsidRPr="00997F82" w:rsidRDefault="002521E6" w:rsidP="0017202E">
      <w:r w:rsidRPr="00997F82">
        <w:t>However,</w:t>
      </w:r>
      <w:r w:rsidR="0034284E" w:rsidRPr="00997F82">
        <w:t xml:space="preserve"> to further ensure needs were part of activity design, implementation and continuous improvement</w:t>
      </w:r>
      <w:r w:rsidR="00D57DBD" w:rsidRPr="00997F82">
        <w:t>,</w:t>
      </w:r>
      <w:r w:rsidR="0034284E" w:rsidRPr="00997F82">
        <w:t xml:space="preserve"> many</w:t>
      </w:r>
      <w:r w:rsidR="001357B8" w:rsidRPr="00997F82">
        <w:t xml:space="preserve"> PHNs </w:t>
      </w:r>
      <w:r w:rsidR="00E85EE9" w:rsidRPr="00997F82">
        <w:t xml:space="preserve">undertook </w:t>
      </w:r>
      <w:r w:rsidR="0034284E" w:rsidRPr="00997F82">
        <w:t xml:space="preserve">additional </w:t>
      </w:r>
      <w:r w:rsidR="00E85EE9" w:rsidRPr="00997F82">
        <w:t xml:space="preserve">analysis and </w:t>
      </w:r>
      <w:r w:rsidR="0034284E" w:rsidRPr="00997F82">
        <w:t>consultatio</w:t>
      </w:r>
      <w:r w:rsidR="00E85EE9" w:rsidRPr="00997F82">
        <w:t>n</w:t>
      </w:r>
      <w:r w:rsidR="00B878CC" w:rsidRPr="00997F82">
        <w:t xml:space="preserve">. This enabled PHNs to identify </w:t>
      </w:r>
      <w:r w:rsidR="005B4654" w:rsidRPr="00997F82">
        <w:t>needs and preferences that</w:t>
      </w:r>
      <w:r w:rsidR="00651FF6" w:rsidRPr="00997F82">
        <w:t xml:space="preserve"> may not have been identified in needs assessments.</w:t>
      </w:r>
      <w:r w:rsidR="00B878CC" w:rsidRPr="00997F82">
        <w:t xml:space="preserve"> </w:t>
      </w:r>
    </w:p>
    <w:p w14:paraId="05FA051D" w14:textId="52761D01" w:rsidR="008070DB" w:rsidRPr="00997F82" w:rsidRDefault="002521E6" w:rsidP="00335FE8">
      <w:r w:rsidRPr="00997F82">
        <w:t>For example</w:t>
      </w:r>
      <w:r w:rsidR="726D3784" w:rsidRPr="00997F82">
        <w:t>, t</w:t>
      </w:r>
      <w:r w:rsidR="57350E66" w:rsidRPr="00997F82">
        <w:t>hrough planning and consultation</w:t>
      </w:r>
      <w:r w:rsidRPr="00997F82">
        <w:t>,</w:t>
      </w:r>
      <w:r w:rsidR="57350E66" w:rsidRPr="00997F82">
        <w:t xml:space="preserve"> </w:t>
      </w:r>
      <w:r w:rsidR="31EEEF98" w:rsidRPr="00997F82">
        <w:t xml:space="preserve">CESPHN identified </w:t>
      </w:r>
      <w:r w:rsidR="0E50C7EF" w:rsidRPr="00997F82">
        <w:t xml:space="preserve">a need for education aimed at improving palliative care capabilities </w:t>
      </w:r>
      <w:r w:rsidR="489C0706" w:rsidRPr="00997F82">
        <w:t xml:space="preserve">of </w:t>
      </w:r>
      <w:r w:rsidR="31EEEF98" w:rsidRPr="00997F82">
        <w:t xml:space="preserve">home and community care nursing staff in the region. The Palliative Care Masterclass program </w:t>
      </w:r>
      <w:r w:rsidR="489C0706" w:rsidRPr="00997F82">
        <w:t xml:space="preserve">was </w:t>
      </w:r>
      <w:r w:rsidRPr="00997F82">
        <w:t xml:space="preserve">designed </w:t>
      </w:r>
      <w:r w:rsidR="31EEEF98" w:rsidRPr="00997F82">
        <w:t xml:space="preserve">to increase confidence, skills, and knowledge of nurses </w:t>
      </w:r>
      <w:r w:rsidR="762FC15D" w:rsidRPr="00997F82">
        <w:t xml:space="preserve">to </w:t>
      </w:r>
      <w:r w:rsidR="3374C3DA" w:rsidRPr="00997F82">
        <w:t xml:space="preserve">identify </w:t>
      </w:r>
      <w:r w:rsidR="31EEEF98" w:rsidRPr="00997F82">
        <w:t>end-of-life symptoms and navigat</w:t>
      </w:r>
      <w:r w:rsidR="6ABF16B5" w:rsidRPr="00997F82">
        <w:t>e</w:t>
      </w:r>
      <w:r w:rsidR="31EEEF98" w:rsidRPr="00997F82">
        <w:t xml:space="preserve"> sensitive conversations. </w:t>
      </w:r>
      <w:r w:rsidRPr="00997F82">
        <w:t xml:space="preserve">Across </w:t>
      </w:r>
      <w:r w:rsidR="31EEEF98" w:rsidRPr="00997F82">
        <w:t xml:space="preserve">13 education sessions, 320 learning opportunities were delivered to 179 nurses working across RACHs, general practice and home/community </w:t>
      </w:r>
      <w:r w:rsidR="14A57969" w:rsidRPr="00997F82">
        <w:t xml:space="preserve">care </w:t>
      </w:r>
      <w:r w:rsidR="31EEEF98" w:rsidRPr="00997F82">
        <w:t xml:space="preserve">in the region. </w:t>
      </w:r>
      <w:r w:rsidR="3D5A71B5" w:rsidRPr="00997F82">
        <w:t>The n</w:t>
      </w:r>
      <w:r w:rsidR="31EEEF98" w:rsidRPr="00997F82">
        <w:t xml:space="preserve">urses reported </w:t>
      </w:r>
      <w:r w:rsidR="14A57969" w:rsidRPr="00997F82">
        <w:t>their needs were</w:t>
      </w:r>
      <w:r w:rsidR="1953CD1F" w:rsidRPr="00997F82">
        <w:t xml:space="preserve"> appropriately met </w:t>
      </w:r>
      <w:r w:rsidR="3D5A71B5" w:rsidRPr="00997F82">
        <w:t>through increased</w:t>
      </w:r>
      <w:r w:rsidR="1953CD1F" w:rsidRPr="00997F82">
        <w:t xml:space="preserve"> </w:t>
      </w:r>
      <w:r w:rsidR="31EEEF98" w:rsidRPr="00997F82">
        <w:t xml:space="preserve">knowledge </w:t>
      </w:r>
      <w:r w:rsidR="1953CD1F" w:rsidRPr="00997F82">
        <w:t xml:space="preserve">and </w:t>
      </w:r>
      <w:r w:rsidR="31EEEF98" w:rsidRPr="00997F82">
        <w:t>confidence to provide a palliative approach to patients.</w:t>
      </w:r>
      <w:r w:rsidR="7A567133" w:rsidRPr="00997F82">
        <w:t xml:space="preserve"> In turn, they felt better equipped to meet the needs and preferences </w:t>
      </w:r>
      <w:r w:rsidR="6730FEE7" w:rsidRPr="00997F82">
        <w:t>of individuals in their care.</w:t>
      </w:r>
      <w:r w:rsidR="008070DB" w:rsidRPr="00997F82">
        <w:rPr>
          <w:vertAlign w:val="superscript"/>
        </w:rPr>
        <w:footnoteReference w:id="25"/>
      </w:r>
    </w:p>
    <w:p w14:paraId="63A2DF8E" w14:textId="06A79FDC" w:rsidR="008070DB" w:rsidRPr="00997F82" w:rsidRDefault="00743E88" w:rsidP="008070DB">
      <w:r w:rsidRPr="00997F82">
        <w:t xml:space="preserve">SWSPHN </w:t>
      </w:r>
      <w:r w:rsidR="00314B7F" w:rsidRPr="00997F82">
        <w:t xml:space="preserve">consulted with RACHs and found </w:t>
      </w:r>
      <w:r w:rsidR="00035211" w:rsidRPr="00997F82">
        <w:t xml:space="preserve">a need to </w:t>
      </w:r>
      <w:r w:rsidR="00C725F4" w:rsidRPr="00997F82">
        <w:t xml:space="preserve">identify </w:t>
      </w:r>
      <w:r w:rsidR="001C1599" w:rsidRPr="00997F82">
        <w:t xml:space="preserve">pain </w:t>
      </w:r>
      <w:r w:rsidR="00A648FE" w:rsidRPr="00997F82">
        <w:t>levels in residen</w:t>
      </w:r>
      <w:r w:rsidR="00B80D6E" w:rsidRPr="00997F82">
        <w:t>ts</w:t>
      </w:r>
      <w:r w:rsidR="00A648FE" w:rsidRPr="00997F82">
        <w:t xml:space="preserve"> to better meet their palliative care needs</w:t>
      </w:r>
      <w:r w:rsidR="002521E6" w:rsidRPr="00997F82">
        <w:t>, to reduce</w:t>
      </w:r>
      <w:r w:rsidR="00A648FE" w:rsidRPr="00997F82">
        <w:t xml:space="preserve"> the need for ambula</w:t>
      </w:r>
      <w:r w:rsidR="00127880" w:rsidRPr="00997F82">
        <w:t>nce calls and hospitali</w:t>
      </w:r>
      <w:r w:rsidR="00A6316D" w:rsidRPr="00997F82">
        <w:t>s</w:t>
      </w:r>
      <w:r w:rsidR="00127880" w:rsidRPr="00997F82">
        <w:t>ation</w:t>
      </w:r>
      <w:r w:rsidR="002521E6" w:rsidRPr="00997F82">
        <w:t>s</w:t>
      </w:r>
      <w:r w:rsidR="00127880" w:rsidRPr="00997F82">
        <w:t>. To address this</w:t>
      </w:r>
      <w:r w:rsidR="00F73A63" w:rsidRPr="00997F82">
        <w:t xml:space="preserve">, </w:t>
      </w:r>
      <w:r w:rsidR="008070DB" w:rsidRPr="00997F82">
        <w:t xml:space="preserve">access to the </w:t>
      </w:r>
      <w:proofErr w:type="spellStart"/>
      <w:r w:rsidR="008070DB" w:rsidRPr="00997F82">
        <w:t>Pain</w:t>
      </w:r>
      <w:r w:rsidR="00FC3F1A" w:rsidRPr="00997F82">
        <w:t>C</w:t>
      </w:r>
      <w:r w:rsidR="008070DB" w:rsidRPr="00997F82">
        <w:t>hek</w:t>
      </w:r>
      <w:proofErr w:type="spellEnd"/>
      <w:r w:rsidR="008070DB" w:rsidRPr="00997F82">
        <w:t xml:space="preserve"> </w:t>
      </w:r>
      <w:r w:rsidR="00D47F47" w:rsidRPr="00997F82">
        <w:t xml:space="preserve">digital </w:t>
      </w:r>
      <w:r w:rsidR="008070DB" w:rsidRPr="00997F82">
        <w:t xml:space="preserve">tool </w:t>
      </w:r>
      <w:r w:rsidR="00F723EA" w:rsidRPr="00997F82">
        <w:t xml:space="preserve">was subsidised </w:t>
      </w:r>
      <w:r w:rsidR="008070DB" w:rsidRPr="00997F82">
        <w:t>for 10 RACHs (</w:t>
      </w:r>
      <w:r w:rsidR="00F73A63" w:rsidRPr="00997F82">
        <w:t>representing</w:t>
      </w:r>
      <w:r w:rsidR="00F73A63" w:rsidRPr="00997F82">
        <w:rPr>
          <w:color w:val="000000" w:themeColor="text1"/>
        </w:rPr>
        <w:t xml:space="preserve"> </w:t>
      </w:r>
      <w:r w:rsidR="008070DB" w:rsidRPr="00997F82">
        <w:t>1</w:t>
      </w:r>
      <w:r w:rsidR="006D42AA" w:rsidRPr="00997F82">
        <w:t>,</w:t>
      </w:r>
      <w:r w:rsidR="008070DB" w:rsidRPr="00997F82">
        <w:t>100 RACH beds)</w:t>
      </w:r>
      <w:r w:rsidR="00A102A3" w:rsidRPr="00997F82">
        <w:t xml:space="preserve"> to </w:t>
      </w:r>
      <w:r w:rsidR="002521E6" w:rsidRPr="00997F82">
        <w:t xml:space="preserve">better </w:t>
      </w:r>
      <w:r w:rsidR="00A102A3" w:rsidRPr="00997F82">
        <w:t xml:space="preserve">identify pain levels in </w:t>
      </w:r>
      <w:r w:rsidR="00F723EA" w:rsidRPr="00997F82">
        <w:t>residents</w:t>
      </w:r>
      <w:r w:rsidR="008070DB" w:rsidRPr="00997F82">
        <w:t xml:space="preserve"> with limited communication capacity e.g. late-stage dementia. </w:t>
      </w:r>
    </w:p>
    <w:p w14:paraId="35E13256" w14:textId="12BDA3DA" w:rsidR="009E468D" w:rsidRPr="00997F82" w:rsidRDefault="006970C0" w:rsidP="009E468D">
      <w:r w:rsidRPr="00997F82">
        <w:t>T</w:t>
      </w:r>
      <w:r w:rsidR="009E468D" w:rsidRPr="00997F82">
        <w:t xml:space="preserve">he Program’s flexibility </w:t>
      </w:r>
      <w:r w:rsidRPr="00997F82">
        <w:t xml:space="preserve">was consistently identified as enabling </w:t>
      </w:r>
      <w:r w:rsidR="009E468D" w:rsidRPr="00997F82">
        <w:t>PHNs to design activities that meet the needs of their communities and local workforces</w:t>
      </w:r>
      <w:r w:rsidR="00A52865" w:rsidRPr="00997F82">
        <w:t>, and</w:t>
      </w:r>
      <w:r w:rsidR="009E468D" w:rsidRPr="00997F82">
        <w:t xml:space="preserve"> as an enduring Program strength.</w:t>
      </w:r>
      <w:r w:rsidR="009E468D" w:rsidRPr="00997F82">
        <w:rPr>
          <w:rStyle w:val="FootnoteReference"/>
        </w:rPr>
        <w:footnoteReference w:id="26"/>
      </w:r>
    </w:p>
    <w:p w14:paraId="4CE9E2FE" w14:textId="62AEF5F8" w:rsidR="008070DB" w:rsidRPr="00997F82" w:rsidRDefault="008070DB" w:rsidP="008070DB">
      <w:pPr>
        <w:rPr>
          <w:b/>
          <w:bCs/>
        </w:rPr>
      </w:pPr>
      <w:r w:rsidRPr="00997F82">
        <w:rPr>
          <w:b/>
          <w:bCs/>
        </w:rPr>
        <w:t>Implications</w:t>
      </w:r>
    </w:p>
    <w:p w14:paraId="02EF4A32" w14:textId="11D3A2EC" w:rsidR="004B7ABE" w:rsidRPr="00997F82" w:rsidRDefault="00651FF6" w:rsidP="006950EE">
      <w:pPr>
        <w:pStyle w:val="ListBullet"/>
      </w:pPr>
      <w:r w:rsidRPr="00997F82">
        <w:t xml:space="preserve">PHNs that conducted further consultation with stakeholders and communities in their </w:t>
      </w:r>
      <w:r w:rsidR="00BD3D9C" w:rsidRPr="00997F82">
        <w:t xml:space="preserve">local </w:t>
      </w:r>
      <w:r w:rsidR="004B7ABE" w:rsidRPr="00997F82">
        <w:t>regions</w:t>
      </w:r>
      <w:r w:rsidRPr="00997F82">
        <w:t xml:space="preserve"> identified areas of need that would have otherwise not been </w:t>
      </w:r>
      <w:r w:rsidR="004B7ABE" w:rsidRPr="00997F82">
        <w:t>determined by needs assessments. This shaped key program activities that had evidence of positive impact.</w:t>
      </w:r>
      <w:r w:rsidR="005E4A00" w:rsidRPr="00997F82">
        <w:t xml:space="preserve"> However, some PHNs did not implement activities related to </w:t>
      </w:r>
      <w:r w:rsidR="001436F1" w:rsidRPr="00997F82">
        <w:t xml:space="preserve">individual needs </w:t>
      </w:r>
      <w:r w:rsidR="005E4A00" w:rsidRPr="00997F82">
        <w:t xml:space="preserve">identified in their needs assessment and chose to focus on other areas of priority. </w:t>
      </w:r>
    </w:p>
    <w:p w14:paraId="6E17D516" w14:textId="15DF2408" w:rsidR="007878CF" w:rsidRPr="00997F82" w:rsidRDefault="001B49BE" w:rsidP="006950EE">
      <w:pPr>
        <w:pStyle w:val="ListBullet"/>
      </w:pPr>
      <w:r w:rsidRPr="00997F82">
        <w:t>PHNs supported both the workforce and individuals</w:t>
      </w:r>
      <w:r w:rsidR="001364E7" w:rsidRPr="00997F82">
        <w:t xml:space="preserve"> through their activities, despite implementation challenges. </w:t>
      </w:r>
      <w:r w:rsidRPr="00997F82">
        <w:t xml:space="preserve">This included </w:t>
      </w:r>
      <w:r w:rsidR="001364E7" w:rsidRPr="00997F82">
        <w:t xml:space="preserve">initiatives that allowed </w:t>
      </w:r>
      <w:r w:rsidRPr="00997F82">
        <w:t xml:space="preserve">staff </w:t>
      </w:r>
      <w:r w:rsidR="001364E7" w:rsidRPr="00997F82">
        <w:t xml:space="preserve">to </w:t>
      </w:r>
      <w:r w:rsidRPr="00997F82">
        <w:t xml:space="preserve">feel more confident discussing death and </w:t>
      </w:r>
      <w:r w:rsidR="00642E3A" w:rsidRPr="00997F82">
        <w:t>dying and</w:t>
      </w:r>
      <w:r w:rsidRPr="00997F82">
        <w:t xml:space="preserve"> </w:t>
      </w:r>
      <w:r w:rsidR="001364E7" w:rsidRPr="00997F82">
        <w:t xml:space="preserve">used </w:t>
      </w:r>
      <w:r w:rsidRPr="00997F82">
        <w:t xml:space="preserve">innovative tools </w:t>
      </w:r>
      <w:r w:rsidR="001364E7" w:rsidRPr="00997F82">
        <w:t xml:space="preserve">such as </w:t>
      </w:r>
      <w:proofErr w:type="spellStart"/>
      <w:r w:rsidRPr="00997F82">
        <w:t>Pain</w:t>
      </w:r>
      <w:r w:rsidR="00503607" w:rsidRPr="00997F82">
        <w:t>C</w:t>
      </w:r>
      <w:r w:rsidRPr="00997F82">
        <w:t>hek</w:t>
      </w:r>
      <w:proofErr w:type="spellEnd"/>
      <w:r w:rsidR="001364E7" w:rsidRPr="00997F82">
        <w:t xml:space="preserve"> for earlier identification of pain levels.</w:t>
      </w:r>
    </w:p>
    <w:p w14:paraId="35753540" w14:textId="2DADCC6B" w:rsidR="00B12559" w:rsidRPr="00997F82" w:rsidRDefault="00B12559" w:rsidP="006950EE">
      <w:pPr>
        <w:pStyle w:val="ListBullet"/>
        <w:rPr>
          <w:color w:val="44546A" w:themeColor="text2"/>
        </w:rPr>
      </w:pPr>
      <w:r w:rsidRPr="00997F82">
        <w:t>Evidence of whether PHN activities meet the needs and preferences of indiv</w:t>
      </w:r>
      <w:r w:rsidR="00171115" w:rsidRPr="00997F82">
        <w:t>iduals, carers and the workforce relied on case study examples</w:t>
      </w:r>
      <w:r w:rsidR="00B16BD0" w:rsidRPr="00997F82">
        <w:t xml:space="preserve"> and consultation. </w:t>
      </w:r>
      <w:r w:rsidR="00D357A7" w:rsidRPr="00997F82">
        <w:t xml:space="preserve">There is an opportunity to include this level of qualitative analysis and engagement as </w:t>
      </w:r>
      <w:r w:rsidR="00642E3A" w:rsidRPr="00997F82">
        <w:t>standard</w:t>
      </w:r>
      <w:r w:rsidR="00D357A7" w:rsidRPr="00997F82">
        <w:t xml:space="preserve"> </w:t>
      </w:r>
      <w:r w:rsidR="00CC32D4" w:rsidRPr="00997F82">
        <w:t>practice in HNA and PCNA methodologies</w:t>
      </w:r>
      <w:r w:rsidR="00E9516D" w:rsidRPr="00997F82">
        <w:t>, through the inclusion of consumer voices</w:t>
      </w:r>
      <w:r w:rsidR="00BA24D6" w:rsidRPr="00997F82">
        <w:t>.</w:t>
      </w:r>
    </w:p>
    <w:p w14:paraId="40AB9C9D" w14:textId="099F9B87" w:rsidR="00757854" w:rsidRPr="00997F82" w:rsidRDefault="00D45830" w:rsidP="00277D66">
      <w:pPr>
        <w:pStyle w:val="Heading2"/>
      </w:pPr>
      <w:r w:rsidRPr="00997F82">
        <w:t xml:space="preserve">Has the </w:t>
      </w:r>
      <w:r w:rsidR="00FC6305" w:rsidRPr="00997F82">
        <w:t>P</w:t>
      </w:r>
      <w:r w:rsidRPr="00997F82">
        <w:t>rogram been implemented as planned (within PHNs, and nationally)?</w:t>
      </w:r>
      <w:r w:rsidRPr="00997F82">
        <w:rPr>
          <w:rFonts w:ascii="Arial" w:hAnsi="Arial" w:cs="Arial"/>
        </w:rPr>
        <w:t> </w:t>
      </w:r>
    </w:p>
    <w:tbl>
      <w:tblPr>
        <w:tblStyle w:val="IMSTable"/>
        <w:tblW w:w="0" w:type="auto"/>
        <w:tblLook w:val="04A0" w:firstRow="1" w:lastRow="0" w:firstColumn="1" w:lastColumn="0" w:noHBand="0" w:noVBand="1"/>
      </w:tblPr>
      <w:tblGrid>
        <w:gridCol w:w="9016"/>
      </w:tblGrid>
      <w:tr w:rsidR="00CC32D4" w:rsidRPr="00997F82" w14:paraId="204D7CCE" w14:textId="77777777" w:rsidTr="006950EE">
        <w:trPr>
          <w:cnfStyle w:val="100000000000" w:firstRow="1" w:lastRow="0" w:firstColumn="0" w:lastColumn="0" w:oddVBand="0" w:evenVBand="0" w:oddHBand="0" w:evenHBand="0" w:firstRowFirstColumn="0" w:firstRowLastColumn="0" w:lastRowFirstColumn="0" w:lastRowLastColumn="0"/>
          <w:tblHeader/>
        </w:trPr>
        <w:tc>
          <w:tcPr>
            <w:tcW w:w="9016" w:type="dxa"/>
          </w:tcPr>
          <w:p w14:paraId="1177142B" w14:textId="77777777" w:rsidR="00CC32D4" w:rsidRPr="006E02A3" w:rsidRDefault="00CC32D4" w:rsidP="006E02A3">
            <w:r w:rsidRPr="00997F82">
              <w:t>Key finding</w:t>
            </w:r>
          </w:p>
        </w:tc>
      </w:tr>
      <w:tr w:rsidR="00CC32D4" w:rsidRPr="00997F82" w14:paraId="0A314FC0" w14:textId="77777777" w:rsidTr="006950EE">
        <w:tc>
          <w:tcPr>
            <w:tcW w:w="9016" w:type="dxa"/>
          </w:tcPr>
          <w:p w14:paraId="57B9B3BD" w14:textId="2CE629F6" w:rsidR="00CC32D4" w:rsidRPr="00997F82" w:rsidRDefault="00CC32D4">
            <w:pPr>
              <w:shd w:val="clear" w:color="auto" w:fill="FDF1E6" w:themeFill="accent5" w:themeFillTint="33"/>
              <w:rPr>
                <w:bCs/>
              </w:rPr>
            </w:pPr>
            <w:r w:rsidRPr="00997F82">
              <w:rPr>
                <w:bCs/>
              </w:rPr>
              <w:t xml:space="preserve">The Program overall has been implemented as planned and as indicated in PHN Activity Work Plans. However, there are still enduring challenges to implementation that have resulted in some PHN activities ceasing, pivoting or not progressing. The flexibility of the Program has allowed PHNs to effectively make changes to overcome barriers to implementation. </w:t>
            </w:r>
          </w:p>
        </w:tc>
      </w:tr>
    </w:tbl>
    <w:bookmarkEnd w:id="33"/>
    <w:p w14:paraId="0E04664F" w14:textId="53399A97" w:rsidR="00D22271" w:rsidRPr="006950EE" w:rsidRDefault="006950EE" w:rsidP="006950EE">
      <w:pPr>
        <w:pStyle w:val="Heading3"/>
      </w:pPr>
      <w:r w:rsidRPr="006950EE">
        <w:t>Background</w:t>
      </w:r>
    </w:p>
    <w:p w14:paraId="2053493F" w14:textId="148F81BD" w:rsidR="00320FD1" w:rsidRPr="00997F82" w:rsidRDefault="00655848" w:rsidP="00AF6DCE">
      <w:r w:rsidRPr="00997F82">
        <w:t xml:space="preserve">PHNs were required to complete </w:t>
      </w:r>
      <w:r w:rsidR="00AF6DCE" w:rsidRPr="00997F82">
        <w:t xml:space="preserve">Activity Work Plans </w:t>
      </w:r>
      <w:r w:rsidR="00D228AC" w:rsidRPr="00997F82">
        <w:t xml:space="preserve">(AWPs) </w:t>
      </w:r>
      <w:r w:rsidR="00A119AD" w:rsidRPr="00997F82">
        <w:t xml:space="preserve">outlining their proposed activities, approach, and timelines </w:t>
      </w:r>
      <w:r w:rsidR="00DC6BD4" w:rsidRPr="00997F82">
        <w:t xml:space="preserve">to implementation </w:t>
      </w:r>
      <w:r w:rsidR="00F17B63" w:rsidRPr="00997F82">
        <w:t xml:space="preserve">from commencement </w:t>
      </w:r>
      <w:r w:rsidR="002450C7" w:rsidRPr="00997F82">
        <w:t xml:space="preserve">in 2022. </w:t>
      </w:r>
      <w:r w:rsidR="0067665F" w:rsidRPr="00997F82">
        <w:t>AWPs</w:t>
      </w:r>
      <w:r w:rsidR="00447FF9" w:rsidRPr="00997F82">
        <w:t xml:space="preserve"> </w:t>
      </w:r>
      <w:r w:rsidR="0067665F" w:rsidRPr="00997F82">
        <w:t>are</w:t>
      </w:r>
      <w:r w:rsidR="00447FF9" w:rsidRPr="00997F82">
        <w:t xml:space="preserve"> updated</w:t>
      </w:r>
      <w:r w:rsidR="00E73662" w:rsidRPr="00997F82">
        <w:t xml:space="preserve"> annually</w:t>
      </w:r>
      <w:r w:rsidR="00677A87" w:rsidRPr="00997F82">
        <w:t xml:space="preserve"> and were </w:t>
      </w:r>
      <w:r w:rsidR="002644A3" w:rsidRPr="00997F82">
        <w:t xml:space="preserve">analysed </w:t>
      </w:r>
      <w:r w:rsidR="00677A87" w:rsidRPr="00997F82">
        <w:t>against</w:t>
      </w:r>
      <w:r w:rsidR="00AD1F3F" w:rsidRPr="00997F82">
        <w:t xml:space="preserve"> PHN Annual Reports</w:t>
      </w:r>
      <w:r w:rsidR="00B52620" w:rsidRPr="00997F82">
        <w:t xml:space="preserve"> to </w:t>
      </w:r>
      <w:r w:rsidR="000E494F" w:rsidRPr="00997F82">
        <w:t>examine whether activities had been implemented according to initial planning</w:t>
      </w:r>
      <w:r w:rsidR="00E73662" w:rsidRPr="00997F82">
        <w:t>.</w:t>
      </w:r>
    </w:p>
    <w:p w14:paraId="07585114" w14:textId="6070F02C" w:rsidR="00BC2D3A" w:rsidRPr="00997F82" w:rsidRDefault="00BC2D3A" w:rsidP="006950EE">
      <w:pPr>
        <w:pStyle w:val="Heading3"/>
      </w:pPr>
      <w:r w:rsidRPr="00997F82">
        <w:t>Findings</w:t>
      </w:r>
    </w:p>
    <w:p w14:paraId="571530E7" w14:textId="06F77881" w:rsidR="00C72223" w:rsidRPr="00997F82" w:rsidRDefault="00CB2D7B" w:rsidP="00C82424">
      <w:r w:rsidRPr="00997F82">
        <w:t>A</w:t>
      </w:r>
      <w:r w:rsidR="00B41B46" w:rsidRPr="00997F82">
        <w:t xml:space="preserve"> total of</w:t>
      </w:r>
      <w:r w:rsidR="00EB6C7A" w:rsidRPr="00997F82">
        <w:t xml:space="preserve"> 234 </w:t>
      </w:r>
      <w:r w:rsidR="00DB6FFA" w:rsidRPr="00997F82">
        <w:t>a</w:t>
      </w:r>
      <w:r w:rsidR="00B41B46" w:rsidRPr="00997F82">
        <w:t xml:space="preserve">ctivities </w:t>
      </w:r>
      <w:r w:rsidRPr="00997F82">
        <w:t xml:space="preserve">were </w:t>
      </w:r>
      <w:r w:rsidR="00B41B46" w:rsidRPr="00997F82">
        <w:t xml:space="preserve">planned to be implemented across the 31 PHNs. At </w:t>
      </w:r>
      <w:r w:rsidR="00D8670D" w:rsidRPr="00997F82">
        <w:t>Endpoint</w:t>
      </w:r>
      <w:r w:rsidR="00B41B46" w:rsidRPr="00997F82">
        <w:t xml:space="preserve">, </w:t>
      </w:r>
      <w:r w:rsidR="00DB6FFA" w:rsidRPr="00997F82">
        <w:t>204 a</w:t>
      </w:r>
      <w:r w:rsidR="00B41B46" w:rsidRPr="00997F82">
        <w:t xml:space="preserve">ctivities had been completed </w:t>
      </w:r>
      <w:r w:rsidR="001752A5" w:rsidRPr="00997F82">
        <w:t>or</w:t>
      </w:r>
      <w:r w:rsidR="00B41B46" w:rsidRPr="00997F82">
        <w:t xml:space="preserve"> were continuing. </w:t>
      </w:r>
      <w:r w:rsidRPr="00997F82">
        <w:t>A</w:t>
      </w:r>
      <w:r w:rsidR="00B41B46" w:rsidRPr="00997F82">
        <w:t xml:space="preserve"> small proportion (</w:t>
      </w:r>
      <w:r w:rsidR="00F40EB7" w:rsidRPr="00997F82">
        <w:t>3.4%</w:t>
      </w:r>
      <w:r w:rsidR="00B41B46" w:rsidRPr="00997F82">
        <w:t>) ceased</w:t>
      </w:r>
      <w:r w:rsidR="007C0507" w:rsidRPr="00997F82">
        <w:t xml:space="preserve"> implementation, and</w:t>
      </w:r>
      <w:r w:rsidR="00B41B46" w:rsidRPr="00997F82">
        <w:t xml:space="preserve"> </w:t>
      </w:r>
      <w:r w:rsidR="00F40EB7" w:rsidRPr="00997F82">
        <w:t>22 a</w:t>
      </w:r>
      <w:r w:rsidR="00B41B46" w:rsidRPr="00997F82">
        <w:t xml:space="preserve">ctivities were still </w:t>
      </w:r>
      <w:r w:rsidR="007C0507" w:rsidRPr="00997F82">
        <w:t>in planning stage</w:t>
      </w:r>
      <w:r w:rsidR="00B41B46" w:rsidRPr="00997F82">
        <w:t xml:space="preserve">. </w:t>
      </w:r>
      <w:r w:rsidR="006E7EC6" w:rsidRPr="00997F82">
        <w:t xml:space="preserve">Results from the Endpoint survey also </w:t>
      </w:r>
      <w:r w:rsidR="00C82424" w:rsidRPr="00997F82">
        <w:t>highlight</w:t>
      </w:r>
      <w:r w:rsidR="006E7EC6" w:rsidRPr="00997F82">
        <w:t xml:space="preserve"> that 90% of PHN respondents felt that Program outcomes had been achieved to either a moderate (45%) or significant extent (45%), indicating the Program </w:t>
      </w:r>
      <w:r w:rsidR="00C82424" w:rsidRPr="00997F82">
        <w:t xml:space="preserve">overall, </w:t>
      </w:r>
      <w:r w:rsidR="006E7EC6" w:rsidRPr="00997F82">
        <w:t>was implemented as planned.</w:t>
      </w:r>
      <w:r w:rsidR="006E7EC6" w:rsidRPr="00997F82">
        <w:rPr>
          <w:rStyle w:val="FootnoteReference"/>
        </w:rPr>
        <w:footnoteReference w:id="27"/>
      </w:r>
      <w:r w:rsidR="006E7EC6" w:rsidRPr="00997F82">
        <w:t xml:space="preserve">  </w:t>
      </w:r>
    </w:p>
    <w:p w14:paraId="3222CCCB" w14:textId="3F00075D" w:rsidR="00C82424" w:rsidRPr="00997F82" w:rsidRDefault="00C82424" w:rsidP="006E7EC6">
      <w:r w:rsidRPr="00997F82">
        <w:t>At Baseline it was evident that pilot PHNs had been able to build from previous work and knowledge, accelerating their progress in implementing activities.</w:t>
      </w:r>
      <w:r w:rsidRPr="00997F82">
        <w:rPr>
          <w:rStyle w:val="FootnoteReference"/>
        </w:rPr>
        <w:footnoteReference w:id="28"/>
      </w:r>
      <w:r w:rsidRPr="00997F82">
        <w:t xml:space="preserve"> At Endpoint, </w:t>
      </w:r>
      <w:r w:rsidR="006B57E0" w:rsidRPr="00997F82">
        <w:t xml:space="preserve">pilot PHNs demonstrated a higher likelihood of achieving outcomes to a moderate or significant </w:t>
      </w:r>
      <w:r w:rsidRPr="00997F82" w:rsidDel="006B57E0">
        <w:t>extent</w:t>
      </w:r>
      <w:r w:rsidRPr="00997F82">
        <w:t>, which is reflective of the longer timeframes to design and implement activities as compared to non-pilot PHNs.</w:t>
      </w:r>
      <w:r w:rsidRPr="00997F82">
        <w:rPr>
          <w:rStyle w:val="FootnoteReference"/>
        </w:rPr>
        <w:footnoteReference w:id="29"/>
      </w:r>
    </w:p>
    <w:p w14:paraId="1A146363" w14:textId="46346E18" w:rsidR="00642E3A" w:rsidRPr="00997F82" w:rsidRDefault="0026513B" w:rsidP="006950EE">
      <w:pPr>
        <w:spacing w:before="60" w:after="60"/>
      </w:pPr>
      <w:r w:rsidRPr="00997F82">
        <w:t>89</w:t>
      </w:r>
      <w:r w:rsidR="006D52A3" w:rsidRPr="00997F82">
        <w:t>%</w:t>
      </w:r>
      <w:r w:rsidR="00C82424" w:rsidRPr="00997F82">
        <w:t xml:space="preserve"> </w:t>
      </w:r>
      <w:r w:rsidR="003B0A14" w:rsidRPr="00997F82">
        <w:t>of</w:t>
      </w:r>
      <w:r w:rsidR="006D52A3" w:rsidRPr="00997F82">
        <w:t xml:space="preserve"> </w:t>
      </w:r>
      <w:r w:rsidR="00FD2223" w:rsidRPr="00997F82">
        <w:t>w</w:t>
      </w:r>
      <w:r w:rsidR="00FF533E" w:rsidRPr="00997F82">
        <w:t xml:space="preserve">orkforce </w:t>
      </w:r>
      <w:r w:rsidR="007754C7" w:rsidRPr="00997F82">
        <w:t>education and awareness</w:t>
      </w:r>
      <w:r w:rsidR="00FF533E" w:rsidRPr="00997F82">
        <w:t xml:space="preserve"> activities </w:t>
      </w:r>
      <w:r w:rsidR="005F162E" w:rsidRPr="00997F82">
        <w:t>were</w:t>
      </w:r>
      <w:r w:rsidR="00FF533E" w:rsidRPr="00997F82">
        <w:t xml:space="preserve"> completed as planned or </w:t>
      </w:r>
      <w:r w:rsidR="00EE2241" w:rsidRPr="00997F82">
        <w:t>were</w:t>
      </w:r>
      <w:r w:rsidR="00FF533E" w:rsidRPr="00997F82">
        <w:t xml:space="preserve"> continuing activities. </w:t>
      </w:r>
      <w:r w:rsidR="005F162E" w:rsidRPr="00997F82">
        <w:t>Of the</w:t>
      </w:r>
      <w:r w:rsidR="003559C9" w:rsidRPr="00997F82">
        <w:t xml:space="preserve"> </w:t>
      </w:r>
      <w:proofErr w:type="gramStart"/>
      <w:r w:rsidR="00F0386D" w:rsidRPr="00997F82">
        <w:t>106</w:t>
      </w:r>
      <w:r w:rsidR="00B6059F" w:rsidRPr="00997F82">
        <w:t xml:space="preserve"> </w:t>
      </w:r>
      <w:r w:rsidR="00FD2223" w:rsidRPr="00997F82">
        <w:t>w</w:t>
      </w:r>
      <w:r w:rsidR="00B6059F" w:rsidRPr="00997F82">
        <w:t>orkforce</w:t>
      </w:r>
      <w:proofErr w:type="gramEnd"/>
      <w:r w:rsidR="00B6059F" w:rsidRPr="00997F82">
        <w:t xml:space="preserve"> education and awareness</w:t>
      </w:r>
      <w:r w:rsidR="00FF533E" w:rsidRPr="00997F82">
        <w:t xml:space="preserve"> activities </w:t>
      </w:r>
      <w:r w:rsidR="00B6059F" w:rsidRPr="00997F82">
        <w:t xml:space="preserve">that were planned, </w:t>
      </w:r>
      <w:r w:rsidR="00F0386D" w:rsidRPr="00997F82">
        <w:t>11</w:t>
      </w:r>
      <w:r w:rsidR="00C85B44" w:rsidRPr="00997F82">
        <w:t xml:space="preserve"> </w:t>
      </w:r>
      <w:r w:rsidR="00B87840" w:rsidRPr="00997F82">
        <w:t>w</w:t>
      </w:r>
      <w:r w:rsidR="00FF533E" w:rsidRPr="00997F82">
        <w:t xml:space="preserve">ere ceased </w:t>
      </w:r>
      <w:r w:rsidR="00EE2241" w:rsidRPr="00997F82">
        <w:t>due to</w:t>
      </w:r>
      <w:r w:rsidR="00B87840" w:rsidRPr="00997F82">
        <w:t xml:space="preserve"> </w:t>
      </w:r>
      <w:r w:rsidR="00C82424" w:rsidRPr="00997F82">
        <w:t xml:space="preserve">a </w:t>
      </w:r>
      <w:r w:rsidR="00B35D19" w:rsidRPr="00997F82">
        <w:t xml:space="preserve">change of approach </w:t>
      </w:r>
      <w:r w:rsidR="00AB6D72" w:rsidRPr="00997F82">
        <w:t>or funding limitations.</w:t>
      </w:r>
      <w:r w:rsidR="00EE2241" w:rsidRPr="00997F82">
        <w:t xml:space="preserve"> In addition, </w:t>
      </w:r>
      <w:r w:rsidR="00F0386D" w:rsidRPr="00997F82">
        <w:t>1</w:t>
      </w:r>
      <w:r w:rsidR="00667243" w:rsidRPr="00997F82">
        <w:t xml:space="preserve"> </w:t>
      </w:r>
      <w:r w:rsidR="001C17FE" w:rsidRPr="00997F82">
        <w:t xml:space="preserve">remained in planned status with details not provided as to </w:t>
      </w:r>
      <w:r w:rsidR="00667243" w:rsidRPr="00997F82">
        <w:t xml:space="preserve">why </w:t>
      </w:r>
      <w:r w:rsidR="00C82424" w:rsidRPr="00997F82">
        <w:t>this</w:t>
      </w:r>
      <w:r w:rsidR="00667243" w:rsidRPr="00997F82">
        <w:t xml:space="preserve"> had not </w:t>
      </w:r>
      <w:r w:rsidR="00C82424" w:rsidRPr="00997F82">
        <w:t xml:space="preserve">yet </w:t>
      </w:r>
      <w:r w:rsidR="00667243" w:rsidRPr="00997F82">
        <w:t xml:space="preserve">commenced. </w:t>
      </w:r>
    </w:p>
    <w:p w14:paraId="618DE8C5" w14:textId="753E1868" w:rsidR="00C23292" w:rsidRPr="00997F82" w:rsidRDefault="00C23292" w:rsidP="00277D66">
      <w:pPr>
        <w:pStyle w:val="Caption"/>
      </w:pPr>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6</w:t>
      </w:r>
      <w:r w:rsidR="0002526D" w:rsidRPr="00997F82">
        <w:fldChar w:fldCharType="end"/>
      </w:r>
      <w:r w:rsidRPr="00997F82">
        <w:t>: Activity completion status for Workforce Education and Awareness activities implemented by PHNs</w:t>
      </w:r>
    </w:p>
    <w:tbl>
      <w:tblPr>
        <w:tblStyle w:val="GridTable1Light-Accent4"/>
        <w:tblW w:w="8715" w:type="dxa"/>
        <w:tblInd w:w="-10" w:type="dxa"/>
        <w:tblBorders>
          <w:top w:val="single" w:sz="4" w:space="0" w:color="AEB3D2" w:themeColor="accent2" w:themeTint="66"/>
          <w:left w:val="single" w:sz="4" w:space="0" w:color="AEB3D2" w:themeColor="accent2" w:themeTint="66"/>
          <w:bottom w:val="single" w:sz="4" w:space="0" w:color="AEB3D2" w:themeColor="accent2" w:themeTint="66"/>
          <w:right w:val="single" w:sz="4" w:space="0" w:color="AEB3D2" w:themeColor="accent2" w:themeTint="66"/>
          <w:insideH w:val="single" w:sz="4" w:space="0" w:color="AEB3D2" w:themeColor="accent2" w:themeTint="66"/>
          <w:insideV w:val="single" w:sz="4" w:space="0" w:color="AEB3D2" w:themeColor="accent2" w:themeTint="66"/>
        </w:tblBorders>
        <w:tblLayout w:type="fixed"/>
        <w:tblLook w:val="04A0" w:firstRow="1" w:lastRow="0" w:firstColumn="1" w:lastColumn="0" w:noHBand="0" w:noVBand="1"/>
      </w:tblPr>
      <w:tblGrid>
        <w:gridCol w:w="1245"/>
        <w:gridCol w:w="1245"/>
        <w:gridCol w:w="1245"/>
        <w:gridCol w:w="1245"/>
        <w:gridCol w:w="1245"/>
        <w:gridCol w:w="1245"/>
        <w:gridCol w:w="1245"/>
      </w:tblGrid>
      <w:tr w:rsidR="0050556C" w:rsidRPr="00997F82" w14:paraId="31494C8D" w14:textId="77777777" w:rsidTr="006950EE">
        <w:trPr>
          <w:cnfStyle w:val="100000000000" w:firstRow="1" w:lastRow="0" w:firstColumn="0" w:lastColumn="0" w:oddVBand="0" w:evenVBand="0" w:oddHBand="0" w:evenHBand="0" w:firstRowFirstColumn="0" w:firstRowLastColumn="0" w:lastRowFirstColumn="0" w:lastRowLastColumn="0"/>
          <w:trHeight w:val="345"/>
          <w:tblHeader/>
        </w:trPr>
        <w:tc>
          <w:tcPr>
            <w:cnfStyle w:val="001000000000" w:firstRow="0" w:lastRow="0" w:firstColumn="1" w:lastColumn="0" w:oddVBand="0" w:evenVBand="0" w:oddHBand="0" w:evenHBand="0" w:firstRowFirstColumn="0" w:firstRowLastColumn="0" w:lastRowFirstColumn="0" w:lastRowLastColumn="0"/>
            <w:tcW w:w="1245" w:type="dxa"/>
            <w:vMerge w:val="restart"/>
          </w:tcPr>
          <w:p w14:paraId="4C3097EB" w14:textId="77777777" w:rsidR="00E94859" w:rsidRPr="00997F82" w:rsidRDefault="00E94859" w:rsidP="00AD5E81">
            <w:pPr>
              <w:jc w:val="cente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Activity Status</w:t>
            </w:r>
          </w:p>
        </w:tc>
        <w:tc>
          <w:tcPr>
            <w:tcW w:w="2490" w:type="dxa"/>
            <w:gridSpan w:val="2"/>
          </w:tcPr>
          <w:p w14:paraId="7734567D" w14:textId="6144A97F" w:rsidR="00E94859" w:rsidRPr="00997F82" w:rsidRDefault="00E94859" w:rsidP="00AD5E81">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Workforce Capability</w:t>
            </w:r>
          </w:p>
        </w:tc>
        <w:tc>
          <w:tcPr>
            <w:tcW w:w="2490" w:type="dxa"/>
            <w:gridSpan w:val="2"/>
          </w:tcPr>
          <w:p w14:paraId="0CDB3DA3" w14:textId="797C4454" w:rsidR="00E94859" w:rsidRPr="00997F82" w:rsidRDefault="00E94859" w:rsidP="00AD5E81">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RACH</w:t>
            </w:r>
          </w:p>
        </w:tc>
        <w:tc>
          <w:tcPr>
            <w:tcW w:w="2490" w:type="dxa"/>
            <w:gridSpan w:val="2"/>
          </w:tcPr>
          <w:p w14:paraId="71144288" w14:textId="714CF990" w:rsidR="00E94859" w:rsidRPr="00997F82" w:rsidRDefault="00E94859" w:rsidP="00AD5E81">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General Practice Quality Improvement</w:t>
            </w:r>
          </w:p>
        </w:tc>
      </w:tr>
      <w:tr w:rsidR="0017280B" w:rsidRPr="00997F82" w14:paraId="3F277527" w14:textId="77777777" w:rsidTr="006950EE">
        <w:trPr>
          <w:cnfStyle w:val="100000000000" w:firstRow="1" w:lastRow="0" w:firstColumn="0" w:lastColumn="0" w:oddVBand="0" w:evenVBand="0" w:oddHBand="0" w:evenHBand="0" w:firstRowFirstColumn="0" w:firstRowLastColumn="0" w:lastRowFirstColumn="0" w:lastRowLastColumn="0"/>
          <w:trHeight w:val="345"/>
          <w:tblHeader/>
        </w:trPr>
        <w:tc>
          <w:tcPr>
            <w:cnfStyle w:val="001000000000" w:firstRow="0" w:lastRow="0" w:firstColumn="1" w:lastColumn="0" w:oddVBand="0" w:evenVBand="0" w:oddHBand="0" w:evenHBand="0" w:firstRowFirstColumn="0" w:firstRowLastColumn="0" w:lastRowFirstColumn="0" w:lastRowLastColumn="0"/>
            <w:tcW w:w="1245" w:type="dxa"/>
            <w:vMerge/>
          </w:tcPr>
          <w:p w14:paraId="640A7B7C" w14:textId="77777777" w:rsidR="00E94859" w:rsidRPr="00997F82" w:rsidRDefault="00E94859">
            <w:pPr>
              <w:jc w:val="center"/>
              <w:rPr>
                <w:rFonts w:asciiTheme="minorHAnsi" w:eastAsia="Times New Roman" w:hAnsiTheme="minorHAnsi" w:cs="Times New Roman"/>
                <w:color w:val="000000"/>
                <w:sz w:val="18"/>
                <w:szCs w:val="18"/>
                <w:lang w:eastAsia="en-AU"/>
              </w:rPr>
            </w:pPr>
          </w:p>
        </w:tc>
        <w:tc>
          <w:tcPr>
            <w:tcW w:w="1245" w:type="dxa"/>
          </w:tcPr>
          <w:p w14:paraId="01304215" w14:textId="77777777" w:rsidR="00E94859" w:rsidRPr="00997F82" w:rsidRDefault="00E94859">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1245" w:type="dxa"/>
          </w:tcPr>
          <w:p w14:paraId="3363C0AC" w14:textId="77777777" w:rsidR="00E94859" w:rsidRPr="00997F82" w:rsidRDefault="00E94859">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1245" w:type="dxa"/>
          </w:tcPr>
          <w:p w14:paraId="14E3644C" w14:textId="77777777" w:rsidR="00E94859" w:rsidRPr="00997F82" w:rsidRDefault="00E94859">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1245" w:type="dxa"/>
          </w:tcPr>
          <w:p w14:paraId="728B8678" w14:textId="77777777" w:rsidR="00E94859" w:rsidRPr="00997F82" w:rsidRDefault="00E94859">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1245" w:type="dxa"/>
          </w:tcPr>
          <w:p w14:paraId="6DB29D65" w14:textId="77777777" w:rsidR="00E94859" w:rsidRPr="00997F82" w:rsidRDefault="00E94859">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1245" w:type="dxa"/>
          </w:tcPr>
          <w:p w14:paraId="784D0E38" w14:textId="77777777" w:rsidR="00E94859" w:rsidRPr="00997F82" w:rsidRDefault="00E94859">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r>
      <w:tr w:rsidR="00981749" w:rsidRPr="00997F82" w14:paraId="63266BD7" w14:textId="77777777" w:rsidTr="006649B7">
        <w:trPr>
          <w:trHeight w:val="345"/>
        </w:trPr>
        <w:tc>
          <w:tcPr>
            <w:cnfStyle w:val="001000000000" w:firstRow="0" w:lastRow="0" w:firstColumn="1" w:lastColumn="0" w:oddVBand="0" w:evenVBand="0" w:oddHBand="0" w:evenHBand="0" w:firstRowFirstColumn="0" w:firstRowLastColumn="0" w:lastRowFirstColumn="0" w:lastRowLastColumn="0"/>
            <w:tcW w:w="1245" w:type="dxa"/>
            <w:vAlign w:val="center"/>
          </w:tcPr>
          <w:p w14:paraId="67C627EA" w14:textId="77777777" w:rsidR="00981749" w:rsidRPr="00997F82" w:rsidRDefault="00981749" w:rsidP="00981749">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Planning</w:t>
            </w:r>
          </w:p>
        </w:tc>
        <w:tc>
          <w:tcPr>
            <w:tcW w:w="1245" w:type="dxa"/>
          </w:tcPr>
          <w:p w14:paraId="37F6388A" w14:textId="356B5F83" w:rsidR="00981749" w:rsidRPr="00997F82" w:rsidRDefault="00981749"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w:t>
            </w:r>
          </w:p>
        </w:tc>
        <w:tc>
          <w:tcPr>
            <w:tcW w:w="1245" w:type="dxa"/>
          </w:tcPr>
          <w:p w14:paraId="7BE3DB9F" w14:textId="7FD4A6D3" w:rsidR="00981749" w:rsidRPr="00997F82" w:rsidRDefault="001A72BB"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w:t>
            </w:r>
            <w:r w:rsidR="00981749" w:rsidRPr="00997F82">
              <w:rPr>
                <w:rFonts w:asciiTheme="minorHAnsi" w:eastAsia="Times New Roman" w:hAnsiTheme="minorHAnsi" w:cs="Times New Roman"/>
                <w:color w:val="000000"/>
                <w:sz w:val="18"/>
                <w:szCs w:val="18"/>
                <w:lang w:eastAsia="en-AU"/>
              </w:rPr>
              <w:t>%</w:t>
            </w:r>
          </w:p>
        </w:tc>
        <w:tc>
          <w:tcPr>
            <w:tcW w:w="1245" w:type="dxa"/>
          </w:tcPr>
          <w:p w14:paraId="6F6D6CA1" w14:textId="640ABD8E" w:rsidR="00981749" w:rsidRPr="00997F82" w:rsidRDefault="00981749"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c>
          <w:tcPr>
            <w:tcW w:w="1245" w:type="dxa"/>
          </w:tcPr>
          <w:p w14:paraId="53ED3EB8" w14:textId="06DBCCB1" w:rsidR="00981749" w:rsidRPr="00997F82" w:rsidRDefault="00981749"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c>
          <w:tcPr>
            <w:tcW w:w="1245" w:type="dxa"/>
          </w:tcPr>
          <w:p w14:paraId="4F8BF7C7" w14:textId="0B6F8D7A" w:rsidR="00981749" w:rsidRPr="00997F82" w:rsidRDefault="00981749"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c>
          <w:tcPr>
            <w:tcW w:w="1245" w:type="dxa"/>
          </w:tcPr>
          <w:p w14:paraId="47AD6C74" w14:textId="519337A5" w:rsidR="00981749" w:rsidRPr="00997F82" w:rsidRDefault="00981749"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r>
      <w:tr w:rsidR="00AD5E81" w:rsidRPr="00997F82" w14:paraId="6EF19607" w14:textId="77777777" w:rsidTr="006649B7">
        <w:trPr>
          <w:trHeight w:val="345"/>
        </w:trPr>
        <w:tc>
          <w:tcPr>
            <w:cnfStyle w:val="001000000000" w:firstRow="0" w:lastRow="0" w:firstColumn="1" w:lastColumn="0" w:oddVBand="0" w:evenVBand="0" w:oddHBand="0" w:evenHBand="0" w:firstRowFirstColumn="0" w:firstRowLastColumn="0" w:lastRowFirstColumn="0" w:lastRowLastColumn="0"/>
            <w:tcW w:w="1245" w:type="dxa"/>
            <w:vAlign w:val="center"/>
          </w:tcPr>
          <w:p w14:paraId="5403FECE" w14:textId="77777777" w:rsidR="00AD5E81" w:rsidRPr="00997F82" w:rsidRDefault="00AD5E8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Completed</w:t>
            </w:r>
          </w:p>
        </w:tc>
        <w:tc>
          <w:tcPr>
            <w:tcW w:w="1245" w:type="dxa"/>
          </w:tcPr>
          <w:p w14:paraId="38530DA9" w14:textId="0BBEA8BA" w:rsidR="00AD5E81" w:rsidRPr="00997F82" w:rsidRDefault="00807687"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22</w:t>
            </w:r>
          </w:p>
        </w:tc>
        <w:tc>
          <w:tcPr>
            <w:tcW w:w="1245" w:type="dxa"/>
          </w:tcPr>
          <w:p w14:paraId="653FEAA7" w14:textId="075692EF" w:rsidR="00AD5E81" w:rsidRPr="00997F82" w:rsidRDefault="00624750"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35%</w:t>
            </w:r>
          </w:p>
        </w:tc>
        <w:tc>
          <w:tcPr>
            <w:tcW w:w="1245" w:type="dxa"/>
          </w:tcPr>
          <w:p w14:paraId="6019F5D6" w14:textId="39485F4B" w:rsidR="00AD5E81" w:rsidRPr="00997F82" w:rsidRDefault="00B46A5C"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w:t>
            </w:r>
          </w:p>
        </w:tc>
        <w:tc>
          <w:tcPr>
            <w:tcW w:w="1245" w:type="dxa"/>
          </w:tcPr>
          <w:p w14:paraId="5EF90588" w14:textId="4EFE0FAD" w:rsidR="00AD5E81" w:rsidRPr="00997F82" w:rsidRDefault="00B46A5C"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w:t>
            </w:r>
            <w:r w:rsidR="00D671EA" w:rsidRPr="00997F82">
              <w:rPr>
                <w:rFonts w:asciiTheme="minorHAnsi" w:eastAsia="Times New Roman" w:hAnsiTheme="minorHAnsi" w:cs="Times New Roman"/>
                <w:color w:val="000000"/>
                <w:sz w:val="18"/>
                <w:szCs w:val="18"/>
                <w:lang w:eastAsia="en-AU"/>
              </w:rPr>
              <w:t>9</w:t>
            </w:r>
            <w:r w:rsidRPr="00997F82">
              <w:rPr>
                <w:rFonts w:asciiTheme="minorHAnsi" w:eastAsia="Times New Roman" w:hAnsiTheme="minorHAnsi" w:cs="Times New Roman"/>
                <w:color w:val="000000"/>
                <w:sz w:val="18"/>
                <w:szCs w:val="18"/>
                <w:lang w:eastAsia="en-AU"/>
              </w:rPr>
              <w:t>%</w:t>
            </w:r>
          </w:p>
        </w:tc>
        <w:tc>
          <w:tcPr>
            <w:tcW w:w="1245" w:type="dxa"/>
          </w:tcPr>
          <w:p w14:paraId="125616BD" w14:textId="5825AD77" w:rsidR="00AD5E81" w:rsidRPr="00997F82" w:rsidRDefault="001B12BC"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w:t>
            </w:r>
          </w:p>
        </w:tc>
        <w:tc>
          <w:tcPr>
            <w:tcW w:w="1245" w:type="dxa"/>
          </w:tcPr>
          <w:p w14:paraId="0BB30C75" w14:textId="15B6E775" w:rsidR="00AD5E81" w:rsidRPr="00997F82" w:rsidRDefault="00933929"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25%</w:t>
            </w:r>
          </w:p>
        </w:tc>
      </w:tr>
      <w:tr w:rsidR="00AD5E81" w:rsidRPr="00997F82" w14:paraId="51571ABD" w14:textId="77777777" w:rsidTr="006649B7">
        <w:trPr>
          <w:trHeight w:val="352"/>
        </w:trPr>
        <w:tc>
          <w:tcPr>
            <w:cnfStyle w:val="001000000000" w:firstRow="0" w:lastRow="0" w:firstColumn="1" w:lastColumn="0" w:oddVBand="0" w:evenVBand="0" w:oddHBand="0" w:evenHBand="0" w:firstRowFirstColumn="0" w:firstRowLastColumn="0" w:lastRowFirstColumn="0" w:lastRowLastColumn="0"/>
            <w:tcW w:w="1245" w:type="dxa"/>
            <w:vAlign w:val="center"/>
          </w:tcPr>
          <w:p w14:paraId="45158D38" w14:textId="77777777" w:rsidR="00AD5E81" w:rsidRPr="00997F82" w:rsidRDefault="00AD5E8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Continuing</w:t>
            </w:r>
          </w:p>
        </w:tc>
        <w:tc>
          <w:tcPr>
            <w:tcW w:w="1245" w:type="dxa"/>
          </w:tcPr>
          <w:p w14:paraId="66D76ECA" w14:textId="5C525986" w:rsidR="00AD5E81" w:rsidRPr="00997F82" w:rsidRDefault="00807687"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35</w:t>
            </w:r>
          </w:p>
        </w:tc>
        <w:tc>
          <w:tcPr>
            <w:tcW w:w="1245" w:type="dxa"/>
          </w:tcPr>
          <w:p w14:paraId="71C2263A" w14:textId="25CA986F" w:rsidR="00AD5E81" w:rsidRPr="00997F82" w:rsidRDefault="00624750"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56%</w:t>
            </w:r>
          </w:p>
        </w:tc>
        <w:tc>
          <w:tcPr>
            <w:tcW w:w="1245" w:type="dxa"/>
          </w:tcPr>
          <w:p w14:paraId="40418006" w14:textId="265B8650" w:rsidR="00AD5E81" w:rsidRPr="00997F82" w:rsidRDefault="00B46A5C"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20</w:t>
            </w:r>
          </w:p>
        </w:tc>
        <w:tc>
          <w:tcPr>
            <w:tcW w:w="1245" w:type="dxa"/>
          </w:tcPr>
          <w:p w14:paraId="2BD930E2" w14:textId="2DA970E8" w:rsidR="00AD5E81" w:rsidRPr="00997F82" w:rsidRDefault="00B46A5C"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w:t>
            </w:r>
            <w:r w:rsidR="00D671EA" w:rsidRPr="00997F82">
              <w:rPr>
                <w:rFonts w:asciiTheme="minorHAnsi" w:eastAsia="Times New Roman" w:hAnsiTheme="minorHAnsi" w:cs="Times New Roman"/>
                <w:color w:val="000000"/>
                <w:sz w:val="18"/>
                <w:szCs w:val="18"/>
                <w:lang w:eastAsia="en-AU"/>
              </w:rPr>
              <w:t>3</w:t>
            </w:r>
            <w:r w:rsidRPr="00997F82">
              <w:rPr>
                <w:rFonts w:asciiTheme="minorHAnsi" w:eastAsia="Times New Roman" w:hAnsiTheme="minorHAnsi" w:cs="Times New Roman"/>
                <w:color w:val="000000"/>
                <w:sz w:val="18"/>
                <w:szCs w:val="18"/>
                <w:lang w:eastAsia="en-AU"/>
              </w:rPr>
              <w:t>%</w:t>
            </w:r>
          </w:p>
        </w:tc>
        <w:tc>
          <w:tcPr>
            <w:tcW w:w="1245" w:type="dxa"/>
          </w:tcPr>
          <w:p w14:paraId="46352B9D" w14:textId="74ADA22A" w:rsidR="00AD5E81" w:rsidRPr="00997F82" w:rsidRDefault="001B12BC"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8</w:t>
            </w:r>
          </w:p>
        </w:tc>
        <w:tc>
          <w:tcPr>
            <w:tcW w:w="1245" w:type="dxa"/>
          </w:tcPr>
          <w:p w14:paraId="00D6F3E4" w14:textId="5FA630D9" w:rsidR="00AD5E81" w:rsidRPr="00997F82" w:rsidRDefault="00933929"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w:t>
            </w:r>
            <w:r w:rsidR="00640F7D" w:rsidRPr="00997F82">
              <w:rPr>
                <w:rFonts w:asciiTheme="minorHAnsi" w:eastAsia="Times New Roman" w:hAnsiTheme="minorHAnsi" w:cs="Times New Roman"/>
                <w:color w:val="000000"/>
                <w:sz w:val="18"/>
                <w:szCs w:val="18"/>
                <w:lang w:eastAsia="en-AU"/>
              </w:rPr>
              <w:t>7</w:t>
            </w:r>
            <w:r w:rsidRPr="00997F82">
              <w:rPr>
                <w:rFonts w:asciiTheme="minorHAnsi" w:eastAsia="Times New Roman" w:hAnsiTheme="minorHAnsi" w:cs="Times New Roman"/>
                <w:color w:val="000000"/>
                <w:sz w:val="18"/>
                <w:szCs w:val="18"/>
                <w:lang w:eastAsia="en-AU"/>
              </w:rPr>
              <w:t>%</w:t>
            </w:r>
          </w:p>
        </w:tc>
      </w:tr>
      <w:tr w:rsidR="00AD5E81" w:rsidRPr="00997F82" w14:paraId="4D0784CB" w14:textId="77777777" w:rsidTr="006649B7">
        <w:trPr>
          <w:trHeight w:val="352"/>
        </w:trPr>
        <w:tc>
          <w:tcPr>
            <w:cnfStyle w:val="001000000000" w:firstRow="0" w:lastRow="0" w:firstColumn="1" w:lastColumn="0" w:oddVBand="0" w:evenVBand="0" w:oddHBand="0" w:evenHBand="0" w:firstRowFirstColumn="0" w:firstRowLastColumn="0" w:lastRowFirstColumn="0" w:lastRowLastColumn="0"/>
            <w:tcW w:w="1245" w:type="dxa"/>
            <w:vAlign w:val="center"/>
          </w:tcPr>
          <w:p w14:paraId="27D9A069" w14:textId="77777777" w:rsidR="00AD5E81" w:rsidRPr="00997F82" w:rsidRDefault="00AD5E8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Ceased</w:t>
            </w:r>
          </w:p>
        </w:tc>
        <w:tc>
          <w:tcPr>
            <w:tcW w:w="1245" w:type="dxa"/>
          </w:tcPr>
          <w:p w14:paraId="62EBB1B6" w14:textId="7F5E90A3" w:rsidR="00AD5E81" w:rsidRPr="00997F82" w:rsidRDefault="00624750"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w:t>
            </w:r>
          </w:p>
        </w:tc>
        <w:tc>
          <w:tcPr>
            <w:tcW w:w="1245" w:type="dxa"/>
          </w:tcPr>
          <w:p w14:paraId="070D7D98" w14:textId="5AE2C91D" w:rsidR="00AD5E81" w:rsidRPr="00997F82" w:rsidRDefault="00624750"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w:t>
            </w:r>
          </w:p>
        </w:tc>
        <w:tc>
          <w:tcPr>
            <w:tcW w:w="1245" w:type="dxa"/>
          </w:tcPr>
          <w:p w14:paraId="2B97E7F8" w14:textId="15B8BDF9" w:rsidR="00AD5E81" w:rsidRPr="00997F82" w:rsidRDefault="00B46A5C"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w:t>
            </w:r>
          </w:p>
        </w:tc>
        <w:tc>
          <w:tcPr>
            <w:tcW w:w="1245" w:type="dxa"/>
          </w:tcPr>
          <w:p w14:paraId="7DAACDF6" w14:textId="7CF6BC6A" w:rsidR="00AD5E81" w:rsidRPr="00997F82" w:rsidRDefault="00B46A5C"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w:t>
            </w:r>
            <w:r w:rsidR="00640F7D" w:rsidRPr="00997F82">
              <w:rPr>
                <w:rFonts w:asciiTheme="minorHAnsi" w:eastAsia="Times New Roman" w:hAnsiTheme="minorHAnsi" w:cs="Times New Roman"/>
                <w:color w:val="000000"/>
                <w:sz w:val="18"/>
                <w:szCs w:val="18"/>
                <w:lang w:eastAsia="en-AU"/>
              </w:rPr>
              <w:t>9</w:t>
            </w:r>
            <w:r w:rsidRPr="00997F82">
              <w:rPr>
                <w:rFonts w:asciiTheme="minorHAnsi" w:eastAsia="Times New Roman" w:hAnsiTheme="minorHAnsi" w:cs="Times New Roman"/>
                <w:color w:val="000000"/>
                <w:sz w:val="18"/>
                <w:szCs w:val="18"/>
                <w:lang w:eastAsia="en-AU"/>
              </w:rPr>
              <w:t>%</w:t>
            </w:r>
          </w:p>
        </w:tc>
        <w:tc>
          <w:tcPr>
            <w:tcW w:w="1245" w:type="dxa"/>
          </w:tcPr>
          <w:p w14:paraId="1CAC5167" w14:textId="78003F52" w:rsidR="00AD5E81" w:rsidRPr="00997F82" w:rsidRDefault="001B12BC"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w:t>
            </w:r>
          </w:p>
        </w:tc>
        <w:tc>
          <w:tcPr>
            <w:tcW w:w="1245" w:type="dxa"/>
          </w:tcPr>
          <w:p w14:paraId="19BB99C9" w14:textId="095FC489" w:rsidR="00AD5E81" w:rsidRPr="00997F82" w:rsidRDefault="001B12BC"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8%</w:t>
            </w:r>
          </w:p>
        </w:tc>
      </w:tr>
      <w:tr w:rsidR="00A32FAA" w:rsidRPr="00997F82" w14:paraId="37A89EA7" w14:textId="77777777" w:rsidTr="006649B7">
        <w:trPr>
          <w:trHeight w:val="352"/>
        </w:trPr>
        <w:tc>
          <w:tcPr>
            <w:cnfStyle w:val="001000000000" w:firstRow="0" w:lastRow="0" w:firstColumn="1" w:lastColumn="0" w:oddVBand="0" w:evenVBand="0" w:oddHBand="0" w:evenHBand="0" w:firstRowFirstColumn="0" w:firstRowLastColumn="0" w:lastRowFirstColumn="0" w:lastRowLastColumn="0"/>
            <w:tcW w:w="1245" w:type="dxa"/>
            <w:shd w:val="clear" w:color="auto" w:fill="D9D9D9" w:themeFill="background1" w:themeFillShade="D9"/>
            <w:vAlign w:val="center"/>
          </w:tcPr>
          <w:p w14:paraId="347E323E" w14:textId="77777777" w:rsidR="00AD5E81" w:rsidRPr="00997F82" w:rsidRDefault="00AD5E81">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TOTAL</w:t>
            </w:r>
          </w:p>
        </w:tc>
        <w:tc>
          <w:tcPr>
            <w:tcW w:w="1245" w:type="dxa"/>
            <w:shd w:val="clear" w:color="auto" w:fill="D9D9D9" w:themeFill="background1" w:themeFillShade="D9"/>
          </w:tcPr>
          <w:p w14:paraId="685A4DD6" w14:textId="33B3403B" w:rsidR="00AD5E81" w:rsidRPr="00997F82" w:rsidRDefault="0058689B"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62</w:t>
            </w:r>
          </w:p>
        </w:tc>
        <w:tc>
          <w:tcPr>
            <w:tcW w:w="1245" w:type="dxa"/>
            <w:shd w:val="clear" w:color="auto" w:fill="D9D9D9" w:themeFill="background1" w:themeFillShade="D9"/>
          </w:tcPr>
          <w:p w14:paraId="6B68F85C" w14:textId="11293141" w:rsidR="00AD5E81" w:rsidRPr="00997F82" w:rsidRDefault="00A84CA5"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100%</w:t>
            </w:r>
          </w:p>
        </w:tc>
        <w:tc>
          <w:tcPr>
            <w:tcW w:w="1245" w:type="dxa"/>
            <w:shd w:val="clear" w:color="auto" w:fill="D9D9D9" w:themeFill="background1" w:themeFillShade="D9"/>
          </w:tcPr>
          <w:p w14:paraId="350CD7A9" w14:textId="70802158" w:rsidR="00AD5E81" w:rsidRPr="00997F82" w:rsidRDefault="00A84CA5"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32</w:t>
            </w:r>
          </w:p>
        </w:tc>
        <w:tc>
          <w:tcPr>
            <w:tcW w:w="1245" w:type="dxa"/>
            <w:shd w:val="clear" w:color="auto" w:fill="D9D9D9" w:themeFill="background1" w:themeFillShade="D9"/>
          </w:tcPr>
          <w:p w14:paraId="48BA3A26" w14:textId="144D6E76" w:rsidR="00AD5E81" w:rsidRPr="00997F82" w:rsidRDefault="00933929"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100%</w:t>
            </w:r>
          </w:p>
        </w:tc>
        <w:tc>
          <w:tcPr>
            <w:tcW w:w="1245" w:type="dxa"/>
            <w:shd w:val="clear" w:color="auto" w:fill="D9D9D9" w:themeFill="background1" w:themeFillShade="D9"/>
          </w:tcPr>
          <w:p w14:paraId="2B558FC9" w14:textId="0C28E39D" w:rsidR="00AD5E81" w:rsidRPr="00997F82" w:rsidRDefault="00933929"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12</w:t>
            </w:r>
          </w:p>
        </w:tc>
        <w:tc>
          <w:tcPr>
            <w:tcW w:w="1245" w:type="dxa"/>
            <w:shd w:val="clear" w:color="auto" w:fill="D9D9D9" w:themeFill="background1" w:themeFillShade="D9"/>
          </w:tcPr>
          <w:p w14:paraId="0C79CC8B" w14:textId="3B3622A0" w:rsidR="00AD5E81" w:rsidRPr="00997F82" w:rsidRDefault="00933929" w:rsidP="00E94859">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100%</w:t>
            </w:r>
          </w:p>
        </w:tc>
      </w:tr>
    </w:tbl>
    <w:p w14:paraId="5ADB424F" w14:textId="530E93E5" w:rsidR="00AD5E81" w:rsidRPr="00997F82" w:rsidRDefault="00AD5E81" w:rsidP="00AD5E81">
      <w:pPr>
        <w:rPr>
          <w:sz w:val="16"/>
          <w:szCs w:val="16"/>
        </w:rPr>
      </w:pPr>
      <w:r w:rsidRPr="00997F82">
        <w:rPr>
          <w:sz w:val="16"/>
          <w:szCs w:val="16"/>
        </w:rPr>
        <w:t>Note: Planning = still in planning phase; Complete</w:t>
      </w:r>
      <w:r w:rsidR="004813B8" w:rsidRPr="00997F82">
        <w:rPr>
          <w:sz w:val="16"/>
          <w:szCs w:val="16"/>
        </w:rPr>
        <w:t>d</w:t>
      </w:r>
      <w:r w:rsidRPr="00997F82">
        <w:rPr>
          <w:sz w:val="16"/>
          <w:szCs w:val="16"/>
        </w:rPr>
        <w:t xml:space="preserve"> = activity fully implemented; Continuing = activity still being </w:t>
      </w:r>
      <w:r w:rsidR="006F46BC" w:rsidRPr="00997F82">
        <w:rPr>
          <w:sz w:val="16"/>
          <w:szCs w:val="16"/>
        </w:rPr>
        <w:t>delivered</w:t>
      </w:r>
      <w:r w:rsidRPr="00997F82">
        <w:rPr>
          <w:sz w:val="16"/>
          <w:szCs w:val="16"/>
        </w:rPr>
        <w:t>; Ceased = activity commenced but stopped and will not be completed.</w:t>
      </w:r>
    </w:p>
    <w:p w14:paraId="17DDCCD4" w14:textId="29652821" w:rsidR="00FC42CB" w:rsidRPr="00997F82" w:rsidRDefault="00D8670D" w:rsidP="000C708A">
      <w:r w:rsidRPr="00997F82">
        <w:t>Endpoint</w:t>
      </w:r>
      <w:r w:rsidR="003F5013" w:rsidRPr="00997F82">
        <w:t xml:space="preserve"> </w:t>
      </w:r>
      <w:r w:rsidR="009E0684" w:rsidRPr="00997F82">
        <w:t xml:space="preserve">surveys of </w:t>
      </w:r>
      <w:r w:rsidR="003F5013" w:rsidRPr="00997F82">
        <w:t>PHN</w:t>
      </w:r>
      <w:r w:rsidR="009E0684" w:rsidRPr="00997F82">
        <w:t xml:space="preserve">s identified </w:t>
      </w:r>
      <w:r w:rsidR="005B30DF" w:rsidRPr="00997F82">
        <w:t xml:space="preserve">that </w:t>
      </w:r>
      <w:r w:rsidR="00621941" w:rsidRPr="00997F82">
        <w:t xml:space="preserve">engagement </w:t>
      </w:r>
      <w:r w:rsidR="00071898" w:rsidRPr="00997F82">
        <w:t xml:space="preserve">with </w:t>
      </w:r>
      <w:r w:rsidR="003F5013" w:rsidRPr="00997F82">
        <w:t>health professional</w:t>
      </w:r>
      <w:r w:rsidR="00621941" w:rsidRPr="00997F82">
        <w:t>s</w:t>
      </w:r>
      <w:r w:rsidR="003F5013" w:rsidRPr="00997F82">
        <w:t xml:space="preserve"> </w:t>
      </w:r>
      <w:r w:rsidR="00621941" w:rsidRPr="00997F82">
        <w:t xml:space="preserve">was a </w:t>
      </w:r>
      <w:r w:rsidR="00D67EA6" w:rsidRPr="00997F82">
        <w:t xml:space="preserve">common </w:t>
      </w:r>
      <w:r w:rsidR="00621941" w:rsidRPr="00997F82">
        <w:t xml:space="preserve">challenge </w:t>
      </w:r>
      <w:r w:rsidR="00D67EA6" w:rsidRPr="00997F82">
        <w:t xml:space="preserve">(reported by 12 PHNs) </w:t>
      </w:r>
      <w:r w:rsidR="0032206C" w:rsidRPr="00997F82">
        <w:t xml:space="preserve">to </w:t>
      </w:r>
      <w:r w:rsidR="00C82424" w:rsidRPr="00997F82">
        <w:t>implementation</w:t>
      </w:r>
      <w:r w:rsidR="00B568F1" w:rsidRPr="00997F82">
        <w:t>, and t</w:t>
      </w:r>
      <w:r w:rsidR="005B30DF" w:rsidRPr="00997F82">
        <w:t xml:space="preserve">here were often difficulties </w:t>
      </w:r>
      <w:r w:rsidR="00C82424" w:rsidRPr="00997F82">
        <w:t xml:space="preserve">gaining </w:t>
      </w:r>
      <w:r w:rsidR="003F5013" w:rsidRPr="00997F82">
        <w:t>buy</w:t>
      </w:r>
      <w:r w:rsidR="00A767E3" w:rsidRPr="00997F82">
        <w:t>-</w:t>
      </w:r>
      <w:r w:rsidR="003F5013" w:rsidRPr="00997F82">
        <w:t>in from GPs</w:t>
      </w:r>
      <w:r w:rsidR="00BB4CCE" w:rsidRPr="00997F82">
        <w:t xml:space="preserve"> to participate </w:t>
      </w:r>
      <w:r w:rsidR="00C82424" w:rsidRPr="00997F82">
        <w:t xml:space="preserve">due to </w:t>
      </w:r>
      <w:r w:rsidR="001D073F" w:rsidRPr="00997F82">
        <w:t>competing priorities</w:t>
      </w:r>
      <w:r w:rsidR="00B568F1" w:rsidRPr="00997F82">
        <w:t xml:space="preserve">. </w:t>
      </w:r>
      <w:r w:rsidR="009E3039" w:rsidRPr="00997F82">
        <w:t xml:space="preserve">PHNs also noted </w:t>
      </w:r>
      <w:r w:rsidR="00B568F1" w:rsidRPr="00997F82">
        <w:t>that some GPs they engaged with reported that they did not always find palliative care information relevant to them as compared to other primary care providers, as they did not always have palliati</w:t>
      </w:r>
      <w:r w:rsidR="00B23281" w:rsidRPr="00997F82">
        <w:t>ve</w:t>
      </w:r>
      <w:r w:rsidR="00B568F1" w:rsidRPr="00997F82">
        <w:t xml:space="preserve"> patients</w:t>
      </w:r>
      <w:r w:rsidR="00827758" w:rsidRPr="00997F82">
        <w:t xml:space="preserve"> </w:t>
      </w:r>
      <w:r w:rsidR="00B568F1" w:rsidRPr="00997F82">
        <w:t>or were not clear on their role in palliative care provision.</w:t>
      </w:r>
      <w:r w:rsidR="00B568F1" w:rsidRPr="00997F82">
        <w:rPr>
          <w:rStyle w:val="FootnoteReference"/>
        </w:rPr>
        <w:footnoteReference w:id="30"/>
      </w:r>
    </w:p>
    <w:p w14:paraId="7B2B4219" w14:textId="43B8C46B" w:rsidR="00235935" w:rsidRPr="00997F82" w:rsidRDefault="00B94307" w:rsidP="00235935">
      <w:r w:rsidRPr="00997F82">
        <w:t>Similarly,</w:t>
      </w:r>
      <w:r w:rsidR="00E076D9" w:rsidRPr="00997F82">
        <w:t xml:space="preserve"> </w:t>
      </w:r>
      <w:r w:rsidR="0091286D" w:rsidRPr="00997F82">
        <w:t xml:space="preserve">PHNs noted difficulties in engaging service providers who </w:t>
      </w:r>
      <w:r w:rsidR="00235935" w:rsidRPr="00997F82">
        <w:t xml:space="preserve">ordinarily </w:t>
      </w:r>
      <w:r w:rsidR="0091286D" w:rsidRPr="00997F82">
        <w:t>view them as commissioners.</w:t>
      </w:r>
      <w:r w:rsidR="006E14D8" w:rsidRPr="00997F82">
        <w:rPr>
          <w:rStyle w:val="FootnoteReference"/>
        </w:rPr>
        <w:t xml:space="preserve"> </w:t>
      </w:r>
      <w:r w:rsidR="006E14D8" w:rsidRPr="00997F82">
        <w:rPr>
          <w:rStyle w:val="FootnoteReference"/>
        </w:rPr>
        <w:footnoteReference w:id="31"/>
      </w:r>
      <w:r w:rsidR="00235935" w:rsidRPr="00997F82">
        <w:t xml:space="preserve"> </w:t>
      </w:r>
      <w:r w:rsidR="000F5725" w:rsidRPr="00997F82">
        <w:t xml:space="preserve">More broadly speaking of PHNs, </w:t>
      </w:r>
      <w:r w:rsidR="005B662B" w:rsidRPr="00997F82">
        <w:t>one of their core functions</w:t>
      </w:r>
      <w:r w:rsidR="00373325" w:rsidRPr="00997F82">
        <w:t xml:space="preserve"> is to</w:t>
      </w:r>
      <w:r w:rsidR="006E14D8" w:rsidRPr="00997F82">
        <w:t xml:space="preserve"> </w:t>
      </w:r>
      <w:r w:rsidR="005B662B" w:rsidRPr="00997F82">
        <w:t xml:space="preserve">identify gaps </w:t>
      </w:r>
      <w:r w:rsidR="00373325" w:rsidRPr="00997F82">
        <w:t>with</w:t>
      </w:r>
      <w:r w:rsidR="00CA61D9" w:rsidRPr="00997F82">
        <w:t xml:space="preserve">in </w:t>
      </w:r>
      <w:r w:rsidR="00235935" w:rsidRPr="00997F82">
        <w:t>their region</w:t>
      </w:r>
      <w:r w:rsidR="00CA61D9" w:rsidRPr="00997F82">
        <w:t xml:space="preserve"> and commission services to address this need. However, in this Program, rather than</w:t>
      </w:r>
      <w:r w:rsidR="002F3299" w:rsidRPr="00997F82">
        <w:t xml:space="preserve"> only</w:t>
      </w:r>
      <w:r w:rsidR="00CA61D9" w:rsidRPr="00997F82">
        <w:t xml:space="preserve"> commission</w:t>
      </w:r>
      <w:r w:rsidR="002F3299" w:rsidRPr="00997F82">
        <w:t>ing</w:t>
      </w:r>
      <w:r w:rsidR="00CA61D9" w:rsidRPr="00997F82">
        <w:t xml:space="preserve"> service providers, PHNs were given funding to coordinate local efforts and activities</w:t>
      </w:r>
      <w:r w:rsidR="00235935" w:rsidRPr="00997F82">
        <w:t xml:space="preserve">. </w:t>
      </w:r>
      <w:r w:rsidR="001C066A" w:rsidRPr="00997F82">
        <w:t>Since</w:t>
      </w:r>
      <w:r w:rsidR="00235935" w:rsidRPr="00997F82">
        <w:t xml:space="preserve"> this is different to how providers </w:t>
      </w:r>
      <w:r w:rsidR="001C066A" w:rsidRPr="00997F82">
        <w:t>typically</w:t>
      </w:r>
      <w:r w:rsidR="00235935" w:rsidRPr="00997F82">
        <w:t xml:space="preserve"> engage with PHNs, there were challenges in initially incentivising providers to participate.</w:t>
      </w:r>
    </w:p>
    <w:p w14:paraId="151D5B04" w14:textId="580CBF81" w:rsidR="009163A9" w:rsidRPr="00997F82" w:rsidRDefault="003B1F02" w:rsidP="00723F36">
      <w:pPr>
        <w:spacing w:before="60" w:after="60"/>
      </w:pPr>
      <w:r w:rsidRPr="00997F82">
        <w:t>65</w:t>
      </w:r>
      <w:r w:rsidR="001D073F" w:rsidRPr="00997F82">
        <w:t xml:space="preserve"> community awareness</w:t>
      </w:r>
      <w:r w:rsidRPr="00997F82">
        <w:t xml:space="preserve"> </w:t>
      </w:r>
      <w:r w:rsidR="00E478AE" w:rsidRPr="00997F82">
        <w:t xml:space="preserve">activities </w:t>
      </w:r>
      <w:r w:rsidR="002E0860" w:rsidRPr="00997F82">
        <w:t xml:space="preserve">were </w:t>
      </w:r>
      <w:r w:rsidR="00C22F36" w:rsidRPr="00997F82">
        <w:t>completed as planned or were continuing activities</w:t>
      </w:r>
      <w:r w:rsidR="001D073F" w:rsidRPr="00997F82">
        <w:t xml:space="preserve"> at Endpoint</w:t>
      </w:r>
      <w:r w:rsidR="00C22F36" w:rsidRPr="00997F82">
        <w:t xml:space="preserve">. </w:t>
      </w:r>
      <w:r w:rsidR="001666AC" w:rsidRPr="00997F82">
        <w:t xml:space="preserve">1 activity </w:t>
      </w:r>
      <w:r w:rsidR="002E0860" w:rsidRPr="00997F82">
        <w:t xml:space="preserve">had </w:t>
      </w:r>
      <w:r w:rsidR="001D073F" w:rsidRPr="00997F82">
        <w:t>ceased,</w:t>
      </w:r>
      <w:r w:rsidR="001666AC" w:rsidRPr="00997F82">
        <w:t xml:space="preserve"> and 1 activity was still in the planning phase</w:t>
      </w:r>
      <w:r w:rsidR="00367367" w:rsidRPr="00997F82">
        <w:t xml:space="preserve">. </w:t>
      </w:r>
      <w:r w:rsidR="00723F36" w:rsidRPr="00997F82">
        <w:t>O</w:t>
      </w:r>
      <w:r w:rsidR="00447708" w:rsidRPr="00997F82">
        <w:t xml:space="preserve">ne </w:t>
      </w:r>
      <w:r w:rsidR="00490E4D" w:rsidRPr="00997F82">
        <w:t xml:space="preserve">community awareness </w:t>
      </w:r>
      <w:r w:rsidR="00AA549D" w:rsidRPr="00997F82">
        <w:t>activity</w:t>
      </w:r>
      <w:r w:rsidR="00490E4D" w:rsidRPr="00997F82">
        <w:t xml:space="preserve"> </w:t>
      </w:r>
      <w:r w:rsidR="00447708" w:rsidRPr="00997F82">
        <w:t>ha</w:t>
      </w:r>
      <w:r w:rsidR="002E0860" w:rsidRPr="00997F82">
        <w:t>d</w:t>
      </w:r>
      <w:r w:rsidR="00447708" w:rsidRPr="00997F82">
        <w:t xml:space="preserve"> been postponed to </w:t>
      </w:r>
      <w:r w:rsidR="002E0860" w:rsidRPr="00997F82">
        <w:t>late</w:t>
      </w:r>
      <w:r w:rsidR="00447708" w:rsidRPr="00997F82">
        <w:t xml:space="preserve"> 2025 due to </w:t>
      </w:r>
      <w:r w:rsidR="00723F36" w:rsidRPr="00997F82">
        <w:t xml:space="preserve">a </w:t>
      </w:r>
      <w:r w:rsidR="00447708" w:rsidRPr="00997F82">
        <w:t>severe weather event limiting travel for presenters.</w:t>
      </w:r>
    </w:p>
    <w:p w14:paraId="5233C7B4" w14:textId="1268FB01" w:rsidR="00B6104E" w:rsidRPr="00997F82" w:rsidRDefault="00B6104E" w:rsidP="00277D66">
      <w:pPr>
        <w:pStyle w:val="Caption"/>
      </w:pPr>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7</w:t>
      </w:r>
      <w:r w:rsidR="0002526D" w:rsidRPr="00997F82">
        <w:fldChar w:fldCharType="end"/>
      </w:r>
      <w:r w:rsidRPr="00997F82">
        <w:t>: Activity completion status for Awareness in the Community activities implemented by PHNs</w:t>
      </w:r>
    </w:p>
    <w:tbl>
      <w:tblPr>
        <w:tblStyle w:val="GridTable1Light-Accent4"/>
        <w:tblW w:w="8758" w:type="dxa"/>
        <w:tblInd w:w="-10" w:type="dxa"/>
        <w:tblBorders>
          <w:top w:val="single" w:sz="4" w:space="0" w:color="AEB3D2" w:themeColor="accent2" w:themeTint="66"/>
          <w:left w:val="single" w:sz="4" w:space="0" w:color="AEB3D2" w:themeColor="accent2" w:themeTint="66"/>
          <w:bottom w:val="single" w:sz="4" w:space="0" w:color="AEB3D2" w:themeColor="accent2" w:themeTint="66"/>
          <w:right w:val="single" w:sz="4" w:space="0" w:color="AEB3D2" w:themeColor="accent2" w:themeTint="66"/>
          <w:insideH w:val="single" w:sz="4" w:space="0" w:color="AEB3D2" w:themeColor="accent2" w:themeTint="66"/>
          <w:insideV w:val="single" w:sz="4" w:space="0" w:color="AEB3D2" w:themeColor="accent2" w:themeTint="66"/>
        </w:tblBorders>
        <w:tblLayout w:type="fixed"/>
        <w:tblLook w:val="04A0" w:firstRow="1" w:lastRow="0" w:firstColumn="1" w:lastColumn="0" w:noHBand="0" w:noVBand="1"/>
      </w:tblPr>
      <w:tblGrid>
        <w:gridCol w:w="2919"/>
        <w:gridCol w:w="2919"/>
        <w:gridCol w:w="2920"/>
      </w:tblGrid>
      <w:tr w:rsidR="00413BD0" w:rsidRPr="00997F82" w14:paraId="6F401111" w14:textId="77777777" w:rsidTr="006950EE">
        <w:trPr>
          <w:cnfStyle w:val="100000000000" w:firstRow="1" w:lastRow="0" w:firstColumn="0" w:lastColumn="0" w:oddVBand="0" w:evenVBand="0" w:oddHBand="0" w:evenHBand="0" w:firstRowFirstColumn="0" w:firstRowLastColumn="0" w:lastRowFirstColumn="0" w:lastRowLastColumn="0"/>
          <w:trHeight w:val="299"/>
          <w:tblHeader/>
        </w:trPr>
        <w:tc>
          <w:tcPr>
            <w:cnfStyle w:val="001000000000" w:firstRow="0" w:lastRow="0" w:firstColumn="1" w:lastColumn="0" w:oddVBand="0" w:evenVBand="0" w:oddHBand="0" w:evenHBand="0" w:firstRowFirstColumn="0" w:firstRowLastColumn="0" w:lastRowFirstColumn="0" w:lastRowLastColumn="0"/>
            <w:tcW w:w="2919" w:type="dxa"/>
          </w:tcPr>
          <w:p w14:paraId="4739B6EA" w14:textId="77777777" w:rsidR="006B3F14" w:rsidRPr="00997F82" w:rsidRDefault="006B3F14" w:rsidP="003A6C45">
            <w:pPr>
              <w:jc w:val="cente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Activity Status</w:t>
            </w:r>
          </w:p>
        </w:tc>
        <w:tc>
          <w:tcPr>
            <w:tcW w:w="5839" w:type="dxa"/>
            <w:gridSpan w:val="2"/>
          </w:tcPr>
          <w:p w14:paraId="6AD3F4EE" w14:textId="33A22A5E" w:rsidR="006B3F14" w:rsidRPr="00997F82" w:rsidRDefault="001666AC" w:rsidP="003A6C45">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Awareness in the Community</w:t>
            </w:r>
          </w:p>
        </w:tc>
      </w:tr>
      <w:tr w:rsidR="0050556C" w:rsidRPr="00997F82" w14:paraId="2FA08535" w14:textId="77777777" w:rsidTr="006950EE">
        <w:trPr>
          <w:cnfStyle w:val="100000000000" w:firstRow="1" w:lastRow="0" w:firstColumn="0" w:lastColumn="0" w:oddVBand="0" w:evenVBand="0" w:oddHBand="0" w:evenHBand="0" w:firstRowFirstColumn="0" w:firstRowLastColumn="0" w:lastRowFirstColumn="0" w:lastRowLastColumn="0"/>
          <w:trHeight w:val="299"/>
          <w:tblHeader/>
        </w:trPr>
        <w:tc>
          <w:tcPr>
            <w:cnfStyle w:val="001000000000" w:firstRow="0" w:lastRow="0" w:firstColumn="1" w:lastColumn="0" w:oddVBand="0" w:evenVBand="0" w:oddHBand="0" w:evenHBand="0" w:firstRowFirstColumn="0" w:firstRowLastColumn="0" w:lastRowFirstColumn="0" w:lastRowLastColumn="0"/>
            <w:tcW w:w="2919" w:type="dxa"/>
          </w:tcPr>
          <w:p w14:paraId="07DBB1E4" w14:textId="77777777" w:rsidR="006B3F14" w:rsidRPr="00997F82" w:rsidRDefault="006B3F14">
            <w:pPr>
              <w:jc w:val="center"/>
              <w:rPr>
                <w:rFonts w:asciiTheme="minorHAnsi" w:eastAsia="Times New Roman" w:hAnsiTheme="minorHAnsi" w:cs="Times New Roman"/>
                <w:color w:val="000000"/>
                <w:sz w:val="18"/>
                <w:szCs w:val="18"/>
                <w:lang w:eastAsia="en-AU"/>
              </w:rPr>
            </w:pPr>
          </w:p>
        </w:tc>
        <w:tc>
          <w:tcPr>
            <w:tcW w:w="2919" w:type="dxa"/>
          </w:tcPr>
          <w:p w14:paraId="12441CEC" w14:textId="77777777" w:rsidR="006B3F14" w:rsidRPr="00997F82" w:rsidRDefault="006B3F14">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2919" w:type="dxa"/>
          </w:tcPr>
          <w:p w14:paraId="5A1639D6" w14:textId="77777777" w:rsidR="006B3F14" w:rsidRPr="00997F82" w:rsidRDefault="006B3F14">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r>
      <w:tr w:rsidR="006B3F14" w:rsidRPr="00997F82" w14:paraId="751208C8" w14:textId="77777777" w:rsidTr="00C52F1F">
        <w:trPr>
          <w:trHeight w:val="299"/>
        </w:trPr>
        <w:tc>
          <w:tcPr>
            <w:cnfStyle w:val="001000000000" w:firstRow="0" w:lastRow="0" w:firstColumn="1" w:lastColumn="0" w:oddVBand="0" w:evenVBand="0" w:oddHBand="0" w:evenHBand="0" w:firstRowFirstColumn="0" w:firstRowLastColumn="0" w:lastRowFirstColumn="0" w:lastRowLastColumn="0"/>
            <w:tcW w:w="2919" w:type="dxa"/>
            <w:vAlign w:val="center"/>
          </w:tcPr>
          <w:p w14:paraId="3C231B92" w14:textId="77777777" w:rsidR="006B3F14" w:rsidRPr="00997F82" w:rsidRDefault="006B3F14">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Planning</w:t>
            </w:r>
          </w:p>
        </w:tc>
        <w:tc>
          <w:tcPr>
            <w:tcW w:w="2919" w:type="dxa"/>
          </w:tcPr>
          <w:p w14:paraId="29E5774C" w14:textId="1DB3318A" w:rsidR="006B3F14" w:rsidRPr="00997F82" w:rsidRDefault="001666AC" w:rsidP="0048104D">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w:t>
            </w:r>
          </w:p>
        </w:tc>
        <w:tc>
          <w:tcPr>
            <w:tcW w:w="2919" w:type="dxa"/>
          </w:tcPr>
          <w:p w14:paraId="631E6E7B" w14:textId="0C0743CA" w:rsidR="006B3F14" w:rsidRPr="00997F82" w:rsidRDefault="0048104D" w:rsidP="0048104D">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w:t>
            </w:r>
            <w:r w:rsidR="001666AC" w:rsidRPr="00997F82">
              <w:rPr>
                <w:rFonts w:asciiTheme="minorHAnsi" w:eastAsia="Times New Roman" w:hAnsiTheme="minorHAnsi" w:cs="Times New Roman"/>
                <w:color w:val="000000"/>
                <w:sz w:val="18"/>
                <w:szCs w:val="18"/>
                <w:lang w:eastAsia="en-AU"/>
              </w:rPr>
              <w:t>%</w:t>
            </w:r>
          </w:p>
        </w:tc>
      </w:tr>
      <w:tr w:rsidR="006B3F14" w:rsidRPr="00997F82" w14:paraId="30E40C58" w14:textId="77777777" w:rsidTr="00C52F1F">
        <w:trPr>
          <w:trHeight w:val="299"/>
        </w:trPr>
        <w:tc>
          <w:tcPr>
            <w:cnfStyle w:val="001000000000" w:firstRow="0" w:lastRow="0" w:firstColumn="1" w:lastColumn="0" w:oddVBand="0" w:evenVBand="0" w:oddHBand="0" w:evenHBand="0" w:firstRowFirstColumn="0" w:firstRowLastColumn="0" w:lastRowFirstColumn="0" w:lastRowLastColumn="0"/>
            <w:tcW w:w="2919" w:type="dxa"/>
            <w:vAlign w:val="center"/>
          </w:tcPr>
          <w:p w14:paraId="4FE7D0F9" w14:textId="77777777" w:rsidR="006B3F14" w:rsidRPr="00997F82" w:rsidRDefault="006B3F14">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Completed</w:t>
            </w:r>
          </w:p>
        </w:tc>
        <w:tc>
          <w:tcPr>
            <w:tcW w:w="2919" w:type="dxa"/>
          </w:tcPr>
          <w:p w14:paraId="0B48C517" w14:textId="1DD0D1DB" w:rsidR="006B3F14" w:rsidRPr="00997F82" w:rsidRDefault="001666AC" w:rsidP="0048104D">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23</w:t>
            </w:r>
          </w:p>
        </w:tc>
        <w:tc>
          <w:tcPr>
            <w:tcW w:w="2919" w:type="dxa"/>
          </w:tcPr>
          <w:p w14:paraId="01BDB4AA" w14:textId="447813C6" w:rsidR="006B3F14" w:rsidRPr="00997F82" w:rsidRDefault="001666AC" w:rsidP="0048104D">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35%</w:t>
            </w:r>
          </w:p>
        </w:tc>
      </w:tr>
      <w:tr w:rsidR="006B3F14" w:rsidRPr="00997F82" w14:paraId="50CC599D" w14:textId="77777777" w:rsidTr="00C52F1F">
        <w:trPr>
          <w:trHeight w:val="306"/>
        </w:trPr>
        <w:tc>
          <w:tcPr>
            <w:cnfStyle w:val="001000000000" w:firstRow="0" w:lastRow="0" w:firstColumn="1" w:lastColumn="0" w:oddVBand="0" w:evenVBand="0" w:oddHBand="0" w:evenHBand="0" w:firstRowFirstColumn="0" w:firstRowLastColumn="0" w:lastRowFirstColumn="0" w:lastRowLastColumn="0"/>
            <w:tcW w:w="2919" w:type="dxa"/>
            <w:vAlign w:val="center"/>
          </w:tcPr>
          <w:p w14:paraId="37BA5CD1" w14:textId="77777777" w:rsidR="006B3F14" w:rsidRPr="00997F82" w:rsidRDefault="006B3F14">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Continuing</w:t>
            </w:r>
          </w:p>
        </w:tc>
        <w:tc>
          <w:tcPr>
            <w:tcW w:w="2919" w:type="dxa"/>
          </w:tcPr>
          <w:p w14:paraId="03879765" w14:textId="22502B14" w:rsidR="006B3F14" w:rsidRPr="00997F82" w:rsidRDefault="00E81255" w:rsidP="0048104D">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40</w:t>
            </w:r>
          </w:p>
        </w:tc>
        <w:tc>
          <w:tcPr>
            <w:tcW w:w="2919" w:type="dxa"/>
          </w:tcPr>
          <w:p w14:paraId="03C7AC87" w14:textId="4AA1CCF6" w:rsidR="006B3F14" w:rsidRPr="00997F82" w:rsidRDefault="00E81255" w:rsidP="0048104D">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w:t>
            </w:r>
            <w:r w:rsidR="0048104D" w:rsidRPr="00997F82">
              <w:rPr>
                <w:rFonts w:asciiTheme="minorHAnsi" w:eastAsia="Times New Roman" w:hAnsiTheme="minorHAnsi" w:cs="Times New Roman"/>
                <w:color w:val="000000"/>
                <w:sz w:val="18"/>
                <w:szCs w:val="18"/>
                <w:lang w:eastAsia="en-AU"/>
              </w:rPr>
              <w:t>2</w:t>
            </w:r>
            <w:r w:rsidRPr="00997F82">
              <w:rPr>
                <w:rFonts w:asciiTheme="minorHAnsi" w:eastAsia="Times New Roman" w:hAnsiTheme="minorHAnsi" w:cs="Times New Roman"/>
                <w:color w:val="000000"/>
                <w:sz w:val="18"/>
                <w:szCs w:val="18"/>
                <w:lang w:eastAsia="en-AU"/>
              </w:rPr>
              <w:t>%</w:t>
            </w:r>
          </w:p>
        </w:tc>
      </w:tr>
      <w:tr w:rsidR="006B3F14" w:rsidRPr="00997F82" w14:paraId="2D99AC85" w14:textId="77777777" w:rsidTr="00C52F1F">
        <w:trPr>
          <w:trHeight w:val="306"/>
        </w:trPr>
        <w:tc>
          <w:tcPr>
            <w:cnfStyle w:val="001000000000" w:firstRow="0" w:lastRow="0" w:firstColumn="1" w:lastColumn="0" w:oddVBand="0" w:evenVBand="0" w:oddHBand="0" w:evenHBand="0" w:firstRowFirstColumn="0" w:firstRowLastColumn="0" w:lastRowFirstColumn="0" w:lastRowLastColumn="0"/>
            <w:tcW w:w="2919" w:type="dxa"/>
            <w:vAlign w:val="center"/>
          </w:tcPr>
          <w:p w14:paraId="4A96BBDE" w14:textId="77777777" w:rsidR="006B3F14" w:rsidRPr="00997F82" w:rsidRDefault="006B3F14">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Ceased</w:t>
            </w:r>
          </w:p>
        </w:tc>
        <w:tc>
          <w:tcPr>
            <w:tcW w:w="2919" w:type="dxa"/>
          </w:tcPr>
          <w:p w14:paraId="13B219B4" w14:textId="6B5AF0D4" w:rsidR="006B3F14" w:rsidRPr="00997F82" w:rsidRDefault="00E81255" w:rsidP="0048104D">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w:t>
            </w:r>
          </w:p>
        </w:tc>
        <w:tc>
          <w:tcPr>
            <w:tcW w:w="2919" w:type="dxa"/>
          </w:tcPr>
          <w:p w14:paraId="3290D101" w14:textId="4CB8BD88" w:rsidR="006B3F14" w:rsidRPr="00997F82" w:rsidRDefault="0048104D" w:rsidP="0048104D">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w:t>
            </w:r>
            <w:r w:rsidR="00E81255" w:rsidRPr="00997F82">
              <w:rPr>
                <w:rFonts w:asciiTheme="minorHAnsi" w:eastAsia="Times New Roman" w:hAnsiTheme="minorHAnsi" w:cs="Times New Roman"/>
                <w:color w:val="000000"/>
                <w:sz w:val="18"/>
                <w:szCs w:val="18"/>
                <w:lang w:eastAsia="en-AU"/>
              </w:rPr>
              <w:t>%</w:t>
            </w:r>
          </w:p>
        </w:tc>
      </w:tr>
      <w:tr w:rsidR="0050556C" w:rsidRPr="00997F82" w14:paraId="1956F65E" w14:textId="77777777" w:rsidTr="00C52F1F">
        <w:trPr>
          <w:trHeight w:val="306"/>
        </w:trPr>
        <w:tc>
          <w:tcPr>
            <w:cnfStyle w:val="001000000000" w:firstRow="0" w:lastRow="0" w:firstColumn="1" w:lastColumn="0" w:oddVBand="0" w:evenVBand="0" w:oddHBand="0" w:evenHBand="0" w:firstRowFirstColumn="0" w:firstRowLastColumn="0" w:lastRowFirstColumn="0" w:lastRowLastColumn="0"/>
            <w:tcW w:w="2919" w:type="dxa"/>
            <w:shd w:val="clear" w:color="auto" w:fill="D9D9D9" w:themeFill="background1" w:themeFillShade="D9"/>
            <w:vAlign w:val="center"/>
          </w:tcPr>
          <w:p w14:paraId="7B7C4653" w14:textId="77777777" w:rsidR="006B3F14" w:rsidRPr="00997F82" w:rsidRDefault="006B3F14">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TOTAL</w:t>
            </w:r>
          </w:p>
        </w:tc>
        <w:tc>
          <w:tcPr>
            <w:tcW w:w="2919" w:type="dxa"/>
            <w:shd w:val="clear" w:color="auto" w:fill="D9D9D9" w:themeFill="background1" w:themeFillShade="D9"/>
          </w:tcPr>
          <w:p w14:paraId="69A2E073" w14:textId="2759CA8D" w:rsidR="006B3F14" w:rsidRPr="00997F82" w:rsidRDefault="00E81255" w:rsidP="0048104D">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65</w:t>
            </w:r>
          </w:p>
        </w:tc>
        <w:tc>
          <w:tcPr>
            <w:tcW w:w="2919" w:type="dxa"/>
            <w:shd w:val="clear" w:color="auto" w:fill="D9D9D9" w:themeFill="background1" w:themeFillShade="D9"/>
          </w:tcPr>
          <w:p w14:paraId="28899730" w14:textId="68FDF2B4" w:rsidR="006B3F14" w:rsidRPr="00997F82" w:rsidRDefault="00E81255" w:rsidP="0048104D">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100%</w:t>
            </w:r>
          </w:p>
        </w:tc>
      </w:tr>
    </w:tbl>
    <w:p w14:paraId="38362A06" w14:textId="15D2E95A" w:rsidR="00EC081E" w:rsidRPr="00997F82" w:rsidRDefault="00EC081E" w:rsidP="00EC081E">
      <w:pPr>
        <w:rPr>
          <w:sz w:val="16"/>
          <w:szCs w:val="16"/>
        </w:rPr>
      </w:pPr>
      <w:r w:rsidRPr="00997F82">
        <w:rPr>
          <w:sz w:val="16"/>
          <w:szCs w:val="16"/>
        </w:rPr>
        <w:t xml:space="preserve">Note: Planning = still in planning phase; Completed = activity fully implemented; Continuing = activity still being </w:t>
      </w:r>
      <w:r w:rsidR="00CB2B98" w:rsidRPr="00997F82">
        <w:rPr>
          <w:sz w:val="16"/>
          <w:szCs w:val="16"/>
        </w:rPr>
        <w:t>delivered</w:t>
      </w:r>
      <w:r w:rsidRPr="00997F82">
        <w:rPr>
          <w:sz w:val="16"/>
          <w:szCs w:val="16"/>
        </w:rPr>
        <w:t>; Ceased = activity commenced but stopped and will not be completed.</w:t>
      </w:r>
    </w:p>
    <w:p w14:paraId="1B1FAEEC" w14:textId="1C500AE7" w:rsidR="00757854" w:rsidRPr="00997F82" w:rsidRDefault="00174A5F" w:rsidP="00DE159F">
      <w:pPr>
        <w:rPr>
          <w:b/>
          <w:bCs/>
        </w:rPr>
      </w:pPr>
      <w:r w:rsidRPr="00997F82">
        <w:t xml:space="preserve">Few PHNs reported challenges with community awareness activities. Where challenges did arise, they were mostly related to </w:t>
      </w:r>
      <w:r w:rsidR="009E14F9" w:rsidRPr="00997F82">
        <w:t xml:space="preserve">establishing relationships with new </w:t>
      </w:r>
      <w:r w:rsidRPr="00997F82">
        <w:t>stakeholder</w:t>
      </w:r>
      <w:r w:rsidR="009E14F9" w:rsidRPr="00997F82">
        <w:t>s</w:t>
      </w:r>
      <w:r w:rsidRPr="00997F82">
        <w:t>, travel and time constraints, and difficulties collecting data to measure impact. PHNs responded by adapting their approaches and often still made progress.</w:t>
      </w:r>
      <w:r w:rsidRPr="00997F82">
        <w:rPr>
          <w:b/>
          <w:bCs/>
        </w:rPr>
        <w:t xml:space="preserve"> </w:t>
      </w:r>
    </w:p>
    <w:p w14:paraId="70C5CC9E" w14:textId="40834BDD" w:rsidR="00E11CB1" w:rsidRPr="00997F82" w:rsidRDefault="0026341D" w:rsidP="00BE00FF">
      <w:r w:rsidRPr="00997F82">
        <w:t>There were</w:t>
      </w:r>
      <w:r w:rsidR="008A7CE0" w:rsidRPr="00997F82">
        <w:t xml:space="preserve"> </w:t>
      </w:r>
      <w:r w:rsidR="00A02214" w:rsidRPr="00997F82">
        <w:t>7</w:t>
      </w:r>
      <w:r w:rsidR="00E27702" w:rsidRPr="00997F82">
        <w:t xml:space="preserve"> PHNs who planned to undertake</w:t>
      </w:r>
      <w:r w:rsidR="002E0860" w:rsidRPr="00997F82">
        <w:t xml:space="preserve"> 9</w:t>
      </w:r>
      <w:r w:rsidR="00E27702" w:rsidRPr="00997F82">
        <w:t xml:space="preserve"> </w:t>
      </w:r>
      <w:r w:rsidR="006306DB" w:rsidRPr="00997F82">
        <w:t>p</w:t>
      </w:r>
      <w:r w:rsidR="00E27702" w:rsidRPr="00997F82">
        <w:t xml:space="preserve">alliative </w:t>
      </w:r>
      <w:r w:rsidR="006306DB" w:rsidRPr="00997F82">
        <w:t>c</w:t>
      </w:r>
      <w:r w:rsidR="00E27702" w:rsidRPr="00997F82">
        <w:t xml:space="preserve">are </w:t>
      </w:r>
      <w:r w:rsidR="006306DB" w:rsidRPr="00997F82">
        <w:t>m</w:t>
      </w:r>
      <w:r w:rsidR="00E27702" w:rsidRPr="00997F82">
        <w:t>edicines activities</w:t>
      </w:r>
      <w:r w:rsidR="00F955B7" w:rsidRPr="00997F82">
        <w:t xml:space="preserve">. </w:t>
      </w:r>
      <w:r w:rsidR="00DF0EDF" w:rsidRPr="00997F82">
        <w:t xml:space="preserve">At </w:t>
      </w:r>
      <w:r w:rsidR="00D8670D" w:rsidRPr="00997F82">
        <w:t>Endpoint</w:t>
      </w:r>
      <w:r w:rsidR="00DF0EDF" w:rsidRPr="00997F82">
        <w:t xml:space="preserve">, </w:t>
      </w:r>
      <w:r w:rsidR="002E0860" w:rsidRPr="00997F82">
        <w:t xml:space="preserve">2 </w:t>
      </w:r>
      <w:r w:rsidR="00DF0EDF" w:rsidRPr="00997F82">
        <w:t>activit</w:t>
      </w:r>
      <w:r w:rsidR="00A02214" w:rsidRPr="00997F82">
        <w:t>ies were</w:t>
      </w:r>
      <w:r w:rsidR="00DF0EDF" w:rsidRPr="00997F82">
        <w:t xml:space="preserve"> completed and 5 were continuing. </w:t>
      </w:r>
      <w:r w:rsidR="007239C7" w:rsidRPr="00997F82">
        <w:t xml:space="preserve">There </w:t>
      </w:r>
      <w:r w:rsidR="00A02214" w:rsidRPr="00997F82">
        <w:t xml:space="preserve">were </w:t>
      </w:r>
      <w:r w:rsidR="002B44E0" w:rsidRPr="00997F82">
        <w:t>2</w:t>
      </w:r>
      <w:r w:rsidR="007239C7" w:rsidRPr="00997F82">
        <w:t xml:space="preserve"> </w:t>
      </w:r>
      <w:r w:rsidR="006306DB" w:rsidRPr="00997F82">
        <w:t>p</w:t>
      </w:r>
      <w:r w:rsidR="007239C7" w:rsidRPr="00997F82">
        <w:t xml:space="preserve">alliative </w:t>
      </w:r>
      <w:r w:rsidR="006306DB" w:rsidRPr="00997F82">
        <w:t>c</w:t>
      </w:r>
      <w:r w:rsidR="007239C7" w:rsidRPr="00997F82">
        <w:t xml:space="preserve">are </w:t>
      </w:r>
      <w:r w:rsidR="006306DB" w:rsidRPr="00997F82">
        <w:t>m</w:t>
      </w:r>
      <w:r w:rsidR="007239C7" w:rsidRPr="00997F82">
        <w:t>edicines activit</w:t>
      </w:r>
      <w:r w:rsidR="00D03306" w:rsidRPr="00997F82">
        <w:t>ies</w:t>
      </w:r>
      <w:r w:rsidR="007239C7" w:rsidRPr="00997F82">
        <w:t xml:space="preserve"> that ceased </w:t>
      </w:r>
      <w:r w:rsidR="00B34A23" w:rsidRPr="00997F82">
        <w:t>enabling</w:t>
      </w:r>
      <w:r w:rsidR="005C5648" w:rsidRPr="00997F82">
        <w:t xml:space="preserve"> the PHN </w:t>
      </w:r>
      <w:r w:rsidR="00B34A23" w:rsidRPr="00997F82">
        <w:t>to</w:t>
      </w:r>
      <w:r w:rsidR="005C5648" w:rsidRPr="00997F82">
        <w:t xml:space="preserve"> pivot towards higher priority activities and needs.</w:t>
      </w:r>
      <w:r w:rsidR="005C5648" w:rsidRPr="00997F82" w:rsidDel="005C5648">
        <w:t xml:space="preserve"> </w:t>
      </w:r>
    </w:p>
    <w:p w14:paraId="2C0A7B10" w14:textId="06310D30" w:rsidR="00B6104E" w:rsidRPr="00997F82" w:rsidRDefault="00B6104E" w:rsidP="00277D66">
      <w:pPr>
        <w:pStyle w:val="Caption"/>
      </w:pPr>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8</w:t>
      </w:r>
      <w:r w:rsidR="0002526D" w:rsidRPr="00997F82">
        <w:fldChar w:fldCharType="end"/>
      </w:r>
      <w:r w:rsidRPr="00997F82">
        <w:t>: Activity completion status for Palliative Care Medicines activities implemented by PHNs</w:t>
      </w:r>
    </w:p>
    <w:tbl>
      <w:tblPr>
        <w:tblStyle w:val="GridTable1Light-Accent4"/>
        <w:tblW w:w="9060" w:type="dxa"/>
        <w:tblInd w:w="-10" w:type="dxa"/>
        <w:tblBorders>
          <w:top w:val="single" w:sz="4" w:space="0" w:color="AEB3D2" w:themeColor="accent2" w:themeTint="66"/>
          <w:left w:val="single" w:sz="4" w:space="0" w:color="AEB3D2" w:themeColor="accent2" w:themeTint="66"/>
          <w:bottom w:val="single" w:sz="4" w:space="0" w:color="AEB3D2" w:themeColor="accent2" w:themeTint="66"/>
          <w:right w:val="single" w:sz="4" w:space="0" w:color="AEB3D2" w:themeColor="accent2" w:themeTint="66"/>
          <w:insideH w:val="single" w:sz="4" w:space="0" w:color="AEB3D2" w:themeColor="accent2" w:themeTint="66"/>
          <w:insideV w:val="single" w:sz="4" w:space="0" w:color="AEB3D2" w:themeColor="accent2" w:themeTint="66"/>
        </w:tblBorders>
        <w:tblLayout w:type="fixed"/>
        <w:tblLook w:val="04A0" w:firstRow="1" w:lastRow="0" w:firstColumn="1" w:lastColumn="0" w:noHBand="0" w:noVBand="1"/>
      </w:tblPr>
      <w:tblGrid>
        <w:gridCol w:w="3020"/>
        <w:gridCol w:w="3020"/>
        <w:gridCol w:w="3020"/>
      </w:tblGrid>
      <w:tr w:rsidR="00413BD0" w:rsidRPr="00997F82" w14:paraId="492C16A1" w14:textId="77777777" w:rsidTr="006950EE">
        <w:trPr>
          <w:cnfStyle w:val="100000000000" w:firstRow="1" w:lastRow="0" w:firstColumn="0" w:lastColumn="0" w:oddVBand="0" w:evenVBand="0" w:oddHBand="0" w:evenHBand="0" w:firstRowFirstColumn="0" w:firstRowLastColumn="0" w:lastRowFirstColumn="0" w:lastRowLastColumn="0"/>
          <w:trHeight w:val="316"/>
          <w:tblHeader/>
        </w:trPr>
        <w:tc>
          <w:tcPr>
            <w:cnfStyle w:val="001000000000" w:firstRow="0" w:lastRow="0" w:firstColumn="1" w:lastColumn="0" w:oddVBand="0" w:evenVBand="0" w:oddHBand="0" w:evenHBand="0" w:firstRowFirstColumn="0" w:firstRowLastColumn="0" w:lastRowFirstColumn="0" w:lastRowLastColumn="0"/>
            <w:tcW w:w="3020" w:type="dxa"/>
          </w:tcPr>
          <w:p w14:paraId="36318932" w14:textId="77777777" w:rsidR="00490FC4" w:rsidRPr="00997F82" w:rsidRDefault="00490FC4">
            <w:pPr>
              <w:jc w:val="cente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Activity Status</w:t>
            </w:r>
          </w:p>
        </w:tc>
        <w:tc>
          <w:tcPr>
            <w:tcW w:w="6040" w:type="dxa"/>
            <w:gridSpan w:val="2"/>
          </w:tcPr>
          <w:p w14:paraId="4D0EBB16" w14:textId="1F175E8A" w:rsidR="00490FC4" w:rsidRPr="00997F82" w:rsidRDefault="00E81255">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Palliative Care Medicines</w:t>
            </w:r>
          </w:p>
        </w:tc>
      </w:tr>
      <w:tr w:rsidR="0050556C" w:rsidRPr="00997F82" w14:paraId="35E73473" w14:textId="77777777" w:rsidTr="006950EE">
        <w:trPr>
          <w:cnfStyle w:val="100000000000" w:firstRow="1" w:lastRow="0" w:firstColumn="0" w:lastColumn="0" w:oddVBand="0" w:evenVBand="0" w:oddHBand="0" w:evenHBand="0" w:firstRowFirstColumn="0" w:firstRowLastColumn="0" w:lastRowFirstColumn="0" w:lastRowLastColumn="0"/>
          <w:trHeight w:val="316"/>
          <w:tblHeader/>
        </w:trPr>
        <w:tc>
          <w:tcPr>
            <w:cnfStyle w:val="001000000000" w:firstRow="0" w:lastRow="0" w:firstColumn="1" w:lastColumn="0" w:oddVBand="0" w:evenVBand="0" w:oddHBand="0" w:evenHBand="0" w:firstRowFirstColumn="0" w:firstRowLastColumn="0" w:lastRowFirstColumn="0" w:lastRowLastColumn="0"/>
            <w:tcW w:w="3020" w:type="dxa"/>
          </w:tcPr>
          <w:p w14:paraId="3B6CFDF3" w14:textId="77777777" w:rsidR="00490FC4" w:rsidRPr="00997F82" w:rsidRDefault="00490FC4">
            <w:pPr>
              <w:jc w:val="center"/>
              <w:rPr>
                <w:rFonts w:asciiTheme="minorHAnsi" w:eastAsia="Times New Roman" w:hAnsiTheme="minorHAnsi" w:cs="Times New Roman"/>
                <w:color w:val="000000"/>
                <w:sz w:val="18"/>
                <w:szCs w:val="18"/>
                <w:lang w:eastAsia="en-AU"/>
              </w:rPr>
            </w:pPr>
          </w:p>
        </w:tc>
        <w:tc>
          <w:tcPr>
            <w:tcW w:w="3020" w:type="dxa"/>
          </w:tcPr>
          <w:p w14:paraId="5F57167D" w14:textId="77777777" w:rsidR="00490FC4" w:rsidRPr="00997F82" w:rsidRDefault="00490FC4">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3020" w:type="dxa"/>
          </w:tcPr>
          <w:p w14:paraId="2B0690A1" w14:textId="77777777" w:rsidR="00490FC4" w:rsidRPr="00997F82" w:rsidRDefault="00490FC4">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r>
      <w:tr w:rsidR="00490FC4" w:rsidRPr="00997F82" w14:paraId="761A3887" w14:textId="77777777" w:rsidTr="00C52F1F">
        <w:trPr>
          <w:trHeight w:val="316"/>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01D3EFF4" w14:textId="77777777" w:rsidR="00490FC4" w:rsidRPr="00997F82" w:rsidRDefault="00490FC4">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Planning</w:t>
            </w:r>
          </w:p>
        </w:tc>
        <w:tc>
          <w:tcPr>
            <w:tcW w:w="3020" w:type="dxa"/>
          </w:tcPr>
          <w:p w14:paraId="3AA924C1" w14:textId="04E6A4AF" w:rsidR="00490FC4" w:rsidRPr="00997F82" w:rsidRDefault="00A02214" w:rsidP="002B44E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c>
          <w:tcPr>
            <w:tcW w:w="3020" w:type="dxa"/>
          </w:tcPr>
          <w:p w14:paraId="05F3D40A" w14:textId="7F193B0F" w:rsidR="00490FC4" w:rsidRPr="00997F82" w:rsidRDefault="00A02214" w:rsidP="002B44E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r>
      <w:tr w:rsidR="00490FC4" w:rsidRPr="00997F82" w14:paraId="159DF676" w14:textId="77777777" w:rsidTr="00C52F1F">
        <w:trPr>
          <w:trHeight w:val="316"/>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66F79C62" w14:textId="77777777" w:rsidR="00490FC4" w:rsidRPr="00997F82" w:rsidRDefault="00490FC4">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Completed</w:t>
            </w:r>
          </w:p>
        </w:tc>
        <w:tc>
          <w:tcPr>
            <w:tcW w:w="3020" w:type="dxa"/>
          </w:tcPr>
          <w:p w14:paraId="443759DB" w14:textId="0322D732" w:rsidR="00490FC4" w:rsidRPr="00997F82" w:rsidRDefault="00A02214" w:rsidP="002B44E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w:t>
            </w:r>
          </w:p>
        </w:tc>
        <w:tc>
          <w:tcPr>
            <w:tcW w:w="3020" w:type="dxa"/>
          </w:tcPr>
          <w:p w14:paraId="1A7F02DF" w14:textId="5599C6CE" w:rsidR="00490FC4" w:rsidRPr="00997F82" w:rsidRDefault="00A02214" w:rsidP="002B44E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22%</w:t>
            </w:r>
          </w:p>
        </w:tc>
      </w:tr>
      <w:tr w:rsidR="00490FC4" w:rsidRPr="00997F82" w14:paraId="29BCDB59" w14:textId="77777777" w:rsidTr="00C52F1F">
        <w:trPr>
          <w:trHeight w:val="323"/>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6804D159" w14:textId="77777777" w:rsidR="00490FC4" w:rsidRPr="00997F82" w:rsidRDefault="00490FC4">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Continuing</w:t>
            </w:r>
          </w:p>
        </w:tc>
        <w:tc>
          <w:tcPr>
            <w:tcW w:w="3020" w:type="dxa"/>
          </w:tcPr>
          <w:p w14:paraId="1BE04449" w14:textId="625D30E1" w:rsidR="00490FC4" w:rsidRPr="00997F82" w:rsidRDefault="00A02214" w:rsidP="002B44E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5</w:t>
            </w:r>
          </w:p>
        </w:tc>
        <w:tc>
          <w:tcPr>
            <w:tcW w:w="3020" w:type="dxa"/>
          </w:tcPr>
          <w:p w14:paraId="05A86F27" w14:textId="004197C3" w:rsidR="00490FC4" w:rsidRPr="00997F82" w:rsidRDefault="00A02214" w:rsidP="002B44E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5</w:t>
            </w:r>
            <w:r w:rsidR="002B44E0" w:rsidRPr="00997F82">
              <w:rPr>
                <w:rFonts w:asciiTheme="minorHAnsi" w:eastAsia="Times New Roman" w:hAnsiTheme="minorHAnsi" w:cs="Times New Roman"/>
                <w:color w:val="000000"/>
                <w:sz w:val="18"/>
                <w:szCs w:val="18"/>
                <w:lang w:eastAsia="en-AU"/>
              </w:rPr>
              <w:t>6</w:t>
            </w:r>
            <w:r w:rsidRPr="00997F82">
              <w:rPr>
                <w:rFonts w:asciiTheme="minorHAnsi" w:eastAsia="Times New Roman" w:hAnsiTheme="minorHAnsi" w:cs="Times New Roman"/>
                <w:color w:val="000000"/>
                <w:sz w:val="18"/>
                <w:szCs w:val="18"/>
                <w:lang w:eastAsia="en-AU"/>
              </w:rPr>
              <w:t>%</w:t>
            </w:r>
          </w:p>
        </w:tc>
      </w:tr>
      <w:tr w:rsidR="00490FC4" w:rsidRPr="00997F82" w14:paraId="2C95722C" w14:textId="77777777" w:rsidTr="00C52F1F">
        <w:trPr>
          <w:trHeight w:val="323"/>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4D37B74E" w14:textId="77777777" w:rsidR="00490FC4" w:rsidRPr="00997F82" w:rsidRDefault="00490FC4">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Ceased</w:t>
            </w:r>
          </w:p>
        </w:tc>
        <w:tc>
          <w:tcPr>
            <w:tcW w:w="3020" w:type="dxa"/>
          </w:tcPr>
          <w:p w14:paraId="6D7FFA3C" w14:textId="56CFB2F1" w:rsidR="00490FC4" w:rsidRPr="00997F82" w:rsidRDefault="00A02214" w:rsidP="002B44E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w:t>
            </w:r>
          </w:p>
        </w:tc>
        <w:tc>
          <w:tcPr>
            <w:tcW w:w="3020" w:type="dxa"/>
          </w:tcPr>
          <w:p w14:paraId="61AFB3E6" w14:textId="67E789BC" w:rsidR="00490FC4" w:rsidRPr="00997F82" w:rsidRDefault="00A02214" w:rsidP="002B44E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22%</w:t>
            </w:r>
          </w:p>
        </w:tc>
      </w:tr>
      <w:tr w:rsidR="0050556C" w:rsidRPr="00997F82" w14:paraId="3C1662F6" w14:textId="77777777" w:rsidTr="00C52F1F">
        <w:trPr>
          <w:trHeight w:val="323"/>
        </w:trPr>
        <w:tc>
          <w:tcPr>
            <w:cnfStyle w:val="001000000000" w:firstRow="0" w:lastRow="0" w:firstColumn="1" w:lastColumn="0" w:oddVBand="0" w:evenVBand="0" w:oddHBand="0" w:evenHBand="0" w:firstRowFirstColumn="0" w:firstRowLastColumn="0" w:lastRowFirstColumn="0" w:lastRowLastColumn="0"/>
            <w:tcW w:w="3020" w:type="dxa"/>
            <w:shd w:val="clear" w:color="auto" w:fill="D9D9D9" w:themeFill="background1" w:themeFillShade="D9"/>
            <w:vAlign w:val="center"/>
          </w:tcPr>
          <w:p w14:paraId="7C49BFDF" w14:textId="77777777" w:rsidR="00490FC4" w:rsidRPr="00997F82" w:rsidRDefault="00490FC4">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TOTAL</w:t>
            </w:r>
          </w:p>
        </w:tc>
        <w:tc>
          <w:tcPr>
            <w:tcW w:w="3020" w:type="dxa"/>
            <w:shd w:val="clear" w:color="auto" w:fill="D9D9D9" w:themeFill="background1" w:themeFillShade="D9"/>
          </w:tcPr>
          <w:p w14:paraId="3452CF90" w14:textId="00D9CE24" w:rsidR="00490FC4" w:rsidRPr="00997F82" w:rsidRDefault="008F5B5B" w:rsidP="002B44E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9</w:t>
            </w:r>
          </w:p>
        </w:tc>
        <w:tc>
          <w:tcPr>
            <w:tcW w:w="3020" w:type="dxa"/>
            <w:shd w:val="clear" w:color="auto" w:fill="D9D9D9" w:themeFill="background1" w:themeFillShade="D9"/>
          </w:tcPr>
          <w:p w14:paraId="67F1A366" w14:textId="2F997717" w:rsidR="00490FC4" w:rsidRPr="00997F82" w:rsidRDefault="008F5B5B" w:rsidP="002B44E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100%</w:t>
            </w:r>
          </w:p>
        </w:tc>
      </w:tr>
    </w:tbl>
    <w:p w14:paraId="72C2CFC2" w14:textId="4428ACAA" w:rsidR="00490FC4" w:rsidRPr="00997F82" w:rsidRDefault="00490FC4" w:rsidP="00490FC4">
      <w:pPr>
        <w:rPr>
          <w:sz w:val="16"/>
          <w:szCs w:val="16"/>
        </w:rPr>
      </w:pPr>
      <w:r w:rsidRPr="00997F82">
        <w:rPr>
          <w:sz w:val="16"/>
          <w:szCs w:val="16"/>
        </w:rPr>
        <w:t xml:space="preserve">Note: Planning = still in planning phase; Completed = activity fully implemented; Continuing = activity still being </w:t>
      </w:r>
      <w:r w:rsidR="00E3727A" w:rsidRPr="00997F82">
        <w:rPr>
          <w:sz w:val="16"/>
          <w:szCs w:val="16"/>
        </w:rPr>
        <w:t>delivered</w:t>
      </w:r>
      <w:r w:rsidRPr="00997F82">
        <w:rPr>
          <w:sz w:val="16"/>
          <w:szCs w:val="16"/>
        </w:rPr>
        <w:t>; Ceased = activity commenced but stopped and will not be completed.</w:t>
      </w:r>
    </w:p>
    <w:p w14:paraId="1261BD53" w14:textId="1E09E737" w:rsidR="00CA112E" w:rsidRPr="00997F82" w:rsidRDefault="008C54E1" w:rsidP="00031F8E">
      <w:r w:rsidRPr="00997F82">
        <w:t>Several</w:t>
      </w:r>
      <w:r w:rsidR="00E84F88" w:rsidRPr="00997F82">
        <w:t xml:space="preserve"> challenges were identified </w:t>
      </w:r>
      <w:r w:rsidR="00A47C0E" w:rsidRPr="00997F82">
        <w:t xml:space="preserve">around implementation of </w:t>
      </w:r>
      <w:r w:rsidR="006306DB" w:rsidRPr="00997F82">
        <w:t>p</w:t>
      </w:r>
      <w:r w:rsidR="00A47C0E" w:rsidRPr="00997F82">
        <w:t xml:space="preserve">alliative </w:t>
      </w:r>
      <w:r w:rsidR="006306DB" w:rsidRPr="00997F82">
        <w:t>c</w:t>
      </w:r>
      <w:r w:rsidR="00A47C0E" w:rsidRPr="00997F82">
        <w:t xml:space="preserve">are </w:t>
      </w:r>
      <w:r w:rsidR="006306DB" w:rsidRPr="00997F82">
        <w:t>m</w:t>
      </w:r>
      <w:r w:rsidR="00A47C0E" w:rsidRPr="00997F82">
        <w:t xml:space="preserve">edicines </w:t>
      </w:r>
      <w:r w:rsidR="006B4407" w:rsidRPr="00997F82">
        <w:t>activities</w:t>
      </w:r>
      <w:r w:rsidR="004F69A7" w:rsidRPr="00997F82">
        <w:t>. This</w:t>
      </w:r>
      <w:r w:rsidR="009E4417" w:rsidRPr="00997F82">
        <w:t xml:space="preserve"> included </w:t>
      </w:r>
      <w:r w:rsidR="00422437" w:rsidRPr="00997F82">
        <w:t xml:space="preserve">difficulty with </w:t>
      </w:r>
      <w:r w:rsidR="004F69A7" w:rsidRPr="00997F82">
        <w:t>coordinating</w:t>
      </w:r>
      <w:r w:rsidR="00422437" w:rsidRPr="00997F82">
        <w:t xml:space="preserve"> with RAC</w:t>
      </w:r>
      <w:r w:rsidR="00A7293D" w:rsidRPr="00997F82">
        <w:t>H</w:t>
      </w:r>
      <w:r w:rsidR="00C76DDD" w:rsidRPr="00997F82">
        <w:t>s</w:t>
      </w:r>
      <w:r w:rsidR="00422437" w:rsidRPr="00997F82">
        <w:t xml:space="preserve"> </w:t>
      </w:r>
      <w:r w:rsidR="004F69A7" w:rsidRPr="00997F82">
        <w:t>to collect medication data</w:t>
      </w:r>
      <w:r w:rsidR="00A7293D" w:rsidRPr="00997F82">
        <w:t xml:space="preserve">, </w:t>
      </w:r>
      <w:r w:rsidR="00EB54C4" w:rsidRPr="00997F82">
        <w:t xml:space="preserve">changes to pharmacy </w:t>
      </w:r>
      <w:r w:rsidR="00A95377" w:rsidRPr="00997F82">
        <w:t>staff (and on occasion owners)</w:t>
      </w:r>
      <w:r w:rsidR="00DB1495" w:rsidRPr="00997F82">
        <w:t>,</w:t>
      </w:r>
      <w:r w:rsidR="00EB54C4" w:rsidRPr="00997F82">
        <w:t xml:space="preserve"> </w:t>
      </w:r>
      <w:r w:rsidR="0091539D" w:rsidRPr="00997F82">
        <w:t xml:space="preserve">inconsistencies in </w:t>
      </w:r>
      <w:r w:rsidR="005D14A8" w:rsidRPr="00997F82">
        <w:t xml:space="preserve">pharmacy </w:t>
      </w:r>
      <w:r w:rsidR="0091539D" w:rsidRPr="00997F82">
        <w:t xml:space="preserve">contact </w:t>
      </w:r>
      <w:r w:rsidR="00F002D7" w:rsidRPr="00997F82">
        <w:t>details</w:t>
      </w:r>
      <w:r w:rsidR="0073361B" w:rsidRPr="00997F82">
        <w:t>,</w:t>
      </w:r>
      <w:r w:rsidR="00F002D7" w:rsidRPr="00997F82">
        <w:t xml:space="preserve"> and</w:t>
      </w:r>
      <w:r w:rsidR="005D14A8" w:rsidRPr="00997F82">
        <w:t xml:space="preserve"> </w:t>
      </w:r>
      <w:r w:rsidR="0073361B" w:rsidRPr="00997F82">
        <w:t>the</w:t>
      </w:r>
      <w:r w:rsidR="001F29EB" w:rsidRPr="00997F82">
        <w:t xml:space="preserve"> need </w:t>
      </w:r>
      <w:r w:rsidR="00F002D7" w:rsidRPr="00997F82">
        <w:t>for</w:t>
      </w:r>
      <w:r w:rsidR="001F29EB" w:rsidRPr="00997F82">
        <w:t xml:space="preserve"> ongoing </w:t>
      </w:r>
      <w:r w:rsidR="00CA112E" w:rsidRPr="00997F82">
        <w:t xml:space="preserve">upkeep of resources </w:t>
      </w:r>
      <w:r w:rsidR="003559C9" w:rsidRPr="00997F82">
        <w:t xml:space="preserve">when </w:t>
      </w:r>
      <w:r w:rsidR="00CA112E" w:rsidRPr="00997F82">
        <w:t>provided to pharmacies.</w:t>
      </w:r>
    </w:p>
    <w:p w14:paraId="0918AB59" w14:textId="064AA0D7" w:rsidR="00E76563" w:rsidRPr="00997F82" w:rsidRDefault="008C7EB3" w:rsidP="00031F8E">
      <w:r w:rsidRPr="00997F82">
        <w:t>T</w:t>
      </w:r>
      <w:r w:rsidR="00D04849" w:rsidRPr="00997F82">
        <w:t xml:space="preserve">here were 23 </w:t>
      </w:r>
      <w:r w:rsidR="00347E99" w:rsidRPr="00997F82">
        <w:t>p</w:t>
      </w:r>
      <w:r w:rsidR="00D04849" w:rsidRPr="00997F82">
        <w:t>riority</w:t>
      </w:r>
      <w:r w:rsidR="00A006A4" w:rsidRPr="00997F82">
        <w:t xml:space="preserve"> </w:t>
      </w:r>
      <w:r w:rsidR="00347E99" w:rsidRPr="00997F82">
        <w:t>p</w:t>
      </w:r>
      <w:r w:rsidR="00A006A4" w:rsidRPr="00997F82">
        <w:t xml:space="preserve">opulation </w:t>
      </w:r>
      <w:r w:rsidR="00B630B1" w:rsidRPr="00997F82">
        <w:t>activities</w:t>
      </w:r>
      <w:r w:rsidR="00CD20D3" w:rsidRPr="00997F82">
        <w:t xml:space="preserve"> </w:t>
      </w:r>
      <w:r w:rsidR="00D04849" w:rsidRPr="00997F82">
        <w:t>that were planned</w:t>
      </w:r>
      <w:r w:rsidR="00856F0C" w:rsidRPr="00997F82">
        <w:t xml:space="preserve"> by </w:t>
      </w:r>
      <w:r w:rsidR="00A57FDC" w:rsidRPr="00997F82">
        <w:t>1</w:t>
      </w:r>
      <w:r w:rsidR="008F5B5B" w:rsidRPr="00997F82">
        <w:t>4</w:t>
      </w:r>
      <w:r w:rsidR="00A57FDC" w:rsidRPr="00997F82">
        <w:t xml:space="preserve"> </w:t>
      </w:r>
      <w:r w:rsidR="00856F0C" w:rsidRPr="00997F82">
        <w:t xml:space="preserve">PHNs. </w:t>
      </w:r>
      <w:r w:rsidR="00A57FDC" w:rsidRPr="00997F82">
        <w:t xml:space="preserve">At </w:t>
      </w:r>
      <w:r w:rsidR="00D8670D" w:rsidRPr="00997F82">
        <w:t>Endpoint</w:t>
      </w:r>
      <w:r w:rsidR="00A57FDC" w:rsidRPr="00997F82">
        <w:t xml:space="preserve">, </w:t>
      </w:r>
      <w:r w:rsidR="008F5B5B" w:rsidRPr="00997F82">
        <w:t>19</w:t>
      </w:r>
      <w:r w:rsidR="00A57FDC" w:rsidRPr="00997F82">
        <w:t xml:space="preserve"> of these activities </w:t>
      </w:r>
      <w:r w:rsidR="00CD20D3" w:rsidRPr="00997F82">
        <w:t xml:space="preserve">were </w:t>
      </w:r>
      <w:r w:rsidR="008730AA" w:rsidRPr="00997F82">
        <w:t xml:space="preserve">completed or </w:t>
      </w:r>
      <w:r w:rsidR="00BF40E5" w:rsidRPr="00997F82">
        <w:t>were</w:t>
      </w:r>
      <w:r w:rsidR="008730AA" w:rsidRPr="00997F82">
        <w:t xml:space="preserve"> continuing</w:t>
      </w:r>
      <w:r w:rsidR="00BE37D4" w:rsidRPr="00997F82">
        <w:t xml:space="preserve"> </w:t>
      </w:r>
      <w:r w:rsidR="00BB7811" w:rsidRPr="00997F82">
        <w:t>activities</w:t>
      </w:r>
      <w:r w:rsidR="00245594" w:rsidRPr="00997F82">
        <w:t>.</w:t>
      </w:r>
      <w:r w:rsidR="00BB7811" w:rsidRPr="00997F82">
        <w:t xml:space="preserve"> </w:t>
      </w:r>
      <w:r w:rsidR="008F5B5B" w:rsidRPr="00997F82">
        <w:t>4</w:t>
      </w:r>
      <w:r w:rsidR="00BB7811" w:rsidRPr="00997F82">
        <w:t xml:space="preserve"> of these activities remain</w:t>
      </w:r>
      <w:r w:rsidR="00BF40E5" w:rsidRPr="00997F82">
        <w:t>ed</w:t>
      </w:r>
      <w:r w:rsidR="00BB7811" w:rsidRPr="00997F82">
        <w:t xml:space="preserve"> </w:t>
      </w:r>
      <w:r w:rsidR="00FD43BB" w:rsidRPr="00997F82">
        <w:t>in the planning phase</w:t>
      </w:r>
      <w:r w:rsidR="00562BC3" w:rsidRPr="00997F82">
        <w:t>. R</w:t>
      </w:r>
      <w:r w:rsidR="00C765AC" w:rsidRPr="00997F82">
        <w:t>easons as to why these activities did not progress were not provided by PHNs.</w:t>
      </w:r>
      <w:r w:rsidR="00387730" w:rsidRPr="00997F82">
        <w:t xml:space="preserve"> </w:t>
      </w:r>
    </w:p>
    <w:p w14:paraId="405F067A" w14:textId="2F287560" w:rsidR="00B6104E" w:rsidRPr="00997F82" w:rsidRDefault="00B6104E" w:rsidP="00277D66">
      <w:pPr>
        <w:pStyle w:val="Caption"/>
      </w:pPr>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9</w:t>
      </w:r>
      <w:r w:rsidR="0002526D" w:rsidRPr="00997F82">
        <w:fldChar w:fldCharType="end"/>
      </w:r>
      <w:r w:rsidRPr="00997F82">
        <w:t>: Activity completion status for Priority Populations activities implemented by PHNs</w:t>
      </w:r>
    </w:p>
    <w:tbl>
      <w:tblPr>
        <w:tblStyle w:val="GridTable1Light-Accent4"/>
        <w:tblW w:w="9060" w:type="dxa"/>
        <w:tblInd w:w="-10" w:type="dxa"/>
        <w:tblBorders>
          <w:top w:val="single" w:sz="4" w:space="0" w:color="AEB3D2" w:themeColor="accent2" w:themeTint="66"/>
          <w:left w:val="single" w:sz="4" w:space="0" w:color="AEB3D2" w:themeColor="accent2" w:themeTint="66"/>
          <w:bottom w:val="single" w:sz="4" w:space="0" w:color="AEB3D2" w:themeColor="accent2" w:themeTint="66"/>
          <w:right w:val="single" w:sz="4" w:space="0" w:color="AEB3D2" w:themeColor="accent2" w:themeTint="66"/>
          <w:insideH w:val="single" w:sz="4" w:space="0" w:color="AEB3D2" w:themeColor="accent2" w:themeTint="66"/>
          <w:insideV w:val="single" w:sz="4" w:space="0" w:color="AEB3D2" w:themeColor="accent2" w:themeTint="66"/>
        </w:tblBorders>
        <w:tblLayout w:type="fixed"/>
        <w:tblLook w:val="04A0" w:firstRow="1" w:lastRow="0" w:firstColumn="1" w:lastColumn="0" w:noHBand="0" w:noVBand="1"/>
      </w:tblPr>
      <w:tblGrid>
        <w:gridCol w:w="3020"/>
        <w:gridCol w:w="3020"/>
        <w:gridCol w:w="3020"/>
      </w:tblGrid>
      <w:tr w:rsidR="00413BD0" w:rsidRPr="00997F82" w14:paraId="65463085" w14:textId="77777777" w:rsidTr="006950EE">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3020" w:type="dxa"/>
          </w:tcPr>
          <w:p w14:paraId="7FB002A1" w14:textId="77777777" w:rsidR="00BF3FF1" w:rsidRPr="00997F82" w:rsidRDefault="00BF3FF1">
            <w:pPr>
              <w:jc w:val="cente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Activity Status</w:t>
            </w:r>
          </w:p>
        </w:tc>
        <w:tc>
          <w:tcPr>
            <w:tcW w:w="6040" w:type="dxa"/>
            <w:gridSpan w:val="2"/>
          </w:tcPr>
          <w:p w14:paraId="28692892" w14:textId="40B8410F" w:rsidR="00BF3FF1" w:rsidRPr="00997F82" w:rsidRDefault="00BF3FF1">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Priority Populations</w:t>
            </w:r>
          </w:p>
        </w:tc>
      </w:tr>
      <w:tr w:rsidR="0050556C" w:rsidRPr="00997F82" w14:paraId="204B5210" w14:textId="77777777" w:rsidTr="006950EE">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3020" w:type="dxa"/>
          </w:tcPr>
          <w:p w14:paraId="50C04318" w14:textId="77777777" w:rsidR="00CB7711" w:rsidRPr="00997F82" w:rsidRDefault="00CB7711">
            <w:pPr>
              <w:jc w:val="center"/>
              <w:rPr>
                <w:rFonts w:asciiTheme="minorHAnsi" w:eastAsia="Times New Roman" w:hAnsiTheme="minorHAnsi" w:cs="Times New Roman"/>
                <w:color w:val="000000"/>
                <w:sz w:val="18"/>
                <w:szCs w:val="18"/>
                <w:lang w:eastAsia="en-AU"/>
              </w:rPr>
            </w:pPr>
          </w:p>
        </w:tc>
        <w:tc>
          <w:tcPr>
            <w:tcW w:w="3020" w:type="dxa"/>
          </w:tcPr>
          <w:p w14:paraId="7ADAD551" w14:textId="77777777" w:rsidR="00CB7711" w:rsidRPr="00997F82" w:rsidRDefault="00CB7711">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3020" w:type="dxa"/>
          </w:tcPr>
          <w:p w14:paraId="38369051" w14:textId="77777777" w:rsidR="00CB7711" w:rsidRPr="00997F82" w:rsidRDefault="00CB7711">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r>
      <w:tr w:rsidR="00CB7711" w:rsidRPr="00997F82" w14:paraId="1C9A96D5" w14:textId="77777777" w:rsidTr="00C52F1F">
        <w:trPr>
          <w:trHeight w:val="319"/>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0497F31A" w14:textId="77777777" w:rsidR="00CB7711" w:rsidRPr="00997F82" w:rsidRDefault="00CB771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Planning</w:t>
            </w:r>
          </w:p>
        </w:tc>
        <w:tc>
          <w:tcPr>
            <w:tcW w:w="3020" w:type="dxa"/>
            <w:vAlign w:val="center"/>
          </w:tcPr>
          <w:p w14:paraId="5455E444" w14:textId="39AB264D" w:rsidR="00CB7711" w:rsidRPr="00997F82" w:rsidRDefault="00C6302F" w:rsidP="00BF3FF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w:t>
            </w:r>
          </w:p>
        </w:tc>
        <w:tc>
          <w:tcPr>
            <w:tcW w:w="3020" w:type="dxa"/>
            <w:vAlign w:val="center"/>
          </w:tcPr>
          <w:p w14:paraId="7E22EAE7" w14:textId="1B21F2F8" w:rsidR="00CB7711" w:rsidRPr="00997F82" w:rsidRDefault="00C6302F" w:rsidP="00BF3FF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17%</w:t>
            </w:r>
          </w:p>
        </w:tc>
      </w:tr>
      <w:tr w:rsidR="00CB7711" w:rsidRPr="00997F82" w14:paraId="79C73F31" w14:textId="77777777" w:rsidTr="00C52F1F">
        <w:trPr>
          <w:trHeight w:val="319"/>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7199270B" w14:textId="77777777" w:rsidR="00CB7711" w:rsidRPr="00997F82" w:rsidRDefault="00CB771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Completed</w:t>
            </w:r>
          </w:p>
        </w:tc>
        <w:tc>
          <w:tcPr>
            <w:tcW w:w="3020" w:type="dxa"/>
            <w:vAlign w:val="center"/>
          </w:tcPr>
          <w:p w14:paraId="1B7BBDA5" w14:textId="16DDAD50" w:rsidR="00CB7711" w:rsidRPr="00997F82" w:rsidRDefault="00C6302F" w:rsidP="00BF3FF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8</w:t>
            </w:r>
          </w:p>
        </w:tc>
        <w:tc>
          <w:tcPr>
            <w:tcW w:w="3020" w:type="dxa"/>
            <w:vAlign w:val="center"/>
          </w:tcPr>
          <w:p w14:paraId="7527251A" w14:textId="6A76181F" w:rsidR="00CB7711" w:rsidRPr="00997F82" w:rsidRDefault="00C6302F" w:rsidP="00BF3FF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w:t>
            </w:r>
            <w:r w:rsidR="00BF3FF1" w:rsidRPr="00997F82">
              <w:rPr>
                <w:rFonts w:asciiTheme="minorHAnsi" w:eastAsia="Times New Roman" w:hAnsiTheme="minorHAnsi" w:cs="Times New Roman"/>
                <w:color w:val="000000"/>
                <w:sz w:val="18"/>
                <w:szCs w:val="18"/>
                <w:lang w:eastAsia="en-AU"/>
              </w:rPr>
              <w:t>5</w:t>
            </w:r>
            <w:r w:rsidRPr="00997F82">
              <w:rPr>
                <w:rFonts w:asciiTheme="minorHAnsi" w:eastAsia="Times New Roman" w:hAnsiTheme="minorHAnsi" w:cs="Times New Roman"/>
                <w:color w:val="000000"/>
                <w:sz w:val="18"/>
                <w:szCs w:val="18"/>
                <w:lang w:eastAsia="en-AU"/>
              </w:rPr>
              <w:t>%</w:t>
            </w:r>
          </w:p>
        </w:tc>
      </w:tr>
      <w:tr w:rsidR="00CB7711" w:rsidRPr="00997F82" w14:paraId="51E96DE4" w14:textId="77777777" w:rsidTr="00C52F1F">
        <w:trPr>
          <w:trHeight w:val="325"/>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6BD0389A" w14:textId="77777777" w:rsidR="00CB7711" w:rsidRPr="00997F82" w:rsidRDefault="00CB771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Continuing</w:t>
            </w:r>
          </w:p>
        </w:tc>
        <w:tc>
          <w:tcPr>
            <w:tcW w:w="3020" w:type="dxa"/>
            <w:vAlign w:val="center"/>
          </w:tcPr>
          <w:p w14:paraId="2E186B40" w14:textId="6264800F" w:rsidR="00CB7711" w:rsidRPr="00997F82" w:rsidRDefault="00C6302F" w:rsidP="00BF3FF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11</w:t>
            </w:r>
          </w:p>
        </w:tc>
        <w:tc>
          <w:tcPr>
            <w:tcW w:w="3020" w:type="dxa"/>
            <w:vAlign w:val="center"/>
          </w:tcPr>
          <w:p w14:paraId="79D7411A" w14:textId="388A91F2" w:rsidR="00CB7711" w:rsidRPr="00997F82" w:rsidRDefault="00C6302F" w:rsidP="00BF3FF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w:t>
            </w:r>
            <w:r w:rsidR="00BF3FF1" w:rsidRPr="00997F82">
              <w:rPr>
                <w:rFonts w:asciiTheme="minorHAnsi" w:eastAsia="Times New Roman" w:hAnsiTheme="minorHAnsi" w:cs="Times New Roman"/>
                <w:color w:val="000000"/>
                <w:sz w:val="18"/>
                <w:szCs w:val="18"/>
                <w:lang w:eastAsia="en-AU"/>
              </w:rPr>
              <w:t>8</w:t>
            </w:r>
            <w:r w:rsidRPr="00997F82">
              <w:rPr>
                <w:rFonts w:asciiTheme="minorHAnsi" w:eastAsia="Times New Roman" w:hAnsiTheme="minorHAnsi" w:cs="Times New Roman"/>
                <w:color w:val="000000"/>
                <w:sz w:val="18"/>
                <w:szCs w:val="18"/>
                <w:lang w:eastAsia="en-AU"/>
              </w:rPr>
              <w:t>%</w:t>
            </w:r>
          </w:p>
        </w:tc>
      </w:tr>
      <w:tr w:rsidR="00CB7711" w:rsidRPr="00997F82" w14:paraId="05D8706C" w14:textId="77777777" w:rsidTr="00C52F1F">
        <w:trPr>
          <w:trHeight w:val="325"/>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0329AFF4" w14:textId="77777777" w:rsidR="00CB7711" w:rsidRPr="00997F82" w:rsidRDefault="00CB771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Ceased</w:t>
            </w:r>
          </w:p>
        </w:tc>
        <w:tc>
          <w:tcPr>
            <w:tcW w:w="3020" w:type="dxa"/>
            <w:vAlign w:val="center"/>
          </w:tcPr>
          <w:p w14:paraId="714FDB3C" w14:textId="1B97A623" w:rsidR="00CB7711" w:rsidRPr="00997F82" w:rsidRDefault="00C6302F" w:rsidP="00BF3FF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c>
          <w:tcPr>
            <w:tcW w:w="3020" w:type="dxa"/>
            <w:vAlign w:val="center"/>
          </w:tcPr>
          <w:p w14:paraId="1F9A8476" w14:textId="135572CA" w:rsidR="00CB7711" w:rsidRPr="00997F82" w:rsidRDefault="00C6302F" w:rsidP="00BF3FF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r>
      <w:tr w:rsidR="0050556C" w:rsidRPr="00997F82" w14:paraId="2A54F8F4" w14:textId="77777777" w:rsidTr="00C52F1F">
        <w:trPr>
          <w:trHeight w:val="325"/>
        </w:trPr>
        <w:tc>
          <w:tcPr>
            <w:cnfStyle w:val="001000000000" w:firstRow="0" w:lastRow="0" w:firstColumn="1" w:lastColumn="0" w:oddVBand="0" w:evenVBand="0" w:oddHBand="0" w:evenHBand="0" w:firstRowFirstColumn="0" w:firstRowLastColumn="0" w:lastRowFirstColumn="0" w:lastRowLastColumn="0"/>
            <w:tcW w:w="3020" w:type="dxa"/>
            <w:shd w:val="clear" w:color="auto" w:fill="D9D9D9" w:themeFill="background1" w:themeFillShade="D9"/>
            <w:vAlign w:val="center"/>
          </w:tcPr>
          <w:p w14:paraId="5B5D92A2" w14:textId="77777777" w:rsidR="00CB7711" w:rsidRPr="00997F82" w:rsidRDefault="00CB7711">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TOTAL</w:t>
            </w:r>
          </w:p>
        </w:tc>
        <w:tc>
          <w:tcPr>
            <w:tcW w:w="3020" w:type="dxa"/>
            <w:shd w:val="clear" w:color="auto" w:fill="D9D9D9" w:themeFill="background1" w:themeFillShade="D9"/>
            <w:vAlign w:val="center"/>
          </w:tcPr>
          <w:p w14:paraId="2FCF41EB" w14:textId="2A4235F6" w:rsidR="00CB7711" w:rsidRPr="00997F82" w:rsidRDefault="00C6302F" w:rsidP="00BF3FF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23</w:t>
            </w:r>
          </w:p>
        </w:tc>
        <w:tc>
          <w:tcPr>
            <w:tcW w:w="3020" w:type="dxa"/>
            <w:shd w:val="clear" w:color="auto" w:fill="D9D9D9" w:themeFill="background1" w:themeFillShade="D9"/>
            <w:vAlign w:val="center"/>
          </w:tcPr>
          <w:p w14:paraId="3D20B1E2" w14:textId="75ACEE09" w:rsidR="00CB7711" w:rsidRPr="00997F82" w:rsidRDefault="00C6302F" w:rsidP="00BF3FF1">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100%</w:t>
            </w:r>
          </w:p>
        </w:tc>
      </w:tr>
    </w:tbl>
    <w:p w14:paraId="1746B6C6" w14:textId="191CB802" w:rsidR="00CB7711" w:rsidRPr="00997F82" w:rsidRDefault="00CB7711" w:rsidP="00CB7711">
      <w:pPr>
        <w:rPr>
          <w:sz w:val="16"/>
          <w:szCs w:val="16"/>
        </w:rPr>
      </w:pPr>
      <w:r w:rsidRPr="00997F82">
        <w:rPr>
          <w:sz w:val="16"/>
          <w:szCs w:val="16"/>
        </w:rPr>
        <w:t xml:space="preserve">Note: Planning = still in planning phase; Completed = activity fully implemented; Continuing = activity still being </w:t>
      </w:r>
      <w:r w:rsidR="00D20A77" w:rsidRPr="00997F82">
        <w:rPr>
          <w:sz w:val="16"/>
          <w:szCs w:val="16"/>
        </w:rPr>
        <w:t>delivered</w:t>
      </w:r>
      <w:r w:rsidRPr="00997F82">
        <w:rPr>
          <w:sz w:val="16"/>
          <w:szCs w:val="16"/>
        </w:rPr>
        <w:t>; Ceased = activity commenced but stopped and will not be completed.</w:t>
      </w:r>
    </w:p>
    <w:p w14:paraId="48D7252D" w14:textId="57B0C6AB" w:rsidR="004C081C" w:rsidRPr="00997F82" w:rsidRDefault="00497E0D" w:rsidP="004C081C">
      <w:r w:rsidRPr="00997F82">
        <w:t>Key challen</w:t>
      </w:r>
      <w:r w:rsidR="00424E7A" w:rsidRPr="00997F82">
        <w:t>ges experience</w:t>
      </w:r>
      <w:r w:rsidR="008570C2" w:rsidRPr="00997F82">
        <w:t>d</w:t>
      </w:r>
      <w:r w:rsidR="00424E7A" w:rsidRPr="00997F82">
        <w:t xml:space="preserve"> by PHNs in implementing </w:t>
      </w:r>
      <w:r w:rsidR="00E8625E" w:rsidRPr="00997F82">
        <w:t>activit</w:t>
      </w:r>
      <w:r w:rsidR="00D82AEE" w:rsidRPr="00997F82">
        <w:t>ies</w:t>
      </w:r>
      <w:r w:rsidR="008570C2" w:rsidRPr="00997F82">
        <w:t xml:space="preserve"> </w:t>
      </w:r>
      <w:r w:rsidR="00C765AC" w:rsidRPr="00997F82">
        <w:t xml:space="preserve">for priority populations </w:t>
      </w:r>
      <w:r w:rsidR="008570C2" w:rsidRPr="00997F82">
        <w:t>included</w:t>
      </w:r>
      <w:r w:rsidR="003D01DC" w:rsidRPr="00997F82">
        <w:t xml:space="preserve"> insufficient engagement </w:t>
      </w:r>
      <w:r w:rsidR="0053608A" w:rsidRPr="00997F82">
        <w:t xml:space="preserve">from </w:t>
      </w:r>
      <w:r w:rsidR="00C765AC" w:rsidRPr="00997F82">
        <w:t>community</w:t>
      </w:r>
      <w:r w:rsidR="0053608A" w:rsidRPr="00997F82">
        <w:t xml:space="preserve"> groups</w:t>
      </w:r>
      <w:r w:rsidR="00C765AC" w:rsidRPr="00997F82">
        <w:t xml:space="preserve"> and </w:t>
      </w:r>
      <w:r w:rsidR="0053608A" w:rsidRPr="00997F82">
        <w:t>language and cultural barriers</w:t>
      </w:r>
      <w:r w:rsidR="00BB2957" w:rsidRPr="00997F82">
        <w:t xml:space="preserve">. </w:t>
      </w:r>
      <w:r w:rsidR="004C081C" w:rsidRPr="00997F82">
        <w:t xml:space="preserve">PHNs responded to these challenges by adjusting their approaches to focus on strengthening partnerships with </w:t>
      </w:r>
      <w:r w:rsidR="00C765AC" w:rsidRPr="00997F82">
        <w:t xml:space="preserve">trusted </w:t>
      </w:r>
      <w:r w:rsidR="004C081C" w:rsidRPr="00997F82">
        <w:t xml:space="preserve">representative groups to build greater </w:t>
      </w:r>
      <w:r w:rsidR="00C765AC" w:rsidRPr="00997F82">
        <w:t xml:space="preserve">rapport </w:t>
      </w:r>
      <w:r w:rsidR="009E7FE4" w:rsidRPr="00997F82">
        <w:t>and</w:t>
      </w:r>
      <w:r w:rsidR="004C081C" w:rsidRPr="00997F82">
        <w:t xml:space="preserve"> trust.</w:t>
      </w:r>
    </w:p>
    <w:p w14:paraId="36F2770A" w14:textId="13827E51" w:rsidR="00F32EE2" w:rsidRPr="00997F82" w:rsidRDefault="00563DDE" w:rsidP="000D0032">
      <w:r w:rsidRPr="00997F82">
        <w:t>A</w:t>
      </w:r>
      <w:r w:rsidR="00226067" w:rsidRPr="00997F82">
        <w:t xml:space="preserve"> total of </w:t>
      </w:r>
      <w:r w:rsidR="00F87258" w:rsidRPr="00997F82">
        <w:t>24</w:t>
      </w:r>
      <w:r w:rsidR="00B36EAD" w:rsidRPr="00997F82">
        <w:t xml:space="preserve"> P</w:t>
      </w:r>
      <w:r w:rsidR="00226067" w:rsidRPr="00997F82">
        <w:t xml:space="preserve">HNs </w:t>
      </w:r>
      <w:r w:rsidR="00A80B81" w:rsidRPr="00997F82">
        <w:t xml:space="preserve">planned </w:t>
      </w:r>
      <w:r w:rsidR="00C765AC" w:rsidRPr="00997F82">
        <w:t xml:space="preserve">42 </w:t>
      </w:r>
      <w:r w:rsidR="00A80B81" w:rsidRPr="00997F82">
        <w:t xml:space="preserve">Coordination and </w:t>
      </w:r>
      <w:r w:rsidR="008465DC" w:rsidRPr="00997F82">
        <w:t>i</w:t>
      </w:r>
      <w:r w:rsidR="00A80B81" w:rsidRPr="00997F82">
        <w:t>ntegration activities</w:t>
      </w:r>
      <w:r w:rsidR="00C765AC" w:rsidRPr="00997F82">
        <w:t xml:space="preserve"> over the duration of the Program</w:t>
      </w:r>
      <w:r w:rsidR="00A80B81" w:rsidRPr="00997F82">
        <w:t xml:space="preserve">. </w:t>
      </w:r>
      <w:r w:rsidR="00C765AC" w:rsidRPr="00997F82">
        <w:t>At Endpoint,</w:t>
      </w:r>
      <w:r w:rsidR="00965426" w:rsidRPr="00997F82">
        <w:t xml:space="preserve"> </w:t>
      </w:r>
      <w:r w:rsidR="00D82E52" w:rsidRPr="00997F82">
        <w:t>1</w:t>
      </w:r>
      <w:r w:rsidR="0027566C" w:rsidRPr="00997F82">
        <w:t>1</w:t>
      </w:r>
      <w:r w:rsidR="00D82E52" w:rsidRPr="00997F82">
        <w:t xml:space="preserve"> </w:t>
      </w:r>
      <w:r w:rsidR="00965426" w:rsidRPr="00997F82">
        <w:t>were</w:t>
      </w:r>
      <w:r w:rsidR="00D82E52" w:rsidRPr="00997F82">
        <w:t xml:space="preserve"> </w:t>
      </w:r>
      <w:r w:rsidR="00965426" w:rsidRPr="00997F82">
        <w:t xml:space="preserve">completed, with a further </w:t>
      </w:r>
      <w:r w:rsidR="00F8172A" w:rsidRPr="00997F82">
        <w:t>2</w:t>
      </w:r>
      <w:r w:rsidR="002224B2" w:rsidRPr="00997F82">
        <w:t>6</w:t>
      </w:r>
      <w:r w:rsidR="00F8172A" w:rsidRPr="00997F82">
        <w:t xml:space="preserve"> </w:t>
      </w:r>
      <w:r w:rsidR="00965426" w:rsidRPr="00997F82">
        <w:t>continuing.</w:t>
      </w:r>
      <w:r w:rsidR="00085C59" w:rsidRPr="00997F82">
        <w:t xml:space="preserve"> </w:t>
      </w:r>
      <w:r w:rsidR="00F81DFB" w:rsidRPr="00997F82">
        <w:t>In addition</w:t>
      </w:r>
      <w:r w:rsidR="006716CB" w:rsidRPr="00997F82">
        <w:t xml:space="preserve">, </w:t>
      </w:r>
      <w:r w:rsidR="00F87258" w:rsidRPr="00997F82">
        <w:t>5 activities</w:t>
      </w:r>
      <w:r w:rsidR="006716CB" w:rsidRPr="00997F82">
        <w:t xml:space="preserve"> </w:t>
      </w:r>
      <w:r w:rsidR="00F87258" w:rsidRPr="00997F82">
        <w:t>ceased</w:t>
      </w:r>
      <w:r w:rsidR="00F81DFB" w:rsidRPr="00997F82">
        <w:t xml:space="preserve"> </w:t>
      </w:r>
      <w:r w:rsidR="00C765AC" w:rsidRPr="00997F82">
        <w:t>due to</w:t>
      </w:r>
      <w:r w:rsidR="004502E5" w:rsidRPr="00997F82">
        <w:t xml:space="preserve"> </w:t>
      </w:r>
      <w:r w:rsidR="00DF277D" w:rsidRPr="00997F82">
        <w:t>difficulties engaging</w:t>
      </w:r>
      <w:r w:rsidR="00485B4F" w:rsidRPr="00997F82">
        <w:t xml:space="preserve"> partner organisations, </w:t>
      </w:r>
      <w:r w:rsidR="00D76616" w:rsidRPr="00997F82">
        <w:t xml:space="preserve">who often </w:t>
      </w:r>
      <w:r w:rsidR="00CF2702" w:rsidRPr="00997F82">
        <w:t>had</w:t>
      </w:r>
      <w:r w:rsidR="006F4446" w:rsidRPr="00997F82">
        <w:t xml:space="preserve"> </w:t>
      </w:r>
      <w:r w:rsidR="00EF7918" w:rsidRPr="00997F82">
        <w:t xml:space="preserve">limited </w:t>
      </w:r>
      <w:r w:rsidR="006F4446" w:rsidRPr="00997F82">
        <w:t>time</w:t>
      </w:r>
      <w:r w:rsidR="00DA29BE" w:rsidRPr="00997F82">
        <w:t xml:space="preserve"> </w:t>
      </w:r>
      <w:r w:rsidR="00EF7918" w:rsidRPr="00997F82">
        <w:t>available</w:t>
      </w:r>
      <w:r w:rsidR="006F4446" w:rsidRPr="00997F82">
        <w:t xml:space="preserve"> </w:t>
      </w:r>
      <w:r w:rsidR="00967168" w:rsidRPr="00997F82">
        <w:t xml:space="preserve">to </w:t>
      </w:r>
      <w:r w:rsidR="00757854" w:rsidRPr="00997F82">
        <w:t>support</w:t>
      </w:r>
      <w:r w:rsidR="00967168" w:rsidRPr="00997F82">
        <w:t xml:space="preserve"> </w:t>
      </w:r>
      <w:r w:rsidR="00DF2621" w:rsidRPr="00997F82">
        <w:t>PHN</w:t>
      </w:r>
      <w:r w:rsidR="00CF2702" w:rsidRPr="00997F82">
        <w:t>s</w:t>
      </w:r>
      <w:r w:rsidR="00967168" w:rsidRPr="00997F82">
        <w:t>.</w:t>
      </w:r>
      <w:r w:rsidR="00967168" w:rsidRPr="00997F82">
        <w:rPr>
          <w:color w:val="000000" w:themeColor="text1"/>
        </w:rPr>
        <w:t xml:space="preserve"> </w:t>
      </w:r>
    </w:p>
    <w:p w14:paraId="42255321" w14:textId="1CCD7037" w:rsidR="000D1E52" w:rsidRPr="00997F82" w:rsidRDefault="00F06237" w:rsidP="00277D66">
      <w:pPr>
        <w:pStyle w:val="Caption"/>
      </w:pPr>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10</w:t>
      </w:r>
      <w:r w:rsidR="0002526D" w:rsidRPr="00997F82">
        <w:fldChar w:fldCharType="end"/>
      </w:r>
      <w:r w:rsidRPr="00997F82">
        <w:t>: Activity completion status for Coordination and Integration activities implemented by PHNs</w:t>
      </w:r>
    </w:p>
    <w:tbl>
      <w:tblPr>
        <w:tblStyle w:val="GridTable1Light-Accent4"/>
        <w:tblW w:w="8505" w:type="dxa"/>
        <w:tblInd w:w="-10" w:type="dxa"/>
        <w:tblBorders>
          <w:top w:val="single" w:sz="4" w:space="0" w:color="AEB3D2" w:themeColor="accent2" w:themeTint="66"/>
          <w:left w:val="single" w:sz="4" w:space="0" w:color="AEB3D2" w:themeColor="accent2" w:themeTint="66"/>
          <w:bottom w:val="single" w:sz="4" w:space="0" w:color="AEB3D2" w:themeColor="accent2" w:themeTint="66"/>
          <w:right w:val="single" w:sz="4" w:space="0" w:color="AEB3D2" w:themeColor="accent2" w:themeTint="66"/>
          <w:insideH w:val="single" w:sz="4" w:space="0" w:color="AEB3D2" w:themeColor="accent2" w:themeTint="66"/>
          <w:insideV w:val="single" w:sz="4" w:space="0" w:color="AEB3D2" w:themeColor="accent2" w:themeTint="66"/>
        </w:tblBorders>
        <w:tblLayout w:type="fixed"/>
        <w:tblLook w:val="04A0" w:firstRow="1" w:lastRow="0" w:firstColumn="1" w:lastColumn="0" w:noHBand="0" w:noVBand="1"/>
      </w:tblPr>
      <w:tblGrid>
        <w:gridCol w:w="1701"/>
        <w:gridCol w:w="1701"/>
        <w:gridCol w:w="1701"/>
        <w:gridCol w:w="1701"/>
        <w:gridCol w:w="1701"/>
      </w:tblGrid>
      <w:tr w:rsidR="0050556C" w:rsidRPr="00997F82" w14:paraId="339DAB91" w14:textId="77777777" w:rsidTr="006950EE">
        <w:trPr>
          <w:cnfStyle w:val="100000000000" w:firstRow="1" w:lastRow="0" w:firstColumn="0" w:lastColumn="0" w:oddVBand="0" w:evenVBand="0" w:oddHBand="0" w:evenHBand="0" w:firstRowFirstColumn="0" w:firstRowLastColumn="0" w:lastRowFirstColumn="0" w:lastRowLastColumn="0"/>
          <w:trHeight w:val="329"/>
          <w:tblHeader/>
        </w:trPr>
        <w:tc>
          <w:tcPr>
            <w:cnfStyle w:val="001000000000" w:firstRow="0" w:lastRow="0" w:firstColumn="1" w:lastColumn="0" w:oddVBand="0" w:evenVBand="0" w:oddHBand="0" w:evenHBand="0" w:firstRowFirstColumn="0" w:firstRowLastColumn="0" w:lastRowFirstColumn="0" w:lastRowLastColumn="0"/>
            <w:tcW w:w="1701" w:type="dxa"/>
          </w:tcPr>
          <w:p w14:paraId="2AA82240" w14:textId="77777777" w:rsidR="00CB7711" w:rsidRPr="00997F82" w:rsidRDefault="00CB7711">
            <w:pPr>
              <w:jc w:val="cente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Activity Status</w:t>
            </w:r>
          </w:p>
        </w:tc>
        <w:tc>
          <w:tcPr>
            <w:tcW w:w="3402" w:type="dxa"/>
            <w:gridSpan w:val="2"/>
          </w:tcPr>
          <w:p w14:paraId="3F517A1F" w14:textId="525D05D9" w:rsidR="00CB7711" w:rsidRPr="00997F82" w:rsidRDefault="002224B2">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Service mapping and pathways</w:t>
            </w:r>
          </w:p>
        </w:tc>
        <w:tc>
          <w:tcPr>
            <w:tcW w:w="3402" w:type="dxa"/>
            <w:gridSpan w:val="2"/>
          </w:tcPr>
          <w:p w14:paraId="6BE0B4AB" w14:textId="1A5AC127" w:rsidR="00CB7711" w:rsidRPr="00997F82" w:rsidRDefault="002224B2">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Models of shared care</w:t>
            </w:r>
          </w:p>
        </w:tc>
      </w:tr>
      <w:tr w:rsidR="0017280B" w:rsidRPr="00997F82" w14:paraId="30830F88" w14:textId="77777777" w:rsidTr="006950EE">
        <w:trPr>
          <w:cnfStyle w:val="100000000000" w:firstRow="1" w:lastRow="0" w:firstColumn="0" w:lastColumn="0" w:oddVBand="0" w:evenVBand="0" w:oddHBand="0" w:evenHBand="0" w:firstRowFirstColumn="0" w:firstRowLastColumn="0" w:lastRowFirstColumn="0" w:lastRowLastColumn="0"/>
          <w:trHeight w:val="329"/>
          <w:tblHeader/>
        </w:trPr>
        <w:tc>
          <w:tcPr>
            <w:cnfStyle w:val="001000000000" w:firstRow="0" w:lastRow="0" w:firstColumn="1" w:lastColumn="0" w:oddVBand="0" w:evenVBand="0" w:oddHBand="0" w:evenHBand="0" w:firstRowFirstColumn="0" w:firstRowLastColumn="0" w:lastRowFirstColumn="0" w:lastRowLastColumn="0"/>
            <w:tcW w:w="1701" w:type="dxa"/>
          </w:tcPr>
          <w:p w14:paraId="42CB97F1" w14:textId="77777777" w:rsidR="00CB7711" w:rsidRPr="00997F82" w:rsidRDefault="00CB7711">
            <w:pPr>
              <w:jc w:val="center"/>
              <w:rPr>
                <w:rFonts w:asciiTheme="minorHAnsi" w:eastAsia="Times New Roman" w:hAnsiTheme="minorHAnsi" w:cs="Times New Roman"/>
                <w:color w:val="000000"/>
                <w:sz w:val="18"/>
                <w:szCs w:val="18"/>
                <w:lang w:eastAsia="en-AU"/>
              </w:rPr>
            </w:pPr>
          </w:p>
        </w:tc>
        <w:tc>
          <w:tcPr>
            <w:tcW w:w="1701" w:type="dxa"/>
          </w:tcPr>
          <w:p w14:paraId="1790D038" w14:textId="77777777" w:rsidR="00CB7711" w:rsidRPr="00997F82" w:rsidRDefault="00CB7711">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1701" w:type="dxa"/>
          </w:tcPr>
          <w:p w14:paraId="2990BBC1" w14:textId="77777777" w:rsidR="00CB7711" w:rsidRPr="00997F82" w:rsidRDefault="00CB7711">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1701" w:type="dxa"/>
          </w:tcPr>
          <w:p w14:paraId="307F9290" w14:textId="77777777" w:rsidR="00CB7711" w:rsidRPr="00997F82" w:rsidRDefault="00CB7711">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c>
          <w:tcPr>
            <w:tcW w:w="1701" w:type="dxa"/>
          </w:tcPr>
          <w:p w14:paraId="292661AD" w14:textId="77777777" w:rsidR="00CB7711" w:rsidRPr="00997F82" w:rsidRDefault="00CB7711">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 Activities</w:t>
            </w:r>
          </w:p>
        </w:tc>
      </w:tr>
      <w:tr w:rsidR="00CB7711" w:rsidRPr="00997F82" w14:paraId="2D8B3254" w14:textId="77777777" w:rsidTr="00E376A4">
        <w:trPr>
          <w:trHeight w:val="32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EF7B4D7" w14:textId="77777777" w:rsidR="00CB7711" w:rsidRPr="00997F82" w:rsidRDefault="00CB771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Planning</w:t>
            </w:r>
          </w:p>
        </w:tc>
        <w:tc>
          <w:tcPr>
            <w:tcW w:w="1701" w:type="dxa"/>
            <w:vAlign w:val="center"/>
          </w:tcPr>
          <w:p w14:paraId="6FE16D2D" w14:textId="1432B464" w:rsidR="00CB7711" w:rsidRPr="00997F82" w:rsidRDefault="00614DC7"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c>
          <w:tcPr>
            <w:tcW w:w="1701" w:type="dxa"/>
            <w:vAlign w:val="center"/>
          </w:tcPr>
          <w:p w14:paraId="362645B8" w14:textId="2AAA8C2F" w:rsidR="00CB7711" w:rsidRPr="00997F82" w:rsidRDefault="00614DC7"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c>
          <w:tcPr>
            <w:tcW w:w="1701" w:type="dxa"/>
            <w:vAlign w:val="center"/>
          </w:tcPr>
          <w:p w14:paraId="754D6CBF" w14:textId="3E1D52D9" w:rsidR="00CB7711" w:rsidRPr="00997F82" w:rsidRDefault="002F1C3A"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c>
          <w:tcPr>
            <w:tcW w:w="1701" w:type="dxa"/>
            <w:vAlign w:val="center"/>
          </w:tcPr>
          <w:p w14:paraId="3651D17A" w14:textId="7AB2F2E6" w:rsidR="00CB7711" w:rsidRPr="00997F82" w:rsidRDefault="002F1C3A"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0%</w:t>
            </w:r>
          </w:p>
        </w:tc>
      </w:tr>
      <w:tr w:rsidR="00CB7711" w:rsidRPr="00997F82" w14:paraId="5FC28A70" w14:textId="77777777" w:rsidTr="00E376A4">
        <w:trPr>
          <w:trHeight w:val="32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01682E7" w14:textId="77777777" w:rsidR="00CB7711" w:rsidRPr="00997F82" w:rsidRDefault="00CB771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Completed</w:t>
            </w:r>
          </w:p>
        </w:tc>
        <w:tc>
          <w:tcPr>
            <w:tcW w:w="1701" w:type="dxa"/>
            <w:vAlign w:val="center"/>
          </w:tcPr>
          <w:p w14:paraId="0AA8AF37" w14:textId="6BD0C110" w:rsidR="00CB7711" w:rsidRPr="00997F82" w:rsidRDefault="00614DC7"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w:t>
            </w:r>
          </w:p>
        </w:tc>
        <w:tc>
          <w:tcPr>
            <w:tcW w:w="1701" w:type="dxa"/>
            <w:vAlign w:val="center"/>
          </w:tcPr>
          <w:p w14:paraId="0456758D" w14:textId="1528AB32" w:rsidR="00CB7711" w:rsidRPr="00997F82" w:rsidRDefault="00614DC7"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6.25%</w:t>
            </w:r>
          </w:p>
        </w:tc>
        <w:tc>
          <w:tcPr>
            <w:tcW w:w="1701" w:type="dxa"/>
            <w:vAlign w:val="center"/>
          </w:tcPr>
          <w:p w14:paraId="03E847EA" w14:textId="28C9E9E9" w:rsidR="00CB7711" w:rsidRPr="00997F82" w:rsidRDefault="00EF2E7F"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10</w:t>
            </w:r>
          </w:p>
        </w:tc>
        <w:tc>
          <w:tcPr>
            <w:tcW w:w="1701" w:type="dxa"/>
            <w:vAlign w:val="center"/>
          </w:tcPr>
          <w:p w14:paraId="011B9D80" w14:textId="098DE75F" w:rsidR="00CB7711" w:rsidRPr="00997F82" w:rsidRDefault="002F1C3A"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38.46%</w:t>
            </w:r>
          </w:p>
        </w:tc>
      </w:tr>
      <w:tr w:rsidR="00CB7711" w:rsidRPr="00997F82" w14:paraId="5B5F9491" w14:textId="77777777" w:rsidTr="00E376A4">
        <w:trPr>
          <w:trHeight w:val="336"/>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545E515" w14:textId="77777777" w:rsidR="00CB7711" w:rsidRPr="00997F82" w:rsidRDefault="00CB771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Continuing</w:t>
            </w:r>
          </w:p>
        </w:tc>
        <w:tc>
          <w:tcPr>
            <w:tcW w:w="1701" w:type="dxa"/>
            <w:vAlign w:val="center"/>
          </w:tcPr>
          <w:p w14:paraId="2572387D" w14:textId="295030DB" w:rsidR="00CB7711" w:rsidRPr="00997F82" w:rsidRDefault="00614DC7"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12</w:t>
            </w:r>
          </w:p>
        </w:tc>
        <w:tc>
          <w:tcPr>
            <w:tcW w:w="1701" w:type="dxa"/>
            <w:vAlign w:val="center"/>
          </w:tcPr>
          <w:p w14:paraId="29EDCF6E" w14:textId="557022CB" w:rsidR="00CB7711" w:rsidRPr="00997F82" w:rsidRDefault="00614DC7"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75%</w:t>
            </w:r>
          </w:p>
        </w:tc>
        <w:tc>
          <w:tcPr>
            <w:tcW w:w="1701" w:type="dxa"/>
            <w:vAlign w:val="center"/>
          </w:tcPr>
          <w:p w14:paraId="233B7565" w14:textId="1F318831" w:rsidR="00CB7711" w:rsidRPr="00997F82" w:rsidRDefault="00EF2E7F"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14</w:t>
            </w:r>
          </w:p>
        </w:tc>
        <w:tc>
          <w:tcPr>
            <w:tcW w:w="1701" w:type="dxa"/>
            <w:vAlign w:val="center"/>
          </w:tcPr>
          <w:p w14:paraId="3B1373A4" w14:textId="45AB3B29" w:rsidR="00CB7711" w:rsidRPr="00997F82" w:rsidRDefault="002F1C3A"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53.85%</w:t>
            </w:r>
          </w:p>
        </w:tc>
      </w:tr>
      <w:tr w:rsidR="00CB7711" w:rsidRPr="00997F82" w14:paraId="41716B50" w14:textId="77777777" w:rsidTr="00E376A4">
        <w:trPr>
          <w:trHeight w:val="336"/>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7CD355E4" w14:textId="77777777" w:rsidR="00CB7711" w:rsidRPr="00997F82" w:rsidRDefault="00CB7711">
            <w:pPr>
              <w:rPr>
                <w:rFonts w:asciiTheme="minorHAnsi" w:eastAsia="Times New Roman" w:hAnsiTheme="minorHAnsi" w:cs="Times New Roman"/>
                <w:b w:val="0"/>
                <w:bCs w:val="0"/>
                <w:color w:val="000000"/>
                <w:sz w:val="18"/>
                <w:szCs w:val="18"/>
                <w:lang w:eastAsia="en-AU"/>
              </w:rPr>
            </w:pPr>
            <w:r w:rsidRPr="00997F82">
              <w:rPr>
                <w:rFonts w:asciiTheme="minorHAnsi" w:eastAsia="Times New Roman" w:hAnsiTheme="minorHAnsi" w:cs="Times New Roman"/>
                <w:color w:val="000000"/>
                <w:sz w:val="18"/>
                <w:szCs w:val="18"/>
                <w:lang w:eastAsia="en-AU"/>
              </w:rPr>
              <w:t>Ceased</w:t>
            </w:r>
          </w:p>
        </w:tc>
        <w:tc>
          <w:tcPr>
            <w:tcW w:w="1701" w:type="dxa"/>
            <w:vAlign w:val="center"/>
          </w:tcPr>
          <w:p w14:paraId="5292F627" w14:textId="3D96063C" w:rsidR="00CB7711" w:rsidRPr="00997F82" w:rsidRDefault="00614DC7"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w:t>
            </w:r>
          </w:p>
        </w:tc>
        <w:tc>
          <w:tcPr>
            <w:tcW w:w="1701" w:type="dxa"/>
            <w:vAlign w:val="center"/>
          </w:tcPr>
          <w:p w14:paraId="6AFA066A" w14:textId="4E76D73E" w:rsidR="00CB7711" w:rsidRPr="00997F82" w:rsidRDefault="00614DC7"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18.75%</w:t>
            </w:r>
          </w:p>
        </w:tc>
        <w:tc>
          <w:tcPr>
            <w:tcW w:w="1701" w:type="dxa"/>
            <w:vAlign w:val="center"/>
          </w:tcPr>
          <w:p w14:paraId="14D4FEF5" w14:textId="29D1FD1E" w:rsidR="00CB7711" w:rsidRPr="00997F82" w:rsidRDefault="00EF2E7F"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w:t>
            </w:r>
          </w:p>
        </w:tc>
        <w:tc>
          <w:tcPr>
            <w:tcW w:w="1701" w:type="dxa"/>
            <w:vAlign w:val="center"/>
          </w:tcPr>
          <w:p w14:paraId="4A45A697" w14:textId="2E5ABBE9" w:rsidR="00CB7711" w:rsidRPr="00997F82" w:rsidRDefault="00EF2E7F"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7.69%</w:t>
            </w:r>
          </w:p>
        </w:tc>
      </w:tr>
      <w:tr w:rsidR="0017280B" w:rsidRPr="00997F82" w14:paraId="7A42BE0B" w14:textId="77777777" w:rsidTr="00E376A4">
        <w:trPr>
          <w:trHeight w:val="336"/>
        </w:trPr>
        <w:tc>
          <w:tcPr>
            <w:cnfStyle w:val="001000000000" w:firstRow="0" w:lastRow="0" w:firstColumn="1" w:lastColumn="0" w:oddVBand="0" w:evenVBand="0" w:oddHBand="0" w:evenHBand="0" w:firstRowFirstColumn="0" w:firstRowLastColumn="0" w:lastRowFirstColumn="0" w:lastRowLastColumn="0"/>
            <w:tcW w:w="1701" w:type="dxa"/>
            <w:shd w:val="clear" w:color="auto" w:fill="D9D9D9" w:themeFill="background1" w:themeFillShade="D9"/>
            <w:vAlign w:val="center"/>
          </w:tcPr>
          <w:p w14:paraId="372EB348" w14:textId="77777777" w:rsidR="00CB7711" w:rsidRPr="00997F82" w:rsidRDefault="00CB7711">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TOTAL</w:t>
            </w:r>
          </w:p>
        </w:tc>
        <w:tc>
          <w:tcPr>
            <w:tcW w:w="1701" w:type="dxa"/>
            <w:shd w:val="clear" w:color="auto" w:fill="D9D9D9" w:themeFill="background1" w:themeFillShade="D9"/>
            <w:vAlign w:val="center"/>
          </w:tcPr>
          <w:p w14:paraId="15A0951E" w14:textId="4D1437F4" w:rsidR="00CB7711" w:rsidRPr="00997F82" w:rsidRDefault="002F1C3A"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16</w:t>
            </w:r>
          </w:p>
        </w:tc>
        <w:tc>
          <w:tcPr>
            <w:tcW w:w="1701" w:type="dxa"/>
            <w:shd w:val="clear" w:color="auto" w:fill="D9D9D9" w:themeFill="background1" w:themeFillShade="D9"/>
            <w:vAlign w:val="center"/>
          </w:tcPr>
          <w:p w14:paraId="4C857012" w14:textId="50C7D574" w:rsidR="00CB7711" w:rsidRPr="00997F82" w:rsidRDefault="002F1C3A"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100%</w:t>
            </w:r>
          </w:p>
        </w:tc>
        <w:tc>
          <w:tcPr>
            <w:tcW w:w="1701" w:type="dxa"/>
            <w:shd w:val="clear" w:color="auto" w:fill="D9D9D9" w:themeFill="background1" w:themeFillShade="D9"/>
            <w:vAlign w:val="center"/>
          </w:tcPr>
          <w:p w14:paraId="36294A04" w14:textId="533C4DAA" w:rsidR="00CB7711" w:rsidRPr="00997F82" w:rsidRDefault="002F1C3A"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26</w:t>
            </w:r>
          </w:p>
        </w:tc>
        <w:tc>
          <w:tcPr>
            <w:tcW w:w="1701" w:type="dxa"/>
            <w:shd w:val="clear" w:color="auto" w:fill="D9D9D9" w:themeFill="background1" w:themeFillShade="D9"/>
            <w:vAlign w:val="center"/>
          </w:tcPr>
          <w:p w14:paraId="69094F5F" w14:textId="754825DC" w:rsidR="00CB7711" w:rsidRPr="00997F82" w:rsidRDefault="002F1C3A" w:rsidP="00E376A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color w:val="000000"/>
                <w:sz w:val="18"/>
                <w:szCs w:val="18"/>
                <w:lang w:eastAsia="en-AU"/>
              </w:rPr>
            </w:pPr>
            <w:r w:rsidRPr="00997F82">
              <w:rPr>
                <w:rFonts w:asciiTheme="minorHAnsi" w:eastAsia="Times New Roman" w:hAnsiTheme="minorHAnsi" w:cs="Times New Roman"/>
                <w:b/>
                <w:color w:val="000000"/>
                <w:sz w:val="18"/>
                <w:szCs w:val="18"/>
                <w:lang w:eastAsia="en-AU"/>
              </w:rPr>
              <w:t>100%</w:t>
            </w:r>
          </w:p>
        </w:tc>
      </w:tr>
    </w:tbl>
    <w:p w14:paraId="2513AE07" w14:textId="2ED8FDBC" w:rsidR="00C01D7F" w:rsidRPr="00997F82" w:rsidRDefault="003A6C45" w:rsidP="0060577A">
      <w:pPr>
        <w:rPr>
          <w:sz w:val="16"/>
          <w:szCs w:val="16"/>
        </w:rPr>
      </w:pPr>
      <w:r w:rsidRPr="00997F82">
        <w:rPr>
          <w:sz w:val="16"/>
          <w:szCs w:val="16"/>
        </w:rPr>
        <w:t xml:space="preserve">Note: Planning = still in planning phase; Completed = activity fully implemented; Continuing = activity still being </w:t>
      </w:r>
      <w:r w:rsidR="00D6431E" w:rsidRPr="00997F82">
        <w:rPr>
          <w:sz w:val="16"/>
          <w:szCs w:val="16"/>
        </w:rPr>
        <w:t>delivered</w:t>
      </w:r>
      <w:r w:rsidRPr="00997F82">
        <w:rPr>
          <w:sz w:val="16"/>
          <w:szCs w:val="16"/>
        </w:rPr>
        <w:t>; Ceased = activity commenced but stopped and will not be completed.</w:t>
      </w:r>
    </w:p>
    <w:p w14:paraId="7BC9C5AF" w14:textId="7F4E5946" w:rsidR="007F647A" w:rsidRDefault="00541D78" w:rsidP="007F647A">
      <w:r w:rsidRPr="00997F82">
        <w:t>E</w:t>
      </w:r>
      <w:r w:rsidR="007F647A" w:rsidRPr="00997F82">
        <w:t>nduring challenges to implementation raised through all evaluation tranches, includ</w:t>
      </w:r>
      <w:r w:rsidRPr="00997F82">
        <w:t>ed:</w:t>
      </w:r>
      <w:r w:rsidR="007F647A" w:rsidRPr="00997F82">
        <w:t xml:space="preserve"> resourcing, availability of palliative care project officers and turnover (for both PHNs and health care providers), maintaining stakeholder relationships and engagement, and regional complexity.</w:t>
      </w:r>
      <w:r w:rsidR="007F647A" w:rsidRPr="00997F82">
        <w:rPr>
          <w:rStyle w:val="FootnoteReference"/>
        </w:rPr>
        <w:footnoteReference w:id="32"/>
      </w:r>
      <w:r w:rsidR="007F647A" w:rsidRPr="00997F82">
        <w:t xml:space="preserve"> PHNs also indicated </w:t>
      </w:r>
      <w:r w:rsidR="00C047C0" w:rsidRPr="00997F82">
        <w:t>during</w:t>
      </w:r>
      <w:r w:rsidR="007F647A" w:rsidRPr="00997F82">
        <w:t xml:space="preserve"> consultations that changes to </w:t>
      </w:r>
      <w:r w:rsidR="00C047C0" w:rsidRPr="00997F82">
        <w:t xml:space="preserve">their organisation’s broader strategic direction, shifts in executive leadership and newly announced state-level activities duplicating their projects have all contributed to pivots and changes in program priorities. </w:t>
      </w:r>
      <w:r w:rsidR="007F647A" w:rsidRPr="00997F82">
        <w:t>However, the flexibility of the Program has allowed them to do so relatively quickly.</w:t>
      </w:r>
      <w:r w:rsidR="007F647A" w:rsidRPr="00997F82">
        <w:rPr>
          <w:rStyle w:val="FootnoteReference"/>
        </w:rPr>
        <w:footnoteReference w:id="33"/>
      </w:r>
    </w:p>
    <w:p w14:paraId="215C1FAB" w14:textId="6B3EE497" w:rsidR="006950EE" w:rsidRDefault="006950EE" w:rsidP="006950EE">
      <w:pPr>
        <w:pStyle w:val="IntenseQuote"/>
      </w:pPr>
      <w:r w:rsidRPr="006950EE">
        <w:t xml:space="preserve">“If we had anticipated a 7-year project/program we would have approached GCfAHPC differently, developing a staged approach over the </w:t>
      </w:r>
      <w:proofErr w:type="gramStart"/>
      <w:r w:rsidRPr="006950EE">
        <w:t>time period</w:t>
      </w:r>
      <w:proofErr w:type="gramEnd"/>
      <w:r w:rsidRPr="006950EE">
        <w:t xml:space="preserve"> to execute activities. Short funding cycles create a barrier to engagement. Being able to approach this work with a maturation model in mind over a 7-year period would have been </w:t>
      </w:r>
      <w:proofErr w:type="gramStart"/>
      <w:r w:rsidRPr="006950EE">
        <w:t>fantastic.“</w:t>
      </w:r>
      <w:proofErr w:type="gramEnd"/>
    </w:p>
    <w:p w14:paraId="357E9D91" w14:textId="6C0B9643" w:rsidR="006950EE" w:rsidRPr="002633FD" w:rsidRDefault="006950EE" w:rsidP="002633FD">
      <w:pPr>
        <w:pStyle w:val="IntenseQuote"/>
      </w:pPr>
      <w:r w:rsidRPr="002633FD">
        <w:t>– PHN Survey Respondent</w:t>
      </w:r>
    </w:p>
    <w:p w14:paraId="428ABA6D" w14:textId="6EFA6AC2" w:rsidR="00C765AC" w:rsidRPr="00997F82" w:rsidRDefault="000C3FFF" w:rsidP="00C765AC">
      <w:pPr>
        <w:rPr>
          <w:b/>
          <w:bCs/>
        </w:rPr>
      </w:pPr>
      <w:r w:rsidRPr="00997F82">
        <w:rPr>
          <w:b/>
          <w:bCs/>
        </w:rPr>
        <w:t>Implications</w:t>
      </w:r>
    </w:p>
    <w:p w14:paraId="5F9E954C" w14:textId="03634F2A" w:rsidR="00C765AC" w:rsidRPr="00997F82" w:rsidRDefault="00600127" w:rsidP="00B20C7C">
      <w:pPr>
        <w:pStyle w:val="ListBullet"/>
      </w:pPr>
      <w:r w:rsidRPr="00997F82">
        <w:t xml:space="preserve">PHN activities </w:t>
      </w:r>
      <w:r w:rsidR="000B5E0C" w:rsidRPr="00997F82">
        <w:t>were</w:t>
      </w:r>
      <w:r w:rsidRPr="00997F82">
        <w:t xml:space="preserve"> predominantly implemented as planned across all activity categories</w:t>
      </w:r>
      <w:r w:rsidR="000B5E0C" w:rsidRPr="00997F82">
        <w:t>. This</w:t>
      </w:r>
      <w:r w:rsidRPr="00997F82">
        <w:t xml:space="preserve"> </w:t>
      </w:r>
      <w:r w:rsidR="00F54038" w:rsidRPr="00997F82">
        <w:t>indicate</w:t>
      </w:r>
      <w:r w:rsidR="000B5E0C" w:rsidRPr="00997F82">
        <w:t>s</w:t>
      </w:r>
      <w:r w:rsidRPr="00997F82">
        <w:t xml:space="preserve"> </w:t>
      </w:r>
      <w:r w:rsidR="00F1685A" w:rsidRPr="00997F82">
        <w:t>that needs assessments</w:t>
      </w:r>
      <w:r w:rsidR="001901A4" w:rsidRPr="00997F82">
        <w:t xml:space="preserve"> </w:t>
      </w:r>
      <w:r w:rsidR="00F1685A" w:rsidRPr="00997F82">
        <w:t xml:space="preserve">and </w:t>
      </w:r>
      <w:r w:rsidR="002C0E85" w:rsidRPr="00997F82">
        <w:t xml:space="preserve">particularly, additional </w:t>
      </w:r>
      <w:r w:rsidR="00F1685A" w:rsidRPr="00997F82">
        <w:t xml:space="preserve">local engagement have been </w:t>
      </w:r>
      <w:r w:rsidR="00E1298C" w:rsidRPr="00997F82">
        <w:t>effective in supporting</w:t>
      </w:r>
      <w:r w:rsidR="00F54038" w:rsidRPr="00997F82">
        <w:t xml:space="preserve"> the design and implementation of activities. These grant management processes</w:t>
      </w:r>
      <w:r w:rsidR="001901A4" w:rsidRPr="00997F82">
        <w:t xml:space="preserve">, such as the use of Activity Work Plans, </w:t>
      </w:r>
      <w:r w:rsidR="00F54038" w:rsidRPr="00997F82">
        <w:t>should be strengthened</w:t>
      </w:r>
      <w:r w:rsidR="002C0E85" w:rsidRPr="00997F82">
        <w:t xml:space="preserve"> </w:t>
      </w:r>
      <w:r w:rsidR="0006698B" w:rsidRPr="00997F82">
        <w:t>to support more detailed and strategic planning</w:t>
      </w:r>
      <w:r w:rsidR="00EC3661" w:rsidRPr="00997F82">
        <w:t>. This would</w:t>
      </w:r>
      <w:r w:rsidR="00F54038" w:rsidRPr="00997F82">
        <w:t xml:space="preserve"> reduce the need for PHNs to </w:t>
      </w:r>
      <w:r w:rsidR="002C0E85" w:rsidRPr="00997F82">
        <w:t>conduct additional engagement and pivot activity approaches</w:t>
      </w:r>
      <w:r w:rsidR="00EC3661" w:rsidRPr="00997F82">
        <w:t xml:space="preserve"> mid-delivery</w:t>
      </w:r>
      <w:r w:rsidR="002C0E85" w:rsidRPr="00997F82">
        <w:t>.</w:t>
      </w:r>
    </w:p>
    <w:p w14:paraId="52A0A501" w14:textId="32D5C3BE" w:rsidR="003D6B16" w:rsidRPr="00997F82" w:rsidRDefault="002C0E85" w:rsidP="00B20C7C">
      <w:pPr>
        <w:pStyle w:val="ListBullet"/>
      </w:pPr>
      <w:r w:rsidRPr="00997F82">
        <w:t>There have been enduring challenges to implementation, including workforce capacity, staff turnover, and difficulty building relationships with new stakeholders</w:t>
      </w:r>
      <w:r w:rsidR="00EA06AA" w:rsidRPr="00997F82">
        <w:t xml:space="preserve">. These challenges are consistently observed across the primary care sector and are </w:t>
      </w:r>
      <w:r w:rsidR="003D6B16" w:rsidRPr="00997F82">
        <w:t xml:space="preserve">not unique to this Program. </w:t>
      </w:r>
    </w:p>
    <w:p w14:paraId="14C8F523" w14:textId="0C545510" w:rsidR="003D6B16" w:rsidRPr="00997F82" w:rsidRDefault="002E3D80" w:rsidP="00B20C7C">
      <w:pPr>
        <w:pStyle w:val="ListBullet"/>
      </w:pPr>
      <w:r w:rsidRPr="00997F82">
        <w:t>The program's flexibility has been instrumental, allowing PHNs to adapt their approaches to activities in response to evolving needs and emerging barriers. This unique adaptability, often distinct from other PHN programs, should be retained to continue fostering innovation, facilitating learning, and supporting continuous improvement</w:t>
      </w:r>
      <w:r w:rsidR="00317045" w:rsidRPr="00997F82">
        <w:t>.</w:t>
      </w:r>
    </w:p>
    <w:p w14:paraId="047DB034" w14:textId="3F7534AA" w:rsidR="00602238" w:rsidRPr="00997F82" w:rsidRDefault="00D3745E" w:rsidP="00B20C7C">
      <w:pPr>
        <w:pStyle w:val="ListBullet"/>
      </w:pPr>
      <w:r w:rsidRPr="00997F82">
        <w:t>A</w:t>
      </w:r>
      <w:r w:rsidR="004A2B1D" w:rsidRPr="00997F82">
        <w:t>ctivities that impact p</w:t>
      </w:r>
      <w:r w:rsidR="00096441" w:rsidRPr="00997F82">
        <w:t xml:space="preserve">riority </w:t>
      </w:r>
      <w:r w:rsidR="004A2B1D" w:rsidRPr="00997F82">
        <w:t>p</w:t>
      </w:r>
      <w:r w:rsidR="00096441" w:rsidRPr="00997F82">
        <w:t>opulations and</w:t>
      </w:r>
      <w:r w:rsidR="004A2B1D" w:rsidRPr="00997F82">
        <w:t xml:space="preserve"> improve</w:t>
      </w:r>
      <w:r w:rsidR="00096441" w:rsidRPr="00997F82">
        <w:t xml:space="preserve"> </w:t>
      </w:r>
      <w:r w:rsidR="004A2B1D" w:rsidRPr="00997F82">
        <w:t>c</w:t>
      </w:r>
      <w:r w:rsidR="00096441" w:rsidRPr="00997F82">
        <w:t xml:space="preserve">oordination and </w:t>
      </w:r>
      <w:r w:rsidR="004A2B1D" w:rsidRPr="00997F82">
        <w:t>i</w:t>
      </w:r>
      <w:r w:rsidR="00096441" w:rsidRPr="00997F82">
        <w:t xml:space="preserve">ntegration </w:t>
      </w:r>
      <w:r w:rsidR="00253CFE" w:rsidRPr="00997F82">
        <w:t xml:space="preserve">were </w:t>
      </w:r>
      <w:r w:rsidRPr="00997F82">
        <w:t xml:space="preserve">reported to be </w:t>
      </w:r>
      <w:r w:rsidR="00AD5E1E" w:rsidRPr="00997F82">
        <w:t>more challenging</w:t>
      </w:r>
      <w:r w:rsidR="002D6B11" w:rsidRPr="00997F82">
        <w:t xml:space="preserve"> </w:t>
      </w:r>
      <w:r w:rsidRPr="00997F82">
        <w:t xml:space="preserve">to implement </w:t>
      </w:r>
      <w:r w:rsidR="002D6B11" w:rsidRPr="00997F82">
        <w:t>and less likely to be adopted</w:t>
      </w:r>
      <w:r w:rsidR="00EE5F09" w:rsidRPr="00997F82">
        <w:t xml:space="preserve">. </w:t>
      </w:r>
      <w:r w:rsidR="002D6B11" w:rsidRPr="00997F82">
        <w:t xml:space="preserve">The Grant Opportunity Guidelines could be </w:t>
      </w:r>
      <w:r w:rsidR="00A36FB0" w:rsidRPr="00997F82">
        <w:t xml:space="preserve">updated to </w:t>
      </w:r>
      <w:r w:rsidR="00A536EC" w:rsidRPr="00997F82">
        <w:t>require</w:t>
      </w:r>
      <w:r w:rsidR="004A2B1D" w:rsidRPr="00997F82">
        <w:t xml:space="preserve"> </w:t>
      </w:r>
      <w:r w:rsidR="00A36FB0" w:rsidRPr="00997F82">
        <w:t xml:space="preserve">PHNs to implement </w:t>
      </w:r>
      <w:r w:rsidR="00A536EC" w:rsidRPr="00997F82">
        <w:t>these types of activities,</w:t>
      </w:r>
      <w:r w:rsidR="00192D80" w:rsidRPr="00997F82">
        <w:t xml:space="preserve"> </w:t>
      </w:r>
      <w:r w:rsidR="00FA3CE1" w:rsidRPr="00997F82">
        <w:t xml:space="preserve">while </w:t>
      </w:r>
      <w:r w:rsidR="008040A2" w:rsidRPr="00997F82">
        <w:t xml:space="preserve">leaving flexibility as to other activities </w:t>
      </w:r>
      <w:r w:rsidR="00A46F6B" w:rsidRPr="00997F82">
        <w:t xml:space="preserve">that </w:t>
      </w:r>
      <w:r w:rsidR="008040A2" w:rsidRPr="00997F82">
        <w:t>may be selected</w:t>
      </w:r>
      <w:r w:rsidR="00B25E20" w:rsidRPr="00997F82">
        <w:t>.</w:t>
      </w:r>
      <w:r w:rsidR="00374FB4" w:rsidRPr="00997F82">
        <w:t xml:space="preserve"> </w:t>
      </w:r>
      <w:r w:rsidR="00602238" w:rsidRPr="00997F82">
        <w:br w:type="page"/>
      </w:r>
    </w:p>
    <w:p w14:paraId="7C74823E" w14:textId="0A0ABB00" w:rsidR="00335A62" w:rsidRPr="00997F82" w:rsidRDefault="00335A62" w:rsidP="00277D66">
      <w:pPr>
        <w:pStyle w:val="Heading1"/>
      </w:pPr>
      <w:bookmarkStart w:id="35" w:name="_Toc226898034"/>
      <w:bookmarkStart w:id="36" w:name="_Toc231898085"/>
      <w:r w:rsidRPr="00997F82">
        <w:t>Provider Experience</w:t>
      </w:r>
      <w:bookmarkEnd w:id="35"/>
      <w:bookmarkEnd w:id="36"/>
    </w:p>
    <w:p w14:paraId="2F6636BB" w14:textId="003BE383" w:rsidR="005F0C45" w:rsidRDefault="005828F7" w:rsidP="005F0C45">
      <w:pPr>
        <w:pStyle w:val="Heading2"/>
      </w:pPr>
      <w:bookmarkStart w:id="37" w:name="_Ref202361763"/>
      <w:r w:rsidRPr="00997F82">
        <w:t xml:space="preserve">To what extent has </w:t>
      </w:r>
      <w:r w:rsidR="007076F8" w:rsidRPr="00997F82">
        <w:t>the Program increased workforce knowledge and awareness of palliative care options and services available for individuals</w:t>
      </w:r>
      <w:r w:rsidRPr="00997F82">
        <w:t>?</w:t>
      </w:r>
      <w:bookmarkEnd w:id="37"/>
      <w:r w:rsidRPr="00997F82">
        <w:t xml:space="preserve"> </w:t>
      </w:r>
    </w:p>
    <w:tbl>
      <w:tblPr>
        <w:tblStyle w:val="IMSTable"/>
        <w:tblW w:w="0" w:type="auto"/>
        <w:tblLook w:val="06E0" w:firstRow="1" w:lastRow="1" w:firstColumn="1" w:lastColumn="0" w:noHBand="1" w:noVBand="1"/>
      </w:tblPr>
      <w:tblGrid>
        <w:gridCol w:w="9027"/>
      </w:tblGrid>
      <w:tr w:rsidR="005F0C45" w14:paraId="58E58B0A" w14:textId="77777777" w:rsidTr="005F0C45">
        <w:trPr>
          <w:cnfStyle w:val="100000000000" w:firstRow="1" w:lastRow="0" w:firstColumn="0" w:lastColumn="0" w:oddVBand="0" w:evenVBand="0" w:oddHBand="0" w:evenHBand="0" w:firstRowFirstColumn="0" w:firstRowLastColumn="0" w:lastRowFirstColumn="0" w:lastRowLastColumn="0"/>
        </w:trPr>
        <w:tc>
          <w:tcPr>
            <w:tcW w:w="9027" w:type="dxa"/>
          </w:tcPr>
          <w:p w14:paraId="4F004861" w14:textId="5B1789CA" w:rsidR="005F0C45" w:rsidRDefault="005F0C45" w:rsidP="005F0C45">
            <w:r w:rsidRPr="005F0C45">
              <w:t>Key finding</w:t>
            </w:r>
          </w:p>
        </w:tc>
      </w:tr>
      <w:tr w:rsidR="005F0C45" w14:paraId="0A86BE92" w14:textId="77777777" w:rsidTr="005F0C45">
        <w:tc>
          <w:tcPr>
            <w:tcW w:w="9027" w:type="dxa"/>
          </w:tcPr>
          <w:p w14:paraId="7913E009" w14:textId="62EBD634" w:rsidR="005F0C45" w:rsidRDefault="005F0C45" w:rsidP="005F0C45">
            <w:r w:rsidRPr="005F0C45">
              <w:t>Data indicates that PHN activities have significantly contributed to increased workforce knowledge and awareness of palliative care options and services. However, there are still improvements to be made to capturing to what extent this is leading to changed behaviours and practices during clinical delivery.</w:t>
            </w:r>
          </w:p>
        </w:tc>
      </w:tr>
      <w:tr w:rsidR="005F0C45" w14:paraId="19888251" w14:textId="77777777" w:rsidTr="005F0C45">
        <w:trPr>
          <w:cnfStyle w:val="010000000000" w:firstRow="0" w:lastRow="1" w:firstColumn="0" w:lastColumn="0" w:oddVBand="0" w:evenVBand="0" w:oddHBand="0" w:evenHBand="0" w:firstRowFirstColumn="0" w:firstRowLastColumn="0" w:lastRowFirstColumn="0" w:lastRowLastColumn="0"/>
        </w:trPr>
        <w:tc>
          <w:tcPr>
            <w:tcW w:w="9027" w:type="dxa"/>
          </w:tcPr>
          <w:p w14:paraId="6E499FE8" w14:textId="75D78B44" w:rsidR="005F0C45" w:rsidRDefault="005F0C45" w:rsidP="005F0C45">
            <w:pPr>
              <w:pStyle w:val="Tablefooterwhite"/>
            </w:pPr>
            <w:r w:rsidRPr="005F0C45">
              <w:t>Overall, evidence indicates strong progress in this area</w:t>
            </w:r>
          </w:p>
        </w:tc>
      </w:tr>
    </w:tbl>
    <w:p w14:paraId="01C05FCC" w14:textId="60569720" w:rsidR="00CD0C99" w:rsidRPr="00997F82" w:rsidRDefault="00CD0C99" w:rsidP="00B20C7C">
      <w:pPr>
        <w:pStyle w:val="Heading3"/>
      </w:pPr>
      <w:r w:rsidRPr="00997F82">
        <w:t>Background</w:t>
      </w:r>
    </w:p>
    <w:p w14:paraId="7F86BE33" w14:textId="6E4669FD" w:rsidR="00FB3BD5" w:rsidRPr="00997F82" w:rsidRDefault="0087627C" w:rsidP="00CD0C99">
      <w:r w:rsidRPr="00997F82">
        <w:t xml:space="preserve">The palliative care workforce is diverse, </w:t>
      </w:r>
      <w:r w:rsidR="005A73E2" w:rsidRPr="00997F82">
        <w:t xml:space="preserve">comprising </w:t>
      </w:r>
      <w:r w:rsidR="00AA04D1" w:rsidRPr="00997F82">
        <w:t xml:space="preserve">physicians, nurses, </w:t>
      </w:r>
      <w:r w:rsidRPr="00997F82">
        <w:t>general practitioners,</w:t>
      </w:r>
      <w:r w:rsidR="0037729F" w:rsidRPr="00997F82">
        <w:t xml:space="preserve"> pharmacists, </w:t>
      </w:r>
      <w:r w:rsidRPr="00997F82">
        <w:t>social workers, occupational therapists, physiotherapists, other allied health professionals, RACH staff, home care provider</w:t>
      </w:r>
      <w:r w:rsidR="003146BE" w:rsidRPr="00997F82">
        <w:t>s</w:t>
      </w:r>
      <w:r w:rsidRPr="00997F82">
        <w:t xml:space="preserve">, </w:t>
      </w:r>
      <w:r w:rsidR="0037729F" w:rsidRPr="00997F82">
        <w:t>disability</w:t>
      </w:r>
      <w:r w:rsidRPr="00997F82">
        <w:t xml:space="preserve"> carer</w:t>
      </w:r>
      <w:r w:rsidR="0037729F" w:rsidRPr="00997F82">
        <w:t>s,</w:t>
      </w:r>
      <w:r w:rsidRPr="00997F82">
        <w:t xml:space="preserve"> volunteer</w:t>
      </w:r>
      <w:r w:rsidR="007E5CA8" w:rsidRPr="00997F82">
        <w:t>s</w:t>
      </w:r>
      <w:r w:rsidR="00754270" w:rsidRPr="00997F82">
        <w:t xml:space="preserve"> and the unpaid care work</w:t>
      </w:r>
      <w:r w:rsidR="003146BE" w:rsidRPr="00997F82">
        <w:t>force caring for people at home</w:t>
      </w:r>
      <w:r w:rsidRPr="00997F82">
        <w:t xml:space="preserve">. </w:t>
      </w:r>
      <w:r w:rsidR="00216C4C" w:rsidRPr="00997F82">
        <w:t xml:space="preserve">The full </w:t>
      </w:r>
      <w:r w:rsidR="00FB0CC6" w:rsidRPr="00997F82">
        <w:t xml:space="preserve">scale </w:t>
      </w:r>
      <w:r w:rsidR="00216C4C" w:rsidRPr="00997F82">
        <w:t>of the palliative care workforce is difficult to quantify</w:t>
      </w:r>
      <w:r w:rsidR="00454C5A" w:rsidRPr="00997F82">
        <w:t>;</w:t>
      </w:r>
      <w:r w:rsidR="004F74DD" w:rsidRPr="00997F82">
        <w:t xml:space="preserve"> however, </w:t>
      </w:r>
      <w:r w:rsidR="00F0035A" w:rsidRPr="00997F82">
        <w:t>as of 2022 there were approximately 300 full-time equivalent positions for Palliative Medicine Physicians (1.2 per 100,000 population), and around 3,700 palliative care nurses (13 per 100,000 population).</w:t>
      </w:r>
      <w:r w:rsidR="00F0035A" w:rsidRPr="00997F82">
        <w:rPr>
          <w:rStyle w:val="FootnoteReference"/>
        </w:rPr>
        <w:footnoteReference w:id="34"/>
      </w:r>
      <w:r w:rsidR="00F0035A" w:rsidRPr="00997F82">
        <w:t xml:space="preserve"> </w:t>
      </w:r>
      <w:r w:rsidR="00F37822" w:rsidRPr="00997F82">
        <w:t>While a</w:t>
      </w:r>
      <w:r w:rsidR="004F74DD" w:rsidRPr="00997F82">
        <w:t xml:space="preserve">ll </w:t>
      </w:r>
      <w:r w:rsidR="00686D50" w:rsidRPr="00997F82">
        <w:t xml:space="preserve">members of this </w:t>
      </w:r>
      <w:r w:rsidR="00454C5A" w:rsidRPr="00997F82">
        <w:t>workforce</w:t>
      </w:r>
      <w:r w:rsidR="00FE4F8E" w:rsidRPr="00997F82">
        <w:t xml:space="preserve"> have a role in helping individuals and carers understand their</w:t>
      </w:r>
      <w:r w:rsidR="009C6B6D" w:rsidRPr="00997F82">
        <w:t xml:space="preserve"> options around palliative and EOLC</w:t>
      </w:r>
      <w:r w:rsidR="00F37822" w:rsidRPr="00997F82">
        <w:t xml:space="preserve">, the primary care workforce play a critical role as a point of entry. For example, </w:t>
      </w:r>
      <w:r w:rsidR="00335BC8" w:rsidRPr="00997F82">
        <w:t>GPs prescribed 90% of palliative care-related medications in 2023-24.</w:t>
      </w:r>
      <w:r w:rsidR="00F37822" w:rsidRPr="00997F82">
        <w:rPr>
          <w:rStyle w:val="FootnoteReference"/>
        </w:rPr>
        <w:footnoteReference w:id="35"/>
      </w:r>
    </w:p>
    <w:p w14:paraId="09884CCA" w14:textId="3CA3F3F1" w:rsidR="0089620B" w:rsidRPr="00997F82" w:rsidRDefault="00B35B10" w:rsidP="00CD0C99">
      <w:r w:rsidRPr="00997F82">
        <w:t xml:space="preserve">Education efforts </w:t>
      </w:r>
      <w:r w:rsidR="00632D70" w:rsidRPr="00997F82">
        <w:t xml:space="preserve">by all PHNs </w:t>
      </w:r>
      <w:r w:rsidRPr="00997F82">
        <w:t xml:space="preserve">have </w:t>
      </w:r>
      <w:r w:rsidR="00345894" w:rsidRPr="00997F82">
        <w:t>aimed to</w:t>
      </w:r>
      <w:r w:rsidRPr="00997F82">
        <w:t xml:space="preserve"> </w:t>
      </w:r>
      <w:r w:rsidR="00345894" w:rsidRPr="00997F82">
        <w:t>increase</w:t>
      </w:r>
      <w:r w:rsidRPr="00997F82">
        <w:t xml:space="preserve"> workforce knowledge of </w:t>
      </w:r>
      <w:r w:rsidR="003D3EB0" w:rsidRPr="00997F82">
        <w:t>ACP</w:t>
      </w:r>
      <w:r w:rsidR="00AF64D2" w:rsidRPr="00997F82">
        <w:t>,</w:t>
      </w:r>
      <w:r w:rsidR="000F33DC" w:rsidRPr="00997F82">
        <w:t xml:space="preserve"> </w:t>
      </w:r>
      <w:r w:rsidR="006D2930" w:rsidRPr="00997F82">
        <w:t>earlier identification</w:t>
      </w:r>
      <w:r w:rsidR="00912C35" w:rsidRPr="00997F82">
        <w:t xml:space="preserve"> </w:t>
      </w:r>
      <w:r w:rsidR="00A775F9" w:rsidRPr="00997F82">
        <w:t>of palliative</w:t>
      </w:r>
      <w:r w:rsidR="000F33DC" w:rsidRPr="00997F82">
        <w:t xml:space="preserve"> </w:t>
      </w:r>
      <w:r w:rsidR="006D2930" w:rsidRPr="00997F82">
        <w:t>patients</w:t>
      </w:r>
      <w:r w:rsidR="00345894" w:rsidRPr="00997F82">
        <w:t xml:space="preserve">, </w:t>
      </w:r>
      <w:r w:rsidR="003A22A6" w:rsidRPr="00997F82">
        <w:t xml:space="preserve">and </w:t>
      </w:r>
      <w:r w:rsidR="001B68D0" w:rsidRPr="00997F82">
        <w:t xml:space="preserve">reduce </w:t>
      </w:r>
      <w:r w:rsidR="003A22A6" w:rsidRPr="00997F82">
        <w:t xml:space="preserve">deterioration in </w:t>
      </w:r>
      <w:r w:rsidR="00746F65" w:rsidRPr="00997F82">
        <w:t>health</w:t>
      </w:r>
      <w:r w:rsidR="000F33DC" w:rsidRPr="00997F82">
        <w:t>, before</w:t>
      </w:r>
      <w:r w:rsidRPr="00997F82">
        <w:t xml:space="preserve"> </w:t>
      </w:r>
      <w:r w:rsidR="00345894" w:rsidRPr="00997F82">
        <w:t xml:space="preserve">individuals require more intensive </w:t>
      </w:r>
      <w:r w:rsidR="00D065FE" w:rsidRPr="00997F82">
        <w:t>end of life care</w:t>
      </w:r>
      <w:r w:rsidR="00345894" w:rsidRPr="00997F82">
        <w:t xml:space="preserve">. </w:t>
      </w:r>
    </w:p>
    <w:p w14:paraId="05CDFACF" w14:textId="73258C61" w:rsidR="00A775F9" w:rsidRPr="00997F82" w:rsidRDefault="00CD0C99" w:rsidP="00B20C7C">
      <w:pPr>
        <w:pStyle w:val="Heading3"/>
      </w:pPr>
      <w:r w:rsidRPr="00997F82">
        <w:t>Findings</w:t>
      </w:r>
    </w:p>
    <w:p w14:paraId="5B2531F4" w14:textId="121BDF12" w:rsidR="00D751DC" w:rsidRPr="00997F82" w:rsidRDefault="00BB03FC" w:rsidP="00317D02">
      <w:r w:rsidRPr="00997F82">
        <w:t xml:space="preserve">At Endpoint, </w:t>
      </w:r>
      <w:r w:rsidR="00632D70" w:rsidRPr="00997F82">
        <w:t>a survey was distributed to</w:t>
      </w:r>
      <w:r w:rsidRPr="00997F82">
        <w:t xml:space="preserve"> providers involved in Program activities or events. 191 responses were received, though not all questions were answered. The survey showed that 56% (47/84)</w:t>
      </w:r>
      <w:r w:rsidR="009E20BC" w:rsidRPr="00997F82">
        <w:t xml:space="preserve"> of providers</w:t>
      </w:r>
      <w:r w:rsidRPr="00997F82">
        <w:t xml:space="preserve"> had undertaken Program-related training or education. Additionally, 76% (72/84) agreed or strongly agreed they were aware of local palliative care service options, while 44% (60/137) reported limited understanding of the Program’s objectives and outcomes</w:t>
      </w:r>
      <w:r w:rsidR="00317D02" w:rsidRPr="00997F82">
        <w:t>.</w:t>
      </w:r>
      <w:r w:rsidR="00F12839" w:rsidRPr="00997F82">
        <w:rPr>
          <w:rStyle w:val="FootnoteReference"/>
        </w:rPr>
        <w:footnoteReference w:id="36"/>
      </w:r>
      <w:r w:rsidR="0092283A" w:rsidRPr="00997F82">
        <w:t xml:space="preserve"> </w:t>
      </w:r>
    </w:p>
    <w:p w14:paraId="430689E6" w14:textId="52497EE5" w:rsidR="00982D67" w:rsidRPr="00997F82" w:rsidRDefault="00235520" w:rsidP="004B2CE0">
      <w:pPr>
        <w:rPr>
          <w:vertAlign w:val="superscript"/>
        </w:rPr>
      </w:pPr>
      <w:r w:rsidRPr="00997F82">
        <w:t>When asked what improvements had been made to services</w:t>
      </w:r>
      <w:r w:rsidR="001815B2" w:rsidRPr="00997F82">
        <w:t xml:space="preserve"> because of the Program</w:t>
      </w:r>
      <w:r w:rsidRPr="00997F82">
        <w:t xml:space="preserve">, service providers </w:t>
      </w:r>
      <w:r w:rsidR="00DB07D7" w:rsidRPr="00997F82">
        <w:t>remarked</w:t>
      </w:r>
      <w:r w:rsidR="001815B2" w:rsidRPr="00997F82">
        <w:t xml:space="preserve"> </w:t>
      </w:r>
      <w:r w:rsidR="00EA4E76" w:rsidRPr="00997F82">
        <w:t xml:space="preserve">that working with PHNs </w:t>
      </w:r>
      <w:r w:rsidR="00815A1F" w:rsidRPr="00997F82">
        <w:t>ha</w:t>
      </w:r>
      <w:r w:rsidR="00984149" w:rsidRPr="00997F82">
        <w:t>d</w:t>
      </w:r>
      <w:r w:rsidR="00EA4E76" w:rsidRPr="00997F82">
        <w:t xml:space="preserve"> </w:t>
      </w:r>
      <w:r w:rsidR="00462B9B" w:rsidRPr="00997F82">
        <w:t xml:space="preserve">led to </w:t>
      </w:r>
      <w:r w:rsidR="005F7103" w:rsidRPr="00997F82">
        <w:t>improved</w:t>
      </w:r>
      <w:r w:rsidR="00EA4E76" w:rsidRPr="00997F82">
        <w:t xml:space="preserve"> </w:t>
      </w:r>
      <w:r w:rsidR="005344C0" w:rsidRPr="00997F82">
        <w:t xml:space="preserve">regional </w:t>
      </w:r>
      <w:r w:rsidR="00EA4E76" w:rsidRPr="00997F82">
        <w:t>networks</w:t>
      </w:r>
      <w:r w:rsidR="006D3795" w:rsidRPr="00997F82">
        <w:t xml:space="preserve"> for palliative care</w:t>
      </w:r>
      <w:r w:rsidR="005344C0" w:rsidRPr="00997F82">
        <w:t xml:space="preserve">. </w:t>
      </w:r>
      <w:r w:rsidR="00815A1F" w:rsidRPr="00997F82">
        <w:t xml:space="preserve">Similarly, knowledge </w:t>
      </w:r>
      <w:r w:rsidR="001815B2" w:rsidRPr="00997F82">
        <w:t>of</w:t>
      </w:r>
      <w:r w:rsidR="00815A1F" w:rsidRPr="00997F82">
        <w:t xml:space="preserve"> ACP</w:t>
      </w:r>
      <w:r w:rsidR="00B93854" w:rsidRPr="00997F82">
        <w:t xml:space="preserve"> </w:t>
      </w:r>
      <w:r w:rsidR="001815B2" w:rsidRPr="00997F82">
        <w:t xml:space="preserve">and access to </w:t>
      </w:r>
      <w:r w:rsidR="00483774" w:rsidRPr="00997F82">
        <w:t>information and</w:t>
      </w:r>
      <w:r w:rsidR="001815B2" w:rsidRPr="00997F82">
        <w:t xml:space="preserve"> resources </w:t>
      </w:r>
      <w:r w:rsidR="00F32834" w:rsidRPr="00997F82">
        <w:t xml:space="preserve">were </w:t>
      </w:r>
      <w:r w:rsidR="00D7654D" w:rsidRPr="00997F82">
        <w:t xml:space="preserve">noted </w:t>
      </w:r>
      <w:r w:rsidR="00F32834" w:rsidRPr="00997F82">
        <w:t xml:space="preserve">to </w:t>
      </w:r>
      <w:r w:rsidR="001815B2" w:rsidRPr="00997F82">
        <w:t>have been particularly helpful.</w:t>
      </w:r>
      <w:r w:rsidR="006D3BF8" w:rsidRPr="00997F82">
        <w:rPr>
          <w:vertAlign w:val="superscript"/>
        </w:rPr>
        <w:t>27</w:t>
      </w:r>
      <w:r w:rsidR="00632D70" w:rsidRPr="00997F82">
        <w:rPr>
          <w:vertAlign w:val="superscript"/>
        </w:rPr>
        <w:t xml:space="preserve"> </w:t>
      </w:r>
    </w:p>
    <w:p w14:paraId="1F381757" w14:textId="631178C1" w:rsidR="00982D67" w:rsidRPr="00B20C7C" w:rsidRDefault="00982D67" w:rsidP="00B20C7C">
      <w:pPr>
        <w:pStyle w:val="IntenseQuote"/>
      </w:pPr>
      <w:r w:rsidRPr="00B20C7C">
        <w:t xml:space="preserve">“… I have learned a great deal more about the use of medicines in palliative care and have a deeper understanding of the care and services/service providers </w:t>
      </w:r>
      <w:proofErr w:type="gramStart"/>
      <w:r w:rsidRPr="00B20C7C">
        <w:t>available.-</w:t>
      </w:r>
      <w:proofErr w:type="gramEnd"/>
      <w:r w:rsidRPr="00B20C7C">
        <w:t xml:space="preserve"> Community pharmacy </w:t>
      </w:r>
    </w:p>
    <w:p w14:paraId="271CC0AE" w14:textId="4644EA61" w:rsidR="00982D67" w:rsidRPr="00997F82" w:rsidRDefault="003D5DF9" w:rsidP="004B2CE0">
      <w:r w:rsidRPr="00997F82">
        <w:t>S</w:t>
      </w:r>
      <w:r w:rsidR="00632D70" w:rsidRPr="00997F82">
        <w:t>everal respondents to the Endpoint service provider survey conveyed that</w:t>
      </w:r>
      <w:r w:rsidR="00D7654D" w:rsidRPr="00997F82">
        <w:t>,</w:t>
      </w:r>
      <w:r w:rsidR="00632D70" w:rsidRPr="00997F82">
        <w:t xml:space="preserve"> while activities focused on building skills in primary care were useful in terms of knowledge development, this did not mean it would be applied in behaviour and practice.</w:t>
      </w:r>
    </w:p>
    <w:p w14:paraId="180AD735" w14:textId="6BE0F3AC" w:rsidR="00632D70" w:rsidRPr="00997F82" w:rsidRDefault="00FB3C84" w:rsidP="004B2CE0">
      <w:r w:rsidRPr="00997F82">
        <w:t xml:space="preserve">PHNs </w:t>
      </w:r>
      <w:r w:rsidR="007F1958" w:rsidRPr="00997F82">
        <w:t xml:space="preserve">also </w:t>
      </w:r>
      <w:r w:rsidRPr="00997F82">
        <w:t xml:space="preserve">emphasised this in consultations, noting follow up was </w:t>
      </w:r>
      <w:r w:rsidR="002224CC" w:rsidRPr="00997F82">
        <w:t xml:space="preserve">required to try to understand the impact of knowledge building activities, and there wasn’t always </w:t>
      </w:r>
      <w:r w:rsidRPr="00997F82">
        <w:t>time or capacity to do this in the way they would have liked.</w:t>
      </w:r>
      <w:r w:rsidRPr="00997F82">
        <w:rPr>
          <w:rStyle w:val="FootnoteReference"/>
        </w:rPr>
        <w:footnoteReference w:id="37"/>
      </w:r>
    </w:p>
    <w:p w14:paraId="261DA3A2" w14:textId="73AB81A4" w:rsidR="00FC6C9F" w:rsidRPr="00997F82" w:rsidRDefault="00982D67" w:rsidP="006805E3">
      <w:r w:rsidRPr="00997F82">
        <w:t>This is exacerbated by a lack of clarity around roles and responsibilities within palliative care. While service providers expressed interest and enthusiasm for learning about palliative care, consultations revealed confusion regarding the distinct roles and responsibilities of various provider types when delivering palliative care.</w:t>
      </w:r>
      <w:r w:rsidR="00055C98" w:rsidRPr="00997F82">
        <w:t xml:space="preserve"> </w:t>
      </w:r>
    </w:p>
    <w:p w14:paraId="72DF907F" w14:textId="77777777" w:rsidR="00B20C7C" w:rsidRDefault="00B20C7C" w:rsidP="00B20C7C">
      <w:pPr>
        <w:pStyle w:val="IntenseQuote"/>
      </w:pPr>
      <w:r>
        <w:t>“Everyone thinks it’s someone else’s job, and assumes someone else will do that”</w:t>
      </w:r>
    </w:p>
    <w:p w14:paraId="6A255305" w14:textId="05B75439" w:rsidR="00B20C7C" w:rsidRDefault="00B20C7C" w:rsidP="00B20C7C">
      <w:pPr>
        <w:pStyle w:val="IntenseQuote"/>
      </w:pPr>
      <w:r>
        <w:t>- Service Provider Consultations</w:t>
      </w:r>
    </w:p>
    <w:p w14:paraId="4846F0E1" w14:textId="150E8C34" w:rsidR="00B215E2" w:rsidRPr="00997F82" w:rsidRDefault="0084596F" w:rsidP="00B215E2">
      <w:pPr>
        <w:rPr>
          <w:rFonts w:asciiTheme="minorHAnsi" w:hAnsiTheme="minorHAnsi"/>
          <w:i/>
          <w:sz w:val="16"/>
          <w:szCs w:val="16"/>
        </w:rPr>
      </w:pPr>
      <w:r w:rsidRPr="00997F82">
        <w:t>Based on</w:t>
      </w:r>
      <w:r w:rsidR="005D0B99" w:rsidRPr="00997F82">
        <w:t xml:space="preserve"> internal attendance data and evaluations</w:t>
      </w:r>
      <w:r w:rsidR="00FB04C6" w:rsidRPr="00997F82">
        <w:t xml:space="preserve"> provided by PHNs, it is estimated that </w:t>
      </w:r>
      <w:r w:rsidR="00D02C2A" w:rsidRPr="00997F82">
        <w:t xml:space="preserve">PHN </w:t>
      </w:r>
      <w:r w:rsidR="00632D70" w:rsidRPr="00997F82">
        <w:t>w</w:t>
      </w:r>
      <w:r w:rsidR="00D02C2A" w:rsidRPr="00997F82">
        <w:t xml:space="preserve">orkforce </w:t>
      </w:r>
      <w:r w:rsidR="000B2877" w:rsidRPr="00997F82">
        <w:t>education and awareness</w:t>
      </w:r>
      <w:r w:rsidR="000A4E9F" w:rsidRPr="00997F82">
        <w:t xml:space="preserve"> activities</w:t>
      </w:r>
      <w:r w:rsidR="000B2877" w:rsidRPr="00997F82">
        <w:t xml:space="preserve"> </w:t>
      </w:r>
      <w:r w:rsidR="00017EEA" w:rsidRPr="00997F82">
        <w:t>reach</w:t>
      </w:r>
      <w:r w:rsidR="000A4E9F" w:rsidRPr="00997F82">
        <w:t>ed</w:t>
      </w:r>
      <w:r w:rsidR="00017EEA" w:rsidRPr="00997F82">
        <w:t xml:space="preserve"> at least </w:t>
      </w:r>
      <w:r w:rsidR="00FE1F4E" w:rsidRPr="00997F82">
        <w:t>5</w:t>
      </w:r>
      <w:r w:rsidR="00C80F40" w:rsidRPr="00997F82">
        <w:t>,</w:t>
      </w:r>
      <w:r w:rsidR="00FE1F4E" w:rsidRPr="00997F82">
        <w:t>540 health professionals</w:t>
      </w:r>
      <w:r w:rsidR="00770FF7" w:rsidRPr="00997F82">
        <w:t xml:space="preserve">. This included GPs, </w:t>
      </w:r>
      <w:r w:rsidR="00FF5C2B" w:rsidRPr="00997F82">
        <w:t xml:space="preserve">nurses, allied health, RACH staff, </w:t>
      </w:r>
      <w:r w:rsidR="002A4615" w:rsidRPr="00997F82">
        <w:t>home care workers, and volunteer</w:t>
      </w:r>
      <w:r w:rsidR="00E81621" w:rsidRPr="00997F82">
        <w:t xml:space="preserve"> </w:t>
      </w:r>
      <w:r w:rsidR="007A3CD8" w:rsidRPr="00997F82">
        <w:t>workforce. Post</w:t>
      </w:r>
      <w:r w:rsidR="007224B8" w:rsidRPr="00997F82">
        <w:t>-event survey feedback from service providers indicated PHN education events were well received. Across all surveyed events, 74.5% said their understanding of death improved, and 63.8% reported better understanding of palliative care. Many also highlighted the value of face-to-face interactions in raising awareness and addressing challenges with ACP documentation, noting these sessions helped share knowledge and clarify gaps.</w:t>
      </w:r>
    </w:p>
    <w:p w14:paraId="33715A54" w14:textId="1C9D8FA1" w:rsidR="00AC4DAE" w:rsidRPr="00997F82" w:rsidRDefault="00AC4DAE" w:rsidP="00AC4DAE">
      <w:r w:rsidRPr="00997F82">
        <w:t xml:space="preserve">It is important to note that feedback forms were often tailored to specific events and </w:t>
      </w:r>
      <w:r w:rsidR="0092561C" w:rsidRPr="00997F82">
        <w:t xml:space="preserve">did not always include </w:t>
      </w:r>
      <w:r w:rsidRPr="00997F82">
        <w:t xml:space="preserve">explicit questions relating to improved understanding of palliative care. </w:t>
      </w:r>
      <w:r w:rsidR="0092561C" w:rsidRPr="00997F82">
        <w:t xml:space="preserve">Similarly, not </w:t>
      </w:r>
      <w:r w:rsidRPr="00997F82">
        <w:t>all feedback forms used at PHN events gave options to ‘disagree’ or ‘strongly disagree’ when asking for feedback.</w:t>
      </w:r>
    </w:p>
    <w:p w14:paraId="2D2F1F62" w14:textId="270A37E6" w:rsidR="00C32407" w:rsidRPr="00997F82" w:rsidRDefault="005643E4" w:rsidP="00B20C7C">
      <w:pPr>
        <w:pStyle w:val="Caption"/>
      </w:pPr>
      <w:bookmarkStart w:id="38" w:name="_Ref202800445"/>
      <w:r w:rsidRPr="00997F82">
        <w:t xml:space="preserve">Figure </w:t>
      </w:r>
      <w:r w:rsidR="006558E4" w:rsidRPr="00997F82">
        <w:fldChar w:fldCharType="begin"/>
      </w:r>
      <w:r w:rsidR="006558E4" w:rsidRPr="00997F82">
        <w:instrText xml:space="preserve"> SEQ Figure \* ARABIC </w:instrText>
      </w:r>
      <w:r w:rsidR="006558E4" w:rsidRPr="00997F82">
        <w:fldChar w:fldCharType="separate"/>
      </w:r>
      <w:r w:rsidR="00735424">
        <w:rPr>
          <w:noProof/>
        </w:rPr>
        <w:t>4</w:t>
      </w:r>
      <w:r w:rsidR="006558E4" w:rsidRPr="00997F82">
        <w:fldChar w:fldCharType="end"/>
      </w:r>
      <w:bookmarkEnd w:id="38"/>
      <w:r w:rsidRPr="00997F82">
        <w:t xml:space="preserve">: </w:t>
      </w:r>
      <w:r w:rsidR="00C3019E" w:rsidRPr="00997F82">
        <w:t xml:space="preserve">Self-reported </w:t>
      </w:r>
      <w:r w:rsidR="001066DE" w:rsidRPr="00997F82">
        <w:t>i</w:t>
      </w:r>
      <w:r w:rsidR="00B43FB7" w:rsidRPr="00997F82">
        <w:t xml:space="preserve">mprovements in knowledge </w:t>
      </w:r>
      <w:r w:rsidR="00C3019E" w:rsidRPr="00997F82">
        <w:t xml:space="preserve">post workforce awareness and education </w:t>
      </w:r>
      <w:r w:rsidR="000B5241" w:rsidRPr="00997F82">
        <w:t>activities</w:t>
      </w:r>
      <w:r w:rsidRPr="00997F82">
        <w:t>.</w:t>
      </w:r>
      <w:r w:rsidR="00C32407" w:rsidRPr="00997F82">
        <w:t xml:space="preserve"> </w:t>
      </w:r>
      <w:r w:rsidR="00C32407" w:rsidRPr="00997F82">
        <w:rPr>
          <w:noProof/>
        </w:rPr>
        <w:drawing>
          <wp:inline distT="0" distB="0" distL="0" distR="0" wp14:anchorId="7E696F8A" wp14:editId="379C056C">
            <wp:extent cx="5383033" cy="2076120"/>
            <wp:effectExtent l="0" t="0" r="8255" b="635"/>
            <wp:docPr id="2128378623" name="Picture 1" descr="Figure 4 displays two bar charts illustrating self-reported improvements in knowledge following workforce awareness and education activities.&#10;&#10;The first chart (n=51) shows:&#10;&#10;74.5% Strongly Agree that the activity improved their understanding of death.&#10;&#10;25.9% Agree that the activity improved their understanding of death.&#10;&#10;The second chart (n=359) shows:&#10;&#10;63.8% Strongly Agree that the activity improved their understanding of palliative care.&#10;&#10;31.5% Agree that the activity improved their understanding of palliative care.&#10;&#10;4.5% Disagree that the activity improved their understanding of palliative care.&#10;&#10;0% Strongly Disagree that the activity improved their understanding of palliative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78623" name="Picture 1" descr="Figure 4 displays two bar charts illustrating self-reported improvements in knowledge following workforce awareness and education activities.&#10;&#10;The first chart (n=51) shows:&#10;&#10;74.5% Strongly Agree that the activity improved their understanding of death.&#10;&#10;25.9% Agree that the activity improved their understanding of death.&#10;&#10;The second chart (n=359) shows:&#10;&#10;63.8% Strongly Agree that the activity improved their understanding of palliative care.&#10;&#10;31.5% Agree that the activity improved their understanding of palliative care.&#10;&#10;4.5% Disagree that the activity improved their understanding of palliative care.&#10;&#10;0% Strongly Disagree that the activity improved their understanding of palliative care."/>
                    <pic:cNvPicPr/>
                  </pic:nvPicPr>
                  <pic:blipFill>
                    <a:blip r:embed="rId23"/>
                    <a:stretch>
                      <a:fillRect/>
                    </a:stretch>
                  </pic:blipFill>
                  <pic:spPr>
                    <a:xfrm>
                      <a:off x="0" y="0"/>
                      <a:ext cx="5410521" cy="2086722"/>
                    </a:xfrm>
                    <a:prstGeom prst="rect">
                      <a:avLst/>
                    </a:prstGeom>
                  </pic:spPr>
                </pic:pic>
              </a:graphicData>
            </a:graphic>
          </wp:inline>
        </w:drawing>
      </w:r>
    </w:p>
    <w:p w14:paraId="7DBA1356" w14:textId="73AAB80F" w:rsidR="0016387E" w:rsidRPr="00997F82" w:rsidRDefault="00B47ADF" w:rsidP="0016387E">
      <w:r w:rsidRPr="00997F82">
        <w:t xml:space="preserve">However, from service provider perspectives gained above, </w:t>
      </w:r>
      <w:r w:rsidR="0016387E" w:rsidRPr="00997F82">
        <w:t>it is not possible to determine to what extent improved knowledge and awareness translates to changed behaviours and practice which could be better captured in future workforce surveys.</w:t>
      </w:r>
    </w:p>
    <w:p w14:paraId="1B4C4C85" w14:textId="227ADB89" w:rsidR="005C53F5" w:rsidRPr="00997F82" w:rsidRDefault="002224CC" w:rsidP="004B2CE0">
      <w:r w:rsidRPr="00997F82">
        <w:t xml:space="preserve">Education and awareness can also be influenced by the access service providers have to updated information and referral guidance. </w:t>
      </w:r>
      <w:r w:rsidR="00D71F62" w:rsidRPr="00997F82">
        <w:t xml:space="preserve">17 </w:t>
      </w:r>
      <w:r w:rsidR="0041024F" w:rsidRPr="00997F82">
        <w:t xml:space="preserve">PHNs </w:t>
      </w:r>
      <w:r w:rsidRPr="00997F82">
        <w:t xml:space="preserve">have </w:t>
      </w:r>
      <w:r w:rsidR="002E3C30" w:rsidRPr="00997F82">
        <w:t>updated</w:t>
      </w:r>
      <w:r w:rsidR="008E6416" w:rsidRPr="00997F82">
        <w:t>, promoted</w:t>
      </w:r>
      <w:r w:rsidR="002E3C30" w:rsidRPr="00997F82">
        <w:t xml:space="preserve"> or added </w:t>
      </w:r>
      <w:r w:rsidR="00E74D93" w:rsidRPr="00997F82">
        <w:t>new</w:t>
      </w:r>
      <w:r w:rsidR="002E3C30" w:rsidRPr="00997F82">
        <w:t xml:space="preserve"> </w:t>
      </w:r>
      <w:proofErr w:type="spellStart"/>
      <w:r w:rsidR="008139F2" w:rsidRPr="00997F82">
        <w:t>HealthPathways</w:t>
      </w:r>
      <w:proofErr w:type="spellEnd"/>
      <w:r w:rsidR="008139F2" w:rsidRPr="00997F82">
        <w:t xml:space="preserve"> relating to </w:t>
      </w:r>
      <w:r w:rsidR="00065817" w:rsidRPr="00997F82">
        <w:t xml:space="preserve">palliative care </w:t>
      </w:r>
      <w:r w:rsidR="008139F2" w:rsidRPr="00997F82">
        <w:t>or EOLC</w:t>
      </w:r>
      <w:r w:rsidR="00DC36AA" w:rsidRPr="00997F82">
        <w:t xml:space="preserve"> which includes </w:t>
      </w:r>
      <w:r w:rsidR="00E74D93" w:rsidRPr="00997F82">
        <w:t xml:space="preserve">information on how to assess or manage common conditions, including referral </w:t>
      </w:r>
      <w:r w:rsidR="00612F3C" w:rsidRPr="00997F82">
        <w:t xml:space="preserve">and service information </w:t>
      </w:r>
      <w:r w:rsidR="00E74D93" w:rsidRPr="00997F82">
        <w:t xml:space="preserve">guidance. </w:t>
      </w:r>
      <w:r w:rsidR="00617578" w:rsidRPr="00997F82">
        <w:t>T</w:t>
      </w:r>
      <w:r w:rsidR="008E6416" w:rsidRPr="00997F82">
        <w:t xml:space="preserve">he average </w:t>
      </w:r>
      <w:r w:rsidR="00617578" w:rsidRPr="00997F82">
        <w:t xml:space="preserve">number of </w:t>
      </w:r>
      <w:r w:rsidR="008E6416" w:rsidRPr="00997F82">
        <w:t xml:space="preserve">monthly views of palliative care </w:t>
      </w:r>
      <w:proofErr w:type="spellStart"/>
      <w:r w:rsidR="00617578" w:rsidRPr="00997F82">
        <w:t>HealthP</w:t>
      </w:r>
      <w:r w:rsidR="008E6416" w:rsidRPr="00997F82">
        <w:t>athways</w:t>
      </w:r>
      <w:proofErr w:type="spellEnd"/>
      <w:r w:rsidR="00FC23E4" w:rsidRPr="00997F82">
        <w:t xml:space="preserve"> increased from 475 to 1</w:t>
      </w:r>
      <w:r w:rsidR="00F45642" w:rsidRPr="00997F82">
        <w:t>,</w:t>
      </w:r>
      <w:r w:rsidR="00FC23E4" w:rsidRPr="00997F82">
        <w:t>795 (278%</w:t>
      </w:r>
      <w:r w:rsidR="00144155" w:rsidRPr="00997F82">
        <w:t xml:space="preserve"> </w:t>
      </w:r>
      <w:r w:rsidR="008E6416" w:rsidRPr="00997F82">
        <w:t>increase</w:t>
      </w:r>
      <w:r w:rsidR="00FC23E4" w:rsidRPr="00997F82">
        <w:t>) since the start of the pilot Program</w:t>
      </w:r>
      <w:r w:rsidR="00AA62D8" w:rsidRPr="00997F82">
        <w:t xml:space="preserve">, and from 616 to 1,795 </w:t>
      </w:r>
      <w:r w:rsidR="004C0B2D" w:rsidRPr="00997F82">
        <w:t>(</w:t>
      </w:r>
      <w:r w:rsidR="00436AAA" w:rsidRPr="00997F82">
        <w:t>191%</w:t>
      </w:r>
      <w:r w:rsidR="00522C24" w:rsidRPr="00997F82">
        <w:t xml:space="preserve"> increase</w:t>
      </w:r>
      <w:r w:rsidR="004C0B2D" w:rsidRPr="00997F82">
        <w:t xml:space="preserve">) </w:t>
      </w:r>
      <w:r w:rsidR="00AA62D8" w:rsidRPr="00997F82">
        <w:t xml:space="preserve">since </w:t>
      </w:r>
      <w:r w:rsidR="004C0B2D" w:rsidRPr="00997F82">
        <w:t>the Program was expanded to all 31 PHNs</w:t>
      </w:r>
      <w:r w:rsidR="00617578" w:rsidRPr="00997F82">
        <w:t xml:space="preserve"> (</w:t>
      </w:r>
      <w:r w:rsidR="00DE0B7C" w:rsidRPr="00997F82">
        <w:fldChar w:fldCharType="begin"/>
      </w:r>
      <w:r w:rsidR="00DE0B7C" w:rsidRPr="00997F82">
        <w:instrText xml:space="preserve"> REF _Ref202800504 \h </w:instrText>
      </w:r>
      <w:r w:rsidR="0005036F" w:rsidRPr="00997F82">
        <w:instrText xml:space="preserve"> \* MERGEFORMAT </w:instrText>
      </w:r>
      <w:r w:rsidR="00DE0B7C" w:rsidRPr="00997F82">
        <w:fldChar w:fldCharType="separate"/>
      </w:r>
      <w:r w:rsidR="00735424" w:rsidRPr="00997F82">
        <w:t xml:space="preserve">Figure </w:t>
      </w:r>
      <w:r w:rsidR="00735424">
        <w:t>5</w:t>
      </w:r>
      <w:r w:rsidR="00DE0B7C" w:rsidRPr="00997F82">
        <w:fldChar w:fldCharType="end"/>
      </w:r>
      <w:r w:rsidR="00617578" w:rsidRPr="00997F82">
        <w:t>)</w:t>
      </w:r>
      <w:r w:rsidR="00FC23E4" w:rsidRPr="00997F82">
        <w:t>.</w:t>
      </w:r>
    </w:p>
    <w:p w14:paraId="7521103C" w14:textId="3363B83C" w:rsidR="00DE0B7C" w:rsidRPr="00997F82" w:rsidRDefault="00DE0B7C" w:rsidP="00277D66">
      <w:pPr>
        <w:pStyle w:val="Caption"/>
      </w:pPr>
      <w:bookmarkStart w:id="39" w:name="_Ref202800504"/>
      <w:r w:rsidRPr="00997F82">
        <w:t xml:space="preserve">Figure </w:t>
      </w:r>
      <w:r w:rsidR="006558E4" w:rsidRPr="00997F82">
        <w:fldChar w:fldCharType="begin"/>
      </w:r>
      <w:r w:rsidR="006558E4" w:rsidRPr="00997F82">
        <w:instrText xml:space="preserve"> SEQ Figure \* ARABIC </w:instrText>
      </w:r>
      <w:r w:rsidR="006558E4" w:rsidRPr="00997F82">
        <w:fldChar w:fldCharType="separate"/>
      </w:r>
      <w:r w:rsidR="00735424">
        <w:rPr>
          <w:noProof/>
        </w:rPr>
        <w:t>5</w:t>
      </w:r>
      <w:r w:rsidR="006558E4" w:rsidRPr="00997F82">
        <w:fldChar w:fldCharType="end"/>
      </w:r>
      <w:bookmarkEnd w:id="39"/>
      <w:r w:rsidRPr="00997F82">
        <w:t xml:space="preserve">: Average monthly views per year for palliative care </w:t>
      </w:r>
      <w:proofErr w:type="spellStart"/>
      <w:r w:rsidRPr="00997F82">
        <w:t>HealthPathways</w:t>
      </w:r>
      <w:proofErr w:type="spellEnd"/>
    </w:p>
    <w:p w14:paraId="5DFA4542" w14:textId="3ABE09F1" w:rsidR="005C53F5" w:rsidRPr="00997F82" w:rsidRDefault="00242B21" w:rsidP="001E4672">
      <w:pPr>
        <w:ind w:left="360"/>
        <w:jc w:val="center"/>
      </w:pPr>
      <w:r w:rsidRPr="00997F82">
        <w:rPr>
          <w:noProof/>
          <w:shd w:val="clear" w:color="auto" w:fill="B4B5DB" w:themeFill="accent4"/>
        </w:rPr>
        <w:drawing>
          <wp:inline distT="0" distB="0" distL="0" distR="0" wp14:anchorId="4E7832DC" wp14:editId="1D18CE99">
            <wp:extent cx="5279366" cy="2484407"/>
            <wp:effectExtent l="0" t="0" r="0" b="0"/>
            <wp:docPr id="731019829" name="Chart 1" descr="Figure 5 displays a bar chart titled 'HealthPathways average monthly views by year,' showing the average monthly views for palliative care from 2017 to 2024, with a dotted trend line indicating growth.&#10;&#10;2017: 475 views&#10;&#10;2018: 362 views&#10;&#10;2019: 391 views&#10;&#10;2020: 461 views&#10;&#10;2021: 667 views&#10;&#10;2022: 616 views&#10;&#10;2023: 1060 views&#10;&#10;2024: 1795 views&#10;&#10;The trend shows an overall increase in average monthly views over the years, with a significant jump in 2023 and 2024">
              <a:extLst xmlns:a="http://schemas.openxmlformats.org/drawingml/2006/main">
                <a:ext uri="{FF2B5EF4-FFF2-40B4-BE49-F238E27FC236}">
                  <a16:creationId xmlns:a16="http://schemas.microsoft.com/office/drawing/2014/main" id="{D93BF2B4-A390-48A8-97BC-2F9D6645B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0158DB4" w14:textId="46F3FCFA" w:rsidR="00780014" w:rsidRPr="00997F82" w:rsidRDefault="000D1C1E" w:rsidP="00FF01A2">
      <w:r w:rsidRPr="00997F82">
        <w:t xml:space="preserve">Some PHNs have </w:t>
      </w:r>
      <w:r w:rsidR="00DC36AA" w:rsidRPr="00997F82">
        <w:t xml:space="preserve">also </w:t>
      </w:r>
      <w:r w:rsidR="00EB5693" w:rsidRPr="00997F82">
        <w:t>conduct</w:t>
      </w:r>
      <w:r w:rsidR="00DC36AA" w:rsidRPr="00997F82">
        <w:t>ed</w:t>
      </w:r>
      <w:r w:rsidR="00EB5693" w:rsidRPr="00997F82">
        <w:t xml:space="preserve"> their own activity </w:t>
      </w:r>
      <w:r w:rsidR="0094266B" w:rsidRPr="00997F82">
        <w:t>assessments</w:t>
      </w:r>
      <w:r w:rsidR="00EB5693" w:rsidRPr="00997F82">
        <w:t xml:space="preserve"> </w:t>
      </w:r>
      <w:r w:rsidR="00470CFE" w:rsidRPr="00997F82">
        <w:t xml:space="preserve">to understand the impact of their </w:t>
      </w:r>
      <w:r w:rsidR="00DC36AA" w:rsidRPr="00997F82">
        <w:t>w</w:t>
      </w:r>
      <w:r w:rsidR="0097612E" w:rsidRPr="00997F82">
        <w:t>orkforce education and awareness activities</w:t>
      </w:r>
      <w:r w:rsidR="00EB5693" w:rsidRPr="00997F82">
        <w:t xml:space="preserve">. For example, </w:t>
      </w:r>
      <w:r w:rsidR="001A4D53" w:rsidRPr="00997F82">
        <w:t xml:space="preserve">Murray PHN, Gippsland PHN and Western Victoria PHN have developed </w:t>
      </w:r>
      <w:r w:rsidR="0012004B" w:rsidRPr="00997F82">
        <w:t>the</w:t>
      </w:r>
      <w:r w:rsidR="001A4D53" w:rsidRPr="00997F82">
        <w:t xml:space="preserve"> </w:t>
      </w:r>
      <w:r w:rsidR="00C62400" w:rsidRPr="00997F82">
        <w:t>R</w:t>
      </w:r>
      <w:r w:rsidR="001A4D53" w:rsidRPr="00997F82">
        <w:t xml:space="preserve">egional Victoria PHN </w:t>
      </w:r>
      <w:r w:rsidR="00A11166" w:rsidRPr="00997F82">
        <w:t>C</w:t>
      </w:r>
      <w:r w:rsidR="001A4D53" w:rsidRPr="00997F82">
        <w:t xml:space="preserve">ollaborative to </w:t>
      </w:r>
      <w:r w:rsidR="0094266B" w:rsidRPr="00997F82">
        <w:t xml:space="preserve">support general practice quality improvement in their regions. They conducted an internal evaluation which found that </w:t>
      </w:r>
      <w:r w:rsidR="00CE2087" w:rsidRPr="00997F82">
        <w:t xml:space="preserve">they had fully or partially achieved </w:t>
      </w:r>
      <w:r w:rsidR="00C62400" w:rsidRPr="00997F82">
        <w:t>all but one of</w:t>
      </w:r>
      <w:r w:rsidR="0036421F" w:rsidRPr="00997F82">
        <w:t xml:space="preserve"> their objectives</w:t>
      </w:r>
      <w:r w:rsidR="00A11166" w:rsidRPr="00997F82">
        <w:t>,</w:t>
      </w:r>
      <w:r w:rsidR="0036421F" w:rsidRPr="00997F82">
        <w:t xml:space="preserve"> including </w:t>
      </w:r>
      <w:r w:rsidR="00C62400" w:rsidRPr="00997F82">
        <w:t xml:space="preserve">improving awareness to identify early symptoms of palliative care, improved </w:t>
      </w:r>
      <w:r w:rsidR="0036421F" w:rsidRPr="00997F82">
        <w:t>navigati</w:t>
      </w:r>
      <w:r w:rsidR="00C62400" w:rsidRPr="00997F82">
        <w:t>on of</w:t>
      </w:r>
      <w:r w:rsidR="0036421F" w:rsidRPr="00997F82">
        <w:t xml:space="preserve"> palliative care </w:t>
      </w:r>
      <w:r w:rsidR="00C62400" w:rsidRPr="00997F82">
        <w:t>systems</w:t>
      </w:r>
      <w:r w:rsidR="0036421F" w:rsidRPr="00997F82">
        <w:t xml:space="preserve">, </w:t>
      </w:r>
      <w:r w:rsidR="00C62400" w:rsidRPr="00997F82">
        <w:t>increased utilisation of existing healthcare solutions, improved medical recording, and</w:t>
      </w:r>
      <w:r w:rsidR="00A16BC7" w:rsidRPr="00997F82">
        <w:t xml:space="preserve"> saw</w:t>
      </w:r>
      <w:r w:rsidR="00C62400" w:rsidRPr="00997F82">
        <w:t xml:space="preserve"> a positive cultural shift</w:t>
      </w:r>
      <w:r w:rsidR="005C53F5" w:rsidRPr="00997F82">
        <w:t xml:space="preserve"> within practices</w:t>
      </w:r>
      <w:r w:rsidR="00C62400" w:rsidRPr="00997F82">
        <w:t xml:space="preserve">. </w:t>
      </w:r>
      <w:r w:rsidR="006D5FD0" w:rsidRPr="00997F82">
        <w:t xml:space="preserve">The </w:t>
      </w:r>
      <w:r w:rsidR="00FE7418" w:rsidRPr="00997F82">
        <w:t xml:space="preserve">Collaborative </w:t>
      </w:r>
      <w:r w:rsidR="006D5FD0" w:rsidRPr="00997F82">
        <w:t>report</w:t>
      </w:r>
      <w:r w:rsidR="00E973C0" w:rsidRPr="00997F82">
        <w:t>ed</w:t>
      </w:r>
      <w:r w:rsidR="006D5FD0" w:rsidRPr="00997F82">
        <w:t xml:space="preserve"> inten</w:t>
      </w:r>
      <w:r w:rsidR="00E973C0" w:rsidRPr="00997F82">
        <w:t>tions</w:t>
      </w:r>
      <w:r w:rsidR="006D5FD0" w:rsidRPr="00997F82">
        <w:t xml:space="preserve"> to use th</w:t>
      </w:r>
      <w:r w:rsidR="00C0508E" w:rsidRPr="00997F82">
        <w:t xml:space="preserve">e internal assessment to identify </w:t>
      </w:r>
      <w:r w:rsidR="00C62400" w:rsidRPr="00997F82">
        <w:t xml:space="preserve">focus </w:t>
      </w:r>
      <w:r w:rsidR="00C0508E" w:rsidRPr="00997F82">
        <w:t xml:space="preserve">areas </w:t>
      </w:r>
      <w:r w:rsidR="00C62400" w:rsidRPr="00997F82">
        <w:t xml:space="preserve">for the </w:t>
      </w:r>
      <w:r w:rsidR="008A4853" w:rsidRPr="00997F82">
        <w:t xml:space="preserve">next funding cycle of the </w:t>
      </w:r>
      <w:r w:rsidR="00C62400" w:rsidRPr="00997F82">
        <w:t>Program.</w:t>
      </w:r>
    </w:p>
    <w:p w14:paraId="39F5B3CD" w14:textId="4550EB05" w:rsidR="00805053" w:rsidRPr="00B20C7C" w:rsidRDefault="00805053" w:rsidP="00B20C7C">
      <w:pPr>
        <w:pStyle w:val="IntenseQuote"/>
      </w:pPr>
      <w:r w:rsidRPr="00B20C7C">
        <w:t xml:space="preserve">“Participation in the </w:t>
      </w:r>
      <w:r w:rsidR="0012004B" w:rsidRPr="00B20C7C">
        <w:t>P</w:t>
      </w:r>
      <w:r w:rsidRPr="00B20C7C">
        <w:t>rogram has led to significant improvements in our practice… [it has] encouraged a culture of continuous quality improvement within our clinic, prompting us to review and refine our processes to better align with best practices in early palliative care</w:t>
      </w:r>
      <w:r w:rsidR="00020AF3" w:rsidRPr="00B20C7C">
        <w:t>.</w:t>
      </w:r>
      <w:r w:rsidRPr="00B20C7C">
        <w:t>”</w:t>
      </w:r>
    </w:p>
    <w:p w14:paraId="63F5A59D" w14:textId="4692D7F1" w:rsidR="00C95369" w:rsidRPr="00B20C7C" w:rsidRDefault="00805053" w:rsidP="00B20C7C">
      <w:pPr>
        <w:pStyle w:val="IntenseQuote"/>
      </w:pPr>
      <w:r w:rsidRPr="00B20C7C">
        <w:t xml:space="preserve">- General Practice clinic from </w:t>
      </w:r>
      <w:r w:rsidR="00C62400" w:rsidRPr="00B20C7C">
        <w:t>service provider survey</w:t>
      </w:r>
    </w:p>
    <w:p w14:paraId="2B7FA222" w14:textId="34CE4813" w:rsidR="00CD0C99" w:rsidRPr="00997F82" w:rsidRDefault="00CD0C99" w:rsidP="00CD0C99">
      <w:pPr>
        <w:rPr>
          <w:b/>
        </w:rPr>
      </w:pPr>
      <w:r w:rsidRPr="00997F82">
        <w:rPr>
          <w:b/>
          <w:bCs/>
        </w:rPr>
        <w:t>Implications</w:t>
      </w:r>
      <w:r w:rsidR="00F20D7B" w:rsidRPr="00997F82">
        <w:rPr>
          <w:b/>
          <w:bCs/>
        </w:rPr>
        <w:t xml:space="preserve"> </w:t>
      </w:r>
    </w:p>
    <w:p w14:paraId="46CF5646" w14:textId="638500B6" w:rsidR="00E37D8B" w:rsidRPr="00997F82" w:rsidRDefault="008E70FE" w:rsidP="00B20C7C">
      <w:pPr>
        <w:pStyle w:val="ListBullet"/>
      </w:pPr>
      <w:r w:rsidRPr="00997F82">
        <w:t>I</w:t>
      </w:r>
      <w:r w:rsidR="00CF6F0F" w:rsidRPr="00997F82">
        <w:t xml:space="preserve">nternal collaboration with </w:t>
      </w:r>
      <w:r w:rsidR="005F2574" w:rsidRPr="00997F82">
        <w:t>other PHN</w:t>
      </w:r>
      <w:r w:rsidR="002E1FCB" w:rsidRPr="00997F82">
        <w:t xml:space="preserve"> </w:t>
      </w:r>
      <w:r w:rsidR="00DC36AA" w:rsidRPr="00997F82">
        <w:t xml:space="preserve">teams and </w:t>
      </w:r>
      <w:r w:rsidR="002E1FCB" w:rsidRPr="00997F82">
        <w:t xml:space="preserve">areas, such </w:t>
      </w:r>
      <w:r w:rsidR="006F7C37" w:rsidRPr="00997F82">
        <w:t xml:space="preserve">as </w:t>
      </w:r>
      <w:r w:rsidR="002E1FCB" w:rsidRPr="00997F82">
        <w:t xml:space="preserve">aged care, </w:t>
      </w:r>
      <w:proofErr w:type="spellStart"/>
      <w:r w:rsidR="002E1FCB" w:rsidRPr="00997F82">
        <w:t>HealthPathways</w:t>
      </w:r>
      <w:proofErr w:type="spellEnd"/>
      <w:r w:rsidR="00AA0AFA" w:rsidRPr="00997F82">
        <w:t>, quality improvement</w:t>
      </w:r>
      <w:r w:rsidR="00946580" w:rsidRPr="00997F82">
        <w:t>, digital health</w:t>
      </w:r>
      <w:r w:rsidR="00AA0AFA" w:rsidRPr="00997F82">
        <w:t xml:space="preserve"> </w:t>
      </w:r>
      <w:r w:rsidR="00BE1077" w:rsidRPr="00997F82">
        <w:t>and locally relevant program</w:t>
      </w:r>
      <w:r w:rsidR="008B17FC" w:rsidRPr="00997F82">
        <w:t>s</w:t>
      </w:r>
      <w:r w:rsidRPr="00997F82">
        <w:t>, should be improved by PHNs to</w:t>
      </w:r>
      <w:r w:rsidR="008B17FC" w:rsidRPr="00997F82">
        <w:t xml:space="preserve"> drive efficiency in reaching </w:t>
      </w:r>
      <w:r w:rsidR="009F3E94" w:rsidRPr="00997F82">
        <w:t xml:space="preserve">their target audience. </w:t>
      </w:r>
      <w:r w:rsidR="00404423" w:rsidRPr="00997F82">
        <w:t>Through collaborating internally</w:t>
      </w:r>
      <w:r w:rsidR="00A921B1" w:rsidRPr="00997F82">
        <w:t xml:space="preserve">, opportunities to identify where </w:t>
      </w:r>
      <w:r w:rsidR="00E40B59" w:rsidRPr="00997F82">
        <w:t xml:space="preserve">palliative </w:t>
      </w:r>
      <w:r w:rsidR="00A921B1" w:rsidRPr="00997F82">
        <w:t xml:space="preserve">and EOLC </w:t>
      </w:r>
      <w:r w:rsidR="00FA6424" w:rsidRPr="00997F82">
        <w:t>knowledge and awareness could be integrated into existing PHN</w:t>
      </w:r>
      <w:r w:rsidR="006478D4" w:rsidRPr="00997F82">
        <w:t xml:space="preserve"> work may </w:t>
      </w:r>
      <w:r w:rsidR="00D80C13" w:rsidRPr="00997F82">
        <w:t>amplify</w:t>
      </w:r>
      <w:r w:rsidR="006478D4" w:rsidRPr="00997F82">
        <w:t xml:space="preserve"> impact</w:t>
      </w:r>
      <w:r w:rsidR="00D80C13" w:rsidRPr="00997F82">
        <w:t xml:space="preserve"> in PHN regions</w:t>
      </w:r>
      <w:r w:rsidR="0077113C" w:rsidRPr="00997F82">
        <w:t>.</w:t>
      </w:r>
    </w:p>
    <w:p w14:paraId="11198600" w14:textId="773E1455" w:rsidR="00F5610C" w:rsidRPr="00997F82" w:rsidRDefault="001901A4" w:rsidP="00B20C7C">
      <w:pPr>
        <w:pStyle w:val="ListBullet"/>
      </w:pPr>
      <w:r w:rsidRPr="00997F82">
        <w:t>S</w:t>
      </w:r>
      <w:r w:rsidR="002D000D" w:rsidRPr="00997F82">
        <w:t>tandardi</w:t>
      </w:r>
      <w:r w:rsidR="00B56DF6" w:rsidRPr="00997F82">
        <w:t>s</w:t>
      </w:r>
      <w:r w:rsidR="002D000D" w:rsidRPr="00997F82">
        <w:t>ed tool</w:t>
      </w:r>
      <w:r w:rsidRPr="00997F82">
        <w:t>s</w:t>
      </w:r>
      <w:r w:rsidR="002D000D" w:rsidRPr="00997F82">
        <w:t xml:space="preserve"> </w:t>
      </w:r>
      <w:r w:rsidR="004766DE" w:rsidRPr="00997F82">
        <w:t>sh</w:t>
      </w:r>
      <w:r w:rsidR="002D000D" w:rsidRPr="00997F82">
        <w:t xml:space="preserve">ould be co-designed and </w:t>
      </w:r>
      <w:r w:rsidR="0045387E" w:rsidRPr="00997F82">
        <w:t xml:space="preserve">used across all 31 PHNs </w:t>
      </w:r>
      <w:r w:rsidR="004766DE" w:rsidRPr="00997F82">
        <w:t>(</w:t>
      </w:r>
      <w:r w:rsidR="00B3342B" w:rsidRPr="00997F82">
        <w:t xml:space="preserve">pre, post, and </w:t>
      </w:r>
      <w:r w:rsidR="00BB534D" w:rsidRPr="00997F82">
        <w:t xml:space="preserve">follow up after </w:t>
      </w:r>
      <w:r w:rsidR="004A0F70" w:rsidRPr="00997F82">
        <w:t>education and training events</w:t>
      </w:r>
      <w:r w:rsidR="004766DE" w:rsidRPr="00997F82">
        <w:t xml:space="preserve">) </w:t>
      </w:r>
      <w:r w:rsidR="00A85417" w:rsidRPr="00997F82">
        <w:t>t</w:t>
      </w:r>
      <w:r w:rsidR="004766DE" w:rsidRPr="00997F82">
        <w:t>o better understand the long-term impact of PHN activities on workforce knowledge and awareness of palliative care</w:t>
      </w:r>
      <w:r w:rsidR="00A85417" w:rsidRPr="00997F82">
        <w:t>.</w:t>
      </w:r>
      <w:r w:rsidR="004A0F70" w:rsidRPr="00997F82">
        <w:t xml:space="preserve"> </w:t>
      </w:r>
      <w:r w:rsidR="00E11AC2" w:rsidRPr="00997F82">
        <w:t>This could also explore to what extent knowledge and awareness is maintained, and whether it translates to changes in behaviours and practice.</w:t>
      </w:r>
    </w:p>
    <w:p w14:paraId="6F438720" w14:textId="720A41AB" w:rsidR="007C2D55" w:rsidRPr="00997F82" w:rsidRDefault="005828F7" w:rsidP="00277D66">
      <w:pPr>
        <w:pStyle w:val="Heading2"/>
      </w:pPr>
      <w:r w:rsidRPr="00997F82">
        <w:t xml:space="preserve">To </w:t>
      </w:r>
      <w:r w:rsidR="007076F8" w:rsidRPr="00997F82">
        <w:t xml:space="preserve">what extent has the Program increased workforce confidence and skills in providing palliative care services for individuals? </w:t>
      </w:r>
    </w:p>
    <w:tbl>
      <w:tblPr>
        <w:tblStyle w:val="IMSTable"/>
        <w:tblW w:w="0" w:type="auto"/>
        <w:tblLook w:val="04A0" w:firstRow="1" w:lastRow="0" w:firstColumn="1" w:lastColumn="0" w:noHBand="0" w:noVBand="1"/>
      </w:tblPr>
      <w:tblGrid>
        <w:gridCol w:w="9016"/>
      </w:tblGrid>
      <w:tr w:rsidR="0016387E" w:rsidRPr="00997F82" w14:paraId="6ADB73B8" w14:textId="77777777" w:rsidTr="00FC7384">
        <w:trPr>
          <w:cnfStyle w:val="100000000000" w:firstRow="1" w:lastRow="0" w:firstColumn="0" w:lastColumn="0" w:oddVBand="0" w:evenVBand="0" w:oddHBand="0" w:evenHBand="0" w:firstRowFirstColumn="0" w:firstRowLastColumn="0" w:lastRowFirstColumn="0" w:lastRowLastColumn="0"/>
          <w:tblHeader/>
        </w:trPr>
        <w:tc>
          <w:tcPr>
            <w:tcW w:w="9016" w:type="dxa"/>
          </w:tcPr>
          <w:p w14:paraId="458A6F45" w14:textId="77777777" w:rsidR="0016387E" w:rsidRPr="00FC7384" w:rsidRDefault="0016387E" w:rsidP="00FC7384">
            <w:r w:rsidRPr="00FC7384">
              <w:t>Key finding</w:t>
            </w:r>
          </w:p>
        </w:tc>
      </w:tr>
      <w:tr w:rsidR="0016387E" w:rsidRPr="00997F82" w14:paraId="33400DCC" w14:textId="77777777" w:rsidTr="00FC7384">
        <w:tc>
          <w:tcPr>
            <w:tcW w:w="9016" w:type="dxa"/>
          </w:tcPr>
          <w:p w14:paraId="7FF348E2" w14:textId="3DDDFFB2" w:rsidR="0016387E" w:rsidRPr="00997F82" w:rsidRDefault="0016387E" w:rsidP="002D0111">
            <w:pPr>
              <w:shd w:val="clear" w:color="auto" w:fill="FDF1E6" w:themeFill="accent5" w:themeFillTint="33"/>
              <w:rPr>
                <w:bCs/>
              </w:rPr>
            </w:pPr>
            <w:r w:rsidRPr="00997F82">
              <w:rPr>
                <w:bCs/>
              </w:rPr>
              <w:t xml:space="preserve">Service providers report a high level of confidence and skills in providing palliative care after engaging in PHN activities, with PHN activities reaching 5,540 primary care health professionals. Workforces such as practice nurses, nurses and aged care staff have been particularly positively impacted by PHN activities. </w:t>
            </w:r>
          </w:p>
        </w:tc>
      </w:tr>
    </w:tbl>
    <w:p w14:paraId="5488BC9C" w14:textId="0998D1F5" w:rsidR="00CD0C99" w:rsidRPr="00997F82" w:rsidRDefault="00CD0C99" w:rsidP="00B20C7C">
      <w:pPr>
        <w:pStyle w:val="Heading3"/>
      </w:pPr>
      <w:r w:rsidRPr="00997F82">
        <w:t>Background</w:t>
      </w:r>
    </w:p>
    <w:p w14:paraId="023DBEDA" w14:textId="3A118412" w:rsidR="00E91CBE" w:rsidRPr="00997F82" w:rsidRDefault="00AB55DB" w:rsidP="00FD5490">
      <w:r w:rsidRPr="00997F82">
        <w:t xml:space="preserve">The </w:t>
      </w:r>
      <w:r w:rsidR="00CE2B12" w:rsidRPr="00997F82">
        <w:t xml:space="preserve">Palliative </w:t>
      </w:r>
      <w:r w:rsidR="00A55F0F" w:rsidRPr="00997F82">
        <w:t>Care Australia</w:t>
      </w:r>
      <w:r w:rsidR="006055E1" w:rsidRPr="00997F82">
        <w:t xml:space="preserve"> </w:t>
      </w:r>
      <w:r w:rsidR="00B27580" w:rsidRPr="00997F82">
        <w:t>(PCA)</w:t>
      </w:r>
      <w:r w:rsidR="006055E1" w:rsidRPr="00997F82">
        <w:t xml:space="preserve"> </w:t>
      </w:r>
      <w:r w:rsidR="002A7983" w:rsidRPr="00997F82">
        <w:t>National Workforce</w:t>
      </w:r>
      <w:r w:rsidR="00D45E13" w:rsidRPr="00997F82">
        <w:t xml:space="preserve"> Survey</w:t>
      </w:r>
      <w:r w:rsidR="00626AF3" w:rsidRPr="00997F82">
        <w:t xml:space="preserve"> </w:t>
      </w:r>
      <w:r w:rsidR="00184775" w:rsidRPr="00997F82">
        <w:t xml:space="preserve">(2024) </w:t>
      </w:r>
      <w:r w:rsidRPr="00997F82">
        <w:t xml:space="preserve">found that </w:t>
      </w:r>
      <w:r w:rsidR="00AE535B" w:rsidRPr="00997F82">
        <w:t>8</w:t>
      </w:r>
      <w:r w:rsidR="00F06051" w:rsidRPr="00997F82">
        <w:t>5</w:t>
      </w:r>
      <w:r w:rsidR="00AE535B" w:rsidRPr="00997F82">
        <w:t>% of respondent</w:t>
      </w:r>
      <w:r w:rsidR="005F513C" w:rsidRPr="00997F82">
        <w:t>s</w:t>
      </w:r>
      <w:r w:rsidR="00AE535B" w:rsidRPr="00997F82">
        <w:t xml:space="preserve"> </w:t>
      </w:r>
      <w:r w:rsidR="00A670BF" w:rsidRPr="00997F82">
        <w:t xml:space="preserve">(n=1,400) </w:t>
      </w:r>
      <w:r w:rsidR="00563690" w:rsidRPr="00997F82">
        <w:t xml:space="preserve">were </w:t>
      </w:r>
      <w:r w:rsidR="0012270F" w:rsidRPr="00997F82">
        <w:t>interest</w:t>
      </w:r>
      <w:r w:rsidR="00563690" w:rsidRPr="00997F82">
        <w:t>ed</w:t>
      </w:r>
      <w:r w:rsidR="009A7C99" w:rsidRPr="00997F82">
        <w:t xml:space="preserve"> in </w:t>
      </w:r>
      <w:r w:rsidR="00E7722C" w:rsidRPr="00997F82">
        <w:t xml:space="preserve">receiving training on topics related to palliative care. </w:t>
      </w:r>
      <w:r w:rsidR="00E234C0" w:rsidRPr="00997F82">
        <w:t>The survey showed that 43% of respondents had less than 10 years’ experience.</w:t>
      </w:r>
      <w:r w:rsidR="008979D9" w:rsidRPr="00997F82">
        <w:t xml:space="preserve"> </w:t>
      </w:r>
      <w:r w:rsidR="009C4FD4" w:rsidRPr="00997F82">
        <w:t>Members of the workforce re</w:t>
      </w:r>
      <w:r w:rsidR="006D2894" w:rsidRPr="00997F82">
        <w:t xml:space="preserve">vealed concerns about increasing demand for </w:t>
      </w:r>
      <w:r w:rsidR="0016387E" w:rsidRPr="00997F82">
        <w:t xml:space="preserve">palliative care </w:t>
      </w:r>
      <w:r w:rsidR="006D2894" w:rsidRPr="00997F82">
        <w:t xml:space="preserve">services placing additional strain </w:t>
      </w:r>
      <w:r w:rsidR="00663D31" w:rsidRPr="00997F82">
        <w:t xml:space="preserve">on </w:t>
      </w:r>
      <w:r w:rsidR="003F201E" w:rsidRPr="00997F82">
        <w:t>personal</w:t>
      </w:r>
      <w:r w:rsidR="00C952DD" w:rsidRPr="00997F82">
        <w:t xml:space="preserve"> wellbeing and </w:t>
      </w:r>
      <w:r w:rsidR="00821F4B" w:rsidRPr="00997F82">
        <w:t xml:space="preserve">about the retention of skilled workers within the sector, noting that as the workforce itself is </w:t>
      </w:r>
      <w:r w:rsidR="00D32C9D" w:rsidRPr="00997F82">
        <w:t>ageing, there is an associated loss of skilled</w:t>
      </w:r>
      <w:r w:rsidR="002F25FE" w:rsidRPr="00997F82">
        <w:t xml:space="preserve"> </w:t>
      </w:r>
      <w:r w:rsidR="002B0922" w:rsidRPr="00997F82">
        <w:t>workers</w:t>
      </w:r>
      <w:r w:rsidR="004A0EBF" w:rsidRPr="00997F82">
        <w:t xml:space="preserve"> and less experienced staff to provide mentoring</w:t>
      </w:r>
      <w:r w:rsidR="00B15CAD" w:rsidRPr="00997F82">
        <w:t>, particularly in r</w:t>
      </w:r>
      <w:r w:rsidR="007C3F26" w:rsidRPr="00997F82">
        <w:t>ural and remote areas.</w:t>
      </w:r>
      <w:r w:rsidR="000579AD" w:rsidRPr="00997F82">
        <w:rPr>
          <w:vertAlign w:val="superscript"/>
        </w:rPr>
        <w:footnoteReference w:id="38"/>
      </w:r>
      <w:r w:rsidR="00DC36AA" w:rsidRPr="00997F82">
        <w:t xml:space="preserve"> </w:t>
      </w:r>
      <w:r w:rsidR="00DC36AA" w:rsidRPr="00997F82">
        <w:rPr>
          <w:bCs/>
        </w:rPr>
        <w:t>This is also in context of the workforce understanding they may require these skills when the Support at Home Program is launched in 2025, which is a dedicated End-of-Life pathway to help older Australians receive funding for services complementary to specialist care, such as meal delivery, personal care an assistive technology.</w:t>
      </w:r>
    </w:p>
    <w:p w14:paraId="1B847AA3" w14:textId="3C959E57" w:rsidR="00163959" w:rsidRPr="00997F82" w:rsidRDefault="002E29F9" w:rsidP="00CD0C99">
      <w:pPr>
        <w:rPr>
          <w:bCs/>
        </w:rPr>
      </w:pPr>
      <w:r w:rsidRPr="00997F82">
        <w:rPr>
          <w:bCs/>
        </w:rPr>
        <w:t xml:space="preserve">While PHNs work to </w:t>
      </w:r>
      <w:r w:rsidR="00D33A7E" w:rsidRPr="00997F82">
        <w:rPr>
          <w:bCs/>
        </w:rPr>
        <w:t>improve</w:t>
      </w:r>
      <w:r w:rsidRPr="00997F82">
        <w:rPr>
          <w:bCs/>
        </w:rPr>
        <w:t xml:space="preserve"> </w:t>
      </w:r>
      <w:r w:rsidR="00D33A7E" w:rsidRPr="00997F82">
        <w:rPr>
          <w:bCs/>
        </w:rPr>
        <w:t xml:space="preserve">workforce </w:t>
      </w:r>
      <w:r w:rsidRPr="00997F82">
        <w:rPr>
          <w:bCs/>
        </w:rPr>
        <w:t>awareness of palliative car</w:t>
      </w:r>
      <w:r w:rsidR="00D33A7E" w:rsidRPr="00997F82">
        <w:rPr>
          <w:bCs/>
        </w:rPr>
        <w:t>e</w:t>
      </w:r>
      <w:r w:rsidRPr="00997F82">
        <w:rPr>
          <w:bCs/>
        </w:rPr>
        <w:t xml:space="preserve">, they are also supporting workforces to build the necessary skills and confidence to </w:t>
      </w:r>
      <w:r w:rsidR="00D33A7E" w:rsidRPr="00997F82">
        <w:rPr>
          <w:bCs/>
        </w:rPr>
        <w:t xml:space="preserve">provide palliative care services and </w:t>
      </w:r>
      <w:r w:rsidR="00CF7DF2" w:rsidRPr="00997F82">
        <w:rPr>
          <w:bCs/>
        </w:rPr>
        <w:t>have difficult conversations</w:t>
      </w:r>
      <w:r w:rsidR="00DB0A38" w:rsidRPr="00997F82">
        <w:rPr>
          <w:bCs/>
        </w:rPr>
        <w:t xml:space="preserve"> around death and dying</w:t>
      </w:r>
      <w:r w:rsidR="00D33A7E" w:rsidRPr="00997F82">
        <w:rPr>
          <w:bCs/>
        </w:rPr>
        <w:t xml:space="preserve">. </w:t>
      </w:r>
      <w:r w:rsidR="00163959" w:rsidRPr="00997F82">
        <w:rPr>
          <w:bCs/>
        </w:rPr>
        <w:t xml:space="preserve">This includes targeted education on skills such as </w:t>
      </w:r>
      <w:r w:rsidR="009C568B" w:rsidRPr="00997F82">
        <w:rPr>
          <w:bCs/>
        </w:rPr>
        <w:t>using syringe drivers,</w:t>
      </w:r>
      <w:r w:rsidR="00163959" w:rsidRPr="00997F82">
        <w:rPr>
          <w:bCs/>
        </w:rPr>
        <w:t xml:space="preserve"> </w:t>
      </w:r>
      <w:r w:rsidR="00CB67C8" w:rsidRPr="00997F82">
        <w:rPr>
          <w:bCs/>
        </w:rPr>
        <w:t xml:space="preserve">pain and deterioration management, </w:t>
      </w:r>
      <w:r w:rsidR="00F55366" w:rsidRPr="00997F82">
        <w:rPr>
          <w:bCs/>
        </w:rPr>
        <w:t xml:space="preserve">medication management and </w:t>
      </w:r>
      <w:r w:rsidR="00870609" w:rsidRPr="00997F82">
        <w:rPr>
          <w:bCs/>
        </w:rPr>
        <w:t>anticipatory prescribing,</w:t>
      </w:r>
      <w:r w:rsidR="00CB67C8" w:rsidRPr="00997F82">
        <w:rPr>
          <w:bCs/>
        </w:rPr>
        <w:t xml:space="preserve"> </w:t>
      </w:r>
      <w:r w:rsidR="0085602C" w:rsidRPr="00997F82">
        <w:rPr>
          <w:bCs/>
        </w:rPr>
        <w:t>breathless</w:t>
      </w:r>
      <w:r w:rsidR="00CB67C8" w:rsidRPr="00997F82">
        <w:rPr>
          <w:bCs/>
        </w:rPr>
        <w:t>ness</w:t>
      </w:r>
      <w:r w:rsidR="0085602C" w:rsidRPr="00997F82">
        <w:rPr>
          <w:bCs/>
        </w:rPr>
        <w:t xml:space="preserve"> interventions, </w:t>
      </w:r>
      <w:r w:rsidR="00CB67C8" w:rsidRPr="00997F82">
        <w:rPr>
          <w:bCs/>
        </w:rPr>
        <w:t>support with dementia</w:t>
      </w:r>
      <w:r w:rsidR="0085602C" w:rsidRPr="00997F82">
        <w:rPr>
          <w:bCs/>
        </w:rPr>
        <w:t xml:space="preserve"> or </w:t>
      </w:r>
      <w:r w:rsidR="00220376" w:rsidRPr="00997F82">
        <w:rPr>
          <w:bCs/>
        </w:rPr>
        <w:t xml:space="preserve">having </w:t>
      </w:r>
      <w:r w:rsidR="00CB67C8" w:rsidRPr="00997F82">
        <w:rPr>
          <w:bCs/>
        </w:rPr>
        <w:t xml:space="preserve">earlier </w:t>
      </w:r>
      <w:r w:rsidR="00220376" w:rsidRPr="00997F82">
        <w:rPr>
          <w:bCs/>
        </w:rPr>
        <w:t xml:space="preserve">conversations around palliative care </w:t>
      </w:r>
      <w:r w:rsidR="00CB67C8" w:rsidRPr="00997F82">
        <w:rPr>
          <w:bCs/>
        </w:rPr>
        <w:t>preferences.</w:t>
      </w:r>
      <w:r w:rsidR="00405EC0" w:rsidRPr="00997F82">
        <w:rPr>
          <w:bCs/>
        </w:rPr>
        <w:t xml:space="preserve"> </w:t>
      </w:r>
    </w:p>
    <w:p w14:paraId="33CBC4C0" w14:textId="19EC40F3" w:rsidR="00CD0C99" w:rsidRPr="00997F82" w:rsidRDefault="00CD0C99" w:rsidP="00B20C7C">
      <w:pPr>
        <w:pStyle w:val="Heading3"/>
      </w:pPr>
      <w:r w:rsidRPr="00997F82">
        <w:t>Findings</w:t>
      </w:r>
    </w:p>
    <w:p w14:paraId="51793900" w14:textId="01E4A5D0" w:rsidR="00454226" w:rsidRPr="00997F82" w:rsidRDefault="001D2F24" w:rsidP="00454226">
      <w:r w:rsidRPr="00997F82">
        <w:rPr>
          <w:bCs/>
        </w:rPr>
        <w:t>The</w:t>
      </w:r>
      <w:r w:rsidR="00DC36AA" w:rsidRPr="00997F82">
        <w:rPr>
          <w:bCs/>
        </w:rPr>
        <w:t>re is a high level of confidence in service providers that have engaged in Program activities.</w:t>
      </w:r>
      <w:r w:rsidRPr="00997F82">
        <w:rPr>
          <w:bCs/>
        </w:rPr>
        <w:t xml:space="preserve"> </w:t>
      </w:r>
      <w:r w:rsidR="00DC36AA" w:rsidRPr="00997F82">
        <w:rPr>
          <w:bCs/>
        </w:rPr>
        <w:t xml:space="preserve">The Endpoint </w:t>
      </w:r>
      <w:r w:rsidR="00CA161D" w:rsidRPr="00997F82">
        <w:rPr>
          <w:bCs/>
        </w:rPr>
        <w:t>s</w:t>
      </w:r>
      <w:r w:rsidRPr="00997F82">
        <w:rPr>
          <w:bCs/>
        </w:rPr>
        <w:t xml:space="preserve">ervice </w:t>
      </w:r>
      <w:r w:rsidR="00CA161D" w:rsidRPr="00997F82">
        <w:rPr>
          <w:bCs/>
        </w:rPr>
        <w:t>p</w:t>
      </w:r>
      <w:r w:rsidRPr="00997F82">
        <w:rPr>
          <w:bCs/>
        </w:rPr>
        <w:t xml:space="preserve">rovider survey shows that </w:t>
      </w:r>
      <w:r w:rsidR="001F523C" w:rsidRPr="00997F82">
        <w:rPr>
          <w:bCs/>
        </w:rPr>
        <w:t>92% (n=</w:t>
      </w:r>
      <w:r w:rsidR="00EE677C" w:rsidRPr="00997F82">
        <w:rPr>
          <w:bCs/>
        </w:rPr>
        <w:t>78</w:t>
      </w:r>
      <w:r w:rsidR="001F523C" w:rsidRPr="00997F82">
        <w:rPr>
          <w:bCs/>
        </w:rPr>
        <w:t>/</w:t>
      </w:r>
      <w:r w:rsidR="00EE677C" w:rsidRPr="00997F82">
        <w:rPr>
          <w:bCs/>
        </w:rPr>
        <w:t>84</w:t>
      </w:r>
      <w:r w:rsidR="001F523C" w:rsidRPr="00997F82">
        <w:rPr>
          <w:bCs/>
        </w:rPr>
        <w:t>)</w:t>
      </w:r>
      <w:r w:rsidR="00EE677C" w:rsidRPr="00997F82">
        <w:rPr>
          <w:bCs/>
        </w:rPr>
        <w:t xml:space="preserve"> respondents </w:t>
      </w:r>
      <w:r w:rsidR="000A5B9C" w:rsidRPr="00997F82">
        <w:rPr>
          <w:bCs/>
        </w:rPr>
        <w:t xml:space="preserve">agree or strongly agree </w:t>
      </w:r>
      <w:r w:rsidR="00F508BA" w:rsidRPr="00997F82">
        <w:rPr>
          <w:bCs/>
        </w:rPr>
        <w:t>that they</w:t>
      </w:r>
      <w:r w:rsidR="000A5B9C" w:rsidRPr="00997F82">
        <w:rPr>
          <w:bCs/>
        </w:rPr>
        <w:t xml:space="preserve"> </w:t>
      </w:r>
      <w:r w:rsidR="006E1DC4" w:rsidRPr="00997F82">
        <w:rPr>
          <w:bCs/>
        </w:rPr>
        <w:t xml:space="preserve">feel confident in initiating conversations about death and advance care planning with patients or families/carers. </w:t>
      </w:r>
      <w:r w:rsidR="001D52EF" w:rsidRPr="00997F82">
        <w:rPr>
          <w:bCs/>
        </w:rPr>
        <w:t>Similarly,</w:t>
      </w:r>
      <w:r w:rsidR="001F523C" w:rsidRPr="00997F82">
        <w:rPr>
          <w:bCs/>
        </w:rPr>
        <w:t xml:space="preserve"> 82% (n=</w:t>
      </w:r>
      <w:r w:rsidR="001D52EF" w:rsidRPr="00997F82">
        <w:rPr>
          <w:bCs/>
        </w:rPr>
        <w:t xml:space="preserve"> </w:t>
      </w:r>
      <w:r w:rsidR="00F508BA" w:rsidRPr="00997F82">
        <w:rPr>
          <w:bCs/>
        </w:rPr>
        <w:t>69</w:t>
      </w:r>
      <w:r w:rsidR="001F523C" w:rsidRPr="00997F82">
        <w:rPr>
          <w:bCs/>
        </w:rPr>
        <w:t>/</w:t>
      </w:r>
      <w:r w:rsidR="00F508BA" w:rsidRPr="00997F82">
        <w:rPr>
          <w:bCs/>
        </w:rPr>
        <w:t>84</w:t>
      </w:r>
      <w:r w:rsidR="00E6361C" w:rsidRPr="00997F82">
        <w:rPr>
          <w:bCs/>
        </w:rPr>
        <w:t>)</w:t>
      </w:r>
      <w:r w:rsidR="00F508BA" w:rsidRPr="00997F82">
        <w:rPr>
          <w:bCs/>
        </w:rPr>
        <w:t xml:space="preserve"> respondents agree or strongly agree that they feel confident in providing palliative care services to people.</w:t>
      </w:r>
      <w:r w:rsidR="00C9651E" w:rsidRPr="00997F82">
        <w:rPr>
          <w:bCs/>
        </w:rPr>
        <w:t xml:space="preserve"> 70% of respondents </w:t>
      </w:r>
      <w:r w:rsidR="007D7079" w:rsidRPr="00997F82">
        <w:rPr>
          <w:bCs/>
        </w:rPr>
        <w:t>(</w:t>
      </w:r>
      <w:r w:rsidR="00C9651E" w:rsidRPr="00997F82">
        <w:rPr>
          <w:bCs/>
        </w:rPr>
        <w:t>n=26/37</w:t>
      </w:r>
      <w:r w:rsidR="003F0107" w:rsidRPr="00997F82">
        <w:rPr>
          <w:bCs/>
        </w:rPr>
        <w:t>)</w:t>
      </w:r>
      <w:r w:rsidR="00C9651E" w:rsidRPr="00997F82">
        <w:rPr>
          <w:bCs/>
        </w:rPr>
        <w:t xml:space="preserve"> who completed training strongly agreed or agreed that the training was helpful in skill development for the provision of palliative care services. </w:t>
      </w:r>
      <w:r w:rsidR="005C73BC" w:rsidRPr="00997F82">
        <w:t xml:space="preserve">Similarly, post-event survey feedback shows that 65% (n=209) of attendees had felt more confident after engaging in an education event facilitated by the PHN. </w:t>
      </w:r>
    </w:p>
    <w:p w14:paraId="3FB32DF6" w14:textId="0FADA669" w:rsidR="00770DCB" w:rsidRPr="00997F82" w:rsidRDefault="00F84B17" w:rsidP="00C56679">
      <w:r w:rsidRPr="00997F82">
        <w:t xml:space="preserve">This high level of confidence was also seen in </w:t>
      </w:r>
      <w:r w:rsidR="006240C7" w:rsidRPr="00997F82">
        <w:t xml:space="preserve">After Death Audits (ADAs) </w:t>
      </w:r>
      <w:r w:rsidRPr="00997F82">
        <w:t xml:space="preserve">collected from </w:t>
      </w:r>
      <w:r w:rsidR="00F25BF6" w:rsidRPr="00997F82">
        <w:t>several</w:t>
      </w:r>
      <w:r w:rsidRPr="00997F82">
        <w:t xml:space="preserve"> PHNs, where multidisciplinary teams reflected on the palliative care service provided to individuals. </w:t>
      </w:r>
      <w:r w:rsidR="00B53363" w:rsidRPr="00997F82">
        <w:t xml:space="preserve">49% of </w:t>
      </w:r>
      <w:r w:rsidR="006240C7" w:rsidRPr="00997F82">
        <w:t>ADAs</w:t>
      </w:r>
      <w:r w:rsidR="002A367B" w:rsidRPr="00997F82">
        <w:t xml:space="preserve"> reflected that the care team and providers were confident or very confident in providing input into the individual’s care</w:t>
      </w:r>
      <w:r w:rsidR="007455A8" w:rsidRPr="00997F82">
        <w:t xml:space="preserve"> (</w:t>
      </w:r>
      <w:r w:rsidR="007455A8" w:rsidRPr="00997F82">
        <w:fldChar w:fldCharType="begin"/>
      </w:r>
      <w:r w:rsidR="007455A8" w:rsidRPr="00997F82">
        <w:instrText xml:space="preserve"> REF _Ref201957879 \h  \* MERGEFORMAT </w:instrText>
      </w:r>
      <w:r w:rsidR="007455A8" w:rsidRPr="00997F82">
        <w:fldChar w:fldCharType="separate"/>
      </w:r>
      <w:r w:rsidR="00735424" w:rsidRPr="00997F82">
        <w:t xml:space="preserve">Figure </w:t>
      </w:r>
      <w:r w:rsidR="00735424">
        <w:t>6</w:t>
      </w:r>
      <w:r w:rsidR="007455A8" w:rsidRPr="00997F82">
        <w:fldChar w:fldCharType="end"/>
      </w:r>
      <w:r w:rsidR="007455A8" w:rsidRPr="00997F82">
        <w:t>)</w:t>
      </w:r>
      <w:r w:rsidR="002A367B" w:rsidRPr="00997F82">
        <w:t xml:space="preserve">. When non-applicable responses are removed, this increases to </w:t>
      </w:r>
      <w:r w:rsidR="00356BE7" w:rsidRPr="00997F82">
        <w:t>89% (n=73).</w:t>
      </w:r>
    </w:p>
    <w:p w14:paraId="6B7E2F22" w14:textId="09E41D32" w:rsidR="007C6452" w:rsidRPr="00997F82" w:rsidRDefault="007C6452" w:rsidP="00277D66">
      <w:pPr>
        <w:pStyle w:val="Caption"/>
      </w:pPr>
      <w:bookmarkStart w:id="40" w:name="_Ref201957879"/>
      <w:r w:rsidRPr="00997F82">
        <w:t xml:space="preserve">Figure </w:t>
      </w:r>
      <w:r w:rsidR="006558E4" w:rsidRPr="00997F82">
        <w:fldChar w:fldCharType="begin"/>
      </w:r>
      <w:r w:rsidR="006558E4" w:rsidRPr="00997F82">
        <w:instrText xml:space="preserve"> SEQ Figure \* ARABIC </w:instrText>
      </w:r>
      <w:r w:rsidR="006558E4" w:rsidRPr="00997F82">
        <w:fldChar w:fldCharType="separate"/>
      </w:r>
      <w:r w:rsidR="00735424">
        <w:rPr>
          <w:noProof/>
        </w:rPr>
        <w:t>6</w:t>
      </w:r>
      <w:r w:rsidR="006558E4" w:rsidRPr="00997F82">
        <w:fldChar w:fldCharType="end"/>
      </w:r>
      <w:bookmarkEnd w:id="40"/>
      <w:r w:rsidRPr="00997F82">
        <w:t>: Level of provider confidence, After Death Audits</w:t>
      </w:r>
    </w:p>
    <w:p w14:paraId="0F308CEA" w14:textId="091C6379" w:rsidR="00C76771" w:rsidRPr="007770F3" w:rsidRDefault="00AD54AD" w:rsidP="007770F3">
      <w:r w:rsidRPr="007770F3">
        <w:rPr>
          <w:noProof/>
        </w:rPr>
        <w:drawing>
          <wp:inline distT="0" distB="0" distL="0" distR="0" wp14:anchorId="041A00FD" wp14:editId="4E93E6A6">
            <wp:extent cx="4572000" cy="2154476"/>
            <wp:effectExtent l="0" t="0" r="0" b="0"/>
            <wp:docPr id="460120494" name="Chart 1" descr="Figure 6 describes a horizontal bar chart titled 'How confident was the care team/providers in providing input?' (n=135).&#10;&#10;The confidence levels are as follows:&#10;&#10;Very confident: 19%&#10;&#10;Confident: 30%&#10;&#10;Somewhat confident: 1%&#10;&#10;Neutral: 4%&#10;&#10;Not confident: 1%&#10;&#10;N/A: 46%">
              <a:extLst xmlns:a="http://schemas.openxmlformats.org/drawingml/2006/main">
                <a:ext uri="{FF2B5EF4-FFF2-40B4-BE49-F238E27FC236}">
                  <a16:creationId xmlns:a16="http://schemas.microsoft.com/office/drawing/2014/main" id="{B3AEFA1A-64F0-E09D-6D50-975087790FE5}"/>
                </a:ext>
                <a:ext uri="{147F2762-F138-4A5C-976F-8EAC2B608ADB}">
                  <a16:predDERef xmlns:a16="http://schemas.microsoft.com/office/drawing/2014/main" pred="{7D7D4A50-73FF-F7B4-A00E-E7B521C6F9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FBD68B" w14:textId="1655BE05" w:rsidR="007516CB" w:rsidRPr="00997F82" w:rsidRDefault="007516CB" w:rsidP="00C56679">
      <w:r w:rsidRPr="00997F82">
        <w:t xml:space="preserve">This confidence translates to </w:t>
      </w:r>
      <w:r w:rsidR="00F94D0D" w:rsidRPr="00997F82">
        <w:t xml:space="preserve">the level of care that </w:t>
      </w:r>
      <w:r w:rsidR="00160E6C" w:rsidRPr="00997F82">
        <w:t>people</w:t>
      </w:r>
      <w:r w:rsidR="00F94D0D" w:rsidRPr="00997F82">
        <w:t xml:space="preserve"> are receiving. </w:t>
      </w:r>
      <w:r w:rsidR="00CF5412" w:rsidRPr="00997F82">
        <w:t xml:space="preserve">70% of </w:t>
      </w:r>
      <w:r w:rsidR="006240C7" w:rsidRPr="00997F82">
        <w:t>ADAs</w:t>
      </w:r>
      <w:r w:rsidR="00CF5412" w:rsidRPr="00997F82">
        <w:t xml:space="preserve"> report that patient deterioration was recognised early and managed, and </w:t>
      </w:r>
      <w:r w:rsidR="007178C3" w:rsidRPr="00997F82">
        <w:t>58% noted that pain was controlled very or extremely well (</w:t>
      </w:r>
      <w:r w:rsidR="007178C3" w:rsidRPr="00997F82">
        <w:fldChar w:fldCharType="begin"/>
      </w:r>
      <w:r w:rsidR="007178C3" w:rsidRPr="00997F82">
        <w:instrText xml:space="preserve"> REF _Ref201958813 \h </w:instrText>
      </w:r>
      <w:r w:rsidR="00173851" w:rsidRPr="00997F82">
        <w:instrText xml:space="preserve"> \* MERGEFORMAT </w:instrText>
      </w:r>
      <w:r w:rsidR="007178C3" w:rsidRPr="00997F82">
        <w:fldChar w:fldCharType="separate"/>
      </w:r>
      <w:r w:rsidR="00735424" w:rsidRPr="00997F82">
        <w:t xml:space="preserve">Figure </w:t>
      </w:r>
      <w:r w:rsidR="00735424">
        <w:t>7</w:t>
      </w:r>
      <w:r w:rsidR="007178C3" w:rsidRPr="00997F82">
        <w:fldChar w:fldCharType="end"/>
      </w:r>
      <w:r w:rsidR="007178C3" w:rsidRPr="00997F82">
        <w:t xml:space="preserve">). It is important to note that in </w:t>
      </w:r>
      <w:r w:rsidR="006240C7" w:rsidRPr="00997F82">
        <w:t>ADAs</w:t>
      </w:r>
      <w:r w:rsidR="007178C3" w:rsidRPr="00997F82">
        <w:t xml:space="preserve"> providers are usually reflecting on their own provision of care, which </w:t>
      </w:r>
      <w:r w:rsidR="006240C7" w:rsidRPr="00997F82">
        <w:t xml:space="preserve">may </w:t>
      </w:r>
      <w:r w:rsidR="007178C3" w:rsidRPr="00997F82">
        <w:t>lead to bias.</w:t>
      </w:r>
    </w:p>
    <w:p w14:paraId="29CA3914" w14:textId="3F919508" w:rsidR="007178C3" w:rsidRPr="00997F82" w:rsidRDefault="007178C3" w:rsidP="00277D66">
      <w:pPr>
        <w:pStyle w:val="Caption"/>
      </w:pPr>
      <w:bookmarkStart w:id="41" w:name="_Ref201958813"/>
      <w:r w:rsidRPr="00997F82">
        <w:t xml:space="preserve">Figure </w:t>
      </w:r>
      <w:r w:rsidR="006558E4" w:rsidRPr="00997F82">
        <w:fldChar w:fldCharType="begin"/>
      </w:r>
      <w:r w:rsidR="006558E4" w:rsidRPr="00997F82">
        <w:instrText xml:space="preserve"> SEQ Figure \* ARABIC </w:instrText>
      </w:r>
      <w:r w:rsidR="006558E4" w:rsidRPr="00997F82">
        <w:fldChar w:fldCharType="separate"/>
      </w:r>
      <w:r w:rsidR="00735424">
        <w:rPr>
          <w:noProof/>
        </w:rPr>
        <w:t>7</w:t>
      </w:r>
      <w:r w:rsidR="006558E4" w:rsidRPr="00997F82">
        <w:fldChar w:fldCharType="end"/>
      </w:r>
      <w:bookmarkEnd w:id="41"/>
      <w:r w:rsidRPr="00997F82">
        <w:t>: Level of care provided to patients, After Death Audits</w:t>
      </w:r>
    </w:p>
    <w:p w14:paraId="4969FA3D" w14:textId="277F5569" w:rsidR="007516CB" w:rsidRPr="00997F82" w:rsidRDefault="00C103BB" w:rsidP="007A0E76">
      <w:pPr>
        <w:ind w:left="360"/>
      </w:pPr>
      <w:r w:rsidRPr="00997F82">
        <w:rPr>
          <w:noProof/>
        </w:rPr>
        <w:drawing>
          <wp:inline distT="0" distB="0" distL="0" distR="0" wp14:anchorId="702F3336" wp14:editId="48FEC01E">
            <wp:extent cx="5732145" cy="2617470"/>
            <wp:effectExtent l="0" t="0" r="1905" b="0"/>
            <wp:docPr id="365988365" name="Picture 1" descr="Figure 7 presents two bar charts detailing the level of care provided to patients, based on After Death Audits.&#10;&#10;The first chart, titled 'Was patient deterioration recognised early and managed?' (n=135), shows:&#10;&#10;Yes: 70%&#10;&#10;No: 17%&#10;&#10;N/A: 13%&#10;&#10;The second chart, titled 'How well controlled was the patient's pain' (n=167), shows:&#10;&#10;Extremely well: 32%&#10;&#10;Very well: 26%&#10;&#10;Somewhat well: 4%&#10;&#10;Neutral: 11%&#10;&#10;Not well: 2%&#10;&#10;N/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88365" name="Picture 1" descr="Figure 7 presents two bar charts detailing the level of care provided to patients, based on After Death Audits.&#10;&#10;The first chart, titled 'Was patient deterioration recognised early and managed?' (n=135), shows:&#10;&#10;Yes: 70%&#10;&#10;No: 17%&#10;&#10;N/A: 13%&#10;&#10;The second chart, titled 'How well controlled was the patient's pain' (n=167), shows:&#10;&#10;Extremely well: 32%&#10;&#10;Very well: 26%&#10;&#10;Somewhat well: 4%&#10;&#10;Neutral: 11%&#10;&#10;Not well: 2%&#10;&#10;N/A: 25%"/>
                    <pic:cNvPicPr/>
                  </pic:nvPicPr>
                  <pic:blipFill>
                    <a:blip r:embed="rId26"/>
                    <a:stretch>
                      <a:fillRect/>
                    </a:stretch>
                  </pic:blipFill>
                  <pic:spPr>
                    <a:xfrm>
                      <a:off x="0" y="0"/>
                      <a:ext cx="5732145" cy="2617470"/>
                    </a:xfrm>
                    <a:prstGeom prst="rect">
                      <a:avLst/>
                    </a:prstGeom>
                  </pic:spPr>
                </pic:pic>
              </a:graphicData>
            </a:graphic>
          </wp:inline>
        </w:drawing>
      </w:r>
    </w:p>
    <w:p w14:paraId="2375F8D8" w14:textId="60990308" w:rsidR="00AD54AD" w:rsidRPr="00997F82" w:rsidRDefault="00057C78" w:rsidP="00B20C7C">
      <w:r w:rsidRPr="00997F82">
        <w:t xml:space="preserve">From the </w:t>
      </w:r>
      <w:r w:rsidR="00CA161D" w:rsidRPr="00997F82">
        <w:t>s</w:t>
      </w:r>
      <w:r w:rsidRPr="00997F82">
        <w:t xml:space="preserve">ervice </w:t>
      </w:r>
      <w:r w:rsidR="00CA161D" w:rsidRPr="00997F82">
        <w:t>p</w:t>
      </w:r>
      <w:r w:rsidRPr="00997F82">
        <w:t>rovider survey, k</w:t>
      </w:r>
      <w:r w:rsidR="001C6764" w:rsidRPr="00997F82">
        <w:t xml:space="preserve">ey barriers </w:t>
      </w:r>
      <w:r w:rsidR="00C87476" w:rsidRPr="00997F82">
        <w:t xml:space="preserve">and </w:t>
      </w:r>
      <w:r w:rsidR="001C6764" w:rsidRPr="00997F82">
        <w:t>challenges</w:t>
      </w:r>
      <w:r w:rsidR="00C87476" w:rsidRPr="00997F82">
        <w:t xml:space="preserve"> to participating in </w:t>
      </w:r>
      <w:r w:rsidR="00C22356" w:rsidRPr="00997F82">
        <w:t>PHN activities</w:t>
      </w:r>
      <w:r w:rsidR="001C6764" w:rsidRPr="00997F82">
        <w:t xml:space="preserve"> </w:t>
      </w:r>
      <w:r w:rsidR="001B3DF7" w:rsidRPr="00997F82">
        <w:t xml:space="preserve">also </w:t>
      </w:r>
      <w:r w:rsidR="00AB72D8" w:rsidRPr="00997F82">
        <w:t>commonly included competing priorities</w:t>
      </w:r>
      <w:r w:rsidR="005C31CB" w:rsidRPr="00997F82">
        <w:t>, and</w:t>
      </w:r>
      <w:r w:rsidR="004E73CD" w:rsidRPr="00997F82">
        <w:t xml:space="preserve"> absence of</w:t>
      </w:r>
      <w:r w:rsidR="005C31CB" w:rsidRPr="00997F82">
        <w:t xml:space="preserve"> remuneration</w:t>
      </w:r>
      <w:r w:rsidR="00AB72D8" w:rsidRPr="00997F82">
        <w:t xml:space="preserve"> </w:t>
      </w:r>
      <w:r w:rsidR="004E73CD" w:rsidRPr="00997F82">
        <w:t>or</w:t>
      </w:r>
      <w:r w:rsidR="00AB72D8" w:rsidRPr="00997F82">
        <w:t xml:space="preserve"> </w:t>
      </w:r>
      <w:r w:rsidR="005C31CB" w:rsidRPr="00997F82">
        <w:t>other incentives</w:t>
      </w:r>
      <w:r w:rsidR="003C7463" w:rsidRPr="00997F82">
        <w:t xml:space="preserve"> to encourage participation</w:t>
      </w:r>
      <w:r w:rsidR="00AB72D8" w:rsidRPr="00997F82">
        <w:t xml:space="preserve">. </w:t>
      </w:r>
      <w:r w:rsidR="003F3311" w:rsidRPr="00997F82">
        <w:t xml:space="preserve">PHNs in 29 regions reported that Program activities were often linked to CPD points for GPs and nursing staff. </w:t>
      </w:r>
    </w:p>
    <w:p w14:paraId="0FC6B133" w14:textId="7C90426B" w:rsidR="00D87F16" w:rsidRPr="004B61FB" w:rsidRDefault="00D87F16" w:rsidP="004B61FB">
      <w:pPr>
        <w:pStyle w:val="IntenseQuote"/>
      </w:pPr>
      <w:r w:rsidRPr="004B61FB">
        <w:t>“</w:t>
      </w:r>
      <w:r w:rsidR="00B105D9" w:rsidRPr="004B61FB">
        <w:t>When the Program works closely with the services on the ground, that’s positive, but it requires resources from the sector, which are often not renumerated</w:t>
      </w:r>
      <w:r w:rsidR="00020AF3" w:rsidRPr="004B61FB">
        <w:t>.</w:t>
      </w:r>
      <w:r w:rsidRPr="004B61FB">
        <w:t>”</w:t>
      </w:r>
    </w:p>
    <w:p w14:paraId="184AC7A5" w14:textId="65610400" w:rsidR="009275CC" w:rsidRPr="004B61FB" w:rsidRDefault="00EA7D42" w:rsidP="004B61FB">
      <w:pPr>
        <w:pStyle w:val="IntenseQuote"/>
      </w:pPr>
      <w:r w:rsidRPr="004B61FB">
        <w:t xml:space="preserve">Member of </w:t>
      </w:r>
      <w:r w:rsidR="006240C7" w:rsidRPr="004B61FB">
        <w:t xml:space="preserve">PHN </w:t>
      </w:r>
      <w:r w:rsidRPr="004B61FB">
        <w:t>Consortium</w:t>
      </w:r>
    </w:p>
    <w:p w14:paraId="14FB0F4B" w14:textId="266BAD65" w:rsidR="006A4A01" w:rsidRPr="00997F82" w:rsidRDefault="0097662B" w:rsidP="007E1413">
      <w:r w:rsidRPr="00997F82">
        <w:t xml:space="preserve">PHNs are </w:t>
      </w:r>
      <w:r w:rsidR="00B17A23" w:rsidRPr="00997F82">
        <w:t>cognizant</w:t>
      </w:r>
      <w:r w:rsidRPr="00997F82">
        <w:t xml:space="preserve"> of </w:t>
      </w:r>
      <w:r w:rsidR="00435ADE" w:rsidRPr="00997F82">
        <w:t xml:space="preserve">the </w:t>
      </w:r>
      <w:r w:rsidRPr="00997F82">
        <w:t xml:space="preserve">challenge </w:t>
      </w:r>
      <w:r w:rsidR="00435ADE" w:rsidRPr="00997F82">
        <w:t xml:space="preserve">related to </w:t>
      </w:r>
      <w:r w:rsidRPr="00997F82">
        <w:t>workforce capacity and incentive</w:t>
      </w:r>
      <w:r w:rsidR="00435ADE" w:rsidRPr="00997F82">
        <w:t>s</w:t>
      </w:r>
      <w:r w:rsidRPr="00997F82">
        <w:t xml:space="preserve"> to engage</w:t>
      </w:r>
      <w:r w:rsidR="00F229CD" w:rsidRPr="00997F82">
        <w:t xml:space="preserve"> </w:t>
      </w:r>
      <w:r w:rsidR="00261D26" w:rsidRPr="00997F82">
        <w:t xml:space="preserve">GPs </w:t>
      </w:r>
      <w:r w:rsidR="00F229CD" w:rsidRPr="00997F82">
        <w:t>in the Program</w:t>
      </w:r>
      <w:r w:rsidRPr="00997F82">
        <w:t xml:space="preserve">. </w:t>
      </w:r>
      <w:r w:rsidR="00032C95" w:rsidRPr="00997F82">
        <w:t>To</w:t>
      </w:r>
      <w:r w:rsidR="00F229CD" w:rsidRPr="00997F82">
        <w:t xml:space="preserve"> overcome this</w:t>
      </w:r>
      <w:r w:rsidR="00261D26" w:rsidRPr="00997F82">
        <w:t xml:space="preserve"> and in lieu of no engagement</w:t>
      </w:r>
      <w:r w:rsidR="00F229CD" w:rsidRPr="00997F82">
        <w:t xml:space="preserve">, </w:t>
      </w:r>
      <w:r w:rsidRPr="00997F82">
        <w:t>PHNs have focused on</w:t>
      </w:r>
      <w:r w:rsidR="008E63D6" w:rsidRPr="00997F82">
        <w:t xml:space="preserve"> targeting training for</w:t>
      </w:r>
      <w:r w:rsidRPr="00997F82">
        <w:t xml:space="preserve"> different </w:t>
      </w:r>
      <w:r w:rsidR="00F10596" w:rsidRPr="00997F82">
        <w:t>parts</w:t>
      </w:r>
      <w:r w:rsidRPr="00997F82">
        <w:t xml:space="preserve"> of </w:t>
      </w:r>
      <w:r w:rsidR="00F10596" w:rsidRPr="00997F82">
        <w:t xml:space="preserve">the palliative care </w:t>
      </w:r>
      <w:r w:rsidRPr="00997F82">
        <w:t>workforce</w:t>
      </w:r>
      <w:r w:rsidR="00EB7ACC" w:rsidRPr="00997F82">
        <w:t>,</w:t>
      </w:r>
      <w:r w:rsidR="00F20D7B" w:rsidRPr="00997F82">
        <w:t xml:space="preserve"> </w:t>
      </w:r>
      <w:r w:rsidR="00F229CD" w:rsidRPr="00997F82">
        <w:t xml:space="preserve">such as RACH </w:t>
      </w:r>
      <w:r w:rsidR="00F10596" w:rsidRPr="00997F82">
        <w:t xml:space="preserve">staff, home care staff </w:t>
      </w:r>
      <w:r w:rsidR="00F229CD" w:rsidRPr="00997F82">
        <w:t xml:space="preserve">and </w:t>
      </w:r>
      <w:r w:rsidR="00F10596" w:rsidRPr="00997F82">
        <w:t>palliative care volunteers</w:t>
      </w:r>
      <w:r w:rsidR="008E63D6" w:rsidRPr="00997F82">
        <w:t xml:space="preserve">. </w:t>
      </w:r>
      <w:r w:rsidR="00B95B5C" w:rsidRPr="00997F82">
        <w:t xml:space="preserve">PHNs have also </w:t>
      </w:r>
      <w:r w:rsidR="00ED7E55" w:rsidRPr="00997F82">
        <w:t xml:space="preserve">made considerable </w:t>
      </w:r>
      <w:r w:rsidR="00C452A4" w:rsidRPr="00997F82">
        <w:t>efforts</w:t>
      </w:r>
      <w:r w:rsidR="00ED7E55" w:rsidRPr="00997F82">
        <w:t xml:space="preserve"> to provide a range of </w:t>
      </w:r>
      <w:r w:rsidR="00C452A4" w:rsidRPr="00997F82">
        <w:t xml:space="preserve">delivery </w:t>
      </w:r>
      <w:r w:rsidR="0030305B" w:rsidRPr="00997F82">
        <w:t>methods and options for education and training</w:t>
      </w:r>
      <w:r w:rsidR="00BC503C" w:rsidRPr="00997F82">
        <w:t xml:space="preserve"> to maximise reach where possible.</w:t>
      </w:r>
      <w:r w:rsidR="000E17BB" w:rsidRPr="00997F82">
        <w:t xml:space="preserve"> </w:t>
      </w:r>
    </w:p>
    <w:p w14:paraId="4E40ED70" w14:textId="2BF076D0" w:rsidR="00CD0C99" w:rsidRPr="00997F82" w:rsidRDefault="00CD0C99" w:rsidP="00B20C7C">
      <w:pPr>
        <w:pStyle w:val="Heading3"/>
      </w:pPr>
      <w:r w:rsidRPr="00997F82">
        <w:t>Implications</w:t>
      </w:r>
    </w:p>
    <w:p w14:paraId="264D4921" w14:textId="281016B5" w:rsidR="00643D42" w:rsidRPr="00997F82" w:rsidRDefault="000B2C11" w:rsidP="00B20C7C">
      <w:pPr>
        <w:pStyle w:val="ListBullet"/>
      </w:pPr>
      <w:r w:rsidRPr="00997F82">
        <w:t xml:space="preserve">It is estimated that PHN activities focused on workforce education and awareness reached more than 5,540 primary care health professionals. </w:t>
      </w:r>
      <w:r w:rsidR="00332EA1" w:rsidRPr="00997F82">
        <w:t>Whil</w:t>
      </w:r>
      <w:r w:rsidR="00695CE7" w:rsidRPr="00997F82">
        <w:t>st this is a</w:t>
      </w:r>
      <w:r w:rsidR="00332EA1" w:rsidRPr="00997F82">
        <w:t xml:space="preserve"> small proportion of the </w:t>
      </w:r>
      <w:r w:rsidR="009C335A" w:rsidRPr="00997F82">
        <w:t>workforce nationally</w:t>
      </w:r>
      <w:r w:rsidR="002C37DE" w:rsidRPr="00997F82">
        <w:t xml:space="preserve"> (as compared to a national total of</w:t>
      </w:r>
      <w:r w:rsidR="00FF5963" w:rsidRPr="00997F82">
        <w:t xml:space="preserve"> 300 FTE palliative medicine physicians, and 3,300 FTE palliative care nurses employed in Australia</w:t>
      </w:r>
      <w:r w:rsidR="00F6100E" w:rsidRPr="00997F82">
        <w:t>)</w:t>
      </w:r>
      <w:r w:rsidR="00695CE7" w:rsidRPr="00997F82">
        <w:rPr>
          <w:rStyle w:val="FootnoteReference"/>
        </w:rPr>
        <w:t xml:space="preserve"> </w:t>
      </w:r>
      <w:r w:rsidR="00695CE7" w:rsidRPr="00997F82">
        <w:rPr>
          <w:rStyle w:val="FootnoteReference"/>
        </w:rPr>
        <w:footnoteReference w:id="39"/>
      </w:r>
      <w:r w:rsidRPr="00997F82">
        <w:t xml:space="preserve">, it </w:t>
      </w:r>
      <w:r w:rsidR="00695CE7" w:rsidRPr="00997F82">
        <w:t>represents</w:t>
      </w:r>
      <w:r w:rsidRPr="00997F82">
        <w:t xml:space="preserve"> an average of </w:t>
      </w:r>
      <w:r w:rsidR="00695CE7" w:rsidRPr="00997F82">
        <w:t xml:space="preserve">179 practitioners per PHN </w:t>
      </w:r>
      <w:r w:rsidR="00643D42" w:rsidRPr="00997F82">
        <w:t>and</w:t>
      </w:r>
      <w:r w:rsidR="00695CE7" w:rsidRPr="00997F82">
        <w:t xml:space="preserve"> positive impact towards</w:t>
      </w:r>
      <w:r w:rsidR="00643D42" w:rsidRPr="00997F82">
        <w:t xml:space="preserve"> awareness and confidence was reported.</w:t>
      </w:r>
      <w:r w:rsidR="00695CE7" w:rsidRPr="00997F82">
        <w:t xml:space="preserve"> </w:t>
      </w:r>
    </w:p>
    <w:p w14:paraId="52E51150" w14:textId="3CC091F6" w:rsidR="00E23672" w:rsidRPr="00997F82" w:rsidRDefault="00047A04" w:rsidP="00B20C7C">
      <w:pPr>
        <w:pStyle w:val="ListBullet"/>
      </w:pPr>
      <w:r w:rsidRPr="00997F82">
        <w:t xml:space="preserve">PHN </w:t>
      </w:r>
      <w:r w:rsidR="00E23672" w:rsidRPr="00997F82">
        <w:t xml:space="preserve">activity progress and impact is being challenged by constraints in </w:t>
      </w:r>
      <w:r w:rsidR="00B70E78" w:rsidRPr="00997F82">
        <w:t xml:space="preserve">participant </w:t>
      </w:r>
      <w:r w:rsidR="004A227C" w:rsidRPr="00997F82">
        <w:t>time</w:t>
      </w:r>
      <w:r w:rsidR="00BC39BB" w:rsidRPr="00997F82">
        <w:t xml:space="preserve"> and </w:t>
      </w:r>
      <w:r w:rsidR="004A227C" w:rsidRPr="00997F82">
        <w:t xml:space="preserve">available funding </w:t>
      </w:r>
      <w:r w:rsidR="00BC39BB" w:rsidRPr="00997F82">
        <w:t xml:space="preserve">for incentives, </w:t>
      </w:r>
      <w:r w:rsidR="004A227C" w:rsidRPr="00997F82">
        <w:t xml:space="preserve">with </w:t>
      </w:r>
      <w:r w:rsidR="00BC39BB" w:rsidRPr="00997F82">
        <w:t xml:space="preserve">consistent </w:t>
      </w:r>
      <w:r w:rsidR="00996EDB" w:rsidRPr="00997F82">
        <w:t>difficulties in engaging with GPs</w:t>
      </w:r>
      <w:r w:rsidR="00BC39BB" w:rsidRPr="00997F82">
        <w:t xml:space="preserve"> across PHNs</w:t>
      </w:r>
      <w:r w:rsidR="00996EDB" w:rsidRPr="00997F82">
        <w:t xml:space="preserve">. </w:t>
      </w:r>
    </w:p>
    <w:p w14:paraId="5BFD06F0" w14:textId="2CDCC943" w:rsidR="00001F1C" w:rsidRPr="00997F82" w:rsidRDefault="00BA247D" w:rsidP="00B20C7C">
      <w:pPr>
        <w:pStyle w:val="ListBullet"/>
      </w:pPr>
      <w:r w:rsidRPr="00997F82">
        <w:t xml:space="preserve">To better monitor and track reach and impact of PHN </w:t>
      </w:r>
      <w:r w:rsidR="00643D42" w:rsidRPr="00997F82">
        <w:t xml:space="preserve">workforce education and awareness </w:t>
      </w:r>
      <w:r w:rsidRPr="00997F82">
        <w:t xml:space="preserve">activities, </w:t>
      </w:r>
      <w:r w:rsidR="00DF5C2E" w:rsidRPr="00997F82">
        <w:t xml:space="preserve">a refined </w:t>
      </w:r>
      <w:proofErr w:type="gramStart"/>
      <w:r w:rsidR="00DF5C2E" w:rsidRPr="00997F82">
        <w:t>Post-event</w:t>
      </w:r>
      <w:proofErr w:type="gramEnd"/>
      <w:r w:rsidR="00DF5C2E" w:rsidRPr="00997F82">
        <w:t xml:space="preserve"> survey could be co-designed with PHNs</w:t>
      </w:r>
      <w:r w:rsidR="008B58D8" w:rsidRPr="00997F82">
        <w:t>,</w:t>
      </w:r>
      <w:r w:rsidR="00DF5C2E" w:rsidRPr="00997F82">
        <w:t xml:space="preserve"> and </w:t>
      </w:r>
      <w:r w:rsidR="008B58D8" w:rsidRPr="00997F82">
        <w:t>its use mandated</w:t>
      </w:r>
      <w:r w:rsidR="00D845B2" w:rsidRPr="00997F82">
        <w:t xml:space="preserve">. </w:t>
      </w:r>
      <w:r w:rsidR="000860EE" w:rsidRPr="00997F82">
        <w:t>A</w:t>
      </w:r>
      <w:r w:rsidR="00043510" w:rsidRPr="00997F82">
        <w:t xml:space="preserve"> follow up survey to explore long term </w:t>
      </w:r>
      <w:r w:rsidR="000860EE" w:rsidRPr="00997F82">
        <w:t xml:space="preserve">behaviours and practices of service providers could also be explored. </w:t>
      </w:r>
      <w:bookmarkStart w:id="42" w:name="_Ref202430970"/>
    </w:p>
    <w:p w14:paraId="66AA065B" w14:textId="0C819480" w:rsidR="00643D42" w:rsidRPr="00997F82" w:rsidRDefault="006240C7" w:rsidP="00B20C7C">
      <w:pPr>
        <w:pStyle w:val="ListBullet"/>
      </w:pPr>
      <w:r w:rsidRPr="00997F82">
        <w:t>Activities that have been successful in gaining reach and attendance</w:t>
      </w:r>
      <w:r w:rsidR="00151B1C" w:rsidRPr="00997F82">
        <w:t xml:space="preserve"> </w:t>
      </w:r>
      <w:r w:rsidR="001361FC" w:rsidRPr="00997F82">
        <w:t>should be identified</w:t>
      </w:r>
      <w:r w:rsidR="00151B1C" w:rsidRPr="00997F82">
        <w:t xml:space="preserve"> for the purpose of sharing and implementing across other PHNs in the future</w:t>
      </w:r>
      <w:r w:rsidRPr="00997F82">
        <w:t>.</w:t>
      </w:r>
      <w:r w:rsidR="00151B1C" w:rsidRPr="00997F82">
        <w:t xml:space="preserve"> </w:t>
      </w:r>
    </w:p>
    <w:p w14:paraId="3687008D" w14:textId="3FED9488" w:rsidR="00A0420A" w:rsidRPr="00997F82" w:rsidRDefault="00A0420A" w:rsidP="006805E3">
      <w:r w:rsidRPr="00997F82">
        <w:br w:type="page"/>
      </w:r>
    </w:p>
    <w:p w14:paraId="39C6C5B7" w14:textId="6CEADE9E" w:rsidR="00706C3F" w:rsidRPr="00997F82" w:rsidRDefault="00706C3F" w:rsidP="00277D66">
      <w:pPr>
        <w:pStyle w:val="Heading1"/>
      </w:pPr>
      <w:bookmarkStart w:id="43" w:name="_Toc226898035"/>
      <w:bookmarkStart w:id="44" w:name="_Toc231898086"/>
      <w:r w:rsidRPr="00997F82">
        <w:t>Patient Experience</w:t>
      </w:r>
      <w:bookmarkEnd w:id="42"/>
      <w:bookmarkEnd w:id="43"/>
      <w:bookmarkEnd w:id="44"/>
    </w:p>
    <w:p w14:paraId="09C8A02A" w14:textId="77777777" w:rsidR="00706C3F" w:rsidRPr="00997F82" w:rsidRDefault="00706C3F" w:rsidP="00277D66">
      <w:pPr>
        <w:pStyle w:val="Heading2"/>
      </w:pPr>
      <w:r w:rsidRPr="00997F82">
        <w:t xml:space="preserve">To what extent has awareness of palliative care in the community (including family and carers) increased? </w:t>
      </w:r>
    </w:p>
    <w:tbl>
      <w:tblPr>
        <w:tblStyle w:val="IMSTable"/>
        <w:tblW w:w="0" w:type="auto"/>
        <w:tblLook w:val="04A0" w:firstRow="1" w:lastRow="0" w:firstColumn="1" w:lastColumn="0" w:noHBand="0" w:noVBand="1"/>
      </w:tblPr>
      <w:tblGrid>
        <w:gridCol w:w="9016"/>
      </w:tblGrid>
      <w:tr w:rsidR="00643D42" w:rsidRPr="00997F82" w14:paraId="21740097" w14:textId="77777777" w:rsidTr="00FC7384">
        <w:trPr>
          <w:cnfStyle w:val="100000000000" w:firstRow="1" w:lastRow="0" w:firstColumn="0" w:lastColumn="0" w:oddVBand="0" w:evenVBand="0" w:oddHBand="0" w:evenHBand="0" w:firstRowFirstColumn="0" w:firstRowLastColumn="0" w:lastRowFirstColumn="0" w:lastRowLastColumn="0"/>
          <w:tblHeader/>
        </w:trPr>
        <w:tc>
          <w:tcPr>
            <w:tcW w:w="9016" w:type="dxa"/>
          </w:tcPr>
          <w:p w14:paraId="3C8DA808" w14:textId="61080A5E" w:rsidR="00643D42" w:rsidRPr="00FC7384" w:rsidRDefault="00643D42" w:rsidP="00FC7384">
            <w:r w:rsidRPr="00FC7384">
              <w:t>Key finding</w:t>
            </w:r>
          </w:p>
        </w:tc>
      </w:tr>
      <w:tr w:rsidR="00643D42" w:rsidRPr="00997F82" w14:paraId="22CD9541" w14:textId="77777777" w:rsidTr="00FC7384">
        <w:tc>
          <w:tcPr>
            <w:tcW w:w="9016" w:type="dxa"/>
          </w:tcPr>
          <w:p w14:paraId="7A4777D8" w14:textId="019181B9" w:rsidR="00643D42" w:rsidRPr="00997F82" w:rsidRDefault="00643D42" w:rsidP="002D0111">
            <w:pPr>
              <w:shd w:val="clear" w:color="auto" w:fill="FDF1E6" w:themeFill="accent5" w:themeFillTint="33"/>
              <w:rPr>
                <w:bCs/>
              </w:rPr>
            </w:pPr>
            <w:r w:rsidRPr="00997F82">
              <w:rPr>
                <w:bCs/>
              </w:rPr>
              <w:t xml:space="preserve">The Death Literacy Index has served as a vital tool for understanding and capturing levels of death literacy across PHN regions. </w:t>
            </w:r>
            <w:r w:rsidR="00AC6EDF" w:rsidRPr="00997F82">
              <w:t xml:space="preserve">While PHNs are conducting </w:t>
            </w:r>
            <w:r w:rsidR="005F50D7" w:rsidRPr="00997F82">
              <w:t xml:space="preserve">several community education </w:t>
            </w:r>
            <w:r w:rsidR="00AC6EDF" w:rsidRPr="00997F82">
              <w:t xml:space="preserve">activities such as </w:t>
            </w:r>
            <w:r w:rsidR="005F50D7" w:rsidRPr="00997F82">
              <w:t>Train the Trainer and Last Aid programs, improving</w:t>
            </w:r>
            <w:r w:rsidRPr="00997F82">
              <w:t xml:space="preserve"> </w:t>
            </w:r>
            <w:r w:rsidR="005F50D7" w:rsidRPr="00997F82">
              <w:t xml:space="preserve">the </w:t>
            </w:r>
            <w:r w:rsidRPr="00997F82">
              <w:t xml:space="preserve">pre-post </w:t>
            </w:r>
            <w:r w:rsidR="007A3CD8" w:rsidRPr="00997F82">
              <w:t xml:space="preserve">use </w:t>
            </w:r>
            <w:r w:rsidR="005F50D7" w:rsidRPr="00997F82">
              <w:t>of the Death Literacy Index</w:t>
            </w:r>
            <w:r w:rsidR="007A3CD8" w:rsidRPr="00997F82">
              <w:rPr>
                <w:bCs/>
              </w:rPr>
              <w:t xml:space="preserve"> and</w:t>
            </w:r>
            <w:r w:rsidRPr="00997F82">
              <w:rPr>
                <w:bCs/>
              </w:rPr>
              <w:t xml:space="preserve"> engaging in regular follow-up will enable greater understanding of the long</w:t>
            </w:r>
            <w:r w:rsidR="00125F84" w:rsidRPr="00997F82">
              <w:rPr>
                <w:bCs/>
              </w:rPr>
              <w:t>-</w:t>
            </w:r>
            <w:r w:rsidRPr="00997F82">
              <w:rPr>
                <w:bCs/>
              </w:rPr>
              <w:t>term impact of PHN activities and community-based initiatives.</w:t>
            </w:r>
            <w:r w:rsidR="00AC6EDF" w:rsidRPr="00997F82">
              <w:rPr>
                <w:bCs/>
              </w:rPr>
              <w:t xml:space="preserve"> </w:t>
            </w:r>
          </w:p>
        </w:tc>
      </w:tr>
    </w:tbl>
    <w:p w14:paraId="4270192C" w14:textId="06D2A4A2" w:rsidR="00863E34" w:rsidRPr="00B20C7C" w:rsidRDefault="00B518E8" w:rsidP="00B20C7C">
      <w:pPr>
        <w:pStyle w:val="Heading2nonumbers"/>
      </w:pPr>
      <w:r w:rsidRPr="00B20C7C">
        <w:t xml:space="preserve">Overall, evidence indicates moderate progress, with some areas for </w:t>
      </w:r>
      <w:r w:rsidR="00902DC0" w:rsidRPr="00B20C7C">
        <w:t xml:space="preserve">improvement </w:t>
      </w:r>
    </w:p>
    <w:p w14:paraId="70B52074" w14:textId="0C56FAD0" w:rsidR="00706C3F" w:rsidRPr="00997F82" w:rsidRDefault="00706C3F" w:rsidP="00B20C7C">
      <w:pPr>
        <w:pStyle w:val="Heading3"/>
      </w:pPr>
      <w:r w:rsidRPr="00997F82">
        <w:t>Background</w:t>
      </w:r>
    </w:p>
    <w:p w14:paraId="4C6104C3" w14:textId="492D7164" w:rsidR="0003552C" w:rsidRPr="00997F82" w:rsidRDefault="00255A00" w:rsidP="0003552C">
      <w:r w:rsidRPr="00997F82">
        <w:t>A 2024 report</w:t>
      </w:r>
      <w:r w:rsidR="00647A9E" w:rsidRPr="00997F82">
        <w:t xml:space="preserve"> from the AIHW estimates</w:t>
      </w:r>
      <w:r w:rsidR="00B71A77" w:rsidRPr="00997F82">
        <w:t xml:space="preserve"> that in 2019-20 there were </w:t>
      </w:r>
      <w:r w:rsidR="00336C65" w:rsidRPr="00997F82">
        <w:t>109,059 people aged 40 years or older who died from 10 selected underlying causes of death</w:t>
      </w:r>
      <w:r w:rsidR="00F23BAF" w:rsidRPr="00997F82">
        <w:t xml:space="preserve"> </w:t>
      </w:r>
      <w:r w:rsidR="00DD7895" w:rsidRPr="00997F82">
        <w:t>that would have</w:t>
      </w:r>
      <w:r w:rsidR="00F23BAF" w:rsidRPr="00997F82">
        <w:t xml:space="preserve"> required </w:t>
      </w:r>
      <w:r w:rsidR="002958D0" w:rsidRPr="00997F82">
        <w:t>palliative care</w:t>
      </w:r>
      <w:r w:rsidR="002D3D82" w:rsidRPr="00997F82">
        <w:t>.</w:t>
      </w:r>
      <w:r w:rsidR="0078387E" w:rsidRPr="00997F82">
        <w:rPr>
          <w:rStyle w:val="FootnoteReference"/>
        </w:rPr>
        <w:footnoteReference w:id="40"/>
      </w:r>
      <w:r w:rsidR="0003552C" w:rsidRPr="00997F82">
        <w:t xml:space="preserve"> </w:t>
      </w:r>
      <w:r w:rsidR="005E6540" w:rsidRPr="00997F82">
        <w:t xml:space="preserve">Each of these individuals, </w:t>
      </w:r>
      <w:r w:rsidR="00A4411B" w:rsidRPr="00997F82">
        <w:t xml:space="preserve">their families, carers, </w:t>
      </w:r>
      <w:r w:rsidR="002B3669" w:rsidRPr="00997F82">
        <w:t>and friends</w:t>
      </w:r>
      <w:r w:rsidR="006003BF" w:rsidRPr="00997F82">
        <w:t xml:space="preserve">, would </w:t>
      </w:r>
      <w:r w:rsidR="009011AF" w:rsidRPr="00997F82">
        <w:t xml:space="preserve">benefit from having knowledge and awareness of </w:t>
      </w:r>
      <w:r w:rsidR="00186680" w:rsidRPr="00997F82">
        <w:t>palliative care</w:t>
      </w:r>
      <w:r w:rsidR="006764A9" w:rsidRPr="00997F82">
        <w:t xml:space="preserve">. </w:t>
      </w:r>
    </w:p>
    <w:p w14:paraId="7AC5C27B" w14:textId="10C9897B" w:rsidR="00706C3F" w:rsidRPr="00997F82" w:rsidRDefault="00706C3F" w:rsidP="00706C3F">
      <w:r w:rsidRPr="00997F82">
        <w:t xml:space="preserve">PHNs have undertaken activities that aim to increase community awareness of palliative care in their regions, </w:t>
      </w:r>
      <w:r w:rsidR="00E0570C" w:rsidRPr="00997F82">
        <w:t>and</w:t>
      </w:r>
      <w:r w:rsidRPr="00997F82">
        <w:t xml:space="preserve"> encouraged conversations around death, dying, grief and end-of-life. PHN</w:t>
      </w:r>
      <w:r w:rsidR="007A66F1" w:rsidRPr="00997F82">
        <w:t xml:space="preserve"> activities have </w:t>
      </w:r>
      <w:r w:rsidR="00791FA3" w:rsidRPr="00997F82">
        <w:t xml:space="preserve">also included </w:t>
      </w:r>
      <w:r w:rsidR="007F1289" w:rsidRPr="00997F82">
        <w:t>implementing</w:t>
      </w:r>
      <w:r w:rsidRPr="00997F82">
        <w:t xml:space="preserve"> </w:t>
      </w:r>
      <w:r w:rsidR="007F1289" w:rsidRPr="00997F82">
        <w:t>a</w:t>
      </w:r>
      <w:r w:rsidRPr="00997F82">
        <w:t xml:space="preserve"> ‘Compassionate </w:t>
      </w:r>
      <w:proofErr w:type="gramStart"/>
      <w:r w:rsidRPr="00997F82">
        <w:t>Communities‘ model</w:t>
      </w:r>
      <w:proofErr w:type="gramEnd"/>
      <w:r w:rsidR="00BB5D39" w:rsidRPr="00997F82">
        <w:t>. This is</w:t>
      </w:r>
      <w:r w:rsidRPr="00997F82">
        <w:t xml:space="preserve"> a public health approach that </w:t>
      </w:r>
      <w:r w:rsidR="00BB5D39" w:rsidRPr="00997F82">
        <w:t>brings together</w:t>
      </w:r>
      <w:r w:rsidRPr="00997F82">
        <w:t xml:space="preserve"> naturally occurring and regionally based support networks, communities, neighbo</w:t>
      </w:r>
      <w:r w:rsidR="002024A1" w:rsidRPr="00997F82">
        <w:t>u</w:t>
      </w:r>
      <w:r w:rsidRPr="00997F82">
        <w:t>rhood and citizenship to support end</w:t>
      </w:r>
      <w:r w:rsidR="005B3996" w:rsidRPr="00997F82">
        <w:t>-</w:t>
      </w:r>
      <w:r w:rsidRPr="00997F82">
        <w:t>of</w:t>
      </w:r>
      <w:r w:rsidR="005B3996" w:rsidRPr="00997F82">
        <w:t>-</w:t>
      </w:r>
      <w:r w:rsidRPr="00997F82">
        <w:t>life, loss, caregiving and bereavement.</w:t>
      </w:r>
      <w:r w:rsidR="0065430A" w:rsidRPr="00997F82">
        <w:t xml:space="preserve"> </w:t>
      </w:r>
    </w:p>
    <w:p w14:paraId="577BEF6F" w14:textId="25E7BE4A" w:rsidR="006240C7" w:rsidRPr="00997F82" w:rsidRDefault="00CB69BE" w:rsidP="00706C3F">
      <w:r w:rsidRPr="00997F82">
        <w:t>Given that PHN engagement with communities was predominantly facilitated through established partnerships and existing key community groups, direct individual consumer recruitment that would necessitate ethics approval was not a component of this approach</w:t>
      </w:r>
      <w:r w:rsidR="007B4896" w:rsidRPr="00997F82">
        <w:t xml:space="preserve"> and </w:t>
      </w:r>
      <w:r w:rsidR="003E5372" w:rsidRPr="00997F82">
        <w:t>ethics approval was not sought to collect their experiences or views. Future evaluations could consider ethically approved methods to explore consumer input.</w:t>
      </w:r>
      <w:r w:rsidR="00073863" w:rsidRPr="00997F82" w:rsidDel="005C4DBF">
        <w:t xml:space="preserve"> </w:t>
      </w:r>
    </w:p>
    <w:p w14:paraId="0FC2EBD0" w14:textId="17962EBF" w:rsidR="00706C3F" w:rsidRPr="00997F82" w:rsidRDefault="00706C3F" w:rsidP="00B20C7C">
      <w:pPr>
        <w:pStyle w:val="Heading3"/>
      </w:pPr>
      <w:r w:rsidRPr="00997F82">
        <w:t>Findings</w:t>
      </w:r>
    </w:p>
    <w:p w14:paraId="799196D4" w14:textId="69CFA487" w:rsidR="00002669" w:rsidRPr="00997F82" w:rsidRDefault="00E0570C" w:rsidP="009B5909">
      <w:r w:rsidRPr="00997F82">
        <w:t xml:space="preserve">The </w:t>
      </w:r>
      <w:r w:rsidR="006240C7" w:rsidRPr="00997F82">
        <w:t xml:space="preserve">key </w:t>
      </w:r>
      <w:r w:rsidRPr="00997F82">
        <w:t xml:space="preserve">measurement tool for community engagement events </w:t>
      </w:r>
      <w:r w:rsidR="006240C7" w:rsidRPr="00997F82">
        <w:t xml:space="preserve">was </w:t>
      </w:r>
      <w:r w:rsidRPr="00997F82">
        <w:t>the use of the Death Literacy Index (DLI).</w:t>
      </w:r>
      <w:r w:rsidRPr="00997F82">
        <w:rPr>
          <w:rStyle w:val="FootnoteReference"/>
        </w:rPr>
        <w:footnoteReference w:id="41"/>
      </w:r>
      <w:r w:rsidR="005D2767" w:rsidRPr="00997F82">
        <w:t xml:space="preserve"> </w:t>
      </w:r>
      <w:r w:rsidR="006240C7" w:rsidRPr="00997F82">
        <w:t>F</w:t>
      </w:r>
      <w:r w:rsidR="0034069F" w:rsidRPr="00997F82">
        <w:t xml:space="preserve">rom 2023 to </w:t>
      </w:r>
      <w:r w:rsidR="00817C2A" w:rsidRPr="00997F82">
        <w:t>2025 a</w:t>
      </w:r>
      <w:r w:rsidRPr="00997F82">
        <w:t xml:space="preserve"> total of 1</w:t>
      </w:r>
      <w:r w:rsidR="00515655" w:rsidRPr="00997F82">
        <w:t>,</w:t>
      </w:r>
      <w:r w:rsidRPr="00997F82">
        <w:t xml:space="preserve">480 DLI responses were collected. </w:t>
      </w:r>
      <w:r w:rsidR="00DD3AB2" w:rsidRPr="00997F82">
        <w:t xml:space="preserve">DLI data </w:t>
      </w:r>
      <w:r w:rsidRPr="00997F82">
        <w:t xml:space="preserve">was </w:t>
      </w:r>
      <w:r w:rsidR="00DD3AB2" w:rsidRPr="00997F82">
        <w:t>primarily collected from participants in community awareness</w:t>
      </w:r>
      <w:r w:rsidR="008D0956" w:rsidRPr="00997F82">
        <w:t xml:space="preserve"> activities, however</w:t>
      </w:r>
      <w:r w:rsidR="003C1B2A" w:rsidRPr="00997F82">
        <w:t>,</w:t>
      </w:r>
      <w:r w:rsidR="008D0956" w:rsidRPr="00997F82">
        <w:t xml:space="preserve"> some PHNs incorporated the </w:t>
      </w:r>
      <w:r w:rsidRPr="00997F82">
        <w:t>tool</w:t>
      </w:r>
      <w:r w:rsidR="008D0956" w:rsidRPr="00997F82">
        <w:t xml:space="preserve"> into </w:t>
      </w:r>
      <w:r w:rsidR="006240C7" w:rsidRPr="00997F82">
        <w:t>w</w:t>
      </w:r>
      <w:r w:rsidR="00907179" w:rsidRPr="00997F82">
        <w:t xml:space="preserve">orkforce </w:t>
      </w:r>
      <w:r w:rsidR="00491ACA" w:rsidRPr="00997F82">
        <w:t xml:space="preserve">education and awareness and </w:t>
      </w:r>
      <w:r w:rsidR="006240C7" w:rsidRPr="00997F82">
        <w:t>as part of priority populations activities</w:t>
      </w:r>
      <w:r w:rsidR="00491ACA" w:rsidRPr="00997F82">
        <w:t>.</w:t>
      </w:r>
      <w:r w:rsidR="00907179" w:rsidRPr="00997F82">
        <w:t xml:space="preserve"> </w:t>
      </w:r>
      <w:r w:rsidRPr="00997F82">
        <w:t>While th</w:t>
      </w:r>
      <w:r w:rsidR="00456015" w:rsidRPr="00997F82">
        <w:t>e use of this tool by</w:t>
      </w:r>
      <w:r w:rsidRPr="00997F82">
        <w:t xml:space="preserve"> PHNs </w:t>
      </w:r>
      <w:r w:rsidR="00456015" w:rsidRPr="00997F82">
        <w:t xml:space="preserve">was </w:t>
      </w:r>
      <w:r w:rsidRPr="00997F82">
        <w:t xml:space="preserve">optional, </w:t>
      </w:r>
      <w:r w:rsidR="003C1B2A" w:rsidRPr="00997F82">
        <w:t xml:space="preserve">many </w:t>
      </w:r>
      <w:r w:rsidR="00A110E9" w:rsidRPr="00997F82">
        <w:t xml:space="preserve">found it useful </w:t>
      </w:r>
      <w:r w:rsidR="00042764" w:rsidRPr="00997F82">
        <w:t xml:space="preserve">to </w:t>
      </w:r>
      <w:r w:rsidR="004A13E2" w:rsidRPr="00997F82">
        <w:t>gauge</w:t>
      </w:r>
      <w:r w:rsidRPr="00997F82">
        <w:t xml:space="preserve"> death literacy levels </w:t>
      </w:r>
      <w:r w:rsidR="00285887" w:rsidRPr="00997F82">
        <w:t xml:space="preserve">in their </w:t>
      </w:r>
      <w:r w:rsidR="006240C7" w:rsidRPr="00997F82">
        <w:t>region and</w:t>
      </w:r>
      <w:r w:rsidR="00D01B08" w:rsidRPr="00997F82">
        <w:t xml:space="preserve"> assess impact of their </w:t>
      </w:r>
      <w:r w:rsidRPr="00997F82">
        <w:t>activities and events</w:t>
      </w:r>
      <w:r w:rsidR="004A13E2" w:rsidRPr="00997F82">
        <w:t>.</w:t>
      </w:r>
    </w:p>
    <w:p w14:paraId="49E67296" w14:textId="0FD0E18A" w:rsidR="00E0570C" w:rsidRPr="00997F82" w:rsidRDefault="00C02A0A" w:rsidP="009B5909">
      <w:r w:rsidRPr="00997F82">
        <w:t>The number of DLI responses</w:t>
      </w:r>
      <w:r w:rsidR="00766B25" w:rsidRPr="00997F82">
        <w:t xml:space="preserve"> </w:t>
      </w:r>
      <w:r w:rsidR="00164024" w:rsidRPr="00997F82">
        <w:t xml:space="preserve">only represents a small proportion of the </w:t>
      </w:r>
      <w:r w:rsidR="0006100D" w:rsidRPr="00997F82">
        <w:t xml:space="preserve">overall </w:t>
      </w:r>
      <w:r w:rsidR="00F34283" w:rsidRPr="00997F82">
        <w:t>reach of PHN events</w:t>
      </w:r>
      <w:r w:rsidR="006240C7" w:rsidRPr="00997F82">
        <w:t xml:space="preserve"> however the </w:t>
      </w:r>
      <w:r w:rsidR="00AE0719" w:rsidRPr="00997F82">
        <w:t>average DLI score across regions still offer</w:t>
      </w:r>
      <w:r w:rsidR="006240C7" w:rsidRPr="00997F82">
        <w:t>s</w:t>
      </w:r>
      <w:r w:rsidR="00AE0719" w:rsidRPr="00997F82">
        <w:t xml:space="preserve"> a useful indicator of increased awareness resulting from PHN activities. </w:t>
      </w:r>
      <w:r w:rsidR="00706C3F" w:rsidRPr="00997F82">
        <w:t xml:space="preserve">The average DLI score </w:t>
      </w:r>
      <w:r w:rsidR="00E0570C" w:rsidRPr="00997F82">
        <w:t>recorded across all responses</w:t>
      </w:r>
      <w:r w:rsidR="00706C3F" w:rsidRPr="00997F82">
        <w:t xml:space="preserve"> </w:t>
      </w:r>
      <w:r w:rsidR="00E0570C" w:rsidRPr="00997F82">
        <w:t>was</w:t>
      </w:r>
      <w:r w:rsidR="00706C3F" w:rsidRPr="00997F82">
        <w:t xml:space="preserve"> 6.4</w:t>
      </w:r>
      <w:r w:rsidR="00706C3F" w:rsidRPr="00997F82">
        <w:rPr>
          <w:rStyle w:val="FootnoteReference"/>
        </w:rPr>
        <w:footnoteReference w:id="42"/>
      </w:r>
      <w:r w:rsidR="00706C3F" w:rsidRPr="00997F82">
        <w:t xml:space="preserve">, </w:t>
      </w:r>
      <w:r w:rsidR="00EB7F04" w:rsidRPr="00997F82">
        <w:t>significantly higher than the national average of 4.7 (p &lt; 0.0001), suggesting that individuals engaged through PHN initiatives have higher death literacy. However, because DLI scores were rarely collected before and after events, there is limited evidence to directly attribute these higher scores to the events themselves.</w:t>
      </w:r>
    </w:p>
    <w:p w14:paraId="1326678B" w14:textId="63A8E14F" w:rsidR="00AF049A" w:rsidRPr="00997F82" w:rsidRDefault="00706C3F" w:rsidP="009B5909">
      <w:r w:rsidRPr="00997F82">
        <w:t xml:space="preserve">There was no notable difference in DLI scores that were collected closer to the beginning of the </w:t>
      </w:r>
      <w:r w:rsidR="00AF049A" w:rsidRPr="00997F82">
        <w:t>Program</w:t>
      </w:r>
      <w:r w:rsidRPr="00997F82">
        <w:t xml:space="preserve"> than those at the end of the evaluation period. </w:t>
      </w:r>
      <w:r w:rsidR="004E76FC" w:rsidRPr="00997F82">
        <w:t>However,</w:t>
      </w:r>
      <w:r w:rsidR="00A83C19" w:rsidRPr="00997F82">
        <w:t xml:space="preserve"> </w:t>
      </w:r>
      <w:r w:rsidR="004E76FC" w:rsidRPr="00997F82">
        <w:t xml:space="preserve">responses collected from pilot </w:t>
      </w:r>
      <w:r w:rsidR="00A83C19" w:rsidRPr="00997F82">
        <w:t>PHNs and metro PHNs were above the national average of 6.4, while those from non-pilot PHNs and rural PHNs were below the national average</w:t>
      </w:r>
      <w:r w:rsidR="00382FCE" w:rsidRPr="00997F82">
        <w:t xml:space="preserve"> (</w:t>
      </w:r>
      <w:r w:rsidR="00382FCE" w:rsidRPr="00997F82">
        <w:fldChar w:fldCharType="begin"/>
      </w:r>
      <w:r w:rsidR="00382FCE" w:rsidRPr="00997F82">
        <w:instrText xml:space="preserve"> REF _Ref201863177 \h  \* MERGEFORMAT </w:instrText>
      </w:r>
      <w:r w:rsidR="00382FCE" w:rsidRPr="00997F82">
        <w:fldChar w:fldCharType="separate"/>
      </w:r>
      <w:r w:rsidR="00735424" w:rsidRPr="00997F82">
        <w:t xml:space="preserve">Table </w:t>
      </w:r>
      <w:r w:rsidR="00735424">
        <w:t>11</w:t>
      </w:r>
      <w:r w:rsidR="00382FCE" w:rsidRPr="00997F82">
        <w:fldChar w:fldCharType="end"/>
      </w:r>
      <w:r w:rsidR="00382FCE" w:rsidRPr="00997F82">
        <w:t>)</w:t>
      </w:r>
      <w:r w:rsidR="00A83C19" w:rsidRPr="00997F82">
        <w:t>.</w:t>
      </w:r>
      <w:r w:rsidR="006240C7" w:rsidRPr="00997F82">
        <w:t xml:space="preserve"> There is limited evidence or reason to indicate why this may be the </w:t>
      </w:r>
      <w:r w:rsidR="00F51E60" w:rsidRPr="00997F82">
        <w:t>case;</w:t>
      </w:r>
      <w:r w:rsidR="006240C7" w:rsidRPr="00997F82">
        <w:t xml:space="preserve"> </w:t>
      </w:r>
      <w:r w:rsidR="004F1CB1" w:rsidRPr="00997F82">
        <w:t>however,</w:t>
      </w:r>
      <w:r w:rsidR="006240C7" w:rsidRPr="00997F82">
        <w:t xml:space="preserve"> it could be attributed to the level of stigma </w:t>
      </w:r>
      <w:r w:rsidR="00F51E60" w:rsidRPr="00997F82">
        <w:t xml:space="preserve">and taboo surrounding death and dying </w:t>
      </w:r>
      <w:r w:rsidR="000B5D0B" w:rsidRPr="00997F82">
        <w:t>or the lack of palliative care information and services in these regions</w:t>
      </w:r>
      <w:r w:rsidR="00B64BAC" w:rsidRPr="00997F82">
        <w:t>, a</w:t>
      </w:r>
      <w:r w:rsidR="00D974B6" w:rsidRPr="00997F82">
        <w:t xml:space="preserve">s highlighted </w:t>
      </w:r>
      <w:r w:rsidR="003D5BAB" w:rsidRPr="00997F82">
        <w:t xml:space="preserve">by </w:t>
      </w:r>
      <w:r w:rsidR="00360AE1" w:rsidRPr="00997F82">
        <w:t xml:space="preserve">participants </w:t>
      </w:r>
      <w:r w:rsidR="00E6254B" w:rsidRPr="00997F82">
        <w:t>during consultations</w:t>
      </w:r>
      <w:r w:rsidR="009E586C" w:rsidRPr="00997F82">
        <w:t xml:space="preserve"> with PHNs</w:t>
      </w:r>
      <w:r w:rsidR="00010F34" w:rsidRPr="00997F82">
        <w:t>.</w:t>
      </w:r>
      <w:r w:rsidR="00924402" w:rsidRPr="00997F82">
        <w:rPr>
          <w:rStyle w:val="FootnoteReference"/>
        </w:rPr>
        <w:footnoteReference w:id="43"/>
      </w:r>
      <w:r w:rsidR="009E586C" w:rsidRPr="00997F82">
        <w:t xml:space="preserve"> </w:t>
      </w:r>
    </w:p>
    <w:p w14:paraId="3F7CCC06" w14:textId="4542EF27" w:rsidR="004E76FC" w:rsidRPr="00997F82" w:rsidRDefault="004E76FC" w:rsidP="00277D66">
      <w:pPr>
        <w:pStyle w:val="Caption"/>
      </w:pPr>
      <w:bookmarkStart w:id="45" w:name="_Ref201863177"/>
      <w:bookmarkStart w:id="46" w:name="_Ref202297703"/>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11</w:t>
      </w:r>
      <w:r w:rsidR="0002526D" w:rsidRPr="00997F82">
        <w:fldChar w:fldCharType="end"/>
      </w:r>
      <w:bookmarkEnd w:id="45"/>
      <w:r w:rsidRPr="00997F82">
        <w:t>: Average DLI scores by state, pilot status and rurality</w:t>
      </w:r>
      <w:bookmarkEnd w:id="46"/>
    </w:p>
    <w:tbl>
      <w:tblPr>
        <w:tblStyle w:val="GridTable1Light-Accent4"/>
        <w:tblW w:w="9021" w:type="dxa"/>
        <w:tblInd w:w="-5" w:type="dxa"/>
        <w:tblBorders>
          <w:top w:val="single" w:sz="4" w:space="0" w:color="AEB3D2" w:themeColor="accent2" w:themeTint="66"/>
          <w:left w:val="single" w:sz="4" w:space="0" w:color="AEB3D2" w:themeColor="accent2" w:themeTint="66"/>
          <w:bottom w:val="single" w:sz="4" w:space="0" w:color="AEB3D2" w:themeColor="accent2" w:themeTint="66"/>
          <w:right w:val="single" w:sz="4" w:space="0" w:color="AEB3D2" w:themeColor="accent2" w:themeTint="66"/>
          <w:insideH w:val="single" w:sz="4" w:space="0" w:color="AEB3D2" w:themeColor="accent2" w:themeTint="66"/>
          <w:insideV w:val="single" w:sz="4" w:space="0" w:color="AEB3D2" w:themeColor="accent2" w:themeTint="66"/>
        </w:tblBorders>
        <w:tblLayout w:type="fixed"/>
        <w:tblLook w:val="04A0" w:firstRow="1" w:lastRow="0" w:firstColumn="1" w:lastColumn="0" w:noHBand="0" w:noVBand="1"/>
      </w:tblPr>
      <w:tblGrid>
        <w:gridCol w:w="1418"/>
        <w:gridCol w:w="2908"/>
        <w:gridCol w:w="2909"/>
        <w:gridCol w:w="1786"/>
      </w:tblGrid>
      <w:tr w:rsidR="0017280B" w:rsidRPr="00997F82" w14:paraId="066BE7D4" w14:textId="77777777" w:rsidTr="00FC7384">
        <w:trPr>
          <w:cnfStyle w:val="100000000000" w:firstRow="1" w:lastRow="0" w:firstColumn="0" w:lastColumn="0" w:oddVBand="0" w:evenVBand="0" w:oddHBand="0" w:evenHBand="0" w:firstRowFirstColumn="0" w:firstRowLastColumn="0" w:lastRowFirstColumn="0" w:lastRowLastColumn="0"/>
          <w:trHeight w:val="329"/>
          <w:tblHeader/>
        </w:trPr>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nil"/>
              <w:right w:val="single" w:sz="4" w:space="0" w:color="858DBB" w:themeColor="accent2" w:themeTint="99"/>
            </w:tcBorders>
            <w:shd w:val="clear" w:color="auto" w:fill="FFFFFF" w:themeFill="background1"/>
            <w:vAlign w:val="center"/>
          </w:tcPr>
          <w:p w14:paraId="499E5E40" w14:textId="77777777" w:rsidR="000A5C31" w:rsidRPr="00997F82" w:rsidRDefault="000A5C31">
            <w:pPr>
              <w:rPr>
                <w:rFonts w:asciiTheme="minorHAnsi" w:eastAsia="Times New Roman" w:hAnsiTheme="minorHAnsi" w:cs="Times New Roman"/>
                <w:color w:val="000000"/>
                <w:sz w:val="18"/>
                <w:szCs w:val="18"/>
                <w:lang w:eastAsia="en-AU"/>
              </w:rPr>
            </w:pPr>
          </w:p>
        </w:tc>
        <w:tc>
          <w:tcPr>
            <w:tcW w:w="2908" w:type="dxa"/>
            <w:tcBorders>
              <w:left w:val="single" w:sz="4" w:space="0" w:color="858DBB" w:themeColor="accent2" w:themeTint="99"/>
            </w:tcBorders>
            <w:vAlign w:val="center"/>
          </w:tcPr>
          <w:p w14:paraId="2A6BD2D1" w14:textId="77BD2D59" w:rsidR="000A5C31" w:rsidRPr="00997F82" w:rsidRDefault="00DA499E" w:rsidP="004E76FC">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Number of responses</w:t>
            </w:r>
          </w:p>
        </w:tc>
        <w:tc>
          <w:tcPr>
            <w:tcW w:w="2909" w:type="dxa"/>
            <w:noWrap/>
            <w:vAlign w:val="center"/>
          </w:tcPr>
          <w:p w14:paraId="5B929A62" w14:textId="00A2B28F" w:rsidR="000A5C31" w:rsidRPr="00997F82" w:rsidRDefault="00DA499E" w:rsidP="004E76FC">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Average DLI score</w:t>
            </w:r>
          </w:p>
        </w:tc>
        <w:tc>
          <w:tcPr>
            <w:tcW w:w="1786" w:type="dxa"/>
            <w:noWrap/>
            <w:vAlign w:val="center"/>
          </w:tcPr>
          <w:p w14:paraId="22399957" w14:textId="73DA73CC" w:rsidR="000A5C31" w:rsidRPr="00997F82" w:rsidRDefault="00DA499E" w:rsidP="004E76FC">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National average</w:t>
            </w:r>
          </w:p>
        </w:tc>
      </w:tr>
      <w:tr w:rsidR="004112EA" w:rsidRPr="00997F82" w14:paraId="351AEEED" w14:textId="77777777" w:rsidTr="00DA499E">
        <w:trPr>
          <w:trHeight w:val="329"/>
        </w:trPr>
        <w:tc>
          <w:tcPr>
            <w:cnfStyle w:val="001000000000" w:firstRow="0" w:lastRow="0" w:firstColumn="1" w:lastColumn="0" w:oddVBand="0" w:evenVBand="0" w:oddHBand="0" w:evenHBand="0" w:firstRowFirstColumn="0" w:firstRowLastColumn="0" w:lastRowFirstColumn="0" w:lastRowLastColumn="0"/>
            <w:tcW w:w="9021" w:type="dxa"/>
            <w:gridSpan w:val="4"/>
            <w:shd w:val="clear" w:color="auto" w:fill="D9D9D9" w:themeFill="background1" w:themeFillShade="D9"/>
            <w:vAlign w:val="center"/>
          </w:tcPr>
          <w:p w14:paraId="45046255" w14:textId="7C37ECCC" w:rsidR="00DA499E" w:rsidRPr="00997F82" w:rsidRDefault="00DA499E" w:rsidP="00DA499E">
            <w:pPr>
              <w:rPr>
                <w:rFonts w:asciiTheme="minorHAnsi" w:eastAsia="Times New Roman" w:hAnsiTheme="minorHAnsi" w:cs="Times New Roman"/>
                <w:b w:val="0"/>
                <w:i/>
                <w:color w:val="000000"/>
                <w:sz w:val="18"/>
                <w:szCs w:val="18"/>
                <w:lang w:eastAsia="en-AU"/>
              </w:rPr>
            </w:pPr>
            <w:r w:rsidRPr="00997F82">
              <w:rPr>
                <w:rFonts w:asciiTheme="minorHAnsi" w:eastAsia="Times New Roman" w:hAnsiTheme="minorHAnsi" w:cs="Times New Roman"/>
                <w:i/>
                <w:iCs/>
                <w:color w:val="000000"/>
                <w:sz w:val="18"/>
                <w:szCs w:val="18"/>
                <w:lang w:eastAsia="en-AU"/>
              </w:rPr>
              <w:t xml:space="preserve">State </w:t>
            </w:r>
          </w:p>
        </w:tc>
      </w:tr>
      <w:tr w:rsidR="0050556C" w:rsidRPr="00997F82" w14:paraId="3634E32A" w14:textId="77777777" w:rsidTr="00A83C19">
        <w:trPr>
          <w:trHeight w:val="329"/>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1BEDC6CE" w14:textId="4DDAA101" w:rsidR="00DA499E" w:rsidRPr="00997F82" w:rsidRDefault="00DA499E">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NSW</w:t>
            </w:r>
          </w:p>
        </w:tc>
        <w:tc>
          <w:tcPr>
            <w:tcW w:w="2908" w:type="dxa"/>
          </w:tcPr>
          <w:p w14:paraId="4A53B93F" w14:textId="488F7C3F" w:rsidR="00DA499E" w:rsidRPr="00997F82" w:rsidRDefault="00DA499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425</w:t>
            </w:r>
          </w:p>
        </w:tc>
        <w:tc>
          <w:tcPr>
            <w:tcW w:w="2909" w:type="dxa"/>
            <w:shd w:val="clear" w:color="auto" w:fill="CBF39B"/>
            <w:noWrap/>
            <w:vAlign w:val="center"/>
            <w:hideMark/>
          </w:tcPr>
          <w:p w14:paraId="0BF09E10" w14:textId="4BA3B638" w:rsidR="00DA499E" w:rsidRPr="00997F82" w:rsidRDefault="00DA499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7.01</w:t>
            </w:r>
          </w:p>
        </w:tc>
        <w:tc>
          <w:tcPr>
            <w:tcW w:w="1786" w:type="dxa"/>
            <w:vMerge w:val="restart"/>
            <w:noWrap/>
            <w:vAlign w:val="center"/>
            <w:hideMark/>
          </w:tcPr>
          <w:p w14:paraId="28EC7B65" w14:textId="00A2E8B6"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6.40</w:t>
            </w:r>
          </w:p>
        </w:tc>
      </w:tr>
      <w:tr w:rsidR="00DA499E" w:rsidRPr="00997F82" w14:paraId="7CACB25C" w14:textId="77777777" w:rsidTr="00A83C19">
        <w:trPr>
          <w:trHeight w:val="336"/>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25FB89D1" w14:textId="312E8E53" w:rsidR="00DA499E" w:rsidRPr="00997F82" w:rsidRDefault="00DA499E">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QLD</w:t>
            </w:r>
          </w:p>
        </w:tc>
        <w:tc>
          <w:tcPr>
            <w:tcW w:w="2908" w:type="dxa"/>
          </w:tcPr>
          <w:p w14:paraId="15B54225" w14:textId="0281E5FA" w:rsidR="00DA499E" w:rsidRPr="00997F82" w:rsidRDefault="00DA499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226</w:t>
            </w:r>
          </w:p>
        </w:tc>
        <w:tc>
          <w:tcPr>
            <w:tcW w:w="2909" w:type="dxa"/>
            <w:noWrap/>
            <w:vAlign w:val="center"/>
            <w:hideMark/>
          </w:tcPr>
          <w:p w14:paraId="3DE2DC4F" w14:textId="7CAB5844" w:rsidR="00DA499E" w:rsidRPr="00997F82" w:rsidRDefault="00DA499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5.74</w:t>
            </w:r>
          </w:p>
        </w:tc>
        <w:tc>
          <w:tcPr>
            <w:tcW w:w="1786" w:type="dxa"/>
            <w:vMerge/>
            <w:noWrap/>
            <w:vAlign w:val="center"/>
            <w:hideMark/>
          </w:tcPr>
          <w:p w14:paraId="432AA42E" w14:textId="6748FFFA"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p>
        </w:tc>
      </w:tr>
      <w:tr w:rsidR="0050556C" w:rsidRPr="00997F82" w14:paraId="6BFCBFDB" w14:textId="77777777" w:rsidTr="00A83C19">
        <w:trPr>
          <w:trHeight w:val="336"/>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08437461" w14:textId="641F360D" w:rsidR="00DA499E" w:rsidRPr="00997F82" w:rsidRDefault="00DA499E">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SA</w:t>
            </w:r>
          </w:p>
        </w:tc>
        <w:tc>
          <w:tcPr>
            <w:tcW w:w="2908" w:type="dxa"/>
          </w:tcPr>
          <w:p w14:paraId="3DF665AA" w14:textId="70957C6B" w:rsidR="00DA499E" w:rsidRPr="00997F82" w:rsidRDefault="00DA499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289</w:t>
            </w:r>
          </w:p>
        </w:tc>
        <w:tc>
          <w:tcPr>
            <w:tcW w:w="2909" w:type="dxa"/>
            <w:shd w:val="clear" w:color="auto" w:fill="CBF39B"/>
            <w:noWrap/>
            <w:vAlign w:val="center"/>
            <w:hideMark/>
          </w:tcPr>
          <w:p w14:paraId="1ED45195" w14:textId="11074E8D" w:rsidR="00DA499E" w:rsidRPr="00997F82" w:rsidRDefault="00DA499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6.93</w:t>
            </w:r>
          </w:p>
        </w:tc>
        <w:tc>
          <w:tcPr>
            <w:tcW w:w="1786" w:type="dxa"/>
            <w:vMerge/>
            <w:noWrap/>
            <w:vAlign w:val="center"/>
            <w:hideMark/>
          </w:tcPr>
          <w:p w14:paraId="524A7846" w14:textId="6EF75B19"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p>
        </w:tc>
      </w:tr>
      <w:tr w:rsidR="00DA499E" w:rsidRPr="00997F82" w14:paraId="03E6785D" w14:textId="77777777" w:rsidTr="00A83C19">
        <w:trPr>
          <w:trHeight w:val="336"/>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5A592014" w14:textId="58B3F04A" w:rsidR="00DA499E" w:rsidRPr="00997F82" w:rsidRDefault="00DA499E" w:rsidP="00090AAF">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VIC</w:t>
            </w:r>
          </w:p>
        </w:tc>
        <w:tc>
          <w:tcPr>
            <w:tcW w:w="2908" w:type="dxa"/>
          </w:tcPr>
          <w:p w14:paraId="3FAF9A9B" w14:textId="6DB8A49B"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439</w:t>
            </w:r>
          </w:p>
        </w:tc>
        <w:tc>
          <w:tcPr>
            <w:tcW w:w="2909" w:type="dxa"/>
            <w:noWrap/>
            <w:vAlign w:val="center"/>
            <w:hideMark/>
          </w:tcPr>
          <w:p w14:paraId="28309248" w14:textId="003B78E5"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6.18</w:t>
            </w:r>
          </w:p>
        </w:tc>
        <w:tc>
          <w:tcPr>
            <w:tcW w:w="1786" w:type="dxa"/>
            <w:vMerge/>
            <w:noWrap/>
            <w:vAlign w:val="center"/>
            <w:hideMark/>
          </w:tcPr>
          <w:p w14:paraId="6A68A706" w14:textId="6A2A3F09"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p>
        </w:tc>
      </w:tr>
      <w:tr w:rsidR="00DA499E" w:rsidRPr="00997F82" w14:paraId="2883633C" w14:textId="77777777" w:rsidTr="00A83C19">
        <w:trPr>
          <w:trHeight w:val="336"/>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25DF7E6" w14:textId="58C2FCFA" w:rsidR="00DA499E" w:rsidRPr="00997F82" w:rsidRDefault="00DA499E" w:rsidP="00090AAF">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WA</w:t>
            </w:r>
          </w:p>
        </w:tc>
        <w:tc>
          <w:tcPr>
            <w:tcW w:w="2908" w:type="dxa"/>
          </w:tcPr>
          <w:p w14:paraId="29FC18D5" w14:textId="0E120EE2"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84</w:t>
            </w:r>
          </w:p>
        </w:tc>
        <w:tc>
          <w:tcPr>
            <w:tcW w:w="2909" w:type="dxa"/>
            <w:noWrap/>
            <w:vAlign w:val="center"/>
          </w:tcPr>
          <w:p w14:paraId="47517AE5" w14:textId="3992F1BB"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5.85</w:t>
            </w:r>
          </w:p>
        </w:tc>
        <w:tc>
          <w:tcPr>
            <w:tcW w:w="1786" w:type="dxa"/>
            <w:vMerge/>
            <w:noWrap/>
            <w:vAlign w:val="center"/>
          </w:tcPr>
          <w:p w14:paraId="1BE48307" w14:textId="77777777"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p>
        </w:tc>
      </w:tr>
      <w:tr w:rsidR="004112EA" w:rsidRPr="00997F82" w14:paraId="554AC7B4" w14:textId="77777777" w:rsidTr="00DA499E">
        <w:trPr>
          <w:trHeight w:val="336"/>
        </w:trPr>
        <w:tc>
          <w:tcPr>
            <w:cnfStyle w:val="001000000000" w:firstRow="0" w:lastRow="0" w:firstColumn="1" w:lastColumn="0" w:oddVBand="0" w:evenVBand="0" w:oddHBand="0" w:evenHBand="0" w:firstRowFirstColumn="0" w:firstRowLastColumn="0" w:lastRowFirstColumn="0" w:lastRowLastColumn="0"/>
            <w:tcW w:w="9021" w:type="dxa"/>
            <w:gridSpan w:val="4"/>
            <w:shd w:val="clear" w:color="auto" w:fill="D9D9D9" w:themeFill="background1" w:themeFillShade="D9"/>
            <w:vAlign w:val="center"/>
          </w:tcPr>
          <w:p w14:paraId="71F096EE" w14:textId="37B78897" w:rsidR="00DA499E" w:rsidRPr="00997F82" w:rsidRDefault="00DA499E" w:rsidP="00DA499E">
            <w:pPr>
              <w:rPr>
                <w:rFonts w:asciiTheme="minorHAnsi" w:eastAsia="Times New Roman" w:hAnsiTheme="minorHAnsi" w:cs="Times New Roman"/>
                <w:b w:val="0"/>
                <w:i/>
                <w:color w:val="000000"/>
                <w:sz w:val="18"/>
                <w:szCs w:val="18"/>
                <w:lang w:eastAsia="en-AU"/>
              </w:rPr>
            </w:pPr>
            <w:r w:rsidRPr="00997F82">
              <w:rPr>
                <w:rFonts w:asciiTheme="minorHAnsi" w:eastAsia="Times New Roman" w:hAnsiTheme="minorHAnsi" w:cs="Times New Roman"/>
                <w:i/>
                <w:iCs/>
                <w:color w:val="000000"/>
                <w:sz w:val="18"/>
                <w:szCs w:val="18"/>
                <w:lang w:eastAsia="en-AU"/>
              </w:rPr>
              <w:t>Pilot status</w:t>
            </w:r>
          </w:p>
        </w:tc>
      </w:tr>
      <w:tr w:rsidR="0050556C" w:rsidRPr="00997F82" w14:paraId="2EFB4958" w14:textId="77777777" w:rsidTr="00A83C19">
        <w:trPr>
          <w:trHeight w:val="336"/>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7FA79C96" w14:textId="2A5AA49B" w:rsidR="00DA499E" w:rsidRPr="00997F82" w:rsidRDefault="00DA499E" w:rsidP="00090AAF">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Pilot</w:t>
            </w:r>
          </w:p>
        </w:tc>
        <w:tc>
          <w:tcPr>
            <w:tcW w:w="2908" w:type="dxa"/>
          </w:tcPr>
          <w:p w14:paraId="4D6E2087" w14:textId="75853B4C"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404</w:t>
            </w:r>
          </w:p>
        </w:tc>
        <w:tc>
          <w:tcPr>
            <w:tcW w:w="2909" w:type="dxa"/>
            <w:shd w:val="clear" w:color="auto" w:fill="CBF39B"/>
            <w:noWrap/>
            <w:vAlign w:val="center"/>
          </w:tcPr>
          <w:p w14:paraId="5C2F1097" w14:textId="15CCC4F0"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6.53</w:t>
            </w:r>
          </w:p>
        </w:tc>
        <w:tc>
          <w:tcPr>
            <w:tcW w:w="1786" w:type="dxa"/>
            <w:vMerge w:val="restart"/>
            <w:noWrap/>
            <w:vAlign w:val="center"/>
          </w:tcPr>
          <w:p w14:paraId="149C527D" w14:textId="04C63768"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6.40</w:t>
            </w:r>
          </w:p>
        </w:tc>
      </w:tr>
      <w:tr w:rsidR="00DA499E" w:rsidRPr="00997F82" w14:paraId="138AA8AB" w14:textId="77777777" w:rsidTr="00A83C19">
        <w:trPr>
          <w:trHeight w:val="336"/>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10B71590" w14:textId="38B90FC5" w:rsidR="00DA499E" w:rsidRPr="00997F82" w:rsidRDefault="00DA499E" w:rsidP="00090AAF">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Non-pilot</w:t>
            </w:r>
          </w:p>
        </w:tc>
        <w:tc>
          <w:tcPr>
            <w:tcW w:w="2908" w:type="dxa"/>
          </w:tcPr>
          <w:p w14:paraId="6B16D9B5" w14:textId="26224432"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w:t>
            </w:r>
            <w:r w:rsidR="00384E25" w:rsidRPr="00997F82">
              <w:rPr>
                <w:rFonts w:asciiTheme="minorHAnsi" w:eastAsia="Times New Roman" w:hAnsiTheme="minorHAnsi" w:cs="Times New Roman"/>
                <w:color w:val="000000"/>
                <w:sz w:val="18"/>
                <w:szCs w:val="18"/>
                <w:lang w:eastAsia="en-AU"/>
              </w:rPr>
              <w:t>,</w:t>
            </w:r>
            <w:r w:rsidRPr="00997F82">
              <w:rPr>
                <w:rFonts w:asciiTheme="minorHAnsi" w:eastAsia="Times New Roman" w:hAnsiTheme="minorHAnsi" w:cs="Times New Roman"/>
                <w:color w:val="000000"/>
                <w:sz w:val="18"/>
                <w:szCs w:val="18"/>
                <w:lang w:eastAsia="en-AU"/>
              </w:rPr>
              <w:t>076</w:t>
            </w:r>
          </w:p>
        </w:tc>
        <w:tc>
          <w:tcPr>
            <w:tcW w:w="2909" w:type="dxa"/>
            <w:noWrap/>
            <w:vAlign w:val="center"/>
          </w:tcPr>
          <w:p w14:paraId="5AC2EC15" w14:textId="6F753D14"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6.35</w:t>
            </w:r>
          </w:p>
        </w:tc>
        <w:tc>
          <w:tcPr>
            <w:tcW w:w="1786" w:type="dxa"/>
            <w:vMerge/>
            <w:noWrap/>
            <w:vAlign w:val="center"/>
          </w:tcPr>
          <w:p w14:paraId="02E7D95E" w14:textId="77777777"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p>
        </w:tc>
      </w:tr>
      <w:tr w:rsidR="004112EA" w:rsidRPr="00997F82" w14:paraId="50426173" w14:textId="77777777" w:rsidTr="00DA499E">
        <w:trPr>
          <w:trHeight w:val="336"/>
        </w:trPr>
        <w:tc>
          <w:tcPr>
            <w:cnfStyle w:val="001000000000" w:firstRow="0" w:lastRow="0" w:firstColumn="1" w:lastColumn="0" w:oddVBand="0" w:evenVBand="0" w:oddHBand="0" w:evenHBand="0" w:firstRowFirstColumn="0" w:firstRowLastColumn="0" w:lastRowFirstColumn="0" w:lastRowLastColumn="0"/>
            <w:tcW w:w="9021" w:type="dxa"/>
            <w:gridSpan w:val="4"/>
            <w:shd w:val="clear" w:color="auto" w:fill="D9D9D9" w:themeFill="background1" w:themeFillShade="D9"/>
            <w:vAlign w:val="center"/>
          </w:tcPr>
          <w:p w14:paraId="3EDC6035" w14:textId="0B56ABC8" w:rsidR="00DA499E" w:rsidRPr="00997F82" w:rsidRDefault="00DA499E" w:rsidP="00DA499E">
            <w:pPr>
              <w:rPr>
                <w:rFonts w:asciiTheme="minorHAnsi" w:eastAsia="Times New Roman" w:hAnsiTheme="minorHAnsi" w:cs="Times New Roman"/>
                <w:b w:val="0"/>
                <w:i/>
                <w:color w:val="000000"/>
                <w:sz w:val="18"/>
                <w:szCs w:val="18"/>
                <w:lang w:eastAsia="en-AU"/>
              </w:rPr>
            </w:pPr>
            <w:r w:rsidRPr="00997F82">
              <w:rPr>
                <w:rFonts w:asciiTheme="minorHAnsi" w:eastAsia="Times New Roman" w:hAnsiTheme="minorHAnsi" w:cs="Times New Roman"/>
                <w:i/>
                <w:iCs/>
                <w:color w:val="000000"/>
                <w:sz w:val="18"/>
                <w:szCs w:val="18"/>
                <w:lang w:eastAsia="en-AU"/>
              </w:rPr>
              <w:t>Rurality</w:t>
            </w:r>
          </w:p>
        </w:tc>
      </w:tr>
      <w:tr w:rsidR="0050556C" w:rsidRPr="00997F82" w14:paraId="4CC10D9B" w14:textId="77777777" w:rsidTr="00A83C19">
        <w:trPr>
          <w:trHeight w:val="336"/>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0E42CEB7" w14:textId="48E4620B" w:rsidR="00DA499E" w:rsidRPr="00997F82" w:rsidRDefault="00DA499E" w:rsidP="00090AAF">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Metro</w:t>
            </w:r>
          </w:p>
        </w:tc>
        <w:tc>
          <w:tcPr>
            <w:tcW w:w="2908" w:type="dxa"/>
          </w:tcPr>
          <w:p w14:paraId="47932B79" w14:textId="00647130"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679</w:t>
            </w:r>
          </w:p>
        </w:tc>
        <w:tc>
          <w:tcPr>
            <w:tcW w:w="2909" w:type="dxa"/>
            <w:shd w:val="clear" w:color="auto" w:fill="CBF39B"/>
            <w:noWrap/>
            <w:vAlign w:val="center"/>
          </w:tcPr>
          <w:p w14:paraId="3400E95F" w14:textId="07329329"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6.77</w:t>
            </w:r>
          </w:p>
        </w:tc>
        <w:tc>
          <w:tcPr>
            <w:tcW w:w="1786" w:type="dxa"/>
            <w:vMerge w:val="restart"/>
            <w:noWrap/>
            <w:vAlign w:val="center"/>
          </w:tcPr>
          <w:p w14:paraId="22059F68" w14:textId="4348477B"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6.40</w:t>
            </w:r>
          </w:p>
        </w:tc>
      </w:tr>
      <w:tr w:rsidR="00DA499E" w:rsidRPr="00997F82" w14:paraId="32A8B570" w14:textId="77777777" w:rsidTr="00A83C19">
        <w:trPr>
          <w:trHeight w:val="336"/>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66D0339" w14:textId="0DF1CA25" w:rsidR="00DA499E" w:rsidRPr="00997F82" w:rsidRDefault="00DA499E" w:rsidP="00090AAF">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Rural</w:t>
            </w:r>
          </w:p>
        </w:tc>
        <w:tc>
          <w:tcPr>
            <w:tcW w:w="2908" w:type="dxa"/>
          </w:tcPr>
          <w:p w14:paraId="3789C925" w14:textId="4308553E"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801</w:t>
            </w:r>
          </w:p>
        </w:tc>
        <w:tc>
          <w:tcPr>
            <w:tcW w:w="2909" w:type="dxa"/>
            <w:noWrap/>
            <w:vAlign w:val="center"/>
          </w:tcPr>
          <w:p w14:paraId="5F217A6C" w14:textId="1D7674CC"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6.09</w:t>
            </w:r>
          </w:p>
        </w:tc>
        <w:tc>
          <w:tcPr>
            <w:tcW w:w="1786" w:type="dxa"/>
            <w:vMerge/>
            <w:noWrap/>
            <w:vAlign w:val="center"/>
          </w:tcPr>
          <w:p w14:paraId="22625D79" w14:textId="77777777" w:rsidR="00DA499E" w:rsidRPr="00997F82" w:rsidRDefault="00DA499E" w:rsidP="00090AA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p>
        </w:tc>
      </w:tr>
    </w:tbl>
    <w:p w14:paraId="5F332BB9" w14:textId="19AEBFA3" w:rsidR="00706C3F" w:rsidRPr="00997F82" w:rsidRDefault="00FC0DB7" w:rsidP="009B5909">
      <w:r w:rsidRPr="00997F82">
        <w:t>P</w:t>
      </w:r>
      <w:r w:rsidR="00706C3F" w:rsidRPr="00997F82">
        <w:t xml:space="preserve">ost-event surveys collected by PHNs </w:t>
      </w:r>
      <w:r w:rsidRPr="00997F82">
        <w:t xml:space="preserve">at </w:t>
      </w:r>
      <w:r w:rsidR="00B838DA" w:rsidRPr="00997F82">
        <w:t xml:space="preserve">community events </w:t>
      </w:r>
      <w:r w:rsidR="00706C3F" w:rsidRPr="00997F82">
        <w:t>suggest tha</w:t>
      </w:r>
      <w:r w:rsidR="00B838DA" w:rsidRPr="00997F82">
        <w:t xml:space="preserve">t they </w:t>
      </w:r>
      <w:r w:rsidR="00706C3F" w:rsidRPr="00997F82">
        <w:t xml:space="preserve">are having an </w:t>
      </w:r>
      <w:r w:rsidR="00436A8F" w:rsidRPr="00997F82">
        <w:t xml:space="preserve">impact </w:t>
      </w:r>
      <w:r w:rsidR="00E70448" w:rsidRPr="00997F82">
        <w:t xml:space="preserve">on </w:t>
      </w:r>
      <w:r w:rsidR="00436A8F" w:rsidRPr="00997F82">
        <w:t xml:space="preserve">improving attendees understanding of </w:t>
      </w:r>
      <w:r w:rsidR="00706C3F" w:rsidRPr="00997F82">
        <w:t>palliative care (</w:t>
      </w:r>
      <w:r w:rsidR="00A117BC" w:rsidRPr="00997F82">
        <w:fldChar w:fldCharType="begin"/>
      </w:r>
      <w:r w:rsidR="00A117BC" w:rsidRPr="00997F82">
        <w:instrText xml:space="preserve"> REF _Ref202177244 \h  \* MERGEFORMAT </w:instrText>
      </w:r>
      <w:r w:rsidR="00A117BC" w:rsidRPr="00997F82">
        <w:fldChar w:fldCharType="separate"/>
      </w:r>
      <w:r w:rsidR="00735424" w:rsidRPr="00997F82">
        <w:t xml:space="preserve">Figure </w:t>
      </w:r>
      <w:r w:rsidR="00735424">
        <w:t>8</w:t>
      </w:r>
      <w:r w:rsidR="00A117BC" w:rsidRPr="00997F82">
        <w:fldChar w:fldCharType="end"/>
      </w:r>
      <w:r w:rsidR="00706C3F" w:rsidRPr="00997F82">
        <w:t>).</w:t>
      </w:r>
    </w:p>
    <w:p w14:paraId="492134D1" w14:textId="6582AB55" w:rsidR="00706C3F" w:rsidRPr="00997F82" w:rsidRDefault="00706C3F" w:rsidP="00277D66">
      <w:pPr>
        <w:pStyle w:val="Caption"/>
      </w:pPr>
      <w:bookmarkStart w:id="47" w:name="_Ref202177244"/>
      <w:r w:rsidRPr="00997F82">
        <w:t xml:space="preserve">Figure </w:t>
      </w:r>
      <w:r w:rsidR="006558E4" w:rsidRPr="00997F82">
        <w:fldChar w:fldCharType="begin"/>
      </w:r>
      <w:r w:rsidR="006558E4" w:rsidRPr="00997F82">
        <w:instrText xml:space="preserve"> SEQ Figure \* ARABIC </w:instrText>
      </w:r>
      <w:r w:rsidR="006558E4" w:rsidRPr="00997F82">
        <w:fldChar w:fldCharType="separate"/>
      </w:r>
      <w:r w:rsidR="00735424">
        <w:rPr>
          <w:noProof/>
        </w:rPr>
        <w:t>8</w:t>
      </w:r>
      <w:r w:rsidR="006558E4" w:rsidRPr="00997F82">
        <w:fldChar w:fldCharType="end"/>
      </w:r>
      <w:bookmarkEnd w:id="47"/>
      <w:r w:rsidRPr="00997F82">
        <w:t>: Post-event survey responses to improvements in understanding</w:t>
      </w:r>
    </w:p>
    <w:p w14:paraId="102C8B79" w14:textId="16ED9565" w:rsidR="00B838DA" w:rsidRPr="00997F82" w:rsidRDefault="00662A89" w:rsidP="007A3CD8">
      <w:pPr>
        <w:jc w:val="center"/>
      </w:pPr>
      <w:r w:rsidRPr="00997F82">
        <w:rPr>
          <w:noProof/>
        </w:rPr>
        <w:drawing>
          <wp:inline distT="0" distB="0" distL="0" distR="0" wp14:anchorId="6DECB00D" wp14:editId="445FF1CC">
            <wp:extent cx="4284406" cy="2204884"/>
            <wp:effectExtent l="0" t="0" r="1905" b="5080"/>
            <wp:docPr id="1126966211" name="Chart 1" descr="Figure 8 is a bar chart displaying post-event survey responses to the statement 'this activity helps to improve my understanding of palliative care' (n=94).&#10;&#10;The responses are:&#10;&#10;Strongly agree: 60.6%&#10;&#10;Agree: 31.9%&#10;&#10;Disagree: 7.4%">
              <a:extLst xmlns:a="http://schemas.openxmlformats.org/drawingml/2006/main">
                <a:ext uri="{FF2B5EF4-FFF2-40B4-BE49-F238E27FC236}">
                  <a16:creationId xmlns:a16="http://schemas.microsoft.com/office/drawing/2014/main" id="{1E3D9191-E3A3-61EF-6CF3-1BB26DE51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ED35327" w14:textId="77777777" w:rsidR="00B838DA" w:rsidRPr="00997F82" w:rsidRDefault="00B838DA" w:rsidP="007A3CD8">
      <w:pPr>
        <w:spacing w:after="0"/>
        <w:jc w:val="center"/>
        <w:rPr>
          <w:rFonts w:asciiTheme="majorHAnsi" w:hAnsiTheme="majorHAnsi"/>
          <w:sz w:val="8"/>
          <w:szCs w:val="8"/>
        </w:rPr>
      </w:pPr>
    </w:p>
    <w:p w14:paraId="3C29E991" w14:textId="5F4531B1" w:rsidR="00B838DA" w:rsidRPr="00997F82" w:rsidRDefault="00B838DA" w:rsidP="00C41D29">
      <w:pPr>
        <w:shd w:val="clear" w:color="auto" w:fill="D6D9E8" w:themeFill="accent2" w:themeFillTint="33"/>
        <w:jc w:val="center"/>
        <w:rPr>
          <w:rFonts w:asciiTheme="majorHAnsi" w:hAnsiTheme="majorHAnsi"/>
          <w:color w:val="000000" w:themeColor="text1"/>
        </w:rPr>
      </w:pPr>
      <w:r w:rsidRPr="00997F82">
        <w:rPr>
          <w:rFonts w:asciiTheme="majorHAnsi" w:hAnsiTheme="majorHAnsi"/>
          <w:color w:val="000000" w:themeColor="text1"/>
        </w:rPr>
        <w:t>“We are becoming better at making death part of life and things like this [event] confirm how society is changing. I am so relieved and embrace this</w:t>
      </w:r>
      <w:r w:rsidR="00020AF3" w:rsidRPr="00997F82">
        <w:rPr>
          <w:rFonts w:asciiTheme="majorHAnsi" w:hAnsiTheme="majorHAnsi"/>
          <w:color w:val="000000" w:themeColor="text1"/>
        </w:rPr>
        <w:t>.</w:t>
      </w:r>
      <w:r w:rsidRPr="00997F82">
        <w:rPr>
          <w:rFonts w:asciiTheme="majorHAnsi" w:hAnsiTheme="majorHAnsi"/>
          <w:color w:val="000000" w:themeColor="text1"/>
        </w:rPr>
        <w:t xml:space="preserve">” </w:t>
      </w:r>
    </w:p>
    <w:p w14:paraId="2EF236D2" w14:textId="6B15B4DA" w:rsidR="00B838DA" w:rsidRPr="00997F82" w:rsidRDefault="00B838DA" w:rsidP="00B838DA">
      <w:pPr>
        <w:shd w:val="clear" w:color="auto" w:fill="D6D9E8" w:themeFill="accent2" w:themeFillTint="33"/>
        <w:jc w:val="center"/>
        <w:rPr>
          <w:rFonts w:asciiTheme="minorHAnsi" w:hAnsiTheme="minorHAnsi"/>
          <w:i/>
          <w:color w:val="000000" w:themeColor="text1"/>
          <w:sz w:val="16"/>
          <w:szCs w:val="16"/>
        </w:rPr>
      </w:pPr>
      <w:r w:rsidRPr="00997F82">
        <w:rPr>
          <w:rFonts w:asciiTheme="minorHAnsi" w:hAnsiTheme="minorHAnsi"/>
          <w:i/>
          <w:color w:val="000000" w:themeColor="text1"/>
          <w:sz w:val="16"/>
          <w:szCs w:val="16"/>
        </w:rPr>
        <w:t xml:space="preserve">- Community participant survey </w:t>
      </w:r>
    </w:p>
    <w:p w14:paraId="40495CA9" w14:textId="038149CF" w:rsidR="004F1CB1" w:rsidRPr="00997F82" w:rsidRDefault="00706C3F" w:rsidP="00BB01A3">
      <w:r w:rsidRPr="00997F82">
        <w:t xml:space="preserve">While this shows direct correlation to improved understanding, it is challenging to gauge the long-term impacts that community events are having on </w:t>
      </w:r>
      <w:r w:rsidR="00B838DA" w:rsidRPr="00997F82">
        <w:t>behavio</w:t>
      </w:r>
      <w:r w:rsidR="0034707F" w:rsidRPr="00997F82">
        <w:t>u</w:t>
      </w:r>
      <w:r w:rsidR="00B838DA" w:rsidRPr="00997F82">
        <w:t>r change.</w:t>
      </w:r>
      <w:r w:rsidRPr="00997F82">
        <w:t xml:space="preserve"> </w:t>
      </w:r>
    </w:p>
    <w:p w14:paraId="117EE59A" w14:textId="0F8D42C3" w:rsidR="000C4FE1" w:rsidRDefault="00D02B44" w:rsidP="00BB01A3">
      <w:r w:rsidRPr="00997F82">
        <w:t xml:space="preserve">PHNs noted anecdotally in consultations that they see the greatest impact for community activities </w:t>
      </w:r>
      <w:r w:rsidR="006815AE" w:rsidRPr="00997F82">
        <w:t>which</w:t>
      </w:r>
      <w:r w:rsidRPr="00997F82">
        <w:t xml:space="preserve"> focus on earlier interventions and earlier conversations, rather than being reactive. This </w:t>
      </w:r>
      <w:r w:rsidR="00AD53DB" w:rsidRPr="00997F82">
        <w:t xml:space="preserve">was seen to be </w:t>
      </w:r>
      <w:r w:rsidRPr="00997F82">
        <w:t xml:space="preserve">successful when </w:t>
      </w:r>
      <w:r w:rsidR="00C839B2" w:rsidRPr="00997F82">
        <w:t xml:space="preserve">there are </w:t>
      </w:r>
      <w:r w:rsidR="00AD53DB" w:rsidRPr="00997F82">
        <w:t>greater</w:t>
      </w:r>
      <w:r w:rsidR="00C839B2" w:rsidRPr="00997F82">
        <w:t xml:space="preserve"> opportunities for </w:t>
      </w:r>
      <w:r w:rsidR="00AD53DB" w:rsidRPr="00997F82">
        <w:t xml:space="preserve">consistent and regular </w:t>
      </w:r>
      <w:r w:rsidR="00C839B2" w:rsidRPr="00997F82">
        <w:t>group engagement with communities</w:t>
      </w:r>
      <w:r w:rsidR="00AD53DB" w:rsidRPr="00997F82">
        <w:t>, so that support groups are mob</w:t>
      </w:r>
      <w:r w:rsidR="0034707F" w:rsidRPr="00997F82">
        <w:t>i</w:t>
      </w:r>
      <w:r w:rsidR="00AD53DB" w:rsidRPr="00997F82">
        <w:t>lised quickly.</w:t>
      </w:r>
      <w:r w:rsidR="00AD53DB" w:rsidRPr="00997F82">
        <w:rPr>
          <w:rStyle w:val="FootnoteReference"/>
        </w:rPr>
        <w:footnoteReference w:id="44"/>
      </w:r>
      <w:r w:rsidR="007A618E" w:rsidRPr="00997F82">
        <w:t xml:space="preserve"> </w:t>
      </w:r>
      <w:r w:rsidR="004F1CB1" w:rsidRPr="00997F82">
        <w:t>This is seen in the example below.</w:t>
      </w:r>
    </w:p>
    <w:p w14:paraId="787CEBA5" w14:textId="79687076" w:rsidR="00B20C7C" w:rsidRDefault="00B20C7C" w:rsidP="00DF0063">
      <w:pPr>
        <w:pStyle w:val="CVHeading"/>
      </w:pPr>
      <w:r w:rsidRPr="00B20C7C">
        <w:t>Example: NQPHN’s Compassionate Communities Health Connectors ‘Train the Trainer’ model</w:t>
      </w:r>
    </w:p>
    <w:p w14:paraId="70CD79C9" w14:textId="07558FDE" w:rsidR="00B20C7C" w:rsidRPr="00997F82" w:rsidRDefault="00B20C7C" w:rsidP="00B20C7C">
      <w:pPr>
        <w:pStyle w:val="CVbodygreybground"/>
      </w:pPr>
      <w:r w:rsidRPr="00B20C7C">
        <w:t>NQPHN have developed an approach to Compassionate Communities in their region, which establishes longer term wraparound informal supports for people experiencing palliative care. The PHN trained over 350 community health connecters over 8 months, across 14 sites. They were trained to understand palliative care services and service gaps in their region, signpost vulnerable community members to access services, and conduct workshops themselves on key palliative care information. This could lead to a fully community-driven awareness campaign in the future. By leveraging community champions and existing networks, embedded behaviour change is more likely to be seen.</w:t>
      </w:r>
    </w:p>
    <w:p w14:paraId="17E1321F" w14:textId="3EE39DCD" w:rsidR="00101645" w:rsidRPr="00997F82" w:rsidRDefault="00E70ED0" w:rsidP="00BB01A3">
      <w:r w:rsidRPr="00997F82">
        <w:t xml:space="preserve">Similarly, </w:t>
      </w:r>
      <w:r w:rsidR="007E0D18" w:rsidRPr="00997F82">
        <w:t xml:space="preserve">several </w:t>
      </w:r>
      <w:r w:rsidR="00B63BE6" w:rsidRPr="00997F82">
        <w:t xml:space="preserve">PHNs have conducted Last Aid / Last Days </w:t>
      </w:r>
      <w:r w:rsidR="007E0D18" w:rsidRPr="00997F82">
        <w:t xml:space="preserve">programs aimed to provide community education focused on end-of-life care. They equip community members with the knowledge and confidence to support others through </w:t>
      </w:r>
      <w:r w:rsidR="0087587D" w:rsidRPr="00997F82">
        <w:t xml:space="preserve">death and bereavement proactively. </w:t>
      </w:r>
      <w:r w:rsidR="009F3595" w:rsidRPr="00997F82">
        <w:t xml:space="preserve">For example, </w:t>
      </w:r>
      <w:r w:rsidR="0087587D" w:rsidRPr="00997F82">
        <w:t>Country SA PHN</w:t>
      </w:r>
      <w:r w:rsidR="003A7856" w:rsidRPr="00997F82">
        <w:t xml:space="preserve"> </w:t>
      </w:r>
      <w:r w:rsidR="00CC701A" w:rsidRPr="00997F82">
        <w:t>attracted 40 participants at their</w:t>
      </w:r>
      <w:r w:rsidR="00E36DAB" w:rsidRPr="00997F82">
        <w:t xml:space="preserve"> courses</w:t>
      </w:r>
      <w:r w:rsidR="00E251D7" w:rsidRPr="00997F82">
        <w:t xml:space="preserve">. Of </w:t>
      </w:r>
      <w:r w:rsidR="00F94F77" w:rsidRPr="00997F82">
        <w:t>these 77.5</w:t>
      </w:r>
      <w:r w:rsidR="009F3595" w:rsidRPr="00997F82">
        <w:t xml:space="preserve">% were </w:t>
      </w:r>
      <w:r w:rsidR="00E251D7" w:rsidRPr="00997F82">
        <w:t xml:space="preserve">primarily </w:t>
      </w:r>
      <w:r w:rsidR="009F3595" w:rsidRPr="00997F82">
        <w:t xml:space="preserve">there to learn more about </w:t>
      </w:r>
      <w:r w:rsidR="004E4647" w:rsidRPr="00997F82">
        <w:t xml:space="preserve">palliative care, death, dying and / or </w:t>
      </w:r>
      <w:r w:rsidR="00F94F77" w:rsidRPr="00997F82">
        <w:t>bereavement, while</w:t>
      </w:r>
      <w:r w:rsidR="009F3595" w:rsidRPr="00997F82">
        <w:t xml:space="preserve"> only 12.5% were currently caring for someone at the end-stage of life.</w:t>
      </w:r>
    </w:p>
    <w:p w14:paraId="60777753" w14:textId="196C02AB" w:rsidR="009F3595" w:rsidRPr="00997F82" w:rsidRDefault="009F3595" w:rsidP="00277D66">
      <w:pPr>
        <w:pStyle w:val="Caption"/>
      </w:pPr>
      <w:r w:rsidRPr="00997F82">
        <w:t xml:space="preserve">Figure </w:t>
      </w:r>
      <w:r w:rsidRPr="00997F82">
        <w:fldChar w:fldCharType="begin"/>
      </w:r>
      <w:r w:rsidRPr="00997F82">
        <w:instrText xml:space="preserve"> SEQ Figure \* ARABIC </w:instrText>
      </w:r>
      <w:r w:rsidRPr="00997F82">
        <w:fldChar w:fldCharType="separate"/>
      </w:r>
      <w:r w:rsidR="00735424">
        <w:rPr>
          <w:noProof/>
        </w:rPr>
        <w:t>9</w:t>
      </w:r>
      <w:r w:rsidRPr="00997F82">
        <w:fldChar w:fldCharType="end"/>
      </w:r>
      <w:r w:rsidRPr="00997F82">
        <w:t>: Country SA PHN Last Aid participants' reasons for attending</w:t>
      </w:r>
    </w:p>
    <w:p w14:paraId="74EC9D98" w14:textId="7A7FAFEE" w:rsidR="00101645" w:rsidRPr="00997F82" w:rsidRDefault="009F3595" w:rsidP="00B20C7C">
      <w:pPr>
        <w:jc w:val="center"/>
      </w:pPr>
      <w:r w:rsidRPr="00997F82">
        <w:rPr>
          <w:noProof/>
        </w:rPr>
        <w:drawing>
          <wp:inline distT="0" distB="0" distL="0" distR="0" wp14:anchorId="75E3D02C" wp14:editId="328F2EE6">
            <wp:extent cx="5904000" cy="2556000"/>
            <wp:effectExtent l="0" t="0" r="1905" b="0"/>
            <wp:docPr id="1442021314" name="Chart 1" descr="Figure 9 is a horizontal bar chart showing the reasons Country SA PHN Last Aid participants attended the event (n=40). Participants could choose all reasons that applied to them ie more than one could be selected.&#10;&#10;The reasons and their percentages are:&#10;&#10;I have a chronic/long term condition myself: 17.5%&#10;&#10;I have ageing parents and wanted to be more prepared: 40%&#10;&#10;I have a palliative condition myself: 2.5%&#10;&#10;I am currently caring for someone experiencing at the end stage of life/palliative: 12.5%&#10;&#10;Someone close to me has died in the last 12 months: 27.5%&#10;&#10;I am currently caring for someone with a chronic/long term condition: 17.5%&#10;&#10;I wanted to learn more about palliative care, death, dying and/or bereavement: 77.5%">
              <a:extLst xmlns:a="http://schemas.openxmlformats.org/drawingml/2006/main">
                <a:ext uri="{FF2B5EF4-FFF2-40B4-BE49-F238E27FC236}">
                  <a16:creationId xmlns:a16="http://schemas.microsoft.com/office/drawing/2014/main" id="{D5F09466-B7CA-E20E-C00E-575C7F5437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C585BC0" w14:textId="183E7837" w:rsidR="00B838DA" w:rsidRPr="00997F82" w:rsidRDefault="00AD53DB" w:rsidP="00BB01A3">
      <w:pPr>
        <w:rPr>
          <w:b/>
        </w:rPr>
      </w:pPr>
      <w:r w:rsidRPr="00997F82">
        <w:t>The</w:t>
      </w:r>
      <w:r w:rsidR="00706C3F" w:rsidRPr="00997F82">
        <w:t xml:space="preserve"> </w:t>
      </w:r>
      <w:r w:rsidR="00E82266" w:rsidRPr="00997F82">
        <w:t xml:space="preserve">Endpoint </w:t>
      </w:r>
      <w:r w:rsidR="00706C3F" w:rsidRPr="00997F82">
        <w:t>PHN survey indicates that many PHNs are continuing to engage with relevant state palliative care peak bodies to amplify the impact of their community awareness activities.</w:t>
      </w:r>
      <w:r w:rsidR="00706C3F" w:rsidRPr="00997F82">
        <w:rPr>
          <w:b/>
        </w:rPr>
        <w:t xml:space="preserve"> </w:t>
      </w:r>
    </w:p>
    <w:p w14:paraId="3BE8EE8C" w14:textId="1698CC0C" w:rsidR="004F1CB1" w:rsidRPr="00997F82" w:rsidRDefault="00706C3F" w:rsidP="00B20C7C">
      <w:pPr>
        <w:pStyle w:val="Heading3"/>
      </w:pPr>
      <w:r w:rsidRPr="00997F82">
        <w:t>Implications</w:t>
      </w:r>
    </w:p>
    <w:p w14:paraId="59E6B364" w14:textId="2AFE5FC2" w:rsidR="00706C3F" w:rsidRPr="00997F82" w:rsidRDefault="00706C3F" w:rsidP="007770F3">
      <w:pPr>
        <w:pStyle w:val="ListBullet"/>
      </w:pPr>
      <w:r w:rsidRPr="00997F82">
        <w:t xml:space="preserve">To improve data quality and enable ongoing activity monitoring, the </w:t>
      </w:r>
      <w:r w:rsidR="00037885" w:rsidRPr="00997F82">
        <w:t xml:space="preserve">DLI </w:t>
      </w:r>
      <w:r w:rsidRPr="00997F82">
        <w:t xml:space="preserve">should be </w:t>
      </w:r>
      <w:r w:rsidR="00B116C3" w:rsidRPr="00997F82">
        <w:t xml:space="preserve">completed </w:t>
      </w:r>
      <w:r w:rsidRPr="00997F82">
        <w:t>pre and post community awareness events. However</w:t>
      </w:r>
      <w:r w:rsidR="00B838DA" w:rsidRPr="00997F82">
        <w:t>, this</w:t>
      </w:r>
      <w:r w:rsidRPr="00997F82">
        <w:t xml:space="preserve"> should be balanced with the risk of over-surveying community members, and those in vulnerable life stages.</w:t>
      </w:r>
    </w:p>
    <w:p w14:paraId="63285125" w14:textId="77777777" w:rsidR="00292C67" w:rsidRPr="00997F82" w:rsidRDefault="00706C3F" w:rsidP="007770F3">
      <w:pPr>
        <w:pStyle w:val="ListBullet"/>
      </w:pPr>
      <w:r w:rsidRPr="00997F82">
        <w:t xml:space="preserve">While it appears that community awareness is improving, it is difficult to gauge ongoing and long-term </w:t>
      </w:r>
      <w:r w:rsidR="00B838DA" w:rsidRPr="00997F82">
        <w:t>impacts on behaviour change</w:t>
      </w:r>
      <w:r w:rsidRPr="00997F82">
        <w:t xml:space="preserve">. </w:t>
      </w:r>
      <w:r w:rsidR="00063214" w:rsidRPr="00997F82">
        <w:t xml:space="preserve">Post event </w:t>
      </w:r>
      <w:r w:rsidR="00CE4FE9" w:rsidRPr="00997F82">
        <w:t xml:space="preserve">surveys </w:t>
      </w:r>
      <w:r w:rsidR="00FE43C3" w:rsidRPr="00997F82">
        <w:t>provide event</w:t>
      </w:r>
      <w:r w:rsidR="00CE4FE9" w:rsidRPr="00997F82">
        <w:t>-</w:t>
      </w:r>
      <w:r w:rsidR="00FE43C3" w:rsidRPr="00997F82">
        <w:t>level data</w:t>
      </w:r>
      <w:r w:rsidR="008640C8" w:rsidRPr="00997F82">
        <w:t>;</w:t>
      </w:r>
      <w:r w:rsidR="00A365E9" w:rsidRPr="00997F82">
        <w:t xml:space="preserve"> without longer term follow up </w:t>
      </w:r>
      <w:r w:rsidR="00240823" w:rsidRPr="00997F82">
        <w:t xml:space="preserve">it is difficult to ascertain </w:t>
      </w:r>
      <w:r w:rsidR="00F531D7" w:rsidRPr="00997F82">
        <w:t>whether</w:t>
      </w:r>
      <w:r w:rsidR="00240823" w:rsidRPr="00997F82">
        <w:t xml:space="preserve"> </w:t>
      </w:r>
      <w:r w:rsidR="004B1704" w:rsidRPr="00997F82">
        <w:t>this translates to changes in service access</w:t>
      </w:r>
      <w:r w:rsidR="008B1E06" w:rsidRPr="00997F82">
        <w:t xml:space="preserve"> or needs and preferences being met.</w:t>
      </w:r>
    </w:p>
    <w:p w14:paraId="21A4D915" w14:textId="77777777" w:rsidR="00706C3F" w:rsidRPr="00997F82" w:rsidRDefault="00706C3F" w:rsidP="00277D66">
      <w:pPr>
        <w:pStyle w:val="Heading2"/>
      </w:pPr>
      <w:r w:rsidRPr="00997F82">
        <w:t xml:space="preserve">To what extent has the Program increased individual awareness of palliative care options and choices (including ACP)? </w:t>
      </w:r>
    </w:p>
    <w:tbl>
      <w:tblPr>
        <w:tblStyle w:val="IMSTable"/>
        <w:tblW w:w="0" w:type="auto"/>
        <w:tblLook w:val="04A0" w:firstRow="1" w:lastRow="0" w:firstColumn="1" w:lastColumn="0" w:noHBand="0" w:noVBand="1"/>
      </w:tblPr>
      <w:tblGrid>
        <w:gridCol w:w="9016"/>
      </w:tblGrid>
      <w:tr w:rsidR="000303B8" w:rsidRPr="00997F82" w14:paraId="0353CEA1" w14:textId="77777777" w:rsidTr="00FC7384">
        <w:trPr>
          <w:cnfStyle w:val="100000000000" w:firstRow="1" w:lastRow="0" w:firstColumn="0" w:lastColumn="0" w:oddVBand="0" w:evenVBand="0" w:oddHBand="0" w:evenHBand="0" w:firstRowFirstColumn="0" w:firstRowLastColumn="0" w:lastRowFirstColumn="0" w:lastRowLastColumn="0"/>
          <w:tblHeader/>
        </w:trPr>
        <w:tc>
          <w:tcPr>
            <w:tcW w:w="9016" w:type="dxa"/>
          </w:tcPr>
          <w:p w14:paraId="18014229" w14:textId="77777777" w:rsidR="000303B8" w:rsidRPr="00FC7384" w:rsidRDefault="000303B8" w:rsidP="00FC7384">
            <w:r w:rsidRPr="00FC7384">
              <w:t>Key finding</w:t>
            </w:r>
          </w:p>
        </w:tc>
      </w:tr>
      <w:tr w:rsidR="000303B8" w:rsidRPr="00997F82" w14:paraId="1B152DEF" w14:textId="77777777" w:rsidTr="00FC7384">
        <w:tc>
          <w:tcPr>
            <w:tcW w:w="9016" w:type="dxa"/>
          </w:tcPr>
          <w:p w14:paraId="412A9EA6" w14:textId="76549378" w:rsidR="000303B8" w:rsidRPr="00997F82" w:rsidRDefault="000303B8" w:rsidP="002D0111">
            <w:pPr>
              <w:shd w:val="clear" w:color="auto" w:fill="FDF1E6" w:themeFill="accent5" w:themeFillTint="33"/>
              <w:rPr>
                <w:bCs/>
              </w:rPr>
            </w:pPr>
            <w:r w:rsidRPr="00997F82">
              <w:t xml:space="preserve">There is a high level of interest, engagement and value gained from learning about </w:t>
            </w:r>
            <w:r w:rsidR="00173426" w:rsidRPr="00997F82">
              <w:t>a</w:t>
            </w:r>
            <w:r w:rsidRPr="00997F82">
              <w:t>dvance</w:t>
            </w:r>
            <w:r w:rsidR="00C430CB" w:rsidRPr="00997F82">
              <w:t xml:space="preserve"> </w:t>
            </w:r>
            <w:r w:rsidR="00173426" w:rsidRPr="00997F82">
              <w:t>c</w:t>
            </w:r>
            <w:r w:rsidRPr="00997F82">
              <w:t xml:space="preserve">are </w:t>
            </w:r>
            <w:r w:rsidR="00173426" w:rsidRPr="00997F82">
              <w:t>p</w:t>
            </w:r>
            <w:r w:rsidRPr="00997F82">
              <w:t>lanning reported by both service providers and the community. This interest can serve as an opportunity for continued national momentum. While PHNs are currently undertaking activities which seek to support awareness of palliative care options and choices, there are opportunities for these or comparable activities to be completed by health professionals and community organisations.</w:t>
            </w:r>
          </w:p>
        </w:tc>
      </w:tr>
    </w:tbl>
    <w:p w14:paraId="535AE910" w14:textId="755B6960" w:rsidR="00706C3F" w:rsidRPr="00997F82" w:rsidRDefault="00706C3F" w:rsidP="00B20C7C">
      <w:pPr>
        <w:pStyle w:val="Heading3"/>
      </w:pPr>
      <w:r w:rsidRPr="00997F82">
        <w:t>Background</w:t>
      </w:r>
    </w:p>
    <w:p w14:paraId="19057CA3" w14:textId="4ABA992B" w:rsidR="00706C3F" w:rsidRPr="00997F82" w:rsidRDefault="00D10D60" w:rsidP="00A200CB">
      <w:r w:rsidRPr="00997F82">
        <w:t xml:space="preserve">The concept of ‘good end-of-life care’ is associated with people having choice and control over where they receive their care, and what support and care is provided. </w:t>
      </w:r>
      <w:r w:rsidR="003A738F" w:rsidRPr="00997F82">
        <w:t>Almost 90% of Australians believe it is important to talk about their wishes and preferences for care. Despite this, most Australians (56%) have not undertaken any action to talk about or record their end</w:t>
      </w:r>
      <w:r w:rsidR="00FB16AC" w:rsidRPr="00997F82">
        <w:t>-</w:t>
      </w:r>
      <w:r w:rsidR="003A738F" w:rsidRPr="00997F82">
        <w:t>of</w:t>
      </w:r>
      <w:r w:rsidR="00FB16AC" w:rsidRPr="00997F82">
        <w:t>-</w:t>
      </w:r>
      <w:r w:rsidR="003A738F" w:rsidRPr="00997F82">
        <w:t>life wishes</w:t>
      </w:r>
      <w:r w:rsidR="00816E1A" w:rsidRPr="00997F82">
        <w:t>.</w:t>
      </w:r>
      <w:bookmarkStart w:id="48" w:name="_Ref202355666"/>
      <w:r w:rsidR="002C1B05" w:rsidRPr="00997F82">
        <w:rPr>
          <w:rStyle w:val="FootnoteReference"/>
        </w:rPr>
        <w:footnoteReference w:id="45"/>
      </w:r>
      <w:bookmarkEnd w:id="48"/>
      <w:r w:rsidR="00816E1A" w:rsidRPr="00997F82">
        <w:t xml:space="preserve"> </w:t>
      </w:r>
    </w:p>
    <w:p w14:paraId="028B40C7" w14:textId="11E693DD" w:rsidR="00706C3F" w:rsidRPr="00997F82" w:rsidRDefault="00706C3F" w:rsidP="00706C3F">
      <w:r w:rsidRPr="00997F82">
        <w:t>To help improve this, some PHNs developed activities specifically aim</w:t>
      </w:r>
      <w:r w:rsidR="006E504A" w:rsidRPr="00997F82">
        <w:t>ed</w:t>
      </w:r>
      <w:r w:rsidRPr="00997F82">
        <w:t xml:space="preserve"> </w:t>
      </w:r>
      <w:r w:rsidR="006E504A" w:rsidRPr="00997F82">
        <w:t xml:space="preserve">at </w:t>
      </w:r>
      <w:r w:rsidRPr="00997F82">
        <w:t>improv</w:t>
      </w:r>
      <w:r w:rsidR="006E504A" w:rsidRPr="00997F82">
        <w:t>ing</w:t>
      </w:r>
      <w:r w:rsidRPr="00997F82">
        <w:t xml:space="preserve"> awareness of palliative care services, options and choices</w:t>
      </w:r>
      <w:r w:rsidR="004F1CB1" w:rsidRPr="00997F82">
        <w:t>, as well as</w:t>
      </w:r>
      <w:r w:rsidRPr="00997F82">
        <w:t xml:space="preserve"> supporting </w:t>
      </w:r>
      <w:r w:rsidR="00AD7F8D" w:rsidRPr="00997F82">
        <w:t xml:space="preserve">awareness and completion </w:t>
      </w:r>
      <w:r w:rsidRPr="00997F82">
        <w:t>of Advance Care Plan</w:t>
      </w:r>
      <w:r w:rsidR="00AA644B" w:rsidRPr="00997F82">
        <w:t>ning</w:t>
      </w:r>
      <w:r w:rsidRPr="00997F82">
        <w:t xml:space="preserve"> (ACP).</w:t>
      </w:r>
    </w:p>
    <w:p w14:paraId="53DF2B8C" w14:textId="47466971" w:rsidR="00706C3F" w:rsidRPr="00997F82" w:rsidRDefault="1FA6D201" w:rsidP="00706C3F">
      <w:r w:rsidRPr="00997F82">
        <w:t xml:space="preserve">ACP </w:t>
      </w:r>
      <w:r w:rsidR="22A5B08C" w:rsidRPr="00997F82">
        <w:t xml:space="preserve">is the process of </w:t>
      </w:r>
      <w:r w:rsidRPr="00997F82">
        <w:t xml:space="preserve">decision-making about end-of-life preferences in the case of sudden deterioration or an inability to communicate preferences at later stages of illness. Preferences </w:t>
      </w:r>
      <w:r w:rsidR="33F13621" w:rsidRPr="00997F82">
        <w:t>can be formally</w:t>
      </w:r>
      <w:r w:rsidRPr="00997F82">
        <w:t xml:space="preserve"> documented in an Advance Care Directive (ACD) </w:t>
      </w:r>
      <w:r w:rsidR="08801ECD" w:rsidRPr="00997F82">
        <w:t xml:space="preserve">which </w:t>
      </w:r>
      <w:r w:rsidR="4D40E529" w:rsidRPr="00997F82">
        <w:t>ensures</w:t>
      </w:r>
      <w:r w:rsidRPr="00997F82">
        <w:t xml:space="preserve"> </w:t>
      </w:r>
      <w:r w:rsidR="17BAB556" w:rsidRPr="00997F82">
        <w:t xml:space="preserve">loved ones, carers and health professionals </w:t>
      </w:r>
      <w:r w:rsidR="375977FD" w:rsidRPr="00997F82">
        <w:t xml:space="preserve">are aware of and respect an </w:t>
      </w:r>
      <w:r w:rsidR="218A0C97" w:rsidRPr="00997F82">
        <w:t>individual’s</w:t>
      </w:r>
      <w:r w:rsidR="14888927" w:rsidRPr="00997F82">
        <w:t xml:space="preserve"> </w:t>
      </w:r>
      <w:r w:rsidR="218A0C97" w:rsidRPr="00997F82">
        <w:t xml:space="preserve">treatment preferences. </w:t>
      </w:r>
      <w:r w:rsidRPr="00997F82">
        <w:t>In the Northern Territory, this is known as an Advance Personal Plan (APP).</w:t>
      </w:r>
    </w:p>
    <w:p w14:paraId="33967067" w14:textId="55C33B62" w:rsidR="00706C3F" w:rsidRPr="00997F82" w:rsidRDefault="00706C3F" w:rsidP="00B20C7C">
      <w:pPr>
        <w:pStyle w:val="Heading3"/>
      </w:pPr>
      <w:r w:rsidRPr="00997F82">
        <w:t>Findings</w:t>
      </w:r>
    </w:p>
    <w:p w14:paraId="4BDF5CFB" w14:textId="01E2C24C" w:rsidR="00292C67" w:rsidRDefault="004759BB" w:rsidP="00FF6BD1">
      <w:r w:rsidRPr="00997F82">
        <w:t>One of the DLI sub-scales measures community knowledge</w:t>
      </w:r>
      <w:r w:rsidR="008B5E97" w:rsidRPr="00997F82">
        <w:t xml:space="preserve"> through </w:t>
      </w:r>
      <w:r w:rsidRPr="00997F82">
        <w:t xml:space="preserve">awareness of available services and support. Attendees at PHN events </w:t>
      </w:r>
      <w:r w:rsidR="00D81B89" w:rsidRPr="00997F82">
        <w:t xml:space="preserve">which </w:t>
      </w:r>
      <w:r w:rsidRPr="00997F82">
        <w:t>focused on palliative care and advance care planning (ACP) scored an average</w:t>
      </w:r>
      <w:r w:rsidR="0041615A" w:rsidRPr="00997F82">
        <w:t xml:space="preserve"> DLI</w:t>
      </w:r>
      <w:r w:rsidRPr="00997F82">
        <w:t xml:space="preserve"> of 5.96, compared to the national average of 4.6. This difference is statistically significant (p &lt; 0.0001), indicating higher death literacy among event participants. While national data on community engagement with palliative care resources was not standardised for this evaluation, some PHNs were able to demonstrate increased awareness, particularly through ACP-focused initiatives, as illustrated in the example below.</w:t>
      </w:r>
    </w:p>
    <w:p w14:paraId="2ADB6BF8" w14:textId="51A52FAF" w:rsidR="00B20C7C" w:rsidRDefault="00B20C7C" w:rsidP="00DF0063">
      <w:pPr>
        <w:pStyle w:val="CVHeading"/>
      </w:pPr>
      <w:r w:rsidRPr="00B20C7C">
        <w:t>Example: Gold Coast PHN’s “Planning or your future care today” Advance Care Planning Booklet</w:t>
      </w:r>
    </w:p>
    <w:p w14:paraId="5F115F27" w14:textId="49D612D3" w:rsidR="00B20C7C" w:rsidRPr="00997F82" w:rsidRDefault="00B20C7C" w:rsidP="00B20C7C">
      <w:pPr>
        <w:pStyle w:val="CVbodygreybground"/>
      </w:pPr>
      <w:r w:rsidRPr="00B20C7C">
        <w:t>Gold Coast PHN developed the ‘Planning for your future care today’ Advance Care Planning Booklet with the aim to raise awareness and support consumers to plan for their end of life. The booklet was made available online and in hard copy through ordering on the PHN website or in any City of Gold Coast libraries. As of 30 April 2025, 14,350 hard copies were distributed to the Gold Coast community.</w:t>
      </w:r>
    </w:p>
    <w:p w14:paraId="2844A8BA" w14:textId="7E9A04A2" w:rsidR="00455DEC" w:rsidRPr="00997F82" w:rsidRDefault="00455DEC" w:rsidP="00FF6BD1">
      <w:pPr>
        <w:rPr>
          <w:b/>
          <w:bCs/>
        </w:rPr>
      </w:pPr>
      <w:r w:rsidRPr="00997F82">
        <w:t xml:space="preserve">This is supported by </w:t>
      </w:r>
      <w:proofErr w:type="gramStart"/>
      <w:r w:rsidR="00AE6BFC" w:rsidRPr="00997F82">
        <w:t>P</w:t>
      </w:r>
      <w:r w:rsidRPr="00997F82">
        <w:t>ost-event</w:t>
      </w:r>
      <w:proofErr w:type="gramEnd"/>
      <w:r w:rsidRPr="00997F82">
        <w:t xml:space="preserve"> surveys, where 74</w:t>
      </w:r>
      <w:r w:rsidR="007B7613" w:rsidRPr="00997F82">
        <w:t>%</w:t>
      </w:r>
      <w:r w:rsidRPr="00997F82">
        <w:t xml:space="preserve"> (n=54) of </w:t>
      </w:r>
      <w:r w:rsidR="00DF2838" w:rsidRPr="00997F82">
        <w:t xml:space="preserve">community </w:t>
      </w:r>
      <w:r w:rsidRPr="00997F82">
        <w:t>respondents agreed or strongly agreed that a PHN activity had helped them improve their understanding of what ACP is (</w:t>
      </w:r>
      <w:r w:rsidR="00AF38FA" w:rsidRPr="00997F82">
        <w:fldChar w:fldCharType="begin"/>
      </w:r>
      <w:r w:rsidR="00AF38FA" w:rsidRPr="00997F82">
        <w:instrText xml:space="preserve"> REF _Ref202177393 \h  \* MERGEFORMAT </w:instrText>
      </w:r>
      <w:r w:rsidR="00AF38FA" w:rsidRPr="00997F82">
        <w:fldChar w:fldCharType="separate"/>
      </w:r>
      <w:r w:rsidR="00735424" w:rsidRPr="00997F82">
        <w:t xml:space="preserve">Figure </w:t>
      </w:r>
      <w:r w:rsidR="00735424">
        <w:t>10</w:t>
      </w:r>
      <w:r w:rsidR="00AF38FA" w:rsidRPr="00997F82">
        <w:fldChar w:fldCharType="end"/>
      </w:r>
      <w:r w:rsidRPr="00997F82">
        <w:t>).</w:t>
      </w:r>
    </w:p>
    <w:p w14:paraId="6C6BBF12" w14:textId="3B193502" w:rsidR="00455DEC" w:rsidRPr="00997F82" w:rsidRDefault="00455DEC" w:rsidP="00277D66">
      <w:pPr>
        <w:pStyle w:val="Caption"/>
      </w:pPr>
      <w:bookmarkStart w:id="49" w:name="_Ref202177393"/>
      <w:r w:rsidRPr="00997F82">
        <w:t xml:space="preserve">Figure </w:t>
      </w:r>
      <w:r w:rsidR="006558E4" w:rsidRPr="00997F82">
        <w:fldChar w:fldCharType="begin"/>
      </w:r>
      <w:r w:rsidR="006558E4" w:rsidRPr="00997F82">
        <w:instrText xml:space="preserve"> SEQ Figure \* ARABIC </w:instrText>
      </w:r>
      <w:r w:rsidR="006558E4" w:rsidRPr="00997F82">
        <w:fldChar w:fldCharType="separate"/>
      </w:r>
      <w:r w:rsidR="00735424">
        <w:rPr>
          <w:noProof/>
        </w:rPr>
        <w:t>10</w:t>
      </w:r>
      <w:r w:rsidR="006558E4" w:rsidRPr="00997F82">
        <w:fldChar w:fldCharType="end"/>
      </w:r>
      <w:bookmarkEnd w:id="49"/>
      <w:r w:rsidRPr="00997F82">
        <w:t>: Post-event survey responses to improvements ACP understanding</w:t>
      </w:r>
    </w:p>
    <w:p w14:paraId="484AE34D" w14:textId="1343E3FE" w:rsidR="009D18A8" w:rsidRPr="007770F3" w:rsidRDefault="009D18A8" w:rsidP="007770F3">
      <w:r w:rsidRPr="00997F82">
        <w:rPr>
          <w:noProof/>
        </w:rPr>
        <w:drawing>
          <wp:inline distT="0" distB="0" distL="0" distR="0" wp14:anchorId="2E8E4B29" wp14:editId="4F619349">
            <wp:extent cx="4250531" cy="2321719"/>
            <wp:effectExtent l="0" t="0" r="0" b="2540"/>
            <wp:docPr id="91233129" name="Chart 1" descr="Figure 10 is a bar chart displaying post-event survey responses to the statement 'this activity helps to improve my understanding of Advance Care Planning (ACP)' (n=55).&#10;&#10;The following responses were recorded:&#10;&#10;Strongly agree: 25.5%&#10;&#10;Agree: 31.9%&#10;&#10;Disagree: 1.1%">
              <a:extLst xmlns:a="http://schemas.openxmlformats.org/drawingml/2006/main">
                <a:ext uri="{FF2B5EF4-FFF2-40B4-BE49-F238E27FC236}">
                  <a16:creationId xmlns:a16="http://schemas.microsoft.com/office/drawing/2014/main" id="{708070AC-5959-42D6-B8B3-BCACB8E3AA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ED42F26" w14:textId="77777777" w:rsidR="00455DEC" w:rsidRPr="00B20C7C" w:rsidRDefault="00455DEC" w:rsidP="00B20C7C">
      <w:pPr>
        <w:pStyle w:val="IntenseQuote"/>
      </w:pPr>
      <w:r w:rsidRPr="00B20C7C">
        <w:t>“[I learnt] …mainly about the integration of services in this region – finding one’s path through all that is available can be very difficult and it is heartening to see that there is acknowledgment of this, and steps being taken to make the processes more streamlined.”</w:t>
      </w:r>
    </w:p>
    <w:p w14:paraId="3293D554" w14:textId="5B05B93F" w:rsidR="00455DEC" w:rsidRPr="00B20C7C" w:rsidRDefault="00455DEC" w:rsidP="00B20C7C">
      <w:pPr>
        <w:pStyle w:val="IntenseQuote"/>
      </w:pPr>
      <w:r w:rsidRPr="00B20C7C">
        <w:t xml:space="preserve">- Community participant survey </w:t>
      </w:r>
    </w:p>
    <w:p w14:paraId="47190895" w14:textId="3BF45E71" w:rsidR="001D77A6" w:rsidRPr="00997F82" w:rsidRDefault="00DF2838" w:rsidP="00FF6BD1">
      <w:pPr>
        <w:rPr>
          <w:i/>
          <w:iCs/>
        </w:rPr>
      </w:pPr>
      <w:r w:rsidRPr="00997F82">
        <w:t xml:space="preserve">This increase in awareness of ACP is also seen in service providers. </w:t>
      </w:r>
      <w:r w:rsidR="00D40F74" w:rsidRPr="00997F82">
        <w:t>From</w:t>
      </w:r>
      <w:r w:rsidR="000A6AD7" w:rsidRPr="00997F82">
        <w:t xml:space="preserve"> 2018-19 to 2023-24</w:t>
      </w:r>
      <w:r w:rsidR="002C7814" w:rsidRPr="00997F82">
        <w:t xml:space="preserve">, </w:t>
      </w:r>
      <w:r w:rsidR="00C057CF" w:rsidRPr="00997F82">
        <w:t xml:space="preserve">a significant increase </w:t>
      </w:r>
      <w:r w:rsidR="00A72CEE" w:rsidRPr="00997F82">
        <w:t xml:space="preserve">was seen in </w:t>
      </w:r>
      <w:r w:rsidR="005B47F4" w:rsidRPr="00997F82">
        <w:t xml:space="preserve">Statement of Choices (SoC) completions in RACH settings </w:t>
      </w:r>
      <w:r w:rsidR="00AF55AD" w:rsidRPr="00997F82">
        <w:t xml:space="preserve">for all PHNs in Queensland except for </w:t>
      </w:r>
      <w:r w:rsidR="002C7814" w:rsidRPr="00997F82">
        <w:t xml:space="preserve">Western </w:t>
      </w:r>
      <w:r w:rsidR="00074417" w:rsidRPr="00997F82">
        <w:t>Queensland</w:t>
      </w:r>
      <w:r w:rsidR="0085537D" w:rsidRPr="00997F82">
        <w:t xml:space="preserve">. </w:t>
      </w:r>
      <w:r w:rsidR="00292C67" w:rsidRPr="00997F82">
        <w:t xml:space="preserve">This is likely due to the limited number of ACP completion in Western Queensland as a whole. </w:t>
      </w:r>
      <w:r w:rsidR="0085537D" w:rsidRPr="00997F82">
        <w:t xml:space="preserve">This increase </w:t>
      </w:r>
      <w:r w:rsidR="00D45B56" w:rsidRPr="00997F82">
        <w:t xml:space="preserve">was much </w:t>
      </w:r>
      <w:r w:rsidR="00DD7EC4" w:rsidRPr="00997F82">
        <w:t xml:space="preserve">greater than was observed </w:t>
      </w:r>
      <w:r w:rsidR="00E06A07" w:rsidRPr="00997F82">
        <w:t xml:space="preserve">for SoC completions </w:t>
      </w:r>
      <w:r w:rsidR="00F53483" w:rsidRPr="00997F82">
        <w:t xml:space="preserve">in community or </w:t>
      </w:r>
      <w:r w:rsidR="00395B72" w:rsidRPr="00997F82">
        <w:t>hospital</w:t>
      </w:r>
      <w:r w:rsidR="002C7814" w:rsidRPr="00997F82">
        <w:t>.</w:t>
      </w:r>
      <w:r w:rsidR="00D83F9E" w:rsidRPr="00997F82">
        <w:rPr>
          <w:rStyle w:val="FootnoteReference"/>
        </w:rPr>
        <w:footnoteReference w:id="46"/>
      </w:r>
      <w:r w:rsidR="00074417" w:rsidRPr="00997F82">
        <w:t xml:space="preserve"> </w:t>
      </w:r>
      <w:r w:rsidR="0040689A" w:rsidRPr="00997F82">
        <w:t>While not fully representative of all PHNs</w:t>
      </w:r>
      <w:r w:rsidR="00997456" w:rsidRPr="00997F82">
        <w:t xml:space="preserve"> nationally</w:t>
      </w:r>
      <w:r w:rsidR="0040689A" w:rsidRPr="00997F82">
        <w:t xml:space="preserve">, this is </w:t>
      </w:r>
      <w:r w:rsidR="00997456" w:rsidRPr="00997F82">
        <w:t>shown</w:t>
      </w:r>
      <w:r w:rsidR="0040689A" w:rsidRPr="00997F82">
        <w:t xml:space="preserve"> in </w:t>
      </w:r>
      <w:r w:rsidR="00AF38FA" w:rsidRPr="00997F82">
        <w:fldChar w:fldCharType="begin"/>
      </w:r>
      <w:r w:rsidR="00AF38FA" w:rsidRPr="00997F82">
        <w:instrText xml:space="preserve"> REF _Ref202177410 \h  \* MERGEFORMAT </w:instrText>
      </w:r>
      <w:r w:rsidR="00AF38FA" w:rsidRPr="00997F82">
        <w:fldChar w:fldCharType="separate"/>
      </w:r>
      <w:r w:rsidR="00735424" w:rsidRPr="00997F82">
        <w:t xml:space="preserve">Table </w:t>
      </w:r>
      <w:r w:rsidR="00735424">
        <w:t>12</w:t>
      </w:r>
      <w:r w:rsidR="00AF38FA" w:rsidRPr="00997F82">
        <w:fldChar w:fldCharType="end"/>
      </w:r>
      <w:r w:rsidR="00AF38FA" w:rsidRPr="00997F82">
        <w:t xml:space="preserve"> </w:t>
      </w:r>
      <w:r w:rsidR="0040689A" w:rsidRPr="00997F82">
        <w:t>below.</w:t>
      </w:r>
    </w:p>
    <w:p w14:paraId="723C125B" w14:textId="6FBE0C69" w:rsidR="0040689A" w:rsidRPr="00997F82" w:rsidRDefault="0040689A" w:rsidP="00277D66">
      <w:pPr>
        <w:pStyle w:val="Caption"/>
      </w:pPr>
      <w:bookmarkStart w:id="50" w:name="_Ref202177410"/>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12</w:t>
      </w:r>
      <w:r w:rsidR="0002526D" w:rsidRPr="00997F82">
        <w:fldChar w:fldCharType="end"/>
      </w:r>
      <w:bookmarkEnd w:id="50"/>
      <w:r w:rsidRPr="00997F82">
        <w:t>: Queensland Office of Advance Care Planning SoC completions by sector</w:t>
      </w:r>
    </w:p>
    <w:tbl>
      <w:tblPr>
        <w:tblStyle w:val="GridTable1Light-Accent4"/>
        <w:tblW w:w="9011" w:type="dxa"/>
        <w:tblInd w:w="-5" w:type="dxa"/>
        <w:tblBorders>
          <w:top w:val="single" w:sz="4" w:space="0" w:color="AEB3D2" w:themeColor="accent2" w:themeTint="66"/>
          <w:left w:val="single" w:sz="4" w:space="0" w:color="AEB3D2" w:themeColor="accent2" w:themeTint="66"/>
          <w:bottom w:val="single" w:sz="4" w:space="0" w:color="AEB3D2" w:themeColor="accent2" w:themeTint="66"/>
          <w:right w:val="single" w:sz="4" w:space="0" w:color="AEB3D2" w:themeColor="accent2" w:themeTint="66"/>
          <w:insideH w:val="single" w:sz="4" w:space="0" w:color="AEB3D2" w:themeColor="accent2" w:themeTint="66"/>
          <w:insideV w:val="single" w:sz="4" w:space="0" w:color="AEB3D2" w:themeColor="accent2" w:themeTint="66"/>
        </w:tblBorders>
        <w:tblLayout w:type="fixed"/>
        <w:tblLook w:val="04A0" w:firstRow="1" w:lastRow="0" w:firstColumn="1" w:lastColumn="0" w:noHBand="0" w:noVBand="1"/>
      </w:tblPr>
      <w:tblGrid>
        <w:gridCol w:w="1604"/>
        <w:gridCol w:w="1229"/>
        <w:gridCol w:w="1233"/>
        <w:gridCol w:w="1231"/>
        <w:gridCol w:w="1233"/>
        <w:gridCol w:w="1231"/>
        <w:gridCol w:w="1234"/>
        <w:gridCol w:w="16"/>
      </w:tblGrid>
      <w:tr w:rsidR="0050556C" w:rsidRPr="00997F82" w14:paraId="389DA0D9" w14:textId="77777777" w:rsidTr="00875F96">
        <w:trPr>
          <w:cnfStyle w:val="100000000000" w:firstRow="1" w:lastRow="0" w:firstColumn="0" w:lastColumn="0" w:oddVBand="0" w:evenVBand="0" w:oddHBand="0" w:evenHBand="0" w:firstRowFirstColumn="0" w:firstRowLastColumn="0" w:lastRowFirstColumn="0" w:lastRowLastColumn="0"/>
          <w:trHeight w:val="354"/>
          <w:tblHeader/>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nil"/>
              <w:right w:val="single" w:sz="4" w:space="0" w:color="858DBB" w:themeColor="accent2" w:themeTint="99"/>
            </w:tcBorders>
            <w:shd w:val="clear" w:color="auto" w:fill="FFFFFF" w:themeFill="background1"/>
            <w:vAlign w:val="center"/>
          </w:tcPr>
          <w:p w14:paraId="0D8BE642" w14:textId="77777777" w:rsidR="0036103D" w:rsidRPr="00997F82" w:rsidRDefault="0036103D">
            <w:pPr>
              <w:rPr>
                <w:rFonts w:asciiTheme="minorHAnsi" w:eastAsia="Times New Roman" w:hAnsiTheme="minorHAnsi" w:cs="Times New Roman"/>
                <w:color w:val="000000"/>
                <w:sz w:val="18"/>
                <w:szCs w:val="18"/>
                <w:lang w:eastAsia="en-AU"/>
              </w:rPr>
            </w:pPr>
          </w:p>
        </w:tc>
        <w:tc>
          <w:tcPr>
            <w:tcW w:w="7405" w:type="dxa"/>
            <w:gridSpan w:val="7"/>
            <w:noWrap/>
            <w:vAlign w:val="center"/>
          </w:tcPr>
          <w:p w14:paraId="52BD6C11" w14:textId="5048596E" w:rsidR="0040689A" w:rsidRPr="00997F82" w:rsidRDefault="0040689A">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SoC</w:t>
            </w:r>
            <w:r w:rsidR="00050F93" w:rsidRPr="00997F82">
              <w:rPr>
                <w:rFonts w:asciiTheme="minorHAnsi" w:eastAsia="Times New Roman" w:hAnsiTheme="minorHAnsi" w:cs="Times New Roman"/>
                <w:color w:val="000000"/>
                <w:sz w:val="18"/>
                <w:szCs w:val="18"/>
                <w:lang w:eastAsia="en-AU"/>
              </w:rPr>
              <w:t xml:space="preserve"> completions</w:t>
            </w:r>
            <w:r w:rsidRPr="00997F82">
              <w:rPr>
                <w:rFonts w:asciiTheme="minorHAnsi" w:eastAsia="Times New Roman" w:hAnsiTheme="minorHAnsi" w:cs="Times New Roman"/>
                <w:color w:val="000000"/>
                <w:sz w:val="18"/>
                <w:szCs w:val="18"/>
                <w:lang w:eastAsia="en-AU"/>
              </w:rPr>
              <w:t xml:space="preserve"> (Queensland Office of Advance</w:t>
            </w:r>
            <w:r w:rsidR="00C430CB" w:rsidRPr="00997F82">
              <w:rPr>
                <w:rFonts w:asciiTheme="minorHAnsi" w:eastAsia="Times New Roman" w:hAnsiTheme="minorHAnsi" w:cs="Times New Roman"/>
                <w:color w:val="000000"/>
                <w:sz w:val="18"/>
                <w:szCs w:val="18"/>
                <w:lang w:eastAsia="en-AU"/>
              </w:rPr>
              <w:t xml:space="preserve"> </w:t>
            </w:r>
            <w:r w:rsidRPr="00997F82">
              <w:rPr>
                <w:rFonts w:asciiTheme="minorHAnsi" w:eastAsia="Times New Roman" w:hAnsiTheme="minorHAnsi" w:cs="Times New Roman"/>
                <w:color w:val="000000"/>
                <w:sz w:val="18"/>
                <w:szCs w:val="18"/>
                <w:lang w:eastAsia="en-AU"/>
              </w:rPr>
              <w:t>Care Planning)</w:t>
            </w:r>
          </w:p>
        </w:tc>
      </w:tr>
      <w:tr w:rsidR="00A32FAA" w:rsidRPr="00997F82" w14:paraId="5BE75DE9" w14:textId="77777777" w:rsidTr="00875F96">
        <w:trPr>
          <w:gridAfter w:val="1"/>
          <w:cnfStyle w:val="100000000000" w:firstRow="1" w:lastRow="0" w:firstColumn="0" w:lastColumn="0" w:oddVBand="0" w:evenVBand="0" w:oddHBand="0" w:evenHBand="0" w:firstRowFirstColumn="0" w:firstRowLastColumn="0" w:lastRowFirstColumn="0" w:lastRowLastColumn="0"/>
          <w:wAfter w:w="13" w:type="dxa"/>
          <w:trHeight w:val="354"/>
          <w:tblHeader/>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nil"/>
              <w:right w:val="single" w:sz="4" w:space="0" w:color="858DBB" w:themeColor="accent2" w:themeTint="99"/>
            </w:tcBorders>
            <w:shd w:val="clear" w:color="auto" w:fill="FFFFFF" w:themeFill="background1"/>
            <w:vAlign w:val="center"/>
          </w:tcPr>
          <w:p w14:paraId="4B924290" w14:textId="77777777" w:rsidR="000F39B7" w:rsidRPr="00997F82" w:rsidRDefault="000F39B7">
            <w:pPr>
              <w:rPr>
                <w:rFonts w:asciiTheme="minorHAnsi" w:eastAsia="Times New Roman" w:hAnsiTheme="minorHAnsi" w:cs="Times New Roman"/>
                <w:color w:val="000000"/>
                <w:sz w:val="18"/>
                <w:szCs w:val="18"/>
                <w:lang w:eastAsia="en-AU"/>
              </w:rPr>
            </w:pPr>
          </w:p>
        </w:tc>
        <w:tc>
          <w:tcPr>
            <w:tcW w:w="2463" w:type="dxa"/>
            <w:gridSpan w:val="2"/>
            <w:tcBorders>
              <w:right w:val="single" w:sz="4" w:space="0" w:color="464E7E" w:themeColor="accent2"/>
            </w:tcBorders>
            <w:noWrap/>
            <w:vAlign w:val="center"/>
          </w:tcPr>
          <w:p w14:paraId="208CBC72" w14:textId="2C9BD5EF" w:rsidR="000F39B7" w:rsidRPr="00997F82" w:rsidRDefault="000F39B7" w:rsidP="0036103D">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000000"/>
                <w:sz w:val="18"/>
                <w:szCs w:val="18"/>
                <w:lang w:eastAsia="en-AU"/>
              </w:rPr>
            </w:pPr>
            <w:r w:rsidRPr="00997F82">
              <w:rPr>
                <w:rFonts w:asciiTheme="minorHAnsi" w:eastAsia="Times New Roman" w:hAnsiTheme="minorHAnsi" w:cs="Times New Roman"/>
                <w:color w:val="000000"/>
                <w:sz w:val="18"/>
                <w:szCs w:val="18"/>
                <w:lang w:eastAsia="en-AU"/>
              </w:rPr>
              <w:t>Community</w:t>
            </w:r>
          </w:p>
        </w:tc>
        <w:tc>
          <w:tcPr>
            <w:tcW w:w="2464" w:type="dxa"/>
            <w:gridSpan w:val="2"/>
            <w:tcBorders>
              <w:left w:val="single" w:sz="4" w:space="0" w:color="464E7E" w:themeColor="accent2"/>
              <w:right w:val="single" w:sz="4" w:space="0" w:color="464E7E" w:themeColor="accent2"/>
            </w:tcBorders>
            <w:vAlign w:val="center"/>
          </w:tcPr>
          <w:p w14:paraId="1E910BBD" w14:textId="19267F30" w:rsidR="000F39B7" w:rsidRPr="00997F82" w:rsidRDefault="000F39B7" w:rsidP="0036103D">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000000"/>
                <w:sz w:val="18"/>
                <w:szCs w:val="18"/>
                <w:lang w:eastAsia="en-AU"/>
              </w:rPr>
            </w:pPr>
            <w:r w:rsidRPr="00997F82">
              <w:rPr>
                <w:rFonts w:asciiTheme="minorHAnsi" w:eastAsia="Times New Roman" w:hAnsiTheme="minorHAnsi" w:cs="Times New Roman"/>
                <w:color w:val="000000"/>
                <w:sz w:val="18"/>
                <w:szCs w:val="18"/>
                <w:lang w:eastAsia="en-AU"/>
              </w:rPr>
              <w:t>Hospital</w:t>
            </w:r>
          </w:p>
        </w:tc>
        <w:tc>
          <w:tcPr>
            <w:tcW w:w="2465" w:type="dxa"/>
            <w:gridSpan w:val="2"/>
            <w:tcBorders>
              <w:left w:val="single" w:sz="4" w:space="0" w:color="464E7E" w:themeColor="accent2"/>
            </w:tcBorders>
            <w:vAlign w:val="center"/>
          </w:tcPr>
          <w:p w14:paraId="5AC996C8" w14:textId="471621E9" w:rsidR="000F39B7" w:rsidRPr="00997F82" w:rsidRDefault="000F39B7" w:rsidP="0036103D">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000000"/>
                <w:sz w:val="18"/>
                <w:szCs w:val="18"/>
                <w:lang w:eastAsia="en-AU"/>
              </w:rPr>
            </w:pPr>
            <w:r w:rsidRPr="00997F82">
              <w:rPr>
                <w:rFonts w:asciiTheme="minorHAnsi" w:eastAsia="Times New Roman" w:hAnsiTheme="minorHAnsi" w:cs="Times New Roman"/>
                <w:color w:val="000000"/>
                <w:sz w:val="18"/>
                <w:szCs w:val="18"/>
                <w:lang w:eastAsia="en-AU"/>
              </w:rPr>
              <w:t>RACH</w:t>
            </w:r>
          </w:p>
        </w:tc>
      </w:tr>
      <w:tr w:rsidR="002B0AF3" w:rsidRPr="00997F82" w14:paraId="49F55410" w14:textId="388299E9" w:rsidTr="00875F96">
        <w:trPr>
          <w:gridAfter w:val="1"/>
          <w:cnfStyle w:val="100000000000" w:firstRow="1" w:lastRow="0" w:firstColumn="0" w:lastColumn="0" w:oddVBand="0" w:evenVBand="0" w:oddHBand="0" w:evenHBand="0" w:firstRowFirstColumn="0" w:firstRowLastColumn="0" w:lastRowFirstColumn="0" w:lastRowLastColumn="0"/>
          <w:wAfter w:w="16" w:type="dxa"/>
          <w:trHeight w:val="354"/>
          <w:tblHeader/>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nil"/>
              <w:right w:val="single" w:sz="4" w:space="0" w:color="858DBB" w:themeColor="accent2" w:themeTint="99"/>
            </w:tcBorders>
            <w:shd w:val="clear" w:color="auto" w:fill="FFFFFF" w:themeFill="background1"/>
            <w:vAlign w:val="center"/>
          </w:tcPr>
          <w:p w14:paraId="32C70CA3" w14:textId="77777777" w:rsidR="0036103D" w:rsidRPr="00997F82" w:rsidRDefault="0036103D">
            <w:pPr>
              <w:rPr>
                <w:rFonts w:asciiTheme="minorHAnsi" w:eastAsia="Times New Roman" w:hAnsiTheme="minorHAnsi" w:cs="Times New Roman"/>
                <w:color w:val="000000"/>
                <w:sz w:val="18"/>
                <w:szCs w:val="18"/>
                <w:lang w:eastAsia="en-AU"/>
              </w:rPr>
            </w:pPr>
          </w:p>
        </w:tc>
        <w:tc>
          <w:tcPr>
            <w:tcW w:w="1230" w:type="dxa"/>
            <w:noWrap/>
            <w:vAlign w:val="center"/>
          </w:tcPr>
          <w:p w14:paraId="5D945E66" w14:textId="12AC6A1B" w:rsidR="0036103D" w:rsidRPr="00997F82" w:rsidRDefault="0036103D" w:rsidP="0036103D">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000000"/>
                <w:sz w:val="18"/>
                <w:szCs w:val="18"/>
                <w:lang w:eastAsia="en-AU"/>
              </w:rPr>
            </w:pPr>
            <w:r w:rsidRPr="00997F82">
              <w:rPr>
                <w:rFonts w:asciiTheme="minorHAnsi" w:eastAsia="Times New Roman" w:hAnsiTheme="minorHAnsi" w:cs="Times New Roman"/>
                <w:color w:val="000000"/>
                <w:sz w:val="18"/>
                <w:szCs w:val="18"/>
                <w:lang w:eastAsia="en-AU"/>
              </w:rPr>
              <w:t>201</w:t>
            </w:r>
            <w:r w:rsidR="00150775" w:rsidRPr="00997F82">
              <w:rPr>
                <w:rFonts w:asciiTheme="minorHAnsi" w:eastAsia="Times New Roman" w:hAnsiTheme="minorHAnsi" w:cs="Times New Roman"/>
                <w:color w:val="000000"/>
                <w:sz w:val="18"/>
                <w:szCs w:val="18"/>
                <w:lang w:eastAsia="en-AU"/>
              </w:rPr>
              <w:t>8</w:t>
            </w:r>
            <w:r w:rsidR="00430B28" w:rsidRPr="00997F82">
              <w:rPr>
                <w:rFonts w:asciiTheme="minorHAnsi" w:eastAsia="Times New Roman" w:hAnsiTheme="minorHAnsi" w:cs="Times New Roman"/>
                <w:color w:val="000000"/>
                <w:sz w:val="18"/>
                <w:szCs w:val="18"/>
                <w:lang w:eastAsia="en-AU"/>
              </w:rPr>
              <w:t>-</w:t>
            </w:r>
            <w:r w:rsidR="00150775" w:rsidRPr="00997F82">
              <w:rPr>
                <w:rFonts w:asciiTheme="minorHAnsi" w:eastAsia="Times New Roman" w:hAnsiTheme="minorHAnsi" w:cs="Times New Roman"/>
                <w:color w:val="000000"/>
                <w:sz w:val="18"/>
                <w:szCs w:val="18"/>
                <w:lang w:eastAsia="en-AU"/>
              </w:rPr>
              <w:t>19</w:t>
            </w:r>
          </w:p>
        </w:tc>
        <w:tc>
          <w:tcPr>
            <w:tcW w:w="1232" w:type="dxa"/>
            <w:tcBorders>
              <w:right w:val="single" w:sz="4" w:space="0" w:color="464E7E" w:themeColor="accent2"/>
            </w:tcBorders>
            <w:vAlign w:val="center"/>
          </w:tcPr>
          <w:p w14:paraId="1FF65123" w14:textId="75E0826C" w:rsidR="0036103D" w:rsidRPr="00997F82" w:rsidRDefault="00150775" w:rsidP="0036103D">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000000"/>
                <w:sz w:val="18"/>
                <w:szCs w:val="18"/>
                <w:lang w:eastAsia="en-AU"/>
              </w:rPr>
            </w:pPr>
            <w:r w:rsidRPr="00997F82">
              <w:rPr>
                <w:rFonts w:asciiTheme="minorHAnsi" w:eastAsia="Times New Roman" w:hAnsiTheme="minorHAnsi" w:cs="Times New Roman"/>
                <w:color w:val="000000"/>
                <w:sz w:val="18"/>
                <w:szCs w:val="18"/>
                <w:lang w:eastAsia="en-AU"/>
              </w:rPr>
              <w:t>2023</w:t>
            </w:r>
            <w:r w:rsidR="00430B28" w:rsidRPr="00997F82">
              <w:rPr>
                <w:rFonts w:asciiTheme="minorHAnsi" w:eastAsia="Times New Roman" w:hAnsiTheme="minorHAnsi" w:cs="Times New Roman"/>
                <w:color w:val="000000"/>
                <w:sz w:val="18"/>
                <w:szCs w:val="18"/>
                <w:lang w:eastAsia="en-AU"/>
              </w:rPr>
              <w:t>-</w:t>
            </w:r>
            <w:r w:rsidRPr="00997F82">
              <w:rPr>
                <w:rFonts w:asciiTheme="minorHAnsi" w:eastAsia="Times New Roman" w:hAnsiTheme="minorHAnsi" w:cs="Times New Roman"/>
                <w:color w:val="000000"/>
                <w:sz w:val="18"/>
                <w:szCs w:val="18"/>
                <w:lang w:eastAsia="en-AU"/>
              </w:rPr>
              <w:t>24</w:t>
            </w:r>
          </w:p>
        </w:tc>
        <w:tc>
          <w:tcPr>
            <w:tcW w:w="1231" w:type="dxa"/>
            <w:tcBorders>
              <w:left w:val="single" w:sz="4" w:space="0" w:color="464E7E" w:themeColor="accent2"/>
            </w:tcBorders>
            <w:vAlign w:val="center"/>
          </w:tcPr>
          <w:p w14:paraId="461A3AD4" w14:textId="131494E8" w:rsidR="0036103D" w:rsidRPr="00997F82" w:rsidRDefault="00150775" w:rsidP="0036103D">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000000"/>
                <w:sz w:val="18"/>
                <w:szCs w:val="18"/>
                <w:lang w:eastAsia="en-AU"/>
              </w:rPr>
            </w:pPr>
            <w:r w:rsidRPr="00997F82">
              <w:rPr>
                <w:rFonts w:asciiTheme="minorHAnsi" w:eastAsia="Times New Roman" w:hAnsiTheme="minorHAnsi" w:cs="Times New Roman"/>
                <w:color w:val="000000"/>
                <w:sz w:val="18"/>
                <w:szCs w:val="18"/>
                <w:lang w:eastAsia="en-AU"/>
              </w:rPr>
              <w:t>2018</w:t>
            </w:r>
            <w:r w:rsidR="00430B28" w:rsidRPr="00997F82">
              <w:rPr>
                <w:rFonts w:asciiTheme="minorHAnsi" w:eastAsia="Times New Roman" w:hAnsiTheme="minorHAnsi" w:cs="Times New Roman"/>
                <w:color w:val="000000"/>
                <w:sz w:val="18"/>
                <w:szCs w:val="18"/>
                <w:lang w:eastAsia="en-AU"/>
              </w:rPr>
              <w:t>-</w:t>
            </w:r>
            <w:r w:rsidRPr="00997F82">
              <w:rPr>
                <w:rFonts w:asciiTheme="minorHAnsi" w:eastAsia="Times New Roman" w:hAnsiTheme="minorHAnsi" w:cs="Times New Roman"/>
                <w:color w:val="000000"/>
                <w:sz w:val="18"/>
                <w:szCs w:val="18"/>
                <w:lang w:eastAsia="en-AU"/>
              </w:rPr>
              <w:t>19</w:t>
            </w:r>
          </w:p>
        </w:tc>
        <w:tc>
          <w:tcPr>
            <w:tcW w:w="1232" w:type="dxa"/>
            <w:tcBorders>
              <w:right w:val="single" w:sz="4" w:space="0" w:color="464E7E" w:themeColor="accent2"/>
            </w:tcBorders>
            <w:noWrap/>
            <w:vAlign w:val="center"/>
          </w:tcPr>
          <w:p w14:paraId="2ABF8DEB" w14:textId="1F813305" w:rsidR="0036103D" w:rsidRPr="00997F82" w:rsidRDefault="0036103D" w:rsidP="0036103D">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000000"/>
                <w:sz w:val="18"/>
                <w:szCs w:val="18"/>
                <w:lang w:eastAsia="en-AU"/>
              </w:rPr>
            </w:pPr>
            <w:r w:rsidRPr="00997F82">
              <w:rPr>
                <w:rFonts w:asciiTheme="minorHAnsi" w:eastAsia="Times New Roman" w:hAnsiTheme="minorHAnsi" w:cs="Times New Roman"/>
                <w:color w:val="000000"/>
                <w:sz w:val="18"/>
                <w:szCs w:val="18"/>
                <w:lang w:eastAsia="en-AU"/>
              </w:rPr>
              <w:t>202</w:t>
            </w:r>
            <w:r w:rsidR="00150775" w:rsidRPr="00997F82">
              <w:rPr>
                <w:rFonts w:asciiTheme="minorHAnsi" w:eastAsia="Times New Roman" w:hAnsiTheme="minorHAnsi" w:cs="Times New Roman"/>
                <w:color w:val="000000"/>
                <w:sz w:val="18"/>
                <w:szCs w:val="18"/>
                <w:lang w:eastAsia="en-AU"/>
              </w:rPr>
              <w:t>3</w:t>
            </w:r>
            <w:r w:rsidR="00430B28" w:rsidRPr="00997F82">
              <w:rPr>
                <w:rFonts w:asciiTheme="minorHAnsi" w:eastAsia="Times New Roman" w:hAnsiTheme="minorHAnsi" w:cs="Times New Roman"/>
                <w:color w:val="000000"/>
                <w:sz w:val="18"/>
                <w:szCs w:val="18"/>
                <w:lang w:eastAsia="en-AU"/>
              </w:rPr>
              <w:t>-</w:t>
            </w:r>
            <w:r w:rsidR="00150775" w:rsidRPr="00997F82">
              <w:rPr>
                <w:rFonts w:asciiTheme="minorHAnsi" w:eastAsia="Times New Roman" w:hAnsiTheme="minorHAnsi" w:cs="Times New Roman"/>
                <w:color w:val="000000"/>
                <w:sz w:val="18"/>
                <w:szCs w:val="18"/>
                <w:lang w:eastAsia="en-AU"/>
              </w:rPr>
              <w:t>24</w:t>
            </w:r>
          </w:p>
        </w:tc>
        <w:tc>
          <w:tcPr>
            <w:tcW w:w="1231" w:type="dxa"/>
            <w:tcBorders>
              <w:left w:val="single" w:sz="4" w:space="0" w:color="464E7E" w:themeColor="accent2"/>
            </w:tcBorders>
            <w:vAlign w:val="center"/>
          </w:tcPr>
          <w:p w14:paraId="11B42A38" w14:textId="1F354698" w:rsidR="0036103D" w:rsidRPr="00997F82" w:rsidRDefault="00150775" w:rsidP="0036103D">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000000"/>
                <w:sz w:val="18"/>
                <w:szCs w:val="18"/>
                <w:lang w:eastAsia="en-AU"/>
              </w:rPr>
            </w:pPr>
            <w:r w:rsidRPr="00997F82">
              <w:rPr>
                <w:rFonts w:asciiTheme="minorHAnsi" w:eastAsia="Times New Roman" w:hAnsiTheme="minorHAnsi" w:cs="Times New Roman"/>
                <w:color w:val="000000"/>
                <w:sz w:val="18"/>
                <w:szCs w:val="18"/>
                <w:lang w:eastAsia="en-AU"/>
              </w:rPr>
              <w:t>2018</w:t>
            </w:r>
            <w:r w:rsidR="00430B28" w:rsidRPr="00997F82">
              <w:rPr>
                <w:rFonts w:asciiTheme="minorHAnsi" w:eastAsia="Times New Roman" w:hAnsiTheme="minorHAnsi" w:cs="Times New Roman"/>
                <w:color w:val="000000"/>
                <w:sz w:val="18"/>
                <w:szCs w:val="18"/>
                <w:lang w:eastAsia="en-AU"/>
              </w:rPr>
              <w:t>-</w:t>
            </w:r>
            <w:r w:rsidRPr="00997F82">
              <w:rPr>
                <w:rFonts w:asciiTheme="minorHAnsi" w:eastAsia="Times New Roman" w:hAnsiTheme="minorHAnsi" w:cs="Times New Roman"/>
                <w:color w:val="000000"/>
                <w:sz w:val="18"/>
                <w:szCs w:val="18"/>
                <w:lang w:eastAsia="en-AU"/>
              </w:rPr>
              <w:t>19</w:t>
            </w:r>
          </w:p>
        </w:tc>
        <w:tc>
          <w:tcPr>
            <w:tcW w:w="1233" w:type="dxa"/>
            <w:vAlign w:val="center"/>
          </w:tcPr>
          <w:p w14:paraId="774FC2E9" w14:textId="4DC50283" w:rsidR="0036103D" w:rsidRPr="00997F82" w:rsidRDefault="00150775" w:rsidP="0036103D">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000000"/>
                <w:sz w:val="18"/>
                <w:szCs w:val="18"/>
                <w:lang w:eastAsia="en-AU"/>
              </w:rPr>
            </w:pPr>
            <w:r w:rsidRPr="00997F82">
              <w:rPr>
                <w:rFonts w:asciiTheme="minorHAnsi" w:eastAsia="Times New Roman" w:hAnsiTheme="minorHAnsi" w:cs="Times New Roman"/>
                <w:color w:val="000000"/>
                <w:sz w:val="18"/>
                <w:szCs w:val="18"/>
                <w:lang w:eastAsia="en-AU"/>
              </w:rPr>
              <w:t>202</w:t>
            </w:r>
            <w:r w:rsidR="000F39B7" w:rsidRPr="00997F82">
              <w:rPr>
                <w:rFonts w:asciiTheme="minorHAnsi" w:eastAsia="Times New Roman" w:hAnsiTheme="minorHAnsi" w:cs="Times New Roman"/>
                <w:color w:val="000000"/>
                <w:sz w:val="18"/>
                <w:szCs w:val="18"/>
                <w:lang w:eastAsia="en-AU"/>
              </w:rPr>
              <w:t>3</w:t>
            </w:r>
            <w:r w:rsidR="00430B28" w:rsidRPr="00997F82">
              <w:rPr>
                <w:rFonts w:asciiTheme="minorHAnsi" w:eastAsia="Times New Roman" w:hAnsiTheme="minorHAnsi" w:cs="Times New Roman"/>
                <w:color w:val="000000"/>
                <w:sz w:val="18"/>
                <w:szCs w:val="18"/>
                <w:lang w:eastAsia="en-AU"/>
              </w:rPr>
              <w:t>-</w:t>
            </w:r>
            <w:r w:rsidR="000F39B7" w:rsidRPr="00997F82">
              <w:rPr>
                <w:rFonts w:asciiTheme="minorHAnsi" w:eastAsia="Times New Roman" w:hAnsiTheme="minorHAnsi" w:cs="Times New Roman"/>
                <w:color w:val="000000"/>
                <w:sz w:val="18"/>
                <w:szCs w:val="18"/>
                <w:lang w:eastAsia="en-AU"/>
              </w:rPr>
              <w:t>24</w:t>
            </w:r>
          </w:p>
        </w:tc>
      </w:tr>
      <w:tr w:rsidR="00A32FAA" w:rsidRPr="00997F82" w14:paraId="200DDB97" w14:textId="416A8381" w:rsidTr="00FC0687">
        <w:trPr>
          <w:gridAfter w:val="1"/>
          <w:wAfter w:w="16" w:type="dxa"/>
          <w:trHeight w:val="354"/>
        </w:trPr>
        <w:tc>
          <w:tcPr>
            <w:cnfStyle w:val="001000000000" w:firstRow="0" w:lastRow="0" w:firstColumn="1" w:lastColumn="0" w:oddVBand="0" w:evenVBand="0" w:oddHBand="0" w:evenHBand="0" w:firstRowFirstColumn="0" w:firstRowLastColumn="0" w:lastRowFirstColumn="0" w:lastRowLastColumn="0"/>
            <w:tcW w:w="1606" w:type="dxa"/>
            <w:vAlign w:val="center"/>
            <w:hideMark/>
          </w:tcPr>
          <w:p w14:paraId="551CF84F" w14:textId="05A50377" w:rsidR="0036103D" w:rsidRPr="00997F82" w:rsidRDefault="0036103D">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Brisbane North PHN</w:t>
            </w:r>
          </w:p>
        </w:tc>
        <w:tc>
          <w:tcPr>
            <w:tcW w:w="1230" w:type="dxa"/>
            <w:noWrap/>
            <w:vAlign w:val="center"/>
            <w:hideMark/>
          </w:tcPr>
          <w:p w14:paraId="1FB3CE7E" w14:textId="51C1886F" w:rsidR="0036103D" w:rsidRPr="00997F82" w:rsidRDefault="007F081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363</w:t>
            </w:r>
          </w:p>
        </w:tc>
        <w:tc>
          <w:tcPr>
            <w:tcW w:w="1232" w:type="dxa"/>
            <w:tcBorders>
              <w:right w:val="single" w:sz="4" w:space="0" w:color="464E7E" w:themeColor="accent2"/>
            </w:tcBorders>
            <w:vAlign w:val="center"/>
          </w:tcPr>
          <w:p w14:paraId="50058014" w14:textId="42534510" w:rsidR="0036103D" w:rsidRPr="00997F82" w:rsidRDefault="00050F93">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291</w:t>
            </w:r>
          </w:p>
        </w:tc>
        <w:tc>
          <w:tcPr>
            <w:tcW w:w="1231" w:type="dxa"/>
            <w:tcBorders>
              <w:left w:val="single" w:sz="4" w:space="0" w:color="464E7E" w:themeColor="accent2"/>
            </w:tcBorders>
            <w:vAlign w:val="center"/>
          </w:tcPr>
          <w:p w14:paraId="5D3DFA39" w14:textId="55477DDC" w:rsidR="0036103D" w:rsidRPr="00997F82" w:rsidRDefault="00D53865">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212</w:t>
            </w:r>
          </w:p>
        </w:tc>
        <w:tc>
          <w:tcPr>
            <w:tcW w:w="1232" w:type="dxa"/>
            <w:tcBorders>
              <w:right w:val="single" w:sz="4" w:space="0" w:color="464E7E" w:themeColor="accent2"/>
            </w:tcBorders>
            <w:noWrap/>
            <w:vAlign w:val="center"/>
            <w:hideMark/>
          </w:tcPr>
          <w:p w14:paraId="569949E8" w14:textId="0AADBD1F" w:rsidR="0036103D" w:rsidRPr="00997F82" w:rsidRDefault="00D53865">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221</w:t>
            </w:r>
          </w:p>
        </w:tc>
        <w:tc>
          <w:tcPr>
            <w:tcW w:w="1231" w:type="dxa"/>
            <w:tcBorders>
              <w:left w:val="single" w:sz="4" w:space="0" w:color="464E7E" w:themeColor="accent2"/>
            </w:tcBorders>
            <w:vAlign w:val="center"/>
          </w:tcPr>
          <w:p w14:paraId="51B54057" w14:textId="38908CEB" w:rsidR="0036103D" w:rsidRPr="00997F82" w:rsidRDefault="00D53865">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198</w:t>
            </w:r>
          </w:p>
        </w:tc>
        <w:tc>
          <w:tcPr>
            <w:tcW w:w="1233" w:type="dxa"/>
            <w:shd w:val="clear" w:color="auto" w:fill="CBF39B"/>
            <w:vAlign w:val="center"/>
          </w:tcPr>
          <w:p w14:paraId="2DB551BF" w14:textId="5D7B9D80" w:rsidR="0036103D" w:rsidRPr="00997F82" w:rsidRDefault="00D53865">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661</w:t>
            </w:r>
          </w:p>
        </w:tc>
      </w:tr>
      <w:tr w:rsidR="00A32FAA" w:rsidRPr="00997F82" w14:paraId="4C0553CD" w14:textId="4A219BBF" w:rsidTr="00FC0687">
        <w:trPr>
          <w:gridAfter w:val="1"/>
          <w:wAfter w:w="16" w:type="dxa"/>
          <w:trHeight w:val="361"/>
        </w:trPr>
        <w:tc>
          <w:tcPr>
            <w:cnfStyle w:val="001000000000" w:firstRow="0" w:lastRow="0" w:firstColumn="1" w:lastColumn="0" w:oddVBand="0" w:evenVBand="0" w:oddHBand="0" w:evenHBand="0" w:firstRowFirstColumn="0" w:firstRowLastColumn="0" w:lastRowFirstColumn="0" w:lastRowLastColumn="0"/>
            <w:tcW w:w="1606" w:type="dxa"/>
            <w:vAlign w:val="center"/>
            <w:hideMark/>
          </w:tcPr>
          <w:p w14:paraId="4EADE31B" w14:textId="2B21055D" w:rsidR="0036103D" w:rsidRPr="00997F82" w:rsidRDefault="0036103D">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Brisbane South PHN</w:t>
            </w:r>
          </w:p>
        </w:tc>
        <w:tc>
          <w:tcPr>
            <w:tcW w:w="1230" w:type="dxa"/>
            <w:noWrap/>
            <w:vAlign w:val="center"/>
            <w:hideMark/>
          </w:tcPr>
          <w:p w14:paraId="4985EDBE" w14:textId="1F084797" w:rsidR="0036103D" w:rsidRPr="00997F82" w:rsidRDefault="009D060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615</w:t>
            </w:r>
          </w:p>
        </w:tc>
        <w:tc>
          <w:tcPr>
            <w:tcW w:w="1232" w:type="dxa"/>
            <w:tcBorders>
              <w:right w:val="single" w:sz="4" w:space="0" w:color="464E7E" w:themeColor="accent2"/>
            </w:tcBorders>
            <w:vAlign w:val="center"/>
          </w:tcPr>
          <w:p w14:paraId="31FE5DED" w14:textId="2DF57CF7" w:rsidR="0036103D" w:rsidRPr="00997F82" w:rsidRDefault="009D060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550</w:t>
            </w:r>
          </w:p>
        </w:tc>
        <w:tc>
          <w:tcPr>
            <w:tcW w:w="1231" w:type="dxa"/>
            <w:tcBorders>
              <w:left w:val="single" w:sz="4" w:space="0" w:color="464E7E" w:themeColor="accent2"/>
            </w:tcBorders>
            <w:vAlign w:val="center"/>
          </w:tcPr>
          <w:p w14:paraId="77C98DF0" w14:textId="43112B7A" w:rsidR="0036103D" w:rsidRPr="00997F82" w:rsidRDefault="009D060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479</w:t>
            </w:r>
          </w:p>
        </w:tc>
        <w:tc>
          <w:tcPr>
            <w:tcW w:w="1232" w:type="dxa"/>
            <w:tcBorders>
              <w:right w:val="single" w:sz="4" w:space="0" w:color="464E7E" w:themeColor="accent2"/>
            </w:tcBorders>
            <w:noWrap/>
            <w:vAlign w:val="center"/>
            <w:hideMark/>
          </w:tcPr>
          <w:p w14:paraId="6D272638" w14:textId="0D35B2F1" w:rsidR="0036103D" w:rsidRPr="00997F82" w:rsidRDefault="009D060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251</w:t>
            </w:r>
          </w:p>
        </w:tc>
        <w:tc>
          <w:tcPr>
            <w:tcW w:w="1231" w:type="dxa"/>
            <w:tcBorders>
              <w:left w:val="single" w:sz="4" w:space="0" w:color="464E7E" w:themeColor="accent2"/>
            </w:tcBorders>
            <w:vAlign w:val="center"/>
          </w:tcPr>
          <w:p w14:paraId="11F213D4" w14:textId="5BD4E1AC" w:rsidR="0036103D" w:rsidRPr="00997F82" w:rsidRDefault="009D060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1,233</w:t>
            </w:r>
          </w:p>
        </w:tc>
        <w:tc>
          <w:tcPr>
            <w:tcW w:w="1233" w:type="dxa"/>
            <w:shd w:val="clear" w:color="auto" w:fill="CBF39B"/>
            <w:vAlign w:val="center"/>
          </w:tcPr>
          <w:p w14:paraId="0A5723CE" w14:textId="0BE1F625" w:rsidR="0036103D" w:rsidRPr="00997F82" w:rsidRDefault="009D060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1,624</w:t>
            </w:r>
          </w:p>
        </w:tc>
      </w:tr>
      <w:tr w:rsidR="00A32FAA" w:rsidRPr="00997F82" w14:paraId="5C642B0B" w14:textId="5E120D10" w:rsidTr="00FC0687">
        <w:trPr>
          <w:gridAfter w:val="1"/>
          <w:wAfter w:w="16" w:type="dxa"/>
          <w:trHeight w:val="361"/>
        </w:trPr>
        <w:tc>
          <w:tcPr>
            <w:cnfStyle w:val="001000000000" w:firstRow="0" w:lastRow="0" w:firstColumn="1" w:lastColumn="0" w:oddVBand="0" w:evenVBand="0" w:oddHBand="0" w:evenHBand="0" w:firstRowFirstColumn="0" w:firstRowLastColumn="0" w:lastRowFirstColumn="0" w:lastRowLastColumn="0"/>
            <w:tcW w:w="1606" w:type="dxa"/>
            <w:vAlign w:val="center"/>
            <w:hideMark/>
          </w:tcPr>
          <w:p w14:paraId="036CC1A2" w14:textId="0E40D269" w:rsidR="0036103D" w:rsidRPr="00997F82" w:rsidRDefault="0036103D">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Country to Coast PHN</w:t>
            </w:r>
          </w:p>
        </w:tc>
        <w:tc>
          <w:tcPr>
            <w:tcW w:w="1230" w:type="dxa"/>
            <w:noWrap/>
            <w:vAlign w:val="center"/>
            <w:hideMark/>
          </w:tcPr>
          <w:p w14:paraId="452E0494" w14:textId="745BF204" w:rsidR="0036103D" w:rsidRPr="00997F82" w:rsidRDefault="00394F9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203</w:t>
            </w:r>
          </w:p>
        </w:tc>
        <w:tc>
          <w:tcPr>
            <w:tcW w:w="1232" w:type="dxa"/>
            <w:tcBorders>
              <w:right w:val="single" w:sz="4" w:space="0" w:color="464E7E" w:themeColor="accent2"/>
            </w:tcBorders>
            <w:vAlign w:val="center"/>
          </w:tcPr>
          <w:p w14:paraId="11726A73" w14:textId="4D72F60F" w:rsidR="0036103D" w:rsidRPr="00997F82" w:rsidRDefault="00394F9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324</w:t>
            </w:r>
          </w:p>
        </w:tc>
        <w:tc>
          <w:tcPr>
            <w:tcW w:w="1231" w:type="dxa"/>
            <w:tcBorders>
              <w:left w:val="single" w:sz="4" w:space="0" w:color="464E7E" w:themeColor="accent2"/>
            </w:tcBorders>
            <w:vAlign w:val="center"/>
          </w:tcPr>
          <w:p w14:paraId="6E3A068C" w14:textId="6659387D" w:rsidR="0036103D" w:rsidRPr="00997F82" w:rsidRDefault="00394F9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68</w:t>
            </w:r>
          </w:p>
        </w:tc>
        <w:tc>
          <w:tcPr>
            <w:tcW w:w="1232" w:type="dxa"/>
            <w:tcBorders>
              <w:right w:val="single" w:sz="4" w:space="0" w:color="464E7E" w:themeColor="accent2"/>
            </w:tcBorders>
            <w:noWrap/>
            <w:vAlign w:val="center"/>
            <w:hideMark/>
          </w:tcPr>
          <w:p w14:paraId="08575A37" w14:textId="3BBC1C44" w:rsidR="0036103D" w:rsidRPr="00997F82" w:rsidRDefault="00394F9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137</w:t>
            </w:r>
          </w:p>
        </w:tc>
        <w:tc>
          <w:tcPr>
            <w:tcW w:w="1231" w:type="dxa"/>
            <w:tcBorders>
              <w:left w:val="single" w:sz="4" w:space="0" w:color="464E7E" w:themeColor="accent2"/>
            </w:tcBorders>
            <w:vAlign w:val="center"/>
          </w:tcPr>
          <w:p w14:paraId="1A2CB178" w14:textId="525BDDFD" w:rsidR="0036103D" w:rsidRPr="00997F82" w:rsidRDefault="009D4B9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239</w:t>
            </w:r>
          </w:p>
        </w:tc>
        <w:tc>
          <w:tcPr>
            <w:tcW w:w="1233" w:type="dxa"/>
            <w:shd w:val="clear" w:color="auto" w:fill="CBF39B"/>
            <w:vAlign w:val="center"/>
          </w:tcPr>
          <w:p w14:paraId="431A20AB" w14:textId="6F116272" w:rsidR="0036103D" w:rsidRPr="00997F82" w:rsidRDefault="009D4B9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1,095</w:t>
            </w:r>
          </w:p>
        </w:tc>
      </w:tr>
      <w:tr w:rsidR="00A32FAA" w:rsidRPr="00997F82" w14:paraId="7F603C69" w14:textId="12776B3E" w:rsidTr="00FC0687">
        <w:trPr>
          <w:gridAfter w:val="1"/>
          <w:wAfter w:w="16" w:type="dxa"/>
          <w:trHeight w:val="361"/>
        </w:trPr>
        <w:tc>
          <w:tcPr>
            <w:cnfStyle w:val="001000000000" w:firstRow="0" w:lastRow="0" w:firstColumn="1" w:lastColumn="0" w:oddVBand="0" w:evenVBand="0" w:oddHBand="0" w:evenHBand="0" w:firstRowFirstColumn="0" w:firstRowLastColumn="0" w:lastRowFirstColumn="0" w:lastRowLastColumn="0"/>
            <w:tcW w:w="1606" w:type="dxa"/>
            <w:vAlign w:val="center"/>
            <w:hideMark/>
          </w:tcPr>
          <w:p w14:paraId="09D4268E" w14:textId="69AAB5BA" w:rsidR="0036103D" w:rsidRPr="00997F82" w:rsidRDefault="0036103D">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Darling Downs West Moreton PHN</w:t>
            </w:r>
          </w:p>
        </w:tc>
        <w:tc>
          <w:tcPr>
            <w:tcW w:w="1230" w:type="dxa"/>
            <w:noWrap/>
            <w:vAlign w:val="center"/>
            <w:hideMark/>
          </w:tcPr>
          <w:p w14:paraId="10634E6F" w14:textId="6427CEDB" w:rsidR="0036103D" w:rsidRPr="00997F82" w:rsidRDefault="0062668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346</w:t>
            </w:r>
          </w:p>
        </w:tc>
        <w:tc>
          <w:tcPr>
            <w:tcW w:w="1232" w:type="dxa"/>
            <w:tcBorders>
              <w:right w:val="single" w:sz="4" w:space="0" w:color="464E7E" w:themeColor="accent2"/>
            </w:tcBorders>
            <w:vAlign w:val="center"/>
          </w:tcPr>
          <w:p w14:paraId="4CC4B816" w14:textId="2A7FE4CB" w:rsidR="0036103D" w:rsidRPr="00997F82" w:rsidRDefault="0062668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231</w:t>
            </w:r>
          </w:p>
        </w:tc>
        <w:tc>
          <w:tcPr>
            <w:tcW w:w="1231" w:type="dxa"/>
            <w:tcBorders>
              <w:left w:val="single" w:sz="4" w:space="0" w:color="464E7E" w:themeColor="accent2"/>
            </w:tcBorders>
            <w:vAlign w:val="center"/>
          </w:tcPr>
          <w:p w14:paraId="36235BA3" w14:textId="5A8BB7DA" w:rsidR="0036103D" w:rsidRPr="00997F82" w:rsidRDefault="0062668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135</w:t>
            </w:r>
          </w:p>
        </w:tc>
        <w:tc>
          <w:tcPr>
            <w:tcW w:w="1232" w:type="dxa"/>
            <w:tcBorders>
              <w:right w:val="single" w:sz="4" w:space="0" w:color="464E7E" w:themeColor="accent2"/>
            </w:tcBorders>
            <w:noWrap/>
            <w:vAlign w:val="center"/>
            <w:hideMark/>
          </w:tcPr>
          <w:p w14:paraId="42AAF5C1" w14:textId="0705EAFD" w:rsidR="0036103D" w:rsidRPr="00997F82" w:rsidRDefault="0062668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107</w:t>
            </w:r>
          </w:p>
        </w:tc>
        <w:tc>
          <w:tcPr>
            <w:tcW w:w="1231" w:type="dxa"/>
            <w:tcBorders>
              <w:left w:val="single" w:sz="4" w:space="0" w:color="464E7E" w:themeColor="accent2"/>
            </w:tcBorders>
            <w:vAlign w:val="center"/>
          </w:tcPr>
          <w:p w14:paraId="33A2CE4C" w14:textId="20CA2162" w:rsidR="0036103D" w:rsidRPr="00997F82" w:rsidRDefault="00C2230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295</w:t>
            </w:r>
          </w:p>
        </w:tc>
        <w:tc>
          <w:tcPr>
            <w:tcW w:w="1233" w:type="dxa"/>
            <w:shd w:val="clear" w:color="auto" w:fill="CBF39B"/>
            <w:vAlign w:val="center"/>
          </w:tcPr>
          <w:p w14:paraId="057F4AAB" w14:textId="7CA91ED0" w:rsidR="0036103D" w:rsidRPr="00997F82" w:rsidRDefault="00C2230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489</w:t>
            </w:r>
          </w:p>
        </w:tc>
      </w:tr>
      <w:tr w:rsidR="00A32FAA" w:rsidRPr="00997F82" w14:paraId="776E0856" w14:textId="4C494221" w:rsidTr="00FC0687">
        <w:trPr>
          <w:gridAfter w:val="1"/>
          <w:wAfter w:w="16" w:type="dxa"/>
          <w:trHeight w:val="361"/>
        </w:trPr>
        <w:tc>
          <w:tcPr>
            <w:cnfStyle w:val="001000000000" w:firstRow="0" w:lastRow="0" w:firstColumn="1" w:lastColumn="0" w:oddVBand="0" w:evenVBand="0" w:oddHBand="0" w:evenHBand="0" w:firstRowFirstColumn="0" w:firstRowLastColumn="0" w:lastRowFirstColumn="0" w:lastRowLastColumn="0"/>
            <w:tcW w:w="1606" w:type="dxa"/>
            <w:vAlign w:val="center"/>
          </w:tcPr>
          <w:p w14:paraId="29FA947D" w14:textId="546F5F3C" w:rsidR="0036103D" w:rsidRPr="00997F82" w:rsidRDefault="0036103D">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Gold Coast PHN</w:t>
            </w:r>
          </w:p>
        </w:tc>
        <w:tc>
          <w:tcPr>
            <w:tcW w:w="1230" w:type="dxa"/>
            <w:noWrap/>
            <w:vAlign w:val="center"/>
          </w:tcPr>
          <w:p w14:paraId="6D61ACB0" w14:textId="4DB252CF" w:rsidR="0036103D" w:rsidRPr="00997F82" w:rsidRDefault="00BC176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89</w:t>
            </w:r>
          </w:p>
        </w:tc>
        <w:tc>
          <w:tcPr>
            <w:tcW w:w="1232" w:type="dxa"/>
            <w:tcBorders>
              <w:right w:val="single" w:sz="4" w:space="0" w:color="464E7E" w:themeColor="accent2"/>
            </w:tcBorders>
            <w:vAlign w:val="center"/>
          </w:tcPr>
          <w:p w14:paraId="572AE0A2" w14:textId="4B064E1E" w:rsidR="0036103D" w:rsidRPr="00997F82" w:rsidRDefault="00BC176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236</w:t>
            </w:r>
          </w:p>
        </w:tc>
        <w:tc>
          <w:tcPr>
            <w:tcW w:w="1231" w:type="dxa"/>
            <w:tcBorders>
              <w:left w:val="single" w:sz="4" w:space="0" w:color="464E7E" w:themeColor="accent2"/>
            </w:tcBorders>
            <w:vAlign w:val="center"/>
          </w:tcPr>
          <w:p w14:paraId="022C31EA" w14:textId="452C190A" w:rsidR="0036103D" w:rsidRPr="00997F82" w:rsidRDefault="00BC176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16</w:t>
            </w:r>
          </w:p>
        </w:tc>
        <w:tc>
          <w:tcPr>
            <w:tcW w:w="1232" w:type="dxa"/>
            <w:tcBorders>
              <w:right w:val="single" w:sz="4" w:space="0" w:color="464E7E" w:themeColor="accent2"/>
            </w:tcBorders>
            <w:noWrap/>
            <w:vAlign w:val="center"/>
          </w:tcPr>
          <w:p w14:paraId="43A634DF" w14:textId="15216F52" w:rsidR="0036103D" w:rsidRPr="00997F82" w:rsidRDefault="00BC176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28</w:t>
            </w:r>
          </w:p>
        </w:tc>
        <w:tc>
          <w:tcPr>
            <w:tcW w:w="1231" w:type="dxa"/>
            <w:tcBorders>
              <w:left w:val="single" w:sz="4" w:space="0" w:color="464E7E" w:themeColor="accent2"/>
            </w:tcBorders>
            <w:vAlign w:val="center"/>
          </w:tcPr>
          <w:p w14:paraId="5A472F98" w14:textId="6808D76B" w:rsidR="0036103D" w:rsidRPr="00997F82" w:rsidRDefault="00BC176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361</w:t>
            </w:r>
          </w:p>
        </w:tc>
        <w:tc>
          <w:tcPr>
            <w:tcW w:w="1233" w:type="dxa"/>
            <w:shd w:val="clear" w:color="auto" w:fill="CBF39B"/>
            <w:vAlign w:val="center"/>
          </w:tcPr>
          <w:p w14:paraId="74839813" w14:textId="6B274A29" w:rsidR="0036103D" w:rsidRPr="00997F82" w:rsidRDefault="00BC176F">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884</w:t>
            </w:r>
          </w:p>
        </w:tc>
      </w:tr>
      <w:tr w:rsidR="00A32FAA" w:rsidRPr="00997F82" w14:paraId="505FE427" w14:textId="56ACA21B" w:rsidTr="00FC0687">
        <w:trPr>
          <w:gridAfter w:val="1"/>
          <w:wAfter w:w="16" w:type="dxa"/>
          <w:trHeight w:val="361"/>
        </w:trPr>
        <w:tc>
          <w:tcPr>
            <w:cnfStyle w:val="001000000000" w:firstRow="0" w:lastRow="0" w:firstColumn="1" w:lastColumn="0" w:oddVBand="0" w:evenVBand="0" w:oddHBand="0" w:evenHBand="0" w:firstRowFirstColumn="0" w:firstRowLastColumn="0" w:lastRowFirstColumn="0" w:lastRowLastColumn="0"/>
            <w:tcW w:w="1606" w:type="dxa"/>
            <w:vAlign w:val="center"/>
          </w:tcPr>
          <w:p w14:paraId="61577493" w14:textId="772198C0" w:rsidR="0036103D" w:rsidRPr="00997F82" w:rsidRDefault="0036103D">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North Queensland PHN</w:t>
            </w:r>
          </w:p>
        </w:tc>
        <w:tc>
          <w:tcPr>
            <w:tcW w:w="1230" w:type="dxa"/>
            <w:noWrap/>
            <w:vAlign w:val="center"/>
          </w:tcPr>
          <w:p w14:paraId="2343149B" w14:textId="021B258A" w:rsidR="0036103D" w:rsidRPr="00997F82" w:rsidRDefault="00AD677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89</w:t>
            </w:r>
          </w:p>
        </w:tc>
        <w:tc>
          <w:tcPr>
            <w:tcW w:w="1232" w:type="dxa"/>
            <w:tcBorders>
              <w:right w:val="single" w:sz="4" w:space="0" w:color="464E7E" w:themeColor="accent2"/>
            </w:tcBorders>
            <w:vAlign w:val="center"/>
          </w:tcPr>
          <w:p w14:paraId="5F7A53BA" w14:textId="5CC74FDB" w:rsidR="0036103D" w:rsidRPr="00997F82" w:rsidRDefault="00AB42D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139</w:t>
            </w:r>
          </w:p>
        </w:tc>
        <w:tc>
          <w:tcPr>
            <w:tcW w:w="1231" w:type="dxa"/>
            <w:tcBorders>
              <w:left w:val="single" w:sz="4" w:space="0" w:color="464E7E" w:themeColor="accent2"/>
            </w:tcBorders>
            <w:vAlign w:val="center"/>
          </w:tcPr>
          <w:p w14:paraId="32CE5B26" w14:textId="324F706F" w:rsidR="0036103D" w:rsidRPr="00997F82" w:rsidRDefault="00AB42D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64</w:t>
            </w:r>
          </w:p>
        </w:tc>
        <w:tc>
          <w:tcPr>
            <w:tcW w:w="1232" w:type="dxa"/>
            <w:tcBorders>
              <w:right w:val="single" w:sz="4" w:space="0" w:color="464E7E" w:themeColor="accent2"/>
            </w:tcBorders>
            <w:noWrap/>
            <w:vAlign w:val="center"/>
          </w:tcPr>
          <w:p w14:paraId="2AF87794" w14:textId="74CCB73D" w:rsidR="0036103D" w:rsidRPr="00997F82" w:rsidRDefault="0027543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135</w:t>
            </w:r>
          </w:p>
        </w:tc>
        <w:tc>
          <w:tcPr>
            <w:tcW w:w="1231" w:type="dxa"/>
            <w:tcBorders>
              <w:left w:val="single" w:sz="4" w:space="0" w:color="464E7E" w:themeColor="accent2"/>
            </w:tcBorders>
            <w:vAlign w:val="center"/>
          </w:tcPr>
          <w:p w14:paraId="19104288" w14:textId="3344A7DD" w:rsidR="0036103D" w:rsidRPr="00997F82" w:rsidRDefault="0027543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163</w:t>
            </w:r>
          </w:p>
        </w:tc>
        <w:tc>
          <w:tcPr>
            <w:tcW w:w="1233" w:type="dxa"/>
            <w:shd w:val="clear" w:color="auto" w:fill="CBF39B"/>
            <w:vAlign w:val="center"/>
          </w:tcPr>
          <w:p w14:paraId="318B8451" w14:textId="2547B594" w:rsidR="0036103D" w:rsidRPr="00997F82" w:rsidRDefault="0027543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318</w:t>
            </w:r>
          </w:p>
        </w:tc>
      </w:tr>
      <w:tr w:rsidR="0050556C" w:rsidRPr="00997F82" w14:paraId="1ECF2813" w14:textId="7A8CA01B" w:rsidTr="00FC0687">
        <w:trPr>
          <w:gridAfter w:val="1"/>
          <w:wAfter w:w="16" w:type="dxa"/>
          <w:trHeight w:val="361"/>
        </w:trPr>
        <w:tc>
          <w:tcPr>
            <w:cnfStyle w:val="001000000000" w:firstRow="0" w:lastRow="0" w:firstColumn="1" w:lastColumn="0" w:oddVBand="0" w:evenVBand="0" w:oddHBand="0" w:evenHBand="0" w:firstRowFirstColumn="0" w:firstRowLastColumn="0" w:lastRowFirstColumn="0" w:lastRowLastColumn="0"/>
            <w:tcW w:w="1606" w:type="dxa"/>
            <w:vAlign w:val="center"/>
          </w:tcPr>
          <w:p w14:paraId="28863152" w14:textId="392ABC87" w:rsidR="0036103D" w:rsidRPr="00997F82" w:rsidRDefault="0036103D">
            <w:pPr>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Western Queensland PHN</w:t>
            </w:r>
          </w:p>
        </w:tc>
        <w:tc>
          <w:tcPr>
            <w:tcW w:w="1230" w:type="dxa"/>
            <w:noWrap/>
            <w:vAlign w:val="center"/>
          </w:tcPr>
          <w:p w14:paraId="3286C311" w14:textId="5FA2E1D0" w:rsidR="0036103D" w:rsidRPr="00997F82" w:rsidRDefault="000622B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43</w:t>
            </w:r>
          </w:p>
        </w:tc>
        <w:tc>
          <w:tcPr>
            <w:tcW w:w="1232" w:type="dxa"/>
            <w:tcBorders>
              <w:right w:val="single" w:sz="4" w:space="0" w:color="464E7E" w:themeColor="accent2"/>
            </w:tcBorders>
            <w:vAlign w:val="center"/>
          </w:tcPr>
          <w:p w14:paraId="76F63884" w14:textId="3A58E9C3" w:rsidR="0036103D" w:rsidRPr="00997F82" w:rsidRDefault="000622B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32</w:t>
            </w:r>
          </w:p>
        </w:tc>
        <w:tc>
          <w:tcPr>
            <w:tcW w:w="1231" w:type="dxa"/>
            <w:tcBorders>
              <w:left w:val="single" w:sz="4" w:space="0" w:color="464E7E" w:themeColor="accent2"/>
            </w:tcBorders>
            <w:vAlign w:val="center"/>
          </w:tcPr>
          <w:p w14:paraId="1CA6D457" w14:textId="00997AC9" w:rsidR="0036103D" w:rsidRPr="00997F82" w:rsidRDefault="000622B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41</w:t>
            </w:r>
          </w:p>
        </w:tc>
        <w:tc>
          <w:tcPr>
            <w:tcW w:w="1232" w:type="dxa"/>
            <w:tcBorders>
              <w:right w:val="single" w:sz="4" w:space="0" w:color="464E7E" w:themeColor="accent2"/>
            </w:tcBorders>
            <w:noWrap/>
            <w:vAlign w:val="center"/>
          </w:tcPr>
          <w:p w14:paraId="288A07D5" w14:textId="582F0671" w:rsidR="0036103D" w:rsidRPr="00997F82" w:rsidRDefault="00DF283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18</w:t>
            </w:r>
          </w:p>
        </w:tc>
        <w:tc>
          <w:tcPr>
            <w:tcW w:w="1231" w:type="dxa"/>
            <w:tcBorders>
              <w:left w:val="single" w:sz="4" w:space="0" w:color="464E7E" w:themeColor="accent2"/>
            </w:tcBorders>
            <w:vAlign w:val="center"/>
          </w:tcPr>
          <w:p w14:paraId="525B353E" w14:textId="5A73EEE0" w:rsidR="0036103D" w:rsidRPr="00997F82" w:rsidRDefault="00DF283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&lt;5</w:t>
            </w:r>
          </w:p>
        </w:tc>
        <w:tc>
          <w:tcPr>
            <w:tcW w:w="1233" w:type="dxa"/>
            <w:vAlign w:val="center"/>
          </w:tcPr>
          <w:p w14:paraId="472CDAB5" w14:textId="0E251A6C" w:rsidR="0036103D" w:rsidRPr="00997F82" w:rsidRDefault="00DF283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eastAsia="en-AU"/>
              </w:rPr>
            </w:pPr>
            <w:r w:rsidRPr="00997F82">
              <w:rPr>
                <w:rFonts w:asciiTheme="minorHAnsi" w:eastAsia="Times New Roman" w:hAnsiTheme="minorHAnsi" w:cs="Times New Roman"/>
                <w:color w:val="000000"/>
                <w:sz w:val="18"/>
                <w:szCs w:val="18"/>
                <w:lang w:eastAsia="en-AU"/>
              </w:rPr>
              <w:t>&lt;5</w:t>
            </w:r>
          </w:p>
        </w:tc>
      </w:tr>
    </w:tbl>
    <w:p w14:paraId="1628A070" w14:textId="029BC1CF" w:rsidR="00182BF8" w:rsidRPr="00997F82" w:rsidRDefault="00182BF8" w:rsidP="007A3CD8">
      <w:pPr>
        <w:spacing w:before="120"/>
      </w:pPr>
      <w:r w:rsidRPr="00997F82">
        <w:t>Country to Coast PHN also saw an increase in completions of Advance Care Directives</w:t>
      </w:r>
      <w:r w:rsidRPr="00997F82">
        <w:rPr>
          <w:rStyle w:val="FootnoteReference"/>
        </w:rPr>
        <w:footnoteReference w:id="47"/>
      </w:r>
      <w:r w:rsidRPr="00997F82">
        <w:t xml:space="preserve"> and Enduring Power of Attorney (EOPA) documents</w:t>
      </w:r>
      <w:r w:rsidRPr="00997F82">
        <w:rPr>
          <w:rStyle w:val="FootnoteReference"/>
        </w:rPr>
        <w:footnoteReference w:id="48"/>
      </w:r>
      <w:r w:rsidRPr="00997F82">
        <w:t xml:space="preserve"> throughout the Program. 563 documents were completed in 2018</w:t>
      </w:r>
      <w:r w:rsidR="00430B28" w:rsidRPr="00997F82">
        <w:t>-</w:t>
      </w:r>
      <w:r w:rsidRPr="00997F82">
        <w:t>19 as compared to 5,403 completed in 2023</w:t>
      </w:r>
      <w:r w:rsidR="00430B28" w:rsidRPr="00997F82">
        <w:t>-</w:t>
      </w:r>
      <w:r w:rsidRPr="00997F82">
        <w:t>24 (860% increase). This could correlate to their ‘ACP in Community’ Project as part of this Program which aimed to increase the awareness and completion of these documents in their region.</w:t>
      </w:r>
    </w:p>
    <w:p w14:paraId="6910757D" w14:textId="6889BE20" w:rsidR="00CA3F14" w:rsidRPr="00997F82" w:rsidRDefault="00CA3F14" w:rsidP="00182BF8">
      <w:r w:rsidRPr="00997F82">
        <w:t xml:space="preserve">Service providers indicated in </w:t>
      </w:r>
      <w:r w:rsidR="00ED0BA6" w:rsidRPr="00997F82">
        <w:t>E</w:t>
      </w:r>
      <w:r w:rsidRPr="00997F82">
        <w:t>ndpoint su</w:t>
      </w:r>
      <w:r w:rsidR="00ED0BA6" w:rsidRPr="00997F82">
        <w:t>rveys that they felt</w:t>
      </w:r>
      <w:r w:rsidR="00FF4909" w:rsidRPr="00997F82">
        <w:t xml:space="preserve"> education and awareness around ACP resulted in practice level improvements that aided in </w:t>
      </w:r>
      <w:r w:rsidR="007C039E" w:rsidRPr="00997F82">
        <w:t xml:space="preserve">their ability to </w:t>
      </w:r>
      <w:r w:rsidR="00BD5E66" w:rsidRPr="00997F82">
        <w:t xml:space="preserve">provide appropriate </w:t>
      </w:r>
      <w:r w:rsidR="007C039E" w:rsidRPr="00997F82">
        <w:t>information to consumers</w:t>
      </w:r>
      <w:r w:rsidR="0086190E" w:rsidRPr="00997F82">
        <w:t>.</w:t>
      </w:r>
      <w:r w:rsidR="008C6DC3" w:rsidRPr="00997F82">
        <w:rPr>
          <w:rStyle w:val="FootnoteReference"/>
        </w:rPr>
        <w:footnoteReference w:id="49"/>
      </w:r>
      <w:r w:rsidR="00366891" w:rsidRPr="00997F82">
        <w:t xml:space="preserve"> </w:t>
      </w:r>
      <w:r w:rsidR="005772C6" w:rsidRPr="00997F82">
        <w:t>Services discussed ACP reviews, inclusion of ACP discussion in health assessments</w:t>
      </w:r>
      <w:r w:rsidR="00E47149" w:rsidRPr="00997F82">
        <w:t xml:space="preserve">, </w:t>
      </w:r>
      <w:r w:rsidR="00A85435" w:rsidRPr="00997F82">
        <w:t>improved access to resources to facilitate discussion around V</w:t>
      </w:r>
      <w:r w:rsidR="00A24273" w:rsidRPr="00997F82">
        <w:t xml:space="preserve">oluntary </w:t>
      </w:r>
      <w:r w:rsidR="00A85435" w:rsidRPr="00997F82">
        <w:t>A</w:t>
      </w:r>
      <w:r w:rsidR="00A24273" w:rsidRPr="00997F82">
        <w:t xml:space="preserve">ssisted </w:t>
      </w:r>
      <w:r w:rsidR="00A85435" w:rsidRPr="00997F82">
        <w:t>D</w:t>
      </w:r>
      <w:r w:rsidR="00A24273" w:rsidRPr="00997F82">
        <w:t>ying (VAD)</w:t>
      </w:r>
      <w:r w:rsidR="000B229E" w:rsidRPr="00997F82">
        <w:t xml:space="preserve"> and coordination of service</w:t>
      </w:r>
      <w:r w:rsidR="001E6F7B" w:rsidRPr="00997F82">
        <w:t>-</w:t>
      </w:r>
      <w:r w:rsidR="008C6DC3" w:rsidRPr="00997F82">
        <w:t>led</w:t>
      </w:r>
      <w:r w:rsidR="00BD5E66" w:rsidRPr="00997F82">
        <w:t xml:space="preserve"> consumer education on ACP.</w:t>
      </w:r>
      <w:r w:rsidR="008C6DC3" w:rsidRPr="00997F82">
        <w:t xml:space="preserve"> </w:t>
      </w:r>
    </w:p>
    <w:p w14:paraId="6C6ACF5C" w14:textId="4956F9AB" w:rsidR="00AB5EC2" w:rsidRPr="00997F82" w:rsidRDefault="00AB5EC2" w:rsidP="00182BF8">
      <w:r w:rsidRPr="00997F82">
        <w:t>In co</w:t>
      </w:r>
      <w:r w:rsidR="00251D6F" w:rsidRPr="00997F82">
        <w:t>ntrast, consultations revealed that there were still gaps in not knowing where to find opportunities for education, not having access to a national database of services and a fear of the subject observed in colleagues they work with.</w:t>
      </w:r>
      <w:r w:rsidR="00251D6F" w:rsidRPr="00997F82">
        <w:rPr>
          <w:rStyle w:val="FootnoteReference"/>
        </w:rPr>
        <w:footnoteReference w:id="50"/>
      </w:r>
    </w:p>
    <w:p w14:paraId="7972103C" w14:textId="3228D159" w:rsidR="00706C3F" w:rsidRPr="00997F82" w:rsidRDefault="00C44508" w:rsidP="00D01E2B">
      <w:r w:rsidRPr="00997F82">
        <w:t xml:space="preserve">From the </w:t>
      </w:r>
      <w:r w:rsidR="001E6F7B" w:rsidRPr="00997F82">
        <w:t xml:space="preserve">Endpoint </w:t>
      </w:r>
      <w:r w:rsidRPr="00997F82">
        <w:t xml:space="preserve">PHN survey, </w:t>
      </w:r>
      <w:r w:rsidR="00BC716A" w:rsidRPr="00997F82">
        <w:t>48% (n=</w:t>
      </w:r>
      <w:r w:rsidR="00706C3F" w:rsidRPr="00997F82">
        <w:t>21</w:t>
      </w:r>
      <w:r w:rsidR="009B56EF" w:rsidRPr="00997F82">
        <w:t>/</w:t>
      </w:r>
      <w:r w:rsidR="00706C3F" w:rsidRPr="00997F82">
        <w:t>44</w:t>
      </w:r>
      <w:r w:rsidR="009B56EF" w:rsidRPr="00997F82">
        <w:t>)</w:t>
      </w:r>
      <w:r w:rsidR="00706C3F" w:rsidRPr="00997F82">
        <w:t xml:space="preserve"> </w:t>
      </w:r>
      <w:r w:rsidR="001E6F7B" w:rsidRPr="00997F82">
        <w:t xml:space="preserve">of </w:t>
      </w:r>
      <w:r w:rsidR="00706C3F" w:rsidRPr="00997F82">
        <w:t>respondents indicated that community education or awareness event</w:t>
      </w:r>
      <w:r w:rsidR="00CE1D0E" w:rsidRPr="00997F82">
        <w:t>s</w:t>
      </w:r>
      <w:r w:rsidR="00706C3F" w:rsidRPr="00997F82">
        <w:t xml:space="preserve"> had helped to raise awareness of palliative care options and choices for individuals in their region.</w:t>
      </w:r>
      <w:r w:rsidR="00A82909" w:rsidRPr="00997F82">
        <w:rPr>
          <w:rStyle w:val="FootnoteReference"/>
        </w:rPr>
        <w:footnoteReference w:id="51"/>
      </w:r>
      <w:r w:rsidR="00706C3F" w:rsidRPr="00997F82">
        <w:t xml:space="preserve"> </w:t>
      </w:r>
      <w:r w:rsidR="00C93570" w:rsidRPr="00997F82">
        <w:t xml:space="preserve">However, </w:t>
      </w:r>
      <w:r w:rsidR="00BC716A" w:rsidRPr="00997F82">
        <w:t>75% (n=</w:t>
      </w:r>
      <w:r w:rsidR="00706C3F" w:rsidRPr="00997F82">
        <w:t>33</w:t>
      </w:r>
      <w:r w:rsidR="00BC716A" w:rsidRPr="00997F82">
        <w:t>/</w:t>
      </w:r>
      <w:r w:rsidR="00706C3F" w:rsidRPr="00997F82">
        <w:t xml:space="preserve"> 44</w:t>
      </w:r>
      <w:r w:rsidR="00BC716A" w:rsidRPr="00997F82">
        <w:t>)</w:t>
      </w:r>
      <w:r w:rsidR="00706C3F" w:rsidRPr="00997F82">
        <w:t xml:space="preserve"> </w:t>
      </w:r>
      <w:r w:rsidR="00CE1D0E" w:rsidRPr="00997F82">
        <w:t xml:space="preserve">of </w:t>
      </w:r>
      <w:r w:rsidR="00706C3F" w:rsidRPr="00997F82">
        <w:t xml:space="preserve">respondents </w:t>
      </w:r>
      <w:r w:rsidR="00CE1D0E" w:rsidRPr="00997F82">
        <w:t xml:space="preserve">stated </w:t>
      </w:r>
      <w:r w:rsidR="00303D45" w:rsidRPr="00997F82">
        <w:t xml:space="preserve">that activities which </w:t>
      </w:r>
      <w:r w:rsidR="00706C3F" w:rsidRPr="00997F82">
        <w:t xml:space="preserve">had </w:t>
      </w:r>
      <w:r w:rsidR="00114B03" w:rsidRPr="00997F82">
        <w:t xml:space="preserve">the </w:t>
      </w:r>
      <w:r w:rsidR="00303D45" w:rsidRPr="00997F82">
        <w:t>greatest</w:t>
      </w:r>
      <w:r w:rsidR="00114B03" w:rsidRPr="00997F82">
        <w:t xml:space="preserve"> impact </w:t>
      </w:r>
      <w:r w:rsidR="00303D45" w:rsidRPr="00997F82">
        <w:t>on</w:t>
      </w:r>
      <w:r w:rsidR="00114B03" w:rsidRPr="00997F82">
        <w:t xml:space="preserve"> awareness</w:t>
      </w:r>
      <w:r w:rsidR="003E7020" w:rsidRPr="00997F82">
        <w:t xml:space="preserve"> raising</w:t>
      </w:r>
      <w:r w:rsidR="00706C3F" w:rsidRPr="00997F82">
        <w:t xml:space="preserve"> </w:t>
      </w:r>
      <w:r w:rsidR="00303D45" w:rsidRPr="00997F82">
        <w:t>were</w:t>
      </w:r>
      <w:r w:rsidR="00706C3F" w:rsidRPr="00997F82">
        <w:t xml:space="preserve"> education events</w:t>
      </w:r>
      <w:r w:rsidR="002F41F9" w:rsidRPr="00997F82">
        <w:t>,</w:t>
      </w:r>
      <w:r w:rsidR="00706C3F" w:rsidRPr="00997F82">
        <w:t xml:space="preserve"> or the distribution of resources</w:t>
      </w:r>
      <w:r w:rsidR="002F41F9" w:rsidRPr="00997F82">
        <w:t>,</w:t>
      </w:r>
      <w:r w:rsidR="00706C3F" w:rsidRPr="00997F82">
        <w:t xml:space="preserve"> by healthcare professionals (e.g. LHDs, local hospices, GPs, practice nurses, RACH staff</w:t>
      </w:r>
      <w:r w:rsidR="00513FC2" w:rsidRPr="00997F82">
        <w:t>,</w:t>
      </w:r>
      <w:r w:rsidR="00706C3F" w:rsidRPr="00997F82">
        <w:t xml:space="preserve"> etc.). </w:t>
      </w:r>
      <w:r w:rsidR="002E5FEF" w:rsidRPr="00997F82">
        <w:t xml:space="preserve">One PHN during consultations noted that they are “now doing more joint projects / </w:t>
      </w:r>
      <w:proofErr w:type="gramStart"/>
      <w:r w:rsidR="002E5FEF" w:rsidRPr="00997F82">
        <w:t>low cost</w:t>
      </w:r>
      <w:proofErr w:type="gramEnd"/>
      <w:r w:rsidR="002E5FEF" w:rsidRPr="00997F82">
        <w:t xml:space="preserve"> projects that are co-commissioned or with partners with shared goal</w:t>
      </w:r>
      <w:r w:rsidR="00AA67F7" w:rsidRPr="00997F82">
        <w:t>s.”</w:t>
      </w:r>
      <w:r w:rsidR="00AA67F7" w:rsidRPr="00997F82">
        <w:rPr>
          <w:rStyle w:val="FootnoteReference"/>
        </w:rPr>
        <w:footnoteReference w:id="52"/>
      </w:r>
      <w:r w:rsidR="00AA67F7" w:rsidRPr="00997F82">
        <w:t xml:space="preserve"> </w:t>
      </w:r>
      <w:r w:rsidR="00706C3F" w:rsidRPr="00997F82">
        <w:t xml:space="preserve">This suggests that </w:t>
      </w:r>
      <w:r w:rsidR="00235C8C" w:rsidRPr="00997F82">
        <w:t>through strategic partnerships with health providers and other organisations, PHNs play a crucial role in enabling these entities to effectively undertake awareness-raising activities</w:t>
      </w:r>
      <w:r w:rsidR="00386FD5" w:rsidRPr="00997F82" w:rsidDel="00235C8C">
        <w:t>.</w:t>
      </w:r>
    </w:p>
    <w:p w14:paraId="3F7456A5" w14:textId="6A5C2F60" w:rsidR="00706C3F" w:rsidRPr="00997F82" w:rsidRDefault="00706C3F" w:rsidP="00B20C7C">
      <w:pPr>
        <w:pStyle w:val="Heading3"/>
      </w:pPr>
      <w:r w:rsidRPr="00997F82">
        <w:t>Implications</w:t>
      </w:r>
    </w:p>
    <w:p w14:paraId="6D2CD12E" w14:textId="2D2BA81F" w:rsidR="00706C3F" w:rsidRPr="00997F82" w:rsidRDefault="00706C3F" w:rsidP="00B20C7C">
      <w:pPr>
        <w:pStyle w:val="ListBullet"/>
      </w:pPr>
      <w:r w:rsidRPr="00997F82">
        <w:t xml:space="preserve">There is </w:t>
      </w:r>
      <w:r w:rsidR="00ED790A" w:rsidRPr="00997F82">
        <w:t>a high</w:t>
      </w:r>
      <w:r w:rsidRPr="00997F82">
        <w:t xml:space="preserve"> level of engagement from </w:t>
      </w:r>
      <w:r w:rsidR="00816969" w:rsidRPr="00997F82">
        <w:t>individuals</w:t>
      </w:r>
      <w:r w:rsidRPr="00997F82">
        <w:t xml:space="preserve"> </w:t>
      </w:r>
      <w:r w:rsidR="00BA769B" w:rsidRPr="00997F82">
        <w:t>i</w:t>
      </w:r>
      <w:r w:rsidRPr="00997F82">
        <w:t>n events and resources related to ACP and APP documentation, completion and understanding.</w:t>
      </w:r>
    </w:p>
    <w:p w14:paraId="48CF650C" w14:textId="2C66C471" w:rsidR="00DF4564" w:rsidRPr="00997F82" w:rsidRDefault="00DF4564" w:rsidP="00B20C7C">
      <w:pPr>
        <w:pStyle w:val="ListBullet"/>
      </w:pPr>
      <w:r w:rsidRPr="00997F82">
        <w:t xml:space="preserve">Service providers valued the education, training and resources developed </w:t>
      </w:r>
      <w:r w:rsidR="007B5C56" w:rsidRPr="00997F82">
        <w:t>by PHNs</w:t>
      </w:r>
      <w:r w:rsidR="00E53215" w:rsidRPr="00997F82">
        <w:t>. T</w:t>
      </w:r>
      <w:r w:rsidR="00C1267F" w:rsidRPr="00997F82">
        <w:t>his increase</w:t>
      </w:r>
      <w:r w:rsidR="00C81041" w:rsidRPr="00997F82">
        <w:t xml:space="preserve"> in</w:t>
      </w:r>
      <w:r w:rsidR="00E53215" w:rsidRPr="00997F82">
        <w:t xml:space="preserve"> </w:t>
      </w:r>
      <w:r w:rsidR="00C81041" w:rsidRPr="00997F82">
        <w:t>knowledge and resources translated to increased service cap</w:t>
      </w:r>
      <w:r w:rsidR="00E53215" w:rsidRPr="00997F82">
        <w:t xml:space="preserve">ability to discuss options and choices around palliative and EOLC with patients and carers. </w:t>
      </w:r>
      <w:r w:rsidR="00883F34" w:rsidRPr="00997F82">
        <w:t xml:space="preserve">Service providers expressed a </w:t>
      </w:r>
      <w:r w:rsidR="00542D84" w:rsidRPr="00997F82">
        <w:t xml:space="preserve">need </w:t>
      </w:r>
      <w:r w:rsidR="00BC1892" w:rsidRPr="00997F82">
        <w:t xml:space="preserve">for tools and resources that assist </w:t>
      </w:r>
      <w:r w:rsidR="00A00F7A" w:rsidRPr="00997F82">
        <w:t>communication with people around choices and options at end</w:t>
      </w:r>
      <w:r w:rsidR="003612F4" w:rsidRPr="00997F82">
        <w:t>-</w:t>
      </w:r>
      <w:r w:rsidR="00A00F7A" w:rsidRPr="00997F82">
        <w:t>of</w:t>
      </w:r>
      <w:r w:rsidR="003612F4" w:rsidRPr="00997F82">
        <w:t>-</w:t>
      </w:r>
      <w:r w:rsidR="00A00F7A" w:rsidRPr="00997F82">
        <w:t>life</w:t>
      </w:r>
      <w:r w:rsidR="00693B1E" w:rsidRPr="00997F82">
        <w:t>, which could be further centralised via a repository</w:t>
      </w:r>
      <w:r w:rsidR="00327C31" w:rsidRPr="00997F82">
        <w:t xml:space="preserve"> for the purposes of collective sharing.</w:t>
      </w:r>
    </w:p>
    <w:p w14:paraId="1A269446" w14:textId="77777777" w:rsidR="00B20C7C" w:rsidRDefault="1FA6D201" w:rsidP="00B20C7C">
      <w:pPr>
        <w:pStyle w:val="ListBullet"/>
      </w:pPr>
      <w:r w:rsidRPr="00997F82">
        <w:t xml:space="preserve">While </w:t>
      </w:r>
      <w:r w:rsidR="62EA9EC9" w:rsidRPr="00997F82">
        <w:t xml:space="preserve">there was positive feedback about </w:t>
      </w:r>
      <w:r w:rsidRPr="00997F82">
        <w:t xml:space="preserve">PHN activities and resources from community members, </w:t>
      </w:r>
      <w:r w:rsidR="78DE289F" w:rsidRPr="00997F82">
        <w:t xml:space="preserve">a more effective and efficient approach to raising awareness of palliative care </w:t>
      </w:r>
      <w:r w:rsidR="3F9510D1" w:rsidRPr="00997F82">
        <w:t xml:space="preserve">options and choices may be </w:t>
      </w:r>
      <w:r w:rsidR="12AE2C15" w:rsidRPr="00997F82">
        <w:t xml:space="preserve">via </w:t>
      </w:r>
      <w:r w:rsidR="00AA67F7" w:rsidRPr="00997F82">
        <w:t xml:space="preserve">or with </w:t>
      </w:r>
      <w:r w:rsidRPr="00997F82">
        <w:t>health professionals</w:t>
      </w:r>
      <w:r w:rsidR="00A37190" w:rsidRPr="00997F82">
        <w:t xml:space="preserve"> and</w:t>
      </w:r>
      <w:r w:rsidR="29639296" w:rsidRPr="00997F82">
        <w:t xml:space="preserve"> </w:t>
      </w:r>
      <w:r w:rsidR="386F0605" w:rsidRPr="00997F82">
        <w:t>community organisations</w:t>
      </w:r>
      <w:r w:rsidR="008E0712" w:rsidRPr="00997F82">
        <w:t xml:space="preserve"> as they are an existing point of entry to information for consumers. Howeve</w:t>
      </w:r>
      <w:r w:rsidR="00E70CAC" w:rsidRPr="00997F82">
        <w:t>r, in practice there are still limited opportunities where this occurs so PHNs are currently filling this identified need effectivel</w:t>
      </w:r>
      <w:r w:rsidR="00095769" w:rsidRPr="00997F82">
        <w:t>y</w:t>
      </w:r>
      <w:r w:rsidR="03B2FCC1" w:rsidRPr="00997F82">
        <w:t>.</w:t>
      </w:r>
    </w:p>
    <w:p w14:paraId="0E80B251" w14:textId="5874F6A2" w:rsidR="002B12D2" w:rsidRPr="00997F82" w:rsidRDefault="00706C3F" w:rsidP="00B20C7C">
      <w:r w:rsidRPr="00997F82">
        <w:br w:type="page"/>
      </w:r>
    </w:p>
    <w:p w14:paraId="1D9F9753" w14:textId="073AF458" w:rsidR="006F0D7A" w:rsidRPr="00997F82" w:rsidRDefault="006F0D7A" w:rsidP="00277D66">
      <w:pPr>
        <w:pStyle w:val="Heading1"/>
      </w:pPr>
      <w:bookmarkStart w:id="51" w:name="_Toc226898036"/>
      <w:bookmarkStart w:id="52" w:name="_Toc231898087"/>
      <w:r w:rsidRPr="00997F82">
        <w:t xml:space="preserve">Population Health – </w:t>
      </w:r>
      <w:r w:rsidR="00141CDE" w:rsidRPr="00997F82">
        <w:t>Appropriate palliative care outcomes</w:t>
      </w:r>
      <w:bookmarkEnd w:id="51"/>
      <w:bookmarkEnd w:id="52"/>
    </w:p>
    <w:p w14:paraId="48CE28B4" w14:textId="2BB0CB7A" w:rsidR="00875F96" w:rsidRDefault="008070DB" w:rsidP="00875F96">
      <w:pPr>
        <w:pStyle w:val="Heading2"/>
      </w:pPr>
      <w:r w:rsidRPr="00997F82">
        <w:t>To what extent has the Program generated and used data to support continuous improvement of services across sectors?</w:t>
      </w:r>
      <w:r w:rsidRPr="00997F82">
        <w:rPr>
          <w:rFonts w:ascii="Arial" w:hAnsi="Arial" w:cs="Arial"/>
        </w:rPr>
        <w:t> </w:t>
      </w:r>
      <w:r w:rsidRPr="00997F82">
        <w:t> </w:t>
      </w:r>
    </w:p>
    <w:tbl>
      <w:tblPr>
        <w:tblStyle w:val="IMSTable"/>
        <w:tblW w:w="0" w:type="auto"/>
        <w:tblLook w:val="06E0" w:firstRow="1" w:lastRow="1" w:firstColumn="1" w:lastColumn="0" w:noHBand="1" w:noVBand="1"/>
      </w:tblPr>
      <w:tblGrid>
        <w:gridCol w:w="9027"/>
      </w:tblGrid>
      <w:tr w:rsidR="00875F96" w14:paraId="41C3A6E3" w14:textId="77777777" w:rsidTr="00875F96">
        <w:trPr>
          <w:cnfStyle w:val="100000000000" w:firstRow="1" w:lastRow="0" w:firstColumn="0" w:lastColumn="0" w:oddVBand="0" w:evenVBand="0" w:oddHBand="0" w:evenHBand="0" w:firstRowFirstColumn="0" w:firstRowLastColumn="0" w:lastRowFirstColumn="0" w:lastRowLastColumn="0"/>
          <w:tblHeader/>
        </w:trPr>
        <w:tc>
          <w:tcPr>
            <w:tcW w:w="9027" w:type="dxa"/>
          </w:tcPr>
          <w:p w14:paraId="69677A17" w14:textId="399286A7" w:rsidR="00875F96" w:rsidRDefault="00875F96" w:rsidP="00875F96">
            <w:r>
              <w:t>Key finding</w:t>
            </w:r>
          </w:p>
        </w:tc>
      </w:tr>
      <w:tr w:rsidR="00875F96" w14:paraId="5D6CA772" w14:textId="77777777" w:rsidTr="00875F96">
        <w:tc>
          <w:tcPr>
            <w:tcW w:w="9027" w:type="dxa"/>
          </w:tcPr>
          <w:p w14:paraId="09E626D6" w14:textId="67BC4149" w:rsidR="00875F96" w:rsidRDefault="00875F96" w:rsidP="00875F96">
            <w:r w:rsidRPr="00875F96">
              <w:t>The Program generated both locally tailored and standardised data through tools. To better understand how these tools are informing continuous improvement, PHNs should be required to indicate how data is driving decision-making and supporting continuous improvement as part of regular reporting to DHDA.</w:t>
            </w:r>
          </w:p>
        </w:tc>
      </w:tr>
      <w:tr w:rsidR="00875F96" w14:paraId="4587E5D0" w14:textId="77777777" w:rsidTr="00875F96">
        <w:trPr>
          <w:cnfStyle w:val="010000000000" w:firstRow="0" w:lastRow="1" w:firstColumn="0" w:lastColumn="0" w:oddVBand="0" w:evenVBand="0" w:oddHBand="0" w:evenHBand="0" w:firstRowFirstColumn="0" w:firstRowLastColumn="0" w:lastRowFirstColumn="0" w:lastRowLastColumn="0"/>
        </w:trPr>
        <w:tc>
          <w:tcPr>
            <w:tcW w:w="9027" w:type="dxa"/>
          </w:tcPr>
          <w:p w14:paraId="6DB14A9A" w14:textId="7360B86A" w:rsidR="00875F96" w:rsidRPr="00875F96" w:rsidRDefault="00875F96" w:rsidP="00875F96">
            <w:pPr>
              <w:pStyle w:val="Tablefooterwhite"/>
            </w:pPr>
            <w:r w:rsidRPr="00875F96">
              <w:t>Overall evidence indicates moderate progress, with some areas for improvement</w:t>
            </w:r>
          </w:p>
        </w:tc>
      </w:tr>
    </w:tbl>
    <w:p w14:paraId="13D1278F" w14:textId="77777777" w:rsidR="008070DB" w:rsidRPr="00B20C7C" w:rsidRDefault="008070DB" w:rsidP="006805E3">
      <w:pPr>
        <w:spacing w:before="240"/>
        <w:rPr>
          <w:rStyle w:val="Heading3Char"/>
        </w:rPr>
      </w:pPr>
      <w:r w:rsidRPr="00997F82">
        <w:rPr>
          <w:b/>
          <w:bCs/>
        </w:rPr>
        <w:t>Background</w:t>
      </w:r>
    </w:p>
    <w:p w14:paraId="1C5161E8" w14:textId="4935B71F" w:rsidR="008070DB" w:rsidRPr="00997F82" w:rsidRDefault="008070DB" w:rsidP="008070DB">
      <w:r w:rsidRPr="00997F82">
        <w:t>As part of the Program</w:t>
      </w:r>
      <w:r w:rsidR="00192AAC" w:rsidRPr="00997F82">
        <w:t>,</w:t>
      </w:r>
      <w:r w:rsidRPr="00997F82">
        <w:t xml:space="preserve"> it was intended that PHNs would use data (both quantitative and qualitative) to inform the selection </w:t>
      </w:r>
      <w:r w:rsidR="00FA0A79" w:rsidRPr="00997F82">
        <w:t xml:space="preserve">of activities </w:t>
      </w:r>
      <w:r w:rsidR="003755ED" w:rsidRPr="00997F82">
        <w:t>as w</w:t>
      </w:r>
      <w:r w:rsidR="00FA0A79" w:rsidRPr="00997F82">
        <w:t>ell to monitor impact for continuous improvement. A</w:t>
      </w:r>
      <w:r w:rsidRPr="00997F82">
        <w:t xml:space="preserve"> data collection approach and</w:t>
      </w:r>
      <w:r w:rsidR="00FA0A79" w:rsidRPr="00997F82">
        <w:t xml:space="preserve"> a suite of</w:t>
      </w:r>
      <w:r w:rsidRPr="00997F82">
        <w:t xml:space="preserve"> tools were co-designed with PHNs as part of the evaluation</w:t>
      </w:r>
      <w:r w:rsidR="00FA0A79" w:rsidRPr="00997F82">
        <w:t xml:space="preserve">. PHNs had the flexibility to collect data based on the activities they were implementing. </w:t>
      </w:r>
      <w:r w:rsidRPr="00997F82">
        <w:t>These tools included:</w:t>
      </w:r>
    </w:p>
    <w:p w14:paraId="7925BF3E" w14:textId="229C3A9A" w:rsidR="008070DB" w:rsidRPr="00997F82" w:rsidRDefault="00FA0A79" w:rsidP="00B20C7C">
      <w:pPr>
        <w:pStyle w:val="ListBullet"/>
      </w:pPr>
      <w:r w:rsidRPr="00997F82">
        <w:t xml:space="preserve">The </w:t>
      </w:r>
      <w:r w:rsidR="008070DB" w:rsidRPr="00997F82">
        <w:t>After Death Audit</w:t>
      </w:r>
      <w:r w:rsidRPr="00997F82">
        <w:t xml:space="preserve"> form</w:t>
      </w:r>
    </w:p>
    <w:p w14:paraId="3826B60B" w14:textId="7F29C45D" w:rsidR="008070DB" w:rsidRPr="00997F82" w:rsidRDefault="00FA0A79" w:rsidP="00B20C7C">
      <w:pPr>
        <w:pStyle w:val="ListBullet"/>
      </w:pPr>
      <w:r w:rsidRPr="00997F82">
        <w:t xml:space="preserve">The </w:t>
      </w:r>
      <w:r w:rsidR="008070DB" w:rsidRPr="00997F82">
        <w:t>Death Literacy Index</w:t>
      </w:r>
      <w:r w:rsidRPr="00997F82">
        <w:t xml:space="preserve"> form</w:t>
      </w:r>
    </w:p>
    <w:p w14:paraId="40229C0A" w14:textId="77777777" w:rsidR="008070DB" w:rsidRPr="00997F82" w:rsidRDefault="008070DB" w:rsidP="00B20C7C">
      <w:pPr>
        <w:pStyle w:val="ListBullet"/>
      </w:pPr>
      <w:r w:rsidRPr="00997F82">
        <w:t>Post Event Surveys</w:t>
      </w:r>
    </w:p>
    <w:p w14:paraId="0AC8EF85" w14:textId="77777777" w:rsidR="008070DB" w:rsidRPr="00997F82" w:rsidRDefault="008070DB" w:rsidP="00B20C7C">
      <w:pPr>
        <w:pStyle w:val="ListBullet"/>
      </w:pPr>
      <w:proofErr w:type="spellStart"/>
      <w:r w:rsidRPr="00997F82">
        <w:t>HealthPathways</w:t>
      </w:r>
      <w:proofErr w:type="spellEnd"/>
      <w:r w:rsidRPr="00997F82">
        <w:t xml:space="preserve"> and other Clinical Information Management Systems data</w:t>
      </w:r>
    </w:p>
    <w:p w14:paraId="59998A85" w14:textId="027AC5E8" w:rsidR="008070DB" w:rsidRPr="00997F82" w:rsidRDefault="008070DB" w:rsidP="00B20C7C">
      <w:pPr>
        <w:pStyle w:val="ListBullet"/>
      </w:pPr>
      <w:r w:rsidRPr="00997F82">
        <w:t>Other PHN documentation (</w:t>
      </w:r>
      <w:r w:rsidR="00FA0A79" w:rsidRPr="00997F82">
        <w:t xml:space="preserve">such as </w:t>
      </w:r>
      <w:r w:rsidRPr="00997F82">
        <w:t>uptake of service directories, service maps and resources and potential web-based data such as clicks, views and unique users, etc.)</w:t>
      </w:r>
    </w:p>
    <w:p w14:paraId="7263FBE9" w14:textId="7CE90F1B" w:rsidR="008070DB" w:rsidRPr="00997F82" w:rsidRDefault="008070DB" w:rsidP="00B20C7C">
      <w:pPr>
        <w:pStyle w:val="Heading3"/>
      </w:pPr>
      <w:r w:rsidRPr="00997F82">
        <w:t>Findings</w:t>
      </w:r>
    </w:p>
    <w:p w14:paraId="00C4138F" w14:textId="4CB76098" w:rsidR="008070DB" w:rsidRPr="00997F82" w:rsidRDefault="00965FA3" w:rsidP="008070DB">
      <w:r w:rsidRPr="00997F82">
        <w:t>Our understanding of the activities undertaken by PHNs support us to identify the types of data collection tools that would reasonably be expected to be used by PHNs to monitor their activities It would also support us to assess whether the volume and type of data received for the evaluation is in line with these expectations</w:t>
      </w:r>
      <w:r w:rsidR="005E3CC0" w:rsidRPr="00997F82">
        <w:t>.</w:t>
      </w:r>
      <w:r w:rsidR="008070DB" w:rsidRPr="00997F82">
        <w:t xml:space="preserve"> At Endpoint:</w:t>
      </w:r>
    </w:p>
    <w:p w14:paraId="7D2EF670" w14:textId="77CB5605" w:rsidR="008070DB" w:rsidRPr="00997F82" w:rsidRDefault="008070DB" w:rsidP="00B20C7C">
      <w:pPr>
        <w:pStyle w:val="ListBullet"/>
      </w:pPr>
      <w:r w:rsidRPr="00997F82">
        <w:t xml:space="preserve">10 PHNs were undertaking activities that </w:t>
      </w:r>
      <w:r w:rsidR="008146C2" w:rsidRPr="00997F82">
        <w:t>collected the</w:t>
      </w:r>
      <w:r w:rsidRPr="00997F82">
        <w:t xml:space="preserve"> After Death Audit (ADA) tool to collect data</w:t>
      </w:r>
      <w:r w:rsidR="008146C2" w:rsidRPr="00997F82">
        <w:t>, and</w:t>
      </w:r>
      <w:r w:rsidRPr="00997F82">
        <w:t xml:space="preserve"> all 10 PHNs </w:t>
      </w:r>
      <w:r w:rsidR="008146C2" w:rsidRPr="00997F82">
        <w:t>provided data</w:t>
      </w:r>
      <w:r w:rsidRPr="00997F82">
        <w:t>. Nine PHNs incorporated ADA as a measure of GP Quality Improvement activities</w:t>
      </w:r>
      <w:r w:rsidR="00B629D4" w:rsidRPr="00997F82">
        <w:t>,</w:t>
      </w:r>
      <w:r w:rsidRPr="00997F82">
        <w:t xml:space="preserve"> and one PHN used the tool to supplement workforce capacity building data. In response to the Endpoint PHN survey, two respondents </w:t>
      </w:r>
      <w:r w:rsidR="00FA0A79" w:rsidRPr="00997F82">
        <w:t xml:space="preserve">noted </w:t>
      </w:r>
      <w:r w:rsidRPr="00997F82">
        <w:t>that the ADA ‘provided rich data both qualitative and quantitative identifying gaps and opportunities for improvement’.</w:t>
      </w:r>
      <w:bookmarkStart w:id="53" w:name="_Ref202267448"/>
      <w:r w:rsidRPr="00997F82">
        <w:rPr>
          <w:rStyle w:val="FootnoteReference"/>
        </w:rPr>
        <w:footnoteReference w:id="53"/>
      </w:r>
      <w:bookmarkEnd w:id="53"/>
    </w:p>
    <w:p w14:paraId="2BF2BA4D" w14:textId="7C2B9292" w:rsidR="00FA0A79" w:rsidRPr="00997F82" w:rsidRDefault="008070DB" w:rsidP="00B20C7C">
      <w:pPr>
        <w:pStyle w:val="ListBullet"/>
      </w:pPr>
      <w:r w:rsidRPr="00997F82">
        <w:t xml:space="preserve">All 31 PHNs were undertaking activities that </w:t>
      </w:r>
      <w:r w:rsidR="00BE2B6E" w:rsidRPr="00997F82">
        <w:t>could have</w:t>
      </w:r>
      <w:r w:rsidRPr="00997F82">
        <w:t xml:space="preserve"> </w:t>
      </w:r>
      <w:r w:rsidR="007D0D94" w:rsidRPr="00997F82">
        <w:t>used the</w:t>
      </w:r>
      <w:r w:rsidRPr="00997F82">
        <w:t xml:space="preserve"> Death Literacy Index (DLI) to collect data relating to Workforce education and awareness and Awareness in the Community activities. DLI data was collected from 18 PHNs at Endpoint, </w:t>
      </w:r>
      <w:r w:rsidR="00D6653D" w:rsidRPr="00997F82">
        <w:t>with</w:t>
      </w:r>
      <w:r w:rsidRPr="00997F82">
        <w:t xml:space="preserve"> a total of 1,4</w:t>
      </w:r>
      <w:r w:rsidR="003E6B2C" w:rsidRPr="00997F82">
        <w:t>80</w:t>
      </w:r>
      <w:r w:rsidRPr="00997F82">
        <w:t xml:space="preserve"> DLI survey responses. </w:t>
      </w:r>
      <w:r w:rsidR="00751566" w:rsidRPr="00997F82">
        <w:t>R</w:t>
      </w:r>
      <w:r w:rsidRPr="00997F82">
        <w:t xml:space="preserve">espondents </w:t>
      </w:r>
      <w:r w:rsidR="00751566" w:rsidRPr="00997F82">
        <w:t xml:space="preserve">to the Endpoint PHN survey </w:t>
      </w:r>
      <w:r w:rsidRPr="00997F82">
        <w:t>indicated that they used DLI data to inform the types of services and resources to include in community events, to identify areas for education and awareness, and to compare needs across different populations.</w:t>
      </w:r>
      <w:r w:rsidRPr="00997F82">
        <w:rPr>
          <w:vertAlign w:val="superscript"/>
        </w:rPr>
        <w:fldChar w:fldCharType="begin"/>
      </w:r>
      <w:r w:rsidRPr="00997F82">
        <w:rPr>
          <w:vertAlign w:val="superscript"/>
        </w:rPr>
        <w:instrText xml:space="preserve"> NOTEREF _Ref202267448 \h  \* MERGEFORMAT </w:instrText>
      </w:r>
      <w:r w:rsidRPr="00997F82">
        <w:rPr>
          <w:vertAlign w:val="superscript"/>
        </w:rPr>
      </w:r>
      <w:r w:rsidRPr="00997F82">
        <w:rPr>
          <w:vertAlign w:val="superscript"/>
        </w:rPr>
        <w:fldChar w:fldCharType="separate"/>
      </w:r>
      <w:r w:rsidR="00735424">
        <w:rPr>
          <w:vertAlign w:val="superscript"/>
        </w:rPr>
        <w:t>52</w:t>
      </w:r>
      <w:r w:rsidRPr="00997F82">
        <w:rPr>
          <w:vertAlign w:val="superscript"/>
        </w:rPr>
        <w:fldChar w:fldCharType="end"/>
      </w:r>
    </w:p>
    <w:p w14:paraId="59196E5D" w14:textId="4505C02D" w:rsidR="00B751E8" w:rsidRPr="00997F82" w:rsidRDefault="00425D36" w:rsidP="00B20C7C">
      <w:pPr>
        <w:pStyle w:val="ListBullet"/>
      </w:pPr>
      <w:r w:rsidRPr="00997F82">
        <w:t xml:space="preserve">All 31 PHNs </w:t>
      </w:r>
      <w:r w:rsidR="00FA0A79" w:rsidRPr="00997F82">
        <w:t>could have used</w:t>
      </w:r>
      <w:r w:rsidRPr="00997F82">
        <w:t xml:space="preserve"> post-event surveys across activities such as </w:t>
      </w:r>
      <w:r w:rsidR="00FA0A79" w:rsidRPr="00997F82">
        <w:t>w</w:t>
      </w:r>
      <w:r w:rsidRPr="00997F82">
        <w:t xml:space="preserve">orkforce </w:t>
      </w:r>
      <w:r w:rsidR="00A160A4" w:rsidRPr="00997F82">
        <w:t>e</w:t>
      </w:r>
      <w:r w:rsidRPr="00997F82">
        <w:t xml:space="preserve">ducation, </w:t>
      </w:r>
      <w:r w:rsidR="00FA0A79" w:rsidRPr="00997F82">
        <w:t>c</w:t>
      </w:r>
      <w:r w:rsidRPr="00997F82">
        <w:t xml:space="preserve">ommunity </w:t>
      </w:r>
      <w:r w:rsidR="00A160A4" w:rsidRPr="00997F82">
        <w:t>a</w:t>
      </w:r>
      <w:r w:rsidRPr="00997F82">
        <w:t xml:space="preserve">wareness, </w:t>
      </w:r>
      <w:r w:rsidR="00FA0A79" w:rsidRPr="00997F82">
        <w:t>p</w:t>
      </w:r>
      <w:r w:rsidRPr="00997F82">
        <w:t xml:space="preserve">riority </w:t>
      </w:r>
      <w:r w:rsidR="00A160A4" w:rsidRPr="00997F82">
        <w:t>p</w:t>
      </w:r>
      <w:r w:rsidRPr="00997F82">
        <w:t xml:space="preserve">opulations, and </w:t>
      </w:r>
      <w:r w:rsidR="00FA0A79" w:rsidRPr="00997F82">
        <w:t>p</w:t>
      </w:r>
      <w:r w:rsidRPr="00997F82">
        <w:t xml:space="preserve">alliative </w:t>
      </w:r>
      <w:r w:rsidR="00A160A4" w:rsidRPr="00997F82">
        <w:t>c</w:t>
      </w:r>
      <w:r w:rsidRPr="00997F82">
        <w:t xml:space="preserve">are </w:t>
      </w:r>
      <w:r w:rsidR="00A160A4" w:rsidRPr="00997F82">
        <w:t>m</w:t>
      </w:r>
      <w:r w:rsidRPr="00997F82">
        <w:t xml:space="preserve">edicines. At Endpoint, 19 PHNs submitted survey data. These surveys were the preferred tool for PHNs to assess activity uptake, understand health professional learning needs, and guide improvements. Several PHNs also found them valuable for identifying gaps in awareness and understanding of </w:t>
      </w:r>
      <w:r w:rsidR="00FA0A79" w:rsidRPr="00997F82">
        <w:t>ACP.</w:t>
      </w:r>
    </w:p>
    <w:p w14:paraId="29231593" w14:textId="55B39984" w:rsidR="00B751E8" w:rsidRPr="00997F82" w:rsidRDefault="001844FC" w:rsidP="00B20C7C">
      <w:pPr>
        <w:pStyle w:val="ListBullet"/>
      </w:pPr>
      <w:r w:rsidRPr="00997F82">
        <w:t xml:space="preserve">All 31 PHNs </w:t>
      </w:r>
      <w:r w:rsidR="00FC4DCE" w:rsidRPr="00997F82">
        <w:t>had access to</w:t>
      </w:r>
      <w:r w:rsidRPr="00997F82">
        <w:t xml:space="preserve"> </w:t>
      </w:r>
      <w:proofErr w:type="spellStart"/>
      <w:r w:rsidRPr="00997F82">
        <w:t>HealthPathways</w:t>
      </w:r>
      <w:proofErr w:type="spellEnd"/>
      <w:r w:rsidRPr="00997F82">
        <w:t xml:space="preserve"> data</w:t>
      </w:r>
      <w:r w:rsidR="00FC4DCE" w:rsidRPr="00997F82">
        <w:t xml:space="preserve"> to support continuous improvement</w:t>
      </w:r>
      <w:r w:rsidRPr="00997F82">
        <w:t xml:space="preserve">. At Endpoint, 17 PHNs provided this data. While page views and engagement can indicate increased awareness, they do not directly reflect changes in service access or care models. </w:t>
      </w:r>
    </w:p>
    <w:p w14:paraId="507DA613" w14:textId="58B58677" w:rsidR="00FC4DCE" w:rsidRPr="00997F82" w:rsidRDefault="00653355" w:rsidP="00B20C7C">
      <w:pPr>
        <w:pStyle w:val="ListBullet"/>
      </w:pPr>
      <w:r w:rsidRPr="00997F82">
        <w:t xml:space="preserve">PHNs submitted a substantial amount of supplementary data, including internal analyses and evaluations of activities, to support and assess their implementation. </w:t>
      </w:r>
      <w:r w:rsidR="008070DB" w:rsidRPr="00997F82">
        <w:t>Some PHNs who conducted quality improvement activities with general practices were able to access, analyse and apply practice-level data on completion rates of health assessments, General Practice Management Plans (GPMPs) and patients with completed ACP documentation. This information was provided back to general practices to support continuous improvement.</w:t>
      </w:r>
      <w:r w:rsidR="00FC4DCE" w:rsidRPr="00997F82">
        <w:t xml:space="preserve"> </w:t>
      </w:r>
    </w:p>
    <w:p w14:paraId="0447B12C" w14:textId="4624B592" w:rsidR="00670423" w:rsidRPr="00997F82" w:rsidRDefault="00FC4DCE" w:rsidP="00FC4DCE">
      <w:r w:rsidRPr="00997F82">
        <w:t xml:space="preserve">Endpoint survey results show 70% of PHNs used Program data to enhance service design, with </w:t>
      </w:r>
      <w:r w:rsidR="001F5DB5" w:rsidRPr="00997F82">
        <w:t xml:space="preserve">many </w:t>
      </w:r>
      <w:r w:rsidRPr="00997F82">
        <w:t>examples of locally driven evaluations and practice-level data use.</w:t>
      </w:r>
      <w:r w:rsidR="00A41D50" w:rsidRPr="00997F82">
        <w:t xml:space="preserve"> </w:t>
      </w:r>
      <w:r w:rsidRPr="00997F82">
        <w:t>Qualitative responses to PHN surveys also provided examples of PHNs using data collected to adapt and modify program activities. For example, one PHN planned activities to improve community access to end-of-life medication. Consultation with pharmacies in the region found that issues with access to core medicines were localised to one LGA and that these issues were occurring less frequently than perceived. In collaboration with local pharmacies</w:t>
      </w:r>
      <w:r w:rsidR="00D30738" w:rsidRPr="00997F82">
        <w:t xml:space="preserve">, </w:t>
      </w:r>
      <w:r w:rsidRPr="00997F82">
        <w:t>the decision was made to continue to monitor the situation and not pursue the planned activity.</w:t>
      </w:r>
    </w:p>
    <w:p w14:paraId="00623144" w14:textId="138D0A33" w:rsidR="00670423" w:rsidRDefault="00670423" w:rsidP="006805E3">
      <w:r w:rsidRPr="00997F82">
        <w:t xml:space="preserve">Another </w:t>
      </w:r>
      <w:r w:rsidR="00FC4DCE" w:rsidRPr="00997F82">
        <w:t xml:space="preserve">example of </w:t>
      </w:r>
      <w:r w:rsidR="003D2625" w:rsidRPr="00997F82">
        <w:t xml:space="preserve">how </w:t>
      </w:r>
      <w:r w:rsidR="00FC4DCE" w:rsidRPr="00997F82">
        <w:t xml:space="preserve">data </w:t>
      </w:r>
      <w:r w:rsidR="003D2625" w:rsidRPr="00997F82">
        <w:t xml:space="preserve">was used for continuous improvement </w:t>
      </w:r>
      <w:r w:rsidR="00FC4DCE" w:rsidRPr="00997F82">
        <w:t>is highlighted belo</w:t>
      </w:r>
      <w:r w:rsidRPr="00997F82">
        <w:t>w</w:t>
      </w:r>
      <w:r w:rsidR="00370A85" w:rsidRPr="00997F82">
        <w:t>.</w:t>
      </w:r>
    </w:p>
    <w:p w14:paraId="73F2351F" w14:textId="6F7EA4C1" w:rsidR="00B20C7C" w:rsidRDefault="00B20C7C" w:rsidP="00DF0063">
      <w:pPr>
        <w:pStyle w:val="CVHeading"/>
      </w:pPr>
      <w:r w:rsidRPr="00B20C7C">
        <w:t>Example: Healthy North Coast RACH data</w:t>
      </w:r>
    </w:p>
    <w:p w14:paraId="3C827535" w14:textId="1014F85C" w:rsidR="00B20C7C" w:rsidRPr="00997F82" w:rsidRDefault="00B20C7C" w:rsidP="00B20C7C">
      <w:pPr>
        <w:pStyle w:val="CVbodygreybground"/>
      </w:pPr>
      <w:r w:rsidRPr="00B20C7C">
        <w:t>Healthy North Coast identified RACHs with high rates of emergency department presentations and provided support strategies and education tailored to the most common causes of hospital transfer. Data on RACHs registered with My Health Record (MHR) has supported targeted outreach around ACP and ACD documentation, including how to upload these documents to the MHR system. LHD admission data also revealed that very few residents from RACHs or the broader community are hospitalised with a documented ACD. Identification of this gap reinforced the ongoing need to raise awareness of ACP through community education efforts.</w:t>
      </w:r>
    </w:p>
    <w:p w14:paraId="2CEFB2CB" w14:textId="13EF09FE" w:rsidR="008070DB" w:rsidRPr="00997F82" w:rsidRDefault="008070DB" w:rsidP="00B20C7C">
      <w:pPr>
        <w:pStyle w:val="Heading3"/>
      </w:pPr>
      <w:r w:rsidRPr="00997F82">
        <w:t>Implications</w:t>
      </w:r>
    </w:p>
    <w:p w14:paraId="02AADB6F" w14:textId="46610703" w:rsidR="008070DB" w:rsidRPr="00997F82" w:rsidRDefault="00A41D50" w:rsidP="00B20C7C">
      <w:pPr>
        <w:pStyle w:val="ListBullet"/>
      </w:pPr>
      <w:r w:rsidRPr="00997F82">
        <w:t>Standardised tools</w:t>
      </w:r>
      <w:r w:rsidR="008B042A" w:rsidRPr="00997F82">
        <w:t xml:space="preserve"> should be reviewed, updated and co-designed with PHNs to support a more consistent approach to monitoring, nationally.</w:t>
      </w:r>
    </w:p>
    <w:p w14:paraId="6FD9230F" w14:textId="5EC15D92" w:rsidR="008070DB" w:rsidRPr="00997F82" w:rsidRDefault="008070DB" w:rsidP="00B20C7C">
      <w:pPr>
        <w:pStyle w:val="ListBullet"/>
      </w:pPr>
      <w:r w:rsidRPr="00997F82">
        <w:t>Data collected as part of quality improvement activities with GPs</w:t>
      </w:r>
      <w:r w:rsidR="003D2625" w:rsidRPr="00997F82">
        <w:t xml:space="preserve"> (</w:t>
      </w:r>
      <w:r w:rsidRPr="00997F82">
        <w:t>e.g. ADA, and practice-level data</w:t>
      </w:r>
      <w:r w:rsidR="003D2625" w:rsidRPr="00997F82">
        <w:t xml:space="preserve">) </w:t>
      </w:r>
      <w:r w:rsidRPr="00997F82">
        <w:t>provide</w:t>
      </w:r>
      <w:r w:rsidR="00D048AD" w:rsidRPr="00997F82">
        <w:t>s</w:t>
      </w:r>
      <w:r w:rsidRPr="00997F82">
        <w:t xml:space="preserve"> rich insights that can be used to drive continuous improvement of services. However, few PHNs undertook activities that involved access </w:t>
      </w:r>
      <w:r w:rsidR="00D048AD" w:rsidRPr="00997F82">
        <w:t xml:space="preserve">to </w:t>
      </w:r>
      <w:r w:rsidRPr="00997F82">
        <w:t>and use of this type of data. In future, the Program could require PHNs to deliver at least one activity relating to GP quality improvement</w:t>
      </w:r>
      <w:r w:rsidR="003D2625" w:rsidRPr="00997F82">
        <w:t xml:space="preserve"> to enable greater insight.</w:t>
      </w:r>
    </w:p>
    <w:p w14:paraId="3F892513" w14:textId="511DB448" w:rsidR="008070DB" w:rsidRPr="00997F82" w:rsidRDefault="008070DB" w:rsidP="00B20C7C">
      <w:pPr>
        <w:pStyle w:val="ListBullet"/>
      </w:pPr>
      <w:r w:rsidRPr="00997F82">
        <w:t xml:space="preserve">To better encourage the use of data to inform </w:t>
      </w:r>
      <w:r w:rsidR="007A6E1C" w:rsidRPr="00997F82">
        <w:t>continuous improvement</w:t>
      </w:r>
      <w:r w:rsidRPr="00997F82">
        <w:t xml:space="preserve">, there could be a requirement for PHNs </w:t>
      </w:r>
      <w:r w:rsidR="003D2625" w:rsidRPr="00997F82">
        <w:t xml:space="preserve">to indicate </w:t>
      </w:r>
      <w:r w:rsidRPr="00997F82">
        <w:t>how they have or will use data collected in designing, implementing and refining their activities</w:t>
      </w:r>
      <w:r w:rsidR="003D2625" w:rsidRPr="00997F82">
        <w:t xml:space="preserve"> in regular status reporting and/or Activity Work Plans.</w:t>
      </w:r>
      <w:r w:rsidRPr="00997F82">
        <w:t xml:space="preserve"> </w:t>
      </w:r>
    </w:p>
    <w:p w14:paraId="2949239D" w14:textId="25657012" w:rsidR="003B5FBE" w:rsidRPr="00997F82" w:rsidRDefault="003B5FBE" w:rsidP="00277D66">
      <w:pPr>
        <w:pStyle w:val="Heading2"/>
        <w:rPr>
          <w:rFonts w:ascii="Arial" w:hAnsi="Arial" w:cs="Arial"/>
        </w:rPr>
      </w:pPr>
      <w:bookmarkStart w:id="54" w:name="_Ref202783782"/>
      <w:r w:rsidRPr="00997F82">
        <w:t>To what extent are services coordinated, integrated, and provide continuity of palliative care?</w:t>
      </w:r>
      <w:r w:rsidRPr="00997F82">
        <w:rPr>
          <w:rFonts w:ascii="Arial" w:hAnsi="Arial" w:cs="Arial"/>
        </w:rPr>
        <w:t> </w:t>
      </w:r>
      <w:bookmarkEnd w:id="54"/>
    </w:p>
    <w:tbl>
      <w:tblPr>
        <w:tblStyle w:val="IMSTable"/>
        <w:tblW w:w="0" w:type="auto"/>
        <w:tblLook w:val="04A0" w:firstRow="1" w:lastRow="0" w:firstColumn="1" w:lastColumn="0" w:noHBand="0" w:noVBand="1"/>
      </w:tblPr>
      <w:tblGrid>
        <w:gridCol w:w="9016"/>
      </w:tblGrid>
      <w:tr w:rsidR="008B042A" w:rsidRPr="00997F82" w14:paraId="58B923B3" w14:textId="77777777" w:rsidTr="00875F96">
        <w:trPr>
          <w:cnfStyle w:val="100000000000" w:firstRow="1" w:lastRow="0" w:firstColumn="0" w:lastColumn="0" w:oddVBand="0" w:evenVBand="0" w:oddHBand="0" w:evenHBand="0" w:firstRowFirstColumn="0" w:firstRowLastColumn="0" w:lastRowFirstColumn="0" w:lastRowLastColumn="0"/>
          <w:tblHeader/>
        </w:trPr>
        <w:tc>
          <w:tcPr>
            <w:tcW w:w="9016" w:type="dxa"/>
          </w:tcPr>
          <w:p w14:paraId="6ED411BB" w14:textId="77777777" w:rsidR="008B042A" w:rsidRPr="00F13251" w:rsidRDefault="008B042A" w:rsidP="00F13251">
            <w:r w:rsidRPr="00F13251">
              <w:t>Key finding</w:t>
            </w:r>
          </w:p>
        </w:tc>
      </w:tr>
      <w:tr w:rsidR="008B042A" w:rsidRPr="00997F82" w14:paraId="537534BF" w14:textId="77777777" w:rsidTr="00F13251">
        <w:tc>
          <w:tcPr>
            <w:tcW w:w="9016" w:type="dxa"/>
          </w:tcPr>
          <w:p w14:paraId="519B721A" w14:textId="331304C8" w:rsidR="008B042A" w:rsidRPr="00997F82" w:rsidRDefault="008B042A" w:rsidP="002D0111">
            <w:pPr>
              <w:shd w:val="clear" w:color="auto" w:fill="FDF1E6" w:themeFill="accent5" w:themeFillTint="33"/>
            </w:pPr>
            <w:r w:rsidRPr="00997F82">
              <w:t xml:space="preserve">Coordination and integration </w:t>
            </w:r>
            <w:r w:rsidR="00DE3DF9" w:rsidRPr="00997F82">
              <w:t>are</w:t>
            </w:r>
            <w:r w:rsidRPr="00997F82">
              <w:t xml:space="preserve"> core strength</w:t>
            </w:r>
            <w:r w:rsidR="00DE3DF9" w:rsidRPr="00997F82">
              <w:t>s</w:t>
            </w:r>
            <w:r w:rsidRPr="00997F82">
              <w:t xml:space="preserve"> of PHNs in this Program, as they develop informal channels that strengthen local relationships between providers, forums to discuss activities and priorities, and provide greater networking opportunities. However, there are limited opportunities to capture this level of impact of informal engagement.</w:t>
            </w:r>
          </w:p>
        </w:tc>
      </w:tr>
    </w:tbl>
    <w:p w14:paraId="75E80810" w14:textId="6CED8E62" w:rsidR="003B5FBE" w:rsidRPr="00997F82" w:rsidRDefault="003B5FBE" w:rsidP="00B20C7C">
      <w:pPr>
        <w:pStyle w:val="Heading3"/>
      </w:pPr>
      <w:r w:rsidRPr="00997F82">
        <w:t xml:space="preserve">Background </w:t>
      </w:r>
    </w:p>
    <w:p w14:paraId="040331F0" w14:textId="26A487CE" w:rsidR="000C156E" w:rsidRPr="00997F82" w:rsidRDefault="001A685B" w:rsidP="00573341">
      <w:r w:rsidRPr="00997F82">
        <w:t xml:space="preserve">The palliative care service system in Australia comprises a range of </w:t>
      </w:r>
      <w:r w:rsidR="00D86743" w:rsidRPr="00997F82">
        <w:t xml:space="preserve">service providers, health professionals and settings. </w:t>
      </w:r>
      <w:r w:rsidR="00F663A1" w:rsidRPr="00997F82">
        <w:t xml:space="preserve">Individuals often require different services and levels of service as their symptoms progress. </w:t>
      </w:r>
      <w:r w:rsidR="000C156E" w:rsidRPr="00997F82">
        <w:t>Where there is an early identification of need, there is greater potential for services and supports to be coordinated to enable palliative care at home and in the community.</w:t>
      </w:r>
    </w:p>
    <w:p w14:paraId="1449D195" w14:textId="147901B4" w:rsidR="00472F06" w:rsidRPr="00997F82" w:rsidRDefault="000C156E" w:rsidP="00573341">
      <w:r w:rsidRPr="00997F82">
        <w:t xml:space="preserve">For example, leading practice suggests that, where possible, individuals should be referred to </w:t>
      </w:r>
      <w:r w:rsidR="0031778A" w:rsidRPr="00997F82">
        <w:t>s</w:t>
      </w:r>
      <w:r w:rsidRPr="00997F82">
        <w:t xml:space="preserve">pecialist </w:t>
      </w:r>
      <w:r w:rsidR="0031778A" w:rsidRPr="00997F82">
        <w:t>p</w:t>
      </w:r>
      <w:r w:rsidRPr="00997F82">
        <w:t xml:space="preserve">alliative </w:t>
      </w:r>
      <w:r w:rsidR="0031778A" w:rsidRPr="00997F82">
        <w:t>c</w:t>
      </w:r>
      <w:r w:rsidRPr="00997F82">
        <w:t>are at least 3 months prior to the end of life.</w:t>
      </w:r>
      <w:r w:rsidRPr="00997F82">
        <w:rPr>
          <w:rStyle w:val="FootnoteReference"/>
        </w:rPr>
        <w:footnoteReference w:id="54"/>
      </w:r>
      <w:r w:rsidRPr="00997F82">
        <w:t xml:space="preserve"> Additionally, 94% of people who need palliative care will visit their GP in the last year of their life</w:t>
      </w:r>
      <w:r w:rsidRPr="00997F82">
        <w:rPr>
          <w:vertAlign w:val="superscript"/>
        </w:rPr>
        <w:footnoteReference w:id="55"/>
      </w:r>
      <w:r w:rsidRPr="00997F82">
        <w:t xml:space="preserve"> . </w:t>
      </w:r>
      <w:r w:rsidR="00472F06" w:rsidRPr="00997F82">
        <w:t>E</w:t>
      </w:r>
      <w:r w:rsidR="00573341" w:rsidRPr="00997F82">
        <w:t xml:space="preserve">nabling </w:t>
      </w:r>
      <w:r w:rsidR="00701B0A" w:rsidRPr="00997F82">
        <w:t>appropriate palliative care in the home and community requires a multidisciplinary approach to care planning</w:t>
      </w:r>
      <w:r w:rsidR="00472F06" w:rsidRPr="00997F82">
        <w:t>, including with primary care workforces such as GPs</w:t>
      </w:r>
      <w:r w:rsidRPr="00997F82">
        <w:t>.</w:t>
      </w:r>
    </w:p>
    <w:p w14:paraId="19DEAAF3" w14:textId="7AAD69D2" w:rsidR="00BB6844" w:rsidRPr="00997F82" w:rsidRDefault="00BB6844" w:rsidP="00115DC2">
      <w:r w:rsidRPr="00997F82">
        <w:t xml:space="preserve">While </w:t>
      </w:r>
      <w:r w:rsidR="00FD6B66" w:rsidRPr="00997F82">
        <w:t xml:space="preserve">Program guidelines do not </w:t>
      </w:r>
      <w:r w:rsidR="00823F96" w:rsidRPr="00997F82">
        <w:t>permit</w:t>
      </w:r>
      <w:r w:rsidR="00E2097A" w:rsidRPr="00997F82">
        <w:t xml:space="preserve"> PHNs to commission </w:t>
      </w:r>
      <w:r w:rsidR="00B60621" w:rsidRPr="00997F82">
        <w:t xml:space="preserve">palliative care </w:t>
      </w:r>
      <w:r w:rsidR="00E2097A" w:rsidRPr="00997F82">
        <w:t>service</w:t>
      </w:r>
      <w:r w:rsidR="00B60621" w:rsidRPr="00997F82">
        <w:t xml:space="preserve"> provision</w:t>
      </w:r>
      <w:r w:rsidR="00E2097A" w:rsidRPr="00997F82">
        <w:t xml:space="preserve">, </w:t>
      </w:r>
      <w:r w:rsidR="005602CB" w:rsidRPr="00997F82">
        <w:t>the</w:t>
      </w:r>
      <w:r w:rsidR="00833686" w:rsidRPr="00997F82">
        <w:t>ir</w:t>
      </w:r>
      <w:r w:rsidR="005602CB" w:rsidRPr="00997F82">
        <w:t xml:space="preserve"> </w:t>
      </w:r>
      <w:r w:rsidR="004E1DBD" w:rsidRPr="00997F82">
        <w:t xml:space="preserve">core </w:t>
      </w:r>
      <w:r w:rsidR="00845A25" w:rsidRPr="00997F82">
        <w:t xml:space="preserve">role </w:t>
      </w:r>
      <w:r w:rsidR="003E6D30" w:rsidRPr="00997F82">
        <w:t>in</w:t>
      </w:r>
      <w:r w:rsidR="00AF1245" w:rsidRPr="00997F82">
        <w:t xml:space="preserve"> the Program, </w:t>
      </w:r>
      <w:r w:rsidR="004E1DBD" w:rsidRPr="00997F82">
        <w:t>is</w:t>
      </w:r>
      <w:r w:rsidR="00AF1245" w:rsidRPr="00997F82">
        <w:t xml:space="preserve"> facilitating </w:t>
      </w:r>
      <w:r w:rsidR="008003A8" w:rsidRPr="00997F82">
        <w:t>and driving connections, partnerships</w:t>
      </w:r>
      <w:r w:rsidR="00833686" w:rsidRPr="00997F82">
        <w:t xml:space="preserve"> to </w:t>
      </w:r>
      <w:r w:rsidR="004E1DBD" w:rsidRPr="00997F82">
        <w:t xml:space="preserve">improve </w:t>
      </w:r>
      <w:r w:rsidR="008003A8" w:rsidRPr="00997F82">
        <w:t>coordination and integration between services and sectors.</w:t>
      </w:r>
      <w:r w:rsidR="005C4528" w:rsidRPr="00997F82">
        <w:t xml:space="preserve"> This </w:t>
      </w:r>
      <w:r w:rsidR="00E36D6A" w:rsidRPr="00997F82">
        <w:t>function</w:t>
      </w:r>
      <w:r w:rsidR="00456579" w:rsidRPr="00997F82">
        <w:t xml:space="preserve"> is</w:t>
      </w:r>
      <w:r w:rsidR="005C4528" w:rsidRPr="00997F82">
        <w:t xml:space="preserve"> </w:t>
      </w:r>
      <w:r w:rsidR="00E36D6A" w:rsidRPr="00997F82">
        <w:t>supported</w:t>
      </w:r>
      <w:r w:rsidR="005C4528" w:rsidRPr="00997F82">
        <w:t xml:space="preserve"> through the allocation of 2 FTE.</w:t>
      </w:r>
      <w:r w:rsidR="0015097E" w:rsidRPr="00997F82">
        <w:t xml:space="preserve"> </w:t>
      </w:r>
    </w:p>
    <w:p w14:paraId="6805BA65" w14:textId="7C7BCA7C" w:rsidR="003B5FBE" w:rsidRPr="00997F82" w:rsidRDefault="003B5FBE" w:rsidP="00B20C7C">
      <w:pPr>
        <w:pStyle w:val="Heading3"/>
      </w:pPr>
      <w:r w:rsidRPr="00997F82">
        <w:t>Findings</w:t>
      </w:r>
    </w:p>
    <w:p w14:paraId="1CABD3EE" w14:textId="4D590B54" w:rsidR="001F1C85" w:rsidRPr="00997F82" w:rsidRDefault="003F0451" w:rsidP="003F0451">
      <w:r w:rsidRPr="00997F82">
        <w:t>At Endpoint, 2</w:t>
      </w:r>
      <w:r w:rsidR="00011000" w:rsidRPr="00997F82">
        <w:t>4</w:t>
      </w:r>
      <w:r w:rsidRPr="00997F82">
        <w:t xml:space="preserve"> PHNs completed activities focused on Coordination and Integration</w:t>
      </w:r>
      <w:r w:rsidR="000C156E" w:rsidRPr="00997F82">
        <w:t xml:space="preserve"> however th</w:t>
      </w:r>
      <w:r w:rsidR="00670423" w:rsidRPr="00997F82">
        <w:t xml:space="preserve">is encompasses only </w:t>
      </w:r>
      <w:r w:rsidR="000C156E" w:rsidRPr="00997F82">
        <w:t xml:space="preserve">formal coordination and integration efforts such as establishing shared models of care and </w:t>
      </w:r>
      <w:r w:rsidR="001F1C85" w:rsidRPr="00997F82">
        <w:t xml:space="preserve">increasing service navigation pathways through </w:t>
      </w:r>
      <w:proofErr w:type="spellStart"/>
      <w:r w:rsidR="001F1C85" w:rsidRPr="00997F82">
        <w:t>HealthPathways</w:t>
      </w:r>
      <w:proofErr w:type="spellEnd"/>
      <w:r w:rsidRPr="00997F82">
        <w:t xml:space="preserve">. </w:t>
      </w:r>
    </w:p>
    <w:p w14:paraId="1782B39A" w14:textId="6E008852" w:rsidR="00867854" w:rsidRPr="00997F82" w:rsidRDefault="001F1C85" w:rsidP="00867854">
      <w:r w:rsidRPr="00997F82">
        <w:t>More broadly, all</w:t>
      </w:r>
      <w:r w:rsidR="003F0451" w:rsidRPr="00997F82">
        <w:t xml:space="preserve"> PHNs have</w:t>
      </w:r>
      <w:r w:rsidRPr="00997F82">
        <w:t xml:space="preserve"> also</w:t>
      </w:r>
      <w:r w:rsidR="003F0451" w:rsidRPr="00997F82">
        <w:t xml:space="preserve"> adopted </w:t>
      </w:r>
      <w:r w:rsidRPr="00997F82">
        <w:t xml:space="preserve">informal </w:t>
      </w:r>
      <w:r w:rsidR="003F0451" w:rsidRPr="00997F82">
        <w:t>approaches that bring together different service providers within the local palliative care system to strengthen relationships</w:t>
      </w:r>
      <w:r w:rsidR="00AE5916" w:rsidRPr="00997F82">
        <w:t>, including primary care workforces, aged care workforces and allied health</w:t>
      </w:r>
      <w:r w:rsidR="000C156E" w:rsidRPr="00997F82">
        <w:t xml:space="preserve">. </w:t>
      </w:r>
      <w:r w:rsidR="00867854" w:rsidRPr="00997F82">
        <w:t>Responses to the Endpoint PHN survey indicated that PHN activities that involved facilitating networks and relationships among service providers, contributed to strengthened awareness and relationships among providers that in turn has, or may, contribute to improved coordination and integration.</w:t>
      </w:r>
      <w:r w:rsidR="00867854" w:rsidRPr="00997F82">
        <w:rPr>
          <w:rStyle w:val="FootnoteReference"/>
        </w:rPr>
        <w:footnoteReference w:id="56"/>
      </w:r>
      <w:r w:rsidR="00867854" w:rsidRPr="00997F82">
        <w:t xml:space="preserve"> </w:t>
      </w:r>
    </w:p>
    <w:p w14:paraId="20844B52" w14:textId="529BD065" w:rsidR="00A92112" w:rsidRPr="00997F82" w:rsidRDefault="00D37EB1" w:rsidP="003F0451">
      <w:r w:rsidRPr="00997F82">
        <w:t xml:space="preserve">PHNs noted </w:t>
      </w:r>
      <w:r w:rsidR="00651BB3" w:rsidRPr="00997F82">
        <w:t xml:space="preserve">in consultations </w:t>
      </w:r>
      <w:r w:rsidRPr="00997F82">
        <w:t xml:space="preserve">that it wasn’t always done well at the start due to a lack of understanding of the goals and objectives of what </w:t>
      </w:r>
      <w:r w:rsidR="00651BB3" w:rsidRPr="00997F82">
        <w:t xml:space="preserve">‘good’ </w:t>
      </w:r>
      <w:r w:rsidRPr="00997F82">
        <w:t xml:space="preserve">coordination </w:t>
      </w:r>
      <w:r w:rsidR="00651BB3" w:rsidRPr="00997F82">
        <w:t xml:space="preserve">looks like. However, </w:t>
      </w:r>
      <w:proofErr w:type="gramStart"/>
      <w:r w:rsidR="00651BB3" w:rsidRPr="00997F82">
        <w:t>as a result of</w:t>
      </w:r>
      <w:proofErr w:type="gramEnd"/>
      <w:r w:rsidR="00651BB3" w:rsidRPr="00997F82">
        <w:t xml:space="preserve"> </w:t>
      </w:r>
      <w:r w:rsidR="00FE6BDB" w:rsidRPr="00997F82">
        <w:t>continuous program leads, and greater program maturity, there has been an observed improvement in stakeholder understanding of palliative care due to collaborative forums and connections made by PHNs.</w:t>
      </w:r>
      <w:r w:rsidR="00651BB3" w:rsidRPr="00997F82">
        <w:t xml:space="preserve"> </w:t>
      </w:r>
      <w:r w:rsidRPr="00997F82">
        <w:rPr>
          <w:rStyle w:val="FootnoteReference"/>
        </w:rPr>
        <w:footnoteReference w:id="57"/>
      </w:r>
    </w:p>
    <w:p w14:paraId="20AB5430" w14:textId="19D1CBCE" w:rsidR="003F0451" w:rsidRPr="00997F82" w:rsidRDefault="003F0451" w:rsidP="003F0451">
      <w:r w:rsidRPr="00997F82">
        <w:t>An example of this is SNPHN. As a member of the NSLHD Northern Sydney Community Palliative Care Working Group, SNPHN contributed to shared decision-making, consistent communication, and alignment of care pathways across providers. This collaboration has strengthened regional networks, facilitated knowledge exchange, and enhanced service integration to support holistic palliative care for patients and families.</w:t>
      </w:r>
    </w:p>
    <w:p w14:paraId="2F3016C7" w14:textId="0F56D17D" w:rsidR="0074239F" w:rsidRPr="00997F82" w:rsidRDefault="00AC104A" w:rsidP="003F0451">
      <w:r w:rsidRPr="00997F82">
        <w:t xml:space="preserve">Similarly, DDWMPHN have established </w:t>
      </w:r>
      <w:r w:rsidR="00D8446B" w:rsidRPr="00997F82">
        <w:t xml:space="preserve">a </w:t>
      </w:r>
      <w:r w:rsidR="00F100C8" w:rsidRPr="00997F82">
        <w:t>Care at the End of Life Collaborative (CAEOLC)</w:t>
      </w:r>
      <w:r w:rsidR="00756249" w:rsidRPr="00997F82">
        <w:t xml:space="preserve"> to enable partnerships across government and non-government services to optimise systems, processes and outcomes for people in their region. </w:t>
      </w:r>
      <w:r w:rsidR="004C0781" w:rsidRPr="00997F82">
        <w:t xml:space="preserve">This forum has a series of targets including the co-design of shared care pathways, service mapping and </w:t>
      </w:r>
      <w:r w:rsidR="00383008" w:rsidRPr="00997F82">
        <w:t>identifying gaps in patient journeys for vulnerable populations. They meet bi-monthly, including yearly forums and regular communication via email and newsletters</w:t>
      </w:r>
      <w:r w:rsidR="00632B0C" w:rsidRPr="00997F82">
        <w:t xml:space="preserve">. </w:t>
      </w:r>
    </w:p>
    <w:p w14:paraId="314F2E18" w14:textId="4FA5930D" w:rsidR="0074239F" w:rsidRPr="00997F82" w:rsidRDefault="0074239F" w:rsidP="003F0451">
      <w:r w:rsidRPr="00997F82">
        <w:t xml:space="preserve">While there are strong examples of impact, service providers noted that </w:t>
      </w:r>
      <w:r w:rsidR="00EC7C61" w:rsidRPr="00997F82">
        <w:t xml:space="preserve">rural workforces, staffing arrangements and locum workforces that come in and out of regions </w:t>
      </w:r>
      <w:r w:rsidR="00CC68E0" w:rsidRPr="00997F82">
        <w:t>with less commitment to continuous improvement are</w:t>
      </w:r>
      <w:r w:rsidR="00EC7C61" w:rsidRPr="00997F82">
        <w:t xml:space="preserve"> limiting </w:t>
      </w:r>
      <w:r w:rsidR="00C44F59" w:rsidRPr="00997F82">
        <w:t>seamless</w:t>
      </w:r>
      <w:r w:rsidR="00EC7C61" w:rsidRPr="00997F82">
        <w:t xml:space="preserve"> integration in palliative care delivery.</w:t>
      </w:r>
      <w:r w:rsidR="00CC68E0" w:rsidRPr="00997F82">
        <w:t xml:space="preserve"> </w:t>
      </w:r>
      <w:r w:rsidR="00182896" w:rsidRPr="00997F82">
        <w:t>One GP stated that even when they do refer patients, not just in palliative care but for all services, they are kept out of the loop of what occurs next. This led to them finding out their patient had died by checking-in via phone call with their daughter, after a point of referral.</w:t>
      </w:r>
      <w:r w:rsidR="00C44F59" w:rsidRPr="00997F82">
        <w:rPr>
          <w:rStyle w:val="FootnoteReference"/>
        </w:rPr>
        <w:footnoteReference w:id="58"/>
      </w:r>
      <w:r w:rsidR="00C44F59" w:rsidRPr="00997F82">
        <w:t xml:space="preserve"> </w:t>
      </w:r>
    </w:p>
    <w:p w14:paraId="4EB7E0AE" w14:textId="267C098A" w:rsidR="00C44F59" w:rsidRPr="00997F82" w:rsidRDefault="00C44F59" w:rsidP="003F0451">
      <w:r w:rsidRPr="00997F82">
        <w:t>Another service provider also stated that ‘it is hard to coordinate what doesn’t exist’ in relation to a lack of services and thin markets in areas such as the Northern Territory and Tasmania.</w:t>
      </w:r>
      <w:r w:rsidRPr="00997F82">
        <w:rPr>
          <w:rStyle w:val="FootnoteReference"/>
        </w:rPr>
        <w:footnoteReference w:id="59"/>
      </w:r>
    </w:p>
    <w:p w14:paraId="51FDE8DC" w14:textId="77777777" w:rsidR="00B20C7C" w:rsidRPr="00B20C7C" w:rsidRDefault="00B20C7C" w:rsidP="00B20C7C">
      <w:pPr>
        <w:pStyle w:val="IntenseQuote"/>
      </w:pPr>
      <w:r w:rsidRPr="00B20C7C">
        <w:t xml:space="preserve">“There is now a better understanding of the available services and supports in the region, leading to more effective utilisation by healthcare professionals, service providers, and the community. There is increased awareness regarding early referrals and advance care planning among health professionals and community members.” </w:t>
      </w:r>
    </w:p>
    <w:p w14:paraId="008DACC9" w14:textId="14DB2D18" w:rsidR="00FE6BDB" w:rsidRPr="00997F82" w:rsidRDefault="00B20C7C" w:rsidP="00B20C7C">
      <w:pPr>
        <w:pStyle w:val="IntenseQuote"/>
      </w:pPr>
      <w:r w:rsidRPr="00B20C7C">
        <w:t>- PHN survey</w:t>
      </w:r>
    </w:p>
    <w:p w14:paraId="18017B0F" w14:textId="17E8219E" w:rsidR="00010B87" w:rsidRPr="00997F82" w:rsidRDefault="001F1C85" w:rsidP="008B11D8">
      <w:r w:rsidRPr="00997F82">
        <w:t>To measure</w:t>
      </w:r>
      <w:r w:rsidR="00010B87" w:rsidRPr="00997F82">
        <w:t xml:space="preserve"> </w:t>
      </w:r>
      <w:r w:rsidR="00320E3F" w:rsidRPr="00997F82">
        <w:t>the</w:t>
      </w:r>
      <w:r w:rsidR="003F0451" w:rsidRPr="00997F82">
        <w:t xml:space="preserve"> </w:t>
      </w:r>
      <w:r w:rsidRPr="00997F82">
        <w:t>formal</w:t>
      </w:r>
      <w:r w:rsidR="00320E3F" w:rsidRPr="00997F82">
        <w:t xml:space="preserve"> impact</w:t>
      </w:r>
      <w:r w:rsidR="00010B87" w:rsidRPr="00997F82">
        <w:t xml:space="preserve"> </w:t>
      </w:r>
      <w:r w:rsidR="00865871" w:rsidRPr="00997F82">
        <w:t xml:space="preserve">of </w:t>
      </w:r>
      <w:r w:rsidRPr="00997F82">
        <w:t xml:space="preserve">coordination and integration </w:t>
      </w:r>
      <w:r w:rsidR="00865871" w:rsidRPr="00997F82">
        <w:t xml:space="preserve">activities </w:t>
      </w:r>
      <w:r w:rsidR="00010B87" w:rsidRPr="00997F82">
        <w:t>at the system level, the following</w:t>
      </w:r>
      <w:r w:rsidR="003F0451" w:rsidRPr="00997F82">
        <w:t xml:space="preserve"> </w:t>
      </w:r>
      <w:r w:rsidR="00865871" w:rsidRPr="00997F82">
        <w:t xml:space="preserve">were </w:t>
      </w:r>
      <w:r w:rsidR="003F0451" w:rsidRPr="00997F82">
        <w:t xml:space="preserve">explored </w:t>
      </w:r>
      <w:r w:rsidR="00865871" w:rsidRPr="00997F82">
        <w:t xml:space="preserve">as indicators of coordination and integration from </w:t>
      </w:r>
      <w:r w:rsidR="00AD786E" w:rsidRPr="00997F82">
        <w:t>publicly available AIHW data:</w:t>
      </w:r>
    </w:p>
    <w:p w14:paraId="4E1968CD" w14:textId="0087BB71" w:rsidR="003B5FBE" w:rsidRPr="00B20C7C" w:rsidRDefault="003B5FBE" w:rsidP="00B20C7C">
      <w:pPr>
        <w:pStyle w:val="ListNumber2"/>
      </w:pPr>
      <w:r w:rsidRPr="00997F82">
        <w:t>Palliative care ep</w:t>
      </w:r>
      <w:r w:rsidRPr="00B20C7C">
        <w:t>isodes by referral sources and settings</w:t>
      </w:r>
      <w:r w:rsidR="00320E3F" w:rsidRPr="00B20C7C">
        <w:t>.</w:t>
      </w:r>
    </w:p>
    <w:p w14:paraId="3FD67151" w14:textId="723BB991" w:rsidR="003B5FBE" w:rsidRPr="00B20C7C" w:rsidRDefault="003B5FBE" w:rsidP="00B20C7C">
      <w:pPr>
        <w:pStyle w:val="ListNumber2"/>
      </w:pPr>
      <w:r w:rsidRPr="00B20C7C">
        <w:t>Proportion of patients discharged to RACHs from public acute care facilities.</w:t>
      </w:r>
    </w:p>
    <w:p w14:paraId="6A283A5B" w14:textId="426035EE" w:rsidR="006C50FA" w:rsidRPr="00997F82" w:rsidRDefault="003B5FBE" w:rsidP="00B20C7C">
      <w:pPr>
        <w:pStyle w:val="ListNumber2"/>
      </w:pPr>
      <w:r w:rsidRPr="00B20C7C">
        <w:t>MBS-subsidised palliative medicine attendances and case conferences provided by palliative medicin</w:t>
      </w:r>
      <w:r w:rsidRPr="00997F82">
        <w:t>e physicians/specialists</w:t>
      </w:r>
      <w:r w:rsidR="006D1DC4" w:rsidRPr="00997F82">
        <w:t>.</w:t>
      </w:r>
    </w:p>
    <w:p w14:paraId="4B80FBAE" w14:textId="4CB6FA5C" w:rsidR="0094323D" w:rsidRPr="00997F82" w:rsidRDefault="003F0451" w:rsidP="004D0B58">
      <w:bookmarkStart w:id="55" w:name="_Ref202700544"/>
      <w:r w:rsidRPr="00997F82">
        <w:t>However, r</w:t>
      </w:r>
      <w:r w:rsidR="006C50FA" w:rsidRPr="00997F82">
        <w:t xml:space="preserve">ecent national data does not yet </w:t>
      </w:r>
      <w:r w:rsidR="0094323D" w:rsidRPr="00997F82">
        <w:t xml:space="preserve">reflect the impact of PHN activities on palliative care coordination and integration, as most </w:t>
      </w:r>
      <w:r w:rsidRPr="00997F82">
        <w:t>indicators</w:t>
      </w:r>
      <w:r w:rsidR="0094323D" w:rsidRPr="00997F82">
        <w:t xml:space="preserve"> either predate the Program or show no significant change. This is likely due to the timing of data collection, as well as the relatively small </w:t>
      </w:r>
      <w:r w:rsidR="00EF363A" w:rsidRPr="00997F82">
        <w:t>scale</w:t>
      </w:r>
      <w:r w:rsidR="0094323D" w:rsidRPr="00997F82">
        <w:t xml:space="preserve"> of PHN activities</w:t>
      </w:r>
      <w:r w:rsidR="00EF363A" w:rsidRPr="00997F82">
        <w:t>.</w:t>
      </w:r>
    </w:p>
    <w:p w14:paraId="78F715EE" w14:textId="311601CF" w:rsidR="00705D4D" w:rsidRPr="00997F82" w:rsidRDefault="0094323D" w:rsidP="006805E3">
      <w:pPr>
        <w:tabs>
          <w:tab w:val="left" w:pos="2106"/>
        </w:tabs>
        <w:contextualSpacing/>
      </w:pPr>
      <w:r w:rsidRPr="00997F82">
        <w:t>In the future, data sources could include greater capture of coordination</w:t>
      </w:r>
      <w:r w:rsidR="00875A28" w:rsidRPr="00997F82">
        <w:t xml:space="preserve"> activities</w:t>
      </w:r>
      <w:r w:rsidRPr="00997F82">
        <w:t xml:space="preserve">, including referral pathways, </w:t>
      </w:r>
      <w:r w:rsidR="003F0451" w:rsidRPr="00997F82">
        <w:t>discharge rates and shared care arrangements.</w:t>
      </w:r>
      <w:r w:rsidRPr="00997F82">
        <w:t xml:space="preserve"> </w:t>
      </w:r>
      <w:bookmarkEnd w:id="55"/>
    </w:p>
    <w:p w14:paraId="62425A84" w14:textId="4D980EC7" w:rsidR="003B5FBE" w:rsidRPr="00997F82" w:rsidRDefault="005877BD" w:rsidP="00B20C7C">
      <w:pPr>
        <w:pStyle w:val="Heading3"/>
      </w:pPr>
      <w:r w:rsidRPr="00997F82">
        <w:t>I</w:t>
      </w:r>
      <w:r w:rsidR="003B5FBE" w:rsidRPr="00997F82">
        <w:t>mplications</w:t>
      </w:r>
    </w:p>
    <w:p w14:paraId="4FAFA3BF" w14:textId="386DA78B" w:rsidR="00163157" w:rsidRPr="00997F82" w:rsidRDefault="005877BD" w:rsidP="00B20C7C">
      <w:pPr>
        <w:pStyle w:val="ListBullet"/>
      </w:pPr>
      <w:r w:rsidRPr="00997F82">
        <w:t>While</w:t>
      </w:r>
      <w:r w:rsidR="00077D69" w:rsidRPr="00997F82">
        <w:t xml:space="preserve"> there is limited evidence </w:t>
      </w:r>
      <w:r w:rsidR="005A2B25" w:rsidRPr="00997F82">
        <w:t xml:space="preserve">of impact of PHN activities </w:t>
      </w:r>
      <w:r w:rsidR="00D2591E" w:rsidRPr="00997F82">
        <w:t>to improving palliative care coordination and integration there are</w:t>
      </w:r>
      <w:r w:rsidRPr="00997F82">
        <w:t xml:space="preserve"> several qualitative </w:t>
      </w:r>
      <w:r w:rsidR="009F653F" w:rsidRPr="00997F82">
        <w:t xml:space="preserve">examples </w:t>
      </w:r>
      <w:r w:rsidR="000F72B9" w:rsidRPr="00997F82">
        <w:t xml:space="preserve">that </w:t>
      </w:r>
      <w:r w:rsidRPr="00997F82">
        <w:t xml:space="preserve">indicate that </w:t>
      </w:r>
      <w:r w:rsidR="007A3CD8" w:rsidRPr="00997F82">
        <w:t>PHNs have</w:t>
      </w:r>
      <w:r w:rsidR="00BE7FF1" w:rsidRPr="00997F82">
        <w:t xml:space="preserve"> strengthen</w:t>
      </w:r>
      <w:r w:rsidR="005526FB" w:rsidRPr="00997F82">
        <w:t xml:space="preserve">ed </w:t>
      </w:r>
      <w:r w:rsidR="00AD424D" w:rsidRPr="00997F82">
        <w:t>relationships among local service providers</w:t>
      </w:r>
      <w:r w:rsidRPr="00997F82">
        <w:t xml:space="preserve"> through the Program</w:t>
      </w:r>
      <w:r w:rsidR="00AD424D" w:rsidRPr="00997F82">
        <w:t>.</w:t>
      </w:r>
    </w:p>
    <w:p w14:paraId="0AE377F0" w14:textId="7A5F7E5D" w:rsidR="00163157" w:rsidRPr="00997F82" w:rsidRDefault="00163157" w:rsidP="00B20C7C">
      <w:pPr>
        <w:pStyle w:val="ListBullet"/>
      </w:pPr>
      <w:r w:rsidRPr="00997F82">
        <w:t>I</w:t>
      </w:r>
      <w:r w:rsidR="000546EB" w:rsidRPr="00997F82">
        <w:t xml:space="preserve">n future, </w:t>
      </w:r>
      <w:r w:rsidRPr="00997F82">
        <w:t>coordination and integration could be better captured through smaller scale and localised measures such as conducting social network analyses. It could also include larger scale measures such as bi-directional data linkage projects between GPs and referrers (e.g. specialist palliative care, community services etc.)</w:t>
      </w:r>
      <w:r w:rsidR="00D75165" w:rsidRPr="00997F82">
        <w:t xml:space="preserve"> to understand how coordination is being translated to practice.</w:t>
      </w:r>
    </w:p>
    <w:p w14:paraId="0EB2E563" w14:textId="24D06575" w:rsidR="00DE0B7C" w:rsidRPr="00997F82" w:rsidRDefault="003B5FBE" w:rsidP="00B20C7C">
      <w:pPr>
        <w:pStyle w:val="ListBullet"/>
        <w:rPr>
          <w:color w:val="auto"/>
        </w:rPr>
      </w:pPr>
      <w:r w:rsidRPr="00997F82">
        <w:t xml:space="preserve">PHN activities </w:t>
      </w:r>
      <w:r w:rsidR="00A31179" w:rsidRPr="00997F82">
        <w:t>involving s</w:t>
      </w:r>
      <w:r w:rsidRPr="00997F82">
        <w:t xml:space="preserve">ervice </w:t>
      </w:r>
      <w:r w:rsidR="00A31179" w:rsidRPr="00997F82">
        <w:t>m</w:t>
      </w:r>
      <w:r w:rsidRPr="00997F82">
        <w:t xml:space="preserve">apping increased the knowledge of service providers about available palliative and EOLC services and referral pathways in </w:t>
      </w:r>
      <w:r w:rsidR="002C202C" w:rsidRPr="00997F82">
        <w:t xml:space="preserve">their </w:t>
      </w:r>
      <w:r w:rsidRPr="00997F82">
        <w:t xml:space="preserve">regions. The capacity to maintain these as up to date resources and continue to promote their use presents an ongoing challenge that is not unique to this </w:t>
      </w:r>
      <w:r w:rsidR="003E3459" w:rsidRPr="00997F82">
        <w:t>P</w:t>
      </w:r>
      <w:r w:rsidRPr="00997F82">
        <w:t>rogram.</w:t>
      </w:r>
    </w:p>
    <w:p w14:paraId="2BF6C69F" w14:textId="146F086F" w:rsidR="00F13251" w:rsidRPr="00F13251" w:rsidRDefault="006F0D7A" w:rsidP="00F13251">
      <w:pPr>
        <w:pStyle w:val="Heading2"/>
        <w:rPr>
          <w:rFonts w:ascii="Arial" w:hAnsi="Arial" w:cs="Arial"/>
        </w:rPr>
      </w:pPr>
      <w:bookmarkStart w:id="56" w:name="_Ref202714523"/>
      <w:r w:rsidRPr="00997F82">
        <w:t>To what extent has the Program enabled appropriate palliative care in the home and community, and reduced preventable hospitalisations?</w:t>
      </w:r>
      <w:r w:rsidRPr="00997F82">
        <w:rPr>
          <w:rFonts w:ascii="Arial" w:hAnsi="Arial" w:cs="Arial"/>
        </w:rPr>
        <w:t> </w:t>
      </w:r>
      <w:bookmarkEnd w:id="56"/>
    </w:p>
    <w:tbl>
      <w:tblPr>
        <w:tblStyle w:val="IMSTable"/>
        <w:tblW w:w="0" w:type="auto"/>
        <w:tblLook w:val="06E0" w:firstRow="1" w:lastRow="1" w:firstColumn="1" w:lastColumn="0" w:noHBand="1" w:noVBand="1"/>
      </w:tblPr>
      <w:tblGrid>
        <w:gridCol w:w="9027"/>
      </w:tblGrid>
      <w:tr w:rsidR="00F13251" w14:paraId="040BCBCF" w14:textId="77777777" w:rsidTr="00F13251">
        <w:trPr>
          <w:cnfStyle w:val="100000000000" w:firstRow="1" w:lastRow="0" w:firstColumn="0" w:lastColumn="0" w:oddVBand="0" w:evenVBand="0" w:oddHBand="0" w:evenHBand="0" w:firstRowFirstColumn="0" w:firstRowLastColumn="0" w:lastRowFirstColumn="0" w:lastRowLastColumn="0"/>
          <w:tblHeader/>
        </w:trPr>
        <w:tc>
          <w:tcPr>
            <w:tcW w:w="9027" w:type="dxa"/>
          </w:tcPr>
          <w:p w14:paraId="74DAAC2A" w14:textId="7A3AB72F" w:rsidR="00F13251" w:rsidRDefault="00F13251" w:rsidP="00F13251">
            <w:r w:rsidRPr="00F13251">
              <w:t>Key finding</w:t>
            </w:r>
          </w:p>
        </w:tc>
      </w:tr>
      <w:tr w:rsidR="00F13251" w14:paraId="5057240D" w14:textId="77777777" w:rsidTr="00F13251">
        <w:tc>
          <w:tcPr>
            <w:tcW w:w="9027" w:type="dxa"/>
          </w:tcPr>
          <w:p w14:paraId="5396841D" w14:textId="5EF7BC95" w:rsidR="00F13251" w:rsidRDefault="00F13251" w:rsidP="00F13251">
            <w:r w:rsidRPr="00F13251">
              <w:t>Current data limitations make it difficult to assess impact at the system-level to indicate reduced preventable hospitalisations. However, activity-level data and evidence illustrate that PHNs are conducting activities would enable greater palliative care at home and in the community.</w:t>
            </w:r>
          </w:p>
        </w:tc>
      </w:tr>
      <w:tr w:rsidR="00F13251" w14:paraId="578D63DB" w14:textId="77777777" w:rsidTr="00F13251">
        <w:trPr>
          <w:cnfStyle w:val="010000000000" w:firstRow="0" w:lastRow="1" w:firstColumn="0" w:lastColumn="0" w:oddVBand="0" w:evenVBand="0" w:oddHBand="0" w:evenHBand="0" w:firstRowFirstColumn="0" w:firstRowLastColumn="0" w:lastRowFirstColumn="0" w:lastRowLastColumn="0"/>
        </w:trPr>
        <w:tc>
          <w:tcPr>
            <w:tcW w:w="9027" w:type="dxa"/>
          </w:tcPr>
          <w:p w14:paraId="6DBBC54F" w14:textId="4B65A0F4" w:rsidR="00F13251" w:rsidRPr="00F13251" w:rsidRDefault="00F13251" w:rsidP="00F13251">
            <w:pPr>
              <w:pStyle w:val="Tablefooterwhite"/>
            </w:pPr>
            <w:r w:rsidRPr="00F13251">
              <w:t>Available evidence is limited and does not enable a definitive conclusion</w:t>
            </w:r>
          </w:p>
        </w:tc>
      </w:tr>
    </w:tbl>
    <w:p w14:paraId="5FCDE1DA" w14:textId="1FD5856B" w:rsidR="006F0D7A" w:rsidRPr="00997F82" w:rsidRDefault="006F0D7A" w:rsidP="00B20C7C">
      <w:pPr>
        <w:pStyle w:val="Heading3"/>
      </w:pPr>
      <w:r w:rsidRPr="00997F82">
        <w:t>Background</w:t>
      </w:r>
    </w:p>
    <w:p w14:paraId="50220284" w14:textId="3808D253" w:rsidR="00683F22" w:rsidRPr="00997F82" w:rsidRDefault="00F74519" w:rsidP="006F0D7A">
      <w:r w:rsidRPr="00997F82">
        <w:t>The Progra</w:t>
      </w:r>
      <w:r w:rsidR="005877BD" w:rsidRPr="00997F82">
        <w:t xml:space="preserve">m, at its </w:t>
      </w:r>
      <w:r w:rsidR="00D771DA" w:rsidRPr="00997F82">
        <w:t>core</w:t>
      </w:r>
      <w:r w:rsidR="005877BD" w:rsidRPr="00997F82">
        <w:t xml:space="preserve">, is </w:t>
      </w:r>
      <w:r w:rsidRPr="00997F82">
        <w:t xml:space="preserve">designed to support individuals’ preferences for receiving palliative care at home and in the community. </w:t>
      </w:r>
      <w:r w:rsidR="00705D4D" w:rsidRPr="00997F82">
        <w:t>Therefore,</w:t>
      </w:r>
      <w:r w:rsidRPr="00997F82">
        <w:t xml:space="preserve"> impact is expected to be most visible in primary and community care settings, with potential downstream effects on hospital and acute care services. </w:t>
      </w:r>
      <w:r w:rsidR="00A95A01" w:rsidRPr="00997F82">
        <w:t xml:space="preserve">National datasets like AIHW and PCOC provide </w:t>
      </w:r>
      <w:r w:rsidR="00D771DA" w:rsidRPr="00997F82">
        <w:t xml:space="preserve">limited </w:t>
      </w:r>
      <w:r w:rsidR="00A95A01" w:rsidRPr="00997F82">
        <w:t>insights</w:t>
      </w:r>
      <w:r w:rsidR="005877BD" w:rsidRPr="00997F82">
        <w:t xml:space="preserve"> to support this assumption</w:t>
      </w:r>
      <w:r w:rsidR="00A95A01" w:rsidRPr="00997F82">
        <w:t xml:space="preserve">, </w:t>
      </w:r>
      <w:r w:rsidR="005877BD" w:rsidRPr="00997F82">
        <w:t>and insigh</w:t>
      </w:r>
      <w:r w:rsidR="00D771DA" w:rsidRPr="00997F82">
        <w:t xml:space="preserve">ts rely </w:t>
      </w:r>
      <w:r w:rsidR="00A95A01" w:rsidRPr="00997F82">
        <w:t xml:space="preserve">primarily on PHN-reported activity data and case studies. </w:t>
      </w:r>
    </w:p>
    <w:p w14:paraId="71B68060" w14:textId="43038098" w:rsidR="006F0D7A" w:rsidRPr="00997F82" w:rsidRDefault="006F0D7A" w:rsidP="00B20C7C">
      <w:pPr>
        <w:pStyle w:val="Heading3"/>
      </w:pPr>
      <w:r w:rsidRPr="00997F82">
        <w:t>Findings</w:t>
      </w:r>
    </w:p>
    <w:p w14:paraId="1405DFBF" w14:textId="28364789" w:rsidR="0034121C" w:rsidRPr="00997F82" w:rsidRDefault="00683F22" w:rsidP="00643719">
      <w:r w:rsidRPr="00997F82">
        <w:t>The 2025 AIHW data release does not yet reflect the impact of PHN activities, as most indicators predate their implementation. Although there was a modest increase in palliative medicine prescriptions by GPs compared to specialists, this trend likely reflects broader variability over time rather than a direct result of the Program</w:t>
      </w:r>
      <w:r w:rsidR="001860CB" w:rsidRPr="00997F82">
        <w:t>.</w:t>
      </w:r>
    </w:p>
    <w:p w14:paraId="1CCC62ED" w14:textId="4DF95130" w:rsidR="002B2E0C" w:rsidRPr="00997F82" w:rsidRDefault="002B2E0C" w:rsidP="00643719">
      <w:r w:rsidRPr="00997F82">
        <w:t>Datasets and indicators in the AIHW report that should be monitored when evaluating the Program in the future include:</w:t>
      </w:r>
    </w:p>
    <w:p w14:paraId="5E688238" w14:textId="77777777" w:rsidR="002B2E0C" w:rsidRPr="00997F82" w:rsidRDefault="002B2E0C" w:rsidP="00B20C7C">
      <w:pPr>
        <w:pStyle w:val="ListBullet"/>
      </w:pPr>
      <w:r w:rsidRPr="00997F82">
        <w:t>Number of prescriptions from GPs and palliative medicine specialists per 100,000 population by medication group.</w:t>
      </w:r>
    </w:p>
    <w:p w14:paraId="6A587ABA" w14:textId="77777777" w:rsidR="002B2E0C" w:rsidRPr="00997F82" w:rsidRDefault="002B2E0C" w:rsidP="00B20C7C">
      <w:pPr>
        <w:pStyle w:val="ListBullet"/>
      </w:pPr>
      <w:r w:rsidRPr="00997F82">
        <w:t>Patient outcomes (symptoms and problems in the absent to mild range at phase end).</w:t>
      </w:r>
    </w:p>
    <w:p w14:paraId="5F693059" w14:textId="77777777" w:rsidR="002B2E0C" w:rsidRPr="00997F82" w:rsidRDefault="002B2E0C" w:rsidP="00B20C7C">
      <w:pPr>
        <w:pStyle w:val="ListBullet"/>
      </w:pPr>
      <w:r w:rsidRPr="00997F82">
        <w:t>Palliative care-related hospitalisations per 10,000 population.</w:t>
      </w:r>
    </w:p>
    <w:p w14:paraId="3D7BF1A6" w14:textId="326C7744" w:rsidR="00D771DA" w:rsidRPr="00997F82" w:rsidRDefault="00D771DA" w:rsidP="00B20C7C">
      <w:pPr>
        <w:pStyle w:val="ListBullet"/>
      </w:pPr>
      <w:r w:rsidRPr="00997F82">
        <w:t>Access to palliative care in RACHs.</w:t>
      </w:r>
    </w:p>
    <w:p w14:paraId="490165B0" w14:textId="06B18A43" w:rsidR="00C54197" w:rsidRPr="00997F82" w:rsidRDefault="00066D8B" w:rsidP="00FE3950">
      <w:r w:rsidRPr="00997F82">
        <w:t xml:space="preserve">PCOC data </w:t>
      </w:r>
      <w:r w:rsidR="0093321D" w:rsidRPr="00997F82">
        <w:t xml:space="preserve">from 2016 to 2024 </w:t>
      </w:r>
      <w:r w:rsidRPr="00997F82">
        <w:t xml:space="preserve">was </w:t>
      </w:r>
      <w:r w:rsidR="0093321D" w:rsidRPr="00997F82">
        <w:t xml:space="preserve">also </w:t>
      </w:r>
      <w:r w:rsidR="00557463" w:rsidRPr="00997F82">
        <w:t>accessed</w:t>
      </w:r>
      <w:r w:rsidR="0093321D" w:rsidRPr="00997F82">
        <w:t xml:space="preserve">. </w:t>
      </w:r>
      <w:r w:rsidR="00F32E04" w:rsidRPr="00997F82">
        <w:t xml:space="preserve">A customised request was submitted to obtain </w:t>
      </w:r>
      <w:r w:rsidR="001C2733" w:rsidRPr="00997F82">
        <w:t xml:space="preserve">the following </w:t>
      </w:r>
      <w:r w:rsidR="00F32E04" w:rsidRPr="00997F82">
        <w:t xml:space="preserve">data </w:t>
      </w:r>
      <w:r w:rsidR="001C2733" w:rsidRPr="00997F82">
        <w:t xml:space="preserve">to assess </w:t>
      </w:r>
      <w:r w:rsidR="0039096F" w:rsidRPr="00997F82">
        <w:t>palliative outcomes in the home and the community:</w:t>
      </w:r>
    </w:p>
    <w:p w14:paraId="56E4ED29" w14:textId="7873C56F" w:rsidR="0039096F" w:rsidRPr="00997F82" w:rsidRDefault="0039096F" w:rsidP="00B20C7C">
      <w:pPr>
        <w:pStyle w:val="ListBullet"/>
      </w:pPr>
      <w:r w:rsidRPr="00997F82">
        <w:t>Duration between a patient’s first palliative care episode and their recorded date of death</w:t>
      </w:r>
      <w:r w:rsidR="003E6EC6" w:rsidRPr="00997F82">
        <w:t>.</w:t>
      </w:r>
    </w:p>
    <w:p w14:paraId="625B875F" w14:textId="6633E28A" w:rsidR="003E6EC6" w:rsidRPr="00997F82" w:rsidRDefault="007F7B27" w:rsidP="00B20C7C">
      <w:pPr>
        <w:pStyle w:val="ListBullet"/>
      </w:pPr>
      <w:r w:rsidRPr="00997F82">
        <w:t>Australia-modified Karnofsky Performance Status (AKPS) at first episode, by patient setting.</w:t>
      </w:r>
    </w:p>
    <w:p w14:paraId="1C11B2D8" w14:textId="0C513EE6" w:rsidR="007F7B27" w:rsidRPr="00997F82" w:rsidRDefault="007F7B27" w:rsidP="00B20C7C">
      <w:pPr>
        <w:pStyle w:val="ListBullet"/>
      </w:pPr>
      <w:r w:rsidRPr="00997F82">
        <w:t>Volume and duration of palliative care by referral source.</w:t>
      </w:r>
    </w:p>
    <w:p w14:paraId="0D6CED52" w14:textId="3DEAC58F" w:rsidR="00521F75" w:rsidRPr="00997F82" w:rsidRDefault="00337151" w:rsidP="00521F75">
      <w:r w:rsidRPr="00997F82">
        <w:t>Similarly</w:t>
      </w:r>
      <w:r w:rsidR="00521F75" w:rsidRPr="00997F82">
        <w:t xml:space="preserve">, </w:t>
      </w:r>
      <w:r w:rsidR="005B4949" w:rsidRPr="00997F82">
        <w:t xml:space="preserve">there were no observable changes to </w:t>
      </w:r>
      <w:r w:rsidR="00C5462F" w:rsidRPr="00997F82">
        <w:t xml:space="preserve">these indicators that would suggest Program impact. </w:t>
      </w:r>
      <w:r w:rsidR="001D31CD" w:rsidRPr="00997F82">
        <w:t>It remains to be seen whether, a</w:t>
      </w:r>
      <w:r w:rsidR="000B3CD8" w:rsidRPr="00997F82">
        <w:t xml:space="preserve">s the Program continues, and more recent data becomes available, </w:t>
      </w:r>
      <w:r w:rsidR="004C3299" w:rsidRPr="00997F82">
        <w:t xml:space="preserve">changes </w:t>
      </w:r>
      <w:r w:rsidR="00363E3B" w:rsidRPr="00997F82">
        <w:t>can</w:t>
      </w:r>
      <w:r w:rsidR="004C3299" w:rsidRPr="00997F82">
        <w:t xml:space="preserve"> be detected</w:t>
      </w:r>
      <w:r w:rsidRPr="00997F82">
        <w:t xml:space="preserve"> at a system level.</w:t>
      </w:r>
    </w:p>
    <w:p w14:paraId="24BE644C" w14:textId="00444DFC" w:rsidR="004C3299" w:rsidRPr="00997F82" w:rsidRDefault="004C3299" w:rsidP="00521F75">
      <w:r w:rsidRPr="00997F82">
        <w:t xml:space="preserve">While it has not been possible to detect </w:t>
      </w:r>
      <w:r w:rsidR="002E568A" w:rsidRPr="00997F82">
        <w:t xml:space="preserve">impact of PHN activities using system-level datasets, </w:t>
      </w:r>
      <w:r w:rsidR="00344B54" w:rsidRPr="00997F82">
        <w:t>data collected by PHNs at the activity level demonstrates there has been</w:t>
      </w:r>
      <w:r w:rsidR="00CD4997" w:rsidRPr="00997F82">
        <w:t>, or is likely to be,</w:t>
      </w:r>
      <w:r w:rsidR="00344B54" w:rsidRPr="00997F82">
        <w:t xml:space="preserve"> </w:t>
      </w:r>
      <w:r w:rsidR="005414A2" w:rsidRPr="00997F82">
        <w:t>impact.</w:t>
      </w:r>
    </w:p>
    <w:p w14:paraId="62541057" w14:textId="02BD256C" w:rsidR="002837E1" w:rsidRPr="00997F82" w:rsidRDefault="00840363" w:rsidP="002837E1">
      <w:r w:rsidRPr="00997F82">
        <w:t xml:space="preserve">The </w:t>
      </w:r>
      <w:r w:rsidR="001D2237" w:rsidRPr="00997F82">
        <w:t xml:space="preserve">ADA used by </w:t>
      </w:r>
      <w:r w:rsidRPr="00997F82">
        <w:t xml:space="preserve">PHNs undertaking </w:t>
      </w:r>
      <w:r w:rsidR="00C57BF0" w:rsidRPr="00997F82">
        <w:t>q</w:t>
      </w:r>
      <w:r w:rsidRPr="00997F82">
        <w:t xml:space="preserve">uality </w:t>
      </w:r>
      <w:r w:rsidR="00C57BF0" w:rsidRPr="00997F82">
        <w:t>i</w:t>
      </w:r>
      <w:r w:rsidRPr="00997F82">
        <w:t xml:space="preserve">mprovement </w:t>
      </w:r>
      <w:r w:rsidR="00C57BF0" w:rsidRPr="00997F82">
        <w:t xml:space="preserve">activities </w:t>
      </w:r>
      <w:r w:rsidRPr="00997F82">
        <w:t xml:space="preserve">with GPs </w:t>
      </w:r>
      <w:r w:rsidR="00337151" w:rsidRPr="00997F82">
        <w:t>was analysed to</w:t>
      </w:r>
      <w:r w:rsidRPr="00997F82">
        <w:t xml:space="preserve"> determine if </w:t>
      </w:r>
      <w:r w:rsidR="00337151" w:rsidRPr="00997F82">
        <w:t>GP</w:t>
      </w:r>
      <w:r w:rsidRPr="00997F82">
        <w:t xml:space="preserve"> awareness and capability improve</w:t>
      </w:r>
      <w:r w:rsidR="00337151" w:rsidRPr="00997F82">
        <w:t>d</w:t>
      </w:r>
      <w:r w:rsidRPr="00997F82">
        <w:t xml:space="preserve"> with respect to individuals eligible for</w:t>
      </w:r>
      <w:r w:rsidR="00D623DC" w:rsidRPr="00997F82">
        <w:t xml:space="preserve"> </w:t>
      </w:r>
      <w:r w:rsidRPr="00997F82">
        <w:t xml:space="preserve">palliative care. </w:t>
      </w:r>
      <w:r w:rsidR="00F91020" w:rsidRPr="00997F82">
        <w:t xml:space="preserve">ADAs are conducted on a small sample of </w:t>
      </w:r>
      <w:r w:rsidR="00395F76" w:rsidRPr="00997F82">
        <w:t>cases</w:t>
      </w:r>
      <w:r w:rsidR="008C2AE9" w:rsidRPr="00997F82">
        <w:t xml:space="preserve"> identified within a practice who </w:t>
      </w:r>
      <w:r w:rsidR="0090327B" w:rsidRPr="00997F82">
        <w:t xml:space="preserve">would have been eligible for palliative care to assess whether they were </w:t>
      </w:r>
      <w:r w:rsidR="00705D4D" w:rsidRPr="00997F82">
        <w:t>identified and</w:t>
      </w:r>
      <w:r w:rsidR="0090327B" w:rsidRPr="00997F82">
        <w:t xml:space="preserve"> received palliative care that met their needs and preferences. </w:t>
      </w:r>
      <w:r w:rsidR="00614E79" w:rsidRPr="00997F82">
        <w:t xml:space="preserve">Results from ADAs </w:t>
      </w:r>
      <w:r w:rsidR="002837E1" w:rsidRPr="00997F82">
        <w:t xml:space="preserve">indicated that ACP preferences were taken into consideration during end-of-life care in 62% of cases (n=112/180) </w:t>
      </w:r>
      <w:r w:rsidR="00CE320A" w:rsidRPr="00997F82">
        <w:t xml:space="preserve">which </w:t>
      </w:r>
      <w:r w:rsidR="002837E1" w:rsidRPr="00997F82">
        <w:t xml:space="preserve">was </w:t>
      </w:r>
      <w:r w:rsidR="00FE1CF0" w:rsidRPr="00997F82">
        <w:t>sub</w:t>
      </w:r>
      <w:r w:rsidR="002E11B0" w:rsidRPr="00997F82">
        <w:t>s</w:t>
      </w:r>
      <w:r w:rsidR="00FE1CF0" w:rsidRPr="00997F82">
        <w:t xml:space="preserve">equently </w:t>
      </w:r>
      <w:r w:rsidR="002837E1" w:rsidRPr="00997F82">
        <w:t xml:space="preserve">documented in an ACP </w:t>
      </w:r>
      <w:r w:rsidR="00374003" w:rsidRPr="00997F82">
        <w:t xml:space="preserve">for </w:t>
      </w:r>
      <w:r w:rsidR="002837E1" w:rsidRPr="00997F82">
        <w:t>55%</w:t>
      </w:r>
      <w:r w:rsidR="00374003" w:rsidRPr="00997F82">
        <w:t xml:space="preserve"> of cases,</w:t>
      </w:r>
      <w:r w:rsidR="002837E1" w:rsidRPr="00997F82">
        <w:t xml:space="preserve"> or an enduring power of attorney </w:t>
      </w:r>
      <w:r w:rsidR="00374003" w:rsidRPr="00997F82">
        <w:t xml:space="preserve">for </w:t>
      </w:r>
      <w:r w:rsidR="002837E1" w:rsidRPr="00997F82">
        <w:t>4</w:t>
      </w:r>
      <w:r w:rsidR="00374003" w:rsidRPr="00997F82">
        <w:t>3</w:t>
      </w:r>
      <w:r w:rsidR="002837E1" w:rsidRPr="00997F82">
        <w:t>%</w:t>
      </w:r>
      <w:r w:rsidR="00374003" w:rsidRPr="00997F82">
        <w:t xml:space="preserve"> of cases</w:t>
      </w:r>
      <w:r w:rsidR="002837E1" w:rsidRPr="00997F82">
        <w:t xml:space="preserve">.  </w:t>
      </w:r>
      <w:r w:rsidR="00DA4286" w:rsidRPr="00997F82">
        <w:t xml:space="preserve">For those who </w:t>
      </w:r>
      <w:r w:rsidR="00474AAF" w:rsidRPr="00997F82">
        <w:t xml:space="preserve">stated a preference, </w:t>
      </w:r>
      <w:r w:rsidR="00D5773F" w:rsidRPr="00997F82">
        <w:t xml:space="preserve">most preferred to die at </w:t>
      </w:r>
      <w:r w:rsidR="002837E1" w:rsidRPr="00997F82">
        <w:t xml:space="preserve">home or </w:t>
      </w:r>
      <w:r w:rsidR="00D5773F" w:rsidRPr="00997F82">
        <w:t xml:space="preserve">in </w:t>
      </w:r>
      <w:r w:rsidR="00093D6A" w:rsidRPr="00997F82">
        <w:t xml:space="preserve">a </w:t>
      </w:r>
      <w:r w:rsidR="002837E1" w:rsidRPr="00997F82">
        <w:t>RACH</w:t>
      </w:r>
      <w:r w:rsidR="00093D6A" w:rsidRPr="00997F82">
        <w:t xml:space="preserve"> (</w:t>
      </w:r>
      <w:r w:rsidR="00B76537" w:rsidRPr="00997F82">
        <w:fldChar w:fldCharType="begin"/>
      </w:r>
      <w:r w:rsidR="00B76537" w:rsidRPr="00997F82">
        <w:instrText xml:space="preserve"> REF _Ref202785457 \h  \* MERGEFORMAT </w:instrText>
      </w:r>
      <w:r w:rsidR="00B76537" w:rsidRPr="00997F82">
        <w:fldChar w:fldCharType="separate"/>
      </w:r>
      <w:r w:rsidR="00735424" w:rsidRPr="00997F82">
        <w:t xml:space="preserve">Figure </w:t>
      </w:r>
      <w:r w:rsidR="00735424">
        <w:t>11</w:t>
      </w:r>
      <w:r w:rsidR="00B76537" w:rsidRPr="00997F82">
        <w:fldChar w:fldCharType="end"/>
      </w:r>
      <w:r w:rsidR="00093D6A" w:rsidRPr="00997F82">
        <w:t>)</w:t>
      </w:r>
      <w:r w:rsidR="002837E1" w:rsidRPr="00997F82">
        <w:t>.</w:t>
      </w:r>
    </w:p>
    <w:p w14:paraId="4E03B82A" w14:textId="4EE1272D" w:rsidR="002837E1" w:rsidRPr="00997F82" w:rsidRDefault="002837E1" w:rsidP="00277D66">
      <w:pPr>
        <w:pStyle w:val="Caption"/>
      </w:pPr>
      <w:bookmarkStart w:id="57" w:name="_Ref202785457"/>
      <w:r w:rsidRPr="00997F82">
        <w:t xml:space="preserve">Figure </w:t>
      </w:r>
      <w:r w:rsidR="006558E4" w:rsidRPr="00997F82">
        <w:fldChar w:fldCharType="begin"/>
      </w:r>
      <w:r w:rsidR="006558E4" w:rsidRPr="00997F82">
        <w:instrText xml:space="preserve"> SEQ Figure \* ARABIC </w:instrText>
      </w:r>
      <w:r w:rsidR="006558E4" w:rsidRPr="00997F82">
        <w:fldChar w:fldCharType="separate"/>
      </w:r>
      <w:r w:rsidR="00735424">
        <w:rPr>
          <w:noProof/>
        </w:rPr>
        <w:t>11</w:t>
      </w:r>
      <w:r w:rsidR="006558E4" w:rsidRPr="00997F82">
        <w:fldChar w:fldCharType="end"/>
      </w:r>
      <w:bookmarkEnd w:id="57"/>
      <w:r w:rsidRPr="00997F82">
        <w:t>: Patients documented preferred place of dying as assessed by After Death Audit.</w:t>
      </w:r>
    </w:p>
    <w:p w14:paraId="7FBD05EF" w14:textId="7D180CFA" w:rsidR="002837E1" w:rsidRPr="00997F82" w:rsidRDefault="00531E47" w:rsidP="002837E1">
      <w:pPr>
        <w:rPr>
          <w:rFonts w:ascii="Times New Roman" w:eastAsia="Times New Roman" w:hAnsi="Times New Roman" w:cs="Times New Roman"/>
          <w:color w:val="auto"/>
          <w:sz w:val="24"/>
          <w:szCs w:val="24"/>
          <w:lang w:eastAsia="en-AU"/>
        </w:rPr>
      </w:pPr>
      <w:r w:rsidRPr="00997F82">
        <w:rPr>
          <w:noProof/>
          <w:shd w:val="clear" w:color="auto" w:fill="D9D9D9" w:themeFill="background1" w:themeFillShade="D9"/>
        </w:rPr>
        <w:drawing>
          <wp:inline distT="0" distB="0" distL="0" distR="0" wp14:anchorId="5B07323D" wp14:editId="5A51B881">
            <wp:extent cx="5712031" cy="2280062"/>
            <wp:effectExtent l="0" t="0" r="3175" b="6350"/>
            <wp:docPr id="1651143026" name="Chart 1" descr="Figure 11 is a bar chart showing patients' documented preferred place of death, where documented, as indicated in After Death Audit (n=169).&#10;&#10;The preferred places of death are:&#10;&#10;Home: 27%&#10;&#10;Hospital: 9%&#10;&#10;Residential Aged Care Facility: 24%&#10;&#10;Other: 1%&#10;&#10;Unknown: 39%">
              <a:extLst xmlns:a="http://schemas.openxmlformats.org/drawingml/2006/main">
                <a:ext uri="{FF2B5EF4-FFF2-40B4-BE49-F238E27FC236}">
                  <a16:creationId xmlns:a16="http://schemas.microsoft.com/office/drawing/2014/main" id="{C8DA60DD-30FF-24AC-4340-C45D937E94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93744A7" w14:textId="532574DF" w:rsidR="002837E1" w:rsidRPr="00997F82" w:rsidRDefault="00872F14" w:rsidP="002837E1">
      <w:r w:rsidRPr="00997F82">
        <w:t>T</w:t>
      </w:r>
      <w:r w:rsidR="002837E1" w:rsidRPr="00997F82">
        <w:t xml:space="preserve">he ADA data </w:t>
      </w:r>
      <w:r w:rsidR="000E7D33" w:rsidRPr="00997F82">
        <w:t xml:space="preserve">shows that </w:t>
      </w:r>
      <w:r w:rsidR="00CC0201" w:rsidRPr="00997F82">
        <w:t xml:space="preserve">60% </w:t>
      </w:r>
      <w:r w:rsidR="00A6694F" w:rsidRPr="00997F82">
        <w:t xml:space="preserve">of people were referred to specialist palliative care. Of those who were referred, </w:t>
      </w:r>
      <w:r w:rsidR="00A11FAB" w:rsidRPr="00997F82">
        <w:t xml:space="preserve">only </w:t>
      </w:r>
      <w:r w:rsidR="002837E1" w:rsidRPr="00997F82">
        <w:t xml:space="preserve">31% </w:t>
      </w:r>
      <w:r w:rsidR="00A11FAB" w:rsidRPr="00997F82">
        <w:t xml:space="preserve">were </w:t>
      </w:r>
      <w:r w:rsidR="002837E1" w:rsidRPr="00997F82">
        <w:t xml:space="preserve">referred early in their </w:t>
      </w:r>
      <w:r w:rsidR="00FE1CF0" w:rsidRPr="00997F82">
        <w:t xml:space="preserve">symptom </w:t>
      </w:r>
      <w:r w:rsidR="002837E1" w:rsidRPr="00997F82">
        <w:t>progression (</w:t>
      </w:r>
      <w:r w:rsidR="002837E1" w:rsidRPr="00997F82">
        <w:fldChar w:fldCharType="begin"/>
      </w:r>
      <w:r w:rsidR="002837E1" w:rsidRPr="00997F82">
        <w:instrText xml:space="preserve"> REF _Ref202441507 \h  \* MERGEFORMAT </w:instrText>
      </w:r>
      <w:r w:rsidR="002837E1" w:rsidRPr="00997F82">
        <w:fldChar w:fldCharType="separate"/>
      </w:r>
      <w:r w:rsidR="00735424" w:rsidRPr="00997F82">
        <w:t xml:space="preserve">Figure </w:t>
      </w:r>
      <w:r w:rsidR="00735424">
        <w:t>12</w:t>
      </w:r>
      <w:r w:rsidR="002837E1" w:rsidRPr="00997F82">
        <w:fldChar w:fldCharType="end"/>
      </w:r>
      <w:r w:rsidR="002837E1" w:rsidRPr="00997F82">
        <w:t xml:space="preserve">). </w:t>
      </w:r>
      <w:r w:rsidR="008C6532" w:rsidRPr="00997F82">
        <w:t xml:space="preserve">In some </w:t>
      </w:r>
      <w:r w:rsidR="00ED2077" w:rsidRPr="00997F82">
        <w:t>instances,</w:t>
      </w:r>
      <w:r w:rsidR="008C6532" w:rsidRPr="00997F82">
        <w:t xml:space="preserve"> </w:t>
      </w:r>
      <w:r w:rsidR="002837E1" w:rsidRPr="00997F82">
        <w:t>progression may have been rapid (&lt; 3months), however</w:t>
      </w:r>
      <w:r w:rsidR="007B6A7D" w:rsidRPr="00997F82">
        <w:t>,</w:t>
      </w:r>
      <w:r w:rsidR="002837E1" w:rsidRPr="00997F82">
        <w:t xml:space="preserve"> the</w:t>
      </w:r>
      <w:r w:rsidR="000F4D35" w:rsidRPr="00997F82">
        <w:t xml:space="preserve"> large proportion suggests </w:t>
      </w:r>
      <w:r w:rsidR="002837E1" w:rsidRPr="00997F82">
        <w:t xml:space="preserve">that discussions with patients about care planning </w:t>
      </w:r>
      <w:r w:rsidR="00FE1CF0" w:rsidRPr="00997F82">
        <w:t xml:space="preserve">were </w:t>
      </w:r>
      <w:r w:rsidR="00ED2077" w:rsidRPr="00997F82">
        <w:t>not occurring early enough</w:t>
      </w:r>
      <w:r w:rsidR="002837E1" w:rsidRPr="00997F82">
        <w:t>.</w:t>
      </w:r>
    </w:p>
    <w:p w14:paraId="2851781C" w14:textId="2AD7F3DB" w:rsidR="002837E1" w:rsidRPr="00997F82" w:rsidRDefault="002837E1" w:rsidP="00277D66">
      <w:pPr>
        <w:pStyle w:val="Caption"/>
      </w:pPr>
      <w:bookmarkStart w:id="58" w:name="_Ref202441507"/>
      <w:r w:rsidRPr="00997F82">
        <w:t xml:space="preserve">Figure </w:t>
      </w:r>
      <w:r w:rsidR="006558E4" w:rsidRPr="00997F82">
        <w:fldChar w:fldCharType="begin"/>
      </w:r>
      <w:r w:rsidR="006558E4" w:rsidRPr="00997F82">
        <w:instrText xml:space="preserve"> SEQ Figure \* ARABIC </w:instrText>
      </w:r>
      <w:r w:rsidR="006558E4" w:rsidRPr="00997F82">
        <w:fldChar w:fldCharType="separate"/>
      </w:r>
      <w:r w:rsidR="00735424">
        <w:rPr>
          <w:noProof/>
        </w:rPr>
        <w:t>12</w:t>
      </w:r>
      <w:r w:rsidR="006558E4" w:rsidRPr="00997F82">
        <w:fldChar w:fldCharType="end"/>
      </w:r>
      <w:bookmarkEnd w:id="58"/>
      <w:r w:rsidRPr="00997F82">
        <w:t>: Timeliness of referral to S</w:t>
      </w:r>
      <w:r w:rsidR="00EA7031" w:rsidRPr="00997F82">
        <w:t xml:space="preserve">pecialist </w:t>
      </w:r>
      <w:r w:rsidRPr="00997F82">
        <w:t>P</w:t>
      </w:r>
      <w:r w:rsidR="00EA7031" w:rsidRPr="00997F82">
        <w:t xml:space="preserve">alliative </w:t>
      </w:r>
      <w:r w:rsidRPr="00997F82">
        <w:t>C</w:t>
      </w:r>
      <w:r w:rsidR="00EA7031" w:rsidRPr="00997F82">
        <w:t>are</w:t>
      </w:r>
      <w:r w:rsidRPr="00997F82">
        <w:t xml:space="preserve"> as assessed by After Death Audit.</w:t>
      </w:r>
    </w:p>
    <w:p w14:paraId="509885BB" w14:textId="77777777" w:rsidR="001F6FFE" w:rsidRPr="00997F82" w:rsidRDefault="00161C1F" w:rsidP="00705D4D">
      <w:pPr>
        <w:jc w:val="center"/>
      </w:pPr>
      <w:r w:rsidRPr="00997F82">
        <w:rPr>
          <w:noProof/>
        </w:rPr>
        <w:drawing>
          <wp:inline distT="0" distB="0" distL="0" distR="0" wp14:anchorId="777BB316" wp14:editId="22B1F2A4">
            <wp:extent cx="3975100" cy="2137410"/>
            <wp:effectExtent l="0" t="0" r="6350" b="0"/>
            <wp:docPr id="904747938" name="Chart 1" descr="Figure 12 is a bar chart displaying the timeliness of referral to Specialist Palliative Care, as assessed by After Death Audit (n=176). The question asked was: 'If yes, was the patient registered with this service for at least 3 months before death?'&#10;&#10;The responses are:&#10;&#10;N/A: 59%&#10;&#10;No: 22%&#10;&#10;Yes: 19%">
              <a:extLst xmlns:a="http://schemas.openxmlformats.org/drawingml/2006/main">
                <a:ext uri="{FF2B5EF4-FFF2-40B4-BE49-F238E27FC236}">
                  <a16:creationId xmlns:a16="http://schemas.microsoft.com/office/drawing/2014/main" id="{8EB1EF84-F631-DD11-F7E6-279173474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035FA8B" w14:textId="759AD98A" w:rsidR="00FE1CF0" w:rsidRPr="00997F82" w:rsidRDefault="00FE1CF0" w:rsidP="001F6FFE">
      <w:r w:rsidRPr="00997F82">
        <w:t xml:space="preserve">Further examples of how PHN level data indicates impact are described below. </w:t>
      </w:r>
    </w:p>
    <w:p w14:paraId="28EF972C" w14:textId="6A3AE800" w:rsidR="00F953F0" w:rsidRPr="00997F82" w:rsidRDefault="000D61A4" w:rsidP="00C2584A">
      <w:r w:rsidRPr="00997F82">
        <w:t xml:space="preserve">EMPHN, NWMPHN and SEMPHN collaborated to produce an interactive </w:t>
      </w:r>
      <w:r w:rsidR="00F12361" w:rsidRPr="00997F82">
        <w:t xml:space="preserve">online </w:t>
      </w:r>
      <w:r w:rsidRPr="00997F82">
        <w:t xml:space="preserve">map of community pharmacies in the region </w:t>
      </w:r>
      <w:r w:rsidR="00F12361" w:rsidRPr="00997F82">
        <w:t xml:space="preserve">that </w:t>
      </w:r>
      <w:r w:rsidRPr="00997F82">
        <w:t xml:space="preserve">stock </w:t>
      </w:r>
      <w:r w:rsidR="003563FB" w:rsidRPr="00997F82">
        <w:t xml:space="preserve">medications on </w:t>
      </w:r>
      <w:r w:rsidRPr="00997F82">
        <w:t>the palliative C</w:t>
      </w:r>
      <w:r w:rsidR="000D57F6" w:rsidRPr="00997F82">
        <w:t xml:space="preserve">ore </w:t>
      </w:r>
      <w:r w:rsidRPr="00997F82">
        <w:t>M</w:t>
      </w:r>
      <w:r w:rsidR="000D57F6" w:rsidRPr="00997F82">
        <w:t xml:space="preserve">edicines </w:t>
      </w:r>
      <w:r w:rsidRPr="00997F82">
        <w:t>L</w:t>
      </w:r>
      <w:r w:rsidR="000D57F6" w:rsidRPr="00997F82">
        <w:t>ist (</w:t>
      </w:r>
      <w:r w:rsidRPr="00997F82">
        <w:t>CML</w:t>
      </w:r>
      <w:r w:rsidR="000D57F6" w:rsidRPr="00997F82">
        <w:t>)</w:t>
      </w:r>
      <w:r w:rsidRPr="00997F82">
        <w:t>.</w:t>
      </w:r>
      <w:r w:rsidR="000D57F6" w:rsidRPr="00997F82">
        <w:t xml:space="preserve"> </w:t>
      </w:r>
      <w:r w:rsidR="003213B1" w:rsidRPr="00997F82">
        <w:t>Access</w:t>
      </w:r>
      <w:r w:rsidR="008B6A0F" w:rsidRPr="00997F82">
        <w:t xml:space="preserve"> to </w:t>
      </w:r>
      <w:r w:rsidR="00F12361" w:rsidRPr="00997F82">
        <w:t xml:space="preserve">these medications </w:t>
      </w:r>
      <w:r w:rsidR="008B6A0F" w:rsidRPr="00997F82">
        <w:t>assist</w:t>
      </w:r>
      <w:r w:rsidR="00F12361" w:rsidRPr="00997F82">
        <w:t>s</w:t>
      </w:r>
      <w:r w:rsidR="008B6A0F" w:rsidRPr="00997F82">
        <w:t xml:space="preserve"> with </w:t>
      </w:r>
      <w:r w:rsidR="00B14452" w:rsidRPr="00997F82">
        <w:t xml:space="preserve">symptoms commonly seen during </w:t>
      </w:r>
      <w:r w:rsidR="000C70F1" w:rsidRPr="00997F82">
        <w:t>terminal phase (</w:t>
      </w:r>
      <w:r w:rsidR="008B6A0F" w:rsidRPr="00997F82">
        <w:t>pain</w:t>
      </w:r>
      <w:r w:rsidR="00F70993" w:rsidRPr="00997F82">
        <w:t>, deli</w:t>
      </w:r>
      <w:r w:rsidR="000401B4" w:rsidRPr="00997F82">
        <w:t xml:space="preserve">rium, nausea, </w:t>
      </w:r>
      <w:proofErr w:type="spellStart"/>
      <w:r w:rsidR="00995A37" w:rsidRPr="00997F82">
        <w:t>dyspnea</w:t>
      </w:r>
      <w:proofErr w:type="spellEnd"/>
      <w:r w:rsidR="000401B4" w:rsidRPr="00997F82">
        <w:t>,</w:t>
      </w:r>
      <w:r w:rsidR="00995A37" w:rsidRPr="00997F82">
        <w:t xml:space="preserve"> and noisy breathing</w:t>
      </w:r>
      <w:r w:rsidR="003213B1" w:rsidRPr="00997F82">
        <w:t>)</w:t>
      </w:r>
      <w:r w:rsidR="000D57F6" w:rsidRPr="00997F82">
        <w:t>. T</w:t>
      </w:r>
      <w:r w:rsidR="00CD7B6F" w:rsidRPr="00997F82">
        <w:t xml:space="preserve">imely access to medication </w:t>
      </w:r>
      <w:r w:rsidR="0056268E" w:rsidRPr="00997F82">
        <w:t>on the CML</w:t>
      </w:r>
      <w:r w:rsidR="00EE6C35" w:rsidRPr="00997F82">
        <w:t xml:space="preserve"> </w:t>
      </w:r>
      <w:r w:rsidR="00751FED" w:rsidRPr="00997F82">
        <w:t>reduc</w:t>
      </w:r>
      <w:r w:rsidR="00FE1CF0" w:rsidRPr="00997F82">
        <w:t>es</w:t>
      </w:r>
      <w:r w:rsidR="00751FED" w:rsidRPr="00997F82">
        <w:t xml:space="preserve"> </w:t>
      </w:r>
      <w:r w:rsidR="00041EB0" w:rsidRPr="00997F82">
        <w:t xml:space="preserve">the </w:t>
      </w:r>
      <w:r w:rsidR="00751FED" w:rsidRPr="00997F82">
        <w:t xml:space="preserve">likelihood of </w:t>
      </w:r>
      <w:r w:rsidR="001006D3" w:rsidRPr="00997F82">
        <w:t xml:space="preserve">having to attend hospital </w:t>
      </w:r>
      <w:r w:rsidR="00607BBC" w:rsidRPr="00997F82">
        <w:t>for symptom control</w:t>
      </w:r>
      <w:r w:rsidR="00614228" w:rsidRPr="00997F82">
        <w:t>.</w:t>
      </w:r>
      <w:r w:rsidR="00970351" w:rsidRPr="00997F82">
        <w:t xml:space="preserve"> </w:t>
      </w:r>
      <w:r w:rsidR="007C3D5F" w:rsidRPr="00997F82">
        <w:t xml:space="preserve">Primary users of the list were community members, pharmacists and other health professionals. </w:t>
      </w:r>
      <w:r w:rsidR="00946645" w:rsidRPr="00997F82">
        <w:t xml:space="preserve">Since going ‘live’ </w:t>
      </w:r>
      <w:r w:rsidR="00D059ED" w:rsidRPr="00997F82">
        <w:t xml:space="preserve">there have been </w:t>
      </w:r>
      <w:r w:rsidR="008E005F" w:rsidRPr="00997F82">
        <w:t xml:space="preserve">17,500 views of the online interactive map with </w:t>
      </w:r>
      <w:r w:rsidR="00F07B83" w:rsidRPr="00997F82">
        <w:t>more than 1,500 of those views coming in the 6-month period from October 2024 to April 202</w:t>
      </w:r>
      <w:r w:rsidR="002830AE" w:rsidRPr="00997F82">
        <w:t xml:space="preserve">5. </w:t>
      </w:r>
      <w:r w:rsidR="00FE1CF0" w:rsidRPr="00997F82">
        <w:t>I</w:t>
      </w:r>
      <w:r w:rsidR="001E7554" w:rsidRPr="00997F82">
        <w:t xml:space="preserve">ncreased use of the interactive map and improved access to palliative care medicines </w:t>
      </w:r>
      <w:r w:rsidR="004E11FD" w:rsidRPr="00997F82">
        <w:t xml:space="preserve">should enable </w:t>
      </w:r>
      <w:r w:rsidR="00FE1CF0" w:rsidRPr="00997F82">
        <w:t xml:space="preserve">better </w:t>
      </w:r>
      <w:r w:rsidR="004E11FD" w:rsidRPr="00997F82">
        <w:t xml:space="preserve">palliative care at home and in the </w:t>
      </w:r>
      <w:r w:rsidR="00FE1CF0" w:rsidRPr="00997F82">
        <w:t>community and</w:t>
      </w:r>
      <w:r w:rsidR="004E11FD" w:rsidRPr="00997F82">
        <w:t xml:space="preserve"> </w:t>
      </w:r>
      <w:r w:rsidR="00FE1CF0" w:rsidRPr="00997F82">
        <w:t xml:space="preserve">thus, in theory, </w:t>
      </w:r>
      <w:r w:rsidR="004E11FD" w:rsidRPr="00997F82">
        <w:t xml:space="preserve">reduce hospitalisations. </w:t>
      </w:r>
    </w:p>
    <w:p w14:paraId="4EF7C1C9" w14:textId="1DEFF8A3" w:rsidR="00E72582" w:rsidRPr="00997F82" w:rsidRDefault="004E5709" w:rsidP="00E72582">
      <w:r w:rsidRPr="00997F82">
        <w:t xml:space="preserve">ACTPHN’s </w:t>
      </w:r>
      <w:r w:rsidR="00EF7FE8" w:rsidRPr="00997F82">
        <w:t xml:space="preserve">pilot study of the </w:t>
      </w:r>
      <w:r w:rsidRPr="00997F82">
        <w:t>Breathlessness Intervention Service (ABIS) is another</w:t>
      </w:r>
      <w:r w:rsidR="00E72582" w:rsidRPr="00997F82">
        <w:t xml:space="preserve"> example</w:t>
      </w:r>
      <w:r w:rsidR="00FE1CF0" w:rsidRPr="00997F82">
        <w:t xml:space="preserve">. </w:t>
      </w:r>
      <w:r w:rsidR="00CE6F97" w:rsidRPr="00997F82">
        <w:t>T</w:t>
      </w:r>
      <w:r w:rsidR="00E72582" w:rsidRPr="00997F82">
        <w:t xml:space="preserve">he number of ambulance call outs </w:t>
      </w:r>
      <w:r w:rsidR="00006EC2" w:rsidRPr="00997F82">
        <w:t xml:space="preserve">to people receiving the </w:t>
      </w:r>
      <w:r w:rsidR="00764B1A" w:rsidRPr="00997F82">
        <w:t xml:space="preserve">service </w:t>
      </w:r>
      <w:r w:rsidR="00FE1CF0" w:rsidRPr="00997F82">
        <w:t>indicated</w:t>
      </w:r>
      <w:r w:rsidR="00764B1A" w:rsidRPr="00997F82">
        <w:t xml:space="preserve"> </w:t>
      </w:r>
      <w:r w:rsidR="00E72582" w:rsidRPr="00997F82">
        <w:t xml:space="preserve">that </w:t>
      </w:r>
      <w:r w:rsidR="00E960C1" w:rsidRPr="00997F82">
        <w:t xml:space="preserve">most </w:t>
      </w:r>
      <w:r w:rsidR="00E72582" w:rsidRPr="00997F82">
        <w:t>patients in the intervention cohort were being treated in the home</w:t>
      </w:r>
      <w:r w:rsidR="00371506" w:rsidRPr="00997F82">
        <w:t xml:space="preserve">, or where able to </w:t>
      </w:r>
      <w:r w:rsidR="00E33DF0" w:rsidRPr="00997F82">
        <w:t>self-manage</w:t>
      </w:r>
      <w:r w:rsidR="00E72582" w:rsidRPr="00997F82">
        <w:t xml:space="preserve"> without subsequent transfer to hospital. This demonstrates a link between the ABIS approach and protocols resulting in patients being managed in the home or community without requiring hospital admission.</w:t>
      </w:r>
    </w:p>
    <w:p w14:paraId="78F21229" w14:textId="1416D7E3" w:rsidR="00BE612E" w:rsidRPr="00997F82" w:rsidRDefault="00FE1CF0" w:rsidP="00BE612E">
      <w:r w:rsidRPr="00997F82">
        <w:t>Similarly, HNECC</w:t>
      </w:r>
      <w:r w:rsidR="00BE612E" w:rsidRPr="00997F82">
        <w:t>PHN coordinated syringe driver</w:t>
      </w:r>
      <w:r w:rsidR="00AF3DED" w:rsidRPr="00997F82">
        <w:t>s and</w:t>
      </w:r>
      <w:r w:rsidR="00BE612E" w:rsidRPr="00997F82">
        <w:t xml:space="preserve"> training for nursing staff in RACHs. The training was well received by participants with over 95% of participants providing feedback that the use of the syringe driver in the end-of-life pathway resulted in improved overall symptom management and care of residents. </w:t>
      </w:r>
      <w:r w:rsidR="006208C6" w:rsidRPr="00997F82">
        <w:t xml:space="preserve">95% </w:t>
      </w:r>
      <w:r w:rsidR="00D62D3E" w:rsidRPr="00997F82">
        <w:t>of p</w:t>
      </w:r>
      <w:r w:rsidR="00BE612E" w:rsidRPr="00997F82">
        <w:t xml:space="preserve">articipants </w:t>
      </w:r>
      <w:r w:rsidR="00D2535A" w:rsidRPr="00997F82">
        <w:t xml:space="preserve">also </w:t>
      </w:r>
      <w:r w:rsidR="00BE612E" w:rsidRPr="00997F82">
        <w:t>agreed that the use of the syringe driver at end</w:t>
      </w:r>
      <w:r w:rsidR="00DA0199" w:rsidRPr="00997F82">
        <w:t>-</w:t>
      </w:r>
      <w:r w:rsidR="00BE612E" w:rsidRPr="00997F82">
        <w:t>of</w:t>
      </w:r>
      <w:r w:rsidR="00DA0199" w:rsidRPr="00997F82">
        <w:t>-</w:t>
      </w:r>
      <w:r w:rsidR="00BE612E" w:rsidRPr="00997F82">
        <w:t>life had reduced the likelihood of hospitalisations for symptom management of residents.</w:t>
      </w:r>
    </w:p>
    <w:p w14:paraId="497B0E68" w14:textId="77777777" w:rsidR="006F0D7A" w:rsidRPr="00997F82" w:rsidRDefault="006F0D7A" w:rsidP="00B20C7C">
      <w:pPr>
        <w:pStyle w:val="Heading3"/>
      </w:pPr>
      <w:r w:rsidRPr="00997F82">
        <w:t>Implications</w:t>
      </w:r>
    </w:p>
    <w:p w14:paraId="612AF6C4" w14:textId="37376243" w:rsidR="006F0D7A" w:rsidRPr="00997F82" w:rsidRDefault="00FB1BE8" w:rsidP="007770F3">
      <w:pPr>
        <w:pStyle w:val="ListBullet"/>
      </w:pPr>
      <w:r w:rsidRPr="00997F82">
        <w:t>A</w:t>
      </w:r>
      <w:r w:rsidR="007744D1" w:rsidRPr="00997F82">
        <w:t>t the activity level, there is evidence of impact</w:t>
      </w:r>
      <w:r w:rsidR="003E0238" w:rsidRPr="00997F82">
        <w:t xml:space="preserve"> with PHNs undertaking activities that better enable appropriate care at home and in the community, and therefore likely to reduce</w:t>
      </w:r>
      <w:r w:rsidR="00E74FDB" w:rsidRPr="00997F82">
        <w:t xml:space="preserve"> preventable hospitalisations. </w:t>
      </w:r>
      <w:r w:rsidR="003862D1" w:rsidRPr="00997F82">
        <w:t>This includes a</w:t>
      </w:r>
      <w:r w:rsidR="00BF3FD3" w:rsidRPr="00997F82">
        <w:t xml:space="preserve">ctivities </w:t>
      </w:r>
      <w:r w:rsidR="006F0D7A" w:rsidRPr="00997F82">
        <w:t xml:space="preserve">such as the syringe driver project, </w:t>
      </w:r>
      <w:r w:rsidR="000212AE" w:rsidRPr="00997F82">
        <w:t>Breathlessness Intervention</w:t>
      </w:r>
      <w:r w:rsidR="00377511" w:rsidRPr="00997F82">
        <w:t xml:space="preserve"> Service</w:t>
      </w:r>
      <w:r w:rsidR="006F0D7A" w:rsidRPr="00997F82">
        <w:t xml:space="preserve">, and </w:t>
      </w:r>
      <w:r w:rsidR="00BF3FD3" w:rsidRPr="00997F82">
        <w:t>map</w:t>
      </w:r>
      <w:r w:rsidR="00142BC6" w:rsidRPr="00997F82">
        <w:t>ping</w:t>
      </w:r>
      <w:r w:rsidR="00BF3FD3" w:rsidRPr="00997F82">
        <w:t xml:space="preserve"> community pharmacies that stock medications on the palliative Core Medicines List</w:t>
      </w:r>
      <w:r w:rsidR="004A05A1" w:rsidRPr="00997F82">
        <w:t>.</w:t>
      </w:r>
      <w:r w:rsidR="00BF3FD3" w:rsidRPr="00997F82">
        <w:t xml:space="preserve"> </w:t>
      </w:r>
    </w:p>
    <w:p w14:paraId="1E7E7D65" w14:textId="65703AE4" w:rsidR="000E6A8B" w:rsidRPr="00997F82" w:rsidRDefault="00FE1CF0" w:rsidP="007770F3">
      <w:pPr>
        <w:pStyle w:val="ListBullet"/>
      </w:pPr>
      <w:r w:rsidRPr="00997F82">
        <w:t>M</w:t>
      </w:r>
      <w:r w:rsidR="00155E3E" w:rsidRPr="00997F82">
        <w:t xml:space="preserve">easuring impact of these activities, and demonstrating a causal link, remains a challenge. </w:t>
      </w:r>
      <w:r w:rsidR="001858B4" w:rsidRPr="00997F82">
        <w:t>I</w:t>
      </w:r>
      <w:r w:rsidR="00EE0AA3" w:rsidRPr="00997F82">
        <w:t xml:space="preserve">n future, </w:t>
      </w:r>
      <w:r w:rsidR="002E78FC" w:rsidRPr="00997F82">
        <w:t xml:space="preserve">there are other methods </w:t>
      </w:r>
      <w:r w:rsidR="002425A5" w:rsidRPr="00997F82">
        <w:t>to accurately</w:t>
      </w:r>
      <w:r w:rsidR="00EE0AA3" w:rsidRPr="00997F82">
        <w:t xml:space="preserve"> determine the level of reduced hospitalisations</w:t>
      </w:r>
      <w:r w:rsidR="002E78FC" w:rsidRPr="00997F82">
        <w:t xml:space="preserve">. This could be directly measured through sampling in GPs, where practice level data could allow us to observe differences between people identified for palliative care in practices engaging in the Program compared to those that have not. There could also be an opportunity to further explore whether PCOC data could enable greater tracking of </w:t>
      </w:r>
      <w:r w:rsidR="002425A5" w:rsidRPr="00997F82">
        <w:t>patient access and journey from inpatient to community services.</w:t>
      </w:r>
      <w:r w:rsidR="00327C31" w:rsidRPr="00997F82">
        <w:t xml:space="preserve"> Data sharing agreements with GPs and specialist palliative care services could strengthen this in the first instance.</w:t>
      </w:r>
    </w:p>
    <w:p w14:paraId="40789090" w14:textId="638D1D6F" w:rsidR="00CB5380" w:rsidRPr="00997F82" w:rsidRDefault="00853F08" w:rsidP="007770F3">
      <w:pPr>
        <w:pStyle w:val="ListBullet"/>
      </w:pPr>
      <w:r w:rsidRPr="00997F82">
        <w:t>It should be noted that limitations to observing system level changes include</w:t>
      </w:r>
      <w:r w:rsidR="00CB5380" w:rsidRPr="00997F82">
        <w:t xml:space="preserve"> </w:t>
      </w:r>
      <w:r w:rsidR="00857F59" w:rsidRPr="00997F82">
        <w:t xml:space="preserve">the </w:t>
      </w:r>
      <w:r w:rsidRPr="00997F82">
        <w:t>limited</w:t>
      </w:r>
      <w:r w:rsidR="00CB5380" w:rsidRPr="00997F82">
        <w:t xml:space="preserve"> time for PHN activities to have had a measurable impact</w:t>
      </w:r>
      <w:r w:rsidR="00857F59" w:rsidRPr="00997F82">
        <w:t xml:space="preserve"> and the</w:t>
      </w:r>
      <w:r w:rsidR="00CB5380" w:rsidRPr="00997F82">
        <w:t xml:space="preserve"> size and scale of PHN activities to generate sufficient impact at a system, or even regional, level.</w:t>
      </w:r>
    </w:p>
    <w:p w14:paraId="687A0847" w14:textId="6EC1AEBB" w:rsidR="00141CDE" w:rsidRPr="00997F82" w:rsidRDefault="00141CDE" w:rsidP="002B2E0C">
      <w:pPr>
        <w:ind w:left="360"/>
      </w:pPr>
      <w:r w:rsidRPr="00997F82">
        <w:br w:type="page"/>
      </w:r>
    </w:p>
    <w:p w14:paraId="38B0DD3A" w14:textId="05844340" w:rsidR="00E61779" w:rsidRPr="00997F82" w:rsidRDefault="00E816BD" w:rsidP="00277D66">
      <w:pPr>
        <w:pStyle w:val="Heading1"/>
      </w:pPr>
      <w:bookmarkStart w:id="59" w:name="_Toc226898037"/>
      <w:bookmarkStart w:id="60" w:name="_Toc231898088"/>
      <w:r w:rsidRPr="00997F82">
        <w:t>Health Equity</w:t>
      </w:r>
      <w:bookmarkEnd w:id="59"/>
      <w:bookmarkEnd w:id="60"/>
    </w:p>
    <w:p w14:paraId="36D72967" w14:textId="68928A4F" w:rsidR="00647976" w:rsidRPr="00997F82" w:rsidRDefault="00137515" w:rsidP="00277D66">
      <w:pPr>
        <w:pStyle w:val="Heading2"/>
      </w:pPr>
      <w:bookmarkStart w:id="61" w:name="_Ref202459381"/>
      <w:r w:rsidRPr="00997F82">
        <w:t>To what extent has the Program improved access to palliative care at home and in the community? </w:t>
      </w:r>
      <w:bookmarkEnd w:id="61"/>
    </w:p>
    <w:tbl>
      <w:tblPr>
        <w:tblStyle w:val="IMSTable"/>
        <w:tblW w:w="0" w:type="auto"/>
        <w:tblLook w:val="04A0" w:firstRow="1" w:lastRow="0" w:firstColumn="1" w:lastColumn="0" w:noHBand="0" w:noVBand="1"/>
      </w:tblPr>
      <w:tblGrid>
        <w:gridCol w:w="9016"/>
      </w:tblGrid>
      <w:tr w:rsidR="0065110B" w:rsidRPr="00997F82" w14:paraId="44C7E072" w14:textId="77777777" w:rsidTr="00F13251">
        <w:trPr>
          <w:cnfStyle w:val="100000000000" w:firstRow="1" w:lastRow="0" w:firstColumn="0" w:lastColumn="0" w:oddVBand="0" w:evenVBand="0" w:oddHBand="0" w:evenHBand="0" w:firstRowFirstColumn="0" w:firstRowLastColumn="0" w:lastRowFirstColumn="0" w:lastRowLastColumn="0"/>
          <w:tblHeader/>
        </w:trPr>
        <w:tc>
          <w:tcPr>
            <w:tcW w:w="9016" w:type="dxa"/>
          </w:tcPr>
          <w:p w14:paraId="1F4F6AFB" w14:textId="77777777" w:rsidR="0065110B" w:rsidRPr="00FC7384" w:rsidRDefault="0065110B" w:rsidP="00FC7384">
            <w:r w:rsidRPr="00997F82">
              <w:t>Key finding</w:t>
            </w:r>
          </w:p>
        </w:tc>
      </w:tr>
      <w:tr w:rsidR="0065110B" w:rsidRPr="00997F82" w14:paraId="18F2D473" w14:textId="77777777" w:rsidTr="00F13251">
        <w:tc>
          <w:tcPr>
            <w:tcW w:w="9016" w:type="dxa"/>
          </w:tcPr>
          <w:p w14:paraId="42FA5745" w14:textId="2F756CA9" w:rsidR="0065110B" w:rsidRPr="00997F82" w:rsidRDefault="0065110B" w:rsidP="002D0111">
            <w:pPr>
              <w:shd w:val="clear" w:color="auto" w:fill="FDF1E6" w:themeFill="accent5" w:themeFillTint="33"/>
            </w:pPr>
            <w:r w:rsidRPr="00997F82">
              <w:t xml:space="preserve">Current data limitations make it difficult to assess whether there has been improved access to care at home and in the community, including for priority populations. While activity-level data and evidence </w:t>
            </w:r>
            <w:r w:rsidR="001F6FFE" w:rsidRPr="00997F82">
              <w:t>show</w:t>
            </w:r>
            <w:r w:rsidRPr="00997F82">
              <w:t xml:space="preserve"> that some PHNs are conducting activities that would enable this outcome, this is only a small proportion of total PHNs.</w:t>
            </w:r>
          </w:p>
        </w:tc>
      </w:tr>
    </w:tbl>
    <w:p w14:paraId="5DACA15A" w14:textId="3DE0F599" w:rsidR="00763A9C" w:rsidRPr="00997F82" w:rsidRDefault="00EE2FFC" w:rsidP="007770F3">
      <w:pPr>
        <w:pStyle w:val="Heading3"/>
      </w:pPr>
      <w:r w:rsidRPr="00997F82">
        <w:t>Background</w:t>
      </w:r>
    </w:p>
    <w:p w14:paraId="0F45BFF5" w14:textId="79CBAA92" w:rsidR="006B1D86" w:rsidRPr="00997F82" w:rsidRDefault="006B1D86" w:rsidP="006B1D86">
      <w:r w:rsidRPr="00997F82">
        <w:t>Significant barriers to accessing appropriate palliative care are especially exacerbated for people from underserved populations.</w:t>
      </w:r>
      <w:r w:rsidRPr="00997F82">
        <w:rPr>
          <w:rStyle w:val="FootnoteReference"/>
        </w:rPr>
        <w:t xml:space="preserve"> </w:t>
      </w:r>
      <w:r w:rsidRPr="00997F82">
        <w:rPr>
          <w:rStyle w:val="FootnoteReference"/>
        </w:rPr>
        <w:footnoteReference w:id="60"/>
      </w:r>
      <w:r w:rsidRPr="00997F82">
        <w:t xml:space="preserve"> This could be because of cultural stigma and comfort in discussing death and dying, limited awareness of palliative care services, cultural and language barriers, mistrust of health services, increased social isolation, and other financial or geographic constraints.</w:t>
      </w:r>
    </w:p>
    <w:p w14:paraId="5043E5F5" w14:textId="3879874F" w:rsidR="006B1D86" w:rsidRPr="00997F82" w:rsidRDefault="0077650C" w:rsidP="006B1D86">
      <w:r w:rsidRPr="00997F82">
        <w:t>Providing culturally appropriate and equitable palliative care can include practices that are beyond the means, time and knowledge of service providers</w:t>
      </w:r>
      <w:r w:rsidR="00200CCC" w:rsidRPr="00997F82">
        <w:t xml:space="preserve">. </w:t>
      </w:r>
      <w:r w:rsidR="006B1D86" w:rsidRPr="00997F82">
        <w:t>In response, PHNs implemented a range of activities aimed at improving access to palliative care at home and in the community. These activities spanned all five program categories and were designed to support more equitable access. Many PHNs also undertook targeted initiatives to improve access for priority populations.</w:t>
      </w:r>
    </w:p>
    <w:p w14:paraId="07395088" w14:textId="4D2AD039" w:rsidR="00B55D8E" w:rsidRPr="00997F82" w:rsidRDefault="00B55D8E" w:rsidP="007770F3">
      <w:pPr>
        <w:pStyle w:val="Heading3"/>
      </w:pPr>
      <w:r w:rsidRPr="00997F82">
        <w:t>Findings</w:t>
      </w:r>
    </w:p>
    <w:p w14:paraId="6604D038" w14:textId="564B0BE8" w:rsidR="002B65FE" w:rsidRPr="00997F82" w:rsidRDefault="00A951AB" w:rsidP="00793FEA">
      <w:r w:rsidRPr="00997F82">
        <w:t xml:space="preserve">The set of indicators </w:t>
      </w:r>
      <w:r w:rsidR="00F51019" w:rsidRPr="00997F82">
        <w:t xml:space="preserve">described </w:t>
      </w:r>
      <w:r w:rsidR="0077650C" w:rsidRPr="00997F82">
        <w:t>previously</w:t>
      </w:r>
      <w:r w:rsidR="00F51019" w:rsidRPr="00997F82">
        <w:t xml:space="preserve"> from AIHW </w:t>
      </w:r>
      <w:r w:rsidR="000D386B" w:rsidRPr="00997F82">
        <w:t>c</w:t>
      </w:r>
      <w:r w:rsidR="0077650C" w:rsidRPr="00997F82">
        <w:t xml:space="preserve">ould </w:t>
      </w:r>
      <w:r w:rsidR="002B65FE" w:rsidRPr="00997F82">
        <w:t xml:space="preserve">be used </w:t>
      </w:r>
      <w:r w:rsidR="00A45CDE" w:rsidRPr="00997F82">
        <w:t xml:space="preserve">to monitor </w:t>
      </w:r>
      <w:r w:rsidR="0077650C" w:rsidRPr="00997F82">
        <w:t xml:space="preserve">to </w:t>
      </w:r>
      <w:r w:rsidR="00DB2F8A" w:rsidRPr="00997F82">
        <w:t xml:space="preserve">what extent </w:t>
      </w:r>
      <w:r w:rsidR="007254C2" w:rsidRPr="00997F82">
        <w:t xml:space="preserve">access to palliative care at home and in the community </w:t>
      </w:r>
      <w:r w:rsidR="00DB2F8A" w:rsidRPr="00997F82">
        <w:t>is equitable</w:t>
      </w:r>
      <w:r w:rsidR="00654B8E" w:rsidRPr="00997F82">
        <w:t xml:space="preserve">. </w:t>
      </w:r>
      <w:r w:rsidR="009A3351" w:rsidRPr="00997F82">
        <w:t xml:space="preserve">However, as discussed in Section </w:t>
      </w:r>
      <w:r w:rsidR="009A3351" w:rsidRPr="00997F82">
        <w:fldChar w:fldCharType="begin"/>
      </w:r>
      <w:r w:rsidR="009A3351" w:rsidRPr="00997F82">
        <w:instrText xml:space="preserve"> REF _Ref202714523 \r \h  \* MERGEFORMAT </w:instrText>
      </w:r>
      <w:r w:rsidR="009A3351" w:rsidRPr="00997F82">
        <w:fldChar w:fldCharType="separate"/>
      </w:r>
      <w:r w:rsidR="00735424">
        <w:t>6.3</w:t>
      </w:r>
      <w:r w:rsidR="009A3351" w:rsidRPr="00997F82">
        <w:fldChar w:fldCharType="end"/>
      </w:r>
      <w:r w:rsidR="008371BA" w:rsidRPr="00997F82">
        <w:t xml:space="preserve">, these indicators </w:t>
      </w:r>
      <w:r w:rsidR="00003717" w:rsidRPr="00997F82">
        <w:t>will require longer term monitoring</w:t>
      </w:r>
      <w:r w:rsidR="00311921" w:rsidRPr="00997F82">
        <w:t xml:space="preserve"> and </w:t>
      </w:r>
      <w:r w:rsidR="0077650C" w:rsidRPr="00997F82">
        <w:t>do not currently</w:t>
      </w:r>
      <w:r w:rsidR="00311921" w:rsidRPr="00997F82">
        <w:t xml:space="preserve"> illustrate any change</w:t>
      </w:r>
      <w:r w:rsidR="00CA1350" w:rsidRPr="00997F82">
        <w:t xml:space="preserve"> given the size and scale of PHN activities. In addition, several of these indicators </w:t>
      </w:r>
      <w:r w:rsidR="002A2CA7" w:rsidRPr="00997F82">
        <w:t xml:space="preserve">may </w:t>
      </w:r>
      <w:r w:rsidR="00CA1350" w:rsidRPr="00997F82">
        <w:t xml:space="preserve">not </w:t>
      </w:r>
      <w:r w:rsidR="00CF0C60" w:rsidRPr="00997F82">
        <w:t xml:space="preserve">be </w:t>
      </w:r>
      <w:r w:rsidR="002A2CA7" w:rsidRPr="00997F82">
        <w:t xml:space="preserve">available </w:t>
      </w:r>
      <w:r w:rsidR="00CF0C60" w:rsidRPr="00997F82">
        <w:t>by priority population groups.</w:t>
      </w:r>
    </w:p>
    <w:p w14:paraId="20688E10" w14:textId="252EA1EA" w:rsidR="00C946EA" w:rsidRPr="00997F82" w:rsidRDefault="0077650C" w:rsidP="00803130">
      <w:pPr>
        <w:rPr>
          <w:color w:val="auto"/>
        </w:rPr>
      </w:pPr>
      <w:r w:rsidRPr="00997F82">
        <w:t>T</w:t>
      </w:r>
      <w:r w:rsidR="008A0B65" w:rsidRPr="00997F82">
        <w:t>he</w:t>
      </w:r>
      <w:r w:rsidR="00D84853" w:rsidRPr="00997F82">
        <w:t xml:space="preserve">re are </w:t>
      </w:r>
      <w:r w:rsidR="008A0B65" w:rsidRPr="00997F82">
        <w:t>indicators</w:t>
      </w:r>
      <w:r w:rsidR="00D84853" w:rsidRPr="00997F82">
        <w:t xml:space="preserve"> available as part of the PCOC dataset that could be used to assess </w:t>
      </w:r>
      <w:r w:rsidR="00A77003" w:rsidRPr="00997F82">
        <w:t>equity of access to palliative care at home and in the community</w:t>
      </w:r>
      <w:r w:rsidRPr="00997F82">
        <w:t xml:space="preserve">, including by socio-economic status, CALD status, by place of birth and first language, and by country of birth. </w:t>
      </w:r>
      <w:r w:rsidR="00EE1261" w:rsidRPr="00997F82">
        <w:t xml:space="preserve">While the PCOC data includes the period </w:t>
      </w:r>
      <w:r w:rsidR="00595E68" w:rsidRPr="00997F82">
        <w:t xml:space="preserve">from 2016 to 2024 </w:t>
      </w:r>
      <w:r w:rsidRPr="00997F82">
        <w:t>(</w:t>
      </w:r>
      <w:r w:rsidR="00595E68" w:rsidRPr="00997F82">
        <w:t>i.e. at least one year of data post commencement of PHN activities</w:t>
      </w:r>
      <w:r w:rsidRPr="00997F82">
        <w:t>)</w:t>
      </w:r>
      <w:r w:rsidR="00595E68" w:rsidRPr="00997F82">
        <w:t xml:space="preserve"> it is too early to determine if there are any </w:t>
      </w:r>
      <w:r w:rsidR="00E131FC" w:rsidRPr="00997F82">
        <w:t>changes that could be associated with PHN activities</w:t>
      </w:r>
      <w:r w:rsidRPr="00997F82">
        <w:t xml:space="preserve"> and there were no significant changes observed.</w:t>
      </w:r>
    </w:p>
    <w:p w14:paraId="6F70A7DE" w14:textId="6A843CB8" w:rsidR="00AC7021" w:rsidRPr="00997F82" w:rsidRDefault="0077650C" w:rsidP="00280DF5">
      <w:r w:rsidRPr="00997F82">
        <w:t>However,</w:t>
      </w:r>
      <w:r w:rsidR="00280DF5" w:rsidRPr="00997F82">
        <w:t xml:space="preserve"> PHN</w:t>
      </w:r>
      <w:r w:rsidRPr="00997F82">
        <w:t xml:space="preserve"> examples </w:t>
      </w:r>
      <w:r w:rsidR="00280DF5" w:rsidRPr="00997F82">
        <w:t xml:space="preserve">at the activity level </w:t>
      </w:r>
      <w:r w:rsidRPr="00997F82">
        <w:t xml:space="preserve">highlights </w:t>
      </w:r>
      <w:r w:rsidR="00F13282" w:rsidRPr="00997F82">
        <w:t xml:space="preserve">a greater focus on </w:t>
      </w:r>
      <w:r w:rsidR="00077DA3" w:rsidRPr="00997F82">
        <w:t xml:space="preserve">making information more accessible for </w:t>
      </w:r>
      <w:r w:rsidRPr="00997F82">
        <w:t>unserved populations and identified populations of need.</w:t>
      </w:r>
      <w:r w:rsidR="00280DF5" w:rsidRPr="00997F82">
        <w:t xml:space="preserve"> </w:t>
      </w:r>
    </w:p>
    <w:p w14:paraId="70A74CF4" w14:textId="3F882429" w:rsidR="001C21B5" w:rsidRPr="00997F82" w:rsidRDefault="001C21B5" w:rsidP="00280DF5">
      <w:r w:rsidRPr="00997F82">
        <w:t>PHNs noted in consultations that they have been able to use this program as an opportunity to normalise conversations about death and dying and advance</w:t>
      </w:r>
      <w:r w:rsidR="00C430CB" w:rsidRPr="00997F82">
        <w:t xml:space="preserve"> </w:t>
      </w:r>
      <w:r w:rsidRPr="00997F82">
        <w:t xml:space="preserve">care planning with a range of people and communities. One PHN </w:t>
      </w:r>
      <w:r w:rsidR="000A2C57" w:rsidRPr="00997F82">
        <w:t xml:space="preserve">officer </w:t>
      </w:r>
      <w:r w:rsidRPr="00997F82">
        <w:t xml:space="preserve">stated they </w:t>
      </w:r>
      <w:r w:rsidR="008117E7" w:rsidRPr="00997F82">
        <w:t xml:space="preserve">find they </w:t>
      </w:r>
      <w:r w:rsidR="000A2C57" w:rsidRPr="00997F82">
        <w:t>can</w:t>
      </w:r>
      <w:r w:rsidR="008117E7" w:rsidRPr="00997F82">
        <w:t xml:space="preserve"> share what is available in their local area </w:t>
      </w:r>
      <w:r w:rsidR="000A2C57" w:rsidRPr="00997F82">
        <w:t xml:space="preserve">almost </w:t>
      </w:r>
      <w:r w:rsidR="008117E7" w:rsidRPr="00997F82">
        <w:t>every time they talk to someone in their local community.</w:t>
      </w:r>
      <w:r w:rsidR="000A2C57" w:rsidRPr="00997F82">
        <w:rPr>
          <w:rStyle w:val="FootnoteReference"/>
        </w:rPr>
        <w:footnoteReference w:id="61"/>
      </w:r>
    </w:p>
    <w:p w14:paraId="690D97F5" w14:textId="173D7409" w:rsidR="006B2906" w:rsidRPr="00997F82" w:rsidRDefault="000A2C57" w:rsidP="00B9358D">
      <w:r w:rsidRPr="00997F82">
        <w:t>There is also evidence of impact as part of specific activities.</w:t>
      </w:r>
      <w:r w:rsidR="00F85E89" w:rsidRPr="00997F82">
        <w:t xml:space="preserve"> WAPHA </w:t>
      </w:r>
      <w:r w:rsidR="000B2A8C" w:rsidRPr="00997F82">
        <w:t xml:space="preserve">undertook </w:t>
      </w:r>
      <w:r w:rsidR="00CD45AD" w:rsidRPr="00997F82">
        <w:t>a project focused on</w:t>
      </w:r>
      <w:r w:rsidR="00184EBA" w:rsidRPr="00997F82">
        <w:t xml:space="preserve"> people with sensory loss to access palliative care. This included </w:t>
      </w:r>
      <w:r w:rsidR="00F85E89" w:rsidRPr="00997F82">
        <w:t xml:space="preserve">a professional development workshop for AUSLAN interpreters in Western Australia </w:t>
      </w:r>
      <w:r w:rsidR="005C4986" w:rsidRPr="00997F82">
        <w:t xml:space="preserve">to explore </w:t>
      </w:r>
      <w:r w:rsidR="0061326F" w:rsidRPr="00997F82">
        <w:t>a</w:t>
      </w:r>
      <w:r w:rsidR="005C4986" w:rsidRPr="00997F82">
        <w:t xml:space="preserve">dvance </w:t>
      </w:r>
      <w:r w:rsidR="0061326F" w:rsidRPr="00997F82">
        <w:t>c</w:t>
      </w:r>
      <w:r w:rsidR="005C4986" w:rsidRPr="00997F82">
        <w:t xml:space="preserve">are </w:t>
      </w:r>
      <w:r w:rsidR="0061326F" w:rsidRPr="00997F82">
        <w:t>p</w:t>
      </w:r>
      <w:r w:rsidR="005C4986" w:rsidRPr="00997F82">
        <w:t xml:space="preserve">lanning, palliative </w:t>
      </w:r>
      <w:r w:rsidR="0077650C" w:rsidRPr="00997F82">
        <w:t xml:space="preserve">care </w:t>
      </w:r>
      <w:r w:rsidR="005C4986" w:rsidRPr="00997F82">
        <w:t xml:space="preserve">documentation and decision making, and </w:t>
      </w:r>
      <w:r w:rsidR="0061326F" w:rsidRPr="00997F82">
        <w:t>v</w:t>
      </w:r>
      <w:r w:rsidR="005C4986" w:rsidRPr="00997F82">
        <w:t xml:space="preserve">oluntary </w:t>
      </w:r>
      <w:r w:rsidR="0061326F" w:rsidRPr="00997F82">
        <w:t>a</w:t>
      </w:r>
      <w:r w:rsidR="005C4986" w:rsidRPr="00997F82">
        <w:t xml:space="preserve">ssisted </w:t>
      </w:r>
      <w:r w:rsidR="0061326F" w:rsidRPr="00997F82">
        <w:t>d</w:t>
      </w:r>
      <w:r w:rsidR="005C4986" w:rsidRPr="00997F82">
        <w:t xml:space="preserve">ying. </w:t>
      </w:r>
    </w:p>
    <w:p w14:paraId="1B847C85" w14:textId="5E2D0D25" w:rsidR="004474C6" w:rsidRPr="00997F82" w:rsidRDefault="006B2906" w:rsidP="00B9358D">
      <w:r w:rsidRPr="00997F82">
        <w:t>Similarly,</w:t>
      </w:r>
      <w:r w:rsidR="00F13282" w:rsidRPr="00997F82">
        <w:t xml:space="preserve"> C</w:t>
      </w:r>
      <w:r w:rsidR="00A26376" w:rsidRPr="00997F82">
        <w:t>S</w:t>
      </w:r>
      <w:r w:rsidR="00F13282" w:rsidRPr="00997F82">
        <w:t xml:space="preserve">APHN </w:t>
      </w:r>
      <w:r w:rsidR="0077650C" w:rsidRPr="00997F82">
        <w:t xml:space="preserve">collated and shared </w:t>
      </w:r>
      <w:r w:rsidR="00F13282" w:rsidRPr="00997F82">
        <w:t xml:space="preserve">culturally appropriate information bundles on ACP, </w:t>
      </w:r>
      <w:r w:rsidR="0077650C" w:rsidRPr="00997F82">
        <w:t>p</w:t>
      </w:r>
      <w:r w:rsidR="00F13282" w:rsidRPr="00997F82">
        <w:t xml:space="preserve">alliative </w:t>
      </w:r>
      <w:r w:rsidR="0077650C" w:rsidRPr="00997F82">
        <w:t>c</w:t>
      </w:r>
      <w:r w:rsidR="00F13282" w:rsidRPr="00997F82">
        <w:t xml:space="preserve">are and </w:t>
      </w:r>
      <w:r w:rsidR="0077650C" w:rsidRPr="00997F82">
        <w:t>e</w:t>
      </w:r>
      <w:r w:rsidR="00F13282" w:rsidRPr="00997F82">
        <w:t xml:space="preserve">nd of </w:t>
      </w:r>
      <w:r w:rsidR="0077650C" w:rsidRPr="00997F82">
        <w:t>l</w:t>
      </w:r>
      <w:r w:rsidR="00F13282" w:rsidRPr="00997F82">
        <w:t xml:space="preserve">ife </w:t>
      </w:r>
      <w:r w:rsidR="0077650C" w:rsidRPr="00997F82">
        <w:t>care for First Nations communities</w:t>
      </w:r>
      <w:r w:rsidR="00F13282" w:rsidRPr="00997F82">
        <w:t xml:space="preserve"> and have made them freely available on the digital </w:t>
      </w:r>
      <w:proofErr w:type="spellStart"/>
      <w:r w:rsidR="00F13282" w:rsidRPr="00997F82">
        <w:t>Go</w:t>
      </w:r>
      <w:r w:rsidR="007603A4" w:rsidRPr="00997F82">
        <w:t>S</w:t>
      </w:r>
      <w:r w:rsidR="00F13282" w:rsidRPr="00997F82">
        <w:t>hare</w:t>
      </w:r>
      <w:proofErr w:type="spellEnd"/>
      <w:r w:rsidR="00F13282" w:rsidRPr="00997F82">
        <w:t xml:space="preserve"> Plus platform. Four respected local South Australian </w:t>
      </w:r>
      <w:r w:rsidR="00E62501" w:rsidRPr="00997F82">
        <w:t>First Nation</w:t>
      </w:r>
      <w:r w:rsidR="00F13282" w:rsidRPr="00997F82">
        <w:t xml:space="preserve"> community </w:t>
      </w:r>
      <w:r w:rsidR="00886777" w:rsidRPr="00997F82">
        <w:t>E</w:t>
      </w:r>
      <w:r w:rsidR="0077650C" w:rsidRPr="00997F82">
        <w:t xml:space="preserve">lders </w:t>
      </w:r>
      <w:r w:rsidR="00F13282" w:rsidRPr="00997F82">
        <w:t xml:space="preserve">led communication on these subjects by way of pre-recorded videos, and CSAPHN continued to engage local </w:t>
      </w:r>
      <w:r w:rsidR="00E62501" w:rsidRPr="00997F82">
        <w:t>E</w:t>
      </w:r>
      <w:r w:rsidR="00F13282" w:rsidRPr="00997F82">
        <w:t>lders to record video message</w:t>
      </w:r>
      <w:r w:rsidR="00E62501" w:rsidRPr="00997F82">
        <w:t>s</w:t>
      </w:r>
      <w:r w:rsidR="00F13282" w:rsidRPr="00997F82">
        <w:t xml:space="preserve"> for the platform more broadly.</w:t>
      </w:r>
    </w:p>
    <w:p w14:paraId="2DC433C4" w14:textId="4BA10B0A" w:rsidR="00F77F28" w:rsidRPr="00997F82" w:rsidRDefault="00886777" w:rsidP="00B9358D">
      <w:r w:rsidRPr="00997F82">
        <w:t xml:space="preserve">Additionally, </w:t>
      </w:r>
      <w:r w:rsidR="00F77F28" w:rsidRPr="00997F82">
        <w:t xml:space="preserve">SWSPHN have also </w:t>
      </w:r>
      <w:r w:rsidR="00AE08EA" w:rsidRPr="00997F82">
        <w:t xml:space="preserve">launched a ‘Journey into Sorry Business’ booklet for </w:t>
      </w:r>
      <w:r w:rsidR="00B8794A" w:rsidRPr="00997F82">
        <w:t>First Nations</w:t>
      </w:r>
      <w:r w:rsidR="00AE08EA" w:rsidRPr="00997F82">
        <w:t xml:space="preserve"> peoples to understand preference for death, cultural practices and protocols associated with dying. This has been localised and tailored in other PHN regions, such as </w:t>
      </w:r>
      <w:r w:rsidR="009858FA" w:rsidRPr="00997F82">
        <w:t xml:space="preserve">by </w:t>
      </w:r>
      <w:r w:rsidR="00AE08EA" w:rsidRPr="00997F82">
        <w:t>Murray PHN</w:t>
      </w:r>
      <w:r w:rsidR="00044DAD" w:rsidRPr="00997F82">
        <w:t xml:space="preserve"> </w:t>
      </w:r>
      <w:r w:rsidR="009858FA" w:rsidRPr="00997F82">
        <w:t xml:space="preserve">to </w:t>
      </w:r>
      <w:r w:rsidR="00044DAD" w:rsidRPr="00997F82">
        <w:t xml:space="preserve">support </w:t>
      </w:r>
      <w:r w:rsidR="009858FA" w:rsidRPr="00997F82">
        <w:t>First Nations</w:t>
      </w:r>
      <w:r w:rsidR="00044DAD" w:rsidRPr="00997F82">
        <w:t xml:space="preserve"> communities in regional Victoria.</w:t>
      </w:r>
    </w:p>
    <w:p w14:paraId="3C919C78" w14:textId="77777777" w:rsidR="007770F3" w:rsidRDefault="007770F3" w:rsidP="007770F3">
      <w:pPr>
        <w:pStyle w:val="IntenseQuote"/>
      </w:pPr>
      <w:r>
        <w:t xml:space="preserve">“Increasing education and awareness at community level through the Palliative Caring Booklets, Sensory Loss Project and </w:t>
      </w:r>
      <w:proofErr w:type="spellStart"/>
      <w:r>
        <w:t>Linkwest</w:t>
      </w:r>
      <w:proofErr w:type="spellEnd"/>
      <w:r>
        <w:t xml:space="preserve"> project </w:t>
      </w:r>
      <w:proofErr w:type="gramStart"/>
      <w:r>
        <w:t>improves</w:t>
      </w:r>
      <w:proofErr w:type="gramEnd"/>
      <w:r>
        <w:t xml:space="preserve"> access through the increased knowledge and demystification of palliative care services in the community. This has been specifically seen in the Deaf and Deafblind </w:t>
      </w:r>
      <w:proofErr w:type="gramStart"/>
      <w:r>
        <w:t>communities</w:t>
      </w:r>
      <w:proofErr w:type="gramEnd"/>
      <w:r>
        <w:t xml:space="preserve"> in the Sensory Loss Project where community members had limited understanding of what Palliative Care meant and how it can support them.”</w:t>
      </w:r>
    </w:p>
    <w:p w14:paraId="0723D3D7" w14:textId="392C77C5" w:rsidR="00C47F57" w:rsidRPr="00997F82" w:rsidRDefault="007770F3" w:rsidP="007770F3">
      <w:pPr>
        <w:pStyle w:val="IntenseQuote"/>
      </w:pPr>
      <w:r>
        <w:t>- Service provider survey</w:t>
      </w:r>
    </w:p>
    <w:p w14:paraId="3856434B" w14:textId="3AF243CA" w:rsidR="008709ED" w:rsidRPr="00997F82" w:rsidRDefault="008709ED" w:rsidP="00647976">
      <w:r w:rsidRPr="00997F82">
        <w:t>In contrast, other PHNs noted that it is too early to prioritise meeting the needs of different community groups, as there are still challenges in the foundations of how palliative care is talked about</w:t>
      </w:r>
      <w:r w:rsidR="00700291" w:rsidRPr="00997F82">
        <w:t xml:space="preserve"> and delivered </w:t>
      </w:r>
      <w:r w:rsidR="00C836A3" w:rsidRPr="00997F82">
        <w:t>generally and therefore would be exacerbated for underserved communities</w:t>
      </w:r>
      <w:r w:rsidR="00700291" w:rsidRPr="00997F82">
        <w:t xml:space="preserve">. </w:t>
      </w:r>
      <w:r w:rsidR="000B5C06" w:rsidRPr="00997F82">
        <w:t>In</w:t>
      </w:r>
      <w:r w:rsidR="00700291" w:rsidRPr="00997F82">
        <w:t xml:space="preserve"> disability service</w:t>
      </w:r>
      <w:r w:rsidR="000B5C06" w:rsidRPr="00997F82">
        <w:t>s, one</w:t>
      </w:r>
      <w:r w:rsidR="00700291" w:rsidRPr="00997F82">
        <w:t xml:space="preserve"> provider agreed that palliative care</w:t>
      </w:r>
      <w:r w:rsidR="00700291" w:rsidRPr="00997F82" w:rsidDel="000B5C06">
        <w:t xml:space="preserve"> </w:t>
      </w:r>
      <w:r w:rsidR="00700291" w:rsidRPr="00997F82">
        <w:t xml:space="preserve">is </w:t>
      </w:r>
      <w:r w:rsidR="00C836A3" w:rsidRPr="00997F82">
        <w:t xml:space="preserve">being </w:t>
      </w:r>
      <w:r w:rsidR="00700291" w:rsidRPr="00997F82">
        <w:t xml:space="preserve">done </w:t>
      </w:r>
      <w:r w:rsidR="00C836A3" w:rsidRPr="00997F82">
        <w:t>poorly.</w:t>
      </w:r>
      <w:r w:rsidR="0053248C" w:rsidRPr="00997F82">
        <w:rPr>
          <w:rStyle w:val="FootnoteReference"/>
        </w:rPr>
        <w:footnoteReference w:id="62"/>
      </w:r>
      <w:r w:rsidR="0053248C" w:rsidRPr="00997F82">
        <w:t xml:space="preserve"> PHNs are aware and emphasise that work </w:t>
      </w:r>
      <w:proofErr w:type="gramStart"/>
      <w:r w:rsidR="0053248C" w:rsidRPr="00997F82">
        <w:t>has to</w:t>
      </w:r>
      <w:proofErr w:type="gramEnd"/>
      <w:r w:rsidR="0053248C" w:rsidRPr="00997F82">
        <w:t xml:space="preserve"> be done to find better metrics to see how things are changing for priority populations, and a key part of this is understanding progress and appropriateness in general practices.</w:t>
      </w:r>
      <w:r w:rsidR="0053248C" w:rsidRPr="00997F82">
        <w:rPr>
          <w:rStyle w:val="FootnoteReference"/>
        </w:rPr>
        <w:footnoteReference w:id="63"/>
      </w:r>
    </w:p>
    <w:p w14:paraId="56EE9549" w14:textId="0B1C4D9E" w:rsidR="004C3B45" w:rsidRPr="00997F82" w:rsidRDefault="00F41B87" w:rsidP="00647976">
      <w:pPr>
        <w:rPr>
          <w:b/>
          <w:bCs/>
        </w:rPr>
      </w:pPr>
      <w:r w:rsidRPr="00997F82">
        <w:rPr>
          <w:b/>
          <w:bCs/>
        </w:rPr>
        <w:t>Implications</w:t>
      </w:r>
    </w:p>
    <w:p w14:paraId="522778DE" w14:textId="121B7880" w:rsidR="00E54102" w:rsidRPr="00997F82" w:rsidRDefault="00B07046" w:rsidP="007770F3">
      <w:pPr>
        <w:pStyle w:val="ListBullet"/>
      </w:pPr>
      <w:r w:rsidRPr="00997F82">
        <w:t xml:space="preserve">While there may be </w:t>
      </w:r>
      <w:r w:rsidR="00124943" w:rsidRPr="00997F82">
        <w:t xml:space="preserve">data from AIHW and PCOC that can be used as </w:t>
      </w:r>
      <w:r w:rsidRPr="00997F82">
        <w:t>indic</w:t>
      </w:r>
      <w:r w:rsidR="0082186E" w:rsidRPr="00997F82">
        <w:t xml:space="preserve">ators </w:t>
      </w:r>
      <w:r w:rsidR="00124943" w:rsidRPr="00997F82">
        <w:t xml:space="preserve">to </w:t>
      </w:r>
      <w:r w:rsidR="0082186E" w:rsidRPr="00997F82">
        <w:t xml:space="preserve">monitor </w:t>
      </w:r>
      <w:r w:rsidR="00124943" w:rsidRPr="00997F82">
        <w:t xml:space="preserve">impact of PHN activities on improving equitable access to palliative care for priority populations </w:t>
      </w:r>
      <w:r w:rsidR="00FD6813" w:rsidRPr="00997F82">
        <w:t xml:space="preserve">at a system </w:t>
      </w:r>
      <w:r w:rsidR="00834BA2" w:rsidRPr="00997F82">
        <w:t>level,</w:t>
      </w:r>
      <w:r w:rsidR="005832CD" w:rsidRPr="00997F82">
        <w:t xml:space="preserve"> it is too early to detect any changes. </w:t>
      </w:r>
      <w:r w:rsidR="00886777" w:rsidRPr="00997F82">
        <w:t>T</w:t>
      </w:r>
      <w:r w:rsidR="00F71172" w:rsidRPr="00997F82">
        <w:t xml:space="preserve">he small scale impact </w:t>
      </w:r>
      <w:r w:rsidR="00886777" w:rsidRPr="00997F82">
        <w:t xml:space="preserve">of </w:t>
      </w:r>
      <w:r w:rsidR="001B2A8D" w:rsidRPr="00997F82">
        <w:t xml:space="preserve">PHN activities and </w:t>
      </w:r>
      <w:r w:rsidR="00886777" w:rsidRPr="00997F82">
        <w:t>the</w:t>
      </w:r>
      <w:r w:rsidR="001B2A8D" w:rsidRPr="00997F82">
        <w:t xml:space="preserve"> few activities</w:t>
      </w:r>
      <w:r w:rsidR="00E54102" w:rsidRPr="00997F82">
        <w:t xml:space="preserve"> undertaken by PHNs that focused on priority populations</w:t>
      </w:r>
      <w:r w:rsidR="00886777" w:rsidRPr="00997F82">
        <w:t xml:space="preserve"> would mean </w:t>
      </w:r>
      <w:r w:rsidR="001F7462" w:rsidRPr="00997F82">
        <w:t>these indicators may still not show observable changes in the future</w:t>
      </w:r>
      <w:r w:rsidR="00E54102" w:rsidRPr="00997F82">
        <w:t>.</w:t>
      </w:r>
    </w:p>
    <w:p w14:paraId="53A3EF5D" w14:textId="1DC138FD" w:rsidR="002B2E0C" w:rsidRPr="00997F82" w:rsidRDefault="00E54102" w:rsidP="007770F3">
      <w:pPr>
        <w:pStyle w:val="ListBullet"/>
      </w:pPr>
      <w:r w:rsidRPr="00997F82">
        <w:t>A</w:t>
      </w:r>
      <w:r w:rsidR="00356D92" w:rsidRPr="00997F82">
        <w:t xml:space="preserve">t the activity level, </w:t>
      </w:r>
      <w:r w:rsidR="001F7462" w:rsidRPr="00997F82">
        <w:t>there is</w:t>
      </w:r>
      <w:r w:rsidRPr="00997F82">
        <w:t xml:space="preserve"> </w:t>
      </w:r>
      <w:r w:rsidR="00356D92" w:rsidRPr="00997F82">
        <w:t xml:space="preserve">evidence of impact </w:t>
      </w:r>
      <w:r w:rsidR="001F7462" w:rsidRPr="00997F82">
        <w:t xml:space="preserve">in </w:t>
      </w:r>
      <w:r w:rsidR="00356D92" w:rsidRPr="00997F82">
        <w:t xml:space="preserve">PHNs activities </w:t>
      </w:r>
      <w:r w:rsidR="001F7462" w:rsidRPr="00997F82">
        <w:t xml:space="preserve">that </w:t>
      </w:r>
      <w:r w:rsidR="005857A9" w:rsidRPr="00997F82">
        <w:t>improve access to palliative care at home and in the community for priority populations</w:t>
      </w:r>
      <w:r w:rsidR="00EF09E1" w:rsidRPr="00997F82">
        <w:t xml:space="preserve">. </w:t>
      </w:r>
      <w:r w:rsidR="00356D92" w:rsidRPr="00997F82">
        <w:t>This includes activities such as</w:t>
      </w:r>
      <w:r w:rsidR="00077DA3" w:rsidRPr="00997F82">
        <w:t xml:space="preserve"> the Sensory Loss Project, </w:t>
      </w:r>
      <w:proofErr w:type="spellStart"/>
      <w:r w:rsidR="00077DA3" w:rsidRPr="00997F82">
        <w:t>GoShare</w:t>
      </w:r>
      <w:proofErr w:type="spellEnd"/>
      <w:r w:rsidR="00077DA3" w:rsidRPr="00997F82">
        <w:t xml:space="preserve"> communications and the </w:t>
      </w:r>
      <w:r w:rsidR="00F77F28" w:rsidRPr="00997F82">
        <w:t>Journey into Sorry Business Palliative Care booklet.</w:t>
      </w:r>
      <w:r w:rsidR="002B2E0C" w:rsidRPr="00997F82">
        <w:t xml:space="preserve"> </w:t>
      </w:r>
      <w:r w:rsidR="001F7462" w:rsidRPr="00997F82">
        <w:t>There</w:t>
      </w:r>
      <w:r w:rsidR="002B2E0C" w:rsidRPr="00997F82">
        <w:t xml:space="preserve"> are </w:t>
      </w:r>
      <w:r w:rsidR="001F7462" w:rsidRPr="00997F82">
        <w:t xml:space="preserve">also </w:t>
      </w:r>
      <w:r w:rsidR="002B2E0C" w:rsidRPr="00997F82">
        <w:t>projects which are focusing on targeting early referrals to palliative care in general practice, including for underserved populations.</w:t>
      </w:r>
    </w:p>
    <w:p w14:paraId="3B75C01B" w14:textId="2535255F" w:rsidR="006F0841" w:rsidRPr="00997F82" w:rsidRDefault="008419C4" w:rsidP="007770F3">
      <w:pPr>
        <w:pStyle w:val="ListBullet"/>
      </w:pPr>
      <w:r w:rsidRPr="00997F82">
        <w:t>However, t</w:t>
      </w:r>
      <w:r w:rsidR="008F7D29" w:rsidRPr="00997F82">
        <w:t xml:space="preserve">he </w:t>
      </w:r>
      <w:r w:rsidR="00524EB6" w:rsidRPr="00997F82">
        <w:t>limited number of activities</w:t>
      </w:r>
      <w:r w:rsidRPr="00997F82">
        <w:t xml:space="preserve"> </w:t>
      </w:r>
      <w:r w:rsidR="007229C6" w:rsidRPr="00997F82">
        <w:t xml:space="preserve">focused on improving </w:t>
      </w:r>
      <w:r w:rsidR="00A6443E" w:rsidRPr="00997F82">
        <w:t>access to palliative care at home and in the community for priority populations</w:t>
      </w:r>
      <w:r w:rsidR="00AF0438" w:rsidRPr="00997F82">
        <w:t xml:space="preserve"> </w:t>
      </w:r>
      <w:r w:rsidR="000E3DE5" w:rsidRPr="00997F82">
        <w:t xml:space="preserve">reflects challenges PHNs had </w:t>
      </w:r>
      <w:r w:rsidR="00223EC6" w:rsidRPr="00997F82">
        <w:t xml:space="preserve">in engaging with these hardly reached populations. </w:t>
      </w:r>
      <w:r w:rsidR="00CC57C1" w:rsidRPr="00997F82">
        <w:t xml:space="preserve">To </w:t>
      </w:r>
      <w:r w:rsidR="00BA6BAC" w:rsidRPr="00997F82">
        <w:t xml:space="preserve">prioritise </w:t>
      </w:r>
      <w:r w:rsidRPr="00997F82">
        <w:t>these</w:t>
      </w:r>
      <w:r w:rsidR="00BA6BAC" w:rsidRPr="00997F82">
        <w:t xml:space="preserve"> activities in future, the Program could require PHNs to deliver at least one activity </w:t>
      </w:r>
      <w:r w:rsidR="009A3D7A" w:rsidRPr="00997F82">
        <w:t>focused on priority populations.</w:t>
      </w:r>
    </w:p>
    <w:p w14:paraId="1ADDA4E3" w14:textId="54E586C5" w:rsidR="008D5A29" w:rsidRPr="00997F82" w:rsidRDefault="00906663" w:rsidP="007770F3">
      <w:pPr>
        <w:pStyle w:val="ListBullet"/>
      </w:pPr>
      <w:r w:rsidRPr="00997F82">
        <w:t>Given the constrained resourcing allocated to individual PHNs, establishing a shared learning model that leverages the proposed central repository could enhance efficiency and reach. This approach would enable the widespread adoption of high-quality, proven activities—such as the 'Sorry Business Booklet' or the 'Disability Framework' developed by Brisbane North—across multiple regions, preventing duplication of effort and maximising impact.</w:t>
      </w:r>
    </w:p>
    <w:p w14:paraId="1881453E" w14:textId="1509F685" w:rsidR="00E816BD" w:rsidRPr="00997F82" w:rsidRDefault="00572404" w:rsidP="00277D66">
      <w:pPr>
        <w:pStyle w:val="Heading2"/>
      </w:pPr>
      <w:r w:rsidRPr="00997F82">
        <w:t xml:space="preserve">How appropriate is the </w:t>
      </w:r>
      <w:r w:rsidR="00F177CA" w:rsidRPr="00997F82">
        <w:t>P</w:t>
      </w:r>
      <w:r w:rsidRPr="00997F82">
        <w:t>rogram at m</w:t>
      </w:r>
      <w:r w:rsidR="00E816BD" w:rsidRPr="00997F82">
        <w:t>eeting needs and preference</w:t>
      </w:r>
      <w:r w:rsidR="0084704A" w:rsidRPr="00997F82">
        <w:t>s</w:t>
      </w:r>
      <w:r w:rsidRPr="00997F82">
        <w:t xml:space="preserve"> </w:t>
      </w:r>
      <w:r w:rsidR="00BA4E91" w:rsidRPr="00997F82">
        <w:t>of families, individuals, and carers?</w:t>
      </w:r>
    </w:p>
    <w:tbl>
      <w:tblPr>
        <w:tblStyle w:val="IMSTable"/>
        <w:tblW w:w="0" w:type="auto"/>
        <w:tblLook w:val="06E0" w:firstRow="1" w:lastRow="1" w:firstColumn="1" w:lastColumn="0" w:noHBand="1" w:noVBand="1"/>
      </w:tblPr>
      <w:tblGrid>
        <w:gridCol w:w="9016"/>
      </w:tblGrid>
      <w:tr w:rsidR="0065110B" w:rsidRPr="00997F82" w14:paraId="2BAEC796" w14:textId="77777777" w:rsidTr="00F13251">
        <w:trPr>
          <w:cnfStyle w:val="100000000000" w:firstRow="1" w:lastRow="0" w:firstColumn="0" w:lastColumn="0" w:oddVBand="0" w:evenVBand="0" w:oddHBand="0" w:evenHBand="0" w:firstRowFirstColumn="0" w:firstRowLastColumn="0" w:lastRowFirstColumn="0" w:lastRowLastColumn="0"/>
        </w:trPr>
        <w:tc>
          <w:tcPr>
            <w:tcW w:w="9016" w:type="dxa"/>
          </w:tcPr>
          <w:p w14:paraId="0A6DA710" w14:textId="77777777" w:rsidR="0065110B" w:rsidRPr="00F13251" w:rsidRDefault="0065110B" w:rsidP="00F13251">
            <w:r w:rsidRPr="00F13251">
              <w:t>Key finding</w:t>
            </w:r>
          </w:p>
        </w:tc>
      </w:tr>
      <w:tr w:rsidR="0065110B" w:rsidRPr="00997F82" w14:paraId="0247802B" w14:textId="77777777" w:rsidTr="00F13251">
        <w:tc>
          <w:tcPr>
            <w:tcW w:w="9016" w:type="dxa"/>
          </w:tcPr>
          <w:p w14:paraId="6B2B96DD" w14:textId="0BCDBE7D" w:rsidR="0065110B" w:rsidRPr="00F13251" w:rsidRDefault="006D3210" w:rsidP="00F13251">
            <w:r w:rsidRPr="00F13251">
              <w:t xml:space="preserve">There are enduring challenges with engaging priority populations in PHN regions, not unique to this Program. </w:t>
            </w:r>
            <w:r w:rsidR="00446533" w:rsidRPr="00F13251">
              <w:t>This therefore meant that activities targeting these populations were the least likely category undertaken by the Program</w:t>
            </w:r>
            <w:r w:rsidR="008D09AD" w:rsidRPr="00F13251">
              <w:t>, apart from palliative care medicines</w:t>
            </w:r>
            <w:r w:rsidR="00446533" w:rsidRPr="00F13251">
              <w:t xml:space="preserve">. </w:t>
            </w:r>
            <w:r w:rsidR="008A0945" w:rsidRPr="00F13251">
              <w:t>T</w:t>
            </w:r>
            <w:r w:rsidR="00205008" w:rsidRPr="00F13251">
              <w:t xml:space="preserve">here are opportunities </w:t>
            </w:r>
            <w:r w:rsidR="00525A90" w:rsidRPr="00F13251">
              <w:t>for</w:t>
            </w:r>
            <w:r w:rsidR="00205008" w:rsidRPr="00F13251">
              <w:t xml:space="preserve"> PHNs to focus </w:t>
            </w:r>
            <w:r w:rsidR="009E43F2" w:rsidRPr="00F13251">
              <w:t>further</w:t>
            </w:r>
            <w:r w:rsidR="00205008" w:rsidRPr="00F13251">
              <w:t xml:space="preserve"> on </w:t>
            </w:r>
            <w:r w:rsidR="00870F47" w:rsidRPr="00F13251">
              <w:t>underserved</w:t>
            </w:r>
            <w:r w:rsidR="00205008" w:rsidRPr="00F13251">
              <w:t xml:space="preserve"> population</w:t>
            </w:r>
            <w:r w:rsidR="009E43F2" w:rsidRPr="00F13251">
              <w:t>s</w:t>
            </w:r>
            <w:r w:rsidR="00205008" w:rsidRPr="00F13251">
              <w:t xml:space="preserve"> identified in existing </w:t>
            </w:r>
            <w:r w:rsidR="009E43F2" w:rsidRPr="00F13251">
              <w:t xml:space="preserve">health </w:t>
            </w:r>
            <w:r w:rsidR="00205008" w:rsidRPr="00F13251">
              <w:t>needs assessment</w:t>
            </w:r>
            <w:r w:rsidR="009E43F2" w:rsidRPr="00F13251">
              <w:t>s</w:t>
            </w:r>
            <w:r w:rsidR="00205008" w:rsidRPr="00F13251">
              <w:t>.</w:t>
            </w:r>
          </w:p>
        </w:tc>
      </w:tr>
      <w:tr w:rsidR="00F13251" w:rsidRPr="00997F82" w14:paraId="01E26990" w14:textId="77777777" w:rsidTr="00F13251">
        <w:trPr>
          <w:cnfStyle w:val="010000000000" w:firstRow="0" w:lastRow="1" w:firstColumn="0" w:lastColumn="0" w:oddVBand="0" w:evenVBand="0" w:oddHBand="0" w:evenHBand="0" w:firstRowFirstColumn="0" w:firstRowLastColumn="0" w:lastRowFirstColumn="0" w:lastRowLastColumn="0"/>
        </w:trPr>
        <w:tc>
          <w:tcPr>
            <w:tcW w:w="9016" w:type="dxa"/>
          </w:tcPr>
          <w:p w14:paraId="53E13606" w14:textId="037C3CF3" w:rsidR="00F13251" w:rsidRPr="00F13251" w:rsidRDefault="00F13251" w:rsidP="00F13251">
            <w:pPr>
              <w:pStyle w:val="Tablefooterwhite"/>
            </w:pPr>
            <w:r w:rsidRPr="00F13251">
              <w:t>Overall, early progress is evident, with further development required</w:t>
            </w:r>
          </w:p>
        </w:tc>
      </w:tr>
    </w:tbl>
    <w:p w14:paraId="4637A54C" w14:textId="2F096372" w:rsidR="000855D1" w:rsidRPr="00997F82" w:rsidRDefault="00591247" w:rsidP="007770F3">
      <w:pPr>
        <w:pStyle w:val="Heading2"/>
      </w:pPr>
      <w:r w:rsidRPr="00997F82">
        <w:t>Background</w:t>
      </w:r>
    </w:p>
    <w:p w14:paraId="063C0C86" w14:textId="3FC69DA5" w:rsidR="00000543" w:rsidRPr="00997F82" w:rsidRDefault="001937FA">
      <w:r w:rsidRPr="00997F82">
        <w:t>It is well recogni</w:t>
      </w:r>
      <w:r w:rsidR="00AA60EE" w:rsidRPr="00997F82">
        <w:t>s</w:t>
      </w:r>
      <w:r w:rsidRPr="00997F82">
        <w:t xml:space="preserve">ed that </w:t>
      </w:r>
      <w:r w:rsidR="002B79FA" w:rsidRPr="00997F82">
        <w:t>underserved</w:t>
      </w:r>
      <w:r w:rsidR="00094568" w:rsidRPr="00997F82">
        <w:t xml:space="preserve"> </w:t>
      </w:r>
      <w:r w:rsidR="000E16B4" w:rsidRPr="00997F82">
        <w:t>p</w:t>
      </w:r>
      <w:r w:rsidR="00C24488" w:rsidRPr="00997F82">
        <w:t>opulation</w:t>
      </w:r>
      <w:r w:rsidR="00AA60EE" w:rsidRPr="00997F82">
        <w:t>s</w:t>
      </w:r>
      <w:r w:rsidR="00C24488" w:rsidRPr="00997F82">
        <w:t xml:space="preserve"> </w:t>
      </w:r>
      <w:r w:rsidR="00EE0F47" w:rsidRPr="00997F82">
        <w:t>experience inequitable access to culturally appropriate</w:t>
      </w:r>
      <w:r w:rsidR="00041923" w:rsidRPr="00997F82">
        <w:t xml:space="preserve"> </w:t>
      </w:r>
      <w:r w:rsidR="005507E3" w:rsidRPr="00997F82">
        <w:t>palliative care</w:t>
      </w:r>
      <w:r w:rsidR="00103A2D" w:rsidRPr="00997F82">
        <w:t>,</w:t>
      </w:r>
      <w:r w:rsidR="005507E3" w:rsidRPr="00997F82">
        <w:t xml:space="preserve"> and </w:t>
      </w:r>
      <w:r w:rsidR="00103A2D" w:rsidRPr="00997F82">
        <w:t xml:space="preserve">inequitable outcomes </w:t>
      </w:r>
      <w:r w:rsidR="00C67EF6" w:rsidRPr="00997F82">
        <w:t>in terms of having their needs and preferences understood and met</w:t>
      </w:r>
      <w:r w:rsidR="00065B8B" w:rsidRPr="00997F82">
        <w:t>.</w:t>
      </w:r>
      <w:r w:rsidR="00870324" w:rsidRPr="00997F82">
        <w:rPr>
          <w:rStyle w:val="FootnoteReference"/>
        </w:rPr>
        <w:footnoteReference w:id="64"/>
      </w:r>
    </w:p>
    <w:p w14:paraId="4927F4F2" w14:textId="419A901E" w:rsidR="00000543" w:rsidRPr="00997F82" w:rsidRDefault="00000543">
      <w:r w:rsidRPr="00997F82">
        <w:t>A key role of PHNs is to identify and address population health needs and gaps in service delivery and to improve access and equity.</w:t>
      </w:r>
      <w:r w:rsidR="00A21F46" w:rsidRPr="00997F82">
        <w:t xml:space="preserve"> To identify the needs of their communities, PHNs</w:t>
      </w:r>
      <w:r w:rsidR="00317102" w:rsidRPr="00997F82">
        <w:t xml:space="preserve"> </w:t>
      </w:r>
      <w:r w:rsidR="00CE6A40" w:rsidRPr="00997F82">
        <w:t xml:space="preserve">were </w:t>
      </w:r>
      <w:r w:rsidR="00FB57A2" w:rsidRPr="00997F82">
        <w:t xml:space="preserve">required </w:t>
      </w:r>
      <w:r w:rsidR="00CE6A40" w:rsidRPr="00997F82">
        <w:t xml:space="preserve">to align their Program activities with needs assessments (HNAs, PCNAs, and </w:t>
      </w:r>
      <w:r w:rsidR="0021359B" w:rsidRPr="00997F82">
        <w:t>other strateg</w:t>
      </w:r>
      <w:r w:rsidR="0033021B" w:rsidRPr="00997F82">
        <w:t>ies and plans</w:t>
      </w:r>
      <w:r w:rsidR="0021359B" w:rsidRPr="00997F82">
        <w:t>)</w:t>
      </w:r>
      <w:r w:rsidR="0033021B" w:rsidRPr="00997F82">
        <w:t>.</w:t>
      </w:r>
      <w:r w:rsidR="00777DC4" w:rsidRPr="00997F82">
        <w:t xml:space="preserve"> </w:t>
      </w:r>
      <w:r w:rsidR="002960D1" w:rsidRPr="00997F82">
        <w:t>As part of needs assessments conducted by PHNs</w:t>
      </w:r>
      <w:r w:rsidR="00E60D62" w:rsidRPr="00997F82">
        <w:t>, priority populations, and areas of health inequity amongst the community</w:t>
      </w:r>
      <w:r w:rsidR="00DA3566" w:rsidRPr="00997F82">
        <w:t xml:space="preserve"> </w:t>
      </w:r>
      <w:r w:rsidR="00E60D62" w:rsidRPr="00997F82">
        <w:t>are often identified and highlighted as areas of focus.</w:t>
      </w:r>
    </w:p>
    <w:p w14:paraId="683CCF3D" w14:textId="0C443348" w:rsidR="00D57D41" w:rsidRPr="00997F82" w:rsidRDefault="007F4EFD">
      <w:r w:rsidRPr="00997F82">
        <w:t xml:space="preserve">As part of the </w:t>
      </w:r>
      <w:r w:rsidR="00D57D41" w:rsidRPr="00997F82">
        <w:t xml:space="preserve">Grant Opportunity Guidelines </w:t>
      </w:r>
      <w:r w:rsidRPr="00997F82">
        <w:t xml:space="preserve">PHNs were </w:t>
      </w:r>
      <w:r w:rsidR="00311AFA" w:rsidRPr="00997F82">
        <w:t xml:space="preserve">eligible to undertake activities </w:t>
      </w:r>
      <w:r w:rsidR="00091FCE" w:rsidRPr="00997F82">
        <w:t xml:space="preserve">that </w:t>
      </w:r>
      <w:r w:rsidR="00D459B8" w:rsidRPr="00997F82">
        <w:t xml:space="preserve">address </w:t>
      </w:r>
      <w:r w:rsidR="00091FCE" w:rsidRPr="00997F82">
        <w:t>‘specific population needs</w:t>
      </w:r>
      <w:r w:rsidR="00DA3566" w:rsidRPr="00997F82">
        <w:t>,</w:t>
      </w:r>
      <w:r w:rsidR="00091FCE" w:rsidRPr="00997F82">
        <w:t xml:space="preserve"> such as people who are receiving Aged Care services, Aboriginal and Torres Strait Islanders, from Culturally and Linguistically Diverse (CALD) backgrounds or paediatric patients</w:t>
      </w:r>
      <w:r w:rsidR="002E490D" w:rsidRPr="00997F82">
        <w:t>.’</w:t>
      </w:r>
      <w:r w:rsidR="002B2E0C" w:rsidRPr="00997F82">
        <w:rPr>
          <w:rStyle w:val="FootnoteReference"/>
        </w:rPr>
        <w:footnoteReference w:id="65"/>
      </w:r>
    </w:p>
    <w:p w14:paraId="2BBA18C5" w14:textId="5112E7E2" w:rsidR="00591247" w:rsidRPr="00997F82" w:rsidRDefault="004E0F4A" w:rsidP="007770F3">
      <w:pPr>
        <w:pStyle w:val="Heading3"/>
      </w:pPr>
      <w:r w:rsidRPr="00997F82">
        <w:t xml:space="preserve">Key </w:t>
      </w:r>
      <w:r w:rsidR="00591247" w:rsidRPr="00997F82">
        <w:t>Findings</w:t>
      </w:r>
    </w:p>
    <w:p w14:paraId="6CD8DBDA" w14:textId="4683FDAC" w:rsidR="008C3B82" w:rsidRPr="00997F82" w:rsidRDefault="006D77E1" w:rsidP="00F45F4D">
      <w:r w:rsidRPr="00997F82">
        <w:t xml:space="preserve">Analysis of HNAs and PCNAs shows that </w:t>
      </w:r>
      <w:r w:rsidR="00A439D3" w:rsidRPr="00997F82">
        <w:t xml:space="preserve">14 </w:t>
      </w:r>
      <w:r w:rsidRPr="00997F82">
        <w:t xml:space="preserve">PHNs identified a need to address health inequities among priority populations or had demographic and health data suggesting such a need. </w:t>
      </w:r>
      <w:r w:rsidR="00A439D3" w:rsidRPr="00997F82">
        <w:t>Of these 14, 1</w:t>
      </w:r>
      <w:r w:rsidR="00BC3DAA" w:rsidRPr="00997F82">
        <w:t>1</w:t>
      </w:r>
      <w:r w:rsidR="00A439D3" w:rsidRPr="00997F82">
        <w:t xml:space="preserve"> PHNs conducted an activity in this category while 3 did not, which may reflect resource constraints or time required for genuine co-design with underserved groups in these regions. However, an additional 3 PHNs who had not explicitly identified this need in their assessments did conduct activities for priority populations. </w:t>
      </w:r>
      <w:r w:rsidR="005E206F" w:rsidRPr="00997F82">
        <w:t>(see Section 3.</w:t>
      </w:r>
      <w:r w:rsidR="00A439D3" w:rsidRPr="00997F82">
        <w:t>3</w:t>
      </w:r>
      <w:r w:rsidR="005E206F" w:rsidRPr="00997F82">
        <w:t>)</w:t>
      </w:r>
      <w:r w:rsidR="004763F1" w:rsidRPr="00997F82">
        <w:t>.</w:t>
      </w:r>
    </w:p>
    <w:p w14:paraId="3BC6C3E3" w14:textId="50A799CF" w:rsidR="00DF08AB" w:rsidRDefault="006D77E1" w:rsidP="00F45F4D">
      <w:r w:rsidRPr="00997F82">
        <w:t>Activities focused on priority populations were among the least commonly undertaken, except for those related to palliative care medicines. A total of 23 activities were delivered</w:t>
      </w:r>
      <w:r w:rsidR="00C8652B" w:rsidRPr="00997F82">
        <w:t xml:space="preserve"> by the 1</w:t>
      </w:r>
      <w:r w:rsidR="00B91F45" w:rsidRPr="00997F82">
        <w:t>4</w:t>
      </w:r>
      <w:r w:rsidR="00C8652B" w:rsidRPr="00997F82">
        <w:t xml:space="preserve"> PHNs</w:t>
      </w:r>
      <w:r w:rsidRPr="00997F82">
        <w:t xml:space="preserve">, targeting First Nations peoples, CALD communities, LGBTIQA+ individuals, people experiencing homelessness, and those with hearing loss, disability, or accessibility needs. </w:t>
      </w:r>
      <w:r w:rsidR="00C8652B" w:rsidRPr="00997F82">
        <w:t>An example activity is described below.</w:t>
      </w:r>
    </w:p>
    <w:p w14:paraId="4F2D2C9A" w14:textId="4A0A8A47" w:rsidR="00DF0063" w:rsidRDefault="00DF0063" w:rsidP="00DF0063">
      <w:pPr>
        <w:pStyle w:val="CVHeading"/>
      </w:pPr>
      <w:r w:rsidRPr="00DF0063">
        <w:t xml:space="preserve">Example: </w:t>
      </w:r>
      <w:proofErr w:type="spellStart"/>
      <w:r w:rsidRPr="00DF0063">
        <w:t>Murrumbidgee</w:t>
      </w:r>
      <w:proofErr w:type="spellEnd"/>
      <w:r w:rsidRPr="00DF0063">
        <w:t xml:space="preserve"> PHN “Planning your future care today” Advance Care Planning Booklet</w:t>
      </w:r>
    </w:p>
    <w:p w14:paraId="162BD12F" w14:textId="01665DE8" w:rsidR="007770F3" w:rsidRPr="003D6E09" w:rsidRDefault="007770F3" w:rsidP="007770F3">
      <w:pPr>
        <w:pStyle w:val="CVbodygreybground"/>
      </w:pPr>
      <w:proofErr w:type="spellStart"/>
      <w:r w:rsidRPr="003D6E09">
        <w:t>Murrumbidgee</w:t>
      </w:r>
      <w:proofErr w:type="spellEnd"/>
      <w:r w:rsidRPr="003D6E09">
        <w:t xml:space="preserve"> PHN (MPHN) sought to understand the local barriers and enablers to First Nations people accessing the </w:t>
      </w:r>
      <w:proofErr w:type="spellStart"/>
      <w:r w:rsidRPr="003D6E09">
        <w:t>Murrumbidgee</w:t>
      </w:r>
      <w:proofErr w:type="spellEnd"/>
      <w:r w:rsidRPr="003D6E09">
        <w:t xml:space="preserve"> Local Health District (MLHD) palliative care service. Through consultation with 15 local First Nations organisations, MPHN explored the local needs of First Nations people requiring palliative care supports and services. The consultation findings have directed MPHN to support the provision of culturally appropriate and safe palliative care within primary care in the region.  </w:t>
      </w:r>
    </w:p>
    <w:p w14:paraId="2178BB64" w14:textId="3778DCF3" w:rsidR="009F5426" w:rsidRPr="007770F3" w:rsidRDefault="007770F3" w:rsidP="007770F3">
      <w:pPr>
        <w:pStyle w:val="CVbodygreybground"/>
      </w:pPr>
      <w:r w:rsidRPr="003D6E09">
        <w:t>Findings concluded that mainstream health services do not understand or accommodate the complex cultural practices surrounding Sorry Business (rituals and mourning) in First Nations communities. The unique end</w:t>
      </w:r>
      <w:r>
        <w:t>-</w:t>
      </w:r>
      <w:r w:rsidRPr="003D6E09">
        <w:t>of</w:t>
      </w:r>
      <w:r>
        <w:t>-</w:t>
      </w:r>
      <w:r w:rsidRPr="003D6E09">
        <w:t>life care needs and expectations within First Nations communities, such as the desire to pass away on Country and a distinct preference for home-based palliative care, present major challenges for mainstream health services. Logistical challenges and geographical limitations often prevent First Nations people from accessing care in their preferred location, resulting in stress and trauma during this critical time.</w:t>
      </w:r>
    </w:p>
    <w:p w14:paraId="51D2235F" w14:textId="25B77F06" w:rsidR="00964655" w:rsidRPr="00997F82" w:rsidRDefault="006D4F16" w:rsidP="00F45F4D">
      <w:r w:rsidRPr="00997F82">
        <w:t>NS</w:t>
      </w:r>
      <w:r w:rsidR="000F6267" w:rsidRPr="00997F82">
        <w:t>PHN</w:t>
      </w:r>
      <w:r w:rsidRPr="00997F82">
        <w:t xml:space="preserve"> </w:t>
      </w:r>
      <w:r w:rsidR="00827BBF" w:rsidRPr="00997F82">
        <w:t>and</w:t>
      </w:r>
      <w:r w:rsidRPr="00997F82">
        <w:t xml:space="preserve"> </w:t>
      </w:r>
      <w:r w:rsidR="009A6FCA" w:rsidRPr="00997F82">
        <w:t>S</w:t>
      </w:r>
      <w:r w:rsidR="00827BBF" w:rsidRPr="00997F82">
        <w:t>WSPHNs</w:t>
      </w:r>
      <w:r w:rsidR="00FC45E9" w:rsidRPr="00997F82">
        <w:t xml:space="preserve"> </w:t>
      </w:r>
      <w:r w:rsidR="00364B90" w:rsidRPr="00997F82">
        <w:t xml:space="preserve">produced resources in </w:t>
      </w:r>
      <w:r w:rsidR="007C1F32" w:rsidRPr="00997F82">
        <w:t xml:space="preserve">identified community languages </w:t>
      </w:r>
      <w:r w:rsidR="00827BBF" w:rsidRPr="00997F82">
        <w:t xml:space="preserve">and for people with English as a second language </w:t>
      </w:r>
      <w:r w:rsidR="007C1F32" w:rsidRPr="00997F82">
        <w:t xml:space="preserve">to </w:t>
      </w:r>
      <w:r w:rsidR="00056E09" w:rsidRPr="00997F82">
        <w:t xml:space="preserve">address language barriers </w:t>
      </w:r>
      <w:r w:rsidR="00B249B2" w:rsidRPr="00997F82">
        <w:t>and ensure that</w:t>
      </w:r>
      <w:r w:rsidR="00056E09" w:rsidRPr="00997F82">
        <w:t xml:space="preserve"> </w:t>
      </w:r>
      <w:r w:rsidR="00C77A92" w:rsidRPr="00997F82">
        <w:t xml:space="preserve">people from CALD population groups were able to have a greater understanding of palliative care and </w:t>
      </w:r>
      <w:r w:rsidR="00E15AA8" w:rsidRPr="00997F82">
        <w:t>communicate their needs and preferences.</w:t>
      </w:r>
      <w:r w:rsidR="009352AF" w:rsidRPr="00997F82">
        <w:t xml:space="preserve"> </w:t>
      </w:r>
      <w:r w:rsidR="00964655" w:rsidRPr="00997F82">
        <w:t xml:space="preserve"> </w:t>
      </w:r>
      <w:r w:rsidR="00097B96" w:rsidRPr="00997F82">
        <w:t xml:space="preserve">SWSPHN held a whole of community awareness event where they identified through </w:t>
      </w:r>
      <w:r w:rsidR="00ED6925" w:rsidRPr="00997F82">
        <w:t>p</w:t>
      </w:r>
      <w:r w:rsidR="00097B96" w:rsidRPr="00997F82">
        <w:t xml:space="preserve">ost event </w:t>
      </w:r>
      <w:r w:rsidR="0018201B" w:rsidRPr="00997F82">
        <w:t xml:space="preserve">surveys </w:t>
      </w:r>
      <w:r w:rsidR="00097B96" w:rsidRPr="00997F82">
        <w:t xml:space="preserve">that 63% of those attending </w:t>
      </w:r>
      <w:proofErr w:type="gramStart"/>
      <w:r w:rsidR="00097B96" w:rsidRPr="00997F82">
        <w:t>were</w:t>
      </w:r>
      <w:proofErr w:type="gramEnd"/>
      <w:r w:rsidR="00097B96" w:rsidRPr="00997F82">
        <w:t xml:space="preserve"> from a Vietnamese background. </w:t>
      </w:r>
      <w:r w:rsidR="00D25E42" w:rsidRPr="00997F82">
        <w:t>In response, SWS</w:t>
      </w:r>
      <w:r w:rsidR="00097B96" w:rsidRPr="00997F82">
        <w:t>PHN held a suite of community education events in a range of languages, including Vietnamese, which attracted high levels of attendance from CALD populations</w:t>
      </w:r>
      <w:r w:rsidR="00561881" w:rsidRPr="00997F82">
        <w:t>.</w:t>
      </w:r>
      <w:r w:rsidR="00222871" w:rsidRPr="00997F82">
        <w:t xml:space="preserve"> </w:t>
      </w:r>
    </w:p>
    <w:p w14:paraId="6C07F8AE" w14:textId="77777777" w:rsidR="00151740" w:rsidRPr="00997F82" w:rsidRDefault="00301033" w:rsidP="00F45F4D">
      <w:r w:rsidRPr="00997F82">
        <w:t>BSPHN held workshops for language interpreters</w:t>
      </w:r>
      <w:r w:rsidR="00DF6334" w:rsidRPr="00997F82">
        <w:t xml:space="preserve"> to improve awareness</w:t>
      </w:r>
      <w:r w:rsidR="009352AF" w:rsidRPr="00997F82">
        <w:t xml:space="preserve"> </w:t>
      </w:r>
      <w:r w:rsidR="00BE11BA" w:rsidRPr="00997F82">
        <w:t xml:space="preserve">on how they can </w:t>
      </w:r>
      <w:r w:rsidR="00D422E1" w:rsidRPr="00997F82">
        <w:t xml:space="preserve">support people to access information on </w:t>
      </w:r>
      <w:r w:rsidR="00BE11BA" w:rsidRPr="00997F82">
        <w:t>ACP and palliative care</w:t>
      </w:r>
      <w:r w:rsidR="00D422E1" w:rsidRPr="00997F82">
        <w:t xml:space="preserve">. Feedback </w:t>
      </w:r>
      <w:r w:rsidR="00C7676F" w:rsidRPr="00997F82">
        <w:t>from these</w:t>
      </w:r>
      <w:r w:rsidR="009352AF" w:rsidRPr="00997F82">
        <w:t xml:space="preserve"> </w:t>
      </w:r>
      <w:r w:rsidR="00444068" w:rsidRPr="00997F82">
        <w:t>workshops indicated that interpreters had increased confidence</w:t>
      </w:r>
      <w:r w:rsidR="009352AF" w:rsidRPr="00997F82">
        <w:t xml:space="preserve"> </w:t>
      </w:r>
      <w:r w:rsidR="00AB5DF0" w:rsidRPr="00997F82">
        <w:t xml:space="preserve">and understanding of palliative care. </w:t>
      </w:r>
      <w:r w:rsidR="00AA4318" w:rsidRPr="00997F82">
        <w:t xml:space="preserve"> </w:t>
      </w:r>
    </w:p>
    <w:p w14:paraId="36ED5A3F" w14:textId="58374E3C" w:rsidR="00AB5DF0" w:rsidRPr="00997F82" w:rsidRDefault="004A4C8F" w:rsidP="00F45F4D">
      <w:r w:rsidRPr="00997F82">
        <w:t>MPHN</w:t>
      </w:r>
      <w:r w:rsidR="00073F0A" w:rsidRPr="00997F82">
        <w:t xml:space="preserve"> </w:t>
      </w:r>
      <w:r w:rsidR="00DD79BE" w:rsidRPr="00997F82">
        <w:t xml:space="preserve">had existing palliative care community resources translated into AUSLAN to improve equity of access for </w:t>
      </w:r>
      <w:r w:rsidR="008E0B19" w:rsidRPr="00997F82">
        <w:t xml:space="preserve">people </w:t>
      </w:r>
      <w:r w:rsidR="00FF1517" w:rsidRPr="00997F82">
        <w:t>who were deaf or hard of hearing</w:t>
      </w:r>
      <w:r w:rsidR="005D012D" w:rsidRPr="00997F82">
        <w:t xml:space="preserve">. Collateral produced included </w:t>
      </w:r>
      <w:r w:rsidR="001F7173" w:rsidRPr="00997F82">
        <w:t>translation of videos into AUSLAN</w:t>
      </w:r>
      <w:r w:rsidR="003E4E79" w:rsidRPr="00997F82">
        <w:t xml:space="preserve"> and booklets</w:t>
      </w:r>
      <w:r w:rsidR="003E13EB" w:rsidRPr="00997F82">
        <w:t xml:space="preserve"> for people with low </w:t>
      </w:r>
      <w:r w:rsidR="001C67AE" w:rsidRPr="00997F82">
        <w:t>English levels</w:t>
      </w:r>
      <w:r w:rsidR="001C01BB" w:rsidRPr="00997F82">
        <w:t xml:space="preserve">. </w:t>
      </w:r>
    </w:p>
    <w:p w14:paraId="25124ABD" w14:textId="103F3A82" w:rsidR="001C01BB" w:rsidRPr="00997F82" w:rsidRDefault="001C01BB" w:rsidP="001C01BB">
      <w:r w:rsidRPr="00997F82">
        <w:t xml:space="preserve">While many PHNs have indicated that Priority </w:t>
      </w:r>
      <w:r w:rsidR="00806370" w:rsidRPr="00997F82">
        <w:t>p</w:t>
      </w:r>
      <w:r w:rsidRPr="00997F82">
        <w:t>opulation</w:t>
      </w:r>
      <w:r w:rsidR="00885092" w:rsidRPr="00997F82">
        <w:t>s</w:t>
      </w:r>
      <w:r w:rsidRPr="00997F82">
        <w:t xml:space="preserve"> activities </w:t>
      </w:r>
      <w:r w:rsidR="00885092" w:rsidRPr="00997F82">
        <w:t>were</w:t>
      </w:r>
      <w:r w:rsidRPr="00997F82">
        <w:t xml:space="preserve"> complete</w:t>
      </w:r>
      <w:r w:rsidR="00885092" w:rsidRPr="00997F82">
        <w:t>d</w:t>
      </w:r>
      <w:r w:rsidRPr="00997F82">
        <w:t xml:space="preserve"> or continuing at Endpoint, there was limited data </w:t>
      </w:r>
      <w:r w:rsidR="001C522F" w:rsidRPr="00997F82">
        <w:t xml:space="preserve">available for analysis to </w:t>
      </w:r>
      <w:r w:rsidR="00C168F8" w:rsidRPr="00997F82">
        <w:t xml:space="preserve">assess </w:t>
      </w:r>
      <w:r w:rsidR="00E23FEC" w:rsidRPr="00997F82">
        <w:t xml:space="preserve">reach, acceptability, or </w:t>
      </w:r>
      <w:r w:rsidR="00C168F8" w:rsidRPr="00997F82">
        <w:t xml:space="preserve">impact. </w:t>
      </w:r>
    </w:p>
    <w:p w14:paraId="3D625B39" w14:textId="15D7FB46" w:rsidR="00753237" w:rsidRPr="00997F82" w:rsidRDefault="00B6113A" w:rsidP="00F45F4D">
      <w:r w:rsidRPr="00997F82">
        <w:t xml:space="preserve">Respondents to Endpoint </w:t>
      </w:r>
      <w:r w:rsidR="00806370" w:rsidRPr="00997F82">
        <w:t>s</w:t>
      </w:r>
      <w:r w:rsidRPr="00997F82">
        <w:t xml:space="preserve">ervice </w:t>
      </w:r>
      <w:r w:rsidR="00806370" w:rsidRPr="00997F82">
        <w:t>p</w:t>
      </w:r>
      <w:r w:rsidRPr="00997F82">
        <w:t xml:space="preserve">rovider surveys </w:t>
      </w:r>
      <w:r w:rsidR="00505291" w:rsidRPr="00997F82">
        <w:t xml:space="preserve">reflect </w:t>
      </w:r>
      <w:r w:rsidR="001C5142" w:rsidRPr="00997F82">
        <w:t xml:space="preserve">that </w:t>
      </w:r>
      <w:r w:rsidR="00DB305D" w:rsidRPr="00997F82">
        <w:t xml:space="preserve">there have been some perceived improvements </w:t>
      </w:r>
      <w:r w:rsidR="00131882" w:rsidRPr="00997F82">
        <w:t xml:space="preserve">to </w:t>
      </w:r>
      <w:r w:rsidR="00FF4024" w:rsidRPr="00997F82">
        <w:t>how</w:t>
      </w:r>
      <w:r w:rsidR="00131882" w:rsidRPr="00997F82">
        <w:t xml:space="preserve"> services meet the needs of certain priority population groups. For example, </w:t>
      </w:r>
      <w:r w:rsidR="000560B6" w:rsidRPr="00997F82">
        <w:t>one response highlighted</w:t>
      </w:r>
      <w:r w:rsidR="008227ED" w:rsidRPr="00997F82">
        <w:t xml:space="preserve"> that</w:t>
      </w:r>
      <w:r w:rsidR="00804462" w:rsidRPr="00997F82">
        <w:t xml:space="preserve"> ACP discussion</w:t>
      </w:r>
      <w:r w:rsidR="000560B6" w:rsidRPr="00997F82">
        <w:t>s</w:t>
      </w:r>
      <w:r w:rsidR="00804462" w:rsidRPr="00997F82">
        <w:t xml:space="preserve"> </w:t>
      </w:r>
      <w:r w:rsidR="000560B6" w:rsidRPr="00997F82">
        <w:t>were</w:t>
      </w:r>
      <w:r w:rsidR="00BA2385" w:rsidRPr="00997F82">
        <w:t xml:space="preserve"> added</w:t>
      </w:r>
      <w:r w:rsidR="00804462" w:rsidRPr="00997F82">
        <w:t xml:space="preserve"> </w:t>
      </w:r>
      <w:r w:rsidR="00BA2385" w:rsidRPr="00997F82">
        <w:t xml:space="preserve">to </w:t>
      </w:r>
      <w:r w:rsidR="00804462" w:rsidRPr="00997F82">
        <w:t>over-75 health assessments</w:t>
      </w:r>
      <w:r w:rsidR="00E5681D" w:rsidRPr="00997F82">
        <w:t xml:space="preserve"> </w:t>
      </w:r>
      <w:r w:rsidR="00A44222" w:rsidRPr="00997F82">
        <w:t xml:space="preserve">which had </w:t>
      </w:r>
      <w:r w:rsidR="009A7AD2" w:rsidRPr="00997F82">
        <w:t>resulted in</w:t>
      </w:r>
      <w:r w:rsidR="00514E12" w:rsidRPr="00997F82">
        <w:t xml:space="preserve"> </w:t>
      </w:r>
      <w:r w:rsidR="00A44222" w:rsidRPr="00997F82">
        <w:t xml:space="preserve">increased </w:t>
      </w:r>
      <w:r w:rsidR="00C350D4" w:rsidRPr="00997F82">
        <w:t>capability</w:t>
      </w:r>
      <w:r w:rsidR="00155867" w:rsidRPr="00997F82">
        <w:t xml:space="preserve"> </w:t>
      </w:r>
      <w:r w:rsidR="00527CD2" w:rsidRPr="00997F82">
        <w:t xml:space="preserve">of staff </w:t>
      </w:r>
      <w:r w:rsidR="00E915B7" w:rsidRPr="00997F82">
        <w:t>to identify</w:t>
      </w:r>
      <w:r w:rsidR="00514E12" w:rsidRPr="00997F82">
        <w:t xml:space="preserve"> patient </w:t>
      </w:r>
      <w:r w:rsidR="00527CD2" w:rsidRPr="00997F82">
        <w:t xml:space="preserve">palliative care </w:t>
      </w:r>
      <w:r w:rsidR="00E915B7" w:rsidRPr="00997F82">
        <w:t>preferences</w:t>
      </w:r>
      <w:r w:rsidR="00C350D4" w:rsidRPr="00997F82">
        <w:t xml:space="preserve">. </w:t>
      </w:r>
    </w:p>
    <w:p w14:paraId="26ED929B" w14:textId="77777777" w:rsidR="007770F3" w:rsidRPr="007770F3" w:rsidRDefault="007770F3" w:rsidP="007770F3">
      <w:pPr>
        <w:pStyle w:val="IntenseQuote"/>
      </w:pPr>
      <w:r w:rsidRPr="007770F3">
        <w:t>“These changes have enabled more residents to remain in familiar surroundings during end-of-life care while receiving high-quality, person-centred support. Additionally, structured family communication processes have been introduced, improving trust, emotional support, and satisfaction during critical times.”</w:t>
      </w:r>
    </w:p>
    <w:p w14:paraId="55511FC7" w14:textId="031DFF22" w:rsidR="00B17AAF" w:rsidRPr="00997F82" w:rsidRDefault="007770F3" w:rsidP="007770F3">
      <w:pPr>
        <w:pStyle w:val="IntenseQuote"/>
      </w:pPr>
      <w:r w:rsidRPr="007770F3">
        <w:t>Residential Aged Care Home Service – from service provider survey</w:t>
      </w:r>
    </w:p>
    <w:p w14:paraId="1ADC477E" w14:textId="669D5CD1" w:rsidR="000855D1" w:rsidRPr="00997F82" w:rsidRDefault="00BF58F8" w:rsidP="007770F3">
      <w:pPr>
        <w:pStyle w:val="Heading3"/>
      </w:pPr>
      <w:r w:rsidRPr="00997F82">
        <w:t>Implications</w:t>
      </w:r>
    </w:p>
    <w:p w14:paraId="6D9C3D81" w14:textId="40B56D03" w:rsidR="00CC41DB" w:rsidRPr="00997F82" w:rsidRDefault="00795279" w:rsidP="007770F3">
      <w:pPr>
        <w:pStyle w:val="ListBullet"/>
      </w:pPr>
      <w:r w:rsidRPr="00997F82">
        <w:t xml:space="preserve">Despite </w:t>
      </w:r>
      <w:r w:rsidR="0094216D" w:rsidRPr="00997F82">
        <w:t xml:space="preserve">several PHNs </w:t>
      </w:r>
      <w:r w:rsidR="00F84DD4" w:rsidRPr="00997F82">
        <w:t xml:space="preserve">identifying </w:t>
      </w:r>
      <w:r w:rsidR="00FC09E2" w:rsidRPr="00997F82">
        <w:t xml:space="preserve">a need to improve health inequities experienced by people from priority population groups (either </w:t>
      </w:r>
      <w:r w:rsidR="00423A97" w:rsidRPr="00997F82">
        <w:t xml:space="preserve">in needs assessments, or Program planning and consultation), Priority Populations activities were the least likely category of activities to be undertaken by PHNs, except for Palliative </w:t>
      </w:r>
      <w:r w:rsidR="00F359DC" w:rsidRPr="00997F82">
        <w:t>c</w:t>
      </w:r>
      <w:r w:rsidR="00423A97" w:rsidRPr="00997F82">
        <w:t xml:space="preserve">are </w:t>
      </w:r>
      <w:r w:rsidR="00F359DC" w:rsidRPr="00997F82">
        <w:t>m</w:t>
      </w:r>
      <w:r w:rsidR="00423A97" w:rsidRPr="00997F82">
        <w:t>edicines</w:t>
      </w:r>
      <w:r w:rsidR="00133454" w:rsidRPr="00997F82">
        <w:t>. This likely reflects the challenges experienced by PHNs more broadly in engaging with</w:t>
      </w:r>
      <w:r w:rsidR="002B2E0C" w:rsidRPr="00997F82">
        <w:t xml:space="preserve"> </w:t>
      </w:r>
      <w:r w:rsidR="00133454" w:rsidRPr="00997F82">
        <w:t xml:space="preserve">priority populations. </w:t>
      </w:r>
    </w:p>
    <w:p w14:paraId="2C1D080E" w14:textId="5DBD672E" w:rsidR="00F8547A" w:rsidRPr="00997F82" w:rsidRDefault="00FA442C" w:rsidP="007770F3">
      <w:pPr>
        <w:pStyle w:val="ListBullet"/>
      </w:pPr>
      <w:r w:rsidRPr="00997F82">
        <w:t xml:space="preserve">There </w:t>
      </w:r>
      <w:r w:rsidR="005105B4" w:rsidRPr="00997F82">
        <w:t xml:space="preserve">was </w:t>
      </w:r>
      <w:r w:rsidRPr="00997F82">
        <w:t xml:space="preserve">limited data </w:t>
      </w:r>
      <w:r w:rsidR="005105B4" w:rsidRPr="00997F82">
        <w:t xml:space="preserve">available at </w:t>
      </w:r>
      <w:r w:rsidRPr="00997F82">
        <w:t xml:space="preserve">Endpoint to </w:t>
      </w:r>
      <w:r w:rsidR="00FF6216" w:rsidRPr="00997F82">
        <w:t xml:space="preserve">assess the reach, acceptability and impact of PHN activities focused on Priority Populations. </w:t>
      </w:r>
      <w:r w:rsidR="00EC3C70" w:rsidRPr="00997F82">
        <w:t>D</w:t>
      </w:r>
      <w:r w:rsidR="00851E94" w:rsidRPr="00997F82">
        <w:t xml:space="preserve">ata provided is limited to case studies and </w:t>
      </w:r>
      <w:r w:rsidR="00EC3C70" w:rsidRPr="00997F82">
        <w:t xml:space="preserve">anecdotal </w:t>
      </w:r>
      <w:r w:rsidR="00851E94" w:rsidRPr="00997F82">
        <w:t xml:space="preserve">feedback. </w:t>
      </w:r>
    </w:p>
    <w:p w14:paraId="58878C57" w14:textId="6C432545" w:rsidR="000855D1" w:rsidRPr="00997F82" w:rsidRDefault="00851E94" w:rsidP="007770F3">
      <w:pPr>
        <w:pStyle w:val="ListBullet"/>
      </w:pPr>
      <w:r w:rsidRPr="00997F82">
        <w:t xml:space="preserve">If the </w:t>
      </w:r>
      <w:r w:rsidR="00DD3FFE" w:rsidRPr="00997F82">
        <w:t>Program is intended to address inequit</w:t>
      </w:r>
      <w:r w:rsidR="001A4EB6" w:rsidRPr="00997F82">
        <w:t>ies experienced in palliative care for priority populations</w:t>
      </w:r>
      <w:r w:rsidR="00EF7CD9" w:rsidRPr="00997F82">
        <w:t>,</w:t>
      </w:r>
      <w:r w:rsidR="001A4EB6" w:rsidRPr="00997F82">
        <w:t xml:space="preserve"> then </w:t>
      </w:r>
      <w:r w:rsidR="00710ED3" w:rsidRPr="00997F82">
        <w:t xml:space="preserve">PHNs could be required to undertake at least one activity focused on </w:t>
      </w:r>
      <w:r w:rsidR="000F3B94" w:rsidRPr="00997F82">
        <w:t xml:space="preserve">Priority Populations. As part of this, </w:t>
      </w:r>
      <w:r w:rsidR="00541C8C" w:rsidRPr="00997F82">
        <w:t xml:space="preserve">a set of standardised tools </w:t>
      </w:r>
      <w:r w:rsidR="00960E18" w:rsidRPr="00997F82">
        <w:t>could be co-designed with PHNs</w:t>
      </w:r>
      <w:r w:rsidR="001574C0" w:rsidRPr="00997F82">
        <w:t xml:space="preserve"> </w:t>
      </w:r>
      <w:r w:rsidR="00F742C8" w:rsidRPr="00997F82">
        <w:t>and other key stakeholders to collect and an</w:t>
      </w:r>
      <w:r w:rsidR="005732E4" w:rsidRPr="00997F82">
        <w:t>a</w:t>
      </w:r>
      <w:r w:rsidR="00F742C8" w:rsidRPr="00997F82">
        <w:t>lyse data on reach</w:t>
      </w:r>
      <w:r w:rsidR="00531683" w:rsidRPr="00997F82">
        <w:t xml:space="preserve"> and impact of future activities</w:t>
      </w:r>
      <w:r w:rsidR="00B65BBD" w:rsidRPr="00997F82">
        <w:t>, a</w:t>
      </w:r>
      <w:r w:rsidR="00742035" w:rsidRPr="00997F82">
        <w:t>nd</w:t>
      </w:r>
      <w:r w:rsidR="00B65BBD" w:rsidRPr="00997F82">
        <w:t xml:space="preserve"> </w:t>
      </w:r>
      <w:r w:rsidR="001B2BB9" w:rsidRPr="00997F82">
        <w:t>embedding direct consumer feedback and input</w:t>
      </w:r>
      <w:r w:rsidR="00531683" w:rsidRPr="00997F82">
        <w:t>.</w:t>
      </w:r>
    </w:p>
    <w:p w14:paraId="63330E1A" w14:textId="5FCD20F6" w:rsidR="00E61779" w:rsidRPr="00997F82" w:rsidRDefault="00E61779" w:rsidP="007770F3">
      <w:r w:rsidRPr="00997F82">
        <w:br w:type="page"/>
      </w:r>
    </w:p>
    <w:p w14:paraId="5727C6AF" w14:textId="6B8BAB29" w:rsidR="00E61779" w:rsidRPr="00997F82" w:rsidRDefault="00E95AA4" w:rsidP="00277D66">
      <w:pPr>
        <w:pStyle w:val="Heading1"/>
      </w:pPr>
      <w:bookmarkStart w:id="62" w:name="_Toc226898038"/>
      <w:bookmarkStart w:id="63" w:name="_Toc231898089"/>
      <w:r w:rsidRPr="00997F82">
        <w:t>Value for money</w:t>
      </w:r>
      <w:bookmarkEnd w:id="62"/>
      <w:bookmarkEnd w:id="63"/>
    </w:p>
    <w:p w14:paraId="33580807" w14:textId="13991B78" w:rsidR="00B00DC5" w:rsidRPr="00997F82" w:rsidRDefault="00B00DC5" w:rsidP="00277D66">
      <w:pPr>
        <w:pStyle w:val="Heading2"/>
      </w:pPr>
      <w:r w:rsidRPr="00997F82">
        <w:t>How cost-effective is the Program?</w:t>
      </w:r>
    </w:p>
    <w:tbl>
      <w:tblPr>
        <w:tblStyle w:val="IMSTable"/>
        <w:tblW w:w="0" w:type="auto"/>
        <w:tblLook w:val="06E0" w:firstRow="1" w:lastRow="1" w:firstColumn="1" w:lastColumn="0" w:noHBand="1" w:noVBand="1"/>
      </w:tblPr>
      <w:tblGrid>
        <w:gridCol w:w="9027"/>
      </w:tblGrid>
      <w:tr w:rsidR="002F6682" w14:paraId="2765ADF3" w14:textId="77777777" w:rsidTr="002F6682">
        <w:trPr>
          <w:cnfStyle w:val="100000000000" w:firstRow="1" w:lastRow="0" w:firstColumn="0" w:lastColumn="0" w:oddVBand="0" w:evenVBand="0" w:oddHBand="0" w:evenHBand="0" w:firstRowFirstColumn="0" w:firstRowLastColumn="0" w:lastRowFirstColumn="0" w:lastRowLastColumn="0"/>
          <w:tblHeader/>
        </w:trPr>
        <w:tc>
          <w:tcPr>
            <w:tcW w:w="9027" w:type="dxa"/>
          </w:tcPr>
          <w:p w14:paraId="286AE1D0" w14:textId="36703C9A" w:rsidR="002F6682" w:rsidRDefault="002F6682" w:rsidP="002F6682">
            <w:r w:rsidRPr="002F6682">
              <w:t>Key finding</w:t>
            </w:r>
          </w:p>
        </w:tc>
      </w:tr>
      <w:tr w:rsidR="002F6682" w14:paraId="5A024E98" w14:textId="77777777" w:rsidTr="002F6682">
        <w:tc>
          <w:tcPr>
            <w:tcW w:w="9027" w:type="dxa"/>
          </w:tcPr>
          <w:p w14:paraId="69113BD9" w14:textId="77777777" w:rsidR="002F6682" w:rsidRDefault="002F6682" w:rsidP="002F6682">
            <w:pPr>
              <w:spacing w:after="0"/>
            </w:pPr>
            <w:r>
              <w:t>The estimated cost per activity per PHN ranges from $3,530 - $200,000. Without access to the total number of participants per activity or reach of resources, it is difficult to determine if this estimate is representative of a cost-effective program. However, there are examples of PHNs demonstrating greater efficiencies via collaborations and shared activities. National expansion of successful activities, and national performance indicators could assist efficiencies further.</w:t>
            </w:r>
          </w:p>
          <w:p w14:paraId="02CEFE66" w14:textId="5531F5C2" w:rsidR="002F6682" w:rsidRDefault="002F6682" w:rsidP="002F6682">
            <w:r>
              <w:t>A key strength of the program lies in its strategic approach. Rather than investing in new programs or services, it utilises a modest investment to coordinate, strengthen, and amplify existing local expertise, activities, and infrastructure.</w:t>
            </w:r>
          </w:p>
        </w:tc>
      </w:tr>
      <w:tr w:rsidR="002F6682" w14:paraId="5279E10E" w14:textId="77777777" w:rsidTr="002F6682">
        <w:trPr>
          <w:cnfStyle w:val="010000000000" w:firstRow="0" w:lastRow="1" w:firstColumn="0" w:lastColumn="0" w:oddVBand="0" w:evenVBand="0" w:oddHBand="0" w:evenHBand="0" w:firstRowFirstColumn="0" w:firstRowLastColumn="0" w:lastRowFirstColumn="0" w:lastRowLastColumn="0"/>
        </w:trPr>
        <w:tc>
          <w:tcPr>
            <w:tcW w:w="9027" w:type="dxa"/>
          </w:tcPr>
          <w:p w14:paraId="258DF843" w14:textId="450C36D7" w:rsidR="002F6682" w:rsidRDefault="002F6682" w:rsidP="002F6682">
            <w:pPr>
              <w:pStyle w:val="Tablefooterwhite"/>
            </w:pPr>
            <w:r w:rsidRPr="002F6682">
              <w:t>Available evidence is limited and does not enable a definitive conclusion</w:t>
            </w:r>
          </w:p>
        </w:tc>
      </w:tr>
    </w:tbl>
    <w:p w14:paraId="1850BC4E" w14:textId="35F9A608" w:rsidR="00B00DC5" w:rsidRPr="00997F82" w:rsidRDefault="00B00DC5" w:rsidP="007770F3">
      <w:pPr>
        <w:pStyle w:val="Heading3"/>
      </w:pPr>
      <w:r w:rsidRPr="00997F82">
        <w:t>Background</w:t>
      </w:r>
    </w:p>
    <w:p w14:paraId="0263084D" w14:textId="6941E5C8" w:rsidR="00AB7B36" w:rsidRPr="00997F82" w:rsidRDefault="00106B4A" w:rsidP="00B00DC5">
      <w:pPr>
        <w:rPr>
          <w:bCs/>
        </w:rPr>
      </w:pPr>
      <w:r w:rsidRPr="00997F82">
        <w:rPr>
          <w:bCs/>
        </w:rPr>
        <w:t xml:space="preserve">A total of </w:t>
      </w:r>
      <w:r w:rsidR="00164CB9" w:rsidRPr="00997F82">
        <w:rPr>
          <w:bCs/>
        </w:rPr>
        <w:t xml:space="preserve">$37.3 million </w:t>
      </w:r>
      <w:r w:rsidRPr="00997F82">
        <w:rPr>
          <w:bCs/>
        </w:rPr>
        <w:t xml:space="preserve">was committed to the Program </w:t>
      </w:r>
      <w:r w:rsidR="001225A1" w:rsidRPr="00997F82">
        <w:rPr>
          <w:bCs/>
        </w:rPr>
        <w:t>across</w:t>
      </w:r>
      <w:r w:rsidR="00164CB9" w:rsidRPr="00997F82">
        <w:rPr>
          <w:bCs/>
        </w:rPr>
        <w:t xml:space="preserve"> all 31 PHNs for four years </w:t>
      </w:r>
      <w:r w:rsidR="003D05E7" w:rsidRPr="00997F82">
        <w:rPr>
          <w:bCs/>
        </w:rPr>
        <w:t xml:space="preserve">to </w:t>
      </w:r>
      <w:r w:rsidR="00164CB9" w:rsidRPr="00997F82">
        <w:rPr>
          <w:bCs/>
        </w:rPr>
        <w:t>2024</w:t>
      </w:r>
      <w:r w:rsidR="00362882" w:rsidRPr="00997F82">
        <w:rPr>
          <w:bCs/>
        </w:rPr>
        <w:t>-</w:t>
      </w:r>
      <w:r w:rsidR="00164CB9" w:rsidRPr="00997F82">
        <w:rPr>
          <w:bCs/>
        </w:rPr>
        <w:t xml:space="preserve">25. </w:t>
      </w:r>
      <w:r w:rsidR="00173C0F" w:rsidRPr="00997F82">
        <w:rPr>
          <w:bCs/>
        </w:rPr>
        <w:t>Under this funding, all PHNs received $300,000 per annum (pro-rat</w:t>
      </w:r>
      <w:r w:rsidR="00F46979" w:rsidRPr="00997F82">
        <w:rPr>
          <w:bCs/>
        </w:rPr>
        <w:t>a</w:t>
      </w:r>
      <w:r w:rsidR="00173C0F" w:rsidRPr="00997F82">
        <w:rPr>
          <w:bCs/>
        </w:rPr>
        <w:t>) to fund their activities.</w:t>
      </w:r>
      <w:r w:rsidR="00173C0F" w:rsidRPr="00997F82">
        <w:rPr>
          <w:rStyle w:val="FootnoteReference"/>
          <w:bCs/>
        </w:rPr>
        <w:footnoteReference w:id="66"/>
      </w:r>
      <w:r w:rsidR="007244AE" w:rsidRPr="00997F82">
        <w:rPr>
          <w:bCs/>
        </w:rPr>
        <w:t xml:space="preserve"> </w:t>
      </w:r>
      <w:r w:rsidR="00F272D5" w:rsidRPr="00997F82">
        <w:rPr>
          <w:bCs/>
        </w:rPr>
        <w:t>This</w:t>
      </w:r>
      <w:r w:rsidR="007244AE" w:rsidRPr="00997F82">
        <w:rPr>
          <w:bCs/>
        </w:rPr>
        <w:t xml:space="preserve"> funding is to ‘support the employment of up to two FTE staff members at each PHN and that funding could not be used for the direct delivery of palliative care services, duplication of existing programs or investments, major capital expenditure, retrospective costs, and general ongoing administration.</w:t>
      </w:r>
      <w:r w:rsidR="007244AE" w:rsidRPr="00997F82">
        <w:rPr>
          <w:rStyle w:val="FootnoteReference"/>
          <w:bCs/>
        </w:rPr>
        <w:footnoteReference w:id="67"/>
      </w:r>
      <w:r w:rsidR="007244AE" w:rsidRPr="00997F82">
        <w:rPr>
          <w:bCs/>
        </w:rPr>
        <w:t xml:space="preserve"> </w:t>
      </w:r>
    </w:p>
    <w:p w14:paraId="4AA2420A" w14:textId="716D31A4" w:rsidR="004D53F3" w:rsidRPr="00997F82" w:rsidRDefault="008856E0" w:rsidP="00B00DC5">
      <w:pPr>
        <w:rPr>
          <w:bCs/>
        </w:rPr>
      </w:pPr>
      <w:r w:rsidRPr="00997F82">
        <w:rPr>
          <w:bCs/>
        </w:rPr>
        <w:t xml:space="preserve">Health care </w:t>
      </w:r>
      <w:r w:rsidR="002A4905" w:rsidRPr="00997F82">
        <w:rPr>
          <w:bCs/>
        </w:rPr>
        <w:t xml:space="preserve">effectiveness </w:t>
      </w:r>
      <w:r w:rsidR="005671BA" w:rsidRPr="00997F82">
        <w:rPr>
          <w:bCs/>
        </w:rPr>
        <w:t xml:space="preserve">measures the </w:t>
      </w:r>
      <w:r w:rsidR="00C577FA" w:rsidRPr="00997F82">
        <w:rPr>
          <w:bCs/>
        </w:rPr>
        <w:t xml:space="preserve">degree to which </w:t>
      </w:r>
      <w:r w:rsidR="00427E85" w:rsidRPr="00997F82">
        <w:rPr>
          <w:bCs/>
        </w:rPr>
        <w:t>outputs</w:t>
      </w:r>
      <w:r w:rsidR="008C12E9" w:rsidRPr="00997F82">
        <w:rPr>
          <w:bCs/>
        </w:rPr>
        <w:t xml:space="preserve"> (treatments)</w:t>
      </w:r>
      <w:r w:rsidR="00AF3DA6" w:rsidRPr="00997F82">
        <w:rPr>
          <w:bCs/>
        </w:rPr>
        <w:t xml:space="preserve">, </w:t>
      </w:r>
      <w:r w:rsidR="00C2522B" w:rsidRPr="00997F82">
        <w:rPr>
          <w:bCs/>
        </w:rPr>
        <w:t xml:space="preserve">produce improved outcomes for patients. </w:t>
      </w:r>
      <w:r w:rsidR="00126684" w:rsidRPr="00997F82">
        <w:rPr>
          <w:bCs/>
        </w:rPr>
        <w:t>In th</w:t>
      </w:r>
      <w:r w:rsidR="006105E8" w:rsidRPr="00997F82">
        <w:rPr>
          <w:bCs/>
        </w:rPr>
        <w:t>e</w:t>
      </w:r>
      <w:r w:rsidR="00126684" w:rsidRPr="00997F82">
        <w:rPr>
          <w:bCs/>
        </w:rPr>
        <w:t xml:space="preserve"> case of th</w:t>
      </w:r>
      <w:r w:rsidR="00F272D5" w:rsidRPr="00997F82">
        <w:rPr>
          <w:bCs/>
        </w:rPr>
        <w:t>is</w:t>
      </w:r>
      <w:r w:rsidR="00126684" w:rsidRPr="00997F82">
        <w:rPr>
          <w:bCs/>
        </w:rPr>
        <w:t xml:space="preserve"> Program</w:t>
      </w:r>
      <w:r w:rsidR="006105E8" w:rsidRPr="00997F82">
        <w:rPr>
          <w:bCs/>
        </w:rPr>
        <w:t xml:space="preserve">, </w:t>
      </w:r>
      <w:r w:rsidR="00CA6912" w:rsidRPr="00997F82">
        <w:rPr>
          <w:bCs/>
        </w:rPr>
        <w:t>cost-</w:t>
      </w:r>
      <w:r w:rsidR="006105E8" w:rsidRPr="00997F82">
        <w:rPr>
          <w:bCs/>
        </w:rPr>
        <w:t>effectiveness</w:t>
      </w:r>
      <w:r w:rsidR="00CA6912" w:rsidRPr="00997F82">
        <w:rPr>
          <w:bCs/>
        </w:rPr>
        <w:t xml:space="preserve"> relates to </w:t>
      </w:r>
      <w:r w:rsidR="006C4F57" w:rsidRPr="00997F82">
        <w:rPr>
          <w:bCs/>
        </w:rPr>
        <w:t>the extent</w:t>
      </w:r>
      <w:r w:rsidR="00B72072" w:rsidRPr="00997F82">
        <w:rPr>
          <w:bCs/>
        </w:rPr>
        <w:t xml:space="preserve"> to which the </w:t>
      </w:r>
      <w:r w:rsidR="003A1367" w:rsidRPr="00997F82">
        <w:rPr>
          <w:bCs/>
        </w:rPr>
        <w:t>Program activitie</w:t>
      </w:r>
      <w:r w:rsidR="009D0022" w:rsidRPr="00997F82">
        <w:rPr>
          <w:bCs/>
        </w:rPr>
        <w:t xml:space="preserve">s resulted in </w:t>
      </w:r>
      <w:r w:rsidR="00623485" w:rsidRPr="00997F82">
        <w:rPr>
          <w:bCs/>
        </w:rPr>
        <w:t>improved</w:t>
      </w:r>
      <w:r w:rsidR="004D53F3" w:rsidRPr="00997F82">
        <w:rPr>
          <w:bCs/>
        </w:rPr>
        <w:t xml:space="preserve"> access to palliative care services at home and in the community. </w:t>
      </w:r>
    </w:p>
    <w:p w14:paraId="42C4BCA1" w14:textId="3E25CCBB" w:rsidR="007244AE" w:rsidRPr="00997F82" w:rsidRDefault="001D69F5" w:rsidP="00B00DC5">
      <w:pPr>
        <w:rPr>
          <w:bCs/>
        </w:rPr>
      </w:pPr>
      <w:r w:rsidRPr="00997F82">
        <w:rPr>
          <w:bCs/>
        </w:rPr>
        <w:t>Proactively delivered</w:t>
      </w:r>
      <w:r w:rsidR="00285121" w:rsidRPr="00997F82">
        <w:rPr>
          <w:bCs/>
        </w:rPr>
        <w:t xml:space="preserve"> home-based palliative care </w:t>
      </w:r>
      <w:r w:rsidRPr="00997F82">
        <w:rPr>
          <w:bCs/>
        </w:rPr>
        <w:t>for people with both malignant and non-malignant diagnosis has been shown to result in fewer people being hospitalised, lower number of days in hospital, and lower hospital costs.</w:t>
      </w:r>
      <w:r w:rsidRPr="00997F82">
        <w:rPr>
          <w:rStyle w:val="FootnoteReference"/>
          <w:bCs/>
        </w:rPr>
        <w:footnoteReference w:id="68"/>
      </w:r>
      <w:r w:rsidRPr="00997F82">
        <w:rPr>
          <w:bCs/>
        </w:rPr>
        <w:t xml:space="preserve"> </w:t>
      </w:r>
      <w:r w:rsidR="00C16548" w:rsidRPr="00997F82">
        <w:rPr>
          <w:bCs/>
        </w:rPr>
        <w:t xml:space="preserve">While it has </w:t>
      </w:r>
      <w:r w:rsidR="003010A7" w:rsidRPr="00997F82">
        <w:rPr>
          <w:bCs/>
        </w:rPr>
        <w:t xml:space="preserve">been </w:t>
      </w:r>
      <w:r w:rsidR="00EC2962" w:rsidRPr="00997F82">
        <w:rPr>
          <w:bCs/>
        </w:rPr>
        <w:t>shown that additional investment in</w:t>
      </w:r>
      <w:r w:rsidR="00C16548" w:rsidRPr="00997F82">
        <w:rPr>
          <w:bCs/>
        </w:rPr>
        <w:t xml:space="preserve"> </w:t>
      </w:r>
      <w:r w:rsidR="00966260" w:rsidRPr="00997F82">
        <w:rPr>
          <w:bCs/>
        </w:rPr>
        <w:t xml:space="preserve">palliative care </w:t>
      </w:r>
      <w:r w:rsidR="00284B91" w:rsidRPr="00997F82">
        <w:rPr>
          <w:bCs/>
        </w:rPr>
        <w:t xml:space="preserve">would be required to increase the number of people </w:t>
      </w:r>
      <w:r w:rsidR="00D13E7C" w:rsidRPr="00997F82">
        <w:rPr>
          <w:bCs/>
        </w:rPr>
        <w:t>able to die at home</w:t>
      </w:r>
      <w:r w:rsidR="00E572CC" w:rsidRPr="00997F82">
        <w:rPr>
          <w:bCs/>
        </w:rPr>
        <w:t>, the reduc</w:t>
      </w:r>
      <w:r w:rsidR="0093486D" w:rsidRPr="00997F82">
        <w:rPr>
          <w:bCs/>
        </w:rPr>
        <w:t>ed use of hospitals and RAC</w:t>
      </w:r>
      <w:r w:rsidR="00C71F78" w:rsidRPr="00997F82">
        <w:rPr>
          <w:bCs/>
        </w:rPr>
        <w:t>H</w:t>
      </w:r>
      <w:r w:rsidR="00270CCD" w:rsidRPr="00997F82">
        <w:rPr>
          <w:bCs/>
        </w:rPr>
        <w:t>s</w:t>
      </w:r>
      <w:r w:rsidR="00746F5A" w:rsidRPr="00997F82">
        <w:rPr>
          <w:bCs/>
        </w:rPr>
        <w:t xml:space="preserve"> would re</w:t>
      </w:r>
      <w:r w:rsidR="00FA746C" w:rsidRPr="00997F82">
        <w:rPr>
          <w:bCs/>
        </w:rPr>
        <w:t>lease funds</w:t>
      </w:r>
      <w:r w:rsidR="00A71242" w:rsidRPr="00997F82">
        <w:rPr>
          <w:bCs/>
        </w:rPr>
        <w:t xml:space="preserve"> </w:t>
      </w:r>
      <w:r w:rsidR="00AB75FD" w:rsidRPr="00997F82">
        <w:rPr>
          <w:bCs/>
        </w:rPr>
        <w:t>to offset the cost of providing services at home</w:t>
      </w:r>
      <w:r w:rsidR="00785A38" w:rsidRPr="00997F82">
        <w:rPr>
          <w:bCs/>
        </w:rPr>
        <w:t>.</w:t>
      </w:r>
      <w:r w:rsidR="00F95190" w:rsidRPr="00997F82">
        <w:rPr>
          <w:rStyle w:val="FootnoteReference"/>
          <w:bCs/>
        </w:rPr>
        <w:footnoteReference w:id="69"/>
      </w:r>
    </w:p>
    <w:p w14:paraId="3F7E9AC9" w14:textId="0516497B" w:rsidR="00B00DC5" w:rsidRPr="00997F82" w:rsidRDefault="00B00DC5" w:rsidP="007770F3">
      <w:pPr>
        <w:pStyle w:val="Heading3"/>
      </w:pPr>
      <w:r w:rsidRPr="00997F82">
        <w:t xml:space="preserve">Findings </w:t>
      </w:r>
    </w:p>
    <w:p w14:paraId="2AA9D017" w14:textId="0E5BF073" w:rsidR="008F3A57" w:rsidRPr="00997F82" w:rsidRDefault="008F3A57" w:rsidP="008F3A57">
      <w:r w:rsidRPr="00997F82">
        <w:rPr>
          <w:bCs/>
        </w:rPr>
        <w:t xml:space="preserve">PHN activities </w:t>
      </w:r>
      <w:r w:rsidR="00B733C7" w:rsidRPr="00997F82">
        <w:rPr>
          <w:bCs/>
        </w:rPr>
        <w:t>that improve access to palliative care, help identify patient needs and preferences and reduce barriers to home and community care can lead to cost savings by potentially lowering the use of emergency and acute services</w:t>
      </w:r>
      <w:r w:rsidRPr="00997F82">
        <w:rPr>
          <w:bCs/>
        </w:rPr>
        <w:t xml:space="preserve">. </w:t>
      </w:r>
    </w:p>
    <w:p w14:paraId="35C2A031" w14:textId="01E4AD90" w:rsidR="007671C1" w:rsidRPr="00997F82" w:rsidRDefault="000B1F73" w:rsidP="000B1F73">
      <w:r w:rsidRPr="00997F82">
        <w:t>PHNs completed or were continuing 204 activities throughout the 4-year funding period.</w:t>
      </w:r>
      <w:r w:rsidR="007671C1" w:rsidRPr="00997F82">
        <w:t xml:space="preserve"> The estimated cost per activity per PHN </w:t>
      </w:r>
      <w:r w:rsidR="005E2632" w:rsidRPr="00997F82">
        <w:t>was calculated to be</w:t>
      </w:r>
      <w:r w:rsidR="007671C1" w:rsidRPr="00997F82">
        <w:t xml:space="preserve"> around $</w:t>
      </w:r>
      <w:r w:rsidR="0058739B" w:rsidRPr="00997F82">
        <w:t>3</w:t>
      </w:r>
      <w:r w:rsidR="0006774C" w:rsidRPr="00997F82">
        <w:t>,</w:t>
      </w:r>
      <w:r w:rsidR="0058739B" w:rsidRPr="00997F82">
        <w:t>530 - $200,000</w:t>
      </w:r>
      <w:r w:rsidR="00E14661" w:rsidRPr="00997F82">
        <w:t xml:space="preserve">. </w:t>
      </w:r>
      <w:r w:rsidR="005560FD" w:rsidRPr="00997F82">
        <w:t xml:space="preserve">This has been estimated based on the range of activities undertaken by each PHN with the lowest being 3 and the highest being </w:t>
      </w:r>
      <w:r w:rsidR="00FC3AFA" w:rsidRPr="00997F82">
        <w:t>17. This</w:t>
      </w:r>
      <w:r w:rsidR="00200CCC" w:rsidRPr="00997F82">
        <w:t xml:space="preserve"> range should be interpreted </w:t>
      </w:r>
      <w:r w:rsidR="005560FD" w:rsidRPr="00997F82">
        <w:t xml:space="preserve">with a degree of caution </w:t>
      </w:r>
      <w:r w:rsidR="00200CCC" w:rsidRPr="00997F82">
        <w:t>and considered as a rough estimate only, which would vary depending on nature of the activity, geographic region</w:t>
      </w:r>
      <w:r w:rsidR="00FC07EA" w:rsidRPr="00997F82">
        <w:t xml:space="preserve"> and size</w:t>
      </w:r>
      <w:r w:rsidR="00200CCC" w:rsidRPr="00997F82">
        <w:t>, stakeholder involvement and intended objectives</w:t>
      </w:r>
      <w:r w:rsidR="007671C1" w:rsidRPr="00997F82">
        <w:t xml:space="preserve">. </w:t>
      </w:r>
    </w:p>
    <w:p w14:paraId="5B90F8BA" w14:textId="49FEC2EF" w:rsidR="007671C1" w:rsidRPr="00997F82" w:rsidRDefault="007671C1" w:rsidP="000B1F73">
      <w:r w:rsidRPr="00997F82">
        <w:t xml:space="preserve">It has also considered the following </w:t>
      </w:r>
      <w:r w:rsidR="0058739B" w:rsidRPr="00997F82">
        <w:t xml:space="preserve">assumptions: </w:t>
      </w:r>
    </w:p>
    <w:p w14:paraId="2B2E4864" w14:textId="77777777" w:rsidR="00B54529" w:rsidRPr="00997F82" w:rsidRDefault="00B54529" w:rsidP="007770F3">
      <w:pPr>
        <w:pStyle w:val="ListBullet"/>
      </w:pPr>
      <w:r w:rsidRPr="00997F82">
        <w:t xml:space="preserve">PHNs receive $300,000 per annum </w:t>
      </w:r>
    </w:p>
    <w:p w14:paraId="7F3560AC" w14:textId="019AD01B" w:rsidR="00B54529" w:rsidRPr="00997F82" w:rsidRDefault="0058739B" w:rsidP="007770F3">
      <w:pPr>
        <w:pStyle w:val="ListBullet"/>
      </w:pPr>
      <w:r w:rsidRPr="00997F82">
        <w:t xml:space="preserve">2.0 FTE </w:t>
      </w:r>
      <w:r w:rsidR="005E2632" w:rsidRPr="00997F82">
        <w:t>equates to roughly $180,000</w:t>
      </w:r>
      <w:r w:rsidR="00B54529" w:rsidRPr="00997F82">
        <w:t xml:space="preserve"> per annum</w:t>
      </w:r>
    </w:p>
    <w:p w14:paraId="79E5130E" w14:textId="3D44D5B7" w:rsidR="00200CCC" w:rsidRPr="00997F82" w:rsidRDefault="00B54529" w:rsidP="007770F3">
      <w:pPr>
        <w:pStyle w:val="ListBullet"/>
      </w:pPr>
      <w:r w:rsidRPr="00997F82">
        <w:t xml:space="preserve">Administrative overheads </w:t>
      </w:r>
    </w:p>
    <w:p w14:paraId="35642D3E" w14:textId="306351B0" w:rsidR="005560FD" w:rsidRPr="00997F82" w:rsidRDefault="005560FD" w:rsidP="00200CCC">
      <w:r w:rsidRPr="00997F82">
        <w:t xml:space="preserve">There are </w:t>
      </w:r>
      <w:r w:rsidR="00C7469A" w:rsidRPr="00997F82">
        <w:t>several</w:t>
      </w:r>
      <w:r w:rsidRPr="00997F82">
        <w:t xml:space="preserve"> factors that would influence this range such as: </w:t>
      </w:r>
    </w:p>
    <w:p w14:paraId="0E585AEF" w14:textId="79A7CCAE" w:rsidR="009A33F7" w:rsidRPr="00997F82" w:rsidRDefault="009A33F7" w:rsidP="007770F3">
      <w:pPr>
        <w:pStyle w:val="ListBullet"/>
      </w:pPr>
      <w:r w:rsidRPr="00997F82">
        <w:t xml:space="preserve">As discussed throughout the chapters above, some PHNs had trouble in recruiting and retention of staff throughout the Program period, which influences the consistent spend associated with FTE. </w:t>
      </w:r>
    </w:p>
    <w:p w14:paraId="55DE5A17" w14:textId="43A090CC" w:rsidR="009A33F7" w:rsidRPr="00997F82" w:rsidRDefault="009A33F7" w:rsidP="007770F3">
      <w:pPr>
        <w:pStyle w:val="ListBullet"/>
      </w:pPr>
      <w:r w:rsidRPr="00997F82">
        <w:t>PHNs with large catchments in rural areas had added financial challenges associated with travel.</w:t>
      </w:r>
    </w:p>
    <w:p w14:paraId="4E32F5CD" w14:textId="77777777" w:rsidR="009A33F7" w:rsidRPr="00997F82" w:rsidRDefault="009A33F7" w:rsidP="007770F3">
      <w:pPr>
        <w:pStyle w:val="ListBullet"/>
      </w:pPr>
      <w:r w:rsidRPr="00997F82">
        <w:t xml:space="preserve">Activities such as stakeholder consultation and independent evaluation can be costly to deliver, and while they do not directly translate to outcomes, these activities have value in knowledge generation and provide direction for the future program activity that may be associated with potential outcomes.  </w:t>
      </w:r>
    </w:p>
    <w:p w14:paraId="32DEF8A7" w14:textId="60DDCCE8" w:rsidR="00E41803" w:rsidRPr="00997F82" w:rsidRDefault="002446C7" w:rsidP="002B354E">
      <w:r w:rsidRPr="00997F82">
        <w:t>Therefore,</w:t>
      </w:r>
      <w:r w:rsidR="00D602AD" w:rsidRPr="00997F82">
        <w:t xml:space="preserve"> this </w:t>
      </w:r>
      <w:r w:rsidRPr="00997F82">
        <w:t xml:space="preserve">estimate </w:t>
      </w:r>
      <w:r w:rsidR="00D602AD" w:rsidRPr="00997F82">
        <w:t>could represent good value for money for the level of training, reach and engagement that was achieved. However, for other activities, this may not be considered cost-effective, such as the development of resources that have had limited reach.</w:t>
      </w:r>
      <w:r w:rsidR="00B96360" w:rsidRPr="00997F82">
        <w:t xml:space="preserve"> </w:t>
      </w:r>
      <w:r w:rsidRPr="00997F82">
        <w:t>W</w:t>
      </w:r>
      <w:r w:rsidR="00B96360" w:rsidRPr="00997F82">
        <w:t xml:space="preserve">ithout access to the total number of participants per activity or reach of resources, it is difficult to determine if this estimate is representative of a cost-effective program. </w:t>
      </w:r>
    </w:p>
    <w:p w14:paraId="5EF806C0" w14:textId="0745BF41" w:rsidR="007E241A" w:rsidRPr="00997F82" w:rsidRDefault="007E241A" w:rsidP="007E241A">
      <w:r w:rsidRPr="00997F82">
        <w:t xml:space="preserve">Some PHNs </w:t>
      </w:r>
      <w:r w:rsidR="00E05612" w:rsidRPr="00997F82">
        <w:t>used</w:t>
      </w:r>
      <w:r w:rsidRPr="00997F82">
        <w:t xml:space="preserve"> collaboration and pooling funding to </w:t>
      </w:r>
      <w:r w:rsidR="00E36D09" w:rsidRPr="00997F82">
        <w:t xml:space="preserve">increase the </w:t>
      </w:r>
      <w:r w:rsidR="00DC7CF6" w:rsidRPr="00997F82">
        <w:t xml:space="preserve">reach and </w:t>
      </w:r>
      <w:r w:rsidR="00E36D09" w:rsidRPr="00997F82">
        <w:t>impact of their activity.</w:t>
      </w:r>
      <w:r w:rsidRPr="00997F82">
        <w:t xml:space="preserve"> For example, </w:t>
      </w:r>
      <w:r w:rsidR="0077424C" w:rsidRPr="00997F82">
        <w:t xml:space="preserve">collaboration between </w:t>
      </w:r>
      <w:proofErr w:type="gramStart"/>
      <w:r w:rsidRPr="00997F82">
        <w:t>North Western</w:t>
      </w:r>
      <w:proofErr w:type="gramEnd"/>
      <w:r w:rsidRPr="00997F82">
        <w:t xml:space="preserve"> Melbourne PHN, Eastern Melbourne PHN and </w:t>
      </w:r>
      <w:proofErr w:type="gramStart"/>
      <w:r w:rsidRPr="00997F82">
        <w:t>South Eastern</w:t>
      </w:r>
      <w:proofErr w:type="gramEnd"/>
      <w:r w:rsidRPr="00997F82">
        <w:t xml:space="preserve"> Melbourne PHN </w:t>
      </w:r>
      <w:r w:rsidR="0077424C" w:rsidRPr="00997F82">
        <w:t xml:space="preserve">on the </w:t>
      </w:r>
      <w:r w:rsidRPr="00997F82">
        <w:t xml:space="preserve">Palliative Care Access to Core Medicines (PCAM) Project. </w:t>
      </w:r>
      <w:r w:rsidR="00FC495E" w:rsidRPr="00997F82">
        <w:t>The</w:t>
      </w:r>
      <w:r w:rsidR="004A16C2" w:rsidRPr="00997F82">
        <w:t xml:space="preserve"> interactive map produced as an output of this activity </w:t>
      </w:r>
      <w:r w:rsidR="008A0CEF" w:rsidRPr="00997F82">
        <w:t>had</w:t>
      </w:r>
      <w:r w:rsidR="00DF34C0" w:rsidRPr="00997F82">
        <w:t xml:space="preserve"> </w:t>
      </w:r>
      <w:r w:rsidRPr="00997F82">
        <w:t>17,500 views</w:t>
      </w:r>
      <w:r w:rsidR="008A0CEF" w:rsidRPr="00997F82">
        <w:t xml:space="preserve"> (at Endpoint)</w:t>
      </w:r>
      <w:r w:rsidR="004A16C2" w:rsidRPr="00997F82">
        <w:t xml:space="preserve"> and a</w:t>
      </w:r>
      <w:r w:rsidR="00D10B12" w:rsidRPr="00997F82">
        <w:t xml:space="preserve">n associated evaluation </w:t>
      </w:r>
      <w:r w:rsidR="00F2493B" w:rsidRPr="00997F82">
        <w:t>by the Pharmaceutical Society of Australia</w:t>
      </w:r>
      <w:r w:rsidRPr="00997F82">
        <w:t xml:space="preserve"> </w:t>
      </w:r>
      <w:r w:rsidR="00EF5173" w:rsidRPr="00997F82">
        <w:t xml:space="preserve">provides </w:t>
      </w:r>
      <w:r w:rsidR="004C22E1" w:rsidRPr="00997F82">
        <w:t>useful</w:t>
      </w:r>
      <w:r w:rsidR="00EF5173" w:rsidRPr="00997F82">
        <w:t xml:space="preserve"> learnings </w:t>
      </w:r>
      <w:r w:rsidR="004C22E1" w:rsidRPr="00997F82">
        <w:t>about</w:t>
      </w:r>
      <w:r w:rsidR="000A442E" w:rsidRPr="00997F82">
        <w:t xml:space="preserve"> the challenges associated with </w:t>
      </w:r>
      <w:r w:rsidR="0079020D" w:rsidRPr="00997F82">
        <w:t xml:space="preserve">implementation. </w:t>
      </w:r>
      <w:r w:rsidR="00365C22" w:rsidRPr="00997F82">
        <w:t xml:space="preserve">The collective impact of the three PHNs working together to </w:t>
      </w:r>
      <w:r w:rsidR="00801360" w:rsidRPr="00997F82">
        <w:t>reach</w:t>
      </w:r>
      <w:r w:rsidR="0079020D" w:rsidRPr="00997F82">
        <w:t xml:space="preserve"> </w:t>
      </w:r>
      <w:r w:rsidR="004510A6" w:rsidRPr="00997F82">
        <w:t>a larger audience</w:t>
      </w:r>
      <w:r w:rsidR="007B2271" w:rsidRPr="00997F82">
        <w:t>, positive engagement with the project and</w:t>
      </w:r>
      <w:r w:rsidR="0079020D" w:rsidRPr="00997F82">
        <w:t xml:space="preserve"> </w:t>
      </w:r>
      <w:r w:rsidR="00CD09D2" w:rsidRPr="00997F82">
        <w:t xml:space="preserve">valuable learnings through </w:t>
      </w:r>
      <w:r w:rsidR="00B3729C" w:rsidRPr="00997F82">
        <w:t xml:space="preserve">effective evaluation </w:t>
      </w:r>
      <w:r w:rsidR="009618E7" w:rsidRPr="00997F82">
        <w:t xml:space="preserve">is an example of </w:t>
      </w:r>
      <w:r w:rsidR="004C26AA" w:rsidRPr="00997F82">
        <w:t>program activity that de</w:t>
      </w:r>
      <w:r w:rsidR="00BD1C09" w:rsidRPr="00997F82">
        <w:t>monstrates cost-effectiveness</w:t>
      </w:r>
      <w:r w:rsidR="004C26AA" w:rsidRPr="00997F82">
        <w:t xml:space="preserve"> </w:t>
      </w:r>
      <w:r w:rsidR="003D556A" w:rsidRPr="00997F82">
        <w:t xml:space="preserve">and efficiency. This scale of </w:t>
      </w:r>
      <w:r w:rsidR="002241DE" w:rsidRPr="00997F82">
        <w:t xml:space="preserve">impact would likely not have been possible </w:t>
      </w:r>
      <w:r w:rsidR="00F958A6" w:rsidRPr="00997F82">
        <w:t>if</w:t>
      </w:r>
      <w:r w:rsidR="003D556A" w:rsidRPr="00997F82">
        <w:t xml:space="preserve"> </w:t>
      </w:r>
      <w:r w:rsidRPr="00997F82">
        <w:t xml:space="preserve">the </w:t>
      </w:r>
      <w:r w:rsidR="0037361C" w:rsidRPr="00997F82">
        <w:t xml:space="preserve">same </w:t>
      </w:r>
      <w:r w:rsidRPr="00997F82">
        <w:t xml:space="preserve">activity </w:t>
      </w:r>
      <w:r w:rsidR="0037361C" w:rsidRPr="00997F82">
        <w:t xml:space="preserve">had been </w:t>
      </w:r>
      <w:r w:rsidRPr="00997F82">
        <w:t xml:space="preserve">conducted individually. </w:t>
      </w:r>
    </w:p>
    <w:p w14:paraId="04C9B0EE" w14:textId="3615FC0F" w:rsidR="00290FDF" w:rsidRPr="00997F82" w:rsidRDefault="007E241A" w:rsidP="007770F3">
      <w:r w:rsidRPr="00997F82">
        <w:t>Healthy North Coast PHN is similarly pooling different funding sources to contribute to their Integrated Model of Support (</w:t>
      </w:r>
      <w:proofErr w:type="spellStart"/>
      <w:r w:rsidRPr="00997F82">
        <w:t>IMoS</w:t>
      </w:r>
      <w:proofErr w:type="spellEnd"/>
      <w:r w:rsidRPr="00997F82">
        <w:t xml:space="preserve">) project for people living in residential aged care, supported by a regional collaborative and existing resources from across the local care ecosystem. The objective of </w:t>
      </w:r>
      <w:proofErr w:type="spellStart"/>
      <w:r w:rsidRPr="00997F82">
        <w:t>IMoS</w:t>
      </w:r>
      <w:proofErr w:type="spellEnd"/>
      <w:r w:rsidRPr="00997F82">
        <w:t xml:space="preserve"> is to reduce unnecessary hospitalisations, save on higher acuity costs, and deliver coordinated end-of-life processes for people in RACHs. This multi-sector approach to anticipatory practices and palliative care includes RACHs, the LHD, GPs, nurse practitioners, pharmacists, and university facilitators and will be implemented </w:t>
      </w:r>
      <w:proofErr w:type="gramStart"/>
      <w:r w:rsidRPr="00997F82">
        <w:t>in the near future</w:t>
      </w:r>
      <w:proofErr w:type="gramEnd"/>
      <w:r w:rsidRPr="00997F82">
        <w:t>.</w:t>
      </w:r>
    </w:p>
    <w:p w14:paraId="4557237A" w14:textId="5B929B42" w:rsidR="00E816D6" w:rsidRPr="00997F82" w:rsidRDefault="00057C78" w:rsidP="008F3A57">
      <w:r w:rsidRPr="00997F82">
        <w:t>When asked</w:t>
      </w:r>
      <w:r w:rsidR="00DA1979" w:rsidRPr="00997F82">
        <w:t xml:space="preserve"> about the opportunities for improvement within the current funding framework, </w:t>
      </w:r>
      <w:r w:rsidR="00FA0F14" w:rsidRPr="00997F82">
        <w:t xml:space="preserve">the </w:t>
      </w:r>
      <w:r w:rsidR="00FA2CDB" w:rsidRPr="00997F82">
        <w:t xml:space="preserve">themes from qualitative responses </w:t>
      </w:r>
      <w:r w:rsidR="00535C5E" w:rsidRPr="00997F82">
        <w:t>to PHN E</w:t>
      </w:r>
      <w:r w:rsidR="00EA43B6" w:rsidRPr="00997F82">
        <w:t>ndpoint survey</w:t>
      </w:r>
      <w:r w:rsidR="00540074" w:rsidRPr="00997F82">
        <w:t xml:space="preserve"> included:</w:t>
      </w:r>
      <w:r w:rsidR="00EA43B6" w:rsidRPr="00997F82">
        <w:rPr>
          <w:rStyle w:val="FootnoteReference"/>
        </w:rPr>
        <w:footnoteReference w:id="70"/>
      </w:r>
    </w:p>
    <w:p w14:paraId="44B6E8E5" w14:textId="670CAE7C" w:rsidR="00D20306" w:rsidRPr="00997F82" w:rsidRDefault="00402E7D" w:rsidP="007770F3">
      <w:pPr>
        <w:pStyle w:val="ListBullet"/>
      </w:pPr>
      <w:r w:rsidRPr="00997F82">
        <w:t>A</w:t>
      </w:r>
      <w:r w:rsidR="00787A2A" w:rsidRPr="00997F82">
        <w:t>pprecia</w:t>
      </w:r>
      <w:r w:rsidR="00EC6566" w:rsidRPr="00997F82">
        <w:t>tion of</w:t>
      </w:r>
      <w:r w:rsidR="00BF4A22" w:rsidRPr="00997F82">
        <w:t xml:space="preserve"> </w:t>
      </w:r>
      <w:r w:rsidR="00C22FE3" w:rsidRPr="00997F82">
        <w:t>support</w:t>
      </w:r>
      <w:r w:rsidR="00BE7F92" w:rsidRPr="00997F82">
        <w:t xml:space="preserve"> </w:t>
      </w:r>
      <w:r w:rsidR="00A855C1" w:rsidRPr="00997F82">
        <w:t>in the Guidelines</w:t>
      </w:r>
      <w:r w:rsidR="00BE7F92" w:rsidRPr="00997F82">
        <w:t xml:space="preserve"> to </w:t>
      </w:r>
      <w:r w:rsidR="00A855C1" w:rsidRPr="00997F82">
        <w:t>be flexible and</w:t>
      </w:r>
      <w:r w:rsidR="00BE7F92" w:rsidRPr="00997F82">
        <w:t xml:space="preserve"> </w:t>
      </w:r>
      <w:r w:rsidR="00BF4A22" w:rsidRPr="00997F82">
        <w:t>tailor</w:t>
      </w:r>
      <w:r w:rsidR="00A855C1" w:rsidRPr="00997F82">
        <w:t xml:space="preserve"> activities to</w:t>
      </w:r>
      <w:r w:rsidR="00BF4A22" w:rsidRPr="00997F82">
        <w:t xml:space="preserve"> local </w:t>
      </w:r>
      <w:r w:rsidR="00A855C1" w:rsidRPr="00997F82">
        <w:t>needs</w:t>
      </w:r>
      <w:r w:rsidRPr="00997F82">
        <w:t>.</w:t>
      </w:r>
    </w:p>
    <w:p w14:paraId="2F574609" w14:textId="59C3240A" w:rsidR="008A487E" w:rsidRPr="00997F82" w:rsidRDefault="00402E7D" w:rsidP="007770F3">
      <w:pPr>
        <w:pStyle w:val="ListBullet"/>
      </w:pPr>
      <w:r w:rsidRPr="00997F82">
        <w:t>D</w:t>
      </w:r>
      <w:r w:rsidR="00D20306" w:rsidRPr="00997F82">
        <w:t>esire</w:t>
      </w:r>
      <w:r w:rsidR="00935B08" w:rsidRPr="00997F82">
        <w:t xml:space="preserve"> for national consistency </w:t>
      </w:r>
      <w:r w:rsidR="00D20306" w:rsidRPr="00997F82">
        <w:t>of activitie</w:t>
      </w:r>
      <w:r w:rsidR="0026080A" w:rsidRPr="00997F82">
        <w:t>s</w:t>
      </w:r>
      <w:r w:rsidR="00935B08" w:rsidRPr="00997F82">
        <w:t xml:space="preserve"> </w:t>
      </w:r>
      <w:r w:rsidR="00822CDD" w:rsidRPr="00997F82">
        <w:t>to e</w:t>
      </w:r>
      <w:r w:rsidR="00BE5C16" w:rsidRPr="00997F82">
        <w:t>nable opportunities</w:t>
      </w:r>
      <w:r w:rsidR="006977B9" w:rsidRPr="00997F82">
        <w:t xml:space="preserve"> for</w:t>
      </w:r>
      <w:r w:rsidR="0026080A" w:rsidRPr="00997F82">
        <w:t xml:space="preserve"> </w:t>
      </w:r>
      <w:r w:rsidR="006977B9" w:rsidRPr="00997F82">
        <w:t>assess</w:t>
      </w:r>
      <w:r w:rsidR="00BE5C16" w:rsidRPr="00997F82">
        <w:t xml:space="preserve">ing </w:t>
      </w:r>
      <w:r w:rsidR="00EB0FAE" w:rsidRPr="00997F82">
        <w:t xml:space="preserve">collective </w:t>
      </w:r>
      <w:r w:rsidR="00BA3549" w:rsidRPr="00997F82">
        <w:t>impact</w:t>
      </w:r>
      <w:r w:rsidR="006977B9" w:rsidRPr="00997F82">
        <w:t xml:space="preserve"> more effectively</w:t>
      </w:r>
      <w:r w:rsidRPr="00997F82">
        <w:t>.</w:t>
      </w:r>
    </w:p>
    <w:p w14:paraId="61693EA6" w14:textId="4B480359" w:rsidR="005A0D04" w:rsidRPr="00997F82" w:rsidRDefault="1CD15CA2" w:rsidP="007770F3">
      <w:pPr>
        <w:pStyle w:val="ListBullet"/>
      </w:pPr>
      <w:r w:rsidRPr="00997F82">
        <w:t xml:space="preserve">Suggestions </w:t>
      </w:r>
      <w:r w:rsidR="489BA9C5" w:rsidRPr="00997F82">
        <w:t>for increased</w:t>
      </w:r>
      <w:r w:rsidR="6D0EA1A1" w:rsidRPr="00997F82">
        <w:t xml:space="preserve"> collaboration </w:t>
      </w:r>
      <w:r w:rsidR="0297C379" w:rsidRPr="00997F82">
        <w:t xml:space="preserve">between PHNs, national models </w:t>
      </w:r>
      <w:r w:rsidR="3936FB9E" w:rsidRPr="00997F82">
        <w:t xml:space="preserve">and </w:t>
      </w:r>
      <w:r w:rsidR="0297C379" w:rsidRPr="00997F82">
        <w:t xml:space="preserve">‘scaling up’ of projects, </w:t>
      </w:r>
      <w:r w:rsidR="30074E18" w:rsidRPr="00997F82">
        <w:t>and</w:t>
      </w:r>
      <w:r w:rsidR="3936FB9E" w:rsidRPr="00997F82">
        <w:t xml:space="preserve"> more prescriptive contracted deliverables. </w:t>
      </w:r>
      <w:r w:rsidR="009E7BC6" w:rsidRPr="00997F82">
        <w:t xml:space="preserve">Examples of activities that would benefit from ‘scaling up’ include the </w:t>
      </w:r>
      <w:r w:rsidR="0038736E" w:rsidRPr="00997F82">
        <w:t>development of</w:t>
      </w:r>
      <w:r w:rsidR="009E7BC6" w:rsidRPr="00997F82">
        <w:t xml:space="preserve"> whole-of-system end of life coordination models, </w:t>
      </w:r>
      <w:r w:rsidR="0038736E" w:rsidRPr="00997F82">
        <w:t xml:space="preserve">identifying </w:t>
      </w:r>
      <w:r w:rsidR="009E7BC6" w:rsidRPr="00997F82">
        <w:t>palliative care friendly community pharmacies, quality improvement activities being undertaken with GPs, and palliative care champions being trained</w:t>
      </w:r>
      <w:r w:rsidR="0038736E" w:rsidRPr="00997F82">
        <w:t xml:space="preserve"> in different service systems.</w:t>
      </w:r>
      <w:r w:rsidR="009E7BC6" w:rsidRPr="00997F82">
        <w:t xml:space="preserve"> </w:t>
      </w:r>
    </w:p>
    <w:p w14:paraId="37891887" w14:textId="6840937E" w:rsidR="002C794B" w:rsidRPr="00997F82" w:rsidRDefault="005A0D04" w:rsidP="007770F3">
      <w:pPr>
        <w:pStyle w:val="ListBullet"/>
      </w:pPr>
      <w:r w:rsidRPr="00997F82">
        <w:t xml:space="preserve">Concerns about </w:t>
      </w:r>
      <w:r w:rsidR="0027529F" w:rsidRPr="00997F82">
        <w:t>duplication</w:t>
      </w:r>
      <w:r w:rsidRPr="00997F82">
        <w:t xml:space="preserve"> of activities </w:t>
      </w:r>
      <w:r w:rsidR="00932551" w:rsidRPr="00997F82">
        <w:t>across PHNs</w:t>
      </w:r>
      <w:r w:rsidR="002C794B" w:rsidRPr="00997F82">
        <w:t xml:space="preserve"> being inefficient</w:t>
      </w:r>
      <w:r w:rsidR="00E23586" w:rsidRPr="00997F82">
        <w:t>, and</w:t>
      </w:r>
      <w:r w:rsidR="0027529F" w:rsidRPr="00997F82">
        <w:t xml:space="preserve"> </w:t>
      </w:r>
      <w:r w:rsidR="00574FE5" w:rsidRPr="00997F82">
        <w:t>costs of producing har</w:t>
      </w:r>
      <w:r w:rsidR="00957EAE" w:rsidRPr="00997F82">
        <w:t>d-copy resources</w:t>
      </w:r>
      <w:r w:rsidR="00036E2E" w:rsidRPr="00997F82">
        <w:t xml:space="preserve"> on a small scale</w:t>
      </w:r>
      <w:r w:rsidR="00402E7D" w:rsidRPr="00997F82">
        <w:t>.</w:t>
      </w:r>
    </w:p>
    <w:p w14:paraId="666AD704" w14:textId="4486C52C" w:rsidR="00DD496B" w:rsidRPr="00997F82" w:rsidRDefault="00290FDF" w:rsidP="007770F3">
      <w:pPr>
        <w:pStyle w:val="ListBullet"/>
      </w:pPr>
      <w:r w:rsidRPr="00997F82">
        <w:t xml:space="preserve">Desire for </w:t>
      </w:r>
      <w:r w:rsidR="00343D5E" w:rsidRPr="00997F82">
        <w:t xml:space="preserve">the Guidelines </w:t>
      </w:r>
      <w:r w:rsidRPr="00997F82">
        <w:t xml:space="preserve">to be </w:t>
      </w:r>
      <w:r w:rsidR="006D594E" w:rsidRPr="00997F82">
        <w:t>inclu</w:t>
      </w:r>
      <w:r w:rsidR="00343D5E" w:rsidRPr="00997F82">
        <w:t xml:space="preserve">sive of </w:t>
      </w:r>
      <w:r w:rsidR="0027529F" w:rsidRPr="00997F82">
        <w:t xml:space="preserve">flexible funding beyond FTE </w:t>
      </w:r>
      <w:r w:rsidR="007E3589" w:rsidRPr="00997F82">
        <w:t>expenditure</w:t>
      </w:r>
      <w:r w:rsidR="00627638" w:rsidRPr="00997F82">
        <w:t xml:space="preserve"> for Program </w:t>
      </w:r>
      <w:r w:rsidR="009E13EB" w:rsidRPr="00997F82">
        <w:t>a</w:t>
      </w:r>
      <w:r w:rsidR="00627638" w:rsidRPr="00997F82">
        <w:t>ctivities</w:t>
      </w:r>
      <w:r w:rsidR="0027529F" w:rsidRPr="00997F82">
        <w:t xml:space="preserve">, </w:t>
      </w:r>
      <w:r w:rsidRPr="00997F82">
        <w:t xml:space="preserve">include </w:t>
      </w:r>
      <w:r w:rsidR="0027529F" w:rsidRPr="00997F82">
        <w:t xml:space="preserve">needs-based funding allocations and </w:t>
      </w:r>
      <w:r w:rsidRPr="00997F82">
        <w:t xml:space="preserve">allow </w:t>
      </w:r>
      <w:r w:rsidR="00DD496B" w:rsidRPr="00997F82">
        <w:t>the commissioning (or joint commissioning)</w:t>
      </w:r>
      <w:r w:rsidR="00DD496B" w:rsidRPr="00997F82" w:rsidDel="0007035E">
        <w:t xml:space="preserve"> of services</w:t>
      </w:r>
      <w:r w:rsidR="00DD496B" w:rsidRPr="00997F82">
        <w:t>.</w:t>
      </w:r>
    </w:p>
    <w:p w14:paraId="2B18154C" w14:textId="0A01B464" w:rsidR="00D629B9" w:rsidRPr="00997F82" w:rsidDel="00D23537" w:rsidRDefault="00101DE8" w:rsidP="00D629B9">
      <w:r w:rsidRPr="00997F82">
        <w:t xml:space="preserve">PHNs </w:t>
      </w:r>
      <w:r w:rsidR="00B903CD" w:rsidRPr="00997F82">
        <w:t xml:space="preserve">appear to be conscious of the </w:t>
      </w:r>
      <w:r w:rsidR="00D74499" w:rsidRPr="00997F82">
        <w:t xml:space="preserve">need to ensure that the program is </w:t>
      </w:r>
      <w:r w:rsidR="00806687" w:rsidRPr="00997F82">
        <w:t xml:space="preserve">both </w:t>
      </w:r>
      <w:r w:rsidR="00D74499" w:rsidRPr="00997F82">
        <w:t xml:space="preserve">effective in </w:t>
      </w:r>
      <w:r w:rsidR="007260A6" w:rsidRPr="00997F82">
        <w:t xml:space="preserve">improving access to palliative care at home and </w:t>
      </w:r>
      <w:r w:rsidR="00BD6DE4" w:rsidRPr="00997F82">
        <w:t>in the community as well as</w:t>
      </w:r>
      <w:r w:rsidR="00806687" w:rsidRPr="00997F82">
        <w:t xml:space="preserve"> delivering value for </w:t>
      </w:r>
      <w:r w:rsidR="009870A5" w:rsidRPr="00997F82">
        <w:t>money</w:t>
      </w:r>
      <w:r w:rsidR="00BD6DE4" w:rsidRPr="00997F82">
        <w:t>.</w:t>
      </w:r>
      <w:r w:rsidR="009870A5" w:rsidRPr="00997F82">
        <w:t xml:space="preserve"> </w:t>
      </w:r>
      <w:r w:rsidR="00CD03BD" w:rsidRPr="00997F82">
        <w:t>S</w:t>
      </w:r>
      <w:r w:rsidR="00D23537" w:rsidRPr="00997F82">
        <w:t>ur</w:t>
      </w:r>
      <w:r w:rsidR="00A7345B" w:rsidRPr="00997F82">
        <w:t>ve</w:t>
      </w:r>
      <w:r w:rsidR="00CD03BD" w:rsidRPr="00997F82">
        <w:t>y r</w:t>
      </w:r>
      <w:r w:rsidR="00ED1E8F" w:rsidRPr="00997F82">
        <w:t xml:space="preserve">esponses to the PHN survey </w:t>
      </w:r>
      <w:r w:rsidR="00D23537" w:rsidRPr="00997F82">
        <w:t>indicate a strong willingness among PHNs to collaborate, share knowledge, and benchmark activities and outcomes across regions. This presents a significant opportunity for PHNs to proactively drive these collective improvements together in the future, aligning with the collaborative emphasis within the 2025-2029 Grant Opportunity Guidelines. Realising this enhanced, PHN-driven collaboration may, however, require additional resources and funding.</w:t>
      </w:r>
    </w:p>
    <w:p w14:paraId="0967FF1E" w14:textId="77777777" w:rsidR="007770F3" w:rsidRPr="007770F3" w:rsidRDefault="007770F3" w:rsidP="007770F3">
      <w:pPr>
        <w:pStyle w:val="IntenseQuote"/>
      </w:pPr>
      <w:r w:rsidRPr="007770F3">
        <w:t>“Promoting a tailored program of activities is a priority, however, scaling up successful models developed during previous GCfAHPC years can enhance effectiveness and cost-efficiency. Establishing national models, with a lead PHN overseeing funding and program development…can drive greater population health impact and facilitate the achievement of outcomes.”</w:t>
      </w:r>
    </w:p>
    <w:p w14:paraId="021BF98E" w14:textId="75B2D3A6" w:rsidR="00C47F57" w:rsidRPr="00997F82" w:rsidRDefault="007770F3" w:rsidP="007770F3">
      <w:pPr>
        <w:pStyle w:val="IntenseQuote"/>
      </w:pPr>
      <w:r w:rsidRPr="007770F3">
        <w:t>- PHN survey</w:t>
      </w:r>
    </w:p>
    <w:p w14:paraId="4A0635C5" w14:textId="1ED96FBD" w:rsidR="00B00DC5" w:rsidRPr="00997F82" w:rsidRDefault="00B00DC5" w:rsidP="007770F3">
      <w:pPr>
        <w:pStyle w:val="Heading3"/>
      </w:pPr>
      <w:r w:rsidRPr="00997F82">
        <w:t>Implications</w:t>
      </w:r>
    </w:p>
    <w:p w14:paraId="06A209E6" w14:textId="3540B588" w:rsidR="00630EA1" w:rsidRPr="00997F82" w:rsidRDefault="00AB407F" w:rsidP="007770F3">
      <w:pPr>
        <w:pStyle w:val="ListBullet"/>
      </w:pPr>
      <w:r w:rsidRPr="00997F82">
        <w:t>PHN</w:t>
      </w:r>
      <w:r w:rsidR="00EA1F4C" w:rsidRPr="00997F82">
        <w:t xml:space="preserve"> activities</w:t>
      </w:r>
      <w:r w:rsidR="007C367F" w:rsidRPr="00997F82">
        <w:t>, especially those relating to workforce education and</w:t>
      </w:r>
      <w:r w:rsidR="008D49FC" w:rsidRPr="00997F82">
        <w:t xml:space="preserve"> </w:t>
      </w:r>
      <w:r w:rsidR="00E6319F" w:rsidRPr="00997F82">
        <w:t xml:space="preserve">community awareness cover </w:t>
      </w:r>
      <w:r w:rsidR="00E968C3" w:rsidRPr="00997F82">
        <w:t xml:space="preserve">subject areas that are similar across many PHN regions. </w:t>
      </w:r>
      <w:r w:rsidR="00996188" w:rsidRPr="00997F82">
        <w:t>PHNs</w:t>
      </w:r>
      <w:r w:rsidR="00E018EA" w:rsidRPr="00997F82">
        <w:t xml:space="preserve"> and the Program </w:t>
      </w:r>
      <w:proofErr w:type="gramStart"/>
      <w:r w:rsidR="007C715E" w:rsidRPr="00997F82">
        <w:t>as a whole</w:t>
      </w:r>
      <w:r w:rsidR="00996188" w:rsidRPr="00997F82">
        <w:t xml:space="preserve"> may</w:t>
      </w:r>
      <w:proofErr w:type="gramEnd"/>
      <w:r w:rsidR="00996188" w:rsidRPr="00997F82">
        <w:t xml:space="preserve"> </w:t>
      </w:r>
      <w:r w:rsidR="00E018EA" w:rsidRPr="00997F82">
        <w:t>benefit</w:t>
      </w:r>
      <w:r w:rsidR="00996188" w:rsidRPr="00997F82">
        <w:t xml:space="preserve"> from </w:t>
      </w:r>
      <w:r w:rsidR="001A643F" w:rsidRPr="00997F82">
        <w:t xml:space="preserve">having </w:t>
      </w:r>
      <w:r w:rsidR="00226DF4" w:rsidRPr="00997F82">
        <w:t>consistency of activity</w:t>
      </w:r>
      <w:r w:rsidR="00C9074B" w:rsidRPr="00997F82">
        <w:t xml:space="preserve"> </w:t>
      </w:r>
      <w:r w:rsidR="00D76E10" w:rsidRPr="00997F82">
        <w:t xml:space="preserve">areas and </w:t>
      </w:r>
      <w:r w:rsidR="002151EF" w:rsidRPr="00997F82">
        <w:t xml:space="preserve">a baseline for </w:t>
      </w:r>
      <w:r w:rsidR="000B660A" w:rsidRPr="00997F82">
        <w:t>the number of activities in each area</w:t>
      </w:r>
      <w:r w:rsidR="0033129F" w:rsidRPr="00997F82">
        <w:t>.</w:t>
      </w:r>
      <w:r w:rsidR="001A643F" w:rsidRPr="00997F82">
        <w:t xml:space="preserve"> </w:t>
      </w:r>
      <w:r w:rsidR="00D73F6D" w:rsidRPr="00997F82">
        <w:t xml:space="preserve">Activities such as workforce education </w:t>
      </w:r>
      <w:r w:rsidR="00215027" w:rsidRPr="00997F82">
        <w:t xml:space="preserve">may have performance indicators associated with </w:t>
      </w:r>
      <w:r w:rsidR="000C35EF" w:rsidRPr="00997F82">
        <w:t xml:space="preserve">measurement of outputs such as </w:t>
      </w:r>
      <w:r w:rsidR="00556DE1" w:rsidRPr="00997F82">
        <w:t>number of health professionals, health pro</w:t>
      </w:r>
      <w:r w:rsidR="0072282E" w:rsidRPr="00997F82">
        <w:t>fessional types</w:t>
      </w:r>
      <w:r w:rsidR="001A643F" w:rsidRPr="00997F82">
        <w:t xml:space="preserve"> </w:t>
      </w:r>
      <w:r w:rsidR="006431EA" w:rsidRPr="00997F82">
        <w:t xml:space="preserve">for education and training activities. </w:t>
      </w:r>
      <w:r w:rsidR="001A643F" w:rsidRPr="00997F82">
        <w:t xml:space="preserve"> </w:t>
      </w:r>
      <w:r w:rsidR="006431EA" w:rsidRPr="00997F82">
        <w:t xml:space="preserve">Measurement of </w:t>
      </w:r>
      <w:r w:rsidR="00DE248A" w:rsidRPr="00997F82">
        <w:t>cost efficiency</w:t>
      </w:r>
      <w:r w:rsidR="00086D14" w:rsidRPr="00997F82">
        <w:t xml:space="preserve"> is only possible if the reach is quantifiable. </w:t>
      </w:r>
    </w:p>
    <w:p w14:paraId="2884BA37" w14:textId="64FB8F4F" w:rsidR="005615A5" w:rsidRPr="00997F82" w:rsidRDefault="009E2F1B" w:rsidP="007770F3">
      <w:pPr>
        <w:pStyle w:val="ListBullet"/>
      </w:pPr>
      <w:r w:rsidRPr="00997F82">
        <w:t xml:space="preserve">Activities </w:t>
      </w:r>
      <w:r w:rsidR="0078349E" w:rsidRPr="00997F82">
        <w:t>with</w:t>
      </w:r>
      <w:r w:rsidRPr="00997F82">
        <w:t xml:space="preserve"> identifiable outcome measures relating to </w:t>
      </w:r>
      <w:r w:rsidR="00EC63C3" w:rsidRPr="00997F82">
        <w:t xml:space="preserve">improved access to palliative care at home </w:t>
      </w:r>
      <w:r w:rsidR="00E40861" w:rsidRPr="00997F82">
        <w:t xml:space="preserve">may be considered for </w:t>
      </w:r>
      <w:r w:rsidR="0098348E" w:rsidRPr="00997F82">
        <w:t>expansion</w:t>
      </w:r>
      <w:r w:rsidR="00975A31" w:rsidRPr="00997F82">
        <w:t xml:space="preserve"> </w:t>
      </w:r>
      <w:r w:rsidR="00D4487E" w:rsidRPr="00997F82">
        <w:t>across trial</w:t>
      </w:r>
      <w:r w:rsidR="00975A31" w:rsidRPr="00997F82">
        <w:t xml:space="preserve"> </w:t>
      </w:r>
      <w:r w:rsidR="00C06B38" w:rsidRPr="00997F82">
        <w:t xml:space="preserve">sites in </w:t>
      </w:r>
      <w:r w:rsidR="003C0199" w:rsidRPr="00997F82">
        <w:t xml:space="preserve">similar </w:t>
      </w:r>
      <w:r w:rsidR="00AB7D98" w:rsidRPr="00997F82">
        <w:t>demographic settings</w:t>
      </w:r>
      <w:r w:rsidR="00B12FDC" w:rsidRPr="00997F82">
        <w:t xml:space="preserve">. </w:t>
      </w:r>
      <w:r w:rsidR="00BA2E2F" w:rsidRPr="00997F82">
        <w:t>Allowing for a</w:t>
      </w:r>
      <w:r w:rsidR="00980776" w:rsidRPr="00997F82">
        <w:t xml:space="preserve"> feasibility </w:t>
      </w:r>
      <w:r w:rsidR="00BA2E2F" w:rsidRPr="00997F82">
        <w:t>assessment</w:t>
      </w:r>
      <w:r w:rsidR="00980776" w:rsidRPr="00997F82">
        <w:t xml:space="preserve"> of</w:t>
      </w:r>
      <w:r w:rsidR="0029452E" w:rsidRPr="00997F82">
        <w:t xml:space="preserve"> </w:t>
      </w:r>
      <w:r w:rsidR="00384266" w:rsidRPr="00997F82">
        <w:t>the activity</w:t>
      </w:r>
      <w:r w:rsidR="00252706" w:rsidRPr="00997F82">
        <w:t xml:space="preserve"> </w:t>
      </w:r>
      <w:r w:rsidR="009F1455" w:rsidRPr="00997F82">
        <w:t xml:space="preserve">in other regions. </w:t>
      </w:r>
      <w:r w:rsidR="00BD6FA0" w:rsidRPr="00997F82">
        <w:t>While some</w:t>
      </w:r>
      <w:r w:rsidR="009F1455" w:rsidRPr="00997F82">
        <w:t xml:space="preserve"> activities</w:t>
      </w:r>
      <w:r w:rsidR="00975A31" w:rsidRPr="00997F82">
        <w:t xml:space="preserve"> have proven </w:t>
      </w:r>
      <w:r w:rsidR="001C6AC1" w:rsidRPr="00997F82">
        <w:t>effective</w:t>
      </w:r>
      <w:r w:rsidR="00FB03D8" w:rsidRPr="00997F82">
        <w:t xml:space="preserve">ness in </w:t>
      </w:r>
      <w:r w:rsidR="00F80F63" w:rsidRPr="00997F82">
        <w:t>one location, assessment of</w:t>
      </w:r>
      <w:r w:rsidR="00821F92" w:rsidRPr="00997F82">
        <w:t xml:space="preserve"> whether the same activity is successful in other regions is a </w:t>
      </w:r>
      <w:r w:rsidR="006A3278" w:rsidRPr="00997F82">
        <w:t>more reliable measure of eff</w:t>
      </w:r>
      <w:r w:rsidR="005804DB" w:rsidRPr="00997F82">
        <w:t>icacy.</w:t>
      </w:r>
    </w:p>
    <w:p w14:paraId="6A374027" w14:textId="7B224F44" w:rsidR="00446BB0" w:rsidRPr="00997F82" w:rsidRDefault="0061023E" w:rsidP="007770F3">
      <w:pPr>
        <w:pStyle w:val="ListBullet"/>
      </w:pPr>
      <w:r w:rsidRPr="00997F82">
        <w:t xml:space="preserve">Where possible, </w:t>
      </w:r>
      <w:r w:rsidR="00446BB0" w:rsidRPr="00997F82">
        <w:t xml:space="preserve">PHNs should ensure that their activities </w:t>
      </w:r>
      <w:r w:rsidR="00A26027" w:rsidRPr="00997F82">
        <w:t xml:space="preserve">can demonstrate </w:t>
      </w:r>
      <w:r w:rsidR="0027343D" w:rsidRPr="00997F82">
        <w:t>a link to upstream impacts on preventable hospitali</w:t>
      </w:r>
      <w:r w:rsidR="00D00FCE" w:rsidRPr="00997F82">
        <w:t>s</w:t>
      </w:r>
      <w:r w:rsidR="0027343D" w:rsidRPr="00997F82">
        <w:t>ation</w:t>
      </w:r>
      <w:r w:rsidR="00446BB0" w:rsidRPr="00997F82">
        <w:t xml:space="preserve"> and</w:t>
      </w:r>
      <w:r w:rsidR="00A50D16" w:rsidRPr="00997F82">
        <w:t xml:space="preserve"> </w:t>
      </w:r>
      <w:r w:rsidR="00D00FCE" w:rsidRPr="00997F82">
        <w:t xml:space="preserve">improved access to </w:t>
      </w:r>
      <w:r w:rsidR="00A93E8C" w:rsidRPr="00997F82">
        <w:t>palliative care at home and in the community</w:t>
      </w:r>
      <w:r w:rsidR="00A50D16" w:rsidRPr="00997F82">
        <w:t>.</w:t>
      </w:r>
      <w:r w:rsidR="003A0919" w:rsidRPr="00997F82">
        <w:t xml:space="preserve"> </w:t>
      </w:r>
    </w:p>
    <w:p w14:paraId="3F07BE69" w14:textId="791E3E34" w:rsidR="003D1E27" w:rsidRDefault="00A50D16" w:rsidP="008B31AB">
      <w:pPr>
        <w:pStyle w:val="ListBullet"/>
      </w:pPr>
      <w:r w:rsidRPr="00997F82">
        <w:t xml:space="preserve">The Program should </w:t>
      </w:r>
      <w:r w:rsidR="003B2258" w:rsidRPr="00997F82">
        <w:t xml:space="preserve">continue to </w:t>
      </w:r>
      <w:r w:rsidRPr="00997F82">
        <w:t xml:space="preserve">use existing PHN forums to communicate effectively and better identify </w:t>
      </w:r>
      <w:r w:rsidR="00446BB0" w:rsidRPr="00997F82">
        <w:t>where efforts can be combined, or built upon, to ensure better value for money.</w:t>
      </w:r>
      <w:r w:rsidR="003D1E27">
        <w:br w:type="page"/>
      </w:r>
    </w:p>
    <w:p w14:paraId="44B0CF7D" w14:textId="33609BDF" w:rsidR="000F2D81" w:rsidRPr="00997F82" w:rsidRDefault="000F2D81" w:rsidP="00277D66">
      <w:pPr>
        <w:pStyle w:val="Heading1"/>
      </w:pPr>
      <w:bookmarkStart w:id="64" w:name="_Toc226898039"/>
      <w:bookmarkStart w:id="65" w:name="_Toc231898090"/>
      <w:r w:rsidRPr="00997F82">
        <w:t xml:space="preserve">Conclusion and </w:t>
      </w:r>
      <w:r w:rsidR="0048544A" w:rsidRPr="00997F82">
        <w:t>opportunities</w:t>
      </w:r>
      <w:bookmarkEnd w:id="64"/>
      <w:bookmarkEnd w:id="65"/>
    </w:p>
    <w:p w14:paraId="51C0C54D" w14:textId="2F128931" w:rsidR="00176E5F" w:rsidRPr="00997F82" w:rsidRDefault="00E91442" w:rsidP="00176E5F">
      <w:r w:rsidRPr="00997F82">
        <w:t xml:space="preserve">This chapter summarises and </w:t>
      </w:r>
      <w:r w:rsidR="00594FA2" w:rsidRPr="00997F82">
        <w:t>identifies a set of</w:t>
      </w:r>
      <w:r w:rsidRPr="00997F82">
        <w:t xml:space="preserve"> opportunities</w:t>
      </w:r>
      <w:r w:rsidR="000F2429" w:rsidRPr="00997F82">
        <w:t xml:space="preserve"> that could help support and improve the Program in the future</w:t>
      </w:r>
      <w:r w:rsidR="00C65585" w:rsidRPr="00997F82">
        <w:t xml:space="preserve">. Opportunities have been </w:t>
      </w:r>
      <w:r w:rsidR="00F97DDC" w:rsidRPr="00997F82">
        <w:t>captured</w:t>
      </w:r>
      <w:r w:rsidR="00C65585" w:rsidRPr="00997F82">
        <w:t xml:space="preserve"> </w:t>
      </w:r>
      <w:r w:rsidR="00176E5F" w:rsidRPr="00997F82">
        <w:t xml:space="preserve">by </w:t>
      </w:r>
      <w:r w:rsidR="00ED01BA" w:rsidRPr="00997F82">
        <w:t xml:space="preserve">evaluation domain, </w:t>
      </w:r>
      <w:r w:rsidR="00176E5F" w:rsidRPr="00997F82">
        <w:t>described in further detail below.</w:t>
      </w:r>
    </w:p>
    <w:p w14:paraId="03D7E265" w14:textId="621C4A4D" w:rsidR="00625C95" w:rsidRPr="00997F82" w:rsidRDefault="00BF5901" w:rsidP="00625C95">
      <w:r>
        <w:t>This evaluation draws on a struc</w:t>
      </w:r>
      <w:r w:rsidR="0034285A">
        <w:t>tured set of criteria to assess the progress across each domain. These criteria support consistent interpretation of findings and identification of areas for improvement.</w:t>
      </w:r>
    </w:p>
    <w:p w14:paraId="40AC2594" w14:textId="36480440" w:rsidR="002D7CA7" w:rsidRPr="00997F82" w:rsidRDefault="00ED01BA" w:rsidP="00277D66">
      <w:pPr>
        <w:pStyle w:val="Heading2"/>
      </w:pPr>
      <w:r w:rsidRPr="00997F82">
        <w:t>Program design and delivery</w:t>
      </w:r>
    </w:p>
    <w:p w14:paraId="27E14C68" w14:textId="08FA8F64" w:rsidR="009F13CF" w:rsidRPr="00997F82" w:rsidRDefault="00ED01BA" w:rsidP="00DF7E48">
      <w:pPr>
        <w:rPr>
          <w:rFonts w:eastAsia="Times New Roman"/>
        </w:rPr>
      </w:pPr>
      <w:r w:rsidRPr="00997F82">
        <w:rPr>
          <w:rFonts w:asciiTheme="minorHAnsi" w:hAnsiTheme="minorHAnsi"/>
        </w:rPr>
        <w:t>Program design and delivery opportunities include actions that could strengthen the extent to which the Program has been effectively implemented, governed and progressed as planned</w:t>
      </w:r>
      <w:r w:rsidR="009C3A51" w:rsidRPr="00997F82">
        <w:rPr>
          <w:rFonts w:eastAsia="Times New Roman"/>
        </w:rPr>
        <w:t xml:space="preserve"> (</w:t>
      </w:r>
      <w:r w:rsidR="003B0E27" w:rsidRPr="00997F82">
        <w:rPr>
          <w:rFonts w:eastAsia="Times New Roman"/>
        </w:rPr>
        <w:fldChar w:fldCharType="begin"/>
      </w:r>
      <w:r w:rsidR="003B0E27" w:rsidRPr="00997F82">
        <w:rPr>
          <w:rFonts w:eastAsia="Times New Roman"/>
        </w:rPr>
        <w:instrText xml:space="preserve"> REF _Ref202173051 \h  \* MERGEFORMAT </w:instrText>
      </w:r>
      <w:r w:rsidR="003B0E27" w:rsidRPr="00997F82">
        <w:rPr>
          <w:rFonts w:eastAsia="Times New Roman"/>
        </w:rPr>
      </w:r>
      <w:r w:rsidR="003B0E27" w:rsidRPr="00997F82">
        <w:rPr>
          <w:rFonts w:eastAsia="Times New Roman"/>
        </w:rPr>
        <w:fldChar w:fldCharType="separate"/>
      </w:r>
      <w:r w:rsidR="00735424" w:rsidRPr="00997F82">
        <w:t xml:space="preserve">Table </w:t>
      </w:r>
      <w:r w:rsidR="00735424">
        <w:t>13</w:t>
      </w:r>
      <w:r w:rsidR="003B0E27" w:rsidRPr="00997F82">
        <w:rPr>
          <w:rFonts w:eastAsia="Times New Roman"/>
        </w:rPr>
        <w:fldChar w:fldCharType="end"/>
      </w:r>
      <w:r w:rsidR="009C3A51" w:rsidRPr="00997F82">
        <w:rPr>
          <w:rFonts w:eastAsia="Times New Roman"/>
        </w:rPr>
        <w:t>)</w:t>
      </w:r>
      <w:r w:rsidR="00AC5AD6" w:rsidRPr="00997F82">
        <w:rPr>
          <w:rFonts w:eastAsia="Times New Roman"/>
        </w:rPr>
        <w:t>.</w:t>
      </w:r>
    </w:p>
    <w:p w14:paraId="20CAE396" w14:textId="0DEE8FC5" w:rsidR="009C3A51" w:rsidRPr="00997F82" w:rsidRDefault="009C3A51" w:rsidP="00277D66">
      <w:pPr>
        <w:pStyle w:val="Caption"/>
      </w:pPr>
      <w:bookmarkStart w:id="66" w:name="_Ref202173051"/>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13</w:t>
      </w:r>
      <w:r w:rsidR="0002526D" w:rsidRPr="00997F82">
        <w:fldChar w:fldCharType="end"/>
      </w:r>
      <w:bookmarkEnd w:id="66"/>
      <w:r w:rsidRPr="00997F82">
        <w:t xml:space="preserve">: </w:t>
      </w:r>
      <w:r w:rsidR="00282FC2" w:rsidRPr="00997F82">
        <w:t>Program design and delivery</w:t>
      </w:r>
      <w:r w:rsidRPr="00997F82">
        <w:t xml:space="preserve"> opportunities</w:t>
      </w:r>
    </w:p>
    <w:tbl>
      <w:tblPr>
        <w:tblStyle w:val="GridTable1Light-Accent4"/>
        <w:tblW w:w="9286" w:type="dxa"/>
        <w:tblLayout w:type="fixed"/>
        <w:tblLook w:val="04A0" w:firstRow="1" w:lastRow="0" w:firstColumn="1" w:lastColumn="0" w:noHBand="0" w:noVBand="1"/>
      </w:tblPr>
      <w:tblGrid>
        <w:gridCol w:w="567"/>
        <w:gridCol w:w="2808"/>
        <w:gridCol w:w="3123"/>
        <w:gridCol w:w="2788"/>
      </w:tblGrid>
      <w:tr w:rsidR="0017280B" w:rsidRPr="00997F82" w14:paraId="38E743E3" w14:textId="77777777" w:rsidTr="00A57CA5">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567" w:type="dxa"/>
          </w:tcPr>
          <w:p w14:paraId="634E2BAC" w14:textId="1873AE85" w:rsidR="00D83E9C" w:rsidRPr="00997F82" w:rsidRDefault="00D83E9C" w:rsidP="00D83E9C">
            <w:pPr>
              <w:jc w:val="center"/>
              <w:rPr>
                <w:rFonts w:eastAsia="Times New Roman" w:cs="Times New Roman"/>
                <w:sz w:val="18"/>
                <w:szCs w:val="18"/>
                <w:lang w:eastAsia="en-AU"/>
              </w:rPr>
            </w:pPr>
            <w:r w:rsidRPr="00997F82">
              <w:rPr>
                <w:rFonts w:eastAsia="Times New Roman" w:cs="Times New Roman"/>
                <w:sz w:val="18"/>
                <w:szCs w:val="18"/>
                <w:lang w:eastAsia="en-AU"/>
              </w:rPr>
              <w:t>#</w:t>
            </w:r>
          </w:p>
        </w:tc>
        <w:tc>
          <w:tcPr>
            <w:tcW w:w="2808" w:type="dxa"/>
          </w:tcPr>
          <w:p w14:paraId="2DC819EE" w14:textId="28586CAF" w:rsidR="00D83E9C" w:rsidRPr="00997F82" w:rsidRDefault="00D83E9C" w:rsidP="00D83E9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sidRPr="00997F82">
              <w:rPr>
                <w:rFonts w:eastAsia="Times New Roman" w:cs="Times New Roman"/>
                <w:sz w:val="18"/>
                <w:szCs w:val="18"/>
                <w:lang w:eastAsia="en-AU"/>
              </w:rPr>
              <w:t>Opportunity</w:t>
            </w:r>
          </w:p>
        </w:tc>
        <w:tc>
          <w:tcPr>
            <w:tcW w:w="3123" w:type="dxa"/>
          </w:tcPr>
          <w:p w14:paraId="02C205D4" w14:textId="5713B2A8" w:rsidR="00D83E9C" w:rsidRPr="00997F82" w:rsidRDefault="00D83E9C" w:rsidP="00D83E9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sidRPr="00997F82">
              <w:rPr>
                <w:rFonts w:eastAsia="Times New Roman" w:cs="Times New Roman"/>
                <w:sz w:val="18"/>
                <w:szCs w:val="18"/>
                <w:lang w:eastAsia="en-AU"/>
              </w:rPr>
              <w:t>Rationale</w:t>
            </w:r>
          </w:p>
        </w:tc>
        <w:tc>
          <w:tcPr>
            <w:tcW w:w="2788" w:type="dxa"/>
          </w:tcPr>
          <w:p w14:paraId="68665567" w14:textId="3FAE7FCA" w:rsidR="00D83E9C" w:rsidRPr="00997F82" w:rsidRDefault="00D83E9C" w:rsidP="00D83E9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sidRPr="00997F82">
              <w:rPr>
                <w:rFonts w:eastAsia="Times New Roman" w:cs="Times New Roman"/>
                <w:sz w:val="18"/>
                <w:szCs w:val="18"/>
                <w:lang w:eastAsia="en-AU"/>
              </w:rPr>
              <w:t>Considerations</w:t>
            </w:r>
          </w:p>
        </w:tc>
      </w:tr>
      <w:tr w:rsidR="00282FC2" w:rsidRPr="00997F82" w14:paraId="1C634705" w14:textId="77777777" w:rsidTr="00A57CA5">
        <w:trPr>
          <w:trHeight w:val="320"/>
        </w:trPr>
        <w:tc>
          <w:tcPr>
            <w:cnfStyle w:val="001000000000" w:firstRow="0" w:lastRow="0" w:firstColumn="1" w:lastColumn="0" w:oddVBand="0" w:evenVBand="0" w:oddHBand="0" w:evenHBand="0" w:firstRowFirstColumn="0" w:firstRowLastColumn="0" w:lastRowFirstColumn="0" w:lastRowLastColumn="0"/>
            <w:tcW w:w="567" w:type="dxa"/>
          </w:tcPr>
          <w:p w14:paraId="4C94A999" w14:textId="4C759FD9" w:rsidR="00282FC2" w:rsidRPr="00997F82" w:rsidRDefault="00282FC2" w:rsidP="00282FC2">
            <w:pPr>
              <w:rPr>
                <w:rFonts w:eastAsia="Times New Roman" w:cs="Times New Roman"/>
                <w:sz w:val="18"/>
                <w:szCs w:val="18"/>
                <w:lang w:eastAsia="en-AU"/>
              </w:rPr>
            </w:pPr>
            <w:r w:rsidRPr="00997F82">
              <w:rPr>
                <w:rFonts w:eastAsia="Times New Roman" w:cs="Times New Roman"/>
                <w:sz w:val="18"/>
                <w:szCs w:val="18"/>
                <w:lang w:eastAsia="en-AU"/>
              </w:rPr>
              <w:t>1</w:t>
            </w:r>
          </w:p>
        </w:tc>
        <w:tc>
          <w:tcPr>
            <w:tcW w:w="2808" w:type="dxa"/>
          </w:tcPr>
          <w:p w14:paraId="7E3B431F" w14:textId="75D95F43" w:rsidR="00282FC2" w:rsidRPr="00997F82" w:rsidRDefault="00282FC2" w:rsidP="00282FC2">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8"/>
                <w:szCs w:val="18"/>
                <w:lang w:eastAsia="en-AU"/>
              </w:rPr>
            </w:pPr>
            <w:r w:rsidRPr="00997F82">
              <w:rPr>
                <w:rFonts w:eastAsia="Times New Roman" w:cs="Times New Roman"/>
                <w:b/>
                <w:bCs/>
                <w:sz w:val="18"/>
                <w:szCs w:val="18"/>
                <w:lang w:eastAsia="en-AU"/>
              </w:rPr>
              <w:t>PHNs should improve local governance mechanisms that are established and used as part of this program, including with a greater focus on First Nations, CALD, provider and consumer representation and engagement.</w:t>
            </w:r>
          </w:p>
        </w:tc>
        <w:tc>
          <w:tcPr>
            <w:tcW w:w="3123" w:type="dxa"/>
            <w:noWrap/>
          </w:tcPr>
          <w:p w14:paraId="428AF5B8" w14:textId="1A6E7EDB" w:rsidR="00282FC2" w:rsidRPr="00997F82" w:rsidRDefault="00282FC2"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t xml:space="preserve">There is varied use of governance arrangements and forums by PHNs to support activity implementation, leading to inconsistent inclusion of key representatives from consumer groups, general practices, or service providers that support underserved communities (i.e. </w:t>
            </w:r>
            <w:r w:rsidR="00CA1A27" w:rsidRPr="00997F82">
              <w:t xml:space="preserve">First Nations communities </w:t>
            </w:r>
            <w:r w:rsidRPr="00997F82">
              <w:t>or CALD communities). Establishing forums (or using existing forums) before activities are implemented is critical to successful project planning.</w:t>
            </w:r>
          </w:p>
        </w:tc>
        <w:tc>
          <w:tcPr>
            <w:tcW w:w="2788" w:type="dxa"/>
          </w:tcPr>
          <w:p w14:paraId="1CBB9FAB" w14:textId="77777777" w:rsidR="00282FC2" w:rsidRPr="00997F82" w:rsidRDefault="00282FC2"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 xml:space="preserve">This will be determined by the capacity and time that stakeholders </w:t>
            </w:r>
            <w:proofErr w:type="gramStart"/>
            <w:r w:rsidRPr="00997F82">
              <w:t>have to</w:t>
            </w:r>
            <w:proofErr w:type="gramEnd"/>
            <w:r w:rsidRPr="00997F82">
              <w:t xml:space="preserve"> contribute to Program activities.</w:t>
            </w:r>
          </w:p>
          <w:p w14:paraId="68017E9D" w14:textId="6289CAFF" w:rsidR="00282FC2" w:rsidRPr="00997F82" w:rsidRDefault="00282FC2"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This will also depend on PHNs existing engagement and prior relationships with consumer and priority population groups.</w:t>
            </w:r>
            <w:r w:rsidR="00B56AFB" w:rsidRPr="00997F82">
              <w:t xml:space="preserve"> </w:t>
            </w:r>
          </w:p>
        </w:tc>
      </w:tr>
      <w:tr w:rsidR="00282FC2" w:rsidRPr="00997F82" w14:paraId="7CA7ABD3" w14:textId="77777777" w:rsidTr="00A57CA5">
        <w:trPr>
          <w:trHeight w:val="320"/>
        </w:trPr>
        <w:tc>
          <w:tcPr>
            <w:cnfStyle w:val="001000000000" w:firstRow="0" w:lastRow="0" w:firstColumn="1" w:lastColumn="0" w:oddVBand="0" w:evenVBand="0" w:oddHBand="0" w:evenHBand="0" w:firstRowFirstColumn="0" w:firstRowLastColumn="0" w:lastRowFirstColumn="0" w:lastRowLastColumn="0"/>
            <w:tcW w:w="567" w:type="dxa"/>
          </w:tcPr>
          <w:p w14:paraId="7F641627" w14:textId="661ED66E" w:rsidR="00282FC2" w:rsidRPr="00997F82" w:rsidRDefault="00282FC2" w:rsidP="00282FC2">
            <w:pPr>
              <w:rPr>
                <w:rFonts w:eastAsia="Times New Roman" w:cs="Times New Roman"/>
                <w:sz w:val="18"/>
                <w:szCs w:val="18"/>
                <w:lang w:eastAsia="en-AU"/>
              </w:rPr>
            </w:pPr>
            <w:r w:rsidRPr="00997F82">
              <w:rPr>
                <w:rFonts w:eastAsia="Times New Roman" w:cs="Times New Roman"/>
                <w:sz w:val="18"/>
                <w:szCs w:val="18"/>
                <w:lang w:eastAsia="en-AU"/>
              </w:rPr>
              <w:t>2</w:t>
            </w:r>
          </w:p>
        </w:tc>
        <w:tc>
          <w:tcPr>
            <w:tcW w:w="2808" w:type="dxa"/>
          </w:tcPr>
          <w:p w14:paraId="3DB2C06B" w14:textId="7D75C730" w:rsidR="00282FC2" w:rsidRPr="00997F82" w:rsidRDefault="00282FC2" w:rsidP="00282FC2">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8"/>
                <w:szCs w:val="18"/>
                <w:lang w:eastAsia="en-AU"/>
              </w:rPr>
            </w:pPr>
            <w:r w:rsidRPr="00997F82">
              <w:rPr>
                <w:rFonts w:eastAsia="Times New Roman" w:cs="Times New Roman"/>
                <w:b/>
                <w:sz w:val="18"/>
                <w:szCs w:val="18"/>
                <w:lang w:eastAsia="en-AU"/>
              </w:rPr>
              <w:t>Collectively, use Activity Work Plans more effectively to track appropriateness of activities, progress and risks to implementation</w:t>
            </w:r>
          </w:p>
        </w:tc>
        <w:tc>
          <w:tcPr>
            <w:tcW w:w="3123" w:type="dxa"/>
            <w:noWrap/>
          </w:tcPr>
          <w:p w14:paraId="0D8C923B" w14:textId="7E378CC1" w:rsidR="00282FC2" w:rsidRPr="00997F82" w:rsidRDefault="00282FC2"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t xml:space="preserve">AWPs should reflect needs assessment and outline measurable indicators/outputs to report against to help highlight outcomes being achieved/needs being addressed. Using these more effectively has the potential to identify common challenges, facilitate knowledge sharing, and enable the </w:t>
            </w:r>
            <w:r w:rsidR="002F386D" w:rsidRPr="00997F82">
              <w:t>d</w:t>
            </w:r>
            <w:r w:rsidRPr="00997F82">
              <w:t xml:space="preserve">epartment to have greater oversight of the diversity of activities undertaken by PHNs. AWPs can be used by the </w:t>
            </w:r>
            <w:r w:rsidR="002F386D" w:rsidRPr="00997F82">
              <w:t>d</w:t>
            </w:r>
            <w:r w:rsidRPr="00997F82">
              <w:t xml:space="preserve">epartment, but also PHNs, in tracking progress. </w:t>
            </w:r>
          </w:p>
        </w:tc>
        <w:tc>
          <w:tcPr>
            <w:tcW w:w="2788" w:type="dxa"/>
          </w:tcPr>
          <w:p w14:paraId="64D28E3D" w14:textId="5E103D5C" w:rsidR="00282FC2" w:rsidRPr="00997F82" w:rsidRDefault="00282FC2"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This requires consistent progress updates by the PHN during reporting periods</w:t>
            </w:r>
            <w:r w:rsidR="00893BFF" w:rsidRPr="00997F82">
              <w:t xml:space="preserve">. </w:t>
            </w:r>
          </w:p>
        </w:tc>
      </w:tr>
      <w:tr w:rsidR="008E491C" w:rsidRPr="00997F82" w14:paraId="5B87450C" w14:textId="77777777" w:rsidTr="00A57CA5">
        <w:trPr>
          <w:trHeight w:val="320"/>
        </w:trPr>
        <w:tc>
          <w:tcPr>
            <w:cnfStyle w:val="001000000000" w:firstRow="0" w:lastRow="0" w:firstColumn="1" w:lastColumn="0" w:oddVBand="0" w:evenVBand="0" w:oddHBand="0" w:evenHBand="0" w:firstRowFirstColumn="0" w:firstRowLastColumn="0" w:lastRowFirstColumn="0" w:lastRowLastColumn="0"/>
            <w:tcW w:w="567" w:type="dxa"/>
          </w:tcPr>
          <w:p w14:paraId="784230B8" w14:textId="2721E4D4" w:rsidR="008E491C" w:rsidRPr="00997F82" w:rsidRDefault="008E491C" w:rsidP="00282FC2">
            <w:pPr>
              <w:rPr>
                <w:rFonts w:eastAsia="Times New Roman" w:cs="Times New Roman"/>
                <w:sz w:val="18"/>
                <w:szCs w:val="18"/>
                <w:lang w:eastAsia="en-AU"/>
              </w:rPr>
            </w:pPr>
            <w:r w:rsidRPr="00997F82">
              <w:rPr>
                <w:rFonts w:eastAsia="Times New Roman" w:cs="Times New Roman"/>
                <w:sz w:val="18"/>
                <w:szCs w:val="18"/>
                <w:lang w:eastAsia="en-AU"/>
              </w:rPr>
              <w:t>3</w:t>
            </w:r>
          </w:p>
        </w:tc>
        <w:tc>
          <w:tcPr>
            <w:tcW w:w="2808" w:type="dxa"/>
          </w:tcPr>
          <w:p w14:paraId="1E53F3B0" w14:textId="70BF8554" w:rsidR="008E491C" w:rsidRPr="00997F82" w:rsidRDefault="007543B9" w:rsidP="00282FC2">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8"/>
                <w:szCs w:val="18"/>
                <w:lang w:eastAsia="en-AU"/>
              </w:rPr>
            </w:pPr>
            <w:r w:rsidRPr="00997F82">
              <w:rPr>
                <w:rFonts w:eastAsia="Times New Roman" w:cs="Times New Roman"/>
                <w:b/>
                <w:sz w:val="18"/>
                <w:szCs w:val="18"/>
                <w:lang w:eastAsia="en-AU"/>
              </w:rPr>
              <w:t xml:space="preserve">Integrate consumer voice into the program  </w:t>
            </w:r>
          </w:p>
        </w:tc>
        <w:tc>
          <w:tcPr>
            <w:tcW w:w="3123" w:type="dxa"/>
            <w:noWrap/>
          </w:tcPr>
          <w:p w14:paraId="15B86FB2" w14:textId="5516BEF9" w:rsidR="008E491C" w:rsidRPr="00997F82" w:rsidRDefault="00F852F1"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t xml:space="preserve">The integration of consumer voices into the program presents an opportunity to enhance its appropriateness, both in identifying community needs that activities are designed to serve, and in assessing their effectiveness post-implementation. </w:t>
            </w:r>
          </w:p>
        </w:tc>
        <w:tc>
          <w:tcPr>
            <w:tcW w:w="2788" w:type="dxa"/>
          </w:tcPr>
          <w:p w14:paraId="5FA1C173" w14:textId="3291F4F6" w:rsidR="008E491C" w:rsidRPr="00997F82" w:rsidRDefault="00F852F1" w:rsidP="007770F3">
            <w:pPr>
              <w:pStyle w:val="TableNormalBullet1"/>
              <w:cnfStyle w:val="000000000000" w:firstRow="0" w:lastRow="0" w:firstColumn="0" w:lastColumn="0" w:oddVBand="0" w:evenVBand="0" w:oddHBand="0" w:evenHBand="0" w:firstRowFirstColumn="0" w:firstRowLastColumn="0" w:lastRowFirstColumn="0" w:lastRowLastColumn="0"/>
              <w:rPr>
                <w:rFonts w:cs="Times New Roman"/>
                <w:szCs w:val="18"/>
                <w:lang w:eastAsia="en-AU"/>
              </w:rPr>
            </w:pPr>
            <w:r w:rsidRPr="00997F82">
              <w:t>This could be included as standard practice in HNA and PCNA methodologies</w:t>
            </w:r>
          </w:p>
        </w:tc>
      </w:tr>
    </w:tbl>
    <w:p w14:paraId="33C5DE9D" w14:textId="0F76280F" w:rsidR="003C01D0" w:rsidRPr="00997F82" w:rsidRDefault="00282FC2" w:rsidP="00277D66">
      <w:pPr>
        <w:pStyle w:val="Heading2"/>
      </w:pPr>
      <w:r w:rsidRPr="00997F82">
        <w:t>Provider experience</w:t>
      </w:r>
    </w:p>
    <w:p w14:paraId="2D648240" w14:textId="1198E26C" w:rsidR="00612521" w:rsidRPr="00997F82" w:rsidRDefault="00612521" w:rsidP="00612521">
      <w:pPr>
        <w:rPr>
          <w:rFonts w:eastAsia="Times New Roman"/>
        </w:rPr>
      </w:pPr>
      <w:r w:rsidRPr="00997F82">
        <w:rPr>
          <w:rFonts w:eastAsia="Times New Roman"/>
        </w:rPr>
        <w:t xml:space="preserve">Opportunities on </w:t>
      </w:r>
      <w:r w:rsidR="00282FC2" w:rsidRPr="00997F82">
        <w:rPr>
          <w:rFonts w:eastAsia="Times New Roman"/>
        </w:rPr>
        <w:t>provider experience</w:t>
      </w:r>
      <w:r w:rsidRPr="00997F82">
        <w:rPr>
          <w:rFonts w:eastAsia="Times New Roman"/>
        </w:rPr>
        <w:t xml:space="preserve"> </w:t>
      </w:r>
      <w:r w:rsidR="00463776" w:rsidRPr="00997F82">
        <w:rPr>
          <w:rFonts w:eastAsia="Times New Roman"/>
        </w:rPr>
        <w:t xml:space="preserve">are those that would support </w:t>
      </w:r>
      <w:r w:rsidR="00282FC2" w:rsidRPr="00997F82">
        <w:rPr>
          <w:rFonts w:asciiTheme="minorHAnsi" w:hAnsiTheme="minorHAnsi"/>
        </w:rPr>
        <w:t xml:space="preserve">the extent to which PHN activities provide awareness, confidence and knowledge of palliative care service options for healthcare professionals and providers who have engaged in activities </w:t>
      </w:r>
      <w:r w:rsidR="00E76B2F" w:rsidRPr="00997F82">
        <w:rPr>
          <w:rFonts w:eastAsia="Times New Roman"/>
        </w:rPr>
        <w:t>(</w:t>
      </w:r>
      <w:r w:rsidR="00DE0FE4" w:rsidRPr="00997F82">
        <w:rPr>
          <w:rFonts w:eastAsia="Times New Roman"/>
        </w:rPr>
        <w:fldChar w:fldCharType="begin"/>
      </w:r>
      <w:r w:rsidR="00DE0FE4" w:rsidRPr="00997F82">
        <w:rPr>
          <w:rFonts w:eastAsia="Times New Roman"/>
        </w:rPr>
        <w:instrText xml:space="preserve"> REF _Ref202174818 \h  \* MERGEFORMAT </w:instrText>
      </w:r>
      <w:r w:rsidR="00DE0FE4" w:rsidRPr="00997F82">
        <w:rPr>
          <w:rFonts w:eastAsia="Times New Roman"/>
        </w:rPr>
      </w:r>
      <w:r w:rsidR="00DE0FE4" w:rsidRPr="00997F82">
        <w:rPr>
          <w:rFonts w:eastAsia="Times New Roman"/>
        </w:rPr>
        <w:fldChar w:fldCharType="separate"/>
      </w:r>
      <w:r w:rsidR="00735424" w:rsidRPr="00997F82">
        <w:t xml:space="preserve">Table </w:t>
      </w:r>
      <w:r w:rsidR="00735424">
        <w:t>14</w:t>
      </w:r>
      <w:r w:rsidR="00DE0FE4" w:rsidRPr="00997F82">
        <w:rPr>
          <w:rFonts w:eastAsia="Times New Roman"/>
        </w:rPr>
        <w:fldChar w:fldCharType="end"/>
      </w:r>
      <w:r w:rsidR="00E76B2F" w:rsidRPr="00997F82">
        <w:rPr>
          <w:rFonts w:eastAsia="Times New Roman"/>
        </w:rPr>
        <w:t>).</w:t>
      </w:r>
    </w:p>
    <w:p w14:paraId="0C3357AC" w14:textId="2591022E" w:rsidR="00E76B2F" w:rsidRPr="00997F82" w:rsidRDefault="00E76B2F" w:rsidP="00277D66">
      <w:pPr>
        <w:pStyle w:val="Caption"/>
      </w:pPr>
      <w:bookmarkStart w:id="67" w:name="_Ref202174818"/>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14</w:t>
      </w:r>
      <w:r w:rsidR="0002526D" w:rsidRPr="00997F82">
        <w:fldChar w:fldCharType="end"/>
      </w:r>
      <w:bookmarkEnd w:id="67"/>
      <w:r w:rsidRPr="00997F82">
        <w:t xml:space="preserve">: </w:t>
      </w:r>
      <w:r w:rsidR="00282FC2" w:rsidRPr="00997F82">
        <w:t>Provider experience</w:t>
      </w:r>
      <w:r w:rsidRPr="00997F82">
        <w:t xml:space="preserve"> opportunities</w:t>
      </w:r>
      <w:r w:rsidR="00C945D1" w:rsidRPr="00997F82">
        <w:t>.</w:t>
      </w:r>
    </w:p>
    <w:tbl>
      <w:tblPr>
        <w:tblStyle w:val="GridTable1Light-Accent4"/>
        <w:tblW w:w="9286" w:type="dxa"/>
        <w:tblLayout w:type="fixed"/>
        <w:tblLook w:val="04A0" w:firstRow="1" w:lastRow="0" w:firstColumn="1" w:lastColumn="0" w:noHBand="0" w:noVBand="1"/>
      </w:tblPr>
      <w:tblGrid>
        <w:gridCol w:w="567"/>
        <w:gridCol w:w="2808"/>
        <w:gridCol w:w="3123"/>
        <w:gridCol w:w="2788"/>
      </w:tblGrid>
      <w:tr w:rsidR="0017280B" w:rsidRPr="00997F82" w14:paraId="4E86810B" w14:textId="77777777" w:rsidTr="00A57CA5">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567" w:type="dxa"/>
          </w:tcPr>
          <w:p w14:paraId="03E58E2C" w14:textId="77777777" w:rsidR="00612521" w:rsidRPr="00A57CA5" w:rsidRDefault="00612521" w:rsidP="00A57CA5">
            <w:pPr>
              <w:rPr>
                <w:lang w:eastAsia="en-AU"/>
              </w:rPr>
            </w:pPr>
            <w:r w:rsidRPr="00A57CA5">
              <w:rPr>
                <w:lang w:eastAsia="en-AU"/>
              </w:rPr>
              <w:t>#</w:t>
            </w:r>
          </w:p>
        </w:tc>
        <w:tc>
          <w:tcPr>
            <w:tcW w:w="2808" w:type="dxa"/>
          </w:tcPr>
          <w:p w14:paraId="188BD4F3" w14:textId="77777777" w:rsidR="00612521" w:rsidRPr="00A57CA5" w:rsidRDefault="00612521" w:rsidP="00A57CA5">
            <w:pPr>
              <w:cnfStyle w:val="100000000000" w:firstRow="1" w:lastRow="0" w:firstColumn="0" w:lastColumn="0" w:oddVBand="0" w:evenVBand="0" w:oddHBand="0" w:evenHBand="0" w:firstRowFirstColumn="0" w:firstRowLastColumn="0" w:lastRowFirstColumn="0" w:lastRowLastColumn="0"/>
              <w:rPr>
                <w:lang w:eastAsia="en-AU"/>
              </w:rPr>
            </w:pPr>
            <w:r w:rsidRPr="00A57CA5">
              <w:rPr>
                <w:lang w:eastAsia="en-AU"/>
              </w:rPr>
              <w:t>Opportunity</w:t>
            </w:r>
          </w:p>
        </w:tc>
        <w:tc>
          <w:tcPr>
            <w:tcW w:w="3123" w:type="dxa"/>
          </w:tcPr>
          <w:p w14:paraId="47753323" w14:textId="77777777" w:rsidR="00612521" w:rsidRPr="00A57CA5" w:rsidRDefault="00612521" w:rsidP="00A57CA5">
            <w:pPr>
              <w:cnfStyle w:val="100000000000" w:firstRow="1" w:lastRow="0" w:firstColumn="0" w:lastColumn="0" w:oddVBand="0" w:evenVBand="0" w:oddHBand="0" w:evenHBand="0" w:firstRowFirstColumn="0" w:firstRowLastColumn="0" w:lastRowFirstColumn="0" w:lastRowLastColumn="0"/>
              <w:rPr>
                <w:lang w:eastAsia="en-AU"/>
              </w:rPr>
            </w:pPr>
            <w:r w:rsidRPr="00A57CA5">
              <w:rPr>
                <w:lang w:eastAsia="en-AU"/>
              </w:rPr>
              <w:t>Rationale</w:t>
            </w:r>
          </w:p>
        </w:tc>
        <w:tc>
          <w:tcPr>
            <w:tcW w:w="2788" w:type="dxa"/>
          </w:tcPr>
          <w:p w14:paraId="76379CC7" w14:textId="77777777" w:rsidR="00612521" w:rsidRPr="00A57CA5" w:rsidRDefault="00612521" w:rsidP="00A57CA5">
            <w:pPr>
              <w:cnfStyle w:val="100000000000" w:firstRow="1" w:lastRow="0" w:firstColumn="0" w:lastColumn="0" w:oddVBand="0" w:evenVBand="0" w:oddHBand="0" w:evenHBand="0" w:firstRowFirstColumn="0" w:firstRowLastColumn="0" w:lastRowFirstColumn="0" w:lastRowLastColumn="0"/>
              <w:rPr>
                <w:lang w:eastAsia="en-AU"/>
              </w:rPr>
            </w:pPr>
            <w:r w:rsidRPr="00A57CA5">
              <w:rPr>
                <w:lang w:eastAsia="en-AU"/>
              </w:rPr>
              <w:t>Considerations</w:t>
            </w:r>
          </w:p>
        </w:tc>
      </w:tr>
      <w:tr w:rsidR="00282FC2" w:rsidRPr="00997F82" w14:paraId="505C235D" w14:textId="77777777" w:rsidTr="00A57CA5">
        <w:trPr>
          <w:trHeight w:val="1117"/>
        </w:trPr>
        <w:tc>
          <w:tcPr>
            <w:cnfStyle w:val="001000000000" w:firstRow="0" w:lastRow="0" w:firstColumn="1" w:lastColumn="0" w:oddVBand="0" w:evenVBand="0" w:oddHBand="0" w:evenHBand="0" w:firstRowFirstColumn="0" w:firstRowLastColumn="0" w:lastRowFirstColumn="0" w:lastRowLastColumn="0"/>
            <w:tcW w:w="567" w:type="dxa"/>
          </w:tcPr>
          <w:p w14:paraId="5751654A" w14:textId="4FC1358A" w:rsidR="00282FC2" w:rsidRPr="00997F82" w:rsidRDefault="00EF7D57" w:rsidP="00282FC2">
            <w:pPr>
              <w:rPr>
                <w:rFonts w:eastAsia="Times New Roman" w:cs="Times New Roman"/>
                <w:sz w:val="18"/>
                <w:szCs w:val="18"/>
                <w:lang w:eastAsia="en-AU"/>
              </w:rPr>
            </w:pPr>
            <w:r w:rsidRPr="00997F82">
              <w:rPr>
                <w:rFonts w:eastAsia="Times New Roman" w:cs="Times New Roman"/>
                <w:sz w:val="18"/>
                <w:szCs w:val="18"/>
                <w:lang w:eastAsia="en-AU"/>
              </w:rPr>
              <w:t>4</w:t>
            </w:r>
          </w:p>
        </w:tc>
        <w:tc>
          <w:tcPr>
            <w:tcW w:w="2808" w:type="dxa"/>
          </w:tcPr>
          <w:p w14:paraId="68A7B61A" w14:textId="2B82208F" w:rsidR="00282FC2" w:rsidRPr="00997F82" w:rsidRDefault="006805E3" w:rsidP="00282FC2">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8"/>
                <w:szCs w:val="18"/>
                <w:lang w:eastAsia="en-AU"/>
              </w:rPr>
            </w:pPr>
            <w:r w:rsidRPr="00997F82">
              <w:rPr>
                <w:rFonts w:eastAsia="Times New Roman" w:cs="Times New Roman"/>
                <w:b/>
                <w:sz w:val="18"/>
                <w:szCs w:val="18"/>
                <w:lang w:eastAsia="en-AU"/>
              </w:rPr>
              <w:t>Collectively, improve and standardise the use of data collection tools to monitor outcomes across the Program. This includes approaches to monitor long term behaviour change and improved provision of palliative care.</w:t>
            </w:r>
          </w:p>
        </w:tc>
        <w:tc>
          <w:tcPr>
            <w:tcW w:w="3123" w:type="dxa"/>
            <w:noWrap/>
          </w:tcPr>
          <w:p w14:paraId="5242D6F3" w14:textId="68729D31" w:rsidR="004F3BE5" w:rsidRPr="00997F82" w:rsidRDefault="00282FC2"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t>Standardised data collection as an input to the evaluation is lower than expected given the number of PHNs undertaking relevant activities. Much of the data provided did not include pre</w:t>
            </w:r>
            <w:r w:rsidR="0053798E" w:rsidRPr="00997F82">
              <w:t>/</w:t>
            </w:r>
            <w:r w:rsidRPr="00997F82">
              <w:t>post data or could not indicate whether it was being used for continuous improvement.</w:t>
            </w:r>
          </w:p>
          <w:p w14:paraId="2937C358" w14:textId="77777777" w:rsidR="00282FC2" w:rsidRPr="00997F82" w:rsidRDefault="004F3BE5"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t>Similarly,</w:t>
            </w:r>
            <w:r w:rsidR="00282FC2" w:rsidRPr="00997F82">
              <w:t xml:space="preserve"> PHN data is not currently able to ascertain whether this is leading to long-term changes in behaviour in the community. Moreover, data suggests that activities which had the greatest impact on awareness raising were those that involved healthcare providers (LHDs, local hospices, GPs, practice nurses and RACH staff etc.), indicating that there is a need to better understand the impact PHNs are contributing to.</w:t>
            </w:r>
          </w:p>
          <w:p w14:paraId="0501E4B5" w14:textId="721AA8BA" w:rsidR="00591BB8" w:rsidRPr="00997F82" w:rsidRDefault="00591BB8"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t>Therefore, there is an opportunity to improve measurement practices of activities. This would be supported by a Program Outcomes Framework and Minimum Dataset.</w:t>
            </w:r>
          </w:p>
        </w:tc>
        <w:tc>
          <w:tcPr>
            <w:tcW w:w="2788" w:type="dxa"/>
          </w:tcPr>
          <w:p w14:paraId="32A1435D" w14:textId="77777777" w:rsidR="00282FC2" w:rsidRPr="00997F82" w:rsidRDefault="00282FC2"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 xml:space="preserve">The use of data tools such as the DLI would have to be balanced with the risk of over-surveying </w:t>
            </w:r>
            <w:proofErr w:type="gramStart"/>
            <w:r w:rsidRPr="00997F82">
              <w:t>community, and</w:t>
            </w:r>
            <w:proofErr w:type="gramEnd"/>
            <w:r w:rsidRPr="00997F82">
              <w:t xml:space="preserve"> ensuring they are used with the right stakeholders. </w:t>
            </w:r>
          </w:p>
          <w:p w14:paraId="34AF9E64" w14:textId="7CDB6BCF" w:rsidR="00282FC2" w:rsidRPr="00997F82" w:rsidRDefault="00282FC2"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There may be existing data collection approaches that are embedded within community networks already.</w:t>
            </w:r>
          </w:p>
        </w:tc>
      </w:tr>
    </w:tbl>
    <w:p w14:paraId="6A06A90A" w14:textId="4C3A5C3D" w:rsidR="000D343A" w:rsidRPr="00997F82" w:rsidRDefault="00282FC2" w:rsidP="00277D66">
      <w:pPr>
        <w:pStyle w:val="Heading2"/>
      </w:pPr>
      <w:r w:rsidRPr="00997F82">
        <w:t>Patient experience</w:t>
      </w:r>
    </w:p>
    <w:p w14:paraId="47140547" w14:textId="27001DB4" w:rsidR="00CC7B10" w:rsidRPr="00997F82" w:rsidRDefault="00213E65" w:rsidP="00CC7B10">
      <w:pPr>
        <w:rPr>
          <w:rFonts w:eastAsia="Times New Roman"/>
        </w:rPr>
      </w:pPr>
      <w:r w:rsidRPr="00997F82">
        <w:rPr>
          <w:rFonts w:eastAsia="Times New Roman"/>
        </w:rPr>
        <w:t xml:space="preserve">There </w:t>
      </w:r>
      <w:r w:rsidR="00916251" w:rsidRPr="00997F82">
        <w:rPr>
          <w:rFonts w:eastAsia="Times New Roman"/>
        </w:rPr>
        <w:t xml:space="preserve">are several opportunities that could assist </w:t>
      </w:r>
      <w:r w:rsidR="00282FC2" w:rsidRPr="00997F82">
        <w:rPr>
          <w:rFonts w:asciiTheme="minorHAnsi" w:hAnsiTheme="minorHAnsi"/>
        </w:rPr>
        <w:t xml:space="preserve">the extent to which </w:t>
      </w:r>
      <w:r w:rsidR="000824AF" w:rsidRPr="00997F82">
        <w:rPr>
          <w:rFonts w:asciiTheme="minorHAnsi" w:hAnsiTheme="minorHAnsi"/>
        </w:rPr>
        <w:t xml:space="preserve">PHN activities can better </w:t>
      </w:r>
      <w:r w:rsidR="000E763D" w:rsidRPr="00997F82">
        <w:rPr>
          <w:rFonts w:asciiTheme="minorHAnsi" w:hAnsiTheme="minorHAnsi"/>
        </w:rPr>
        <w:t xml:space="preserve">support </w:t>
      </w:r>
      <w:r w:rsidR="00282FC2" w:rsidRPr="00997F82">
        <w:rPr>
          <w:rFonts w:asciiTheme="minorHAnsi" w:hAnsiTheme="minorHAnsi"/>
        </w:rPr>
        <w:t>people and their families, carers and loved ones</w:t>
      </w:r>
      <w:r w:rsidR="000E763D" w:rsidRPr="00997F82">
        <w:rPr>
          <w:rFonts w:asciiTheme="minorHAnsi" w:hAnsiTheme="minorHAnsi"/>
        </w:rPr>
        <w:t xml:space="preserve"> </w:t>
      </w:r>
      <w:r w:rsidR="00282FC2" w:rsidRPr="00997F82">
        <w:rPr>
          <w:rFonts w:asciiTheme="minorHAnsi" w:hAnsiTheme="minorHAnsi"/>
        </w:rPr>
        <w:t>for palliative and end of life care</w:t>
      </w:r>
      <w:r w:rsidR="00D403B7" w:rsidRPr="00997F82">
        <w:rPr>
          <w:rFonts w:eastAsia="Times New Roman"/>
        </w:rPr>
        <w:t xml:space="preserve"> (</w:t>
      </w:r>
      <w:r w:rsidR="00D403B7" w:rsidRPr="00997F82">
        <w:rPr>
          <w:rFonts w:eastAsia="Times New Roman"/>
        </w:rPr>
        <w:fldChar w:fldCharType="begin"/>
      </w:r>
      <w:r w:rsidR="00D403B7" w:rsidRPr="00997F82">
        <w:rPr>
          <w:rFonts w:eastAsia="Times New Roman"/>
        </w:rPr>
        <w:instrText xml:space="preserve"> REF _Ref202176092 \h  \* MERGEFORMAT </w:instrText>
      </w:r>
      <w:r w:rsidR="00D403B7" w:rsidRPr="00997F82">
        <w:rPr>
          <w:rFonts w:eastAsia="Times New Roman"/>
        </w:rPr>
      </w:r>
      <w:r w:rsidR="00D403B7" w:rsidRPr="00997F82">
        <w:rPr>
          <w:rFonts w:eastAsia="Times New Roman"/>
        </w:rPr>
        <w:fldChar w:fldCharType="separate"/>
      </w:r>
      <w:r w:rsidR="00735424" w:rsidRPr="00997F82">
        <w:t xml:space="preserve">Table </w:t>
      </w:r>
      <w:r w:rsidR="00735424">
        <w:t>15</w:t>
      </w:r>
      <w:r w:rsidR="00D403B7" w:rsidRPr="00997F82">
        <w:rPr>
          <w:rFonts w:eastAsia="Times New Roman"/>
        </w:rPr>
        <w:fldChar w:fldCharType="end"/>
      </w:r>
      <w:r w:rsidR="00D403B7" w:rsidRPr="00997F82">
        <w:rPr>
          <w:rFonts w:eastAsia="Times New Roman"/>
        </w:rPr>
        <w:t>)</w:t>
      </w:r>
      <w:r w:rsidR="00D06FAF" w:rsidRPr="00997F82">
        <w:rPr>
          <w:rFonts w:eastAsia="Times New Roman"/>
        </w:rPr>
        <w:t>.</w:t>
      </w:r>
    </w:p>
    <w:p w14:paraId="661B4796" w14:textId="4A9CF03E" w:rsidR="00CC7B10" w:rsidRPr="00997F82" w:rsidRDefault="00CC7B10" w:rsidP="00277D66">
      <w:pPr>
        <w:pStyle w:val="Caption"/>
      </w:pPr>
      <w:bookmarkStart w:id="68" w:name="_Ref202176092"/>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15</w:t>
      </w:r>
      <w:r w:rsidR="0002526D" w:rsidRPr="00997F82">
        <w:fldChar w:fldCharType="end"/>
      </w:r>
      <w:bookmarkEnd w:id="68"/>
      <w:r w:rsidRPr="00997F82">
        <w:t xml:space="preserve">: </w:t>
      </w:r>
      <w:r w:rsidR="000824AF" w:rsidRPr="00997F82">
        <w:t>Patient experience</w:t>
      </w:r>
      <w:r w:rsidRPr="00997F82">
        <w:t xml:space="preserve"> opportunities</w:t>
      </w:r>
    </w:p>
    <w:tbl>
      <w:tblPr>
        <w:tblStyle w:val="GridTable1Light-Accent4"/>
        <w:tblW w:w="9286" w:type="dxa"/>
        <w:tblLayout w:type="fixed"/>
        <w:tblLook w:val="04A0" w:firstRow="1" w:lastRow="0" w:firstColumn="1" w:lastColumn="0" w:noHBand="0" w:noVBand="1"/>
      </w:tblPr>
      <w:tblGrid>
        <w:gridCol w:w="567"/>
        <w:gridCol w:w="2808"/>
        <w:gridCol w:w="3123"/>
        <w:gridCol w:w="2788"/>
      </w:tblGrid>
      <w:tr w:rsidR="00EB4847" w:rsidRPr="00A57CA5" w14:paraId="70F2333D" w14:textId="77777777" w:rsidTr="00A57CA5">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567" w:type="dxa"/>
          </w:tcPr>
          <w:p w14:paraId="3F963AAE" w14:textId="77777777" w:rsidR="00CC7B10" w:rsidRPr="00A57CA5" w:rsidRDefault="00CC7B10" w:rsidP="00A57CA5">
            <w:pPr>
              <w:rPr>
                <w:lang w:eastAsia="en-AU"/>
              </w:rPr>
            </w:pPr>
            <w:r w:rsidRPr="00A57CA5">
              <w:rPr>
                <w:lang w:eastAsia="en-AU"/>
              </w:rPr>
              <w:t>#</w:t>
            </w:r>
          </w:p>
        </w:tc>
        <w:tc>
          <w:tcPr>
            <w:tcW w:w="2808" w:type="dxa"/>
          </w:tcPr>
          <w:p w14:paraId="0156025A" w14:textId="77777777" w:rsidR="00CC7B10" w:rsidRPr="00A57CA5" w:rsidRDefault="00CC7B10" w:rsidP="00A57CA5">
            <w:pPr>
              <w:cnfStyle w:val="100000000000" w:firstRow="1" w:lastRow="0" w:firstColumn="0" w:lastColumn="0" w:oddVBand="0" w:evenVBand="0" w:oddHBand="0" w:evenHBand="0" w:firstRowFirstColumn="0" w:firstRowLastColumn="0" w:lastRowFirstColumn="0" w:lastRowLastColumn="0"/>
              <w:rPr>
                <w:lang w:eastAsia="en-AU"/>
              </w:rPr>
            </w:pPr>
            <w:r w:rsidRPr="00A57CA5">
              <w:rPr>
                <w:lang w:eastAsia="en-AU"/>
              </w:rPr>
              <w:t>Opportunity</w:t>
            </w:r>
          </w:p>
        </w:tc>
        <w:tc>
          <w:tcPr>
            <w:tcW w:w="3123" w:type="dxa"/>
          </w:tcPr>
          <w:p w14:paraId="5BA4E1B4" w14:textId="77777777" w:rsidR="00CC7B10" w:rsidRPr="00A57CA5" w:rsidRDefault="00CC7B10" w:rsidP="00A57CA5">
            <w:pPr>
              <w:cnfStyle w:val="100000000000" w:firstRow="1" w:lastRow="0" w:firstColumn="0" w:lastColumn="0" w:oddVBand="0" w:evenVBand="0" w:oddHBand="0" w:evenHBand="0" w:firstRowFirstColumn="0" w:firstRowLastColumn="0" w:lastRowFirstColumn="0" w:lastRowLastColumn="0"/>
              <w:rPr>
                <w:lang w:eastAsia="en-AU"/>
              </w:rPr>
            </w:pPr>
            <w:r w:rsidRPr="00A57CA5">
              <w:rPr>
                <w:lang w:eastAsia="en-AU"/>
              </w:rPr>
              <w:t>Rationale</w:t>
            </w:r>
          </w:p>
        </w:tc>
        <w:tc>
          <w:tcPr>
            <w:tcW w:w="2788" w:type="dxa"/>
          </w:tcPr>
          <w:p w14:paraId="5F739A45" w14:textId="77777777" w:rsidR="00CC7B10" w:rsidRPr="00A57CA5" w:rsidRDefault="00CC7B10" w:rsidP="00A57CA5">
            <w:pPr>
              <w:cnfStyle w:val="100000000000" w:firstRow="1" w:lastRow="0" w:firstColumn="0" w:lastColumn="0" w:oddVBand="0" w:evenVBand="0" w:oddHBand="0" w:evenHBand="0" w:firstRowFirstColumn="0" w:firstRowLastColumn="0" w:lastRowFirstColumn="0" w:lastRowLastColumn="0"/>
              <w:rPr>
                <w:lang w:eastAsia="en-AU"/>
              </w:rPr>
            </w:pPr>
            <w:r w:rsidRPr="00A57CA5">
              <w:rPr>
                <w:lang w:eastAsia="en-AU"/>
              </w:rPr>
              <w:t>Considerations</w:t>
            </w:r>
          </w:p>
        </w:tc>
      </w:tr>
      <w:tr w:rsidR="000E763D" w:rsidRPr="00997F82" w14:paraId="030C41F2" w14:textId="77777777" w:rsidTr="00A57CA5">
        <w:trPr>
          <w:trHeight w:val="312"/>
        </w:trPr>
        <w:tc>
          <w:tcPr>
            <w:cnfStyle w:val="001000000000" w:firstRow="0" w:lastRow="0" w:firstColumn="1" w:lastColumn="0" w:oddVBand="0" w:evenVBand="0" w:oddHBand="0" w:evenHBand="0" w:firstRowFirstColumn="0" w:firstRowLastColumn="0" w:lastRowFirstColumn="0" w:lastRowLastColumn="0"/>
            <w:tcW w:w="567" w:type="dxa"/>
          </w:tcPr>
          <w:p w14:paraId="1FB9BE89" w14:textId="25083BFE" w:rsidR="000E763D" w:rsidRPr="00997F82" w:rsidRDefault="00EF7D57" w:rsidP="000E763D">
            <w:pPr>
              <w:rPr>
                <w:rFonts w:eastAsia="Times New Roman" w:cs="Times New Roman"/>
                <w:sz w:val="18"/>
                <w:szCs w:val="18"/>
                <w:lang w:eastAsia="en-AU"/>
              </w:rPr>
            </w:pPr>
            <w:r w:rsidRPr="00997F82">
              <w:rPr>
                <w:rFonts w:eastAsia="Times New Roman" w:cs="Times New Roman"/>
                <w:sz w:val="18"/>
                <w:szCs w:val="18"/>
                <w:lang w:eastAsia="en-AU"/>
              </w:rPr>
              <w:t>5</w:t>
            </w:r>
          </w:p>
        </w:tc>
        <w:tc>
          <w:tcPr>
            <w:tcW w:w="2808" w:type="dxa"/>
          </w:tcPr>
          <w:p w14:paraId="33CF443E" w14:textId="1E0567A1" w:rsidR="000E763D" w:rsidRPr="00997F82" w:rsidRDefault="000E763D" w:rsidP="000E763D">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8"/>
                <w:szCs w:val="18"/>
                <w:lang w:eastAsia="en-AU"/>
              </w:rPr>
            </w:pPr>
            <w:r w:rsidRPr="00997F82">
              <w:rPr>
                <w:rFonts w:eastAsia="Times New Roman" w:cs="Times New Roman"/>
                <w:b/>
                <w:bCs/>
                <w:sz w:val="18"/>
                <w:szCs w:val="18"/>
                <w:lang w:eastAsia="en-AU"/>
              </w:rPr>
              <w:t xml:space="preserve">Where appropriate, PHNs should proactively </w:t>
            </w:r>
            <w:r w:rsidR="000F0031" w:rsidRPr="00997F82">
              <w:rPr>
                <w:rFonts w:eastAsia="Times New Roman" w:cs="Times New Roman"/>
                <w:b/>
                <w:bCs/>
                <w:sz w:val="18"/>
                <w:szCs w:val="18"/>
                <w:lang w:eastAsia="en-AU"/>
              </w:rPr>
              <w:t xml:space="preserve">focus </w:t>
            </w:r>
            <w:r w:rsidRPr="00997F82">
              <w:rPr>
                <w:rFonts w:eastAsia="Times New Roman" w:cs="Times New Roman"/>
                <w:b/>
                <w:bCs/>
                <w:sz w:val="18"/>
                <w:szCs w:val="18"/>
                <w:lang w:eastAsia="en-AU"/>
              </w:rPr>
              <w:t xml:space="preserve">efforts on activities that are evidenced to be successful and which have existing momentum and engagement, such as </w:t>
            </w:r>
            <w:r w:rsidR="00844647" w:rsidRPr="00997F82">
              <w:rPr>
                <w:rFonts w:eastAsia="Times New Roman" w:cs="Times New Roman"/>
                <w:b/>
                <w:bCs/>
                <w:sz w:val="18"/>
                <w:szCs w:val="18"/>
                <w:lang w:eastAsia="en-AU"/>
              </w:rPr>
              <w:t>a</w:t>
            </w:r>
            <w:r w:rsidRPr="00997F82">
              <w:rPr>
                <w:rFonts w:eastAsia="Times New Roman" w:cs="Times New Roman"/>
                <w:b/>
                <w:bCs/>
                <w:sz w:val="18"/>
                <w:szCs w:val="18"/>
                <w:lang w:eastAsia="en-AU"/>
              </w:rPr>
              <w:t xml:space="preserve">dvance </w:t>
            </w:r>
            <w:r w:rsidR="00844647" w:rsidRPr="00997F82">
              <w:rPr>
                <w:rFonts w:eastAsia="Times New Roman" w:cs="Times New Roman"/>
                <w:b/>
                <w:bCs/>
                <w:sz w:val="18"/>
                <w:szCs w:val="18"/>
                <w:lang w:eastAsia="en-AU"/>
              </w:rPr>
              <w:t>c</w:t>
            </w:r>
            <w:r w:rsidRPr="00997F82">
              <w:rPr>
                <w:rFonts w:eastAsia="Times New Roman" w:cs="Times New Roman"/>
                <w:b/>
                <w:bCs/>
                <w:sz w:val="18"/>
                <w:szCs w:val="18"/>
                <w:lang w:eastAsia="en-AU"/>
              </w:rPr>
              <w:t xml:space="preserve">are </w:t>
            </w:r>
            <w:r w:rsidR="00844647" w:rsidRPr="00997F82">
              <w:rPr>
                <w:rFonts w:eastAsia="Times New Roman" w:cs="Times New Roman"/>
                <w:b/>
                <w:bCs/>
                <w:sz w:val="18"/>
                <w:szCs w:val="18"/>
                <w:lang w:eastAsia="en-AU"/>
              </w:rPr>
              <w:t>p</w:t>
            </w:r>
            <w:r w:rsidRPr="00997F82">
              <w:rPr>
                <w:rFonts w:eastAsia="Times New Roman" w:cs="Times New Roman"/>
                <w:b/>
                <w:bCs/>
                <w:sz w:val="18"/>
                <w:szCs w:val="18"/>
                <w:lang w:eastAsia="en-AU"/>
              </w:rPr>
              <w:t>lanning or with workforces such as practice nurses and aged care staff.</w:t>
            </w:r>
          </w:p>
        </w:tc>
        <w:tc>
          <w:tcPr>
            <w:tcW w:w="3123" w:type="dxa"/>
            <w:noWrap/>
          </w:tcPr>
          <w:p w14:paraId="20C636F3" w14:textId="392BFE33" w:rsidR="000E763D" w:rsidRPr="00997F82" w:rsidRDefault="000E763D"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t xml:space="preserve">There is a high-level of sector engagement nationally on certain activities and resources (such as </w:t>
            </w:r>
            <w:r w:rsidR="006A6B6A" w:rsidRPr="00997F82">
              <w:t>a</w:t>
            </w:r>
            <w:r w:rsidRPr="00997F82">
              <w:t xml:space="preserve">dvance </w:t>
            </w:r>
            <w:r w:rsidR="006A6B6A" w:rsidRPr="00997F82">
              <w:t>c</w:t>
            </w:r>
            <w:r w:rsidRPr="00997F82">
              <w:t xml:space="preserve">are </w:t>
            </w:r>
            <w:r w:rsidR="006A6B6A" w:rsidRPr="00997F82">
              <w:t>p</w:t>
            </w:r>
            <w:r w:rsidRPr="00997F82">
              <w:t xml:space="preserve">lanning), which are not being targeted by all PHNs. </w:t>
            </w:r>
          </w:p>
          <w:p w14:paraId="5E1F46AB" w14:textId="77777777" w:rsidR="00591BB8" w:rsidRPr="00997F82" w:rsidRDefault="00591BB8"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t>Similarly, p</w:t>
            </w:r>
            <w:r w:rsidR="000E763D" w:rsidRPr="00997F82">
              <w:t>ractice nurses and aged care staff play unique and critical roles in care for people in palliative and end of life care. Their knowledge, capability and confidence in delivering or administering care can directly influence avoidable hospitalisations</w:t>
            </w:r>
            <w:r w:rsidR="000E763D" w:rsidRPr="00997F82">
              <w:rPr>
                <w:rStyle w:val="FootnoteReference"/>
                <w:rFonts w:cs="Times New Roman"/>
                <w:szCs w:val="18"/>
                <w:lang w:eastAsia="en-AU"/>
              </w:rPr>
              <w:footnoteReference w:id="71"/>
            </w:r>
            <w:r w:rsidR="000E763D" w:rsidRPr="00997F82">
              <w:t xml:space="preserve">. These staff are also often more accessible and able to participate in capability building activities, as compared to GPs. </w:t>
            </w:r>
          </w:p>
          <w:p w14:paraId="3179DA63" w14:textId="5CF33BC9" w:rsidR="000E763D" w:rsidRPr="00997F82" w:rsidRDefault="00591BB8"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t>There could be greater efficiencies and outcomes if these activities were prioritised by all PHNs nationally, where appropriate.</w:t>
            </w:r>
          </w:p>
        </w:tc>
        <w:tc>
          <w:tcPr>
            <w:tcW w:w="2788" w:type="dxa"/>
          </w:tcPr>
          <w:p w14:paraId="25BF6BC9" w14:textId="77777777" w:rsidR="000E763D" w:rsidRPr="00997F82" w:rsidRDefault="000E763D"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The planning of activities may have already commenced for the future funding period of the Program.</w:t>
            </w:r>
          </w:p>
          <w:p w14:paraId="2ABBD5F8" w14:textId="2E44E877" w:rsidR="000E763D" w:rsidRPr="00997F82" w:rsidRDefault="000E763D"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Due to general workforce shortage issues, the need to backfill and time constraints could still impede on engaging with nurses.</w:t>
            </w:r>
          </w:p>
        </w:tc>
      </w:tr>
      <w:tr w:rsidR="005F5358" w:rsidRPr="00997F82" w14:paraId="276CDC9B" w14:textId="77777777" w:rsidTr="00A57CA5">
        <w:trPr>
          <w:trHeight w:val="312"/>
        </w:trPr>
        <w:tc>
          <w:tcPr>
            <w:cnfStyle w:val="001000000000" w:firstRow="0" w:lastRow="0" w:firstColumn="1" w:lastColumn="0" w:oddVBand="0" w:evenVBand="0" w:oddHBand="0" w:evenHBand="0" w:firstRowFirstColumn="0" w:firstRowLastColumn="0" w:lastRowFirstColumn="0" w:lastRowLastColumn="0"/>
            <w:tcW w:w="567" w:type="dxa"/>
          </w:tcPr>
          <w:p w14:paraId="488B2ADD" w14:textId="4E465A1D" w:rsidR="005F5358" w:rsidRPr="00997F82" w:rsidRDefault="00EF7D57" w:rsidP="005F5358">
            <w:pPr>
              <w:rPr>
                <w:rFonts w:eastAsia="Times New Roman" w:cs="Times New Roman"/>
                <w:sz w:val="18"/>
                <w:szCs w:val="18"/>
                <w:lang w:eastAsia="en-AU"/>
              </w:rPr>
            </w:pPr>
            <w:r w:rsidRPr="00997F82">
              <w:rPr>
                <w:rFonts w:eastAsia="Times New Roman" w:cs="Times New Roman"/>
                <w:sz w:val="18"/>
                <w:szCs w:val="18"/>
                <w:lang w:eastAsia="en-AU"/>
              </w:rPr>
              <w:t>6</w:t>
            </w:r>
          </w:p>
        </w:tc>
        <w:tc>
          <w:tcPr>
            <w:tcW w:w="2808" w:type="dxa"/>
          </w:tcPr>
          <w:p w14:paraId="1DF83987" w14:textId="400FDEAE" w:rsidR="005F5358" w:rsidRPr="00997F82" w:rsidRDefault="008E15DD" w:rsidP="005F5358">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8"/>
                <w:szCs w:val="18"/>
                <w:lang w:eastAsia="en-AU"/>
              </w:rPr>
            </w:pPr>
            <w:r w:rsidRPr="00997F82">
              <w:rPr>
                <w:rFonts w:eastAsia="Times New Roman" w:cs="Times New Roman"/>
                <w:sz w:val="18"/>
                <w:szCs w:val="18"/>
                <w:lang w:eastAsia="en-AU"/>
              </w:rPr>
              <w:t>To enhance operational efficiency, PHNs should develop and facilitate access to a central repository dedicated to their palliative care education and training activity materials</w:t>
            </w:r>
          </w:p>
        </w:tc>
        <w:tc>
          <w:tcPr>
            <w:tcW w:w="3123" w:type="dxa"/>
            <w:noWrap/>
          </w:tcPr>
          <w:p w14:paraId="56C3B055" w14:textId="609C3E37" w:rsidR="005F5358" w:rsidRPr="00997F82" w:rsidRDefault="005F5358"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t>To reduce duplication of efforts, assist with knowledge sharing and contribute to consistent messaging</w:t>
            </w:r>
            <w:r w:rsidRPr="00997F82">
              <w:rPr>
                <w:bCs/>
              </w:rPr>
              <w:t xml:space="preserve"> to workforces</w:t>
            </w:r>
            <w:r w:rsidRPr="00997F82">
              <w:t>, develop and share a central repository of information and collateral developed through individual PHN activities, where appropriate. This could take place through PHN specific SharePoint, or Teams Channel, and include communities of practice.</w:t>
            </w:r>
          </w:p>
        </w:tc>
        <w:tc>
          <w:tcPr>
            <w:tcW w:w="2788" w:type="dxa"/>
          </w:tcPr>
          <w:p w14:paraId="607F5816" w14:textId="77777777" w:rsidR="005F5358" w:rsidRPr="00997F82" w:rsidRDefault="005F5358"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This would have to be in line with PHN intellectual property and confidentiality policies.</w:t>
            </w:r>
          </w:p>
          <w:p w14:paraId="2C5080E0" w14:textId="179DE988" w:rsidR="005F5358" w:rsidRPr="00997F82" w:rsidRDefault="00EC4ECB"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 xml:space="preserve">This may also require a voluntary ‘lead’ PHN to coordinate the repository </w:t>
            </w:r>
          </w:p>
        </w:tc>
      </w:tr>
    </w:tbl>
    <w:p w14:paraId="0B62C35F" w14:textId="4F2A8AE9" w:rsidR="00561269" w:rsidRPr="00997F82" w:rsidRDefault="005F5358" w:rsidP="00277D66">
      <w:pPr>
        <w:pStyle w:val="Heading2"/>
      </w:pPr>
      <w:r w:rsidRPr="00997F82">
        <w:t>Population health</w:t>
      </w:r>
    </w:p>
    <w:p w14:paraId="5642FED0" w14:textId="6BDC579A" w:rsidR="00880BE7" w:rsidRPr="00997F82" w:rsidRDefault="005F5358" w:rsidP="00880BE7">
      <w:pPr>
        <w:rPr>
          <w:rFonts w:eastAsia="Times New Roman"/>
        </w:rPr>
      </w:pPr>
      <w:r w:rsidRPr="00997F82">
        <w:rPr>
          <w:rFonts w:eastAsia="Times New Roman"/>
        </w:rPr>
        <w:t>Population health</w:t>
      </w:r>
      <w:r w:rsidR="00880BE7" w:rsidRPr="00997F82">
        <w:rPr>
          <w:rFonts w:eastAsia="Times New Roman"/>
        </w:rPr>
        <w:t xml:space="preserve"> opportunities relate to</w:t>
      </w:r>
      <w:r w:rsidR="00A944B7" w:rsidRPr="00997F82">
        <w:rPr>
          <w:rFonts w:eastAsia="Times New Roman"/>
        </w:rPr>
        <w:t xml:space="preserve"> improvements that could be made </w:t>
      </w:r>
      <w:r w:rsidRPr="00997F82">
        <w:rPr>
          <w:rFonts w:eastAsia="Times New Roman"/>
        </w:rPr>
        <w:t xml:space="preserve">to better understand </w:t>
      </w:r>
      <w:r w:rsidRPr="00997F82">
        <w:rPr>
          <w:rFonts w:asciiTheme="minorHAnsi" w:hAnsiTheme="minorHAnsi"/>
        </w:rPr>
        <w:t xml:space="preserve">the extent to which the Program has achieved greater coordination, data collection and enabled reduced hospitalisations </w:t>
      </w:r>
      <w:r w:rsidR="00880BE7" w:rsidRPr="00997F82">
        <w:rPr>
          <w:rFonts w:eastAsia="Times New Roman"/>
        </w:rPr>
        <w:t>(</w:t>
      </w:r>
      <w:r w:rsidR="0005036F" w:rsidRPr="00997F82">
        <w:rPr>
          <w:rFonts w:eastAsia="Times New Roman"/>
        </w:rPr>
        <w:fldChar w:fldCharType="begin"/>
      </w:r>
      <w:r w:rsidR="0005036F" w:rsidRPr="00997F82">
        <w:rPr>
          <w:rFonts w:eastAsia="Times New Roman"/>
        </w:rPr>
        <w:instrText xml:space="preserve"> REF _Ref202176766 \h </w:instrText>
      </w:r>
      <w:r w:rsidR="00F30544" w:rsidRPr="00997F82">
        <w:rPr>
          <w:rFonts w:eastAsia="Times New Roman"/>
        </w:rPr>
        <w:instrText xml:space="preserve"> \* MERGEFORMAT </w:instrText>
      </w:r>
      <w:r w:rsidR="0005036F" w:rsidRPr="00997F82">
        <w:rPr>
          <w:rFonts w:eastAsia="Times New Roman"/>
        </w:rPr>
      </w:r>
      <w:r w:rsidR="0005036F" w:rsidRPr="00997F82">
        <w:rPr>
          <w:rFonts w:eastAsia="Times New Roman"/>
        </w:rPr>
        <w:fldChar w:fldCharType="separate"/>
      </w:r>
      <w:r w:rsidR="00735424" w:rsidRPr="00997F82">
        <w:t xml:space="preserve">Table </w:t>
      </w:r>
      <w:r w:rsidR="00735424">
        <w:t>16</w:t>
      </w:r>
      <w:r w:rsidR="0005036F" w:rsidRPr="00997F82">
        <w:rPr>
          <w:rFonts w:eastAsia="Times New Roman"/>
        </w:rPr>
        <w:fldChar w:fldCharType="end"/>
      </w:r>
      <w:r w:rsidR="00880BE7" w:rsidRPr="00997F82">
        <w:rPr>
          <w:rFonts w:eastAsia="Times New Roman"/>
        </w:rPr>
        <w:t>)</w:t>
      </w:r>
      <w:r w:rsidR="00A944B7" w:rsidRPr="00997F82">
        <w:rPr>
          <w:rFonts w:eastAsia="Times New Roman"/>
        </w:rPr>
        <w:t>.</w:t>
      </w:r>
    </w:p>
    <w:p w14:paraId="633663AD" w14:textId="2583E65C" w:rsidR="00880BE7" w:rsidRPr="00997F82" w:rsidRDefault="00880BE7" w:rsidP="00277D66">
      <w:pPr>
        <w:pStyle w:val="Caption"/>
      </w:pPr>
      <w:bookmarkStart w:id="69" w:name="_Ref202176766"/>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16</w:t>
      </w:r>
      <w:r w:rsidR="0002526D" w:rsidRPr="00997F82">
        <w:fldChar w:fldCharType="end"/>
      </w:r>
      <w:bookmarkEnd w:id="69"/>
      <w:r w:rsidRPr="00997F82">
        <w:t xml:space="preserve">: </w:t>
      </w:r>
      <w:r w:rsidR="00A77823" w:rsidRPr="00997F82">
        <w:t>Population health</w:t>
      </w:r>
      <w:r w:rsidRPr="00997F82">
        <w:t xml:space="preserve"> opportunities</w:t>
      </w:r>
    </w:p>
    <w:tbl>
      <w:tblPr>
        <w:tblStyle w:val="GridTable1Light-Accent4"/>
        <w:tblW w:w="9286" w:type="dxa"/>
        <w:tblLayout w:type="fixed"/>
        <w:tblLook w:val="04A0" w:firstRow="1" w:lastRow="0" w:firstColumn="1" w:lastColumn="0" w:noHBand="0" w:noVBand="1"/>
      </w:tblPr>
      <w:tblGrid>
        <w:gridCol w:w="567"/>
        <w:gridCol w:w="2808"/>
        <w:gridCol w:w="3123"/>
        <w:gridCol w:w="2788"/>
      </w:tblGrid>
      <w:tr w:rsidR="0017280B" w:rsidRPr="00997F82" w14:paraId="1E6E150D" w14:textId="77777777" w:rsidTr="00A57CA5">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567" w:type="dxa"/>
          </w:tcPr>
          <w:p w14:paraId="389AD630" w14:textId="77777777" w:rsidR="00880BE7" w:rsidRPr="00A57CA5" w:rsidRDefault="00880BE7" w:rsidP="00A57CA5">
            <w:pPr>
              <w:rPr>
                <w:lang w:eastAsia="en-AU"/>
              </w:rPr>
            </w:pPr>
            <w:r w:rsidRPr="00A57CA5">
              <w:rPr>
                <w:lang w:eastAsia="en-AU"/>
              </w:rPr>
              <w:t>#</w:t>
            </w:r>
          </w:p>
        </w:tc>
        <w:tc>
          <w:tcPr>
            <w:tcW w:w="2808" w:type="dxa"/>
          </w:tcPr>
          <w:p w14:paraId="2717D052" w14:textId="77777777" w:rsidR="00880BE7" w:rsidRPr="00A57CA5" w:rsidRDefault="00880BE7" w:rsidP="00A57CA5">
            <w:pPr>
              <w:cnfStyle w:val="100000000000" w:firstRow="1" w:lastRow="0" w:firstColumn="0" w:lastColumn="0" w:oddVBand="0" w:evenVBand="0" w:oddHBand="0" w:evenHBand="0" w:firstRowFirstColumn="0" w:firstRowLastColumn="0" w:lastRowFirstColumn="0" w:lastRowLastColumn="0"/>
              <w:rPr>
                <w:lang w:eastAsia="en-AU"/>
              </w:rPr>
            </w:pPr>
            <w:r w:rsidRPr="00A57CA5">
              <w:rPr>
                <w:lang w:eastAsia="en-AU"/>
              </w:rPr>
              <w:t>Opportunity</w:t>
            </w:r>
          </w:p>
        </w:tc>
        <w:tc>
          <w:tcPr>
            <w:tcW w:w="3123" w:type="dxa"/>
          </w:tcPr>
          <w:p w14:paraId="579FAE4F" w14:textId="77777777" w:rsidR="00880BE7" w:rsidRPr="00A57CA5" w:rsidRDefault="00880BE7" w:rsidP="00A57CA5">
            <w:pPr>
              <w:cnfStyle w:val="100000000000" w:firstRow="1" w:lastRow="0" w:firstColumn="0" w:lastColumn="0" w:oddVBand="0" w:evenVBand="0" w:oddHBand="0" w:evenHBand="0" w:firstRowFirstColumn="0" w:firstRowLastColumn="0" w:lastRowFirstColumn="0" w:lastRowLastColumn="0"/>
              <w:rPr>
                <w:lang w:eastAsia="en-AU"/>
              </w:rPr>
            </w:pPr>
            <w:r w:rsidRPr="00A57CA5">
              <w:rPr>
                <w:lang w:eastAsia="en-AU"/>
              </w:rPr>
              <w:t>Rationale</w:t>
            </w:r>
          </w:p>
        </w:tc>
        <w:tc>
          <w:tcPr>
            <w:tcW w:w="2788" w:type="dxa"/>
          </w:tcPr>
          <w:p w14:paraId="23EEE258" w14:textId="77777777" w:rsidR="00880BE7" w:rsidRPr="00A57CA5" w:rsidRDefault="00880BE7" w:rsidP="00A57CA5">
            <w:pPr>
              <w:cnfStyle w:val="100000000000" w:firstRow="1" w:lastRow="0" w:firstColumn="0" w:lastColumn="0" w:oddVBand="0" w:evenVBand="0" w:oddHBand="0" w:evenHBand="0" w:firstRowFirstColumn="0" w:firstRowLastColumn="0" w:lastRowFirstColumn="0" w:lastRowLastColumn="0"/>
              <w:rPr>
                <w:lang w:eastAsia="en-AU"/>
              </w:rPr>
            </w:pPr>
            <w:r w:rsidRPr="00A57CA5">
              <w:rPr>
                <w:lang w:eastAsia="en-AU"/>
              </w:rPr>
              <w:t>Considerations</w:t>
            </w:r>
          </w:p>
        </w:tc>
      </w:tr>
      <w:tr w:rsidR="005F5358" w:rsidRPr="00997F82" w14:paraId="4D188614" w14:textId="77777777" w:rsidTr="00A57CA5">
        <w:trPr>
          <w:trHeight w:val="1014"/>
        </w:trPr>
        <w:tc>
          <w:tcPr>
            <w:cnfStyle w:val="001000000000" w:firstRow="0" w:lastRow="0" w:firstColumn="1" w:lastColumn="0" w:oddVBand="0" w:evenVBand="0" w:oddHBand="0" w:evenHBand="0" w:firstRowFirstColumn="0" w:firstRowLastColumn="0" w:lastRowFirstColumn="0" w:lastRowLastColumn="0"/>
            <w:tcW w:w="0" w:type="dxa"/>
          </w:tcPr>
          <w:p w14:paraId="1C55AE15" w14:textId="115355D3" w:rsidR="005F5358" w:rsidRPr="00997F82" w:rsidRDefault="0025196A" w:rsidP="005F5358">
            <w:pPr>
              <w:rPr>
                <w:rFonts w:eastAsia="Times New Roman" w:cs="Times New Roman"/>
                <w:sz w:val="18"/>
                <w:szCs w:val="18"/>
                <w:lang w:eastAsia="en-AU"/>
              </w:rPr>
            </w:pPr>
            <w:r w:rsidRPr="00997F82">
              <w:rPr>
                <w:rFonts w:eastAsia="Times New Roman" w:cs="Times New Roman"/>
                <w:sz w:val="18"/>
                <w:szCs w:val="18"/>
                <w:lang w:eastAsia="en-AU"/>
              </w:rPr>
              <w:t>7</w:t>
            </w:r>
          </w:p>
        </w:tc>
        <w:tc>
          <w:tcPr>
            <w:tcW w:w="0" w:type="dxa"/>
            <w:hideMark/>
          </w:tcPr>
          <w:p w14:paraId="1E04236A" w14:textId="30E94822" w:rsidR="005F5358" w:rsidRPr="00997F82" w:rsidRDefault="00A77823" w:rsidP="005F5358">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8"/>
                <w:szCs w:val="18"/>
                <w:lang w:eastAsia="en-AU"/>
              </w:rPr>
            </w:pPr>
            <w:r w:rsidRPr="00997F82">
              <w:rPr>
                <w:rFonts w:eastAsia="Times New Roman" w:cs="Times New Roman"/>
                <w:b/>
                <w:sz w:val="18"/>
                <w:szCs w:val="18"/>
                <w:lang w:eastAsia="en-AU"/>
              </w:rPr>
              <w:t>Where appropriate, PHNs should prioritise coordination and integration activities including those with a focus on engaging multi-disciplinary teams, supporting the unique position that PHNs have in local coordination.</w:t>
            </w:r>
          </w:p>
        </w:tc>
        <w:tc>
          <w:tcPr>
            <w:tcW w:w="0" w:type="dxa"/>
            <w:noWrap/>
            <w:hideMark/>
          </w:tcPr>
          <w:p w14:paraId="5A3E0349" w14:textId="77777777" w:rsidR="005F5358" w:rsidRPr="00997F82" w:rsidRDefault="005F5358" w:rsidP="007770F3">
            <w:pPr>
              <w:pStyle w:val="TableNormalText"/>
              <w:cnfStyle w:val="000000000000" w:firstRow="0" w:lastRow="0" w:firstColumn="0" w:lastColumn="0" w:oddVBand="0" w:evenVBand="0" w:oddHBand="0" w:evenHBand="0" w:firstRowFirstColumn="0" w:firstRowLastColumn="0" w:lastRowFirstColumn="0" w:lastRowLastColumn="0"/>
            </w:pPr>
            <w:r w:rsidRPr="00997F82">
              <w:rPr>
                <w:rFonts w:cs="Times New Roman"/>
                <w:lang w:eastAsia="en-AU"/>
              </w:rPr>
              <w:t xml:space="preserve">PHNs are uniquely positioned to coordinate local services, resources and messaging across different types of workforces. </w:t>
            </w:r>
            <w:r w:rsidRPr="00997F82">
              <w:t xml:space="preserve">While 20 PHNs undertook activities related to Coordination and Integration, much of this was unable to be captured effectively. </w:t>
            </w:r>
          </w:p>
          <w:p w14:paraId="1FCF4D6F" w14:textId="29D7F418" w:rsidR="005F5358" w:rsidRPr="00997F82" w:rsidRDefault="005F5358" w:rsidP="007770F3">
            <w:pPr>
              <w:pStyle w:val="TableNormalText"/>
              <w:cnfStyle w:val="000000000000" w:firstRow="0" w:lastRow="0" w:firstColumn="0" w:lastColumn="0" w:oddVBand="0" w:evenVBand="0" w:oddHBand="0" w:evenHBand="0" w:firstRowFirstColumn="0" w:firstRowLastColumn="0" w:lastRowFirstColumn="0" w:lastRowLastColumn="0"/>
              <w:rPr>
                <w:rFonts w:cs="Times New Roman"/>
                <w:lang w:eastAsia="en-AU"/>
              </w:rPr>
            </w:pPr>
            <w:r w:rsidRPr="00997F82">
              <w:rPr>
                <w:rFonts w:cs="Times New Roman"/>
                <w:lang w:eastAsia="en-AU"/>
              </w:rPr>
              <w:t>Multidisciplinary teams (MDT) play an important role in palliative and end of life care and lead to greater quality of care</w:t>
            </w:r>
            <w:r w:rsidRPr="00997F82">
              <w:rPr>
                <w:rStyle w:val="FootnoteReference"/>
                <w:rFonts w:cs="Times New Roman"/>
                <w:szCs w:val="18"/>
                <w:lang w:eastAsia="en-AU"/>
              </w:rPr>
              <w:footnoteReference w:id="72"/>
            </w:r>
            <w:r w:rsidRPr="00997F82">
              <w:rPr>
                <w:rFonts w:cs="Times New Roman"/>
                <w:lang w:eastAsia="en-AU"/>
              </w:rPr>
              <w:t xml:space="preserve">. MDTs are also a current focus on government policy and programs, including those delivered by PHNs. There is therefore an opportunity to leverage the growing prevalence of MDTs and networks across Australia, and the relationships and resources which PHNs have established, to improve coordination and integration of palliative care services. </w:t>
            </w:r>
          </w:p>
        </w:tc>
        <w:tc>
          <w:tcPr>
            <w:tcW w:w="0" w:type="dxa"/>
          </w:tcPr>
          <w:p w14:paraId="6EDA7071" w14:textId="32AC8C4F" w:rsidR="005F5358" w:rsidRPr="00997F82" w:rsidRDefault="005F5358"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The role of PHNs in different workforce spaces may vary depending on local health system needs and external environmental factors.</w:t>
            </w:r>
          </w:p>
        </w:tc>
      </w:tr>
      <w:tr w:rsidR="005F5358" w:rsidRPr="00997F82" w14:paraId="78E5194E" w14:textId="77777777" w:rsidTr="00A57CA5">
        <w:trPr>
          <w:trHeight w:val="1136"/>
        </w:trPr>
        <w:tc>
          <w:tcPr>
            <w:cnfStyle w:val="001000000000" w:firstRow="0" w:lastRow="0" w:firstColumn="1" w:lastColumn="0" w:oddVBand="0" w:evenVBand="0" w:oddHBand="0" w:evenHBand="0" w:firstRowFirstColumn="0" w:firstRowLastColumn="0" w:lastRowFirstColumn="0" w:lastRowLastColumn="0"/>
            <w:tcW w:w="567" w:type="dxa"/>
          </w:tcPr>
          <w:p w14:paraId="0E594B61" w14:textId="350FA99E" w:rsidR="005F5358" w:rsidRPr="00997F82" w:rsidDel="005F5358" w:rsidRDefault="0025196A" w:rsidP="005F5358">
            <w:pPr>
              <w:rPr>
                <w:rFonts w:eastAsia="Times New Roman" w:cs="Times New Roman"/>
                <w:bCs w:val="0"/>
                <w:sz w:val="18"/>
                <w:szCs w:val="18"/>
                <w:lang w:eastAsia="en-AU"/>
              </w:rPr>
            </w:pPr>
            <w:r w:rsidRPr="00997F82">
              <w:rPr>
                <w:rFonts w:eastAsia="Times New Roman" w:cs="Times New Roman"/>
                <w:sz w:val="18"/>
                <w:szCs w:val="18"/>
                <w:lang w:eastAsia="en-AU"/>
              </w:rPr>
              <w:t>8</w:t>
            </w:r>
          </w:p>
        </w:tc>
        <w:tc>
          <w:tcPr>
            <w:tcW w:w="2808" w:type="dxa"/>
          </w:tcPr>
          <w:p w14:paraId="12AD79EB" w14:textId="54E83BCE" w:rsidR="005F5358" w:rsidRPr="00997F82" w:rsidRDefault="00A77823" w:rsidP="005F5358">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8"/>
                <w:szCs w:val="18"/>
                <w:lang w:eastAsia="en-AU"/>
              </w:rPr>
            </w:pPr>
            <w:r w:rsidRPr="00997F82">
              <w:rPr>
                <w:rFonts w:eastAsia="Times New Roman" w:cs="Times New Roman"/>
                <w:b/>
                <w:sz w:val="18"/>
                <w:szCs w:val="18"/>
                <w:lang w:eastAsia="en-AU"/>
              </w:rPr>
              <w:t xml:space="preserve">Where possible, PHNs should encourage data sharing agreements and relationships with </w:t>
            </w:r>
            <w:r w:rsidR="00807C14" w:rsidRPr="00997F82">
              <w:rPr>
                <w:rFonts w:eastAsia="Times New Roman" w:cs="Times New Roman"/>
                <w:b/>
                <w:sz w:val="18"/>
                <w:szCs w:val="18"/>
                <w:lang w:eastAsia="en-AU"/>
              </w:rPr>
              <w:t xml:space="preserve">GPs and </w:t>
            </w:r>
            <w:r w:rsidRPr="00997F82">
              <w:rPr>
                <w:rFonts w:eastAsia="Times New Roman" w:cs="Times New Roman"/>
                <w:b/>
                <w:sz w:val="18"/>
                <w:szCs w:val="18"/>
                <w:lang w:eastAsia="en-AU"/>
              </w:rPr>
              <w:t>specialist palliative care services.</w:t>
            </w:r>
          </w:p>
        </w:tc>
        <w:tc>
          <w:tcPr>
            <w:tcW w:w="3123" w:type="dxa"/>
            <w:noWrap/>
          </w:tcPr>
          <w:p w14:paraId="242AF042" w14:textId="58EE569F" w:rsidR="005F5358" w:rsidRPr="00997F82" w:rsidRDefault="005F5358" w:rsidP="005F5358">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sidRPr="00997F82">
              <w:rPr>
                <w:rFonts w:eastAsia="Times New Roman" w:cs="Times New Roman"/>
                <w:sz w:val="18"/>
                <w:szCs w:val="18"/>
                <w:lang w:eastAsia="en-AU"/>
              </w:rPr>
              <w:t>PHNs that were able to implement data sharing agreements with service providers, LHDs or national projects have had better access to national palliative care data to inform their activities and allowed for greater continuous improvement on the way their activities were planned and conducted throughout the funding period.</w:t>
            </w:r>
          </w:p>
        </w:tc>
        <w:tc>
          <w:tcPr>
            <w:tcW w:w="2788" w:type="dxa"/>
          </w:tcPr>
          <w:p w14:paraId="1E4FDD2F" w14:textId="4A7E08E6" w:rsidR="005F5358" w:rsidRPr="00997F82" w:rsidRDefault="005F5358"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Access to national palliative care data may require support from the Department, where PHNs are unable to do so.</w:t>
            </w:r>
          </w:p>
        </w:tc>
      </w:tr>
    </w:tbl>
    <w:p w14:paraId="2FBA9767" w14:textId="77777777" w:rsidR="005F5358" w:rsidRPr="00997F82" w:rsidRDefault="005F5358" w:rsidP="00277D66">
      <w:pPr>
        <w:pStyle w:val="Heading2"/>
      </w:pPr>
      <w:r w:rsidRPr="00997F82">
        <w:t>Health equity</w:t>
      </w:r>
    </w:p>
    <w:p w14:paraId="244F29BB" w14:textId="40698E1D" w:rsidR="005F5358" w:rsidRPr="00997F82" w:rsidRDefault="00A77823" w:rsidP="005F5358">
      <w:pPr>
        <w:rPr>
          <w:rFonts w:eastAsia="Times New Roman"/>
        </w:rPr>
      </w:pPr>
      <w:r w:rsidRPr="00997F82">
        <w:rPr>
          <w:rFonts w:eastAsia="Times New Roman"/>
        </w:rPr>
        <w:t>This opportunity</w:t>
      </w:r>
      <w:r w:rsidR="005F5358" w:rsidRPr="00997F82">
        <w:rPr>
          <w:rFonts w:eastAsia="Times New Roman"/>
        </w:rPr>
        <w:t xml:space="preserve"> centre</w:t>
      </w:r>
      <w:r w:rsidRPr="00997F82">
        <w:rPr>
          <w:rFonts w:eastAsia="Times New Roman"/>
        </w:rPr>
        <w:t>s</w:t>
      </w:r>
      <w:r w:rsidR="005F5358" w:rsidRPr="00997F82">
        <w:rPr>
          <w:rFonts w:eastAsia="Times New Roman"/>
        </w:rPr>
        <w:t xml:space="preserve"> around </w:t>
      </w:r>
      <w:r w:rsidRPr="00997F82">
        <w:rPr>
          <w:rFonts w:eastAsia="Times New Roman"/>
        </w:rPr>
        <w:t>embedded</w:t>
      </w:r>
      <w:r w:rsidR="005F5358" w:rsidRPr="00997F82">
        <w:rPr>
          <w:rFonts w:eastAsia="Times New Roman"/>
        </w:rPr>
        <w:t xml:space="preserve"> data collect</w:t>
      </w:r>
      <w:r w:rsidRPr="00997F82">
        <w:rPr>
          <w:rFonts w:eastAsia="Times New Roman"/>
        </w:rPr>
        <w:t>ion</w:t>
      </w:r>
      <w:r w:rsidR="005F5358" w:rsidRPr="00997F82">
        <w:rPr>
          <w:rFonts w:eastAsia="Times New Roman"/>
        </w:rPr>
        <w:t xml:space="preserve"> </w:t>
      </w:r>
      <w:r w:rsidRPr="00997F82">
        <w:rPr>
          <w:rFonts w:eastAsia="Times New Roman"/>
        </w:rPr>
        <w:t>to better understand health equity achievements, impact and the extent</w:t>
      </w:r>
      <w:r w:rsidRPr="00997F82">
        <w:rPr>
          <w:rFonts w:asciiTheme="minorHAnsi" w:hAnsiTheme="minorHAnsi"/>
        </w:rPr>
        <w:t xml:space="preserve"> to which PHN activities meet the needs for all people in their regions, including </w:t>
      </w:r>
      <w:r w:rsidR="00C26F99" w:rsidRPr="00997F82">
        <w:rPr>
          <w:rFonts w:asciiTheme="minorHAnsi" w:hAnsiTheme="minorHAnsi"/>
        </w:rPr>
        <w:t>underserved</w:t>
      </w:r>
      <w:r w:rsidRPr="00997F82">
        <w:rPr>
          <w:rFonts w:asciiTheme="minorHAnsi" w:hAnsiTheme="minorHAnsi"/>
        </w:rPr>
        <w:t xml:space="preserve"> populations</w:t>
      </w:r>
      <w:r w:rsidR="005F5358" w:rsidRPr="00997F82">
        <w:rPr>
          <w:rFonts w:eastAsia="Times New Roman"/>
        </w:rPr>
        <w:t xml:space="preserve"> (</w:t>
      </w:r>
      <w:r w:rsidR="00C05494" w:rsidRPr="00997F82">
        <w:rPr>
          <w:rFonts w:eastAsia="Times New Roman"/>
        </w:rPr>
        <w:fldChar w:fldCharType="begin"/>
      </w:r>
      <w:r w:rsidR="00C05494" w:rsidRPr="00997F82">
        <w:rPr>
          <w:rFonts w:eastAsia="Times New Roman"/>
        </w:rPr>
        <w:instrText xml:space="preserve"> REF _Ref202177369 \h  \* MERGEFORMAT </w:instrText>
      </w:r>
      <w:r w:rsidR="00C05494" w:rsidRPr="00997F82">
        <w:rPr>
          <w:rFonts w:eastAsia="Times New Roman"/>
        </w:rPr>
      </w:r>
      <w:r w:rsidR="00C05494" w:rsidRPr="00997F82">
        <w:rPr>
          <w:rFonts w:eastAsia="Times New Roman"/>
        </w:rPr>
        <w:fldChar w:fldCharType="separate"/>
      </w:r>
      <w:r w:rsidR="00C05494" w:rsidRPr="00997F82">
        <w:t xml:space="preserve">Table </w:t>
      </w:r>
      <w:r w:rsidR="00C05494">
        <w:t>17</w:t>
      </w:r>
      <w:r w:rsidR="00C05494" w:rsidRPr="00997F82">
        <w:rPr>
          <w:rFonts w:eastAsia="Times New Roman"/>
        </w:rPr>
        <w:fldChar w:fldCharType="end"/>
      </w:r>
      <w:r w:rsidR="005F5358" w:rsidRPr="00997F82">
        <w:rPr>
          <w:rFonts w:eastAsia="Times New Roman"/>
        </w:rPr>
        <w:t>)</w:t>
      </w:r>
      <w:r w:rsidR="00441A72" w:rsidRPr="00997F82">
        <w:rPr>
          <w:rFonts w:eastAsia="Times New Roman"/>
        </w:rPr>
        <w:t>.</w:t>
      </w:r>
    </w:p>
    <w:p w14:paraId="0C00A036" w14:textId="79C51CC8" w:rsidR="005F5358" w:rsidRPr="00997F82" w:rsidRDefault="005F5358" w:rsidP="00277D66">
      <w:pPr>
        <w:pStyle w:val="Caption"/>
      </w:pPr>
      <w:r w:rsidRPr="00997F82">
        <w:t xml:space="preserve">Table </w:t>
      </w:r>
      <w:r w:rsidRPr="00997F82">
        <w:fldChar w:fldCharType="begin"/>
      </w:r>
      <w:r w:rsidRPr="00997F82">
        <w:instrText xml:space="preserve"> SEQ Table \* ARABIC </w:instrText>
      </w:r>
      <w:r w:rsidRPr="00997F82">
        <w:fldChar w:fldCharType="separate"/>
      </w:r>
      <w:r w:rsidR="00735424">
        <w:rPr>
          <w:noProof/>
        </w:rPr>
        <w:t>17</w:t>
      </w:r>
      <w:r w:rsidRPr="00997F82">
        <w:fldChar w:fldCharType="end"/>
      </w:r>
      <w:r w:rsidRPr="00997F82">
        <w:t xml:space="preserve">: </w:t>
      </w:r>
      <w:r w:rsidR="00A77823" w:rsidRPr="00997F82">
        <w:t>Health equity</w:t>
      </w:r>
      <w:r w:rsidRPr="00997F82">
        <w:t xml:space="preserve"> opportunities</w:t>
      </w:r>
    </w:p>
    <w:tbl>
      <w:tblPr>
        <w:tblStyle w:val="GridTable1Light-Accent4"/>
        <w:tblW w:w="9286" w:type="dxa"/>
        <w:tblLayout w:type="fixed"/>
        <w:tblLook w:val="04A0" w:firstRow="1" w:lastRow="0" w:firstColumn="1" w:lastColumn="0" w:noHBand="0" w:noVBand="1"/>
      </w:tblPr>
      <w:tblGrid>
        <w:gridCol w:w="567"/>
        <w:gridCol w:w="2808"/>
        <w:gridCol w:w="3123"/>
        <w:gridCol w:w="2788"/>
      </w:tblGrid>
      <w:tr w:rsidR="0017280B" w:rsidRPr="00A57CA5" w14:paraId="0C37FDF8" w14:textId="77777777" w:rsidTr="00A57CA5">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567" w:type="dxa"/>
          </w:tcPr>
          <w:p w14:paraId="0F0EF0B7" w14:textId="77777777" w:rsidR="005F5358" w:rsidRPr="00A57CA5" w:rsidRDefault="005F5358" w:rsidP="00A57CA5">
            <w:r w:rsidRPr="00A57CA5">
              <w:t>#</w:t>
            </w:r>
          </w:p>
        </w:tc>
        <w:tc>
          <w:tcPr>
            <w:tcW w:w="2808" w:type="dxa"/>
          </w:tcPr>
          <w:p w14:paraId="4B355FB1" w14:textId="77777777" w:rsidR="005F5358" w:rsidRPr="00A57CA5" w:rsidRDefault="005F5358" w:rsidP="00A57CA5">
            <w:pPr>
              <w:cnfStyle w:val="100000000000" w:firstRow="1" w:lastRow="0" w:firstColumn="0" w:lastColumn="0" w:oddVBand="0" w:evenVBand="0" w:oddHBand="0" w:evenHBand="0" w:firstRowFirstColumn="0" w:firstRowLastColumn="0" w:lastRowFirstColumn="0" w:lastRowLastColumn="0"/>
            </w:pPr>
            <w:r w:rsidRPr="00A57CA5">
              <w:t>Opportunity</w:t>
            </w:r>
          </w:p>
        </w:tc>
        <w:tc>
          <w:tcPr>
            <w:tcW w:w="3123" w:type="dxa"/>
          </w:tcPr>
          <w:p w14:paraId="59A4E084" w14:textId="77777777" w:rsidR="005F5358" w:rsidRPr="00A57CA5" w:rsidRDefault="005F5358" w:rsidP="00A57CA5">
            <w:pPr>
              <w:cnfStyle w:val="100000000000" w:firstRow="1" w:lastRow="0" w:firstColumn="0" w:lastColumn="0" w:oddVBand="0" w:evenVBand="0" w:oddHBand="0" w:evenHBand="0" w:firstRowFirstColumn="0" w:firstRowLastColumn="0" w:lastRowFirstColumn="0" w:lastRowLastColumn="0"/>
            </w:pPr>
            <w:r w:rsidRPr="00A57CA5">
              <w:t>Rationale</w:t>
            </w:r>
          </w:p>
        </w:tc>
        <w:tc>
          <w:tcPr>
            <w:tcW w:w="2788" w:type="dxa"/>
          </w:tcPr>
          <w:p w14:paraId="25461247" w14:textId="77777777" w:rsidR="005F5358" w:rsidRPr="00A57CA5" w:rsidRDefault="005F5358" w:rsidP="00A57CA5">
            <w:pPr>
              <w:cnfStyle w:val="100000000000" w:firstRow="1" w:lastRow="0" w:firstColumn="0" w:lastColumn="0" w:oddVBand="0" w:evenVBand="0" w:oddHBand="0" w:evenHBand="0" w:firstRowFirstColumn="0" w:firstRowLastColumn="0" w:lastRowFirstColumn="0" w:lastRowLastColumn="0"/>
            </w:pPr>
            <w:r w:rsidRPr="00A57CA5">
              <w:t>Considerations</w:t>
            </w:r>
          </w:p>
        </w:tc>
      </w:tr>
      <w:tr w:rsidR="00A77823" w:rsidRPr="00997F82" w14:paraId="296A470D" w14:textId="77777777" w:rsidTr="00A57CA5">
        <w:trPr>
          <w:trHeight w:val="1753"/>
        </w:trPr>
        <w:tc>
          <w:tcPr>
            <w:cnfStyle w:val="001000000000" w:firstRow="0" w:lastRow="0" w:firstColumn="1" w:lastColumn="0" w:oddVBand="0" w:evenVBand="0" w:oddHBand="0" w:evenHBand="0" w:firstRowFirstColumn="0" w:firstRowLastColumn="0" w:lastRowFirstColumn="0" w:lastRowLastColumn="0"/>
            <w:tcW w:w="567" w:type="dxa"/>
          </w:tcPr>
          <w:p w14:paraId="5B16D435" w14:textId="4DE7D155" w:rsidR="00A77823" w:rsidRPr="00997F82" w:rsidRDefault="0025196A" w:rsidP="00A77823">
            <w:pPr>
              <w:rPr>
                <w:rFonts w:eastAsia="Times New Roman" w:cs="Times New Roman"/>
                <w:sz w:val="18"/>
                <w:szCs w:val="18"/>
                <w:lang w:eastAsia="en-AU"/>
              </w:rPr>
            </w:pPr>
            <w:r w:rsidRPr="00997F82">
              <w:rPr>
                <w:rFonts w:eastAsia="Times New Roman" w:cs="Times New Roman"/>
                <w:sz w:val="18"/>
                <w:szCs w:val="18"/>
                <w:lang w:eastAsia="en-AU"/>
              </w:rPr>
              <w:t>9</w:t>
            </w:r>
          </w:p>
        </w:tc>
        <w:tc>
          <w:tcPr>
            <w:tcW w:w="2808" w:type="dxa"/>
            <w:hideMark/>
          </w:tcPr>
          <w:p w14:paraId="15D7C92D" w14:textId="7F383E41" w:rsidR="00A77823" w:rsidRPr="00997F82" w:rsidRDefault="00A77823" w:rsidP="00A77823">
            <w:pP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lang w:eastAsia="en-AU"/>
              </w:rPr>
            </w:pPr>
            <w:r w:rsidRPr="00997F82">
              <w:rPr>
                <w:rFonts w:eastAsia="Times New Roman" w:cs="Times New Roman"/>
                <w:b/>
                <w:sz w:val="18"/>
                <w:szCs w:val="18"/>
                <w:lang w:eastAsia="en-AU"/>
              </w:rPr>
              <w:t>Collectively, establish and develop targeted outcomes, key performance indicators or metrics and accompanying monitoring and data collection plans when planning activities.</w:t>
            </w:r>
          </w:p>
        </w:tc>
        <w:tc>
          <w:tcPr>
            <w:tcW w:w="3123" w:type="dxa"/>
            <w:noWrap/>
            <w:hideMark/>
          </w:tcPr>
          <w:p w14:paraId="124D879C" w14:textId="6A4EAA8E" w:rsidR="00A77823" w:rsidRPr="00997F82" w:rsidRDefault="00A77823" w:rsidP="00A77823">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sidRPr="00997F82">
              <w:rPr>
                <w:rFonts w:eastAsia="Times New Roman" w:cs="Times New Roman"/>
                <w:sz w:val="18"/>
                <w:szCs w:val="18"/>
                <w:lang w:eastAsia="en-AU"/>
              </w:rPr>
              <w:t xml:space="preserve">PHNs would benefit from defining target outcomes when planning their activities. For PHNs that have done this, and for those which have conducted internal evaluations, there is a greater understanding of the impact on reducing higher acuity burden, unnecessary hospitalisations and value for money. </w:t>
            </w:r>
          </w:p>
        </w:tc>
        <w:tc>
          <w:tcPr>
            <w:tcW w:w="2788" w:type="dxa"/>
          </w:tcPr>
          <w:p w14:paraId="4358315B" w14:textId="487EADA8" w:rsidR="00A77823" w:rsidRPr="00997F82" w:rsidRDefault="00A77823"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To do this effectively, PHNs will require a baseline understanding of evaluation, and outcomes measurement.</w:t>
            </w:r>
          </w:p>
        </w:tc>
      </w:tr>
    </w:tbl>
    <w:p w14:paraId="0BA43639" w14:textId="6FFDD882" w:rsidR="00C774AF" w:rsidRPr="00997F82" w:rsidRDefault="008F355A" w:rsidP="00277D66">
      <w:pPr>
        <w:pStyle w:val="Heading2"/>
      </w:pPr>
      <w:r w:rsidRPr="00997F82">
        <w:t>Value for money</w:t>
      </w:r>
    </w:p>
    <w:p w14:paraId="682FDAD8" w14:textId="5EC387FB" w:rsidR="00E12878" w:rsidRPr="00997F82" w:rsidRDefault="00E12878" w:rsidP="00E12878">
      <w:pPr>
        <w:rPr>
          <w:rFonts w:eastAsia="Times New Roman"/>
        </w:rPr>
      </w:pPr>
      <w:r w:rsidRPr="00997F82">
        <w:rPr>
          <w:rFonts w:eastAsia="Times New Roman"/>
        </w:rPr>
        <w:t xml:space="preserve">The final opportunities centre around greater efficiencies that could be made to maximise the potential for impact, still within the funding envelope provided </w:t>
      </w:r>
      <w:r w:rsidR="00B54B60" w:rsidRPr="00997F82">
        <w:rPr>
          <w:rFonts w:eastAsia="Times New Roman"/>
        </w:rPr>
        <w:t>in the Program</w:t>
      </w:r>
      <w:r w:rsidRPr="00997F82">
        <w:rPr>
          <w:rFonts w:eastAsia="Times New Roman"/>
        </w:rPr>
        <w:t xml:space="preserve"> (</w:t>
      </w:r>
      <w:r w:rsidR="00B54B60" w:rsidRPr="00997F82">
        <w:rPr>
          <w:rFonts w:eastAsia="Times New Roman"/>
        </w:rPr>
        <w:fldChar w:fldCharType="begin"/>
      </w:r>
      <w:r w:rsidR="00B54B60" w:rsidRPr="00997F82">
        <w:rPr>
          <w:rFonts w:eastAsia="Times New Roman"/>
        </w:rPr>
        <w:instrText xml:space="preserve"> REF _Ref202177369 \h </w:instrText>
      </w:r>
      <w:r w:rsidR="007E4DD9" w:rsidRPr="00997F82">
        <w:rPr>
          <w:rFonts w:eastAsia="Times New Roman"/>
        </w:rPr>
        <w:instrText xml:space="preserve"> \* MERGEFORMAT </w:instrText>
      </w:r>
      <w:r w:rsidR="00B54B60" w:rsidRPr="00997F82">
        <w:rPr>
          <w:rFonts w:eastAsia="Times New Roman"/>
        </w:rPr>
      </w:r>
      <w:r w:rsidR="00B54B60" w:rsidRPr="00997F82">
        <w:rPr>
          <w:rFonts w:eastAsia="Times New Roman"/>
        </w:rPr>
        <w:fldChar w:fldCharType="separate"/>
      </w:r>
      <w:r w:rsidR="00735424" w:rsidRPr="00997F82">
        <w:t xml:space="preserve">Table </w:t>
      </w:r>
      <w:r w:rsidR="00735424">
        <w:t>18</w:t>
      </w:r>
      <w:r w:rsidR="00B54B60" w:rsidRPr="00997F82">
        <w:rPr>
          <w:rFonts w:eastAsia="Times New Roman"/>
        </w:rPr>
        <w:fldChar w:fldCharType="end"/>
      </w:r>
      <w:r w:rsidR="00B54B60" w:rsidRPr="00997F82">
        <w:rPr>
          <w:rFonts w:eastAsia="Times New Roman"/>
        </w:rPr>
        <w:t>)</w:t>
      </w:r>
      <w:r w:rsidR="00BE2314" w:rsidRPr="00997F82">
        <w:rPr>
          <w:rFonts w:eastAsia="Times New Roman"/>
        </w:rPr>
        <w:t>.</w:t>
      </w:r>
    </w:p>
    <w:p w14:paraId="0EEB75C6" w14:textId="4C1ACB78" w:rsidR="00E12878" w:rsidRPr="00997F82" w:rsidRDefault="00E12878" w:rsidP="00277D66">
      <w:pPr>
        <w:pStyle w:val="Caption"/>
      </w:pPr>
      <w:bookmarkStart w:id="70" w:name="_Ref202177369"/>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18</w:t>
      </w:r>
      <w:r w:rsidR="0002526D" w:rsidRPr="00997F82">
        <w:fldChar w:fldCharType="end"/>
      </w:r>
      <w:bookmarkEnd w:id="70"/>
      <w:r w:rsidRPr="00997F82">
        <w:t xml:space="preserve">: </w:t>
      </w:r>
      <w:r w:rsidR="004F3BE5" w:rsidRPr="00997F82">
        <w:t>Lower cost of care</w:t>
      </w:r>
      <w:r w:rsidRPr="00997F82">
        <w:t xml:space="preserve"> opportunities</w:t>
      </w:r>
    </w:p>
    <w:tbl>
      <w:tblPr>
        <w:tblStyle w:val="GridTable1Light-Accent4"/>
        <w:tblW w:w="9286" w:type="dxa"/>
        <w:tblLayout w:type="fixed"/>
        <w:tblLook w:val="04A0" w:firstRow="1" w:lastRow="0" w:firstColumn="1" w:lastColumn="0" w:noHBand="0" w:noVBand="1"/>
      </w:tblPr>
      <w:tblGrid>
        <w:gridCol w:w="567"/>
        <w:gridCol w:w="2808"/>
        <w:gridCol w:w="3123"/>
        <w:gridCol w:w="2788"/>
      </w:tblGrid>
      <w:tr w:rsidR="00F3681D" w:rsidRPr="00A57CA5" w14:paraId="01BC349D" w14:textId="77777777" w:rsidTr="00A57CA5">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567" w:type="dxa"/>
          </w:tcPr>
          <w:p w14:paraId="7A11F695" w14:textId="77777777" w:rsidR="00E12878" w:rsidRPr="00A57CA5" w:rsidRDefault="00E12878" w:rsidP="00A57CA5">
            <w:r w:rsidRPr="00A57CA5">
              <w:t>#</w:t>
            </w:r>
          </w:p>
        </w:tc>
        <w:tc>
          <w:tcPr>
            <w:tcW w:w="2808" w:type="dxa"/>
          </w:tcPr>
          <w:p w14:paraId="1E2DA12D" w14:textId="77777777" w:rsidR="00E12878" w:rsidRPr="00A57CA5" w:rsidRDefault="00E12878" w:rsidP="00A57CA5">
            <w:pPr>
              <w:cnfStyle w:val="100000000000" w:firstRow="1" w:lastRow="0" w:firstColumn="0" w:lastColumn="0" w:oddVBand="0" w:evenVBand="0" w:oddHBand="0" w:evenHBand="0" w:firstRowFirstColumn="0" w:firstRowLastColumn="0" w:lastRowFirstColumn="0" w:lastRowLastColumn="0"/>
            </w:pPr>
            <w:r w:rsidRPr="00A57CA5">
              <w:t>Opportunity</w:t>
            </w:r>
          </w:p>
        </w:tc>
        <w:tc>
          <w:tcPr>
            <w:tcW w:w="3123" w:type="dxa"/>
          </w:tcPr>
          <w:p w14:paraId="578CF651" w14:textId="77777777" w:rsidR="00E12878" w:rsidRPr="00A57CA5" w:rsidRDefault="00E12878" w:rsidP="00A57CA5">
            <w:pPr>
              <w:cnfStyle w:val="100000000000" w:firstRow="1" w:lastRow="0" w:firstColumn="0" w:lastColumn="0" w:oddVBand="0" w:evenVBand="0" w:oddHBand="0" w:evenHBand="0" w:firstRowFirstColumn="0" w:firstRowLastColumn="0" w:lastRowFirstColumn="0" w:lastRowLastColumn="0"/>
            </w:pPr>
            <w:r w:rsidRPr="00A57CA5">
              <w:t>Rationale</w:t>
            </w:r>
          </w:p>
        </w:tc>
        <w:tc>
          <w:tcPr>
            <w:tcW w:w="2788" w:type="dxa"/>
          </w:tcPr>
          <w:p w14:paraId="55D25964" w14:textId="77777777" w:rsidR="00E12878" w:rsidRPr="00A57CA5" w:rsidRDefault="00E12878" w:rsidP="00A57CA5">
            <w:pPr>
              <w:cnfStyle w:val="100000000000" w:firstRow="1" w:lastRow="0" w:firstColumn="0" w:lastColumn="0" w:oddVBand="0" w:evenVBand="0" w:oddHBand="0" w:evenHBand="0" w:firstRowFirstColumn="0" w:firstRowLastColumn="0" w:lastRowFirstColumn="0" w:lastRowLastColumn="0"/>
            </w:pPr>
            <w:r w:rsidRPr="00A57CA5">
              <w:t>Considerations</w:t>
            </w:r>
          </w:p>
        </w:tc>
      </w:tr>
      <w:tr w:rsidR="00E12878" w:rsidRPr="00997F82" w14:paraId="587C9EAA" w14:textId="77777777" w:rsidTr="00A57CA5">
        <w:trPr>
          <w:trHeight w:val="1753"/>
        </w:trPr>
        <w:tc>
          <w:tcPr>
            <w:cnfStyle w:val="001000000000" w:firstRow="0" w:lastRow="0" w:firstColumn="1" w:lastColumn="0" w:oddVBand="0" w:evenVBand="0" w:oddHBand="0" w:evenHBand="0" w:firstRowFirstColumn="0" w:firstRowLastColumn="0" w:lastRowFirstColumn="0" w:lastRowLastColumn="0"/>
            <w:tcW w:w="567" w:type="dxa"/>
          </w:tcPr>
          <w:p w14:paraId="629E5B0B" w14:textId="570B70CB" w:rsidR="00E12878" w:rsidRPr="00997F82" w:rsidRDefault="0025196A">
            <w:pPr>
              <w:rPr>
                <w:rFonts w:eastAsia="Times New Roman" w:cs="Times New Roman"/>
                <w:sz w:val="18"/>
                <w:szCs w:val="18"/>
                <w:lang w:eastAsia="en-AU"/>
              </w:rPr>
            </w:pPr>
            <w:r w:rsidRPr="00997F82">
              <w:rPr>
                <w:rFonts w:eastAsia="Times New Roman" w:cs="Times New Roman"/>
                <w:sz w:val="18"/>
                <w:szCs w:val="18"/>
                <w:lang w:eastAsia="en-AU"/>
              </w:rPr>
              <w:t>10</w:t>
            </w:r>
          </w:p>
        </w:tc>
        <w:tc>
          <w:tcPr>
            <w:tcW w:w="2808" w:type="dxa"/>
            <w:hideMark/>
          </w:tcPr>
          <w:p w14:paraId="7017AFBA" w14:textId="05154E86" w:rsidR="00E12878" w:rsidRPr="00997F82" w:rsidRDefault="004F3BE5" w:rsidP="7690E8B4">
            <w:pP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lang w:eastAsia="en-AU"/>
              </w:rPr>
            </w:pPr>
            <w:r w:rsidRPr="00997F82">
              <w:rPr>
                <w:rFonts w:eastAsia="Times New Roman" w:cs="Times New Roman"/>
                <w:b/>
                <w:bCs/>
                <w:sz w:val="18"/>
                <w:szCs w:val="18"/>
                <w:lang w:eastAsia="en-AU"/>
              </w:rPr>
              <w:t xml:space="preserve">The </w:t>
            </w:r>
            <w:r w:rsidR="00BE2314" w:rsidRPr="00997F82">
              <w:rPr>
                <w:rFonts w:eastAsia="Times New Roman" w:cs="Times New Roman"/>
                <w:b/>
                <w:bCs/>
                <w:sz w:val="18"/>
                <w:szCs w:val="18"/>
                <w:lang w:eastAsia="en-AU"/>
              </w:rPr>
              <w:t>d</w:t>
            </w:r>
            <w:r w:rsidRPr="00997F82">
              <w:rPr>
                <w:rFonts w:eastAsia="Times New Roman" w:cs="Times New Roman"/>
                <w:b/>
                <w:bCs/>
                <w:sz w:val="18"/>
                <w:szCs w:val="18"/>
                <w:lang w:eastAsia="en-AU"/>
              </w:rPr>
              <w:t>epartment should implement a mechanism that enables the identification and scaling of PHN activities that are demonstrated to be effective and have applicability at a national scale.</w:t>
            </w:r>
          </w:p>
        </w:tc>
        <w:tc>
          <w:tcPr>
            <w:tcW w:w="3123" w:type="dxa"/>
            <w:noWrap/>
            <w:hideMark/>
          </w:tcPr>
          <w:p w14:paraId="57BD60A4" w14:textId="7D099BC2" w:rsidR="00E12878" w:rsidRPr="00997F82" w:rsidRDefault="000468A7">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sidRPr="00997F82">
              <w:rPr>
                <w:rFonts w:eastAsia="Times New Roman" w:cs="Times New Roman"/>
                <w:sz w:val="18"/>
                <w:szCs w:val="18"/>
                <w:lang w:eastAsia="en-AU"/>
              </w:rPr>
              <w:t>While tailoring activities to local needs is a critical enabler of the Program</w:t>
            </w:r>
            <w:r w:rsidR="00B35797" w:rsidRPr="00997F82">
              <w:rPr>
                <w:rFonts w:eastAsia="Times New Roman" w:cs="Times New Roman"/>
                <w:sz w:val="18"/>
                <w:szCs w:val="18"/>
                <w:lang w:eastAsia="en-AU"/>
              </w:rPr>
              <w:t xml:space="preserve"> and should continue</w:t>
            </w:r>
            <w:r w:rsidRPr="00997F82">
              <w:rPr>
                <w:rFonts w:eastAsia="Times New Roman" w:cs="Times New Roman"/>
                <w:sz w:val="18"/>
                <w:szCs w:val="18"/>
                <w:lang w:eastAsia="en-AU"/>
              </w:rPr>
              <w:t xml:space="preserve">, PHNs </w:t>
            </w:r>
            <w:r w:rsidR="004A6174" w:rsidRPr="00997F82">
              <w:rPr>
                <w:rFonts w:eastAsia="Times New Roman" w:cs="Times New Roman"/>
                <w:sz w:val="18"/>
                <w:szCs w:val="18"/>
                <w:lang w:eastAsia="en-AU"/>
              </w:rPr>
              <w:t>noted</w:t>
            </w:r>
            <w:r w:rsidR="00557FB4" w:rsidRPr="00997F82">
              <w:rPr>
                <w:rFonts w:eastAsia="Times New Roman" w:cs="Times New Roman"/>
                <w:sz w:val="18"/>
                <w:szCs w:val="18"/>
                <w:lang w:eastAsia="en-AU"/>
              </w:rPr>
              <w:t xml:space="preserve"> </w:t>
            </w:r>
            <w:r w:rsidR="007F4B58" w:rsidRPr="00997F82">
              <w:rPr>
                <w:rFonts w:eastAsia="Times New Roman" w:cs="Times New Roman"/>
                <w:sz w:val="18"/>
                <w:szCs w:val="18"/>
                <w:lang w:eastAsia="en-AU"/>
              </w:rPr>
              <w:t xml:space="preserve">there are opportunities for </w:t>
            </w:r>
            <w:r w:rsidR="00100E86" w:rsidRPr="00997F82">
              <w:rPr>
                <w:rFonts w:eastAsia="Times New Roman" w:cs="Times New Roman"/>
                <w:sz w:val="18"/>
                <w:szCs w:val="18"/>
                <w:lang w:eastAsia="en-AU"/>
              </w:rPr>
              <w:t xml:space="preserve">national </w:t>
            </w:r>
            <w:r w:rsidR="007F4B58" w:rsidRPr="00997F82">
              <w:rPr>
                <w:rFonts w:eastAsia="Times New Roman" w:cs="Times New Roman"/>
                <w:sz w:val="18"/>
                <w:szCs w:val="18"/>
                <w:lang w:eastAsia="en-AU"/>
              </w:rPr>
              <w:t xml:space="preserve">scaling for activities that </w:t>
            </w:r>
            <w:r w:rsidR="00100E86" w:rsidRPr="00997F82">
              <w:rPr>
                <w:rFonts w:eastAsia="Times New Roman" w:cs="Times New Roman"/>
                <w:sz w:val="18"/>
                <w:szCs w:val="18"/>
                <w:lang w:eastAsia="en-AU"/>
              </w:rPr>
              <w:t xml:space="preserve">have </w:t>
            </w:r>
            <w:r w:rsidR="00557FB4" w:rsidRPr="00997F82">
              <w:rPr>
                <w:rFonts w:eastAsia="Times New Roman" w:cs="Times New Roman"/>
                <w:sz w:val="18"/>
                <w:szCs w:val="18"/>
                <w:lang w:eastAsia="en-AU"/>
              </w:rPr>
              <w:t>proven to be effective</w:t>
            </w:r>
            <w:r w:rsidR="00100E86" w:rsidRPr="00997F82">
              <w:rPr>
                <w:rFonts w:eastAsia="Times New Roman" w:cs="Times New Roman"/>
                <w:sz w:val="18"/>
                <w:szCs w:val="18"/>
                <w:lang w:eastAsia="en-AU"/>
              </w:rPr>
              <w:t>.</w:t>
            </w:r>
            <w:r w:rsidR="003334E5" w:rsidRPr="00997F82">
              <w:rPr>
                <w:rFonts w:eastAsia="Times New Roman" w:cs="Times New Roman"/>
                <w:sz w:val="18"/>
                <w:szCs w:val="18"/>
                <w:lang w:eastAsia="en-AU"/>
              </w:rPr>
              <w:t xml:space="preserve"> Examples include the development of whole-of-system end of life coordination models, identifying palliative care friendly community pharmacies, quality improvement activities being undertaken with GPs, and palliative care champions being trained in different service systems</w:t>
            </w:r>
            <w:r w:rsidR="00127F06" w:rsidRPr="00997F82">
              <w:rPr>
                <w:rFonts w:eastAsia="Times New Roman" w:cs="Times New Roman"/>
                <w:sz w:val="18"/>
                <w:szCs w:val="18"/>
                <w:lang w:eastAsia="en-AU"/>
              </w:rPr>
              <w:t>. This could extend to coordinating efforts engaging with key stakeholders where multiple PHNs are implementing similar activities that require input from external partne</w:t>
            </w:r>
            <w:r w:rsidR="006E0A9E" w:rsidRPr="00997F82">
              <w:rPr>
                <w:rFonts w:eastAsia="Times New Roman" w:cs="Times New Roman"/>
                <w:sz w:val="18"/>
                <w:szCs w:val="18"/>
                <w:lang w:eastAsia="en-AU"/>
              </w:rPr>
              <w:t>r</w:t>
            </w:r>
            <w:r w:rsidR="00127F06" w:rsidRPr="00997F82">
              <w:rPr>
                <w:rFonts w:eastAsia="Times New Roman" w:cs="Times New Roman"/>
                <w:sz w:val="18"/>
                <w:szCs w:val="18"/>
                <w:lang w:eastAsia="en-AU"/>
              </w:rPr>
              <w:t>s</w:t>
            </w:r>
            <w:r w:rsidR="0056416C" w:rsidRPr="00997F82">
              <w:rPr>
                <w:rFonts w:eastAsia="Times New Roman" w:cs="Times New Roman"/>
                <w:sz w:val="18"/>
                <w:szCs w:val="18"/>
                <w:lang w:eastAsia="en-AU"/>
              </w:rPr>
              <w:t xml:space="preserve">. This coordination could involve a representative 'lead' PHN engaging on behalf of </w:t>
            </w:r>
            <w:r w:rsidR="00C372E9" w:rsidRPr="00997F82">
              <w:rPr>
                <w:rFonts w:eastAsia="Times New Roman" w:cs="Times New Roman"/>
                <w:sz w:val="18"/>
                <w:szCs w:val="18"/>
                <w:lang w:eastAsia="en-AU"/>
              </w:rPr>
              <w:t xml:space="preserve">a </w:t>
            </w:r>
            <w:r w:rsidR="0056416C" w:rsidRPr="00997F82">
              <w:rPr>
                <w:rFonts w:eastAsia="Times New Roman" w:cs="Times New Roman"/>
                <w:sz w:val="18"/>
                <w:szCs w:val="18"/>
                <w:lang w:eastAsia="en-AU"/>
              </w:rPr>
              <w:t>group</w:t>
            </w:r>
            <w:r w:rsidR="00C372E9" w:rsidRPr="00997F82">
              <w:rPr>
                <w:rFonts w:eastAsia="Times New Roman" w:cs="Times New Roman"/>
                <w:sz w:val="18"/>
                <w:szCs w:val="18"/>
                <w:lang w:eastAsia="en-AU"/>
              </w:rPr>
              <w:t xml:space="preserve"> of PHNs</w:t>
            </w:r>
            <w:r w:rsidR="0056416C" w:rsidRPr="00997F82">
              <w:rPr>
                <w:rFonts w:eastAsia="Times New Roman" w:cs="Times New Roman"/>
                <w:sz w:val="18"/>
                <w:szCs w:val="18"/>
                <w:lang w:eastAsia="en-AU"/>
              </w:rPr>
              <w:t xml:space="preserve">, </w:t>
            </w:r>
            <w:r w:rsidR="00C372E9" w:rsidRPr="00997F82">
              <w:rPr>
                <w:rFonts w:eastAsia="Times New Roman" w:cs="Times New Roman"/>
                <w:sz w:val="18"/>
                <w:szCs w:val="18"/>
                <w:lang w:eastAsia="en-AU"/>
              </w:rPr>
              <w:t xml:space="preserve">avoiding </w:t>
            </w:r>
            <w:r w:rsidR="0056416C" w:rsidRPr="00997F82">
              <w:rPr>
                <w:rFonts w:eastAsia="Times New Roman" w:cs="Times New Roman"/>
                <w:sz w:val="18"/>
                <w:szCs w:val="18"/>
                <w:lang w:eastAsia="en-AU"/>
              </w:rPr>
              <w:t xml:space="preserve">duplication in effort and communication </w:t>
            </w:r>
            <w:r w:rsidR="00C372E9" w:rsidRPr="00997F82">
              <w:rPr>
                <w:rFonts w:eastAsia="Times New Roman" w:cs="Times New Roman"/>
                <w:sz w:val="18"/>
                <w:szCs w:val="18"/>
                <w:lang w:eastAsia="en-AU"/>
              </w:rPr>
              <w:t xml:space="preserve">that may otherwise occur </w:t>
            </w:r>
            <w:r w:rsidR="0056416C" w:rsidRPr="00997F82">
              <w:rPr>
                <w:rFonts w:eastAsia="Times New Roman" w:cs="Times New Roman"/>
                <w:sz w:val="18"/>
                <w:szCs w:val="18"/>
                <w:lang w:eastAsia="en-AU"/>
              </w:rPr>
              <w:t>across PHNs.</w:t>
            </w:r>
          </w:p>
        </w:tc>
        <w:tc>
          <w:tcPr>
            <w:tcW w:w="2788" w:type="dxa"/>
          </w:tcPr>
          <w:p w14:paraId="173146FA" w14:textId="3CBFB730" w:rsidR="00E12878" w:rsidRPr="00997F82" w:rsidRDefault="00290D93"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This is a long-term opportunity that requires</w:t>
            </w:r>
            <w:r w:rsidR="00695A50" w:rsidRPr="00997F82">
              <w:t xml:space="preserve"> high effort to implement.</w:t>
            </w:r>
          </w:p>
        </w:tc>
      </w:tr>
      <w:tr w:rsidR="007E4DD9" w:rsidRPr="00997F82" w14:paraId="2034F587" w14:textId="77777777" w:rsidTr="00A57CA5">
        <w:trPr>
          <w:trHeight w:val="1709"/>
        </w:trPr>
        <w:tc>
          <w:tcPr>
            <w:cnfStyle w:val="001000000000" w:firstRow="0" w:lastRow="0" w:firstColumn="1" w:lastColumn="0" w:oddVBand="0" w:evenVBand="0" w:oddHBand="0" w:evenHBand="0" w:firstRowFirstColumn="0" w:firstRowLastColumn="0" w:lastRowFirstColumn="0" w:lastRowLastColumn="0"/>
            <w:tcW w:w="567" w:type="dxa"/>
          </w:tcPr>
          <w:p w14:paraId="1059214E" w14:textId="3F65A4C5" w:rsidR="007E4DD9" w:rsidRPr="00997F82" w:rsidRDefault="003712C6">
            <w:pPr>
              <w:rPr>
                <w:rFonts w:eastAsia="Times New Roman" w:cs="Times New Roman"/>
                <w:sz w:val="18"/>
                <w:szCs w:val="18"/>
                <w:lang w:eastAsia="en-AU"/>
              </w:rPr>
            </w:pPr>
            <w:r w:rsidRPr="00997F82">
              <w:rPr>
                <w:rFonts w:eastAsia="Times New Roman" w:cs="Times New Roman"/>
                <w:sz w:val="18"/>
                <w:szCs w:val="18"/>
                <w:lang w:eastAsia="en-AU"/>
              </w:rPr>
              <w:t>1</w:t>
            </w:r>
            <w:r w:rsidR="0025196A" w:rsidRPr="00997F82">
              <w:rPr>
                <w:rFonts w:eastAsia="Times New Roman" w:cs="Times New Roman"/>
                <w:sz w:val="18"/>
                <w:szCs w:val="18"/>
                <w:lang w:eastAsia="en-AU"/>
              </w:rPr>
              <w:t>1</w:t>
            </w:r>
          </w:p>
        </w:tc>
        <w:tc>
          <w:tcPr>
            <w:tcW w:w="2808" w:type="dxa"/>
          </w:tcPr>
          <w:p w14:paraId="465F5D11" w14:textId="231C4526" w:rsidR="007E4DD9" w:rsidRPr="00997F82" w:rsidRDefault="004F3BE5">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8"/>
                <w:szCs w:val="18"/>
                <w:lang w:eastAsia="en-AU"/>
              </w:rPr>
            </w:pPr>
            <w:r w:rsidRPr="00997F82">
              <w:rPr>
                <w:rFonts w:eastAsia="Times New Roman" w:cs="Times New Roman"/>
                <w:b/>
                <w:sz w:val="18"/>
                <w:szCs w:val="18"/>
                <w:lang w:eastAsia="en-AU"/>
              </w:rPr>
              <w:t xml:space="preserve">PHNs should </w:t>
            </w:r>
            <w:r w:rsidR="00B24F51" w:rsidRPr="00997F82">
              <w:rPr>
                <w:rFonts w:eastAsia="Times New Roman" w:cs="Times New Roman"/>
                <w:b/>
                <w:sz w:val="18"/>
                <w:szCs w:val="18"/>
                <w:lang w:eastAsia="en-AU"/>
              </w:rPr>
              <w:t>c</w:t>
            </w:r>
            <w:r w:rsidRPr="00997F82">
              <w:rPr>
                <w:rFonts w:eastAsia="Times New Roman" w:cs="Times New Roman"/>
                <w:b/>
                <w:sz w:val="18"/>
                <w:szCs w:val="18"/>
                <w:lang w:eastAsia="en-AU"/>
              </w:rPr>
              <w:t>ontinue to seek opportunities for regional collaboration, either within the PHN or with other PHNs, to enable value for money and cost efficiency.</w:t>
            </w:r>
          </w:p>
        </w:tc>
        <w:tc>
          <w:tcPr>
            <w:tcW w:w="3123" w:type="dxa"/>
            <w:noWrap/>
          </w:tcPr>
          <w:p w14:paraId="538223B3" w14:textId="0E959634" w:rsidR="007E4DD9" w:rsidRPr="00997F82" w:rsidRDefault="4EC54D8A" w:rsidP="004F3BE5">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sidRPr="00997F82">
              <w:rPr>
                <w:rFonts w:eastAsia="Times New Roman" w:cs="Times New Roman"/>
                <w:sz w:val="18"/>
                <w:szCs w:val="18"/>
                <w:lang w:eastAsia="en-AU"/>
              </w:rPr>
              <w:t xml:space="preserve">PHNs that have </w:t>
            </w:r>
            <w:r w:rsidR="493D3AF7" w:rsidRPr="00997F82">
              <w:rPr>
                <w:rFonts w:eastAsia="Times New Roman" w:cs="Times New Roman"/>
                <w:sz w:val="18"/>
                <w:szCs w:val="18"/>
                <w:lang w:eastAsia="en-AU"/>
              </w:rPr>
              <w:t>collaborated with</w:t>
            </w:r>
            <w:r w:rsidR="004F3BE5" w:rsidRPr="00997F82">
              <w:rPr>
                <w:rFonts w:eastAsia="Times New Roman" w:cs="Times New Roman"/>
                <w:sz w:val="18"/>
                <w:szCs w:val="18"/>
                <w:lang w:eastAsia="en-AU"/>
              </w:rPr>
              <w:t xml:space="preserve"> </w:t>
            </w:r>
            <w:r w:rsidR="493D3AF7" w:rsidRPr="00997F82">
              <w:rPr>
                <w:rFonts w:eastAsia="Times New Roman" w:cs="Times New Roman"/>
                <w:sz w:val="18"/>
                <w:szCs w:val="18"/>
                <w:lang w:eastAsia="en-AU"/>
              </w:rPr>
              <w:t xml:space="preserve">each other or with internal </w:t>
            </w:r>
            <w:proofErr w:type="spellStart"/>
            <w:r w:rsidR="493D3AF7" w:rsidRPr="00997F82">
              <w:rPr>
                <w:rFonts w:eastAsia="Times New Roman" w:cs="Times New Roman"/>
                <w:sz w:val="18"/>
                <w:szCs w:val="18"/>
                <w:lang w:eastAsia="en-AU"/>
              </w:rPr>
              <w:t>HealthPathways</w:t>
            </w:r>
            <w:proofErr w:type="spellEnd"/>
            <w:r w:rsidR="493D3AF7" w:rsidRPr="00997F82">
              <w:rPr>
                <w:rFonts w:eastAsia="Times New Roman" w:cs="Times New Roman"/>
                <w:sz w:val="18"/>
                <w:szCs w:val="18"/>
                <w:lang w:eastAsia="en-AU"/>
              </w:rPr>
              <w:t xml:space="preserve">, Aged Care and data information teams are capturing </w:t>
            </w:r>
            <w:r w:rsidR="648655E5" w:rsidRPr="00997F82">
              <w:rPr>
                <w:rFonts w:eastAsia="Times New Roman" w:cs="Times New Roman"/>
                <w:sz w:val="18"/>
                <w:szCs w:val="18"/>
                <w:lang w:eastAsia="en-AU"/>
              </w:rPr>
              <w:t xml:space="preserve">and potentially achieving </w:t>
            </w:r>
            <w:r w:rsidR="493D3AF7" w:rsidRPr="00997F82">
              <w:rPr>
                <w:rFonts w:eastAsia="Times New Roman" w:cs="Times New Roman"/>
                <w:sz w:val="18"/>
                <w:szCs w:val="18"/>
                <w:lang w:eastAsia="en-AU"/>
              </w:rPr>
              <w:t>greater outcomes within the same funding envelope.</w:t>
            </w:r>
            <w:r w:rsidR="003334E5" w:rsidRPr="00997F82">
              <w:rPr>
                <w:rFonts w:eastAsia="Times New Roman" w:cs="Times New Roman"/>
                <w:sz w:val="18"/>
                <w:szCs w:val="18"/>
                <w:lang w:eastAsia="en-AU"/>
              </w:rPr>
              <w:t xml:space="preserve"> </w:t>
            </w:r>
            <w:r w:rsidR="00A0573E" w:rsidRPr="00997F82">
              <w:rPr>
                <w:rFonts w:eastAsia="Times New Roman" w:cs="Times New Roman"/>
                <w:sz w:val="18"/>
                <w:szCs w:val="18"/>
                <w:lang w:eastAsia="en-AU"/>
              </w:rPr>
              <w:t>This includes collaboratives and consortiums of PHNs working together to achieve greater outcomes and reach.</w:t>
            </w:r>
          </w:p>
        </w:tc>
        <w:tc>
          <w:tcPr>
            <w:tcW w:w="2788" w:type="dxa"/>
          </w:tcPr>
          <w:p w14:paraId="42A071A7" w14:textId="30AE14FE" w:rsidR="007E4DD9" w:rsidRPr="00997F82" w:rsidRDefault="00BA758C" w:rsidP="007770F3">
            <w:pPr>
              <w:pStyle w:val="TableNormalBullet1"/>
              <w:cnfStyle w:val="000000000000" w:firstRow="0" w:lastRow="0" w:firstColumn="0" w:lastColumn="0" w:oddVBand="0" w:evenVBand="0" w:oddHBand="0" w:evenHBand="0" w:firstRowFirstColumn="0" w:firstRowLastColumn="0" w:lastRowFirstColumn="0" w:lastRowLastColumn="0"/>
            </w:pPr>
            <w:r w:rsidRPr="00997F82">
              <w:t xml:space="preserve">This </w:t>
            </w:r>
            <w:r w:rsidR="00486B71" w:rsidRPr="00997F82">
              <w:t>may be dependent on the geography and shared needs between PHNs.</w:t>
            </w:r>
          </w:p>
        </w:tc>
      </w:tr>
    </w:tbl>
    <w:p w14:paraId="7E4C7B90" w14:textId="7F87326D" w:rsidR="009037F8" w:rsidRPr="00997F82" w:rsidRDefault="009037F8" w:rsidP="00277D66">
      <w:pPr>
        <w:pStyle w:val="Heading2"/>
      </w:pPr>
      <w:r w:rsidRPr="00997F82">
        <w:t>Next steps</w:t>
      </w:r>
    </w:p>
    <w:p w14:paraId="17C7612E" w14:textId="3A47F382" w:rsidR="00486B71" w:rsidRPr="00997F82" w:rsidRDefault="00DF2165">
      <w:r w:rsidRPr="00997F82">
        <w:t xml:space="preserve">The purpose of the </w:t>
      </w:r>
      <w:r w:rsidR="00D8670D" w:rsidRPr="00997F82">
        <w:t>Endpoint</w:t>
      </w:r>
      <w:r w:rsidRPr="00997F82">
        <w:t xml:space="preserve"> Evaluation is to determine the progress and outcomes of PHN activities as part of the GCfAHPC Program. This report highlights </w:t>
      </w:r>
      <w:r w:rsidR="00000DB0" w:rsidRPr="00997F82">
        <w:t xml:space="preserve">progress made on activities </w:t>
      </w:r>
      <w:r w:rsidR="000F20F3" w:rsidRPr="00997F82">
        <w:t xml:space="preserve">and </w:t>
      </w:r>
      <w:r w:rsidR="00167F2A" w:rsidRPr="00997F82">
        <w:t xml:space="preserve">assesses </w:t>
      </w:r>
      <w:r w:rsidR="000F20F3" w:rsidRPr="00997F82">
        <w:t>the impact of these activities</w:t>
      </w:r>
      <w:r w:rsidR="00167F2A" w:rsidRPr="00997F82">
        <w:t xml:space="preserve"> using available data</w:t>
      </w:r>
      <w:r w:rsidR="000F20F3" w:rsidRPr="00997F82">
        <w:t xml:space="preserve">. </w:t>
      </w:r>
    </w:p>
    <w:p w14:paraId="0C4F3291" w14:textId="6C6AF616" w:rsidR="004F3BE5" w:rsidRPr="00997F82" w:rsidRDefault="004F3BE5">
      <w:r w:rsidRPr="00997F82">
        <w:t>An assessment of program performance based on the structured evaluation rubric mentioned above shows the Program has achieved a strengths rating of 21 out of 30 (70%). This suggests that, overall, the Program is demonstrated to be meeting the stated objectives and to have a positive impact on consumers, carers and clinicians.</w:t>
      </w:r>
    </w:p>
    <w:p w14:paraId="4AD322A5" w14:textId="22A2E1B8" w:rsidR="000F20F3" w:rsidRPr="00997F82" w:rsidRDefault="000F20F3">
      <w:r w:rsidRPr="00997F82">
        <w:t xml:space="preserve">Next steps for the Program may include: </w:t>
      </w:r>
    </w:p>
    <w:p w14:paraId="09A38CBC" w14:textId="3FF7C128" w:rsidR="000F20F3" w:rsidRPr="00997F82" w:rsidRDefault="000F20F3" w:rsidP="007770F3">
      <w:pPr>
        <w:pStyle w:val="ListBullet"/>
      </w:pPr>
      <w:r w:rsidRPr="00997F82">
        <w:t xml:space="preserve">Developing a plan for implementation of opportunities, </w:t>
      </w:r>
      <w:r w:rsidR="00EA6965" w:rsidRPr="00997F82">
        <w:t>prioritising</w:t>
      </w:r>
      <w:r w:rsidRPr="00997F82">
        <w:t xml:space="preserve"> </w:t>
      </w:r>
      <w:r w:rsidR="007F0A57" w:rsidRPr="00997F82">
        <w:t xml:space="preserve">with consideration for </w:t>
      </w:r>
      <w:r w:rsidR="00B20DDC" w:rsidRPr="00997F82">
        <w:t>such factors as</w:t>
      </w:r>
      <w:r w:rsidR="007F0A57" w:rsidRPr="00997F82">
        <w:t xml:space="preserve"> impact, feasibility, </w:t>
      </w:r>
      <w:r w:rsidR="003F4F38" w:rsidRPr="00997F82">
        <w:t>cost and timeliness</w:t>
      </w:r>
      <w:r w:rsidR="00EA6965" w:rsidRPr="00997F82">
        <w:t>.</w:t>
      </w:r>
    </w:p>
    <w:p w14:paraId="4884FFC4" w14:textId="5FE1855A" w:rsidR="000F20F3" w:rsidRPr="00997F82" w:rsidRDefault="00EA6965" w:rsidP="007770F3">
      <w:pPr>
        <w:pStyle w:val="ListBullet"/>
      </w:pPr>
      <w:r w:rsidRPr="00997F82">
        <w:t xml:space="preserve">Ensuring that the next phase of funding for the Program appropriately explores the </w:t>
      </w:r>
      <w:r w:rsidR="003F4CD8" w:rsidRPr="00997F82">
        <w:t>opportunities identified</w:t>
      </w:r>
      <w:r w:rsidRPr="00997F82">
        <w:t xml:space="preserve"> by the Evaluation.</w:t>
      </w:r>
    </w:p>
    <w:p w14:paraId="47F49049" w14:textId="34A748A0" w:rsidR="007B368D" w:rsidRPr="00997F82" w:rsidRDefault="0049516C" w:rsidP="00A7580E">
      <w:r w:rsidRPr="00997F82">
        <w:br w:type="page"/>
      </w:r>
    </w:p>
    <w:p w14:paraId="42179257" w14:textId="3F5EF19D" w:rsidR="007B368D" w:rsidRPr="00997F82" w:rsidRDefault="007B368D" w:rsidP="00277D66">
      <w:pPr>
        <w:pStyle w:val="Heading1nonumbers"/>
      </w:pPr>
      <w:bookmarkStart w:id="71" w:name="_Ref202530845"/>
      <w:bookmarkStart w:id="72" w:name="_Toc226898040"/>
      <w:bookmarkStart w:id="73" w:name="_Toc231898091"/>
      <w:r w:rsidRPr="00997F82">
        <w:t>Appendix A: Glossary</w:t>
      </w:r>
      <w:bookmarkEnd w:id="71"/>
      <w:bookmarkEnd w:id="72"/>
      <w:bookmarkEnd w:id="73"/>
    </w:p>
    <w:p w14:paraId="1D55EAC0" w14:textId="6A8A2B3F" w:rsidR="007B368D" w:rsidRPr="00997F82" w:rsidRDefault="007B368D" w:rsidP="00277D66">
      <w:pPr>
        <w:pStyle w:val="Caption"/>
      </w:pPr>
      <w:r w:rsidRPr="00997F82">
        <w:t xml:space="preserve">Table </w:t>
      </w:r>
      <w:r w:rsidR="0002526D" w:rsidRPr="00997F82">
        <w:fldChar w:fldCharType="begin"/>
      </w:r>
      <w:r w:rsidR="0002526D" w:rsidRPr="00997F82">
        <w:instrText xml:space="preserve"> SEQ Table \* ARABIC </w:instrText>
      </w:r>
      <w:r w:rsidR="0002526D" w:rsidRPr="00997F82">
        <w:fldChar w:fldCharType="separate"/>
      </w:r>
      <w:r w:rsidR="00735424">
        <w:rPr>
          <w:noProof/>
        </w:rPr>
        <w:t>19</w:t>
      </w:r>
      <w:r w:rsidR="0002526D" w:rsidRPr="00997F82">
        <w:fldChar w:fldCharType="end"/>
      </w:r>
      <w:r w:rsidRPr="00997F82">
        <w:t>: Glossary of terms</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7183"/>
      </w:tblGrid>
      <w:tr w:rsidR="007B368D" w:rsidRPr="00997F82" w14:paraId="2096A788" w14:textId="77777777" w:rsidTr="003A7B39">
        <w:trPr>
          <w:trHeight w:val="300"/>
          <w:tblHeader/>
        </w:trPr>
        <w:tc>
          <w:tcPr>
            <w:tcW w:w="1843" w:type="dxa"/>
            <w:tcBorders>
              <w:top w:val="nil"/>
              <w:left w:val="nil"/>
              <w:bottom w:val="single" w:sz="6" w:space="0" w:color="FFFFFF"/>
              <w:right w:val="single" w:sz="6" w:space="0" w:color="FFFFFF"/>
            </w:tcBorders>
            <w:shd w:val="clear" w:color="auto" w:fill="B4B5DB" w:themeFill="accent4"/>
            <w:hideMark/>
          </w:tcPr>
          <w:p w14:paraId="041B84BF" w14:textId="516A5010" w:rsidR="007B368D" w:rsidRPr="00997F82" w:rsidRDefault="007B368D" w:rsidP="007B368D">
            <w:r w:rsidRPr="00997F82">
              <w:rPr>
                <w:b/>
                <w:bCs/>
              </w:rPr>
              <w:t>Abbreviation</w:t>
            </w:r>
          </w:p>
        </w:tc>
        <w:tc>
          <w:tcPr>
            <w:tcW w:w="7183" w:type="dxa"/>
            <w:tcBorders>
              <w:top w:val="nil"/>
              <w:left w:val="single" w:sz="6" w:space="0" w:color="FFFFFF"/>
              <w:bottom w:val="single" w:sz="6" w:space="0" w:color="FFFFFF"/>
              <w:right w:val="nil"/>
            </w:tcBorders>
            <w:shd w:val="clear" w:color="auto" w:fill="B4B5DB" w:themeFill="accent4"/>
            <w:hideMark/>
          </w:tcPr>
          <w:p w14:paraId="2EC04152" w14:textId="39DF952A" w:rsidR="007B368D" w:rsidRPr="00997F82" w:rsidRDefault="007B368D" w:rsidP="007B368D">
            <w:r w:rsidRPr="00997F82">
              <w:rPr>
                <w:b/>
                <w:bCs/>
              </w:rPr>
              <w:t>Description</w:t>
            </w:r>
          </w:p>
        </w:tc>
      </w:tr>
      <w:tr w:rsidR="007B368D" w:rsidRPr="00997F82" w14:paraId="3F72D2D1"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4EA5BD7C" w14:textId="77777777" w:rsidR="007B368D" w:rsidRPr="00997F82" w:rsidRDefault="007B368D" w:rsidP="007B368D">
            <w:r w:rsidRPr="00997F82">
              <w:t>ACCHO </w:t>
            </w:r>
          </w:p>
        </w:tc>
        <w:tc>
          <w:tcPr>
            <w:tcW w:w="7183" w:type="dxa"/>
            <w:tcBorders>
              <w:top w:val="single" w:sz="6" w:space="0" w:color="484B5D"/>
              <w:left w:val="nil"/>
              <w:bottom w:val="single" w:sz="6" w:space="0" w:color="484B5D"/>
              <w:right w:val="nil"/>
            </w:tcBorders>
            <w:hideMark/>
          </w:tcPr>
          <w:p w14:paraId="476316E9" w14:textId="77777777" w:rsidR="007B368D" w:rsidRPr="00997F82" w:rsidRDefault="007B368D" w:rsidP="007B368D">
            <w:r w:rsidRPr="00997F82">
              <w:t>Aboriginal Controlled Community Health Organisation </w:t>
            </w:r>
          </w:p>
        </w:tc>
      </w:tr>
      <w:tr w:rsidR="007B368D" w:rsidRPr="00997F82" w14:paraId="268C343A"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30E8487" w14:textId="77777777" w:rsidR="007B368D" w:rsidRPr="00997F82" w:rsidRDefault="007B368D" w:rsidP="007B368D">
            <w:r w:rsidRPr="00997F82">
              <w:t>ACP </w:t>
            </w:r>
          </w:p>
        </w:tc>
        <w:tc>
          <w:tcPr>
            <w:tcW w:w="7183" w:type="dxa"/>
            <w:tcBorders>
              <w:top w:val="single" w:sz="6" w:space="0" w:color="484B5D"/>
              <w:left w:val="nil"/>
              <w:bottom w:val="single" w:sz="6" w:space="0" w:color="484B5D"/>
              <w:right w:val="nil"/>
            </w:tcBorders>
            <w:hideMark/>
          </w:tcPr>
          <w:p w14:paraId="4EFEF866" w14:textId="77777777" w:rsidR="007B368D" w:rsidRPr="00997F82" w:rsidRDefault="007B368D" w:rsidP="007B368D">
            <w:r w:rsidRPr="00997F82">
              <w:t>Advance Care Plan </w:t>
            </w:r>
          </w:p>
        </w:tc>
      </w:tr>
      <w:tr w:rsidR="007B368D" w:rsidRPr="00997F82" w14:paraId="46246807"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6BBC605F" w14:textId="77777777" w:rsidR="007B368D" w:rsidRPr="00997F82" w:rsidRDefault="007B368D" w:rsidP="007B368D">
            <w:r w:rsidRPr="00997F82">
              <w:t>ACPA </w:t>
            </w:r>
          </w:p>
        </w:tc>
        <w:tc>
          <w:tcPr>
            <w:tcW w:w="7183" w:type="dxa"/>
            <w:tcBorders>
              <w:top w:val="single" w:sz="6" w:space="0" w:color="484B5D"/>
              <w:left w:val="nil"/>
              <w:bottom w:val="single" w:sz="6" w:space="0" w:color="484B5D"/>
              <w:right w:val="nil"/>
            </w:tcBorders>
            <w:hideMark/>
          </w:tcPr>
          <w:p w14:paraId="34CA0B68" w14:textId="77777777" w:rsidR="007B368D" w:rsidRPr="00997F82" w:rsidRDefault="007B368D" w:rsidP="007B368D">
            <w:r w:rsidRPr="00997F82">
              <w:t>Australian Community Pharmacy Authority  </w:t>
            </w:r>
          </w:p>
        </w:tc>
      </w:tr>
      <w:tr w:rsidR="007B368D" w:rsidRPr="00997F82" w14:paraId="2A210AF0"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7DB7A6D0" w14:textId="77777777" w:rsidR="007B368D" w:rsidRPr="00997F82" w:rsidRDefault="007B368D" w:rsidP="007B368D">
            <w:r w:rsidRPr="00997F82">
              <w:t>AIHW </w:t>
            </w:r>
          </w:p>
        </w:tc>
        <w:tc>
          <w:tcPr>
            <w:tcW w:w="7183" w:type="dxa"/>
            <w:tcBorders>
              <w:top w:val="single" w:sz="6" w:space="0" w:color="484B5D"/>
              <w:left w:val="nil"/>
              <w:bottom w:val="single" w:sz="6" w:space="0" w:color="484B5D"/>
              <w:right w:val="nil"/>
            </w:tcBorders>
            <w:hideMark/>
          </w:tcPr>
          <w:p w14:paraId="09876457" w14:textId="77777777" w:rsidR="007B368D" w:rsidRPr="00997F82" w:rsidRDefault="007B368D" w:rsidP="007B368D">
            <w:r w:rsidRPr="00997F82">
              <w:t>Australian Institute of Health and Welfare </w:t>
            </w:r>
          </w:p>
        </w:tc>
      </w:tr>
      <w:tr w:rsidR="007B368D" w:rsidRPr="00997F82" w14:paraId="00084863"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50AD6EE8" w14:textId="77777777" w:rsidR="007B368D" w:rsidRPr="00997F82" w:rsidRDefault="007B368D" w:rsidP="007B368D">
            <w:r w:rsidRPr="00997F82">
              <w:t>APHN </w:t>
            </w:r>
          </w:p>
        </w:tc>
        <w:tc>
          <w:tcPr>
            <w:tcW w:w="7183" w:type="dxa"/>
            <w:tcBorders>
              <w:top w:val="single" w:sz="6" w:space="0" w:color="484B5D"/>
              <w:left w:val="nil"/>
              <w:bottom w:val="single" w:sz="6" w:space="0" w:color="484B5D"/>
              <w:right w:val="nil"/>
            </w:tcBorders>
            <w:hideMark/>
          </w:tcPr>
          <w:p w14:paraId="28848C54" w14:textId="77777777" w:rsidR="007B368D" w:rsidRPr="00997F82" w:rsidRDefault="007B368D" w:rsidP="007B368D">
            <w:r w:rsidRPr="00997F82">
              <w:t>Adelaide PHN </w:t>
            </w:r>
          </w:p>
        </w:tc>
      </w:tr>
      <w:tr w:rsidR="007B368D" w:rsidRPr="00997F82" w14:paraId="56324444"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58CDB795" w14:textId="77777777" w:rsidR="007B368D" w:rsidRPr="00997F82" w:rsidRDefault="007B368D" w:rsidP="007B368D">
            <w:r w:rsidRPr="00997F82">
              <w:t>AUSLAN </w:t>
            </w:r>
          </w:p>
        </w:tc>
        <w:tc>
          <w:tcPr>
            <w:tcW w:w="7183" w:type="dxa"/>
            <w:tcBorders>
              <w:top w:val="single" w:sz="6" w:space="0" w:color="484B5D"/>
              <w:left w:val="nil"/>
              <w:bottom w:val="single" w:sz="6" w:space="0" w:color="484B5D"/>
              <w:right w:val="nil"/>
            </w:tcBorders>
            <w:hideMark/>
          </w:tcPr>
          <w:p w14:paraId="6708C31E" w14:textId="77777777" w:rsidR="007B368D" w:rsidRPr="00997F82" w:rsidRDefault="007B368D" w:rsidP="007B368D">
            <w:r w:rsidRPr="00997F82">
              <w:t>Australian Sign Language </w:t>
            </w:r>
          </w:p>
        </w:tc>
      </w:tr>
      <w:tr w:rsidR="007B368D" w:rsidRPr="00997F82" w14:paraId="76E8A9D9"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6171D3E5" w14:textId="77777777" w:rsidR="007B368D" w:rsidRPr="00997F82" w:rsidRDefault="007B368D" w:rsidP="007B368D">
            <w:r w:rsidRPr="00997F82">
              <w:t>AWP </w:t>
            </w:r>
          </w:p>
        </w:tc>
        <w:tc>
          <w:tcPr>
            <w:tcW w:w="7183" w:type="dxa"/>
            <w:tcBorders>
              <w:top w:val="single" w:sz="6" w:space="0" w:color="484B5D"/>
              <w:left w:val="nil"/>
              <w:bottom w:val="single" w:sz="6" w:space="0" w:color="484B5D"/>
              <w:right w:val="nil"/>
            </w:tcBorders>
            <w:hideMark/>
          </w:tcPr>
          <w:p w14:paraId="66DAE74F" w14:textId="77777777" w:rsidR="007B368D" w:rsidRPr="00997F82" w:rsidRDefault="007B368D" w:rsidP="007B368D">
            <w:r w:rsidRPr="00997F82">
              <w:t>Activity Work Plans </w:t>
            </w:r>
          </w:p>
        </w:tc>
      </w:tr>
      <w:tr w:rsidR="007B368D" w:rsidRPr="00997F82" w14:paraId="02ECCBE6"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56C8D61A" w14:textId="77777777" w:rsidR="007B368D" w:rsidRPr="00997F82" w:rsidRDefault="007B368D" w:rsidP="007B368D">
            <w:r w:rsidRPr="00997F82">
              <w:t>BNPHN </w:t>
            </w:r>
          </w:p>
        </w:tc>
        <w:tc>
          <w:tcPr>
            <w:tcW w:w="7183" w:type="dxa"/>
            <w:tcBorders>
              <w:top w:val="single" w:sz="6" w:space="0" w:color="484B5D"/>
              <w:left w:val="nil"/>
              <w:bottom w:val="single" w:sz="6" w:space="0" w:color="484B5D"/>
              <w:right w:val="nil"/>
            </w:tcBorders>
            <w:hideMark/>
          </w:tcPr>
          <w:p w14:paraId="71CA8F6A" w14:textId="77777777" w:rsidR="007B368D" w:rsidRPr="00997F82" w:rsidRDefault="007B368D" w:rsidP="007B368D">
            <w:r w:rsidRPr="00997F82">
              <w:t>Brisbane North PHN </w:t>
            </w:r>
          </w:p>
        </w:tc>
      </w:tr>
      <w:tr w:rsidR="007B368D" w:rsidRPr="00997F82" w14:paraId="68B8A498"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5156E9BB" w14:textId="77777777" w:rsidR="007B368D" w:rsidRPr="00997F82" w:rsidRDefault="007B368D" w:rsidP="007B368D">
            <w:r w:rsidRPr="00997F82">
              <w:t>BSPHN </w:t>
            </w:r>
          </w:p>
        </w:tc>
        <w:tc>
          <w:tcPr>
            <w:tcW w:w="7183" w:type="dxa"/>
            <w:tcBorders>
              <w:top w:val="single" w:sz="6" w:space="0" w:color="484B5D"/>
              <w:left w:val="nil"/>
              <w:bottom w:val="single" w:sz="6" w:space="0" w:color="484B5D"/>
              <w:right w:val="nil"/>
            </w:tcBorders>
            <w:hideMark/>
          </w:tcPr>
          <w:p w14:paraId="0E51871A" w14:textId="77777777" w:rsidR="007B368D" w:rsidRPr="00997F82" w:rsidRDefault="007B368D" w:rsidP="007B368D">
            <w:r w:rsidRPr="00997F82">
              <w:t>Brisbane South PHN </w:t>
            </w:r>
          </w:p>
        </w:tc>
      </w:tr>
      <w:tr w:rsidR="007B368D" w:rsidRPr="00997F82" w14:paraId="6B0BA108"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0E8F453F" w14:textId="77777777" w:rsidR="007B368D" w:rsidRPr="00997F82" w:rsidRDefault="007B368D" w:rsidP="007B368D">
            <w:r w:rsidRPr="00997F82">
              <w:t>CAEOLC </w:t>
            </w:r>
          </w:p>
        </w:tc>
        <w:tc>
          <w:tcPr>
            <w:tcW w:w="7183" w:type="dxa"/>
            <w:tcBorders>
              <w:top w:val="single" w:sz="6" w:space="0" w:color="484B5D"/>
              <w:left w:val="nil"/>
              <w:bottom w:val="single" w:sz="6" w:space="0" w:color="484B5D"/>
              <w:right w:val="nil"/>
            </w:tcBorders>
            <w:hideMark/>
          </w:tcPr>
          <w:p w14:paraId="29603630" w14:textId="77777777" w:rsidR="007B368D" w:rsidRPr="00997F82" w:rsidRDefault="007B368D" w:rsidP="007B368D">
            <w:r w:rsidRPr="00997F82">
              <w:t xml:space="preserve">Care at the </w:t>
            </w:r>
            <w:proofErr w:type="gramStart"/>
            <w:r w:rsidRPr="00997F82">
              <w:t>End of Life</w:t>
            </w:r>
            <w:proofErr w:type="gramEnd"/>
            <w:r w:rsidRPr="00997F82">
              <w:t xml:space="preserve"> Collaborative </w:t>
            </w:r>
          </w:p>
        </w:tc>
      </w:tr>
      <w:tr w:rsidR="007B368D" w:rsidRPr="00997F82" w14:paraId="78618BAE"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82DA8B1" w14:textId="77777777" w:rsidR="007B368D" w:rsidRPr="00997F82" w:rsidRDefault="007B368D" w:rsidP="007B368D">
            <w:r w:rsidRPr="00997F82">
              <w:t>CALD </w:t>
            </w:r>
          </w:p>
        </w:tc>
        <w:tc>
          <w:tcPr>
            <w:tcW w:w="7183" w:type="dxa"/>
            <w:tcBorders>
              <w:top w:val="single" w:sz="6" w:space="0" w:color="484B5D"/>
              <w:left w:val="nil"/>
              <w:bottom w:val="single" w:sz="6" w:space="0" w:color="484B5D"/>
              <w:right w:val="nil"/>
            </w:tcBorders>
            <w:hideMark/>
          </w:tcPr>
          <w:p w14:paraId="4AAD60A6" w14:textId="77777777" w:rsidR="007B368D" w:rsidRPr="00997F82" w:rsidRDefault="007B368D" w:rsidP="007B368D">
            <w:r w:rsidRPr="00997F82">
              <w:t>Culturally and Linguistically Diverse </w:t>
            </w:r>
          </w:p>
        </w:tc>
      </w:tr>
      <w:tr w:rsidR="007B368D" w:rsidRPr="00997F82" w14:paraId="0985EBB6"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6B2C1594" w14:textId="77777777" w:rsidR="007B368D" w:rsidRPr="00997F82" w:rsidRDefault="007B368D" w:rsidP="007B368D">
            <w:r w:rsidRPr="00997F82">
              <w:t>CCQPHN </w:t>
            </w:r>
          </w:p>
        </w:tc>
        <w:tc>
          <w:tcPr>
            <w:tcW w:w="7183" w:type="dxa"/>
            <w:tcBorders>
              <w:top w:val="single" w:sz="6" w:space="0" w:color="484B5D"/>
              <w:left w:val="nil"/>
              <w:bottom w:val="single" w:sz="6" w:space="0" w:color="484B5D"/>
              <w:right w:val="nil"/>
            </w:tcBorders>
            <w:hideMark/>
          </w:tcPr>
          <w:p w14:paraId="1544BFFC" w14:textId="77777777" w:rsidR="007B368D" w:rsidRPr="00997F82" w:rsidRDefault="007B368D" w:rsidP="007B368D">
            <w:r w:rsidRPr="00997F82">
              <w:t>Country to Coast, Queensland PHN </w:t>
            </w:r>
          </w:p>
        </w:tc>
      </w:tr>
      <w:tr w:rsidR="007B368D" w:rsidRPr="00997F82" w14:paraId="1D6B1DA6"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71B04B54" w14:textId="77777777" w:rsidR="007B368D" w:rsidRPr="00997F82" w:rsidRDefault="007B368D" w:rsidP="007B368D">
            <w:r w:rsidRPr="00997F82">
              <w:t>CESPHN </w:t>
            </w:r>
          </w:p>
        </w:tc>
        <w:tc>
          <w:tcPr>
            <w:tcW w:w="7183" w:type="dxa"/>
            <w:tcBorders>
              <w:top w:val="single" w:sz="6" w:space="0" w:color="484B5D"/>
              <w:left w:val="nil"/>
              <w:bottom w:val="single" w:sz="6" w:space="0" w:color="484B5D"/>
              <w:right w:val="nil"/>
            </w:tcBorders>
            <w:hideMark/>
          </w:tcPr>
          <w:p w14:paraId="1346C7C9" w14:textId="77777777" w:rsidR="007B368D" w:rsidRPr="00997F82" w:rsidRDefault="007B368D" w:rsidP="007B368D">
            <w:r w:rsidRPr="00997F82">
              <w:t>Central and Eastern Sydney PHN </w:t>
            </w:r>
          </w:p>
        </w:tc>
      </w:tr>
      <w:tr w:rsidR="007B368D" w:rsidRPr="00997F82" w14:paraId="6295A77C"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15D228D" w14:textId="77777777" w:rsidR="007B368D" w:rsidRPr="00997F82" w:rsidRDefault="007B368D" w:rsidP="007B368D">
            <w:r w:rsidRPr="00997F82">
              <w:t>CHNPHN </w:t>
            </w:r>
          </w:p>
        </w:tc>
        <w:tc>
          <w:tcPr>
            <w:tcW w:w="7183" w:type="dxa"/>
            <w:tcBorders>
              <w:top w:val="single" w:sz="6" w:space="0" w:color="484B5D"/>
              <w:left w:val="nil"/>
              <w:bottom w:val="single" w:sz="6" w:space="0" w:color="484B5D"/>
              <w:right w:val="nil"/>
            </w:tcBorders>
            <w:hideMark/>
          </w:tcPr>
          <w:p w14:paraId="5D034C5E" w14:textId="77777777" w:rsidR="007B368D" w:rsidRPr="00997F82" w:rsidRDefault="007B368D" w:rsidP="007B368D">
            <w:r w:rsidRPr="00997F82">
              <w:t>Capital Health Network PHN </w:t>
            </w:r>
          </w:p>
        </w:tc>
      </w:tr>
      <w:tr w:rsidR="007B368D" w:rsidRPr="00997F82" w14:paraId="106499F6"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22472B1F" w14:textId="77777777" w:rsidR="007B368D" w:rsidRPr="00997F82" w:rsidRDefault="007B368D" w:rsidP="007B368D">
            <w:r w:rsidRPr="00997F82">
              <w:t>CML </w:t>
            </w:r>
          </w:p>
        </w:tc>
        <w:tc>
          <w:tcPr>
            <w:tcW w:w="7183" w:type="dxa"/>
            <w:tcBorders>
              <w:top w:val="single" w:sz="6" w:space="0" w:color="484B5D"/>
              <w:left w:val="nil"/>
              <w:bottom w:val="single" w:sz="6" w:space="0" w:color="484B5D"/>
              <w:right w:val="nil"/>
            </w:tcBorders>
            <w:hideMark/>
          </w:tcPr>
          <w:p w14:paraId="1F4E0D65" w14:textId="77777777" w:rsidR="007B368D" w:rsidRPr="00997F82" w:rsidRDefault="007B368D" w:rsidP="007B368D">
            <w:r w:rsidRPr="00997F82">
              <w:t>Core Medicines List </w:t>
            </w:r>
          </w:p>
        </w:tc>
      </w:tr>
      <w:tr w:rsidR="007B368D" w:rsidRPr="00997F82" w14:paraId="175BBCB7"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7E7323AB" w14:textId="77777777" w:rsidR="007B368D" w:rsidRPr="00997F82" w:rsidRDefault="007B368D" w:rsidP="007B368D">
            <w:r w:rsidRPr="00997F82">
              <w:t>CoP </w:t>
            </w:r>
          </w:p>
        </w:tc>
        <w:tc>
          <w:tcPr>
            <w:tcW w:w="7183" w:type="dxa"/>
            <w:tcBorders>
              <w:top w:val="single" w:sz="6" w:space="0" w:color="484B5D"/>
              <w:left w:val="nil"/>
              <w:bottom w:val="single" w:sz="6" w:space="0" w:color="484B5D"/>
              <w:right w:val="nil"/>
            </w:tcBorders>
            <w:hideMark/>
          </w:tcPr>
          <w:p w14:paraId="222C44E5" w14:textId="77777777" w:rsidR="007B368D" w:rsidRPr="00997F82" w:rsidRDefault="007B368D" w:rsidP="007B368D">
            <w:r w:rsidRPr="00997F82">
              <w:t>Community of Practice </w:t>
            </w:r>
          </w:p>
        </w:tc>
      </w:tr>
      <w:tr w:rsidR="007B368D" w:rsidRPr="00997F82" w14:paraId="5E4759E3"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56382CF" w14:textId="77777777" w:rsidR="007B368D" w:rsidRPr="00997F82" w:rsidRDefault="007B368D" w:rsidP="007B368D">
            <w:r w:rsidRPr="00997F82">
              <w:t>CPD </w:t>
            </w:r>
          </w:p>
        </w:tc>
        <w:tc>
          <w:tcPr>
            <w:tcW w:w="7183" w:type="dxa"/>
            <w:tcBorders>
              <w:top w:val="single" w:sz="6" w:space="0" w:color="484B5D"/>
              <w:left w:val="nil"/>
              <w:bottom w:val="single" w:sz="6" w:space="0" w:color="484B5D"/>
              <w:right w:val="nil"/>
            </w:tcBorders>
            <w:hideMark/>
          </w:tcPr>
          <w:p w14:paraId="459E203B" w14:textId="77777777" w:rsidR="007B368D" w:rsidRPr="00997F82" w:rsidRDefault="007B368D" w:rsidP="007B368D">
            <w:r w:rsidRPr="00997F82">
              <w:t>Continuing Professional Development </w:t>
            </w:r>
          </w:p>
        </w:tc>
      </w:tr>
      <w:tr w:rsidR="007B368D" w:rsidRPr="00997F82" w14:paraId="250A894A"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72504D3A" w14:textId="77777777" w:rsidR="007B368D" w:rsidRPr="00997F82" w:rsidRDefault="007B368D" w:rsidP="007B368D">
            <w:r w:rsidRPr="00997F82">
              <w:t>CSAPHN </w:t>
            </w:r>
          </w:p>
        </w:tc>
        <w:tc>
          <w:tcPr>
            <w:tcW w:w="7183" w:type="dxa"/>
            <w:tcBorders>
              <w:top w:val="single" w:sz="6" w:space="0" w:color="484B5D"/>
              <w:left w:val="nil"/>
              <w:bottom w:val="single" w:sz="6" w:space="0" w:color="484B5D"/>
              <w:right w:val="nil"/>
            </w:tcBorders>
            <w:hideMark/>
          </w:tcPr>
          <w:p w14:paraId="0DAF9C44" w14:textId="77777777" w:rsidR="007B368D" w:rsidRPr="00997F82" w:rsidRDefault="007B368D" w:rsidP="007B368D">
            <w:r w:rsidRPr="00997F82">
              <w:t>Country South Australia PHN </w:t>
            </w:r>
          </w:p>
        </w:tc>
      </w:tr>
      <w:tr w:rsidR="007B368D" w:rsidRPr="00997F82" w14:paraId="1E8329D9"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20419248" w14:textId="77777777" w:rsidR="007B368D" w:rsidRPr="00997F82" w:rsidRDefault="007B368D" w:rsidP="007B368D">
            <w:r w:rsidRPr="00997F82">
              <w:t>DDWMPHN </w:t>
            </w:r>
          </w:p>
        </w:tc>
        <w:tc>
          <w:tcPr>
            <w:tcW w:w="7183" w:type="dxa"/>
            <w:tcBorders>
              <w:top w:val="single" w:sz="6" w:space="0" w:color="484B5D"/>
              <w:left w:val="nil"/>
              <w:bottom w:val="single" w:sz="6" w:space="0" w:color="484B5D"/>
              <w:right w:val="nil"/>
            </w:tcBorders>
            <w:hideMark/>
          </w:tcPr>
          <w:p w14:paraId="0E95A90E" w14:textId="77777777" w:rsidR="007B368D" w:rsidRPr="00997F82" w:rsidRDefault="007B368D" w:rsidP="007B368D">
            <w:r w:rsidRPr="00997F82">
              <w:t>Darling Downs and West Moreton PHN </w:t>
            </w:r>
          </w:p>
        </w:tc>
      </w:tr>
      <w:tr w:rsidR="007B368D" w:rsidRPr="00997F82" w14:paraId="33716E87"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28E9204E" w14:textId="77777777" w:rsidR="007B368D" w:rsidRPr="00997F82" w:rsidRDefault="007B368D" w:rsidP="007B368D">
            <w:r w:rsidRPr="00997F82">
              <w:t>DLI </w:t>
            </w:r>
          </w:p>
        </w:tc>
        <w:tc>
          <w:tcPr>
            <w:tcW w:w="7183" w:type="dxa"/>
            <w:tcBorders>
              <w:top w:val="single" w:sz="6" w:space="0" w:color="484B5D"/>
              <w:left w:val="nil"/>
              <w:bottom w:val="single" w:sz="6" w:space="0" w:color="484B5D"/>
              <w:right w:val="nil"/>
            </w:tcBorders>
            <w:hideMark/>
          </w:tcPr>
          <w:p w14:paraId="12892C33" w14:textId="77777777" w:rsidR="007B368D" w:rsidRPr="00997F82" w:rsidRDefault="007B368D" w:rsidP="007B368D">
            <w:r w:rsidRPr="00997F82">
              <w:t>Death Literacy Index </w:t>
            </w:r>
          </w:p>
        </w:tc>
      </w:tr>
      <w:tr w:rsidR="007B368D" w:rsidRPr="00997F82" w14:paraId="395E8F66"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21AA0E42" w14:textId="77777777" w:rsidR="007B368D" w:rsidRPr="00997F82" w:rsidRDefault="007B368D" w:rsidP="007B368D">
            <w:r w:rsidRPr="00997F82">
              <w:t>DHDA </w:t>
            </w:r>
          </w:p>
        </w:tc>
        <w:tc>
          <w:tcPr>
            <w:tcW w:w="7183" w:type="dxa"/>
            <w:tcBorders>
              <w:top w:val="single" w:sz="6" w:space="0" w:color="484B5D"/>
              <w:left w:val="nil"/>
              <w:bottom w:val="single" w:sz="6" w:space="0" w:color="484B5D"/>
              <w:right w:val="nil"/>
            </w:tcBorders>
            <w:hideMark/>
          </w:tcPr>
          <w:p w14:paraId="13F1ABF5" w14:textId="77777777" w:rsidR="007B368D" w:rsidRPr="00997F82" w:rsidRDefault="007B368D" w:rsidP="007B368D">
            <w:r w:rsidRPr="00997F82">
              <w:t>Department of Health, Disability and Ageing </w:t>
            </w:r>
          </w:p>
        </w:tc>
      </w:tr>
      <w:tr w:rsidR="007B368D" w:rsidRPr="00997F82" w14:paraId="695BC305"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7BB01B23" w14:textId="77777777" w:rsidR="007B368D" w:rsidRPr="00997F82" w:rsidRDefault="007B368D" w:rsidP="007B368D">
            <w:r w:rsidRPr="00997F82">
              <w:t>ECHO </w:t>
            </w:r>
          </w:p>
        </w:tc>
        <w:tc>
          <w:tcPr>
            <w:tcW w:w="7183" w:type="dxa"/>
            <w:tcBorders>
              <w:top w:val="single" w:sz="6" w:space="0" w:color="484B5D"/>
              <w:left w:val="nil"/>
              <w:bottom w:val="single" w:sz="6" w:space="0" w:color="484B5D"/>
              <w:right w:val="nil"/>
            </w:tcBorders>
            <w:hideMark/>
          </w:tcPr>
          <w:p w14:paraId="2E0DFAD0" w14:textId="77777777" w:rsidR="007B368D" w:rsidRPr="00997F82" w:rsidRDefault="007B368D" w:rsidP="007B368D">
            <w:r w:rsidRPr="00997F82">
              <w:t>Extension for Community Healthcare Outcomes </w:t>
            </w:r>
          </w:p>
        </w:tc>
      </w:tr>
      <w:tr w:rsidR="007B368D" w:rsidRPr="00997F82" w14:paraId="0210B177"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00557F45" w14:textId="77777777" w:rsidR="007B368D" w:rsidRPr="00997F82" w:rsidRDefault="007B368D" w:rsidP="007B368D">
            <w:r w:rsidRPr="00997F82">
              <w:t>ELDAC </w:t>
            </w:r>
          </w:p>
        </w:tc>
        <w:tc>
          <w:tcPr>
            <w:tcW w:w="7183" w:type="dxa"/>
            <w:tcBorders>
              <w:top w:val="single" w:sz="6" w:space="0" w:color="484B5D"/>
              <w:left w:val="nil"/>
              <w:bottom w:val="single" w:sz="6" w:space="0" w:color="484B5D"/>
              <w:right w:val="nil"/>
            </w:tcBorders>
            <w:hideMark/>
          </w:tcPr>
          <w:p w14:paraId="6B00357B" w14:textId="77777777" w:rsidR="007B368D" w:rsidRPr="00997F82" w:rsidRDefault="007B368D" w:rsidP="007B368D">
            <w:r w:rsidRPr="00997F82">
              <w:t>End of Life Direction for Aged Care </w:t>
            </w:r>
          </w:p>
        </w:tc>
      </w:tr>
      <w:tr w:rsidR="007B368D" w:rsidRPr="00997F82" w14:paraId="0015194E"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5574D4CE" w14:textId="77777777" w:rsidR="007B368D" w:rsidRPr="00997F82" w:rsidRDefault="007B368D" w:rsidP="007B368D">
            <w:r w:rsidRPr="00997F82">
              <w:t>EMPHN </w:t>
            </w:r>
          </w:p>
        </w:tc>
        <w:tc>
          <w:tcPr>
            <w:tcW w:w="7183" w:type="dxa"/>
            <w:tcBorders>
              <w:top w:val="single" w:sz="6" w:space="0" w:color="484B5D"/>
              <w:left w:val="nil"/>
              <w:bottom w:val="single" w:sz="6" w:space="0" w:color="484B5D"/>
              <w:right w:val="nil"/>
            </w:tcBorders>
            <w:hideMark/>
          </w:tcPr>
          <w:p w14:paraId="7E14D3FA" w14:textId="77777777" w:rsidR="007B368D" w:rsidRPr="00997F82" w:rsidRDefault="007B368D" w:rsidP="007B368D">
            <w:r w:rsidRPr="00997F82">
              <w:t>Eastern Melbourne PHN </w:t>
            </w:r>
          </w:p>
        </w:tc>
      </w:tr>
      <w:tr w:rsidR="007B368D" w:rsidRPr="00997F82" w14:paraId="0D35D295"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44788600" w14:textId="77777777" w:rsidR="007B368D" w:rsidRPr="00997F82" w:rsidRDefault="007B368D" w:rsidP="007B368D">
            <w:r w:rsidRPr="00997F82">
              <w:t>EOLC </w:t>
            </w:r>
          </w:p>
        </w:tc>
        <w:tc>
          <w:tcPr>
            <w:tcW w:w="7183" w:type="dxa"/>
            <w:tcBorders>
              <w:top w:val="single" w:sz="6" w:space="0" w:color="484B5D"/>
              <w:left w:val="nil"/>
              <w:bottom w:val="single" w:sz="6" w:space="0" w:color="484B5D"/>
              <w:right w:val="nil"/>
            </w:tcBorders>
            <w:hideMark/>
          </w:tcPr>
          <w:p w14:paraId="5EB97E79" w14:textId="77777777" w:rsidR="007B368D" w:rsidRPr="00997F82" w:rsidRDefault="007B368D" w:rsidP="007B368D">
            <w:r w:rsidRPr="00997F82">
              <w:t>End of Life Care </w:t>
            </w:r>
          </w:p>
        </w:tc>
      </w:tr>
      <w:tr w:rsidR="007B368D" w:rsidRPr="00997F82" w14:paraId="458B9201"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64DC63CF" w14:textId="77777777" w:rsidR="007B368D" w:rsidRPr="00997F82" w:rsidRDefault="007B368D" w:rsidP="007B368D">
            <w:r w:rsidRPr="00997F82">
              <w:t>FTE  </w:t>
            </w:r>
          </w:p>
        </w:tc>
        <w:tc>
          <w:tcPr>
            <w:tcW w:w="7183" w:type="dxa"/>
            <w:tcBorders>
              <w:top w:val="single" w:sz="6" w:space="0" w:color="484B5D"/>
              <w:left w:val="nil"/>
              <w:bottom w:val="single" w:sz="6" w:space="0" w:color="484B5D"/>
              <w:right w:val="nil"/>
            </w:tcBorders>
            <w:hideMark/>
          </w:tcPr>
          <w:p w14:paraId="75EDF98D" w14:textId="77777777" w:rsidR="007B368D" w:rsidRPr="00997F82" w:rsidRDefault="007B368D" w:rsidP="007B368D">
            <w:r w:rsidRPr="00997F82">
              <w:t>Full Time Equivalent </w:t>
            </w:r>
          </w:p>
        </w:tc>
      </w:tr>
      <w:tr w:rsidR="007B368D" w:rsidRPr="00997F82" w14:paraId="14ACD7C5"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166D0CE7" w14:textId="77777777" w:rsidR="007B368D" w:rsidRPr="00997F82" w:rsidRDefault="007B368D" w:rsidP="007B368D">
            <w:r w:rsidRPr="00997F82">
              <w:t>GCfAHPC </w:t>
            </w:r>
          </w:p>
        </w:tc>
        <w:tc>
          <w:tcPr>
            <w:tcW w:w="7183" w:type="dxa"/>
            <w:tcBorders>
              <w:top w:val="single" w:sz="6" w:space="0" w:color="484B5D"/>
              <w:left w:val="nil"/>
              <w:bottom w:val="single" w:sz="6" w:space="0" w:color="484B5D"/>
              <w:right w:val="nil"/>
            </w:tcBorders>
            <w:hideMark/>
          </w:tcPr>
          <w:p w14:paraId="7094B9E7" w14:textId="77777777" w:rsidR="007B368D" w:rsidRPr="00997F82" w:rsidRDefault="007B368D" w:rsidP="007B368D">
            <w:r w:rsidRPr="00997F82">
              <w:t>Greater Choice for At Home Palliative Care  </w:t>
            </w:r>
          </w:p>
        </w:tc>
      </w:tr>
      <w:tr w:rsidR="007B368D" w:rsidRPr="00997F82" w14:paraId="73CC69AA"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45DE55FE" w14:textId="77777777" w:rsidR="007B368D" w:rsidRPr="00997F82" w:rsidRDefault="007B368D" w:rsidP="007B368D">
            <w:r w:rsidRPr="00997F82">
              <w:t>GCPHN </w:t>
            </w:r>
          </w:p>
        </w:tc>
        <w:tc>
          <w:tcPr>
            <w:tcW w:w="7183" w:type="dxa"/>
            <w:tcBorders>
              <w:top w:val="single" w:sz="6" w:space="0" w:color="484B5D"/>
              <w:left w:val="nil"/>
              <w:bottom w:val="single" w:sz="6" w:space="0" w:color="484B5D"/>
              <w:right w:val="nil"/>
            </w:tcBorders>
            <w:hideMark/>
          </w:tcPr>
          <w:p w14:paraId="7D95B84D" w14:textId="77777777" w:rsidR="007B368D" w:rsidRPr="00997F82" w:rsidRDefault="007B368D" w:rsidP="007B368D">
            <w:r w:rsidRPr="00997F82">
              <w:t>Gold Coast PHN </w:t>
            </w:r>
          </w:p>
        </w:tc>
      </w:tr>
      <w:tr w:rsidR="007B368D" w:rsidRPr="00997F82" w14:paraId="050DEC85"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03FE9D2A" w14:textId="77777777" w:rsidR="007B368D" w:rsidRPr="00997F82" w:rsidRDefault="007B368D" w:rsidP="007B368D">
            <w:r w:rsidRPr="00997F82">
              <w:t>GP </w:t>
            </w:r>
          </w:p>
        </w:tc>
        <w:tc>
          <w:tcPr>
            <w:tcW w:w="7183" w:type="dxa"/>
            <w:tcBorders>
              <w:top w:val="single" w:sz="6" w:space="0" w:color="484B5D"/>
              <w:left w:val="nil"/>
              <w:bottom w:val="single" w:sz="6" w:space="0" w:color="484B5D"/>
              <w:right w:val="nil"/>
            </w:tcBorders>
            <w:hideMark/>
          </w:tcPr>
          <w:p w14:paraId="59E01837" w14:textId="77777777" w:rsidR="007B368D" w:rsidRPr="00997F82" w:rsidRDefault="007B368D" w:rsidP="007B368D">
            <w:r w:rsidRPr="00997F82">
              <w:t>General Practitioner </w:t>
            </w:r>
          </w:p>
        </w:tc>
      </w:tr>
      <w:tr w:rsidR="007B368D" w:rsidRPr="00997F82" w14:paraId="4B10585D"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02376B6F" w14:textId="77777777" w:rsidR="007B368D" w:rsidRPr="00997F82" w:rsidRDefault="007B368D" w:rsidP="007B368D">
            <w:r w:rsidRPr="00997F82">
              <w:t>GPHN </w:t>
            </w:r>
          </w:p>
        </w:tc>
        <w:tc>
          <w:tcPr>
            <w:tcW w:w="7183" w:type="dxa"/>
            <w:tcBorders>
              <w:top w:val="single" w:sz="6" w:space="0" w:color="484B5D"/>
              <w:left w:val="nil"/>
              <w:bottom w:val="single" w:sz="6" w:space="0" w:color="484B5D"/>
              <w:right w:val="nil"/>
            </w:tcBorders>
            <w:hideMark/>
          </w:tcPr>
          <w:p w14:paraId="23212EE2" w14:textId="77777777" w:rsidR="007B368D" w:rsidRPr="00997F82" w:rsidRDefault="007B368D" w:rsidP="007B368D">
            <w:r w:rsidRPr="00997F82">
              <w:t>Gippsland PHN </w:t>
            </w:r>
          </w:p>
        </w:tc>
      </w:tr>
      <w:tr w:rsidR="007B368D" w:rsidRPr="00997F82" w14:paraId="159D6B59"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4D1AC479" w14:textId="77777777" w:rsidR="007B368D" w:rsidRPr="00997F82" w:rsidRDefault="007B368D" w:rsidP="007B368D">
            <w:r w:rsidRPr="00997F82">
              <w:t>GPMP </w:t>
            </w:r>
          </w:p>
        </w:tc>
        <w:tc>
          <w:tcPr>
            <w:tcW w:w="7183" w:type="dxa"/>
            <w:tcBorders>
              <w:top w:val="single" w:sz="6" w:space="0" w:color="484B5D"/>
              <w:left w:val="nil"/>
              <w:bottom w:val="single" w:sz="6" w:space="0" w:color="484B5D"/>
              <w:right w:val="nil"/>
            </w:tcBorders>
            <w:hideMark/>
          </w:tcPr>
          <w:p w14:paraId="16F023E3" w14:textId="77777777" w:rsidR="007B368D" w:rsidRPr="00997F82" w:rsidRDefault="007B368D" w:rsidP="007B368D">
            <w:r w:rsidRPr="00997F82">
              <w:t>General Practitioner Management Plans </w:t>
            </w:r>
          </w:p>
        </w:tc>
      </w:tr>
      <w:tr w:rsidR="007B368D" w:rsidRPr="00997F82" w14:paraId="5F40A493"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532BEB6E" w14:textId="77777777" w:rsidR="007B368D" w:rsidRPr="00997F82" w:rsidRDefault="007B368D" w:rsidP="007B368D">
            <w:r w:rsidRPr="00997F82">
              <w:t>HELP </w:t>
            </w:r>
          </w:p>
        </w:tc>
        <w:tc>
          <w:tcPr>
            <w:tcW w:w="7183" w:type="dxa"/>
            <w:tcBorders>
              <w:top w:val="single" w:sz="6" w:space="0" w:color="484B5D"/>
              <w:left w:val="nil"/>
              <w:bottom w:val="single" w:sz="6" w:space="0" w:color="484B5D"/>
              <w:right w:val="nil"/>
            </w:tcBorders>
            <w:hideMark/>
          </w:tcPr>
          <w:p w14:paraId="56F3BA58" w14:textId="77777777" w:rsidR="007B368D" w:rsidRPr="00997F82" w:rsidRDefault="007B368D" w:rsidP="007B368D">
            <w:r w:rsidRPr="00997F82">
              <w:t>Healthy End of Life </w:t>
            </w:r>
          </w:p>
        </w:tc>
      </w:tr>
      <w:tr w:rsidR="007B368D" w:rsidRPr="00997F82" w14:paraId="4DA7A65E"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4DF676BD" w14:textId="77777777" w:rsidR="007B368D" w:rsidRPr="00997F82" w:rsidRDefault="007B368D" w:rsidP="007B368D">
            <w:r w:rsidRPr="00997F82">
              <w:t>HNCPHN </w:t>
            </w:r>
          </w:p>
        </w:tc>
        <w:tc>
          <w:tcPr>
            <w:tcW w:w="7183" w:type="dxa"/>
            <w:tcBorders>
              <w:top w:val="single" w:sz="6" w:space="0" w:color="484B5D"/>
              <w:left w:val="nil"/>
              <w:bottom w:val="single" w:sz="6" w:space="0" w:color="484B5D"/>
              <w:right w:val="nil"/>
            </w:tcBorders>
            <w:hideMark/>
          </w:tcPr>
          <w:p w14:paraId="03361A9D" w14:textId="77777777" w:rsidR="007B368D" w:rsidRPr="00997F82" w:rsidRDefault="007B368D" w:rsidP="007B368D">
            <w:r w:rsidRPr="00997F82">
              <w:t>Health North Coast PHN </w:t>
            </w:r>
          </w:p>
        </w:tc>
      </w:tr>
      <w:tr w:rsidR="007B368D" w:rsidRPr="00997F82" w14:paraId="2233B9D5"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3A639DF" w14:textId="77777777" w:rsidR="007B368D" w:rsidRPr="00997F82" w:rsidRDefault="007B368D" w:rsidP="007B368D">
            <w:r w:rsidRPr="00997F82">
              <w:t>HNECCPHN </w:t>
            </w:r>
          </w:p>
        </w:tc>
        <w:tc>
          <w:tcPr>
            <w:tcW w:w="7183" w:type="dxa"/>
            <w:tcBorders>
              <w:top w:val="single" w:sz="6" w:space="0" w:color="484B5D"/>
              <w:left w:val="nil"/>
              <w:bottom w:val="single" w:sz="6" w:space="0" w:color="484B5D"/>
              <w:right w:val="nil"/>
            </w:tcBorders>
            <w:hideMark/>
          </w:tcPr>
          <w:p w14:paraId="0B06E2B4" w14:textId="77777777" w:rsidR="007B368D" w:rsidRPr="00997F82" w:rsidRDefault="007B368D" w:rsidP="007B368D">
            <w:r w:rsidRPr="00997F82">
              <w:t>Hunter New England and Centre Coast PHN </w:t>
            </w:r>
          </w:p>
        </w:tc>
      </w:tr>
      <w:tr w:rsidR="007B368D" w:rsidRPr="00997F82" w14:paraId="07A90AA9"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56CDAD3" w14:textId="77777777" w:rsidR="007B368D" w:rsidRPr="00997F82" w:rsidRDefault="007B368D" w:rsidP="007B368D">
            <w:r w:rsidRPr="00997F82">
              <w:t>INCA </w:t>
            </w:r>
          </w:p>
        </w:tc>
        <w:tc>
          <w:tcPr>
            <w:tcW w:w="7183" w:type="dxa"/>
            <w:tcBorders>
              <w:top w:val="single" w:sz="6" w:space="0" w:color="484B5D"/>
              <w:left w:val="nil"/>
              <w:bottom w:val="single" w:sz="6" w:space="0" w:color="484B5D"/>
              <w:right w:val="nil"/>
            </w:tcBorders>
            <w:hideMark/>
          </w:tcPr>
          <w:p w14:paraId="2C139E34" w14:textId="77777777" w:rsidR="007B368D" w:rsidRPr="00997F82" w:rsidRDefault="007B368D" w:rsidP="007B368D">
            <w:r w:rsidRPr="00997F82">
              <w:t>Integrated Share Care Planning Platform </w:t>
            </w:r>
          </w:p>
        </w:tc>
      </w:tr>
      <w:tr w:rsidR="007B368D" w:rsidRPr="00997F82" w14:paraId="25B1390D"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7B0A99BB" w14:textId="77777777" w:rsidR="007B368D" w:rsidRPr="00997F82" w:rsidRDefault="007B368D" w:rsidP="007B368D">
            <w:r w:rsidRPr="00997F82">
              <w:t>LGBTIQA+ </w:t>
            </w:r>
          </w:p>
        </w:tc>
        <w:tc>
          <w:tcPr>
            <w:tcW w:w="7183" w:type="dxa"/>
            <w:tcBorders>
              <w:top w:val="single" w:sz="6" w:space="0" w:color="484B5D"/>
              <w:left w:val="nil"/>
              <w:bottom w:val="single" w:sz="6" w:space="0" w:color="484B5D"/>
              <w:right w:val="nil"/>
            </w:tcBorders>
            <w:hideMark/>
          </w:tcPr>
          <w:p w14:paraId="60B89ECE" w14:textId="77777777" w:rsidR="007B368D" w:rsidRPr="00997F82" w:rsidRDefault="007B368D" w:rsidP="007B368D">
            <w:r w:rsidRPr="00997F82">
              <w:t>Lesbian, Gay, Bisexual, Transgender, Intersex, Queer/questioning, Asexual </w:t>
            </w:r>
          </w:p>
        </w:tc>
      </w:tr>
      <w:tr w:rsidR="007B368D" w:rsidRPr="00997F82" w14:paraId="601F445A"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1AE67700" w14:textId="77777777" w:rsidR="007B368D" w:rsidRPr="00997F82" w:rsidRDefault="007B368D" w:rsidP="007B368D">
            <w:r w:rsidRPr="00997F82">
              <w:t>LHD </w:t>
            </w:r>
          </w:p>
        </w:tc>
        <w:tc>
          <w:tcPr>
            <w:tcW w:w="7183" w:type="dxa"/>
            <w:tcBorders>
              <w:top w:val="single" w:sz="6" w:space="0" w:color="484B5D"/>
              <w:left w:val="nil"/>
              <w:bottom w:val="single" w:sz="6" w:space="0" w:color="484B5D"/>
              <w:right w:val="nil"/>
            </w:tcBorders>
            <w:hideMark/>
          </w:tcPr>
          <w:p w14:paraId="166FF539" w14:textId="77777777" w:rsidR="007B368D" w:rsidRPr="00997F82" w:rsidRDefault="007B368D" w:rsidP="007B368D">
            <w:r w:rsidRPr="00997F82">
              <w:t>Local Health District </w:t>
            </w:r>
          </w:p>
        </w:tc>
      </w:tr>
      <w:tr w:rsidR="007B368D" w:rsidRPr="00997F82" w14:paraId="4B74CD82"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2A8E16D3" w14:textId="77777777" w:rsidR="007B368D" w:rsidRPr="00997F82" w:rsidRDefault="007B368D" w:rsidP="007B368D">
            <w:r w:rsidRPr="00997F82">
              <w:t>LHN </w:t>
            </w:r>
          </w:p>
        </w:tc>
        <w:tc>
          <w:tcPr>
            <w:tcW w:w="7183" w:type="dxa"/>
            <w:tcBorders>
              <w:top w:val="single" w:sz="6" w:space="0" w:color="484B5D"/>
              <w:left w:val="nil"/>
              <w:bottom w:val="single" w:sz="6" w:space="0" w:color="484B5D"/>
              <w:right w:val="nil"/>
            </w:tcBorders>
            <w:hideMark/>
          </w:tcPr>
          <w:p w14:paraId="280E663C" w14:textId="77777777" w:rsidR="007B368D" w:rsidRPr="00997F82" w:rsidRDefault="007B368D" w:rsidP="007B368D">
            <w:r w:rsidRPr="00997F82">
              <w:t>Local Health Network </w:t>
            </w:r>
          </w:p>
        </w:tc>
      </w:tr>
      <w:tr w:rsidR="007B368D" w:rsidRPr="00997F82" w14:paraId="66392E7E"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5AFCD987" w14:textId="77777777" w:rsidR="007B368D" w:rsidRPr="00997F82" w:rsidRDefault="007B368D" w:rsidP="007B368D">
            <w:r w:rsidRPr="00997F82">
              <w:t>MBS </w:t>
            </w:r>
          </w:p>
        </w:tc>
        <w:tc>
          <w:tcPr>
            <w:tcW w:w="7183" w:type="dxa"/>
            <w:tcBorders>
              <w:top w:val="single" w:sz="6" w:space="0" w:color="484B5D"/>
              <w:left w:val="nil"/>
              <w:bottom w:val="single" w:sz="6" w:space="0" w:color="484B5D"/>
              <w:right w:val="nil"/>
            </w:tcBorders>
            <w:hideMark/>
          </w:tcPr>
          <w:p w14:paraId="31320010" w14:textId="77777777" w:rsidR="007B368D" w:rsidRPr="00997F82" w:rsidRDefault="007B368D" w:rsidP="007B368D">
            <w:r w:rsidRPr="00997F82">
              <w:t>Medicare Benefits Schedule </w:t>
            </w:r>
          </w:p>
        </w:tc>
      </w:tr>
      <w:tr w:rsidR="007B368D" w:rsidRPr="00997F82" w14:paraId="6667336D"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AB978F5" w14:textId="77777777" w:rsidR="007B368D" w:rsidRPr="00997F82" w:rsidRDefault="007B368D" w:rsidP="007B368D">
            <w:r w:rsidRPr="00997F82">
              <w:t>NBMPHN </w:t>
            </w:r>
          </w:p>
        </w:tc>
        <w:tc>
          <w:tcPr>
            <w:tcW w:w="7183" w:type="dxa"/>
            <w:tcBorders>
              <w:top w:val="single" w:sz="6" w:space="0" w:color="484B5D"/>
              <w:left w:val="nil"/>
              <w:bottom w:val="single" w:sz="6" w:space="0" w:color="484B5D"/>
              <w:right w:val="nil"/>
            </w:tcBorders>
            <w:hideMark/>
          </w:tcPr>
          <w:p w14:paraId="78621908" w14:textId="77777777" w:rsidR="007B368D" w:rsidRPr="00997F82" w:rsidRDefault="007B368D" w:rsidP="007B368D">
            <w:r w:rsidRPr="00997F82">
              <w:t>Nepean Blue Mountains PHN </w:t>
            </w:r>
          </w:p>
        </w:tc>
      </w:tr>
      <w:tr w:rsidR="007B368D" w:rsidRPr="00997F82" w14:paraId="259B7613"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202CCF9D" w14:textId="77777777" w:rsidR="007B368D" w:rsidRPr="00997F82" w:rsidRDefault="007B368D" w:rsidP="007B368D">
            <w:r w:rsidRPr="00997F82">
              <w:t>NGO </w:t>
            </w:r>
          </w:p>
        </w:tc>
        <w:tc>
          <w:tcPr>
            <w:tcW w:w="7183" w:type="dxa"/>
            <w:tcBorders>
              <w:top w:val="single" w:sz="6" w:space="0" w:color="484B5D"/>
              <w:left w:val="nil"/>
              <w:bottom w:val="single" w:sz="6" w:space="0" w:color="484B5D"/>
              <w:right w:val="nil"/>
            </w:tcBorders>
            <w:hideMark/>
          </w:tcPr>
          <w:p w14:paraId="72258CE7" w14:textId="77777777" w:rsidR="007B368D" w:rsidRPr="00997F82" w:rsidRDefault="007B368D" w:rsidP="007B368D">
            <w:proofErr w:type="spellStart"/>
            <w:proofErr w:type="gramStart"/>
            <w:r w:rsidRPr="00997F82">
              <w:t>Non Government</w:t>
            </w:r>
            <w:proofErr w:type="spellEnd"/>
            <w:proofErr w:type="gramEnd"/>
            <w:r w:rsidRPr="00997F82">
              <w:t xml:space="preserve"> Organisation </w:t>
            </w:r>
          </w:p>
        </w:tc>
      </w:tr>
      <w:tr w:rsidR="007B368D" w:rsidRPr="00997F82" w14:paraId="61595525"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580D8FFE" w14:textId="77777777" w:rsidR="007B368D" w:rsidRPr="00997F82" w:rsidRDefault="007B368D" w:rsidP="007B368D">
            <w:r w:rsidRPr="00997F82">
              <w:t>NQPHN </w:t>
            </w:r>
          </w:p>
        </w:tc>
        <w:tc>
          <w:tcPr>
            <w:tcW w:w="7183" w:type="dxa"/>
            <w:tcBorders>
              <w:top w:val="single" w:sz="6" w:space="0" w:color="484B5D"/>
              <w:left w:val="nil"/>
              <w:bottom w:val="single" w:sz="6" w:space="0" w:color="484B5D"/>
              <w:right w:val="nil"/>
            </w:tcBorders>
            <w:hideMark/>
          </w:tcPr>
          <w:p w14:paraId="1B59DBFE" w14:textId="77777777" w:rsidR="007B368D" w:rsidRPr="00997F82" w:rsidRDefault="007B368D" w:rsidP="007B368D">
            <w:r w:rsidRPr="00997F82">
              <w:t>North Queensland PHN </w:t>
            </w:r>
          </w:p>
        </w:tc>
      </w:tr>
      <w:tr w:rsidR="007B368D" w:rsidRPr="00997F82" w14:paraId="235BDFD7"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B245D49" w14:textId="77777777" w:rsidR="007B368D" w:rsidRPr="00997F82" w:rsidRDefault="007B368D" w:rsidP="007B368D">
            <w:r w:rsidRPr="00997F82">
              <w:t>NSPHN </w:t>
            </w:r>
          </w:p>
        </w:tc>
        <w:tc>
          <w:tcPr>
            <w:tcW w:w="7183" w:type="dxa"/>
            <w:tcBorders>
              <w:top w:val="single" w:sz="6" w:space="0" w:color="484B5D"/>
              <w:left w:val="nil"/>
              <w:bottom w:val="single" w:sz="6" w:space="0" w:color="484B5D"/>
              <w:right w:val="nil"/>
            </w:tcBorders>
            <w:hideMark/>
          </w:tcPr>
          <w:p w14:paraId="7D1B821F" w14:textId="77777777" w:rsidR="007B368D" w:rsidRPr="00997F82" w:rsidRDefault="007B368D" w:rsidP="007B368D">
            <w:r w:rsidRPr="00997F82">
              <w:t>Northern Sydney PHN </w:t>
            </w:r>
          </w:p>
        </w:tc>
      </w:tr>
      <w:tr w:rsidR="007B368D" w:rsidRPr="00997F82" w14:paraId="212021F1"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16A70942" w14:textId="77777777" w:rsidR="007B368D" w:rsidRPr="00997F82" w:rsidRDefault="007B368D" w:rsidP="007B368D">
            <w:r w:rsidRPr="00997F82">
              <w:t>NTPHN </w:t>
            </w:r>
          </w:p>
        </w:tc>
        <w:tc>
          <w:tcPr>
            <w:tcW w:w="7183" w:type="dxa"/>
            <w:tcBorders>
              <w:top w:val="single" w:sz="6" w:space="0" w:color="484B5D"/>
              <w:left w:val="nil"/>
              <w:bottom w:val="single" w:sz="6" w:space="0" w:color="484B5D"/>
              <w:right w:val="nil"/>
            </w:tcBorders>
            <w:hideMark/>
          </w:tcPr>
          <w:p w14:paraId="211AEDC3" w14:textId="77777777" w:rsidR="007B368D" w:rsidRPr="00997F82" w:rsidRDefault="007B368D" w:rsidP="007B368D">
            <w:r w:rsidRPr="00997F82">
              <w:t>Northern Territory PHN </w:t>
            </w:r>
          </w:p>
        </w:tc>
      </w:tr>
      <w:tr w:rsidR="007B368D" w:rsidRPr="00997F82" w14:paraId="19974BA4"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68C2D4B1" w14:textId="77777777" w:rsidR="007B368D" w:rsidRPr="00997F82" w:rsidRDefault="007B368D" w:rsidP="007B368D">
            <w:r w:rsidRPr="00997F82">
              <w:t>NWMPHN </w:t>
            </w:r>
          </w:p>
        </w:tc>
        <w:tc>
          <w:tcPr>
            <w:tcW w:w="7183" w:type="dxa"/>
            <w:tcBorders>
              <w:top w:val="single" w:sz="6" w:space="0" w:color="484B5D"/>
              <w:left w:val="nil"/>
              <w:bottom w:val="single" w:sz="6" w:space="0" w:color="484B5D"/>
              <w:right w:val="nil"/>
            </w:tcBorders>
            <w:hideMark/>
          </w:tcPr>
          <w:p w14:paraId="156688B5" w14:textId="77777777" w:rsidR="007B368D" w:rsidRPr="00997F82" w:rsidRDefault="007B368D" w:rsidP="007B368D">
            <w:proofErr w:type="gramStart"/>
            <w:r w:rsidRPr="00997F82">
              <w:t>North Western</w:t>
            </w:r>
            <w:proofErr w:type="gramEnd"/>
            <w:r w:rsidRPr="00997F82">
              <w:t xml:space="preserve"> Melbourne PHN </w:t>
            </w:r>
          </w:p>
        </w:tc>
      </w:tr>
      <w:tr w:rsidR="007B368D" w:rsidRPr="00997F82" w14:paraId="64511828"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5C3D9BC8" w14:textId="77777777" w:rsidR="007B368D" w:rsidRPr="00997F82" w:rsidRDefault="007B368D" w:rsidP="007B368D">
            <w:r w:rsidRPr="00997F82">
              <w:t>OACP </w:t>
            </w:r>
          </w:p>
        </w:tc>
        <w:tc>
          <w:tcPr>
            <w:tcW w:w="7183" w:type="dxa"/>
            <w:tcBorders>
              <w:top w:val="single" w:sz="6" w:space="0" w:color="484B5D"/>
              <w:left w:val="nil"/>
              <w:bottom w:val="single" w:sz="6" w:space="0" w:color="484B5D"/>
              <w:right w:val="nil"/>
            </w:tcBorders>
            <w:hideMark/>
          </w:tcPr>
          <w:p w14:paraId="428E3341" w14:textId="77777777" w:rsidR="007B368D" w:rsidRPr="00997F82" w:rsidRDefault="007B368D" w:rsidP="007B368D">
            <w:r w:rsidRPr="00997F82">
              <w:t>Office of Advance Care Planning </w:t>
            </w:r>
          </w:p>
        </w:tc>
      </w:tr>
      <w:tr w:rsidR="007B368D" w:rsidRPr="00997F82" w14:paraId="201F22D6"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1618A4AE" w14:textId="77777777" w:rsidR="007B368D" w:rsidRPr="00997F82" w:rsidRDefault="007B368D" w:rsidP="007B368D">
            <w:r w:rsidRPr="00997F82">
              <w:t>PAG </w:t>
            </w:r>
          </w:p>
        </w:tc>
        <w:tc>
          <w:tcPr>
            <w:tcW w:w="7183" w:type="dxa"/>
            <w:tcBorders>
              <w:top w:val="single" w:sz="6" w:space="0" w:color="484B5D"/>
              <w:left w:val="nil"/>
              <w:bottom w:val="single" w:sz="6" w:space="0" w:color="484B5D"/>
              <w:right w:val="nil"/>
            </w:tcBorders>
            <w:hideMark/>
          </w:tcPr>
          <w:p w14:paraId="4A725B23" w14:textId="77777777" w:rsidR="007B368D" w:rsidRPr="00997F82" w:rsidRDefault="007B368D" w:rsidP="007B368D">
            <w:r w:rsidRPr="00997F82">
              <w:t>Project Advisory Group </w:t>
            </w:r>
          </w:p>
        </w:tc>
      </w:tr>
      <w:tr w:rsidR="007B368D" w:rsidRPr="00997F82" w14:paraId="3FF2349A"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65882C67" w14:textId="77777777" w:rsidR="007B368D" w:rsidRPr="00997F82" w:rsidRDefault="007B368D" w:rsidP="007B368D">
            <w:r w:rsidRPr="00997F82">
              <w:t>PCAM </w:t>
            </w:r>
          </w:p>
        </w:tc>
        <w:tc>
          <w:tcPr>
            <w:tcW w:w="7183" w:type="dxa"/>
            <w:tcBorders>
              <w:top w:val="single" w:sz="6" w:space="0" w:color="484B5D"/>
              <w:left w:val="nil"/>
              <w:bottom w:val="single" w:sz="6" w:space="0" w:color="484B5D"/>
              <w:right w:val="nil"/>
            </w:tcBorders>
            <w:hideMark/>
          </w:tcPr>
          <w:p w14:paraId="341C6241" w14:textId="77777777" w:rsidR="007B368D" w:rsidRPr="00997F82" w:rsidRDefault="007B368D" w:rsidP="007B368D">
            <w:r w:rsidRPr="00997F82">
              <w:t>Palliative Care Access to core Medicines </w:t>
            </w:r>
          </w:p>
        </w:tc>
      </w:tr>
      <w:tr w:rsidR="007B368D" w:rsidRPr="00997F82" w14:paraId="09ABFB63"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49D8BB61" w14:textId="77777777" w:rsidR="007B368D" w:rsidRPr="00997F82" w:rsidRDefault="007B368D" w:rsidP="007B368D">
            <w:r w:rsidRPr="00997F82">
              <w:t>PCOC </w:t>
            </w:r>
          </w:p>
        </w:tc>
        <w:tc>
          <w:tcPr>
            <w:tcW w:w="7183" w:type="dxa"/>
            <w:tcBorders>
              <w:top w:val="single" w:sz="6" w:space="0" w:color="484B5D"/>
              <w:left w:val="nil"/>
              <w:bottom w:val="single" w:sz="6" w:space="0" w:color="484B5D"/>
              <w:right w:val="nil"/>
            </w:tcBorders>
            <w:hideMark/>
          </w:tcPr>
          <w:p w14:paraId="1A99645D" w14:textId="77777777" w:rsidR="007B368D" w:rsidRPr="00997F82" w:rsidRDefault="007B368D" w:rsidP="007B368D">
            <w:r w:rsidRPr="00997F82">
              <w:t>Palliative Care Outcomes Collaboration </w:t>
            </w:r>
          </w:p>
        </w:tc>
      </w:tr>
      <w:tr w:rsidR="007B368D" w:rsidRPr="00997F82" w14:paraId="0553A311"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25D7AFE7" w14:textId="77777777" w:rsidR="007B368D" w:rsidRPr="00997F82" w:rsidRDefault="007B368D" w:rsidP="007B368D">
            <w:r w:rsidRPr="00997F82">
              <w:t>PEPA </w:t>
            </w:r>
          </w:p>
        </w:tc>
        <w:tc>
          <w:tcPr>
            <w:tcW w:w="7183" w:type="dxa"/>
            <w:tcBorders>
              <w:top w:val="single" w:sz="6" w:space="0" w:color="484B5D"/>
              <w:left w:val="nil"/>
              <w:bottom w:val="single" w:sz="6" w:space="0" w:color="484B5D"/>
              <w:right w:val="nil"/>
            </w:tcBorders>
            <w:hideMark/>
          </w:tcPr>
          <w:p w14:paraId="5E83E777" w14:textId="77777777" w:rsidR="007B368D" w:rsidRPr="00997F82" w:rsidRDefault="007B368D" w:rsidP="007B368D">
            <w:r w:rsidRPr="00997F82">
              <w:t>Program of Experience in the Palliative Approach </w:t>
            </w:r>
          </w:p>
        </w:tc>
      </w:tr>
      <w:tr w:rsidR="007B368D" w:rsidRPr="00997F82" w14:paraId="21C8E65C"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74A366B0" w14:textId="77777777" w:rsidR="007B368D" w:rsidRPr="00997F82" w:rsidRDefault="007B368D" w:rsidP="007B368D">
            <w:r w:rsidRPr="00997F82">
              <w:t>PHN </w:t>
            </w:r>
          </w:p>
        </w:tc>
        <w:tc>
          <w:tcPr>
            <w:tcW w:w="7183" w:type="dxa"/>
            <w:tcBorders>
              <w:top w:val="single" w:sz="6" w:space="0" w:color="484B5D"/>
              <w:left w:val="nil"/>
              <w:bottom w:val="single" w:sz="6" w:space="0" w:color="484B5D"/>
              <w:right w:val="nil"/>
            </w:tcBorders>
            <w:hideMark/>
          </w:tcPr>
          <w:p w14:paraId="3BA771E3" w14:textId="77777777" w:rsidR="007B368D" w:rsidRPr="00997F82" w:rsidRDefault="007B368D" w:rsidP="007B368D">
            <w:r w:rsidRPr="00997F82">
              <w:t>Primary Health Network </w:t>
            </w:r>
          </w:p>
        </w:tc>
      </w:tr>
      <w:tr w:rsidR="007B368D" w:rsidRPr="00997F82" w14:paraId="368C16BE"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33A298B" w14:textId="77777777" w:rsidR="007B368D" w:rsidRPr="00997F82" w:rsidRDefault="007B368D" w:rsidP="007B368D">
            <w:r w:rsidRPr="00997F82">
              <w:t>PHT </w:t>
            </w:r>
          </w:p>
        </w:tc>
        <w:tc>
          <w:tcPr>
            <w:tcW w:w="7183" w:type="dxa"/>
            <w:tcBorders>
              <w:top w:val="single" w:sz="6" w:space="0" w:color="484B5D"/>
              <w:left w:val="nil"/>
              <w:bottom w:val="single" w:sz="6" w:space="0" w:color="484B5D"/>
              <w:right w:val="nil"/>
            </w:tcBorders>
            <w:hideMark/>
          </w:tcPr>
          <w:p w14:paraId="59589655" w14:textId="77777777" w:rsidR="007B368D" w:rsidRPr="00997F82" w:rsidRDefault="007B368D" w:rsidP="007B368D">
            <w:r w:rsidRPr="00997F82">
              <w:t>Primary Health Tasmania </w:t>
            </w:r>
          </w:p>
        </w:tc>
      </w:tr>
      <w:tr w:rsidR="007B368D" w:rsidRPr="00997F82" w14:paraId="63CDD8AB"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7514506" w14:textId="77777777" w:rsidR="007B368D" w:rsidRPr="00997F82" w:rsidRDefault="007B368D" w:rsidP="007B368D">
            <w:r w:rsidRPr="00997F82">
              <w:t>PSA </w:t>
            </w:r>
          </w:p>
        </w:tc>
        <w:tc>
          <w:tcPr>
            <w:tcW w:w="7183" w:type="dxa"/>
            <w:tcBorders>
              <w:top w:val="single" w:sz="6" w:space="0" w:color="484B5D"/>
              <w:left w:val="nil"/>
              <w:bottom w:val="single" w:sz="6" w:space="0" w:color="484B5D"/>
              <w:right w:val="nil"/>
            </w:tcBorders>
            <w:hideMark/>
          </w:tcPr>
          <w:p w14:paraId="43D1D464" w14:textId="77777777" w:rsidR="007B368D" w:rsidRPr="00997F82" w:rsidRDefault="007B368D" w:rsidP="007B368D">
            <w:r w:rsidRPr="00997F82">
              <w:t>Pharmaceutical Society of Australia </w:t>
            </w:r>
          </w:p>
        </w:tc>
      </w:tr>
      <w:tr w:rsidR="007B368D" w:rsidRPr="00997F82" w14:paraId="2F1ED276"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6AFDF7E1" w14:textId="77777777" w:rsidR="007B368D" w:rsidRPr="00997F82" w:rsidRDefault="007B368D" w:rsidP="007B368D">
            <w:r w:rsidRPr="00997F82">
              <w:t>QI  </w:t>
            </w:r>
          </w:p>
        </w:tc>
        <w:tc>
          <w:tcPr>
            <w:tcW w:w="7183" w:type="dxa"/>
            <w:tcBorders>
              <w:top w:val="single" w:sz="6" w:space="0" w:color="484B5D"/>
              <w:left w:val="nil"/>
              <w:bottom w:val="single" w:sz="6" w:space="0" w:color="484B5D"/>
              <w:right w:val="nil"/>
            </w:tcBorders>
            <w:hideMark/>
          </w:tcPr>
          <w:p w14:paraId="2C1B51D3" w14:textId="77777777" w:rsidR="007B368D" w:rsidRPr="00997F82" w:rsidRDefault="007B368D" w:rsidP="007B368D">
            <w:r w:rsidRPr="00997F82">
              <w:t>Quality Improvement </w:t>
            </w:r>
          </w:p>
        </w:tc>
      </w:tr>
      <w:tr w:rsidR="007B368D" w:rsidRPr="00997F82" w14:paraId="2E34938F"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4C7CC54B" w14:textId="77777777" w:rsidR="007B368D" w:rsidRPr="00997F82" w:rsidRDefault="007B368D" w:rsidP="007B368D">
            <w:r w:rsidRPr="00997F82">
              <w:t>RACH </w:t>
            </w:r>
          </w:p>
        </w:tc>
        <w:tc>
          <w:tcPr>
            <w:tcW w:w="7183" w:type="dxa"/>
            <w:tcBorders>
              <w:top w:val="single" w:sz="6" w:space="0" w:color="484B5D"/>
              <w:left w:val="nil"/>
              <w:bottom w:val="single" w:sz="6" w:space="0" w:color="484B5D"/>
              <w:right w:val="nil"/>
            </w:tcBorders>
            <w:hideMark/>
          </w:tcPr>
          <w:p w14:paraId="69A9B293" w14:textId="77777777" w:rsidR="007B368D" w:rsidRPr="00997F82" w:rsidRDefault="007B368D" w:rsidP="007B368D">
            <w:r w:rsidRPr="00997F82">
              <w:t>Residential Aged Care Home </w:t>
            </w:r>
          </w:p>
        </w:tc>
      </w:tr>
      <w:tr w:rsidR="007B368D" w:rsidRPr="00997F82" w14:paraId="7D4C5271"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33BD5046" w14:textId="77777777" w:rsidR="007B368D" w:rsidRPr="00997F82" w:rsidRDefault="007B368D" w:rsidP="007B368D">
            <w:r w:rsidRPr="00997F82">
              <w:t>SAPMEA </w:t>
            </w:r>
          </w:p>
        </w:tc>
        <w:tc>
          <w:tcPr>
            <w:tcW w:w="7183" w:type="dxa"/>
            <w:tcBorders>
              <w:top w:val="single" w:sz="6" w:space="0" w:color="484B5D"/>
              <w:left w:val="nil"/>
              <w:bottom w:val="single" w:sz="6" w:space="0" w:color="484B5D"/>
              <w:right w:val="nil"/>
            </w:tcBorders>
            <w:hideMark/>
          </w:tcPr>
          <w:p w14:paraId="00BD6806" w14:textId="77777777" w:rsidR="007B368D" w:rsidRPr="00997F82" w:rsidRDefault="007B368D" w:rsidP="007B368D">
            <w:r w:rsidRPr="00997F82">
              <w:t>SA Postgraduate Medical Education Association </w:t>
            </w:r>
          </w:p>
        </w:tc>
      </w:tr>
      <w:tr w:rsidR="007B368D" w:rsidRPr="00997F82" w14:paraId="36A856C0"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7403B5F4" w14:textId="77777777" w:rsidR="007B368D" w:rsidRPr="00997F82" w:rsidRDefault="007B368D" w:rsidP="007B368D">
            <w:r w:rsidRPr="00997F82">
              <w:t>SDA </w:t>
            </w:r>
          </w:p>
        </w:tc>
        <w:tc>
          <w:tcPr>
            <w:tcW w:w="7183" w:type="dxa"/>
            <w:tcBorders>
              <w:top w:val="single" w:sz="6" w:space="0" w:color="484B5D"/>
              <w:left w:val="nil"/>
              <w:bottom w:val="single" w:sz="6" w:space="0" w:color="484B5D"/>
              <w:right w:val="nil"/>
            </w:tcBorders>
            <w:hideMark/>
          </w:tcPr>
          <w:p w14:paraId="4D685597" w14:textId="77777777" w:rsidR="007B368D" w:rsidRPr="00997F82" w:rsidRDefault="007B368D" w:rsidP="007B368D">
            <w:r w:rsidRPr="00997F82">
              <w:t>Specialist Disability Accommodation </w:t>
            </w:r>
          </w:p>
        </w:tc>
      </w:tr>
      <w:tr w:rsidR="007B368D" w:rsidRPr="00997F82" w14:paraId="012368C6"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7314D5DE" w14:textId="77777777" w:rsidR="007B368D" w:rsidRPr="00997F82" w:rsidRDefault="007B368D" w:rsidP="007B368D">
            <w:r w:rsidRPr="00997F82">
              <w:t>SEMPHN </w:t>
            </w:r>
          </w:p>
        </w:tc>
        <w:tc>
          <w:tcPr>
            <w:tcW w:w="7183" w:type="dxa"/>
            <w:tcBorders>
              <w:top w:val="single" w:sz="6" w:space="0" w:color="484B5D"/>
              <w:left w:val="nil"/>
              <w:bottom w:val="single" w:sz="6" w:space="0" w:color="484B5D"/>
              <w:right w:val="nil"/>
            </w:tcBorders>
            <w:hideMark/>
          </w:tcPr>
          <w:p w14:paraId="015DA8DA" w14:textId="77777777" w:rsidR="007B368D" w:rsidRPr="00997F82" w:rsidRDefault="007B368D" w:rsidP="007B368D">
            <w:proofErr w:type="gramStart"/>
            <w:r w:rsidRPr="00997F82">
              <w:t>South Eastern</w:t>
            </w:r>
            <w:proofErr w:type="gramEnd"/>
            <w:r w:rsidRPr="00997F82">
              <w:t xml:space="preserve"> Melbourne PHN </w:t>
            </w:r>
          </w:p>
        </w:tc>
      </w:tr>
      <w:tr w:rsidR="007B368D" w:rsidRPr="00997F82" w14:paraId="11EA87D3"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46772289" w14:textId="77777777" w:rsidR="007B368D" w:rsidRPr="00997F82" w:rsidRDefault="007B368D" w:rsidP="007B368D">
            <w:r w:rsidRPr="00997F82">
              <w:t>SESLHD  </w:t>
            </w:r>
          </w:p>
        </w:tc>
        <w:tc>
          <w:tcPr>
            <w:tcW w:w="7183" w:type="dxa"/>
            <w:tcBorders>
              <w:top w:val="single" w:sz="6" w:space="0" w:color="484B5D"/>
              <w:left w:val="nil"/>
              <w:bottom w:val="single" w:sz="6" w:space="0" w:color="484B5D"/>
              <w:right w:val="nil"/>
            </w:tcBorders>
            <w:hideMark/>
          </w:tcPr>
          <w:p w14:paraId="6374C65B" w14:textId="77777777" w:rsidR="007B368D" w:rsidRPr="00997F82" w:rsidRDefault="007B368D" w:rsidP="007B368D">
            <w:proofErr w:type="gramStart"/>
            <w:r w:rsidRPr="00997F82">
              <w:t>South Eastern</w:t>
            </w:r>
            <w:proofErr w:type="gramEnd"/>
            <w:r w:rsidRPr="00997F82">
              <w:t xml:space="preserve"> Sydney Local Health District </w:t>
            </w:r>
          </w:p>
        </w:tc>
      </w:tr>
      <w:tr w:rsidR="007B368D" w:rsidRPr="00997F82" w14:paraId="2FE7F070"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6D69594E" w14:textId="77777777" w:rsidR="007B368D" w:rsidRPr="00997F82" w:rsidRDefault="007B368D" w:rsidP="007B368D">
            <w:r w:rsidRPr="00997F82">
              <w:t>SIL </w:t>
            </w:r>
          </w:p>
        </w:tc>
        <w:tc>
          <w:tcPr>
            <w:tcW w:w="7183" w:type="dxa"/>
            <w:tcBorders>
              <w:top w:val="single" w:sz="6" w:space="0" w:color="484B5D"/>
              <w:left w:val="nil"/>
              <w:bottom w:val="single" w:sz="6" w:space="0" w:color="484B5D"/>
              <w:right w:val="nil"/>
            </w:tcBorders>
            <w:hideMark/>
          </w:tcPr>
          <w:p w14:paraId="7D93F341" w14:textId="77777777" w:rsidR="007B368D" w:rsidRPr="00997F82" w:rsidRDefault="007B368D" w:rsidP="007B368D">
            <w:r w:rsidRPr="00997F82">
              <w:t>Supported Independent Living </w:t>
            </w:r>
          </w:p>
        </w:tc>
      </w:tr>
      <w:tr w:rsidR="007B368D" w:rsidRPr="00997F82" w14:paraId="3AECCE92"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6FFFBAD9" w14:textId="77777777" w:rsidR="007B368D" w:rsidRPr="00997F82" w:rsidRDefault="007B368D" w:rsidP="007B368D">
            <w:r w:rsidRPr="00997F82">
              <w:t>SWSPHN </w:t>
            </w:r>
          </w:p>
        </w:tc>
        <w:tc>
          <w:tcPr>
            <w:tcW w:w="7183" w:type="dxa"/>
            <w:tcBorders>
              <w:top w:val="single" w:sz="6" w:space="0" w:color="484B5D"/>
              <w:left w:val="nil"/>
              <w:bottom w:val="single" w:sz="6" w:space="0" w:color="484B5D"/>
              <w:right w:val="nil"/>
            </w:tcBorders>
            <w:hideMark/>
          </w:tcPr>
          <w:p w14:paraId="40AFFF95" w14:textId="77777777" w:rsidR="007B368D" w:rsidRPr="00997F82" w:rsidRDefault="007B368D" w:rsidP="007B368D">
            <w:proofErr w:type="gramStart"/>
            <w:r w:rsidRPr="00997F82">
              <w:t>South Western</w:t>
            </w:r>
            <w:proofErr w:type="gramEnd"/>
            <w:r w:rsidRPr="00997F82">
              <w:t xml:space="preserve"> Sydney PHN </w:t>
            </w:r>
          </w:p>
        </w:tc>
      </w:tr>
      <w:tr w:rsidR="007B368D" w:rsidRPr="00997F82" w14:paraId="72ED09F4"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29BD8FE8" w14:textId="77777777" w:rsidR="007B368D" w:rsidRPr="00997F82" w:rsidRDefault="007B368D" w:rsidP="007B368D">
            <w:r w:rsidRPr="00997F82">
              <w:t>TCA </w:t>
            </w:r>
          </w:p>
        </w:tc>
        <w:tc>
          <w:tcPr>
            <w:tcW w:w="7183" w:type="dxa"/>
            <w:tcBorders>
              <w:top w:val="single" w:sz="6" w:space="0" w:color="484B5D"/>
              <w:left w:val="nil"/>
              <w:bottom w:val="single" w:sz="6" w:space="0" w:color="484B5D"/>
              <w:right w:val="nil"/>
            </w:tcBorders>
            <w:hideMark/>
          </w:tcPr>
          <w:p w14:paraId="68467B17" w14:textId="77777777" w:rsidR="007B368D" w:rsidRPr="00997F82" w:rsidRDefault="007B368D" w:rsidP="007B368D">
            <w:r w:rsidRPr="00997F82">
              <w:t>Team Care Arrangements </w:t>
            </w:r>
          </w:p>
        </w:tc>
      </w:tr>
      <w:tr w:rsidR="007B368D" w:rsidRPr="00997F82" w14:paraId="24FFCB65"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0AA3C55D" w14:textId="77777777" w:rsidR="007B368D" w:rsidRPr="00997F82" w:rsidRDefault="007B368D" w:rsidP="007B368D">
            <w:r w:rsidRPr="00997F82">
              <w:t>WAPHA </w:t>
            </w:r>
          </w:p>
        </w:tc>
        <w:tc>
          <w:tcPr>
            <w:tcW w:w="7183" w:type="dxa"/>
            <w:tcBorders>
              <w:top w:val="single" w:sz="6" w:space="0" w:color="484B5D"/>
              <w:left w:val="nil"/>
              <w:bottom w:val="single" w:sz="6" w:space="0" w:color="484B5D"/>
              <w:right w:val="nil"/>
            </w:tcBorders>
            <w:hideMark/>
          </w:tcPr>
          <w:p w14:paraId="47D72DAB" w14:textId="77777777" w:rsidR="007B368D" w:rsidRPr="00997F82" w:rsidRDefault="007B368D" w:rsidP="007B368D">
            <w:r w:rsidRPr="00997F82">
              <w:t>Western Australia Primary Health Alliance </w:t>
            </w:r>
          </w:p>
        </w:tc>
      </w:tr>
      <w:tr w:rsidR="007B368D" w:rsidRPr="00997F82" w14:paraId="07A2E5EE"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042AA61B" w14:textId="77777777" w:rsidR="007B368D" w:rsidRPr="00997F82" w:rsidRDefault="007B368D" w:rsidP="007B368D">
            <w:r w:rsidRPr="00997F82">
              <w:t>WNSWPHN </w:t>
            </w:r>
          </w:p>
        </w:tc>
        <w:tc>
          <w:tcPr>
            <w:tcW w:w="7183" w:type="dxa"/>
            <w:tcBorders>
              <w:top w:val="single" w:sz="6" w:space="0" w:color="484B5D"/>
              <w:left w:val="nil"/>
              <w:bottom w:val="single" w:sz="6" w:space="0" w:color="484B5D"/>
              <w:right w:val="nil"/>
            </w:tcBorders>
            <w:hideMark/>
          </w:tcPr>
          <w:p w14:paraId="73330710" w14:textId="77777777" w:rsidR="007B368D" w:rsidRPr="00997F82" w:rsidRDefault="007B368D" w:rsidP="007B368D">
            <w:r w:rsidRPr="00997F82">
              <w:t>Western New South Wales PHN </w:t>
            </w:r>
          </w:p>
        </w:tc>
      </w:tr>
      <w:tr w:rsidR="007B368D" w:rsidRPr="00997F82" w14:paraId="251B1C90"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0F5B8B58" w14:textId="77777777" w:rsidR="007B368D" w:rsidRPr="00997F82" w:rsidRDefault="007B368D" w:rsidP="007B368D">
            <w:r w:rsidRPr="00997F82">
              <w:t>WQPHN </w:t>
            </w:r>
          </w:p>
        </w:tc>
        <w:tc>
          <w:tcPr>
            <w:tcW w:w="7183" w:type="dxa"/>
            <w:tcBorders>
              <w:top w:val="single" w:sz="6" w:space="0" w:color="484B5D"/>
              <w:left w:val="nil"/>
              <w:bottom w:val="single" w:sz="6" w:space="0" w:color="484B5D"/>
              <w:right w:val="nil"/>
            </w:tcBorders>
            <w:hideMark/>
          </w:tcPr>
          <w:p w14:paraId="45FD6511" w14:textId="77777777" w:rsidR="007B368D" w:rsidRPr="00997F82" w:rsidRDefault="007B368D" w:rsidP="007B368D">
            <w:r w:rsidRPr="00997F82">
              <w:t>Western Queensland PHN </w:t>
            </w:r>
          </w:p>
        </w:tc>
      </w:tr>
      <w:tr w:rsidR="007B368D" w:rsidRPr="00997F82" w14:paraId="560AFDAF" w14:textId="77777777" w:rsidTr="00674FFE">
        <w:trPr>
          <w:trHeight w:val="300"/>
        </w:trPr>
        <w:tc>
          <w:tcPr>
            <w:tcW w:w="1843" w:type="dxa"/>
            <w:tcBorders>
              <w:top w:val="single" w:sz="6" w:space="0" w:color="484B5D"/>
              <w:left w:val="nil"/>
              <w:bottom w:val="single" w:sz="6" w:space="0" w:color="484B5D"/>
              <w:right w:val="nil"/>
            </w:tcBorders>
            <w:shd w:val="clear" w:color="auto" w:fill="EFF0F7"/>
            <w:hideMark/>
          </w:tcPr>
          <w:p w14:paraId="1C237C8F" w14:textId="77777777" w:rsidR="007B368D" w:rsidRPr="00997F82" w:rsidRDefault="007B368D" w:rsidP="007B368D">
            <w:r w:rsidRPr="00997F82">
              <w:t>WVPHN </w:t>
            </w:r>
          </w:p>
        </w:tc>
        <w:tc>
          <w:tcPr>
            <w:tcW w:w="7183" w:type="dxa"/>
            <w:tcBorders>
              <w:top w:val="single" w:sz="6" w:space="0" w:color="484B5D"/>
              <w:left w:val="nil"/>
              <w:bottom w:val="single" w:sz="6" w:space="0" w:color="484B5D"/>
              <w:right w:val="nil"/>
            </w:tcBorders>
            <w:hideMark/>
          </w:tcPr>
          <w:p w14:paraId="186E2EED" w14:textId="77777777" w:rsidR="007B368D" w:rsidRPr="00997F82" w:rsidRDefault="007B368D" w:rsidP="007B368D">
            <w:r w:rsidRPr="00997F82">
              <w:t>Western Victoria PHN </w:t>
            </w:r>
          </w:p>
        </w:tc>
      </w:tr>
    </w:tbl>
    <w:p w14:paraId="3D5F1AE6" w14:textId="4D8A3333" w:rsidR="007B368D" w:rsidRPr="00997F82" w:rsidRDefault="00A2314A" w:rsidP="00D17138">
      <w:r w:rsidRPr="00997F82">
        <w:br w:type="page"/>
      </w:r>
    </w:p>
    <w:p w14:paraId="74AD72C9" w14:textId="77777777" w:rsidR="00A2314A" w:rsidRPr="00997F82" w:rsidRDefault="00A2314A" w:rsidP="00D17138">
      <w:pPr>
        <w:pStyle w:val="Heading1nonumbers"/>
      </w:pPr>
      <w:bookmarkStart w:id="74" w:name="_Toc226898041"/>
      <w:r w:rsidRPr="00997F82">
        <w:t>Appendix B: Evaluation methodology</w:t>
      </w:r>
      <w:bookmarkEnd w:id="74"/>
      <w:r w:rsidRPr="00997F82">
        <w:t> </w:t>
      </w:r>
    </w:p>
    <w:p w14:paraId="7EBC2D69" w14:textId="77777777" w:rsidR="00C06B39" w:rsidRPr="00997F82" w:rsidRDefault="00C06B39" w:rsidP="00C06B39">
      <w:pPr>
        <w:spacing w:before="240" w:after="120" w:line="281" w:lineRule="auto"/>
      </w:pPr>
      <w:r w:rsidRPr="00997F82">
        <w:t xml:space="preserve">With the expansion of the GCfAHPC Program to all 31 PHNs, a national evaluation of the measure was commissioned (the Evaluation). The aim of the Evaluation was to assess the impact of the Program on access to palliative care at home and in the community, and to inform the future direction of the Program and palliative care policies. </w:t>
      </w:r>
    </w:p>
    <w:p w14:paraId="5C5A52A8" w14:textId="4700A4B9" w:rsidR="00C06B39" w:rsidRPr="00997F82" w:rsidRDefault="00C06B39" w:rsidP="006805E3">
      <w:pPr>
        <w:spacing w:before="240" w:after="120" w:line="281" w:lineRule="auto"/>
      </w:pPr>
      <w:r w:rsidRPr="00997F82">
        <w:t>The scope of the Evaluation includes three tranches of data collection, analysis and reporting:</w:t>
      </w:r>
    </w:p>
    <w:p w14:paraId="1021DAD7" w14:textId="77777777" w:rsidR="00C06B39" w:rsidRPr="00997F82" w:rsidRDefault="00C06B39" w:rsidP="007770F3">
      <w:pPr>
        <w:pStyle w:val="ListNumber"/>
        <w:numPr>
          <w:ilvl w:val="0"/>
          <w:numId w:val="137"/>
        </w:numPr>
      </w:pPr>
      <w:r w:rsidRPr="00997F82">
        <w:t>Baseline (2023) – to identify progress of PHN activities as part of the Program, opportunities to better support implementation, and to establish a baseline of key indicators that will be used as a comparator at Midpoint, and Endpoint, to determine the impact of the Program in achieving outcomes.</w:t>
      </w:r>
    </w:p>
    <w:p w14:paraId="4436ACB5" w14:textId="77777777" w:rsidR="00C06B39" w:rsidRPr="00997F82" w:rsidRDefault="00C06B39" w:rsidP="007770F3">
      <w:pPr>
        <w:pStyle w:val="ListNumber"/>
      </w:pPr>
      <w:r w:rsidRPr="00997F82">
        <w:t>Midpoint (2024) – to understand the progress of PHN activities; analyse PHN activity progress since Baseline; and provide up to ten detailed case studies demonstrating earlier indicators of value and/or outcomes.</w:t>
      </w:r>
    </w:p>
    <w:p w14:paraId="738C326B" w14:textId="77777777" w:rsidR="00C06B39" w:rsidRPr="00997F82" w:rsidRDefault="00C06B39" w:rsidP="007770F3">
      <w:pPr>
        <w:pStyle w:val="ListNumber"/>
      </w:pPr>
      <w:r w:rsidRPr="00997F82">
        <w:t>Endpoint (2025) – to focus on impacts of the Program in achieving intended outcomes, and key insights to inform the future direction of the Program, and other palliative care policies and initiatives.</w:t>
      </w:r>
    </w:p>
    <w:p w14:paraId="7EA19CE7" w14:textId="4A0D7B3B" w:rsidR="00C06B39" w:rsidRPr="00997F82" w:rsidRDefault="00C06B39" w:rsidP="006805E3">
      <w:pPr>
        <w:kinsoku w:val="0"/>
        <w:overflowPunct w:val="0"/>
        <w:autoSpaceDE w:val="0"/>
        <w:autoSpaceDN w:val="0"/>
        <w:adjustRightInd w:val="0"/>
        <w:snapToGrid w:val="0"/>
        <w:spacing w:before="120" w:after="120" w:line="264" w:lineRule="auto"/>
      </w:pPr>
      <w:r w:rsidRPr="00997F82">
        <w:t>The following section outlines the data collection methodology used for the Endpoint evaluation, as well as the key evaluation artefacts (</w:t>
      </w:r>
      <w:proofErr w:type="spellStart"/>
      <w:r w:rsidRPr="00997F82">
        <w:t>i.e</w:t>
      </w:r>
      <w:proofErr w:type="spellEnd"/>
      <w:r w:rsidRPr="00997F82">
        <w:t xml:space="preserve"> Program Logic and Evaluation Lines of Enquiry).</w:t>
      </w:r>
    </w:p>
    <w:p w14:paraId="5CA22205" w14:textId="77777777" w:rsidR="00421181" w:rsidRPr="00997F82" w:rsidRDefault="00421181" w:rsidP="00277D66">
      <w:pPr>
        <w:pStyle w:val="Heading2nonumbers"/>
      </w:pPr>
      <w:bookmarkStart w:id="75" w:name="_Toc184110278"/>
      <w:bookmarkStart w:id="76" w:name="_Toc200486470"/>
      <w:r w:rsidRPr="00997F82">
        <w:t>Program Logic</w:t>
      </w:r>
      <w:bookmarkEnd w:id="75"/>
      <w:bookmarkEnd w:id="76"/>
    </w:p>
    <w:p w14:paraId="008C7B97" w14:textId="77777777" w:rsidR="00421181" w:rsidRPr="00997F82" w:rsidRDefault="00C06B39" w:rsidP="00421181">
      <w:pPr>
        <w:spacing w:before="240" w:after="120" w:line="281" w:lineRule="auto"/>
      </w:pPr>
      <w:r w:rsidRPr="00997F82">
        <w:t>A</w:t>
      </w:r>
      <w:r w:rsidR="00421181" w:rsidRPr="00997F82">
        <w:t xml:space="preserve"> Program Logic was developed at the outset of the GCfAHPC Evaluation in partnership with DHDA and has been refined over the course of a series of workshops and consultations with all 31 PHNs. The Program Logic comprises four key elements:</w:t>
      </w:r>
    </w:p>
    <w:p w14:paraId="44D3906C" w14:textId="77777777" w:rsidR="00421181" w:rsidRPr="00997F82" w:rsidRDefault="00421181" w:rsidP="007770F3">
      <w:pPr>
        <w:pStyle w:val="ListBullet"/>
      </w:pPr>
      <w:r w:rsidRPr="00997F82">
        <w:rPr>
          <w:b/>
          <w:bCs/>
        </w:rPr>
        <w:t>Objectives</w:t>
      </w:r>
      <w:r w:rsidRPr="00997F82">
        <w:t xml:space="preserve"> – what the program is intended to deliver and the outcomes it aims to achieve. </w:t>
      </w:r>
    </w:p>
    <w:p w14:paraId="03584EBD" w14:textId="77777777" w:rsidR="00421181" w:rsidRPr="00997F82" w:rsidRDefault="00421181" w:rsidP="007770F3">
      <w:pPr>
        <w:pStyle w:val="ListBullet"/>
      </w:pPr>
      <w:r w:rsidRPr="00997F82">
        <w:rPr>
          <w:b/>
          <w:bCs/>
        </w:rPr>
        <w:t>Inputs and activities</w:t>
      </w:r>
      <w:r w:rsidRPr="00997F82">
        <w:t xml:space="preserve"> – the range of resources, investments, actions and processes needed to deliver the Program. </w:t>
      </w:r>
    </w:p>
    <w:p w14:paraId="6DD1516B" w14:textId="77777777" w:rsidR="00421181" w:rsidRPr="00997F82" w:rsidRDefault="00421181" w:rsidP="007770F3">
      <w:pPr>
        <w:pStyle w:val="ListBullet"/>
      </w:pPr>
      <w:r w:rsidRPr="00997F82">
        <w:rPr>
          <w:b/>
          <w:bCs/>
        </w:rPr>
        <w:t>Outputs</w:t>
      </w:r>
      <w:r w:rsidRPr="00997F82">
        <w:t xml:space="preserve"> – the tangible products and processes generated </w:t>
      </w:r>
      <w:proofErr w:type="gramStart"/>
      <w:r w:rsidRPr="00997F82">
        <w:t>as a result of</w:t>
      </w:r>
      <w:proofErr w:type="gramEnd"/>
      <w:r w:rsidRPr="00997F82">
        <w:t xml:space="preserve"> the Program. </w:t>
      </w:r>
    </w:p>
    <w:p w14:paraId="122D6EE2" w14:textId="77777777" w:rsidR="00421181" w:rsidRPr="00997F82" w:rsidRDefault="00421181" w:rsidP="007770F3">
      <w:pPr>
        <w:pStyle w:val="ListBullet"/>
      </w:pPr>
      <w:r w:rsidRPr="00997F82">
        <w:rPr>
          <w:b/>
          <w:bCs/>
        </w:rPr>
        <w:t>Outcomes</w:t>
      </w:r>
      <w:r w:rsidRPr="00997F82">
        <w:t xml:space="preserve"> – the changes to knowledge, beliefs, behaviours, and to the system because of the Program. Outcomes are grouped into short, medium and long term. Subject to data quality and scope, outcomes can potentially also be assessed by population groups (e.g., individuals from culturally and linguistically diverse background).</w:t>
      </w:r>
    </w:p>
    <w:p w14:paraId="74039510" w14:textId="77777777" w:rsidR="00421181" w:rsidRPr="00997F82" w:rsidRDefault="00421181" w:rsidP="00421181">
      <w:pPr>
        <w:spacing w:line="240" w:lineRule="auto"/>
        <w:rPr>
          <w:color w:val="000000" w:themeColor="text1"/>
        </w:rPr>
      </w:pPr>
      <w:r w:rsidRPr="00997F82">
        <w:br w:type="page"/>
      </w:r>
    </w:p>
    <w:p w14:paraId="487A7329" w14:textId="77777777" w:rsidR="00421181" w:rsidRPr="00997F82" w:rsidRDefault="00421181" w:rsidP="00421181">
      <w:pPr>
        <w:spacing w:before="200" w:after="200"/>
        <w:rPr>
          <w:color w:val="000000" w:themeColor="text1"/>
        </w:rPr>
        <w:sectPr w:rsidR="00421181" w:rsidRPr="00997F82" w:rsidSect="00CD3728">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1440" w:right="1440" w:bottom="1440" w:left="1440" w:header="266" w:footer="851" w:gutter="0"/>
          <w:cols w:space="227"/>
          <w:docGrid w:linePitch="360"/>
        </w:sectPr>
      </w:pPr>
    </w:p>
    <w:p w14:paraId="1CA0B88C" w14:textId="6A206944" w:rsidR="00421181" w:rsidRPr="00997F82" w:rsidRDefault="00421181" w:rsidP="00FC7384">
      <w:pPr>
        <w:pStyle w:val="Caption"/>
      </w:pPr>
      <w:bookmarkStart w:id="77" w:name="_Ref181964481"/>
      <w:r w:rsidRPr="00997F82">
        <w:t xml:space="preserve">Figure </w:t>
      </w:r>
      <w:r w:rsidR="006558E4" w:rsidRPr="00997F82">
        <w:fldChar w:fldCharType="begin"/>
      </w:r>
      <w:r w:rsidR="006558E4" w:rsidRPr="00997F82">
        <w:instrText xml:space="preserve"> SEQ Figure \* ARABIC </w:instrText>
      </w:r>
      <w:r w:rsidR="006558E4" w:rsidRPr="00997F82">
        <w:fldChar w:fldCharType="separate"/>
      </w:r>
      <w:r w:rsidR="00735424">
        <w:rPr>
          <w:noProof/>
        </w:rPr>
        <w:t>13</w:t>
      </w:r>
      <w:r w:rsidR="006558E4" w:rsidRPr="00997F82">
        <w:fldChar w:fldCharType="end"/>
      </w:r>
      <w:bookmarkEnd w:id="77"/>
      <w:r w:rsidRPr="00997F82">
        <w:t>: GCfAHPC Program Logic</w:t>
      </w:r>
    </w:p>
    <w:p w14:paraId="5CD4A5BB" w14:textId="77777777" w:rsidR="00421181" w:rsidRPr="00997F82" w:rsidRDefault="00421181" w:rsidP="00421181">
      <w:pPr>
        <w:spacing w:line="240" w:lineRule="auto"/>
        <w:rPr>
          <w:u w:val="single"/>
        </w:rPr>
        <w:sectPr w:rsidR="00421181" w:rsidRPr="00997F82" w:rsidSect="00CD3728">
          <w:headerReference w:type="default" r:id="rId38"/>
          <w:pgSz w:w="16840" w:h="11907" w:orient="landscape" w:code="9"/>
          <w:pgMar w:top="1440" w:right="1440" w:bottom="1440" w:left="1440" w:header="266" w:footer="851" w:gutter="0"/>
          <w:cols w:space="567"/>
          <w:docGrid w:linePitch="360"/>
        </w:sectPr>
      </w:pPr>
      <w:r w:rsidRPr="00997F82">
        <w:rPr>
          <w:noProof/>
          <w:u w:val="single"/>
        </w:rPr>
        <w:drawing>
          <wp:inline distT="0" distB="0" distL="0" distR="0" wp14:anchorId="3B8E0AAD" wp14:editId="30BDC920">
            <wp:extent cx="9469631" cy="3971290"/>
            <wp:effectExtent l="0" t="0" r="4445" b="6350"/>
            <wp:docPr id="61051447" name="Picture 5" descr="Figure 13: GCAHPC Program Logic. This table outlines the program logic for GCAHPC across Evaluation Objectives, Inputs, Activities, Outputs, and Outcomes (Short-term, Medium-term, and Long-term).&#10;&#10;Evaluation Objectives:&#10;&#10;Improve access to palliative care at home and support end-of-life systems and services in primary care, community care, and after hours.&#10;&#10;Enable right care, at the right time, at the right place to reduce unnecessary hospitalisations.&#10;&#10;Use available technologies to support flexible and responsive palliative care at home, including in the after hours.&#10;&#10;Generate and use data to support continuous improvement of services across sectors.&#10;&#10;Inputs:&#10;&#10;Pilot evaluation and findings.&#10;&#10;Commonwealth funding for PHNs.&#10;&#10;Community stakeholder consultations (individuals, carers, clinical/non-clinical providers).&#10;&#10;Existing strategies, guidelines and frameworks.&#10;&#10;Existing evidence, tools, training and resources.&#10;&#10;Existing data sets and data collections tools.&#10;&#10;Activities:&#10;&#10;Understand needs and preferences of consumers, families and carers through consultations.&#10;&#10;Collate existing data and identify insights, gaps and duplication.&#10;&#10;Identify and map areas of strength and areas for development in end-of-life care and palliative care.&#10;&#10;Build community capability/capacity and/or awareness about end-of-life and palliative care and embed community engagement.&#10;&#10;Deliver education and training to meet the needs of the workforce and to build capacity.&#10;&#10;Develop communication processes across service providers, including how to access palliative care support and advice after-hours.&#10;&#10;Drive Continuous Quality Improvement processes to improve the quality of palliative and end-of-life care.&#10;&#10;Develop and implement models of care coordination that meet objectives.&#10;&#10;Outputs:&#10;&#10;Needs assessments.&#10;&#10;Service/system maps.&#10;&#10;Activity Work Plans.&#10;&#10;Education, training and awareness campaigns/resources.&#10;&#10;Documented referral pathways (existing/newly designed).&#10;&#10;Mechanisms for collaboration and integration between PHNs, the community and across service providers.&#10;&#10;New Models of Care, tools and resources.&#10;&#10;Outcomes:&#10;Short-term (&lt;1 year):&#10;&#10;Increased person/carer awareness of palliative care options (including ACP) and choices.&#10;&#10;Increased workforce knowledge of services and choices available for people.&#10;&#10;Increased workforce confidence and skills in providing services for people (including culturally appropriate services).&#10;&#10;Increase in flexible and responsive palliative care supported through use of available technologies.&#10;&#10;Increased awareness and acceptance of new approaches to data collection, sharing, reporting and use.&#10;&#10;Medium-term (1-3 years):&#10;&#10;Improved person/carer access and uptake of at-home and community-based palliative care options and services.&#10;&#10;Increased access to services (including culturally appropriate services).&#10;&#10;Increased completion of Advance Care Plans.&#10;&#10;Increased and consistent use of streamlined and appropriate referral pathways.&#10;&#10;Increased collaboration, coordination and integration across and between service providers.&#10;&#10;Improved collection, monitoring and reporting of palliative care data.&#10;&#10;Long-term (3+ years):&#10;&#10;Greater community acceptance that palliative and end-of-life care is a shared community responsibility.&#10;&#10;People/carers palliative care choices and needs increasingly being met.&#10;&#10;Family and carers have a greater knowledge of what to expect and are better prepared for the death of a family member (including bereavement).&#10;&#10;Acceptance and uptake of a core palliative care dataset supported by key 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1447" name="Picture 5" descr="Figure 13: GCAHPC Program Logic. This table outlines the program logic for GCAHPC across Evaluation Objectives, Inputs, Activities, Outputs, and Outcomes (Short-term, Medium-term, and Long-term).&#10;&#10;Evaluation Objectives:&#10;&#10;Improve access to palliative care at home and support end-of-life systems and services in primary care, community care, and after hours.&#10;&#10;Enable right care, at the right time, at the right place to reduce unnecessary hospitalisations.&#10;&#10;Use available technologies to support flexible and responsive palliative care at home, including in the after hours.&#10;&#10;Generate and use data to support continuous improvement of services across sectors.&#10;&#10;Inputs:&#10;&#10;Pilot evaluation and findings.&#10;&#10;Commonwealth funding for PHNs.&#10;&#10;Community stakeholder consultations (individuals, carers, clinical/non-clinical providers).&#10;&#10;Existing strategies, guidelines and frameworks.&#10;&#10;Existing evidence, tools, training and resources.&#10;&#10;Existing data sets and data collections tools.&#10;&#10;Activities:&#10;&#10;Understand needs and preferences of consumers, families and carers through consultations.&#10;&#10;Collate existing data and identify insights, gaps and duplication.&#10;&#10;Identify and map areas of strength and areas for development in end-of-life care and palliative care.&#10;&#10;Build community capability/capacity and/or awareness about end-of-life and palliative care and embed community engagement.&#10;&#10;Deliver education and training to meet the needs of the workforce and to build capacity.&#10;&#10;Develop communication processes across service providers, including how to access palliative care support and advice after-hours.&#10;&#10;Drive Continuous Quality Improvement processes to improve the quality of palliative and end-of-life care.&#10;&#10;Develop and implement models of care coordination that meet objectives.&#10;&#10;Outputs:&#10;&#10;Needs assessments.&#10;&#10;Service/system maps.&#10;&#10;Activity Work Plans.&#10;&#10;Education, training and awareness campaigns/resources.&#10;&#10;Documented referral pathways (existing/newly designed).&#10;&#10;Mechanisms for collaboration and integration between PHNs, the community and across service providers.&#10;&#10;New Models of Care, tools and resources.&#10;&#10;Outcomes:&#10;Short-term (&lt;1 year):&#10;&#10;Increased person/carer awareness of palliative care options (including ACP) and choices.&#10;&#10;Increased workforce knowledge of services and choices available for people.&#10;&#10;Increased workforce confidence and skills in providing services for people (including culturally appropriate services).&#10;&#10;Increase in flexible and responsive palliative care supported through use of available technologies.&#10;&#10;Increased awareness and acceptance of new approaches to data collection, sharing, reporting and use.&#10;&#10;Medium-term (1-3 years):&#10;&#10;Improved person/carer access and uptake of at-home and community-based palliative care options and services.&#10;&#10;Increased access to services (including culturally appropriate services).&#10;&#10;Increased completion of Advance Care Plans.&#10;&#10;Increased and consistent use of streamlined and appropriate referral pathways.&#10;&#10;Increased collaboration, coordination and integration across and between service providers.&#10;&#10;Improved collection, monitoring and reporting of palliative care data.&#10;&#10;Long-term (3+ years):&#10;&#10;Greater community acceptance that palliative and end-of-life care is a shared community responsibility.&#10;&#10;People/carers palliative care choices and needs increasingly being met.&#10;&#10;Family and carers have a greater knowledge of what to expect and are better prepared for the death of a family member (including bereavement).&#10;&#10;Acceptance and uptake of a core palliative care dataset supported by key partner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469631" cy="3971290"/>
                    </a:xfrm>
                    <a:prstGeom prst="rect">
                      <a:avLst/>
                    </a:prstGeom>
                    <a:noFill/>
                  </pic:spPr>
                </pic:pic>
              </a:graphicData>
            </a:graphic>
          </wp:inline>
        </w:drawing>
      </w:r>
    </w:p>
    <w:p w14:paraId="64E6CCB9" w14:textId="0FB9E131" w:rsidR="00421181" w:rsidRPr="00997F82" w:rsidRDefault="00C06B39" w:rsidP="00277D66">
      <w:pPr>
        <w:pStyle w:val="Heading2nonumbers"/>
      </w:pPr>
      <w:r w:rsidRPr="00997F82">
        <w:t>Endpoint evaluation Lines of Enquiry</w:t>
      </w:r>
    </w:p>
    <w:p w14:paraId="537E2E03" w14:textId="525EB1D5" w:rsidR="00C06B39" w:rsidRPr="00997F82" w:rsidRDefault="00C06B39" w:rsidP="00C06B39">
      <w:pPr>
        <w:spacing w:before="240" w:after="120" w:line="281" w:lineRule="auto"/>
      </w:pPr>
      <w:r w:rsidRPr="00997F82">
        <w:t>An evaluation framework was also developed at the outset of the GCfAHPC Evaluation in partnership with DHDA and was similarly refined over the course of a series of workshops and consultations with all 31 PHNs.</w:t>
      </w:r>
    </w:p>
    <w:p w14:paraId="4BC45A81" w14:textId="0FCFA3E7" w:rsidR="00C06B39" w:rsidRPr="00997F82" w:rsidRDefault="00C06B39" w:rsidP="00C06B39">
      <w:pPr>
        <w:spacing w:before="240" w:after="120" w:line="281" w:lineRule="auto"/>
      </w:pPr>
      <w:r w:rsidRPr="00997F82">
        <w:t xml:space="preserve">For the purposes of the Endpoint evaluation, lines of enquiry that focused on program delivery and operations that were explored during Baseline and Midpoint were excluded. This allowed for a concise assessment based on impact and outcomes. </w:t>
      </w:r>
    </w:p>
    <w:p w14:paraId="2F5E875D" w14:textId="5B04D058" w:rsidR="00421181" w:rsidRPr="00997F82" w:rsidRDefault="00421181" w:rsidP="00421181">
      <w:pPr>
        <w:spacing w:before="120" w:after="120" w:line="281" w:lineRule="auto"/>
      </w:pPr>
      <w:r w:rsidRPr="00997F82">
        <w:t xml:space="preserve">The </w:t>
      </w:r>
      <w:r w:rsidR="00C06B39" w:rsidRPr="00997F82">
        <w:t>Endpoint</w:t>
      </w:r>
      <w:r w:rsidRPr="00997F82">
        <w:t xml:space="preserve"> Evaluation was informed by </w:t>
      </w:r>
      <w:r w:rsidR="007275D2" w:rsidRPr="00997F82">
        <w:t>14</w:t>
      </w:r>
      <w:r w:rsidRPr="00997F82">
        <w:t xml:space="preserve"> </w:t>
      </w:r>
      <w:r w:rsidR="00C06B39" w:rsidRPr="00997F82">
        <w:t>lines of enquiry</w:t>
      </w:r>
      <w:r w:rsidRPr="00997F82">
        <w:t xml:space="preserve"> (</w:t>
      </w:r>
      <w:proofErr w:type="spellStart"/>
      <w:r w:rsidRPr="00997F82">
        <w:t>LoE</w:t>
      </w:r>
      <w:r w:rsidR="00C06B39" w:rsidRPr="00997F82">
        <w:t>s</w:t>
      </w:r>
      <w:proofErr w:type="spellEnd"/>
      <w:r w:rsidRPr="00997F82">
        <w:t xml:space="preserve">), as highlighted below. </w:t>
      </w:r>
    </w:p>
    <w:p w14:paraId="587BC33D" w14:textId="58F8FF95" w:rsidR="00421181" w:rsidRPr="00997F82" w:rsidRDefault="00421181" w:rsidP="00FC7384">
      <w:pPr>
        <w:pStyle w:val="Caption"/>
      </w:pPr>
      <w:bookmarkStart w:id="78" w:name="_Ref180509551"/>
      <w:r w:rsidRPr="00997F82">
        <w:t xml:space="preserve">Table </w:t>
      </w:r>
      <w:r w:rsidRPr="00997F82">
        <w:fldChar w:fldCharType="begin"/>
      </w:r>
      <w:r w:rsidRPr="00997F82">
        <w:instrText xml:space="preserve"> SEQ Table \* ARABIC </w:instrText>
      </w:r>
      <w:r w:rsidRPr="00997F82">
        <w:fldChar w:fldCharType="separate"/>
      </w:r>
      <w:r w:rsidR="00735424">
        <w:rPr>
          <w:noProof/>
        </w:rPr>
        <w:t>20</w:t>
      </w:r>
      <w:r w:rsidRPr="00997F82">
        <w:fldChar w:fldCharType="end"/>
      </w:r>
      <w:bookmarkEnd w:id="78"/>
      <w:r w:rsidRPr="00997F82">
        <w:t xml:space="preserve">: Lines of Enquiry </w:t>
      </w:r>
      <w:r w:rsidR="00C06B39" w:rsidRPr="00997F82">
        <w:t>for the Endpoint Eva</w:t>
      </w:r>
      <w:r w:rsidR="00311134" w:rsidRPr="00997F82">
        <w:t>luation</w:t>
      </w:r>
    </w:p>
    <w:tbl>
      <w:tblPr>
        <w:tblW w:w="9268" w:type="dxa"/>
        <w:tblCellSpacing w:w="15" w:type="dxa"/>
        <w:tblBorders>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9268"/>
      </w:tblGrid>
      <w:tr w:rsidR="009B68A1" w:rsidRPr="00997F82" w14:paraId="3D7909F6" w14:textId="77777777" w:rsidTr="006805E3">
        <w:trPr>
          <w:trHeight w:val="168"/>
          <w:tblHeader/>
          <w:tblCellSpacing w:w="15" w:type="dxa"/>
        </w:trPr>
        <w:tc>
          <w:tcPr>
            <w:tcW w:w="9208" w:type="dxa"/>
            <w:shd w:val="clear" w:color="auto" w:fill="220054" w:themeFill="accent1"/>
            <w:vAlign w:val="center"/>
            <w:hideMark/>
          </w:tcPr>
          <w:p w14:paraId="2F8AEFA4" w14:textId="77777777" w:rsidR="009B68A1" w:rsidRPr="00997F82" w:rsidRDefault="009B68A1" w:rsidP="002D0111">
            <w:pPr>
              <w:rPr>
                <w:rFonts w:asciiTheme="majorHAnsi" w:hAnsiTheme="majorHAnsi"/>
                <w:b/>
                <w:bCs/>
                <w:color w:val="auto"/>
              </w:rPr>
            </w:pPr>
            <w:r w:rsidRPr="00997F82">
              <w:rPr>
                <w:rFonts w:asciiTheme="majorHAnsi" w:hAnsiTheme="majorHAnsi"/>
                <w:b/>
                <w:bCs/>
                <w:color w:val="auto"/>
              </w:rPr>
              <w:t>Evaluation Line of Enquiry</w:t>
            </w:r>
          </w:p>
        </w:tc>
      </w:tr>
      <w:tr w:rsidR="009B68A1" w:rsidRPr="00997F82" w14:paraId="34028C47" w14:textId="77777777" w:rsidTr="006805E3">
        <w:trPr>
          <w:trHeight w:val="333"/>
          <w:tblCellSpacing w:w="15" w:type="dxa"/>
        </w:trPr>
        <w:tc>
          <w:tcPr>
            <w:tcW w:w="9208" w:type="dxa"/>
            <w:shd w:val="clear" w:color="auto" w:fill="E4D3FF" w:themeFill="accent1" w:themeFillTint="1A"/>
            <w:vAlign w:val="center"/>
          </w:tcPr>
          <w:p w14:paraId="240A2BD0" w14:textId="6FF346DE" w:rsidR="009B68A1" w:rsidRPr="00997F82" w:rsidRDefault="009B68A1" w:rsidP="002D0111">
            <w:pPr>
              <w:rPr>
                <w:b/>
                <w:bCs/>
              </w:rPr>
            </w:pPr>
            <w:r w:rsidRPr="00997F82">
              <w:rPr>
                <w:rFonts w:asciiTheme="majorHAnsi" w:hAnsiTheme="majorHAnsi"/>
                <w:color w:val="auto"/>
              </w:rPr>
              <w:t>Program design and delivery</w:t>
            </w:r>
          </w:p>
        </w:tc>
      </w:tr>
      <w:tr w:rsidR="009B68A1" w:rsidRPr="00997F82" w14:paraId="61E3D065" w14:textId="77777777" w:rsidTr="006805E3">
        <w:trPr>
          <w:trHeight w:val="52"/>
          <w:tblCellSpacing w:w="15" w:type="dxa"/>
        </w:trPr>
        <w:tc>
          <w:tcPr>
            <w:tcW w:w="9208" w:type="dxa"/>
            <w:vAlign w:val="center"/>
            <w:hideMark/>
          </w:tcPr>
          <w:p w14:paraId="60CC549C" w14:textId="77777777" w:rsidR="009B68A1" w:rsidRPr="00997F82" w:rsidRDefault="009B68A1" w:rsidP="007770F3">
            <w:pPr>
              <w:pStyle w:val="ListNumber2"/>
              <w:numPr>
                <w:ilvl w:val="0"/>
                <w:numId w:val="138"/>
              </w:numPr>
            </w:pPr>
            <w:r w:rsidRPr="00997F82">
              <w:t>How effective have governance arrangements been for implementing and achieving the objectives of the GCfAHPC Program?</w:t>
            </w:r>
          </w:p>
        </w:tc>
      </w:tr>
      <w:tr w:rsidR="009B68A1" w:rsidRPr="00997F82" w14:paraId="27B66540" w14:textId="77777777" w:rsidTr="006805E3">
        <w:trPr>
          <w:trHeight w:val="565"/>
          <w:tblCellSpacing w:w="15" w:type="dxa"/>
        </w:trPr>
        <w:tc>
          <w:tcPr>
            <w:tcW w:w="9208" w:type="dxa"/>
            <w:vAlign w:val="center"/>
            <w:hideMark/>
          </w:tcPr>
          <w:p w14:paraId="7BBE8E2D" w14:textId="77777777" w:rsidR="009B68A1" w:rsidRPr="00997F82" w:rsidRDefault="009B68A1" w:rsidP="007770F3">
            <w:pPr>
              <w:pStyle w:val="ListNumber2"/>
            </w:pPr>
            <w:r w:rsidRPr="00997F82">
              <w:t>To what extent do activities/initiatives implemented by PHNs align with Program objectives?</w:t>
            </w:r>
            <w:r w:rsidRPr="00997F82">
              <w:rPr>
                <w:rFonts w:ascii="Arial" w:hAnsi="Arial" w:cs="Arial"/>
              </w:rPr>
              <w:t> </w:t>
            </w:r>
          </w:p>
        </w:tc>
      </w:tr>
      <w:tr w:rsidR="009B68A1" w:rsidRPr="00997F82" w14:paraId="2131AEDB" w14:textId="77777777" w:rsidTr="006805E3">
        <w:trPr>
          <w:trHeight w:val="580"/>
          <w:tblCellSpacing w:w="15" w:type="dxa"/>
        </w:trPr>
        <w:tc>
          <w:tcPr>
            <w:tcW w:w="9208" w:type="dxa"/>
            <w:vAlign w:val="center"/>
            <w:hideMark/>
          </w:tcPr>
          <w:p w14:paraId="1B571EB8" w14:textId="77777777" w:rsidR="009B68A1" w:rsidRPr="00997F82" w:rsidRDefault="009B68A1" w:rsidP="007770F3">
            <w:pPr>
              <w:pStyle w:val="ListNumber2"/>
            </w:pPr>
            <w:r w:rsidRPr="00997F82">
              <w:t>How appropriate are PHN activities and initiatives in meeting the preferences and needs of individuals/carers/workforce?</w:t>
            </w:r>
            <w:r w:rsidRPr="00997F82">
              <w:rPr>
                <w:rFonts w:ascii="Arial" w:hAnsi="Arial" w:cs="Arial"/>
              </w:rPr>
              <w:t> </w:t>
            </w:r>
          </w:p>
        </w:tc>
      </w:tr>
      <w:tr w:rsidR="009B68A1" w:rsidRPr="00997F82" w14:paraId="72B7A581" w14:textId="77777777" w:rsidTr="006805E3">
        <w:trPr>
          <w:trHeight w:val="565"/>
          <w:tblCellSpacing w:w="15" w:type="dxa"/>
        </w:trPr>
        <w:tc>
          <w:tcPr>
            <w:tcW w:w="9208" w:type="dxa"/>
            <w:vAlign w:val="center"/>
            <w:hideMark/>
          </w:tcPr>
          <w:p w14:paraId="0A0DC4EE" w14:textId="77777777" w:rsidR="009B68A1" w:rsidRPr="00997F82" w:rsidRDefault="009B68A1" w:rsidP="007770F3">
            <w:pPr>
              <w:pStyle w:val="ListNumber2"/>
            </w:pPr>
            <w:r w:rsidRPr="00997F82">
              <w:t>Has the Program been implemented as planned (within PHNs, and nationally)?</w:t>
            </w:r>
          </w:p>
        </w:tc>
      </w:tr>
      <w:tr w:rsidR="009B68A1" w:rsidRPr="00997F82" w14:paraId="0459ACC2" w14:textId="77777777" w:rsidTr="006805E3">
        <w:trPr>
          <w:trHeight w:val="347"/>
          <w:tblCellSpacing w:w="15" w:type="dxa"/>
        </w:trPr>
        <w:tc>
          <w:tcPr>
            <w:tcW w:w="9208" w:type="dxa"/>
            <w:shd w:val="clear" w:color="auto" w:fill="E4D3FF" w:themeFill="accent1" w:themeFillTint="1A"/>
            <w:vAlign w:val="center"/>
          </w:tcPr>
          <w:p w14:paraId="33CB6099" w14:textId="0D8B4433" w:rsidR="009B68A1" w:rsidRPr="00997F82" w:rsidRDefault="009B68A1" w:rsidP="002D0111">
            <w:pPr>
              <w:rPr>
                <w:b/>
                <w:bCs/>
              </w:rPr>
            </w:pPr>
            <w:r w:rsidRPr="00997F82">
              <w:rPr>
                <w:rFonts w:asciiTheme="majorHAnsi" w:hAnsiTheme="majorHAnsi"/>
                <w:color w:val="auto"/>
              </w:rPr>
              <w:t xml:space="preserve">Provider experience </w:t>
            </w:r>
          </w:p>
        </w:tc>
      </w:tr>
      <w:tr w:rsidR="009B68A1" w:rsidRPr="00997F82" w14:paraId="135D7612" w14:textId="77777777" w:rsidTr="006805E3">
        <w:trPr>
          <w:trHeight w:val="580"/>
          <w:tblCellSpacing w:w="15" w:type="dxa"/>
        </w:trPr>
        <w:tc>
          <w:tcPr>
            <w:tcW w:w="9208" w:type="dxa"/>
            <w:vAlign w:val="center"/>
            <w:hideMark/>
          </w:tcPr>
          <w:p w14:paraId="7F4537FC" w14:textId="77777777" w:rsidR="009B68A1" w:rsidRPr="00997F82" w:rsidRDefault="009B68A1" w:rsidP="007770F3">
            <w:pPr>
              <w:pStyle w:val="ListNumber2"/>
            </w:pPr>
            <w:r w:rsidRPr="00997F82">
              <w:t>To what extent has the Program increased workforce knowledge and awareness of palliative care options and services available for individuals?</w:t>
            </w:r>
          </w:p>
        </w:tc>
      </w:tr>
      <w:tr w:rsidR="009B68A1" w:rsidRPr="00997F82" w14:paraId="3AECC18B" w14:textId="77777777" w:rsidTr="006805E3">
        <w:trPr>
          <w:trHeight w:val="565"/>
          <w:tblCellSpacing w:w="15" w:type="dxa"/>
        </w:trPr>
        <w:tc>
          <w:tcPr>
            <w:tcW w:w="9208" w:type="dxa"/>
            <w:vAlign w:val="center"/>
          </w:tcPr>
          <w:p w14:paraId="03875A46" w14:textId="77777777" w:rsidR="009B68A1" w:rsidRPr="00997F82" w:rsidRDefault="009B68A1" w:rsidP="007770F3">
            <w:pPr>
              <w:pStyle w:val="ListNumber2"/>
            </w:pPr>
            <w:r w:rsidRPr="00997F82">
              <w:t>To what extent has the Program increased workforce confidence and skills in providing palliative care services for individuals?</w:t>
            </w:r>
          </w:p>
        </w:tc>
      </w:tr>
      <w:tr w:rsidR="009B68A1" w:rsidRPr="00997F82" w14:paraId="01400E4D" w14:textId="77777777" w:rsidTr="006805E3">
        <w:trPr>
          <w:trHeight w:val="347"/>
          <w:tblCellSpacing w:w="15" w:type="dxa"/>
        </w:trPr>
        <w:tc>
          <w:tcPr>
            <w:tcW w:w="9208" w:type="dxa"/>
            <w:shd w:val="clear" w:color="auto" w:fill="E4D3FF" w:themeFill="accent1" w:themeFillTint="1A"/>
            <w:vAlign w:val="center"/>
          </w:tcPr>
          <w:p w14:paraId="703B8D6F" w14:textId="25D3AC4E" w:rsidR="009B68A1" w:rsidRPr="00997F82" w:rsidRDefault="009B68A1" w:rsidP="002D0111">
            <w:r w:rsidRPr="00997F82">
              <w:rPr>
                <w:rFonts w:asciiTheme="majorHAnsi" w:hAnsiTheme="majorHAnsi"/>
                <w:color w:val="auto"/>
              </w:rPr>
              <w:t xml:space="preserve">Patient experience </w:t>
            </w:r>
          </w:p>
        </w:tc>
      </w:tr>
      <w:tr w:rsidR="009B68A1" w:rsidRPr="00997F82" w14:paraId="2A775623" w14:textId="77777777" w:rsidTr="006805E3">
        <w:trPr>
          <w:trHeight w:val="565"/>
          <w:tblCellSpacing w:w="15" w:type="dxa"/>
        </w:trPr>
        <w:tc>
          <w:tcPr>
            <w:tcW w:w="9208" w:type="dxa"/>
            <w:vAlign w:val="center"/>
          </w:tcPr>
          <w:p w14:paraId="11714FB5" w14:textId="77777777" w:rsidR="009B68A1" w:rsidRPr="00997F82" w:rsidRDefault="009B68A1" w:rsidP="007770F3">
            <w:pPr>
              <w:pStyle w:val="ListNumber2"/>
            </w:pPr>
            <w:r w:rsidRPr="00997F82">
              <w:t>To what extent has awareness of palliative care in the community (including family and carers) increased?</w:t>
            </w:r>
          </w:p>
        </w:tc>
      </w:tr>
      <w:tr w:rsidR="009B68A1" w:rsidRPr="00997F82" w14:paraId="7524E537" w14:textId="77777777" w:rsidTr="006805E3">
        <w:trPr>
          <w:trHeight w:val="580"/>
          <w:tblCellSpacing w:w="15" w:type="dxa"/>
        </w:trPr>
        <w:tc>
          <w:tcPr>
            <w:tcW w:w="9208" w:type="dxa"/>
            <w:vAlign w:val="center"/>
          </w:tcPr>
          <w:p w14:paraId="3F3046E5" w14:textId="77777777" w:rsidR="009B68A1" w:rsidRPr="00997F82" w:rsidRDefault="009B68A1" w:rsidP="007770F3">
            <w:pPr>
              <w:pStyle w:val="ListNumber2"/>
            </w:pPr>
            <w:r w:rsidRPr="00997F82">
              <w:t>To what extent has the Program increased individual awareness of palliative care options and choices (including ACP)?</w:t>
            </w:r>
          </w:p>
        </w:tc>
      </w:tr>
      <w:tr w:rsidR="009B68A1" w:rsidRPr="00997F82" w14:paraId="290E4696" w14:textId="77777777" w:rsidTr="006805E3">
        <w:trPr>
          <w:trHeight w:val="347"/>
          <w:tblCellSpacing w:w="15" w:type="dxa"/>
        </w:trPr>
        <w:tc>
          <w:tcPr>
            <w:tcW w:w="9208" w:type="dxa"/>
            <w:shd w:val="clear" w:color="auto" w:fill="E4D3FF" w:themeFill="accent1" w:themeFillTint="1A"/>
            <w:vAlign w:val="center"/>
          </w:tcPr>
          <w:p w14:paraId="25D34B21" w14:textId="0C305CAE" w:rsidR="009B68A1" w:rsidRPr="00997F82" w:rsidRDefault="009B68A1" w:rsidP="002D0111">
            <w:pPr>
              <w:rPr>
                <w:rFonts w:asciiTheme="majorHAnsi" w:hAnsiTheme="majorHAnsi"/>
              </w:rPr>
            </w:pPr>
            <w:r w:rsidRPr="00997F82">
              <w:rPr>
                <w:rFonts w:asciiTheme="majorHAnsi" w:hAnsiTheme="majorHAnsi"/>
                <w:color w:val="auto"/>
              </w:rPr>
              <w:t xml:space="preserve">Population Health </w:t>
            </w:r>
          </w:p>
        </w:tc>
      </w:tr>
      <w:tr w:rsidR="009B68A1" w:rsidRPr="00997F82" w14:paraId="341D3C54" w14:textId="77777777" w:rsidTr="006805E3">
        <w:trPr>
          <w:trHeight w:val="565"/>
          <w:tblCellSpacing w:w="15" w:type="dxa"/>
        </w:trPr>
        <w:tc>
          <w:tcPr>
            <w:tcW w:w="9208" w:type="dxa"/>
            <w:vAlign w:val="center"/>
          </w:tcPr>
          <w:p w14:paraId="23B69EE4" w14:textId="77777777" w:rsidR="009B68A1" w:rsidRPr="00997F82" w:rsidRDefault="009B68A1" w:rsidP="007770F3">
            <w:pPr>
              <w:pStyle w:val="ListNumber2"/>
            </w:pPr>
            <w:r w:rsidRPr="00997F82">
              <w:t>To what extent has the Program generated and used data to support continuous improvement of services across sectors?</w:t>
            </w:r>
            <w:r w:rsidRPr="00997F82">
              <w:rPr>
                <w:rFonts w:ascii="Arial" w:hAnsi="Arial" w:cs="Arial"/>
              </w:rPr>
              <w:t> </w:t>
            </w:r>
          </w:p>
        </w:tc>
      </w:tr>
      <w:tr w:rsidR="009B68A1" w:rsidRPr="00997F82" w14:paraId="0A18AAF4" w14:textId="77777777" w:rsidTr="006805E3">
        <w:trPr>
          <w:trHeight w:val="565"/>
          <w:tblCellSpacing w:w="15" w:type="dxa"/>
        </w:trPr>
        <w:tc>
          <w:tcPr>
            <w:tcW w:w="9208" w:type="dxa"/>
            <w:vAlign w:val="center"/>
          </w:tcPr>
          <w:p w14:paraId="60A03F5A" w14:textId="77777777" w:rsidR="009B68A1" w:rsidRPr="00997F82" w:rsidRDefault="009B68A1" w:rsidP="007770F3">
            <w:pPr>
              <w:pStyle w:val="ListNumber2"/>
            </w:pPr>
            <w:r w:rsidRPr="00997F82">
              <w:t>To what extent are services coordinated, integrated, and provide continuity of palliative care?</w:t>
            </w:r>
            <w:r w:rsidRPr="00997F82">
              <w:rPr>
                <w:rFonts w:ascii="Arial" w:hAnsi="Arial" w:cs="Arial"/>
              </w:rPr>
              <w:t> </w:t>
            </w:r>
          </w:p>
        </w:tc>
      </w:tr>
      <w:tr w:rsidR="009B68A1" w:rsidRPr="00997F82" w14:paraId="5D218766" w14:textId="77777777" w:rsidTr="006805E3">
        <w:trPr>
          <w:trHeight w:val="580"/>
          <w:tblCellSpacing w:w="15" w:type="dxa"/>
        </w:trPr>
        <w:tc>
          <w:tcPr>
            <w:tcW w:w="9208" w:type="dxa"/>
            <w:vAlign w:val="center"/>
          </w:tcPr>
          <w:p w14:paraId="6F63098F" w14:textId="77777777" w:rsidR="009B68A1" w:rsidRPr="00997F82" w:rsidRDefault="009B68A1" w:rsidP="007770F3">
            <w:pPr>
              <w:pStyle w:val="ListNumber2"/>
            </w:pPr>
            <w:r w:rsidRPr="00997F82">
              <w:t>To what extent has the Program enabled appropriate palliative care in the home and community, and reduced preventable hospitalisations?</w:t>
            </w:r>
            <w:r w:rsidRPr="00997F82">
              <w:rPr>
                <w:rFonts w:ascii="Arial" w:hAnsi="Arial" w:cs="Arial"/>
              </w:rPr>
              <w:t> </w:t>
            </w:r>
          </w:p>
        </w:tc>
      </w:tr>
      <w:tr w:rsidR="009B68A1" w:rsidRPr="00997F82" w14:paraId="3B49122A" w14:textId="77777777" w:rsidTr="006805E3">
        <w:trPr>
          <w:trHeight w:val="347"/>
          <w:tblCellSpacing w:w="15" w:type="dxa"/>
        </w:trPr>
        <w:tc>
          <w:tcPr>
            <w:tcW w:w="9208" w:type="dxa"/>
            <w:shd w:val="clear" w:color="auto" w:fill="E4D3FF" w:themeFill="accent1" w:themeFillTint="1A"/>
            <w:vAlign w:val="center"/>
          </w:tcPr>
          <w:p w14:paraId="63AA2433" w14:textId="35397A5C" w:rsidR="009B68A1" w:rsidRPr="00997F82" w:rsidRDefault="009B68A1" w:rsidP="002D0111">
            <w:pPr>
              <w:rPr>
                <w:b/>
                <w:bCs/>
              </w:rPr>
            </w:pPr>
            <w:r w:rsidRPr="00997F82">
              <w:rPr>
                <w:rFonts w:asciiTheme="majorHAnsi" w:hAnsiTheme="majorHAnsi"/>
                <w:color w:val="auto"/>
              </w:rPr>
              <w:t xml:space="preserve">Health Equity </w:t>
            </w:r>
          </w:p>
        </w:tc>
      </w:tr>
      <w:tr w:rsidR="009B68A1" w:rsidRPr="00997F82" w14:paraId="65C40267" w14:textId="77777777" w:rsidTr="006805E3">
        <w:trPr>
          <w:trHeight w:val="565"/>
          <w:tblCellSpacing w:w="15" w:type="dxa"/>
        </w:trPr>
        <w:tc>
          <w:tcPr>
            <w:tcW w:w="9208" w:type="dxa"/>
            <w:vAlign w:val="center"/>
          </w:tcPr>
          <w:p w14:paraId="7D4AAC79" w14:textId="77777777" w:rsidR="009B68A1" w:rsidRPr="00997F82" w:rsidRDefault="009B68A1" w:rsidP="007770F3">
            <w:pPr>
              <w:pStyle w:val="ListNumber2"/>
            </w:pPr>
            <w:r w:rsidRPr="00997F82">
              <w:t>To what extent has the Program improved access to palliative care at home and in the community?</w:t>
            </w:r>
          </w:p>
        </w:tc>
      </w:tr>
      <w:tr w:rsidR="009B68A1" w:rsidRPr="00997F82" w14:paraId="2D6595A1" w14:textId="77777777" w:rsidTr="006805E3">
        <w:trPr>
          <w:trHeight w:val="580"/>
          <w:tblCellSpacing w:w="15" w:type="dxa"/>
        </w:trPr>
        <w:tc>
          <w:tcPr>
            <w:tcW w:w="9208" w:type="dxa"/>
            <w:vAlign w:val="center"/>
          </w:tcPr>
          <w:p w14:paraId="2B9D17DD" w14:textId="77777777" w:rsidR="009B68A1" w:rsidRPr="00997F82" w:rsidRDefault="009B68A1" w:rsidP="007770F3">
            <w:pPr>
              <w:pStyle w:val="ListNumber2"/>
            </w:pPr>
            <w:r w:rsidRPr="00997F82">
              <w:t>How appropriate is the Program at meeting needs and preferences of families, individuals, and carers?</w:t>
            </w:r>
          </w:p>
        </w:tc>
      </w:tr>
      <w:tr w:rsidR="009B68A1" w:rsidRPr="00997F82" w14:paraId="3FDAE00E" w14:textId="77777777" w:rsidTr="006805E3">
        <w:trPr>
          <w:trHeight w:val="333"/>
          <w:tblCellSpacing w:w="15" w:type="dxa"/>
        </w:trPr>
        <w:tc>
          <w:tcPr>
            <w:tcW w:w="9208" w:type="dxa"/>
            <w:shd w:val="clear" w:color="auto" w:fill="E4D3FF" w:themeFill="accent1" w:themeFillTint="1A"/>
            <w:vAlign w:val="center"/>
          </w:tcPr>
          <w:p w14:paraId="4A1B348A" w14:textId="39DCAD78" w:rsidR="009B68A1" w:rsidRPr="00997F82" w:rsidRDefault="009B68A1" w:rsidP="002D0111">
            <w:pPr>
              <w:rPr>
                <w:b/>
                <w:bCs/>
              </w:rPr>
            </w:pPr>
            <w:r w:rsidRPr="00997F82">
              <w:rPr>
                <w:rFonts w:asciiTheme="majorHAnsi" w:hAnsiTheme="majorHAnsi"/>
                <w:color w:val="auto"/>
              </w:rPr>
              <w:t xml:space="preserve">Lower cost of care </w:t>
            </w:r>
          </w:p>
        </w:tc>
      </w:tr>
      <w:tr w:rsidR="009B68A1" w:rsidRPr="00997F82" w14:paraId="36A991AD" w14:textId="77777777" w:rsidTr="006805E3">
        <w:trPr>
          <w:trHeight w:val="543"/>
          <w:tblCellSpacing w:w="15" w:type="dxa"/>
        </w:trPr>
        <w:tc>
          <w:tcPr>
            <w:tcW w:w="9208" w:type="dxa"/>
            <w:vAlign w:val="center"/>
          </w:tcPr>
          <w:p w14:paraId="4AD25061" w14:textId="77777777" w:rsidR="009B68A1" w:rsidRPr="00997F82" w:rsidRDefault="009B68A1" w:rsidP="007770F3">
            <w:pPr>
              <w:pStyle w:val="ListNumber2"/>
            </w:pPr>
            <w:r w:rsidRPr="00997F82">
              <w:t>How cost-effective is the Program?</w:t>
            </w:r>
          </w:p>
        </w:tc>
      </w:tr>
    </w:tbl>
    <w:p w14:paraId="21E1E1B1" w14:textId="22365A31" w:rsidR="00421181" w:rsidRPr="00997F82" w:rsidRDefault="00311134" w:rsidP="00277D66">
      <w:pPr>
        <w:pStyle w:val="Heading2nonumbers"/>
      </w:pPr>
      <w:bookmarkStart w:id="79" w:name="_Ref175158962"/>
      <w:bookmarkStart w:id="80" w:name="_Toc181141347"/>
      <w:bookmarkStart w:id="81" w:name="_Toc184110280"/>
      <w:bookmarkStart w:id="82" w:name="_Toc200486472"/>
      <w:r w:rsidRPr="00997F82">
        <w:t>Endpoint</w:t>
      </w:r>
      <w:r w:rsidR="00421181" w:rsidRPr="00997F82">
        <w:t xml:space="preserve"> Methodology</w:t>
      </w:r>
      <w:bookmarkEnd w:id="79"/>
      <w:bookmarkEnd w:id="80"/>
      <w:bookmarkEnd w:id="81"/>
      <w:bookmarkEnd w:id="82"/>
    </w:p>
    <w:p w14:paraId="719BF7D3" w14:textId="73E1129E" w:rsidR="00421181" w:rsidRPr="00997F82" w:rsidRDefault="00311134" w:rsidP="00421181">
      <w:pPr>
        <w:spacing w:before="120"/>
        <w:contextualSpacing/>
      </w:pPr>
      <w:r w:rsidRPr="00997F82">
        <w:t xml:space="preserve">Active </w:t>
      </w:r>
      <w:r w:rsidR="00421181" w:rsidRPr="00997F82">
        <w:t xml:space="preserve">data collection for the </w:t>
      </w:r>
      <w:r w:rsidRPr="00997F82">
        <w:t>Endpoint evaluation</w:t>
      </w:r>
      <w:r w:rsidR="00421181" w:rsidRPr="00997F82">
        <w:t xml:space="preserve"> was conducted between June and </w:t>
      </w:r>
      <w:r w:rsidRPr="00997F82">
        <w:t>September 2025 however this also included a cumulation of all data received from 2023 - 2025</w:t>
      </w:r>
      <w:r w:rsidR="00421181" w:rsidRPr="00997F82">
        <w:t xml:space="preserve">. </w:t>
      </w:r>
      <w:r w:rsidRPr="00997F82">
        <w:t>T</w:t>
      </w:r>
      <w:r w:rsidR="00421181" w:rsidRPr="00997F82">
        <w:t>he following data was collected and analysed:</w:t>
      </w:r>
    </w:p>
    <w:p w14:paraId="077F4028" w14:textId="0A9421C1" w:rsidR="00421181" w:rsidRPr="00997F82" w:rsidRDefault="00421181" w:rsidP="007770F3">
      <w:pPr>
        <w:pStyle w:val="ListBullet"/>
      </w:pPr>
      <w:r w:rsidRPr="00997F82">
        <w:t xml:space="preserve">Materials submitted from PHNs including, but not limited to, program documentation, progress reports, post-event survey results, event attendance / participation data, </w:t>
      </w:r>
      <w:r w:rsidR="00311134" w:rsidRPr="00997F82">
        <w:t>etc.</w:t>
      </w:r>
      <w:r w:rsidRPr="00997F82">
        <w:t>, relating to activities.</w:t>
      </w:r>
    </w:p>
    <w:p w14:paraId="37CD0497" w14:textId="5DA213A9" w:rsidR="00421181" w:rsidRPr="00997F82" w:rsidRDefault="00421181" w:rsidP="007770F3">
      <w:pPr>
        <w:pStyle w:val="ListBullet"/>
      </w:pPr>
      <w:r w:rsidRPr="00997F82">
        <w:t>Data provided by the Statewide Office of Advance Care Planning (Queensland)</w:t>
      </w:r>
      <w:r w:rsidR="00311134" w:rsidRPr="00997F82">
        <w:t>, AIHW and PCOC</w:t>
      </w:r>
      <w:r w:rsidRPr="00997F82">
        <w:t>.</w:t>
      </w:r>
    </w:p>
    <w:p w14:paraId="0A8BA16E" w14:textId="6018C129" w:rsidR="00E84723" w:rsidRPr="00997F82" w:rsidRDefault="00E84723" w:rsidP="007770F3">
      <w:pPr>
        <w:pStyle w:val="ListBullet"/>
      </w:pPr>
      <w:r w:rsidRPr="00997F82">
        <w:t>Surveys distributed to PHNs and service providers.</w:t>
      </w:r>
    </w:p>
    <w:p w14:paraId="4F35E853" w14:textId="206E64D7" w:rsidR="00421181" w:rsidRPr="00997F82" w:rsidRDefault="00311134" w:rsidP="007770F3">
      <w:pPr>
        <w:pStyle w:val="ListBullet"/>
      </w:pPr>
      <w:r w:rsidRPr="00997F82">
        <w:t>Four</w:t>
      </w:r>
      <w:r w:rsidR="00421181" w:rsidRPr="00997F82">
        <w:t xml:space="preserve"> focus groups, each with </w:t>
      </w:r>
      <w:r w:rsidRPr="00997F82">
        <w:t>10</w:t>
      </w:r>
      <w:r w:rsidR="00903656" w:rsidRPr="00997F82">
        <w:t xml:space="preserve"> </w:t>
      </w:r>
      <w:r w:rsidRPr="00997F82">
        <w:t>-</w:t>
      </w:r>
      <w:r w:rsidR="00903656" w:rsidRPr="00997F82">
        <w:t xml:space="preserve"> </w:t>
      </w:r>
      <w:r w:rsidRPr="00997F82">
        <w:t>15 PHNs</w:t>
      </w:r>
      <w:r w:rsidR="00421181" w:rsidRPr="00997F82">
        <w:t xml:space="preserve"> to discuss progress and outcomes.</w:t>
      </w:r>
    </w:p>
    <w:p w14:paraId="2A43ED8B" w14:textId="22D05100" w:rsidR="00311134" w:rsidRPr="00997F82" w:rsidRDefault="00903656" w:rsidP="007770F3">
      <w:pPr>
        <w:pStyle w:val="ListBullet"/>
      </w:pPr>
      <w:r w:rsidRPr="00997F82">
        <w:t>14</w:t>
      </w:r>
      <w:r w:rsidR="00311134" w:rsidRPr="00997F82">
        <w:t xml:space="preserve"> focus groups, each with 1 </w:t>
      </w:r>
      <w:r w:rsidR="00E84723" w:rsidRPr="00997F82">
        <w:t>–</w:t>
      </w:r>
      <w:r w:rsidR="00311134" w:rsidRPr="00997F82">
        <w:t xml:space="preserve"> </w:t>
      </w:r>
      <w:r w:rsidRPr="00997F82">
        <w:t xml:space="preserve">5 </w:t>
      </w:r>
      <w:r w:rsidR="00E84723" w:rsidRPr="00997F82">
        <w:t>service provider representative</w:t>
      </w:r>
      <w:r w:rsidRPr="00997F82">
        <w:t xml:space="preserve">s </w:t>
      </w:r>
      <w:r w:rsidR="00E84723" w:rsidRPr="00997F82">
        <w:t>who had engaged in PHN activities, to discuss on the ground impact and implementation.</w:t>
      </w:r>
    </w:p>
    <w:p w14:paraId="4BD337ED" w14:textId="21CF012A" w:rsidR="00421181" w:rsidRPr="00997F82" w:rsidRDefault="00421181" w:rsidP="00421181">
      <w:pPr>
        <w:spacing w:before="200"/>
        <w:rPr>
          <w:color w:val="000000" w:themeColor="text1"/>
        </w:rPr>
      </w:pPr>
      <w:r w:rsidRPr="00997F82">
        <w:t>Data collected from PHNs can be categorised into two types (</w:t>
      </w:r>
      <w:r w:rsidR="00EF6FFD" w:rsidRPr="00997F82">
        <w:fldChar w:fldCharType="begin"/>
      </w:r>
      <w:r w:rsidR="00EF6FFD" w:rsidRPr="00997F82">
        <w:instrText xml:space="preserve"> REF _Ref210381640 \h </w:instrText>
      </w:r>
      <w:r w:rsidR="00997F82">
        <w:instrText xml:space="preserve"> \* MERGEFORMAT </w:instrText>
      </w:r>
      <w:r w:rsidR="00EF6FFD" w:rsidRPr="00997F82">
        <w:fldChar w:fldCharType="separate"/>
      </w:r>
      <w:r w:rsidR="00735424" w:rsidRPr="00997F82">
        <w:rPr>
          <w:bCs/>
          <w:color w:val="44546A" w:themeColor="text2"/>
        </w:rPr>
        <w:t xml:space="preserve">Table </w:t>
      </w:r>
      <w:r w:rsidR="00735424">
        <w:rPr>
          <w:bCs/>
          <w:color w:val="44546A" w:themeColor="text2"/>
        </w:rPr>
        <w:t>21</w:t>
      </w:r>
      <w:r w:rsidR="00EF6FFD" w:rsidRPr="00997F82">
        <w:fldChar w:fldCharType="end"/>
      </w:r>
      <w:r w:rsidRPr="00997F82">
        <w:rPr>
          <w:color w:val="000000" w:themeColor="text1"/>
        </w:rPr>
        <w:t xml:space="preserve">): </w:t>
      </w:r>
    </w:p>
    <w:p w14:paraId="011553D9" w14:textId="77777777" w:rsidR="00421181" w:rsidRPr="007770F3" w:rsidRDefault="00421181" w:rsidP="007770F3">
      <w:pPr>
        <w:pStyle w:val="ListBullet"/>
      </w:pPr>
      <w:r w:rsidRPr="00997F82">
        <w:rPr>
          <w:b/>
          <w:bCs/>
        </w:rPr>
        <w:t>Core datasets and tools</w:t>
      </w:r>
      <w:r w:rsidRPr="00997F82">
        <w:t>, i.e. those that apply and will be collected across all or a large proportion of PHNs.</w:t>
      </w:r>
      <w:r w:rsidRPr="00997F82">
        <w:rPr>
          <w:b/>
          <w:bCs/>
        </w:rPr>
        <w:t xml:space="preserve"> </w:t>
      </w:r>
    </w:p>
    <w:p w14:paraId="2A3E49A8" w14:textId="77777777" w:rsidR="00421181" w:rsidRPr="00997F82" w:rsidRDefault="00421181" w:rsidP="007770F3">
      <w:pPr>
        <w:pStyle w:val="ListBullet"/>
      </w:pPr>
      <w:r w:rsidRPr="00997F82">
        <w:rPr>
          <w:b/>
          <w:bCs/>
        </w:rPr>
        <w:t>Supplementary datasets and tools</w:t>
      </w:r>
      <w:r w:rsidRPr="00997F82">
        <w:t>, i.e. those that may apply or be collected by some PHNs, depending on activities and local context.</w:t>
      </w:r>
    </w:p>
    <w:p w14:paraId="329C70C0" w14:textId="77777777" w:rsidR="00421181" w:rsidRPr="00997F82" w:rsidRDefault="00421181" w:rsidP="00421181">
      <w:pPr>
        <w:spacing w:line="240" w:lineRule="auto"/>
        <w:rPr>
          <w:bCs/>
          <w:color w:val="44546A" w:themeColor="text2"/>
        </w:rPr>
      </w:pPr>
      <w:bookmarkStart w:id="83" w:name="_Ref180511571"/>
      <w:bookmarkStart w:id="84" w:name="_Ref180595497"/>
      <w:r w:rsidRPr="00997F82">
        <w:rPr>
          <w:bCs/>
          <w:color w:val="44546A" w:themeColor="text2"/>
        </w:rPr>
        <w:br w:type="page"/>
      </w:r>
    </w:p>
    <w:p w14:paraId="369E3600" w14:textId="35D8624F" w:rsidR="00421181" w:rsidRPr="00997F82" w:rsidRDefault="00421181" w:rsidP="00421181">
      <w:pPr>
        <w:keepNext/>
        <w:keepLines/>
        <w:tabs>
          <w:tab w:val="left" w:pos="992"/>
        </w:tabs>
        <w:spacing w:before="200" w:after="120"/>
        <w:rPr>
          <w:bCs/>
          <w:color w:val="44546A" w:themeColor="text2"/>
        </w:rPr>
      </w:pPr>
      <w:bookmarkStart w:id="85" w:name="_Ref210381640"/>
      <w:r w:rsidRPr="00997F82">
        <w:rPr>
          <w:bCs/>
          <w:color w:val="44546A" w:themeColor="text2"/>
        </w:rPr>
        <w:t xml:space="preserve">Table </w:t>
      </w:r>
      <w:r w:rsidRPr="00997F82">
        <w:rPr>
          <w:bCs/>
          <w:color w:val="44546A" w:themeColor="text2"/>
        </w:rPr>
        <w:fldChar w:fldCharType="begin"/>
      </w:r>
      <w:r w:rsidRPr="00997F82">
        <w:rPr>
          <w:bCs/>
          <w:color w:val="44546A" w:themeColor="text2"/>
        </w:rPr>
        <w:instrText xml:space="preserve"> SEQ Table \* ARABIC </w:instrText>
      </w:r>
      <w:r w:rsidRPr="00997F82">
        <w:rPr>
          <w:bCs/>
          <w:color w:val="44546A" w:themeColor="text2"/>
        </w:rPr>
        <w:fldChar w:fldCharType="separate"/>
      </w:r>
      <w:r w:rsidR="00735424">
        <w:rPr>
          <w:bCs/>
          <w:noProof/>
          <w:color w:val="44546A" w:themeColor="text2"/>
        </w:rPr>
        <w:t>21</w:t>
      </w:r>
      <w:r w:rsidRPr="00997F82">
        <w:rPr>
          <w:bCs/>
          <w:color w:val="44546A" w:themeColor="text2"/>
        </w:rPr>
        <w:fldChar w:fldCharType="end"/>
      </w:r>
      <w:bookmarkEnd w:id="83"/>
      <w:bookmarkEnd w:id="85"/>
      <w:r w:rsidRPr="00997F82">
        <w:rPr>
          <w:bCs/>
          <w:color w:val="44546A" w:themeColor="text2"/>
        </w:rPr>
        <w:t>: Evaluation data collection approach overview</w:t>
      </w:r>
      <w:bookmarkEnd w:id="84"/>
    </w:p>
    <w:tbl>
      <w:tblPr>
        <w:tblStyle w:val="TableGrid"/>
        <w:tblW w:w="9919" w:type="dxa"/>
        <w:jc w:val="center"/>
        <w:tblLayout w:type="fixed"/>
        <w:tblLook w:val="04A0" w:firstRow="1" w:lastRow="0" w:firstColumn="1" w:lastColumn="0" w:noHBand="0" w:noVBand="1"/>
      </w:tblPr>
      <w:tblGrid>
        <w:gridCol w:w="851"/>
        <w:gridCol w:w="2268"/>
        <w:gridCol w:w="6800"/>
      </w:tblGrid>
      <w:tr w:rsidR="006805E3" w:rsidRPr="00997F82" w14:paraId="4D3C6F59" w14:textId="77777777" w:rsidTr="006805E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left w:val="nil"/>
            </w:tcBorders>
            <w:shd w:val="clear" w:color="auto" w:fill="FFFFFF" w:themeFill="background1"/>
          </w:tcPr>
          <w:p w14:paraId="529E43CF" w14:textId="77777777" w:rsidR="00421181" w:rsidRPr="00997F82" w:rsidRDefault="00421181" w:rsidP="002D0111">
            <w:pPr>
              <w:jc w:val="center"/>
              <w:rPr>
                <w:color w:val="000000" w:themeColor="text1"/>
              </w:rPr>
            </w:pPr>
          </w:p>
        </w:tc>
        <w:tc>
          <w:tcPr>
            <w:tcW w:w="2268" w:type="dxa"/>
            <w:shd w:val="clear" w:color="auto" w:fill="220054" w:themeFill="accent1"/>
          </w:tcPr>
          <w:p w14:paraId="1C9C343E" w14:textId="77777777" w:rsidR="00421181" w:rsidRPr="00997F82" w:rsidRDefault="00421181" w:rsidP="002D0111">
            <w:pPr>
              <w:jc w:val="center"/>
              <w:cnfStyle w:val="100000000000" w:firstRow="1" w:lastRow="0" w:firstColumn="0" w:lastColumn="0" w:oddVBand="0" w:evenVBand="0" w:oddHBand="0" w:evenHBand="0" w:firstRowFirstColumn="0" w:firstRowLastColumn="0" w:lastRowFirstColumn="0" w:lastRowLastColumn="0"/>
              <w:rPr>
                <w:b/>
                <w:bCs/>
                <w:color w:val="FFFFFF" w:themeColor="background1"/>
              </w:rPr>
            </w:pPr>
            <w:r w:rsidRPr="00997F82">
              <w:rPr>
                <w:b/>
                <w:bCs/>
                <w:color w:val="FFFFFF" w:themeColor="background1"/>
              </w:rPr>
              <w:t>Data source</w:t>
            </w:r>
          </w:p>
        </w:tc>
        <w:tc>
          <w:tcPr>
            <w:tcW w:w="6800" w:type="dxa"/>
            <w:shd w:val="clear" w:color="auto" w:fill="220054" w:themeFill="accent1"/>
          </w:tcPr>
          <w:p w14:paraId="2F8CF269" w14:textId="77777777" w:rsidR="00421181" w:rsidRPr="00997F82" w:rsidRDefault="00421181" w:rsidP="002D0111">
            <w:pPr>
              <w:jc w:val="center"/>
              <w:cnfStyle w:val="100000000000" w:firstRow="1" w:lastRow="0" w:firstColumn="0" w:lastColumn="0" w:oddVBand="0" w:evenVBand="0" w:oddHBand="0" w:evenHBand="0" w:firstRowFirstColumn="0" w:firstRowLastColumn="0" w:lastRowFirstColumn="0" w:lastRowLastColumn="0"/>
              <w:rPr>
                <w:b/>
                <w:bCs/>
                <w:color w:val="FFFFFF" w:themeColor="background1"/>
              </w:rPr>
            </w:pPr>
            <w:r w:rsidRPr="00997F82">
              <w:rPr>
                <w:b/>
                <w:bCs/>
                <w:color w:val="FFFFFF" w:themeColor="background1"/>
              </w:rPr>
              <w:t>Description</w:t>
            </w:r>
          </w:p>
        </w:tc>
      </w:tr>
      <w:tr w:rsidR="009255FB" w:rsidRPr="00997F82" w14:paraId="643C6BAA"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220054" w:themeFill="accent1"/>
            <w:textDirection w:val="btLr"/>
          </w:tcPr>
          <w:p w14:paraId="228894EE" w14:textId="77777777" w:rsidR="00421181" w:rsidRPr="00997F82" w:rsidRDefault="00421181" w:rsidP="002D0111">
            <w:pPr>
              <w:jc w:val="center"/>
              <w:rPr>
                <w:b/>
                <w:bCs/>
                <w:color w:val="FFFFFF" w:themeColor="background1"/>
              </w:rPr>
            </w:pPr>
            <w:r w:rsidRPr="00997F82">
              <w:rPr>
                <w:b/>
                <w:bCs/>
                <w:color w:val="FFFFFF" w:themeColor="background1"/>
              </w:rPr>
              <w:t>Core</w:t>
            </w:r>
          </w:p>
        </w:tc>
        <w:tc>
          <w:tcPr>
            <w:tcW w:w="2268" w:type="dxa"/>
            <w:vAlign w:val="center"/>
          </w:tcPr>
          <w:p w14:paraId="6CC64201"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AIHW National Integrated Dataset</w:t>
            </w:r>
          </w:p>
        </w:tc>
        <w:tc>
          <w:tcPr>
            <w:tcW w:w="6800" w:type="dxa"/>
            <w:vAlign w:val="center"/>
          </w:tcPr>
          <w:p w14:paraId="0CDF0E83"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 xml:space="preserve">AIHW provides nationally aggregated data on palliative care that is of sufficient quality and is relatively easy to access </w:t>
            </w:r>
            <w:proofErr w:type="gramStart"/>
            <w:r w:rsidRPr="00997F82">
              <w:rPr>
                <w:color w:val="000000" w:themeColor="text1"/>
              </w:rPr>
              <w:t>in order to</w:t>
            </w:r>
            <w:proofErr w:type="gramEnd"/>
            <w:r w:rsidRPr="00997F82">
              <w:rPr>
                <w:color w:val="000000" w:themeColor="text1"/>
              </w:rPr>
              <w:t xml:space="preserve"> address certain Evaluation </w:t>
            </w:r>
            <w:proofErr w:type="spellStart"/>
            <w:r w:rsidRPr="00997F82">
              <w:rPr>
                <w:color w:val="000000" w:themeColor="text1"/>
              </w:rPr>
              <w:t>LoEs</w:t>
            </w:r>
            <w:proofErr w:type="spellEnd"/>
            <w:r w:rsidRPr="00997F82">
              <w:rPr>
                <w:color w:val="000000" w:themeColor="text1"/>
              </w:rPr>
              <w:t>. </w:t>
            </w:r>
          </w:p>
        </w:tc>
      </w:tr>
      <w:tr w:rsidR="009255FB" w:rsidRPr="00997F82" w14:paraId="7C652965"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extDirection w:val="btLr"/>
          </w:tcPr>
          <w:p w14:paraId="7CFB3BCF" w14:textId="77777777" w:rsidR="00421181" w:rsidRPr="00997F82" w:rsidRDefault="00421181" w:rsidP="002D0111">
            <w:pPr>
              <w:jc w:val="center"/>
              <w:rPr>
                <w:b/>
                <w:bCs/>
                <w:color w:val="FFFFFF" w:themeColor="background1"/>
              </w:rPr>
            </w:pPr>
          </w:p>
        </w:tc>
        <w:tc>
          <w:tcPr>
            <w:tcW w:w="2268" w:type="dxa"/>
            <w:vAlign w:val="center"/>
          </w:tcPr>
          <w:p w14:paraId="4D327959"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Palliative Care Outcomes Collaboration (PCOC)</w:t>
            </w:r>
          </w:p>
        </w:tc>
        <w:tc>
          <w:tcPr>
            <w:tcW w:w="6800" w:type="dxa"/>
            <w:vAlign w:val="center"/>
          </w:tcPr>
          <w:p w14:paraId="24661CA2"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PCOC is a data source that is already in use or is of interest to many service providers.</w:t>
            </w:r>
          </w:p>
        </w:tc>
      </w:tr>
      <w:tr w:rsidR="009255FB" w:rsidRPr="00997F82" w14:paraId="33DD4D4C"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extDirection w:val="btLr"/>
          </w:tcPr>
          <w:p w14:paraId="4FF210E2" w14:textId="77777777" w:rsidR="00421181" w:rsidRPr="00997F82" w:rsidRDefault="00421181" w:rsidP="002D0111">
            <w:pPr>
              <w:jc w:val="center"/>
              <w:rPr>
                <w:b/>
                <w:bCs/>
                <w:color w:val="FFFFFF" w:themeColor="background1"/>
              </w:rPr>
            </w:pPr>
          </w:p>
        </w:tc>
        <w:tc>
          <w:tcPr>
            <w:tcW w:w="2268" w:type="dxa"/>
            <w:vAlign w:val="center"/>
          </w:tcPr>
          <w:p w14:paraId="147E9E6C"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Death Literacy Index (DLI)</w:t>
            </w:r>
          </w:p>
        </w:tc>
        <w:tc>
          <w:tcPr>
            <w:tcW w:w="6800" w:type="dxa"/>
            <w:vAlign w:val="center"/>
          </w:tcPr>
          <w:p w14:paraId="5890536C"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The DLI is an existing, validated tool on palliative care confidence and capability that is currently used. </w:t>
            </w:r>
          </w:p>
        </w:tc>
      </w:tr>
      <w:tr w:rsidR="009255FB" w:rsidRPr="00997F82" w14:paraId="63284D1E"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extDirection w:val="btLr"/>
          </w:tcPr>
          <w:p w14:paraId="4BEB2823" w14:textId="77777777" w:rsidR="00421181" w:rsidRPr="00997F82" w:rsidRDefault="00421181" w:rsidP="002D0111">
            <w:pPr>
              <w:jc w:val="center"/>
              <w:rPr>
                <w:b/>
                <w:bCs/>
                <w:color w:val="FFFFFF" w:themeColor="background1"/>
              </w:rPr>
            </w:pPr>
          </w:p>
        </w:tc>
        <w:tc>
          <w:tcPr>
            <w:tcW w:w="2268" w:type="dxa"/>
            <w:vAlign w:val="center"/>
          </w:tcPr>
          <w:p w14:paraId="176FA427"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Scyne-proposed After Death Audit form</w:t>
            </w:r>
          </w:p>
        </w:tc>
        <w:tc>
          <w:tcPr>
            <w:tcW w:w="6800" w:type="dxa"/>
            <w:vAlign w:val="center"/>
          </w:tcPr>
          <w:p w14:paraId="30F9330D"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Scyne have developed a proposed After Death Audit Form using the most appropriate/relevant questions from existing Brisbane South (BSPHN) and </w:t>
            </w:r>
            <w:proofErr w:type="spellStart"/>
            <w:r w:rsidRPr="00997F82">
              <w:rPr>
                <w:color w:val="000000" w:themeColor="text1"/>
              </w:rPr>
              <w:t>Murrumbidgee</w:t>
            </w:r>
            <w:proofErr w:type="spellEnd"/>
            <w:r w:rsidRPr="00997F82">
              <w:rPr>
                <w:color w:val="000000" w:themeColor="text1"/>
              </w:rPr>
              <w:t xml:space="preserve"> PHN After Death Audit tools. It can be tailored to suit the needs of the Evaluation. </w:t>
            </w:r>
          </w:p>
        </w:tc>
      </w:tr>
      <w:tr w:rsidR="009255FB" w:rsidRPr="00997F82" w14:paraId="4DD71D87"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extDirection w:val="btLr"/>
          </w:tcPr>
          <w:p w14:paraId="1C23581C" w14:textId="77777777" w:rsidR="00421181" w:rsidRPr="00997F82" w:rsidRDefault="00421181" w:rsidP="002D0111">
            <w:pPr>
              <w:jc w:val="center"/>
              <w:rPr>
                <w:b/>
                <w:bCs/>
                <w:color w:val="FFFFFF" w:themeColor="background1"/>
              </w:rPr>
            </w:pPr>
          </w:p>
        </w:tc>
        <w:tc>
          <w:tcPr>
            <w:tcW w:w="2268" w:type="dxa"/>
            <w:vAlign w:val="center"/>
          </w:tcPr>
          <w:p w14:paraId="12F7E658"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PHN consultations</w:t>
            </w:r>
          </w:p>
        </w:tc>
        <w:tc>
          <w:tcPr>
            <w:tcW w:w="6800" w:type="dxa"/>
            <w:vAlign w:val="center"/>
          </w:tcPr>
          <w:p w14:paraId="4B4C6BF9"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Consultations with PHNs will provide a point of comparison at all stages of the Evaluation. </w:t>
            </w:r>
          </w:p>
        </w:tc>
      </w:tr>
      <w:tr w:rsidR="009255FB" w:rsidRPr="00997F82" w14:paraId="1EC39F87"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extDirection w:val="btLr"/>
          </w:tcPr>
          <w:p w14:paraId="5094975D" w14:textId="77777777" w:rsidR="00421181" w:rsidRPr="00997F82" w:rsidRDefault="00421181" w:rsidP="002D0111">
            <w:pPr>
              <w:spacing w:before="200" w:after="200"/>
              <w:jc w:val="center"/>
              <w:rPr>
                <w:b/>
                <w:bCs/>
                <w:color w:val="FFFFFF" w:themeColor="background1"/>
              </w:rPr>
            </w:pPr>
          </w:p>
        </w:tc>
        <w:tc>
          <w:tcPr>
            <w:tcW w:w="2268" w:type="dxa"/>
            <w:vAlign w:val="center"/>
          </w:tcPr>
          <w:p w14:paraId="6F7FA406"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Scyne provided surveys to PHNs</w:t>
            </w:r>
          </w:p>
        </w:tc>
        <w:tc>
          <w:tcPr>
            <w:tcW w:w="6800" w:type="dxa"/>
            <w:vAlign w:val="center"/>
          </w:tcPr>
          <w:p w14:paraId="0EC460D6"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PHN surveys will supplement consultation insights on Program design, governance, and activities.</w:t>
            </w:r>
          </w:p>
        </w:tc>
      </w:tr>
      <w:tr w:rsidR="009255FB" w:rsidRPr="00997F82" w14:paraId="00C7C961"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extDirection w:val="btLr"/>
          </w:tcPr>
          <w:p w14:paraId="51CBB0D8" w14:textId="77777777" w:rsidR="00421181" w:rsidRPr="00997F82" w:rsidRDefault="00421181" w:rsidP="002D0111">
            <w:pPr>
              <w:spacing w:before="200" w:after="200"/>
              <w:jc w:val="center"/>
              <w:rPr>
                <w:b/>
                <w:bCs/>
                <w:color w:val="FFFFFF" w:themeColor="background1"/>
              </w:rPr>
            </w:pPr>
          </w:p>
        </w:tc>
        <w:tc>
          <w:tcPr>
            <w:tcW w:w="2268" w:type="dxa"/>
            <w:vAlign w:val="center"/>
          </w:tcPr>
          <w:p w14:paraId="0E4C2E28"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Scyne provided surveys to service providers</w:t>
            </w:r>
          </w:p>
        </w:tc>
        <w:tc>
          <w:tcPr>
            <w:tcW w:w="6800" w:type="dxa"/>
            <w:vAlign w:val="center"/>
          </w:tcPr>
          <w:p w14:paraId="1B936649"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Service provider surveys will provide a clinician perspective on PHN led activities.</w:t>
            </w:r>
          </w:p>
        </w:tc>
      </w:tr>
      <w:tr w:rsidR="007275D2" w:rsidRPr="00997F82" w14:paraId="5919F028"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220054" w:themeFill="accent1"/>
            <w:textDirection w:val="btLr"/>
          </w:tcPr>
          <w:p w14:paraId="0B852CF6" w14:textId="77777777" w:rsidR="00421181" w:rsidRPr="00997F82" w:rsidRDefault="00421181" w:rsidP="002D0111">
            <w:pPr>
              <w:spacing w:before="200" w:after="200"/>
              <w:jc w:val="center"/>
              <w:rPr>
                <w:b/>
                <w:bCs/>
                <w:color w:val="FFFFFF" w:themeColor="background1"/>
              </w:rPr>
            </w:pPr>
            <w:r w:rsidRPr="00997F82">
              <w:rPr>
                <w:b/>
                <w:bCs/>
                <w:color w:val="FFFFFF" w:themeColor="background1"/>
              </w:rPr>
              <w:t>Supplementary</w:t>
            </w:r>
          </w:p>
        </w:tc>
        <w:tc>
          <w:tcPr>
            <w:tcW w:w="2268" w:type="dxa"/>
            <w:shd w:val="clear" w:color="auto" w:fill="E0E1F0" w:themeFill="accent4" w:themeFillTint="66"/>
            <w:vAlign w:val="center"/>
          </w:tcPr>
          <w:p w14:paraId="0F1A9EFB" w14:textId="77777777" w:rsidR="00421181" w:rsidRPr="00997F82" w:rsidRDefault="00421181" w:rsidP="002D0111">
            <w:pPr>
              <w:widowControl w:val="0"/>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 xml:space="preserve">Post-event surveys </w:t>
            </w:r>
          </w:p>
        </w:tc>
        <w:tc>
          <w:tcPr>
            <w:tcW w:w="6800" w:type="dxa"/>
            <w:shd w:val="clear" w:color="auto" w:fill="E0E1F0" w:themeFill="accent4" w:themeFillTint="66"/>
            <w:vAlign w:val="center"/>
          </w:tcPr>
          <w:p w14:paraId="0B51B859" w14:textId="4D3F2D25" w:rsidR="00421181" w:rsidRPr="00997F82" w:rsidRDefault="00421181" w:rsidP="002D0111">
            <w:pPr>
              <w:widowControl w:val="0"/>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Post-event surveys collect feedback</w:t>
            </w:r>
            <w:r w:rsidR="00EF6FFD" w:rsidRPr="00997F82">
              <w:rPr>
                <w:color w:val="000000" w:themeColor="text1"/>
              </w:rPr>
              <w:t xml:space="preserve"> </w:t>
            </w:r>
            <w:r w:rsidRPr="00997F82">
              <w:rPr>
                <w:color w:val="000000" w:themeColor="text1"/>
              </w:rPr>
              <w:t>from participants on events conducted by PHNs.</w:t>
            </w:r>
          </w:p>
        </w:tc>
      </w:tr>
      <w:tr w:rsidR="007275D2" w:rsidRPr="00997F82" w14:paraId="0FDDD7EA"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cPr>
          <w:p w14:paraId="531F0B1B" w14:textId="77777777" w:rsidR="00421181" w:rsidRPr="00997F82" w:rsidRDefault="00421181" w:rsidP="002D0111">
            <w:pPr>
              <w:spacing w:before="200" w:after="200"/>
              <w:rPr>
                <w:color w:val="000000" w:themeColor="text1"/>
              </w:rPr>
            </w:pPr>
          </w:p>
        </w:tc>
        <w:tc>
          <w:tcPr>
            <w:tcW w:w="2268" w:type="dxa"/>
            <w:shd w:val="clear" w:color="auto" w:fill="E0E1F0" w:themeFill="accent4" w:themeFillTint="66"/>
            <w:vAlign w:val="center"/>
          </w:tcPr>
          <w:p w14:paraId="68F9E16C"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The Program of Experience in the Palliative Approach (PEPA) surveys</w:t>
            </w:r>
          </w:p>
        </w:tc>
        <w:tc>
          <w:tcPr>
            <w:tcW w:w="6800" w:type="dxa"/>
            <w:shd w:val="clear" w:color="auto" w:fill="E0E1F0" w:themeFill="accent4" w:themeFillTint="66"/>
            <w:vAlign w:val="center"/>
          </w:tcPr>
          <w:p w14:paraId="5549EB89"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PEPA collects pre and post survey data from education and training sessions to the healthcare workforce.</w:t>
            </w:r>
          </w:p>
        </w:tc>
      </w:tr>
      <w:tr w:rsidR="007275D2" w:rsidRPr="00997F82" w14:paraId="5BC2F5D0"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cPr>
          <w:p w14:paraId="4CB0EA1F" w14:textId="77777777" w:rsidR="00421181" w:rsidRPr="00997F82" w:rsidRDefault="00421181" w:rsidP="002D0111">
            <w:pPr>
              <w:spacing w:before="200" w:after="200"/>
              <w:rPr>
                <w:color w:val="000000" w:themeColor="text1"/>
              </w:rPr>
            </w:pPr>
          </w:p>
        </w:tc>
        <w:tc>
          <w:tcPr>
            <w:tcW w:w="2268" w:type="dxa"/>
            <w:shd w:val="clear" w:color="auto" w:fill="E0E1F0" w:themeFill="accent4" w:themeFillTint="66"/>
            <w:vAlign w:val="center"/>
          </w:tcPr>
          <w:p w14:paraId="3A12975B"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997F82">
              <w:rPr>
                <w:rFonts w:eastAsiaTheme="minorEastAsia"/>
                <w:color w:val="000000" w:themeColor="text1"/>
              </w:rPr>
              <w:t>HealthPathways</w:t>
            </w:r>
            <w:proofErr w:type="spellEnd"/>
          </w:p>
        </w:tc>
        <w:tc>
          <w:tcPr>
            <w:tcW w:w="6800" w:type="dxa"/>
            <w:shd w:val="clear" w:color="auto" w:fill="E0E1F0" w:themeFill="accent4" w:themeFillTint="66"/>
            <w:vAlign w:val="center"/>
          </w:tcPr>
          <w:p w14:paraId="76454DB4" w14:textId="0BB3D1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r w:rsidRPr="00997F82">
              <w:rPr>
                <w:color w:val="000000" w:themeColor="text1"/>
              </w:rPr>
              <w:t>HealthPathways</w:t>
            </w:r>
            <w:proofErr w:type="spellEnd"/>
            <w:r w:rsidRPr="00997F82">
              <w:rPr>
                <w:color w:val="000000" w:themeColor="text1"/>
              </w:rPr>
              <w:t> is a web-based portal for health professions to access clinical management pathways,</w:t>
            </w:r>
            <w:r w:rsidRPr="00997F82">
              <w:rPr>
                <w:rFonts w:cs="Avenir Next LT Pro"/>
                <w:color w:val="000000" w:themeColor="text1"/>
              </w:rPr>
              <w:t> </w:t>
            </w:r>
            <w:r w:rsidRPr="00997F82">
              <w:rPr>
                <w:color w:val="000000" w:themeColor="text1"/>
              </w:rPr>
              <w:t>referral advice from specialist services,</w:t>
            </w:r>
            <w:r w:rsidRPr="00997F82">
              <w:rPr>
                <w:rFonts w:cs="Avenir Next LT Pro"/>
                <w:color w:val="000000" w:themeColor="text1"/>
              </w:rPr>
              <w:t> </w:t>
            </w:r>
            <w:r w:rsidRPr="00997F82">
              <w:rPr>
                <w:color w:val="000000" w:themeColor="text1"/>
              </w:rPr>
              <w:t>educational resources for patients, and</w:t>
            </w:r>
            <w:r w:rsidRPr="00997F82">
              <w:rPr>
                <w:rFonts w:cs="Avenir Next LT Pro"/>
                <w:color w:val="000000" w:themeColor="text1"/>
              </w:rPr>
              <w:t> </w:t>
            </w:r>
            <w:r w:rsidRPr="00997F82">
              <w:rPr>
                <w:color w:val="000000" w:themeColor="text1"/>
              </w:rPr>
              <w:t>treatment options.</w:t>
            </w:r>
          </w:p>
        </w:tc>
      </w:tr>
      <w:tr w:rsidR="007275D2" w:rsidRPr="00997F82" w14:paraId="7CB4520F"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cPr>
          <w:p w14:paraId="615D1D7A" w14:textId="77777777" w:rsidR="00421181" w:rsidRPr="00997F82" w:rsidRDefault="00421181" w:rsidP="002D0111">
            <w:pPr>
              <w:spacing w:before="200" w:after="200"/>
              <w:rPr>
                <w:color w:val="000000" w:themeColor="text1"/>
              </w:rPr>
            </w:pPr>
          </w:p>
        </w:tc>
        <w:tc>
          <w:tcPr>
            <w:tcW w:w="2268" w:type="dxa"/>
            <w:shd w:val="clear" w:color="auto" w:fill="E0E1F0" w:themeFill="accent4" w:themeFillTint="66"/>
            <w:vAlign w:val="center"/>
          </w:tcPr>
          <w:p w14:paraId="4C40C742" w14:textId="1C4B944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Office of Advance</w:t>
            </w:r>
            <w:r w:rsidR="00C430CB" w:rsidRPr="00997F82">
              <w:rPr>
                <w:rFonts w:eastAsiaTheme="minorEastAsia"/>
                <w:color w:val="000000" w:themeColor="text1"/>
              </w:rPr>
              <w:t xml:space="preserve"> </w:t>
            </w:r>
            <w:r w:rsidRPr="00997F82">
              <w:rPr>
                <w:rFonts w:eastAsiaTheme="minorEastAsia"/>
                <w:color w:val="000000" w:themeColor="text1"/>
              </w:rPr>
              <w:t>Care Planning (QLD only)</w:t>
            </w:r>
          </w:p>
        </w:tc>
        <w:tc>
          <w:tcPr>
            <w:tcW w:w="6800" w:type="dxa"/>
            <w:shd w:val="clear" w:color="auto" w:fill="E0E1F0" w:themeFill="accent4" w:themeFillTint="66"/>
            <w:vAlign w:val="center"/>
          </w:tcPr>
          <w:p w14:paraId="6C290511" w14:textId="4D78FDF1"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Advance</w:t>
            </w:r>
            <w:r w:rsidR="00C430CB" w:rsidRPr="00997F82">
              <w:rPr>
                <w:color w:val="000000" w:themeColor="text1"/>
              </w:rPr>
              <w:t xml:space="preserve"> </w:t>
            </w:r>
            <w:r w:rsidRPr="00997F82">
              <w:rPr>
                <w:color w:val="000000" w:themeColor="text1"/>
              </w:rPr>
              <w:t>Care Planning data including values and preferences for persons with, and without decision-making capacity.</w:t>
            </w:r>
          </w:p>
        </w:tc>
      </w:tr>
      <w:tr w:rsidR="007275D2" w:rsidRPr="00997F82" w14:paraId="7B2DF335"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cPr>
          <w:p w14:paraId="2CBD1771" w14:textId="77777777" w:rsidR="00421181" w:rsidRPr="00997F82" w:rsidRDefault="00421181" w:rsidP="002D0111">
            <w:pPr>
              <w:spacing w:before="200" w:after="200"/>
              <w:rPr>
                <w:color w:val="000000" w:themeColor="text1"/>
              </w:rPr>
            </w:pPr>
          </w:p>
        </w:tc>
        <w:tc>
          <w:tcPr>
            <w:tcW w:w="2268" w:type="dxa"/>
            <w:shd w:val="clear" w:color="auto" w:fill="E0E1F0" w:themeFill="accent4" w:themeFillTint="66"/>
            <w:vAlign w:val="center"/>
          </w:tcPr>
          <w:p w14:paraId="6D39059E"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Use of webpages or resources (clicks, views, flyers etc.)</w:t>
            </w:r>
          </w:p>
        </w:tc>
        <w:tc>
          <w:tcPr>
            <w:tcW w:w="6800" w:type="dxa"/>
            <w:shd w:val="clear" w:color="auto" w:fill="E0E1F0" w:themeFill="accent4" w:themeFillTint="66"/>
            <w:vAlign w:val="center"/>
          </w:tcPr>
          <w:p w14:paraId="3F9967BF"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 xml:space="preserve">PHNs are tracking webpage or resource uptake through clicks, views of resources. </w:t>
            </w:r>
          </w:p>
        </w:tc>
      </w:tr>
      <w:tr w:rsidR="007275D2" w:rsidRPr="00997F82" w14:paraId="46140DC8" w14:textId="77777777" w:rsidTr="007275D2">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220054" w:themeFill="accent1"/>
          </w:tcPr>
          <w:p w14:paraId="2CD83CE1" w14:textId="77777777" w:rsidR="00421181" w:rsidRPr="00997F82" w:rsidRDefault="00421181" w:rsidP="002D0111">
            <w:pPr>
              <w:spacing w:before="200" w:after="200"/>
              <w:rPr>
                <w:color w:val="000000" w:themeColor="text1"/>
              </w:rPr>
            </w:pPr>
          </w:p>
        </w:tc>
        <w:tc>
          <w:tcPr>
            <w:tcW w:w="2268" w:type="dxa"/>
            <w:shd w:val="clear" w:color="auto" w:fill="E0E1F0" w:themeFill="accent4" w:themeFillTint="66"/>
            <w:vAlign w:val="center"/>
          </w:tcPr>
          <w:p w14:paraId="7EA44AB1"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rFonts w:eastAsiaTheme="minorEastAsia"/>
                <w:color w:val="000000" w:themeColor="text1"/>
              </w:rPr>
              <w:t>Other materials</w:t>
            </w:r>
          </w:p>
        </w:tc>
        <w:tc>
          <w:tcPr>
            <w:tcW w:w="6800" w:type="dxa"/>
            <w:shd w:val="clear" w:color="auto" w:fill="E0E1F0" w:themeFill="accent4" w:themeFillTint="66"/>
            <w:vAlign w:val="center"/>
          </w:tcPr>
          <w:p w14:paraId="7FD26906" w14:textId="77777777" w:rsidR="00421181" w:rsidRPr="00997F82" w:rsidRDefault="00421181" w:rsidP="002D0111">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rPr>
            </w:pPr>
            <w:r w:rsidRPr="00997F82">
              <w:rPr>
                <w:color w:val="000000" w:themeColor="text1"/>
              </w:rPr>
              <w:t>May include collateral that captures further data inputs.</w:t>
            </w:r>
          </w:p>
        </w:tc>
      </w:tr>
    </w:tbl>
    <w:p w14:paraId="58E6F331" w14:textId="77777777" w:rsidR="00421181" w:rsidRPr="007770F3" w:rsidRDefault="00421181" w:rsidP="007770F3">
      <w:r w:rsidRPr="007770F3">
        <w:br w:type="page"/>
      </w:r>
    </w:p>
    <w:p w14:paraId="0EAFB69F" w14:textId="32639338" w:rsidR="00E84723" w:rsidRPr="00997F82" w:rsidRDefault="00E84723" w:rsidP="00277D66">
      <w:pPr>
        <w:pStyle w:val="Heading1nonumbers"/>
      </w:pPr>
      <w:bookmarkStart w:id="86" w:name="_Toc226898042"/>
      <w:bookmarkStart w:id="87" w:name="_Toc231898092"/>
      <w:r w:rsidRPr="00997F82">
        <w:t>Appendix C: Case Studies</w:t>
      </w:r>
      <w:bookmarkEnd w:id="86"/>
      <w:bookmarkEnd w:id="87"/>
      <w:r w:rsidRPr="00997F82">
        <w:t> </w:t>
      </w:r>
    </w:p>
    <w:p w14:paraId="3E40FE41" w14:textId="1C46B09A" w:rsidR="0016594E" w:rsidRPr="00997F82" w:rsidRDefault="0016594E" w:rsidP="00277D66">
      <w:r w:rsidRPr="00997F82">
        <w:t xml:space="preserve">Appendix C showcases a selection of PHN activities designed and implemented as part of the Program. These were selected to showcase with the aim of highlighting the diversity of activity across regions, locations, rurality and demographics. </w:t>
      </w:r>
      <w:r w:rsidR="008A7256" w:rsidRPr="00997F82">
        <w:t>These were also chosen based on the quality of PHN data available. Where required one-on-one consultations were held with PHNs to gather additional information.</w:t>
      </w:r>
    </w:p>
    <w:p w14:paraId="5E66D090" w14:textId="28669573" w:rsidR="0016594E" w:rsidRPr="00997F82" w:rsidRDefault="0016594E" w:rsidP="00277D66">
      <w:r w:rsidRPr="00997F82">
        <w:t xml:space="preserve">A summary of the case studies is summarised on </w:t>
      </w:r>
      <w:r w:rsidR="00EF6FFD" w:rsidRPr="00997F82">
        <w:fldChar w:fldCharType="begin"/>
      </w:r>
      <w:r w:rsidR="00EF6FFD" w:rsidRPr="00997F82">
        <w:instrText xml:space="preserve"> REF _Ref210381727 \h </w:instrText>
      </w:r>
      <w:r w:rsidR="00997F82">
        <w:instrText xml:space="preserve"> \* MERGEFORMAT </w:instrText>
      </w:r>
      <w:r w:rsidR="00EF6FFD" w:rsidRPr="00997F82">
        <w:fldChar w:fldCharType="separate"/>
      </w:r>
      <w:r w:rsidR="00735424" w:rsidRPr="00997F82">
        <w:t xml:space="preserve">Table </w:t>
      </w:r>
      <w:r w:rsidR="00735424">
        <w:t>22</w:t>
      </w:r>
      <w:r w:rsidR="00EF6FFD" w:rsidRPr="00997F82">
        <w:fldChar w:fldCharType="end"/>
      </w:r>
      <w:r w:rsidR="00277D66">
        <w:t xml:space="preserve"> </w:t>
      </w:r>
      <w:r w:rsidRPr="00997F82">
        <w:t>below</w:t>
      </w:r>
    </w:p>
    <w:p w14:paraId="295C130F" w14:textId="72AE8456" w:rsidR="0016594E" w:rsidRPr="00997F82" w:rsidRDefault="00EF6FFD" w:rsidP="00277D66">
      <w:pPr>
        <w:pStyle w:val="Caption"/>
      </w:pPr>
      <w:bookmarkStart w:id="88" w:name="_Ref210381727"/>
      <w:r w:rsidRPr="00997F82">
        <w:t xml:space="preserve">Table </w:t>
      </w:r>
      <w:r w:rsidRPr="00997F82">
        <w:fldChar w:fldCharType="begin"/>
      </w:r>
      <w:r w:rsidRPr="00997F82">
        <w:instrText xml:space="preserve"> SEQ Table \* ARABIC </w:instrText>
      </w:r>
      <w:r w:rsidRPr="00997F82">
        <w:fldChar w:fldCharType="separate"/>
      </w:r>
      <w:r w:rsidR="00735424">
        <w:rPr>
          <w:noProof/>
        </w:rPr>
        <w:t>22</w:t>
      </w:r>
      <w:r w:rsidRPr="00997F82">
        <w:fldChar w:fldCharType="end"/>
      </w:r>
      <w:bookmarkEnd w:id="88"/>
      <w:r w:rsidRPr="00997F82">
        <w:t xml:space="preserve">: </w:t>
      </w:r>
      <w:r w:rsidR="00AB4955" w:rsidRPr="00997F82">
        <w:t>Glossary of</w:t>
      </w:r>
      <w:r w:rsidR="004C34FC" w:rsidRPr="00997F82">
        <w:t xml:space="preserve"> PHN Activity </w:t>
      </w:r>
      <w:r w:rsidR="00D44842" w:rsidRPr="00997F82">
        <w:t xml:space="preserve">Case Studies </w:t>
      </w:r>
      <w:r w:rsidR="004C34FC" w:rsidRPr="00997F82">
        <w:t>I</w:t>
      </w:r>
      <w:r w:rsidR="00D44842" w:rsidRPr="00997F82">
        <w:t xml:space="preserve">ncluded </w:t>
      </w:r>
    </w:p>
    <w:tbl>
      <w:tblPr>
        <w:tblStyle w:val="ScyneTable"/>
        <w:tblW w:w="5000" w:type="pct"/>
        <w:tblLayout w:type="fixed"/>
        <w:tblLook w:val="06A0" w:firstRow="1" w:lastRow="0" w:firstColumn="1" w:lastColumn="0" w:noHBand="1" w:noVBand="1"/>
      </w:tblPr>
      <w:tblGrid>
        <w:gridCol w:w="336"/>
        <w:gridCol w:w="4668"/>
        <w:gridCol w:w="4022"/>
      </w:tblGrid>
      <w:tr w:rsidR="0016594E" w:rsidRPr="00997F82" w14:paraId="215B357D" w14:textId="77777777" w:rsidTr="003A7B39">
        <w:trPr>
          <w:cnfStyle w:val="100000000000" w:firstRow="1" w:lastRow="0" w:firstColumn="0" w:lastColumn="0" w:oddVBand="0" w:evenVBand="0" w:oddHBand="0" w:evenHBand="0" w:firstRowFirstColumn="0" w:firstRowLastColumn="0" w:lastRowFirstColumn="0" w:lastRowLastColumn="0"/>
          <w:trHeight w:val="20"/>
          <w:tblHeader/>
        </w:trPr>
        <w:tc>
          <w:tcPr>
            <w:cnfStyle w:val="000000000100" w:firstRow="0" w:lastRow="0" w:firstColumn="0" w:lastColumn="0" w:oddVBand="0" w:evenVBand="0" w:oddHBand="0" w:evenHBand="0" w:firstRowFirstColumn="1" w:firstRowLastColumn="0" w:lastRowFirstColumn="0" w:lastRowLastColumn="0"/>
            <w:tcW w:w="186" w:type="pct"/>
            <w:shd w:val="clear" w:color="auto" w:fill="220054" w:themeFill="accent1"/>
          </w:tcPr>
          <w:p w14:paraId="4C53EBC2" w14:textId="77777777" w:rsidR="0016594E" w:rsidRPr="00997F82" w:rsidRDefault="0016594E" w:rsidP="002D0111">
            <w:pPr>
              <w:spacing w:before="40" w:after="40"/>
              <w:rPr>
                <w:rFonts w:asciiTheme="majorHAnsi" w:hAnsiTheme="majorHAnsi"/>
                <w:color w:val="FFFFFF" w:themeColor="background1"/>
                <w:szCs w:val="22"/>
              </w:rPr>
            </w:pPr>
            <w:r w:rsidRPr="00997F82">
              <w:rPr>
                <w:rFonts w:asciiTheme="majorHAnsi" w:hAnsiTheme="majorHAnsi"/>
                <w:color w:val="FFFFFF" w:themeColor="background1"/>
                <w:szCs w:val="22"/>
              </w:rPr>
              <w:t>#</w:t>
            </w:r>
          </w:p>
        </w:tc>
        <w:tc>
          <w:tcPr>
            <w:tcW w:w="2586" w:type="pct"/>
            <w:shd w:val="clear" w:color="auto" w:fill="220054" w:themeFill="accent1"/>
          </w:tcPr>
          <w:p w14:paraId="4A884BFD" w14:textId="77777777" w:rsidR="0016594E" w:rsidRPr="00997F82" w:rsidRDefault="0016594E" w:rsidP="002D0111">
            <w:pPr>
              <w:spacing w:before="40" w:after="4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Cs w:val="22"/>
              </w:rPr>
            </w:pPr>
            <w:r w:rsidRPr="00997F82">
              <w:rPr>
                <w:rFonts w:asciiTheme="majorHAnsi" w:hAnsiTheme="majorHAnsi"/>
                <w:color w:val="FFFFFF" w:themeColor="background1"/>
                <w:szCs w:val="22"/>
              </w:rPr>
              <w:t>PHN</w:t>
            </w:r>
          </w:p>
        </w:tc>
        <w:tc>
          <w:tcPr>
            <w:tcW w:w="2228" w:type="pct"/>
            <w:shd w:val="clear" w:color="auto" w:fill="220054" w:themeFill="accent1"/>
          </w:tcPr>
          <w:p w14:paraId="69D812EE" w14:textId="77777777" w:rsidR="0016594E" w:rsidRPr="00997F82" w:rsidRDefault="0016594E" w:rsidP="002D0111">
            <w:pPr>
              <w:spacing w:before="40" w:after="4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Cs w:val="22"/>
              </w:rPr>
            </w:pPr>
            <w:r w:rsidRPr="00997F82">
              <w:rPr>
                <w:rFonts w:asciiTheme="majorHAnsi" w:hAnsiTheme="majorHAnsi"/>
                <w:color w:val="FFFFFF" w:themeColor="background1"/>
                <w:szCs w:val="22"/>
              </w:rPr>
              <w:t>Activity</w:t>
            </w:r>
          </w:p>
        </w:tc>
      </w:tr>
      <w:tr w:rsidR="0016594E" w:rsidRPr="00997F82" w14:paraId="3123F48C" w14:textId="77777777" w:rsidTr="00EF6209">
        <w:trPr>
          <w:trHeight w:val="20"/>
        </w:trPr>
        <w:tc>
          <w:tcPr>
            <w:tcW w:w="186" w:type="pct"/>
          </w:tcPr>
          <w:p w14:paraId="431FCE02" w14:textId="77777777" w:rsidR="0016594E" w:rsidRPr="00997F82" w:rsidRDefault="0016594E" w:rsidP="002D0111">
            <w:pPr>
              <w:spacing w:before="40" w:after="40"/>
              <w:rPr>
                <w:szCs w:val="22"/>
              </w:rPr>
            </w:pPr>
            <w:r w:rsidRPr="00997F82">
              <w:rPr>
                <w:szCs w:val="22"/>
              </w:rPr>
              <w:t>1</w:t>
            </w:r>
          </w:p>
        </w:tc>
        <w:tc>
          <w:tcPr>
            <w:tcW w:w="2586" w:type="pct"/>
          </w:tcPr>
          <w:p w14:paraId="362EF526" w14:textId="77777777" w:rsidR="0016594E" w:rsidRPr="00997F82" w:rsidRDefault="0016594E" w:rsidP="002D0111">
            <w:pPr>
              <w:spacing w:before="40" w:after="40"/>
              <w:rPr>
                <w:szCs w:val="22"/>
              </w:rPr>
            </w:pPr>
            <w:r w:rsidRPr="00997F82">
              <w:rPr>
                <w:szCs w:val="22"/>
              </w:rPr>
              <w:t>Country South Australia PHN</w:t>
            </w:r>
          </w:p>
        </w:tc>
        <w:tc>
          <w:tcPr>
            <w:tcW w:w="2228" w:type="pct"/>
          </w:tcPr>
          <w:p w14:paraId="427F8527" w14:textId="77777777" w:rsidR="0016594E" w:rsidRPr="00997F82" w:rsidRDefault="0016594E" w:rsidP="002D0111">
            <w:pPr>
              <w:spacing w:before="40" w:after="40"/>
              <w:rPr>
                <w:szCs w:val="22"/>
              </w:rPr>
            </w:pPr>
            <w:r w:rsidRPr="00997F82">
              <w:rPr>
                <w:szCs w:val="22"/>
              </w:rPr>
              <w:t xml:space="preserve">Palliative Medication Proficiency Education </w:t>
            </w:r>
          </w:p>
        </w:tc>
      </w:tr>
      <w:tr w:rsidR="0016594E" w:rsidRPr="00997F82" w14:paraId="4DEE331D" w14:textId="77777777" w:rsidTr="00EF6209">
        <w:trPr>
          <w:trHeight w:val="20"/>
        </w:trPr>
        <w:tc>
          <w:tcPr>
            <w:tcW w:w="186" w:type="pct"/>
          </w:tcPr>
          <w:p w14:paraId="4B696E5C" w14:textId="77777777" w:rsidR="0016594E" w:rsidRPr="00997F82" w:rsidRDefault="0016594E" w:rsidP="002D0111">
            <w:pPr>
              <w:spacing w:before="40" w:after="40"/>
              <w:rPr>
                <w:szCs w:val="22"/>
              </w:rPr>
            </w:pPr>
            <w:r w:rsidRPr="00997F82">
              <w:rPr>
                <w:szCs w:val="22"/>
              </w:rPr>
              <w:t>2</w:t>
            </w:r>
          </w:p>
        </w:tc>
        <w:tc>
          <w:tcPr>
            <w:tcW w:w="2586" w:type="pct"/>
          </w:tcPr>
          <w:p w14:paraId="26BB8E8C" w14:textId="77777777" w:rsidR="0016594E" w:rsidRPr="00997F82" w:rsidRDefault="0016594E" w:rsidP="002D0111">
            <w:pPr>
              <w:spacing w:before="40" w:after="40"/>
              <w:rPr>
                <w:szCs w:val="22"/>
              </w:rPr>
            </w:pPr>
            <w:r w:rsidRPr="00997F82">
              <w:rPr>
                <w:szCs w:val="22"/>
              </w:rPr>
              <w:t>Western Australia Primary Health Alliance (Perth North PHN, Perth South PHN and Country Western Australia PHN)</w:t>
            </w:r>
          </w:p>
        </w:tc>
        <w:tc>
          <w:tcPr>
            <w:tcW w:w="2228" w:type="pct"/>
          </w:tcPr>
          <w:p w14:paraId="04586382" w14:textId="77777777" w:rsidR="0016594E" w:rsidRPr="00997F82" w:rsidRDefault="0016594E" w:rsidP="002D0111">
            <w:pPr>
              <w:spacing w:before="40" w:after="40"/>
              <w:rPr>
                <w:szCs w:val="22"/>
              </w:rPr>
            </w:pPr>
            <w:r w:rsidRPr="00997F82">
              <w:rPr>
                <w:szCs w:val="22"/>
              </w:rPr>
              <w:t>Palliative Care Champion project in General Practice</w:t>
            </w:r>
          </w:p>
        </w:tc>
      </w:tr>
      <w:tr w:rsidR="0016594E" w:rsidRPr="00997F82" w14:paraId="23E319B4" w14:textId="77777777" w:rsidTr="00EF6209">
        <w:trPr>
          <w:trHeight w:val="20"/>
        </w:trPr>
        <w:tc>
          <w:tcPr>
            <w:tcW w:w="186" w:type="pct"/>
          </w:tcPr>
          <w:p w14:paraId="462BC4EA" w14:textId="77777777" w:rsidR="0016594E" w:rsidRPr="00997F82" w:rsidRDefault="0016594E" w:rsidP="002D0111">
            <w:pPr>
              <w:spacing w:before="40" w:after="40"/>
              <w:rPr>
                <w:szCs w:val="22"/>
              </w:rPr>
            </w:pPr>
            <w:r w:rsidRPr="00997F82">
              <w:rPr>
                <w:szCs w:val="22"/>
              </w:rPr>
              <w:t>3</w:t>
            </w:r>
          </w:p>
        </w:tc>
        <w:tc>
          <w:tcPr>
            <w:tcW w:w="2586" w:type="pct"/>
          </w:tcPr>
          <w:p w14:paraId="182E15A2" w14:textId="77777777" w:rsidR="0016594E" w:rsidRPr="00997F82" w:rsidRDefault="0016594E" w:rsidP="002D0111">
            <w:pPr>
              <w:spacing w:before="40" w:after="40"/>
              <w:rPr>
                <w:szCs w:val="22"/>
              </w:rPr>
            </w:pPr>
            <w:r w:rsidRPr="00997F82">
              <w:rPr>
                <w:szCs w:val="22"/>
              </w:rPr>
              <w:t xml:space="preserve">Australian Capital Territory PHN (Capital Health Network) </w:t>
            </w:r>
          </w:p>
        </w:tc>
        <w:tc>
          <w:tcPr>
            <w:tcW w:w="2228" w:type="pct"/>
          </w:tcPr>
          <w:p w14:paraId="3B00AC69" w14:textId="77777777" w:rsidR="0016594E" w:rsidRPr="00997F82" w:rsidRDefault="0016594E" w:rsidP="002D0111">
            <w:pPr>
              <w:spacing w:before="40" w:after="40"/>
              <w:rPr>
                <w:szCs w:val="22"/>
              </w:rPr>
            </w:pPr>
            <w:r w:rsidRPr="00997F82">
              <w:rPr>
                <w:szCs w:val="22"/>
              </w:rPr>
              <w:t>ACT Breathlessness Intervention Service (ABIS)</w:t>
            </w:r>
          </w:p>
        </w:tc>
      </w:tr>
      <w:tr w:rsidR="0016594E" w:rsidRPr="00997F82" w14:paraId="51290870" w14:textId="77777777" w:rsidTr="00EF6209">
        <w:trPr>
          <w:trHeight w:val="20"/>
        </w:trPr>
        <w:tc>
          <w:tcPr>
            <w:tcW w:w="186" w:type="pct"/>
          </w:tcPr>
          <w:p w14:paraId="5A5DD4E6" w14:textId="77777777" w:rsidR="0016594E" w:rsidRPr="00997F82" w:rsidRDefault="0016594E" w:rsidP="002D0111">
            <w:pPr>
              <w:spacing w:before="40" w:after="40"/>
              <w:rPr>
                <w:szCs w:val="22"/>
              </w:rPr>
            </w:pPr>
            <w:r w:rsidRPr="00997F82">
              <w:rPr>
                <w:szCs w:val="22"/>
              </w:rPr>
              <w:t>4</w:t>
            </w:r>
          </w:p>
        </w:tc>
        <w:tc>
          <w:tcPr>
            <w:tcW w:w="2586" w:type="pct"/>
          </w:tcPr>
          <w:p w14:paraId="5CBD5278" w14:textId="77777777" w:rsidR="0016594E" w:rsidRPr="00997F82" w:rsidRDefault="0016594E" w:rsidP="002D0111">
            <w:pPr>
              <w:spacing w:before="40" w:after="40"/>
              <w:rPr>
                <w:szCs w:val="22"/>
              </w:rPr>
            </w:pPr>
            <w:r w:rsidRPr="00997F82">
              <w:rPr>
                <w:szCs w:val="22"/>
              </w:rPr>
              <w:t>Regional Victorian Collaborative (Murray PHN, Gippsland PHN and Western Victoria PHN)</w:t>
            </w:r>
          </w:p>
        </w:tc>
        <w:tc>
          <w:tcPr>
            <w:tcW w:w="2228" w:type="pct"/>
          </w:tcPr>
          <w:p w14:paraId="6611BA68" w14:textId="77777777" w:rsidR="0016594E" w:rsidRPr="00997F82" w:rsidRDefault="0016594E" w:rsidP="002D0111">
            <w:pPr>
              <w:spacing w:before="40" w:after="40"/>
              <w:rPr>
                <w:szCs w:val="22"/>
              </w:rPr>
            </w:pPr>
            <w:r w:rsidRPr="00997F82">
              <w:rPr>
                <w:szCs w:val="22"/>
              </w:rPr>
              <w:t>Palliative Care Quality Improvement Project</w:t>
            </w:r>
          </w:p>
        </w:tc>
      </w:tr>
      <w:tr w:rsidR="0016594E" w:rsidRPr="00997F82" w14:paraId="29022916" w14:textId="77777777" w:rsidTr="00EF6209">
        <w:trPr>
          <w:trHeight w:val="20"/>
        </w:trPr>
        <w:tc>
          <w:tcPr>
            <w:tcW w:w="186" w:type="pct"/>
          </w:tcPr>
          <w:p w14:paraId="2E3596AB" w14:textId="77777777" w:rsidR="0016594E" w:rsidRPr="00997F82" w:rsidRDefault="0016594E" w:rsidP="002D0111">
            <w:pPr>
              <w:spacing w:before="40" w:after="40"/>
              <w:rPr>
                <w:szCs w:val="22"/>
              </w:rPr>
            </w:pPr>
            <w:r w:rsidRPr="00997F82">
              <w:rPr>
                <w:szCs w:val="22"/>
              </w:rPr>
              <w:t>5</w:t>
            </w:r>
          </w:p>
        </w:tc>
        <w:tc>
          <w:tcPr>
            <w:tcW w:w="2586" w:type="pct"/>
          </w:tcPr>
          <w:p w14:paraId="58E1D9C3" w14:textId="77777777" w:rsidR="0016594E" w:rsidRPr="00997F82" w:rsidRDefault="0016594E" w:rsidP="002D0111">
            <w:pPr>
              <w:spacing w:before="40" w:after="40"/>
              <w:rPr>
                <w:szCs w:val="22"/>
              </w:rPr>
            </w:pPr>
            <w:r w:rsidRPr="00997F82">
              <w:rPr>
                <w:szCs w:val="22"/>
              </w:rPr>
              <w:t>Central Queensland, Wide Bay and Sunshine Coast PHN (Country 2 Coast PHN)</w:t>
            </w:r>
          </w:p>
        </w:tc>
        <w:tc>
          <w:tcPr>
            <w:tcW w:w="2228" w:type="pct"/>
          </w:tcPr>
          <w:p w14:paraId="6B6BFE28" w14:textId="77777777" w:rsidR="0016594E" w:rsidRPr="00997F82" w:rsidRDefault="0016594E" w:rsidP="002D0111">
            <w:pPr>
              <w:spacing w:before="40" w:after="40"/>
              <w:rPr>
                <w:szCs w:val="22"/>
              </w:rPr>
            </w:pPr>
            <w:r w:rsidRPr="00997F82">
              <w:rPr>
                <w:szCs w:val="22"/>
              </w:rPr>
              <w:t xml:space="preserve">Advance Care Planning (ACP) in Community </w:t>
            </w:r>
          </w:p>
        </w:tc>
      </w:tr>
      <w:tr w:rsidR="0016594E" w:rsidRPr="00997F82" w14:paraId="1318416E" w14:textId="77777777" w:rsidTr="00EF6209">
        <w:trPr>
          <w:trHeight w:val="20"/>
        </w:trPr>
        <w:tc>
          <w:tcPr>
            <w:tcW w:w="186" w:type="pct"/>
          </w:tcPr>
          <w:p w14:paraId="52EF01D7" w14:textId="77777777" w:rsidR="0016594E" w:rsidRPr="00997F82" w:rsidRDefault="0016594E" w:rsidP="002D0111">
            <w:pPr>
              <w:spacing w:before="40" w:after="40"/>
              <w:rPr>
                <w:szCs w:val="22"/>
              </w:rPr>
            </w:pPr>
            <w:r w:rsidRPr="00997F82">
              <w:rPr>
                <w:szCs w:val="22"/>
              </w:rPr>
              <w:t>6</w:t>
            </w:r>
          </w:p>
        </w:tc>
        <w:tc>
          <w:tcPr>
            <w:tcW w:w="2586" w:type="pct"/>
          </w:tcPr>
          <w:p w14:paraId="36266E92" w14:textId="77777777" w:rsidR="0016594E" w:rsidRPr="00997F82" w:rsidRDefault="0016594E" w:rsidP="002D0111">
            <w:pPr>
              <w:spacing w:before="40" w:after="40"/>
              <w:rPr>
                <w:szCs w:val="22"/>
              </w:rPr>
            </w:pPr>
            <w:r w:rsidRPr="00997F82">
              <w:rPr>
                <w:szCs w:val="22"/>
              </w:rPr>
              <w:t xml:space="preserve">Metropolitan Melbourne PHNs (Eastern Melbourne PHN, </w:t>
            </w:r>
            <w:proofErr w:type="gramStart"/>
            <w:r w:rsidRPr="00997F82">
              <w:rPr>
                <w:szCs w:val="22"/>
              </w:rPr>
              <w:t>North Western</w:t>
            </w:r>
            <w:proofErr w:type="gramEnd"/>
            <w:r w:rsidRPr="00997F82">
              <w:rPr>
                <w:szCs w:val="22"/>
              </w:rPr>
              <w:t xml:space="preserve"> Melbourne PHN and </w:t>
            </w:r>
            <w:proofErr w:type="gramStart"/>
            <w:r w:rsidRPr="00997F82">
              <w:rPr>
                <w:szCs w:val="22"/>
              </w:rPr>
              <w:t>South Eastern</w:t>
            </w:r>
            <w:proofErr w:type="gramEnd"/>
            <w:r w:rsidRPr="00997F82">
              <w:rPr>
                <w:szCs w:val="22"/>
              </w:rPr>
              <w:t xml:space="preserve"> Melbourne PHN)</w:t>
            </w:r>
          </w:p>
        </w:tc>
        <w:tc>
          <w:tcPr>
            <w:tcW w:w="2228" w:type="pct"/>
          </w:tcPr>
          <w:p w14:paraId="7B6CAC3B" w14:textId="77777777" w:rsidR="0016594E" w:rsidRPr="00997F82" w:rsidRDefault="0016594E" w:rsidP="002D0111">
            <w:pPr>
              <w:spacing w:before="40" w:after="40"/>
              <w:rPr>
                <w:szCs w:val="22"/>
              </w:rPr>
            </w:pPr>
            <w:r w:rsidRPr="00997F82">
              <w:rPr>
                <w:szCs w:val="22"/>
              </w:rPr>
              <w:t>Palliative Care Access to core Medicines (PCAM)</w:t>
            </w:r>
          </w:p>
        </w:tc>
      </w:tr>
      <w:tr w:rsidR="0016594E" w:rsidRPr="00997F82" w14:paraId="440ABD1B" w14:textId="77777777" w:rsidTr="00EF6209">
        <w:trPr>
          <w:trHeight w:val="20"/>
        </w:trPr>
        <w:tc>
          <w:tcPr>
            <w:tcW w:w="186" w:type="pct"/>
          </w:tcPr>
          <w:p w14:paraId="2492E551" w14:textId="77777777" w:rsidR="0016594E" w:rsidRPr="00997F82" w:rsidRDefault="0016594E" w:rsidP="002D0111">
            <w:pPr>
              <w:spacing w:before="40" w:after="40"/>
              <w:rPr>
                <w:szCs w:val="22"/>
              </w:rPr>
            </w:pPr>
            <w:r w:rsidRPr="00997F82">
              <w:rPr>
                <w:szCs w:val="22"/>
              </w:rPr>
              <w:t>7</w:t>
            </w:r>
          </w:p>
        </w:tc>
        <w:tc>
          <w:tcPr>
            <w:tcW w:w="2586" w:type="pct"/>
          </w:tcPr>
          <w:p w14:paraId="32740B6D" w14:textId="38CABAC5" w:rsidR="0016594E" w:rsidRPr="00997F82" w:rsidRDefault="0016594E" w:rsidP="002D0111">
            <w:pPr>
              <w:spacing w:before="40" w:after="40"/>
              <w:rPr>
                <w:szCs w:val="22"/>
              </w:rPr>
            </w:pPr>
            <w:r w:rsidRPr="00997F82">
              <w:rPr>
                <w:szCs w:val="22"/>
              </w:rPr>
              <w:t>Brisbane South PHN</w:t>
            </w:r>
          </w:p>
        </w:tc>
        <w:tc>
          <w:tcPr>
            <w:tcW w:w="2228" w:type="pct"/>
          </w:tcPr>
          <w:p w14:paraId="28E71483" w14:textId="77777777" w:rsidR="0016594E" w:rsidRPr="00997F82" w:rsidRDefault="0016594E" w:rsidP="002D0111">
            <w:pPr>
              <w:spacing w:before="40" w:after="40"/>
              <w:rPr>
                <w:szCs w:val="22"/>
              </w:rPr>
            </w:pPr>
            <w:r w:rsidRPr="00997F82">
              <w:rPr>
                <w:szCs w:val="22"/>
              </w:rPr>
              <w:t>Upskilling the interpreter workforce in palliative care settings</w:t>
            </w:r>
          </w:p>
        </w:tc>
      </w:tr>
      <w:tr w:rsidR="0016594E" w:rsidRPr="00997F82" w14:paraId="276B84CF" w14:textId="77777777" w:rsidTr="00EF6209">
        <w:trPr>
          <w:trHeight w:val="20"/>
        </w:trPr>
        <w:tc>
          <w:tcPr>
            <w:tcW w:w="186" w:type="pct"/>
          </w:tcPr>
          <w:p w14:paraId="6B0594A4" w14:textId="77777777" w:rsidR="0016594E" w:rsidRPr="00997F82" w:rsidRDefault="0016594E" w:rsidP="002D0111">
            <w:pPr>
              <w:spacing w:before="40" w:after="40"/>
              <w:rPr>
                <w:szCs w:val="22"/>
              </w:rPr>
            </w:pPr>
            <w:r w:rsidRPr="00997F82">
              <w:rPr>
                <w:szCs w:val="22"/>
              </w:rPr>
              <w:t>8</w:t>
            </w:r>
          </w:p>
        </w:tc>
        <w:tc>
          <w:tcPr>
            <w:tcW w:w="2586" w:type="pct"/>
          </w:tcPr>
          <w:p w14:paraId="50243DA1" w14:textId="46B48B38" w:rsidR="0016594E" w:rsidRPr="00997F82" w:rsidRDefault="0016594E" w:rsidP="002D0111">
            <w:pPr>
              <w:spacing w:before="40" w:after="40"/>
              <w:rPr>
                <w:szCs w:val="22"/>
              </w:rPr>
            </w:pPr>
            <w:r w:rsidRPr="00997F82">
              <w:rPr>
                <w:szCs w:val="22"/>
              </w:rPr>
              <w:t>Brisbane North PHN</w:t>
            </w:r>
          </w:p>
        </w:tc>
        <w:tc>
          <w:tcPr>
            <w:tcW w:w="2228" w:type="pct"/>
          </w:tcPr>
          <w:p w14:paraId="195D329E" w14:textId="77777777" w:rsidR="0016594E" w:rsidRPr="00997F82" w:rsidRDefault="0016594E" w:rsidP="002D0111">
            <w:pPr>
              <w:spacing w:before="40" w:after="40"/>
              <w:rPr>
                <w:szCs w:val="22"/>
              </w:rPr>
            </w:pPr>
            <w:r w:rsidRPr="00997F82">
              <w:rPr>
                <w:szCs w:val="22"/>
              </w:rPr>
              <w:t>Living and dying well for people with disability: palliative and end of life case knowledge framework</w:t>
            </w:r>
          </w:p>
        </w:tc>
      </w:tr>
    </w:tbl>
    <w:p w14:paraId="6F2A718A" w14:textId="7AD22299" w:rsidR="0016594E" w:rsidRPr="00997F82" w:rsidRDefault="003163A1" w:rsidP="0016594E">
      <w:pPr>
        <w:spacing w:before="120"/>
      </w:pPr>
      <w:r w:rsidRPr="00997F82">
        <w:rPr>
          <w:noProof/>
        </w:rPr>
        <w:drawing>
          <wp:inline distT="0" distB="0" distL="0" distR="0" wp14:anchorId="0114DF23" wp14:editId="2893124E">
            <wp:extent cx="6045798" cy="8733937"/>
            <wp:effectExtent l="0" t="0" r="0" b="0"/>
            <wp:docPr id="1232384790" name="Picture 2" descr="A case study titled 'Palliative Medication Proficiency Education' by Country South Australia PHN.&#10;&#10;Project Summary:&#10;The project was completed at Midpoint (2024) as part of a wider PHN effort to improve palliative care access and coordination.&#10;&#10;Overview and Objectives of the Project:&#10;Country South Australia PHN (CSAPHN) developed a free online education course on palliative care medication, specifically syringe driver use and opioid prescribing. This course supported the professional development of general practitioners and primary health workers. Competence in syringe driver use and palliative opioid prescribing are recognized areas of need, partly due to lack of training and time constraints.&#10;&#10;How it was implemented:&#10;A free two-hour online program was delivered, suitable for GPs, palliative care nurse practitioners, aged care, clinical staff, and other interested health professionals.&#10;Program content includes:&#10;&#10;Planning for end-of-life care in the home setting.&#10;&#10;Identifying the terminal phase of life.&#10;&#10;Initiating subcutaneous medications.&#10;&#10;Practical information for starting a subcutaneous infusion device (syringe driver).&#10;&#10;Steps to take after death occurs at home.&#10;&#10;Impact and Outcomes:&#10;All learning outcomes were either partially or entirely met by participants.&#10;&#10;A bar chart shows 'Learning outcome 5: Understand how to use syringe drivers (n=47)'.&#10;&#10;Entirely met: 45 participants&#10;&#10;Partially met: 2 participants&#10;&#10;Key outcomes:&#10;&#10;98% of participants believed that the learning outcome of 'recognising signs that indicate when a patient is approaching the terminal phase of life' was entirely met.&#10;&#10;96% of participants understand how to use syringe drivers as a result of the course.&#10;&#10;87% of participants are extremely likely or very likely to recommend the course.&#10;&#10;One of the benefits of using a syringe driver is that multiple medications can be combined and administered concurrently over a 24-hour period to help maintain patient comfort. Greater confidence and competence in using syringe drivers enable more individuals in the community to access palliative care at home and have their end-of-life preferences met.&#10;&#10;(Based on course evaluation data made available by Country SAPHN for period 1 May to 31 July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84790" name="Picture 2" descr="A case study titled 'Palliative Medication Proficiency Education' by Country South Australia PHN.&#10;&#10;Project Summary:&#10;The project was completed at Midpoint (2024) as part of a wider PHN effort to improve palliative care access and coordination.&#10;&#10;Overview and Objectives of the Project:&#10;Country South Australia PHN (CSAPHN) developed a free online education course on palliative care medication, specifically syringe driver use and opioid prescribing. This course supported the professional development of general practitioners and primary health workers. Competence in syringe driver use and palliative opioid prescribing are recognized areas of need, partly due to lack of training and time constraints.&#10;&#10;How it was implemented:&#10;A free two-hour online program was delivered, suitable for GPs, palliative care nurse practitioners, aged care, clinical staff, and other interested health professionals.&#10;Program content includes:&#10;&#10;Planning for end-of-life care in the home setting.&#10;&#10;Identifying the terminal phase of life.&#10;&#10;Initiating subcutaneous medications.&#10;&#10;Practical information for starting a subcutaneous infusion device (syringe driver).&#10;&#10;Steps to take after death occurs at home.&#10;&#10;Impact and Outcomes:&#10;All learning outcomes were either partially or entirely met by participants.&#10;&#10;A bar chart shows 'Learning outcome 5: Understand how to use syringe drivers (n=47)'.&#10;&#10;Entirely met: 45 participants&#10;&#10;Partially met: 2 participants&#10;&#10;Key outcomes:&#10;&#10;98% of participants believed that the learning outcome of 'recognising signs that indicate when a patient is approaching the terminal phase of life' was entirely met.&#10;&#10;96% of participants understand how to use syringe drivers as a result of the course.&#10;&#10;87% of participants are extremely likely or very likely to recommend the course.&#10;&#10;One of the benefits of using a syringe driver is that multiple medications can be combined and administered concurrently over a 24-hour period to help maintain patient comfort. Greater confidence and competence in using syringe drivers enable more individuals in the community to access palliative care at home and have their end-of-life preferences met.&#10;&#10;(Based on course evaluation data made available by Country SAPHN for period 1 May to 31 July 20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48755" cy="8738209"/>
                    </a:xfrm>
                    <a:prstGeom prst="rect">
                      <a:avLst/>
                    </a:prstGeom>
                    <a:noFill/>
                  </pic:spPr>
                </pic:pic>
              </a:graphicData>
            </a:graphic>
          </wp:inline>
        </w:drawing>
      </w:r>
    </w:p>
    <w:p w14:paraId="6BF549C5" w14:textId="5ED0B4AC" w:rsidR="0016594E" w:rsidRPr="00997F82" w:rsidRDefault="00FC08E9" w:rsidP="0016594E">
      <w:pPr>
        <w:spacing w:before="120"/>
      </w:pPr>
      <w:r w:rsidRPr="00997F82">
        <w:rPr>
          <w:noProof/>
          <w:sz w:val="22"/>
          <w:szCs w:val="24"/>
        </w:rPr>
        <w:drawing>
          <wp:inline distT="0" distB="0" distL="0" distR="0" wp14:anchorId="3E9C3E30" wp14:editId="7B51C813">
            <wp:extent cx="6024339" cy="8702936"/>
            <wp:effectExtent l="0" t="0" r="0" b="3175"/>
            <wp:docPr id="1583803749" name="Picture 3" descr="A case study titled 'Palliative Care Champion project in general practice' by Western Australia Primary Health Alliance (PNPHN, PSPHN, CWAPHN).&#10;&#10;Project Context:&#10;The project is ongoing as part of a wider PHN effort to improve palliative care access and coordination.&#10;&#10;Overview and Objectives of the Project:&#10;The project aims to build GP and general practice capacity to implement a consistent approach to advance care planning (ACP) as part of routine health assessments for older people and those with complex chronic disease.&#10;The project aims to:&#10;&#10;Improve awareness and access to palliative care at home and support end-of-life care systems and services in primary care and community care.&#10;&#10;Enable the right care at the right time and in the right place to reduce unnecessary hospitalisations.&#10;&#10;Generate and use data to support continuous improvement of services across sectors.&#10;&#10;Promote end of life choice through the proactive promotion of ACP.&#10;&#10;Optimise MBS item reimbursement to support ACP and palliative care provision.&#10;&#10;How it was implemented:&#10;In 2023/24, a pilot was undertaken with one general practice in each Western Australian PHN region:&#10;&#10;3 General Practices (1 in each PHN).&#10;&#10;Involved 24 GPs and 11 Practice Nurses.&#10;Each site completed a series of baseline audits which included:&#10;&#10;ACP and Palliative Care Organisational Audit.&#10;&#10;Learning Needs Analysis Survey (for GPs and Practice Nurses).&#10;&#10;After Death Audits.&#10;The pilot has shown great results, and a further 9 GP practices will be provided with a small grant to support the role of Palliative Care Champion in FY 2024/25.&#10;&#10;Impact and Outcomes of the pilot:&#10;&#10;Activities and resources provided for General Practices:&#10;&#10;Dashboard developed to measure key data points related to routine health assessment eligibility and uptake.&#10;&#10;Fact Sheet on Planned Palliative Care MBS Items was developed and provided to each practice.&#10;&#10;Training and resource kit developed:&#10;&#10;A script for practice nurses - Introducing ACP in general practice.&#10;&#10;Monthly Community of Practice meetings for palliative care champions.&#10;&#10;ACP consumer resources including CALD resources.&#10;&#10;Key Impacts:&#10;&#10;Influencing care provided to 3,519 older Australians supported by the three pilot sites.&#10;&#10;Impacted the care of 1,030 patients with complex needs and potentially unmet palliative care needs who might have otherwise not received palliative care options/information.&#10;&#10;Built relationships with 35 clinical staff across the three sites as well as their support team within each practice who can positively impact patient care.&#10;&#10;Assisted these practices to build capacity and capability in the use of Best Practice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03749" name="Picture 3" descr="A case study titled 'Palliative Care Champion project in general practice' by Western Australia Primary Health Alliance (PNPHN, PSPHN, CWAPHN).&#10;&#10;Project Context:&#10;The project is ongoing as part of a wider PHN effort to improve palliative care access and coordination.&#10;&#10;Overview and Objectives of the Project:&#10;The project aims to build GP and general practice capacity to implement a consistent approach to advance care planning (ACP) as part of routine health assessments for older people and those with complex chronic disease.&#10;The project aims to:&#10;&#10;Improve awareness and access to palliative care at home and support end-of-life care systems and services in primary care and community care.&#10;&#10;Enable the right care at the right time and in the right place to reduce unnecessary hospitalisations.&#10;&#10;Generate and use data to support continuous improvement of services across sectors.&#10;&#10;Promote end of life choice through the proactive promotion of ACP.&#10;&#10;Optimise MBS item reimbursement to support ACP and palliative care provision.&#10;&#10;How it was implemented:&#10;In 2023/24, a pilot was undertaken with one general practice in each Western Australian PHN region:&#10;&#10;3 General Practices (1 in each PHN).&#10;&#10;Involved 24 GPs and 11 Practice Nurses.&#10;Each site completed a series of baseline audits which included:&#10;&#10;ACP and Palliative Care Organisational Audit.&#10;&#10;Learning Needs Analysis Survey (for GPs and Practice Nurses).&#10;&#10;After Death Audits.&#10;The pilot has shown great results, and a further 9 GP practices will be provided with a small grant to support the role of Palliative Care Champion in FY 2024/25.&#10;&#10;Impact and Outcomes of the pilot:&#10;&#10;Activities and resources provided for General Practices:&#10;&#10;Dashboard developed to measure key data points related to routine health assessment eligibility and uptake.&#10;&#10;Fact Sheet on Planned Palliative Care MBS Items was developed and provided to each practice.&#10;&#10;Training and resource kit developed:&#10;&#10;A script for practice nurses - Introducing ACP in general practice.&#10;&#10;Monthly Community of Practice meetings for palliative care champions.&#10;&#10;ACP consumer resources including CALD resources.&#10;&#10;Key Impacts:&#10;&#10;Influencing care provided to 3,519 older Australians supported by the three pilot sites.&#10;&#10;Impacted the care of 1,030 patients with complex needs and potentially unmet palliative care needs who might have otherwise not received palliative care options/information.&#10;&#10;Built relationships with 35 clinical staff across the three sites as well as their support team within each practice who can positively impact patient care.&#10;&#10;Assisted these practices to build capacity and capability in the use of Best Practice softwa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26058" cy="8705419"/>
                    </a:xfrm>
                    <a:prstGeom prst="rect">
                      <a:avLst/>
                    </a:prstGeom>
                    <a:noFill/>
                  </pic:spPr>
                </pic:pic>
              </a:graphicData>
            </a:graphic>
          </wp:inline>
        </w:drawing>
      </w:r>
    </w:p>
    <w:p w14:paraId="0482E0AC" w14:textId="594E55F6" w:rsidR="0016594E" w:rsidRPr="00997F82" w:rsidRDefault="000E19A1" w:rsidP="0016594E">
      <w:pPr>
        <w:spacing w:line="240" w:lineRule="auto"/>
        <w:rPr>
          <w:sz w:val="22"/>
          <w:szCs w:val="24"/>
        </w:rPr>
      </w:pPr>
      <w:r w:rsidRPr="00997F82">
        <w:rPr>
          <w:noProof/>
          <w:sz w:val="22"/>
          <w:szCs w:val="24"/>
        </w:rPr>
        <w:drawing>
          <wp:inline distT="0" distB="0" distL="0" distR="0" wp14:anchorId="2FEE4CEF" wp14:editId="2A79BEFF">
            <wp:extent cx="6045798" cy="8733940"/>
            <wp:effectExtent l="0" t="0" r="0" b="0"/>
            <wp:docPr id="1851380973" name="Picture 4" descr="A case study titled 'Breathlessness Intervention Service (ABIS)' by the Australian Capital Territory Primary Health Network (Capital Health Network).&#10;&#10;Project Context:&#10;The project was completed at Midpoint (2024) as part of a wider PHN effort to improve palliative care access and coordination in the ACT.&#10;&#10;Overview and objectives of the Project:&#10;Chronic breathlessness due to life-threatening illness is a frequent reason for Emergency Department visits and hospital admissions. Symptom-based care helps reduce the impacts of breathlessness, improve quality of life, assist families/carers, and potentially reduce hospital admissions. The Capital Health Network (CHN) collaborated with partners, consumers, and clinicians to co-design and develop a pilot of a home Breathlessness Intervention Service.&#10;&#10;How it was implemented:&#10;ABIS was a 12-month pilot, co-designed with consumers and clinicians, and funded by ACT PHN. It commenced in March 2023 and ended in December 2024. The program offers GP referrals for physiotherapist and nurse-delivered home visits to patients suffering persistent breathlessness due to chronic disease.&#10;&#10;Patients were eligible if they had a score ≥2 on a scale assessing the degree of baseline functional disability due to feeling breathless (mMRC).&#10;&#10;Referrals were invited from general practice and respiratory services.&#10;&#10;Interventions were non-pharmacological and addressed the 'breathing, thinking and functioning' components of breathlessness.&#10;&#10;Interventions aimed at both the patient and carer.&#10;&#10;Partners leveraged for the project:&#10;&#10;Southside Physio (pilot delivery)&#10;&#10;University of Technology Sydney (pilot evaluators)&#10;&#10;ACT Specialist Palliative Care&#10;&#10;GPs (16 practices)&#10;&#10;PHN Population snapshot:&#10;&#10;22.5% - The ACT has the highest rate of palliative clients nationwide (per 10,000).&#10;&#10;8.4% - Average annual increase in hospitalisations for palliative care in the ACT (2014-15 to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380973" name="Picture 4" descr="A case study titled 'Breathlessness Intervention Service (ABIS)' by the Australian Capital Territory Primary Health Network (Capital Health Network).&#10;&#10;Project Context:&#10;The project was completed at Midpoint (2024) as part of a wider PHN effort to improve palliative care access and coordination in the ACT.&#10;&#10;Overview and objectives of the Project:&#10;Chronic breathlessness due to life-threatening illness is a frequent reason for Emergency Department visits and hospital admissions. Symptom-based care helps reduce the impacts of breathlessness, improve quality of life, assist families/carers, and potentially reduce hospital admissions. The Capital Health Network (CHN) collaborated with partners, consumers, and clinicians to co-design and develop a pilot of a home Breathlessness Intervention Service.&#10;&#10;How it was implemented:&#10;ABIS was a 12-month pilot, co-designed with consumers and clinicians, and funded by ACT PHN. It commenced in March 2023 and ended in December 2024. The program offers GP referrals for physiotherapist and nurse-delivered home visits to patients suffering persistent breathlessness due to chronic disease.&#10;&#10;Patients were eligible if they had a score ≥2 on a scale assessing the degree of baseline functional disability due to feeling breathless (mMRC).&#10;&#10;Referrals were invited from general practice and respiratory services.&#10;&#10;Interventions were non-pharmacological and addressed the 'breathing, thinking and functioning' components of breathlessness.&#10;&#10;Interventions aimed at both the patient and carer.&#10;&#10;Partners leveraged for the project:&#10;&#10;Southside Physio (pilot delivery)&#10;&#10;University of Technology Sydney (pilot evaluators)&#10;&#10;ACT Specialist Palliative Care&#10;&#10;GPs (16 practices)&#10;&#10;PHN Population snapshot:&#10;&#10;22.5% - The ACT has the highest rate of palliative clients nationwide (per 10,000).&#10;&#10;8.4% - Average annual increase in hospitalisations for palliative care in the ACT (2014-15 to 2018-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48583" cy="8737964"/>
                    </a:xfrm>
                    <a:prstGeom prst="rect">
                      <a:avLst/>
                    </a:prstGeom>
                    <a:noFill/>
                  </pic:spPr>
                </pic:pic>
              </a:graphicData>
            </a:graphic>
          </wp:inline>
        </w:drawing>
      </w:r>
    </w:p>
    <w:p w14:paraId="7AE29888" w14:textId="3B72412F" w:rsidR="0016594E" w:rsidRPr="00997F82" w:rsidRDefault="0020603A" w:rsidP="0016594E">
      <w:pPr>
        <w:spacing w:line="240" w:lineRule="auto"/>
        <w:rPr>
          <w:sz w:val="22"/>
          <w:szCs w:val="24"/>
        </w:rPr>
      </w:pPr>
      <w:r w:rsidRPr="00997F82">
        <w:rPr>
          <w:noProof/>
          <w:sz w:val="22"/>
          <w:szCs w:val="24"/>
        </w:rPr>
        <w:drawing>
          <wp:inline distT="0" distB="0" distL="0" distR="0" wp14:anchorId="756EA5A8" wp14:editId="31802BEB">
            <wp:extent cx="6056555" cy="8749476"/>
            <wp:effectExtent l="0" t="0" r="1905" b="0"/>
            <wp:docPr id="2138737486" name="Picture 11" descr="This is the second page of the Breathlessness Intervention Service (ABIS) case study, focusing on Impact and Outcomes.&#10;&#10;Impact and Outcomes:&#10;&#10;134 patients were referred to ABIS (to July 2024) who would have otherwise continued without learning to self-manage their breathlessness.&#10;&#10;All 59 patients who completed the initial trial achieved improvements on at least one outcome, such as mastering breathlessness and reducing breathlessness severity.&#10;&#10;75% of carers who participated in the workshops reported improvements in confidence in caring for the patient, and patients and carers reported mental benefits from the training.&#10;&#10;On 44 occasions, 27 patients avoided calling an ambulance by self-managing breathlessness using ABIS techniques (based on follow-up with 115 patients).&#10;&#10;Line Graph: Number of patients referred per month, by specialty (n=124)&#10;The graph shows referral rates by specialty over time, with a note indicating that 'Referral rates rise moving into winter 2024'.&#10;&#10;GP referrals: Started high in Mar-May '23, decreased towards Dec '23-Feb '24, and then increased again by Mar-Jun '24.&#10;&#10;Respiratory referrals: Showed an initial peak in Jun-Aug '23, decreased, and then significantly increased to become the highest referral source by Mar-Jun '24, aligning with the winter increase.&#10;&#10;Geriatrics and Renal referrals: Remained consistently low throughout the period, showing a small uptick towards Mar-Ju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37486" name="Picture 11" descr="This is the second page of the Breathlessness Intervention Service (ABIS) case study, focusing on Impact and Outcomes.&#10;&#10;Impact and Outcomes:&#10;&#10;134 patients were referred to ABIS (to July 2024) who would have otherwise continued without learning to self-manage their breathlessness.&#10;&#10;All 59 patients who completed the initial trial achieved improvements on at least one outcome, such as mastering breathlessness and reducing breathlessness severity.&#10;&#10;75% of carers who participated in the workshops reported improvements in confidence in caring for the patient, and patients and carers reported mental benefits from the training.&#10;&#10;On 44 occasions, 27 patients avoided calling an ambulance by self-managing breathlessness using ABIS techniques (based on follow-up with 115 patients).&#10;&#10;Line Graph: Number of patients referred per month, by specialty (n=124)&#10;The graph shows referral rates by specialty over time, with a note indicating that 'Referral rates rise moving into winter 2024'.&#10;&#10;GP referrals: Started high in Mar-May '23, decreased towards Dec '23-Feb '24, and then increased again by Mar-Jun '24.&#10;&#10;Respiratory referrals: Showed an initial peak in Jun-Aug '23, decreased, and then significantly increased to become the highest referral source by Mar-Jun '24, aligning with the winter increase.&#10;&#10;Geriatrics and Renal referrals: Remained consistently low throughout the period, showing a small uptick towards Mar-Jun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58645" cy="8752496"/>
                    </a:xfrm>
                    <a:prstGeom prst="rect">
                      <a:avLst/>
                    </a:prstGeom>
                    <a:noFill/>
                  </pic:spPr>
                </pic:pic>
              </a:graphicData>
            </a:graphic>
          </wp:inline>
        </w:drawing>
      </w:r>
    </w:p>
    <w:p w14:paraId="7E481CA6" w14:textId="2409F7BE" w:rsidR="0016594E" w:rsidRPr="00997F82" w:rsidRDefault="00BB34EE" w:rsidP="0016594E">
      <w:pPr>
        <w:spacing w:line="240" w:lineRule="auto"/>
        <w:rPr>
          <w:sz w:val="22"/>
          <w:szCs w:val="24"/>
        </w:rPr>
      </w:pPr>
      <w:r w:rsidRPr="00997F82">
        <w:rPr>
          <w:noProof/>
          <w:sz w:val="22"/>
          <w:szCs w:val="24"/>
        </w:rPr>
        <w:drawing>
          <wp:inline distT="0" distB="0" distL="0" distR="0" wp14:anchorId="1FC047A7" wp14:editId="2931860D">
            <wp:extent cx="6045798" cy="8733939"/>
            <wp:effectExtent l="0" t="0" r="0" b="0"/>
            <wp:docPr id="204487375" name="Picture 6" descr="A case study titled 'Palliative Care Quality Improvement project' by Regional Victorian PHNs (Murray, Gippsland and Western Victoria).&#10;&#10;Project Context:&#10;The project is ongoing as part of a wider PHN effort to improve palliative care access and coordination.&#10;&#10;PHN Fast Facts:&#10;&#10;A bar chart shows the percentage of the population aged over 65 years: Murray PHN 18%, Western Vic PHN 17%, and Victoria 15.3%.&#10;&#10;The Murray PHN region has 18.6% of its population over 65 years, similar to Western Vic PHN (17%), with Gippsland PHN having a bigger prevalence (1 in every 4 adults).&#10;&#10;In 2019-20, there was a 24% increase in preventable hospital admissions and Emergency Department presentations due to dementia in the Murray PHN region.&#10;&#10;Dementia remains the second most common cause of death among all people in the Gippsland and Murray PHN regions and is still highly prevalent in the Grampians-Wimmera regions in Western Victoria.&#10;&#10;(Source: Palliative Care Quality Improvement Toolkit for general practices in Victoria, by regional Victorian PHNs).&#10;&#10;Overview and objectives of the project:&#10;The project involves a collaboration between three regional Victorian PHNs piloting a Palliative Care Quality Improvement Toolkit in general practices to support GPs in improving timely identification, response, and management of patients living with life-limiting illnesses.&#10;The pilot sought to address known challenges related to:&#10;&#10;Low identification of patients living with life-limiting illness.&#10;&#10;High rate of preventable hospital admissions.&#10;&#10;Need for models of care to address clinical deterioration of patients.&#10;&#10;Need for upskilling of workforce required in areas such as Advanced Care Planning, Palliative and End of Life care.&#10;&#10;How it was implemented:&#10;18 General Practices across 3 PHNs were involved in the pilot, which progressed through three phases:&#10;&#10;Phase 1 (complete): QI toolkit development.&#10;&#10;Phase 2 (complete): 12-month pilot.&#10;&#10;Phase 3 (started Sept '24): Internal evaluation and reporting.&#10;&#10;Key activities:&#10;&#10;Check-ins with PHN project staff included orientation and monthly meetings.&#10;&#10;3 x quality improvement activities to be undertaken in each practice.&#10;&#10;6 x PEPA online modules to be completed by each practice.&#10;&#10;Completed After - Death Audit and Death Literacy Index at the end of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87375" name="Picture 6" descr="A case study titled 'Palliative Care Quality Improvement project' by Regional Victorian PHNs (Murray, Gippsland and Western Victoria).&#10;&#10;Project Context:&#10;The project is ongoing as part of a wider PHN effort to improve palliative care access and coordination.&#10;&#10;PHN Fast Facts:&#10;&#10;A bar chart shows the percentage of the population aged over 65 years: Murray PHN 18%, Western Vic PHN 17%, and Victoria 15.3%.&#10;&#10;The Murray PHN region has 18.6% of its population over 65 years, similar to Western Vic PHN (17%), with Gippsland PHN having a bigger prevalence (1 in every 4 adults).&#10;&#10;In 2019-20, there was a 24% increase in preventable hospital admissions and Emergency Department presentations due to dementia in the Murray PHN region.&#10;&#10;Dementia remains the second most common cause of death among all people in the Gippsland and Murray PHN regions and is still highly prevalent in the Grampians-Wimmera regions in Western Victoria.&#10;&#10;(Source: Palliative Care Quality Improvement Toolkit for general practices in Victoria, by regional Victorian PHNs).&#10;&#10;Overview and objectives of the project:&#10;The project involves a collaboration between three regional Victorian PHNs piloting a Palliative Care Quality Improvement Toolkit in general practices to support GPs in improving timely identification, response, and management of patients living with life-limiting illnesses.&#10;The pilot sought to address known challenges related to:&#10;&#10;Low identification of patients living with life-limiting illness.&#10;&#10;High rate of preventable hospital admissions.&#10;&#10;Need for models of care to address clinical deterioration of patients.&#10;&#10;Need for upskilling of workforce required in areas such as Advanced Care Planning, Palliative and End of Life care.&#10;&#10;How it was implemented:&#10;18 General Practices across 3 PHNs were involved in the pilot, which progressed through three phases:&#10;&#10;Phase 1 (complete): QI toolkit development.&#10;&#10;Phase 2 (complete): 12-month pilot.&#10;&#10;Phase 3 (started Sept '24): Internal evaluation and reporting.&#10;&#10;Key activities:&#10;&#10;Check-ins with PHN project staff included orientation and monthly meetings.&#10;&#10;3 x quality improvement activities to be undertaken in each practice.&#10;&#10;6 x PEPA online modules to be completed by each practice.&#10;&#10;Completed After - Death Audit and Death Literacy Index at the end of the proj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47861" cy="8736920"/>
                    </a:xfrm>
                    <a:prstGeom prst="rect">
                      <a:avLst/>
                    </a:prstGeom>
                    <a:noFill/>
                  </pic:spPr>
                </pic:pic>
              </a:graphicData>
            </a:graphic>
          </wp:inline>
        </w:drawing>
      </w:r>
    </w:p>
    <w:p w14:paraId="0D55821E" w14:textId="230E4D25" w:rsidR="0016594E" w:rsidRPr="00997F82" w:rsidRDefault="000E19A1" w:rsidP="0016594E">
      <w:pPr>
        <w:spacing w:line="240" w:lineRule="auto"/>
        <w:rPr>
          <w:sz w:val="22"/>
          <w:szCs w:val="24"/>
        </w:rPr>
      </w:pPr>
      <w:r w:rsidRPr="00997F82">
        <w:rPr>
          <w:noProof/>
          <w:sz w:val="22"/>
          <w:szCs w:val="24"/>
        </w:rPr>
        <w:drawing>
          <wp:inline distT="0" distB="0" distL="0" distR="0" wp14:anchorId="6DF94046" wp14:editId="6E5235B4">
            <wp:extent cx="6039231" cy="8724451"/>
            <wp:effectExtent l="0" t="0" r="0" b="635"/>
            <wp:docPr id="1218206303" name="Picture 4" descr="This is the second page of the 'Palliative Care Quality Improvement project' case study, focusing on Implementation Activities, and Impact and Outcomes.&#10;&#10;Implementation activities:&#10;&#10;Established clinical meetings to discuss palliative care patient journeys.&#10;&#10;Upskilling workforce on palliative care knowledge.&#10;&#10;New internal mechanisms to identify patients who would benefit from palliative care discussions.&#10;&#10;Increased Advanced Care Planning.&#10;&#10;Reviewing resources / referral pathways.&#10;&#10;Utilising online systems for when a patient is being seen by another GP in residential aged care.&#10;&#10;Introduced a focus on 75+ Health assessments.&#10;&#10;Impact and Outcomes:&#10;&#10;The QI Toolkit is being well received and implemented in pilot sites.&#10;&#10;92% of surveyed practitioners agree that the project has increased Advanced Care Planning discussions.&#10;&#10;100% of GP staff part of the project who also attended associated Advance Care Planning workshops would recommend it to a colleague.&#10;&#10;General practice staff members part of the project were invited to attend Advance Care Planning (ACP) workshops. Evidence shows increased knowledge and skills for those who attended.&#10;&#10;A series of bar graphs show chnages in pre and post workshop scores across a range of factors. &#10;Confidence levels before and after workshops (Pre-workshop vs. Post-workshop): Percentage of attendees confident in Understanding the law regarding ACP: 11% pre workshop vs. 100% post workshop&#10;&#10;percentage of attendees confident in understanding the patient's right to limit or refuse treatment: 33.3% pr workshop  vs. 100% post workshop &#10;&#10;percentage of attendees confident in Initiating an ACP discussion: 33.3% pre workshop  vs. 100% post workshop&#10;&#10;percentage of attendees confident in Completing ACP documentation: 11.1% pre workshop  vs. 87.5% post workshop &#10;&#10;percentage of attendees confident in discussing the role of the medical treatment decision maker: 22.2% pre workshop vs. 100% post workshop&#10;&#10;percentage of attendees confident in Locating resources to support ACP: 22.2% pre workshop vs. 100% post worksh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06303" name="Picture 4" descr="This is the second page of the 'Palliative Care Quality Improvement project' case study, focusing on Implementation Activities, and Impact and Outcomes.&#10;&#10;Implementation activities:&#10;&#10;Established clinical meetings to discuss palliative care patient journeys.&#10;&#10;Upskilling workforce on palliative care knowledge.&#10;&#10;New internal mechanisms to identify patients who would benefit from palliative care discussions.&#10;&#10;Increased Advanced Care Planning.&#10;&#10;Reviewing resources / referral pathways.&#10;&#10;Utilising online systems for when a patient is being seen by another GP in residential aged care.&#10;&#10;Introduced a focus on 75+ Health assessments.&#10;&#10;Impact and Outcomes:&#10;&#10;The QI Toolkit is being well received and implemented in pilot sites.&#10;&#10;92% of surveyed practitioners agree that the project has increased Advanced Care Planning discussions.&#10;&#10;100% of GP staff part of the project who also attended associated Advance Care Planning workshops would recommend it to a colleague.&#10;&#10;General practice staff members part of the project were invited to attend Advance Care Planning (ACP) workshops. Evidence shows increased knowledge and skills for those who attended.&#10;&#10;A series of bar graphs show chnages in pre and post workshop scores across a range of factors. &#10;Confidence levels before and after workshops (Pre-workshop vs. Post-workshop): Percentage of attendees confident in Understanding the law regarding ACP: 11% pre workshop vs. 100% post workshop&#10;&#10;percentage of attendees confident in understanding the patient's right to limit or refuse treatment: 33.3% pr workshop  vs. 100% post workshop &#10;&#10;percentage of attendees confident in Initiating an ACP discussion: 33.3% pre workshop  vs. 100% post workshop&#10;&#10;percentage of attendees confident in Completing ACP documentation: 11.1% pre workshop  vs. 87.5% post workshop &#10;&#10;percentage of attendees confident in discussing the role of the medical treatment decision maker: 22.2% pre workshop vs. 100% post workshop&#10;&#10;percentage of attendees confident in Locating resources to support ACP: 22.2% pre workshop vs. 100% post workshop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42510" cy="8729188"/>
                    </a:xfrm>
                    <a:prstGeom prst="rect">
                      <a:avLst/>
                    </a:prstGeom>
                    <a:noFill/>
                  </pic:spPr>
                </pic:pic>
              </a:graphicData>
            </a:graphic>
          </wp:inline>
        </w:drawing>
      </w:r>
    </w:p>
    <w:p w14:paraId="366D06A0" w14:textId="74D91D41" w:rsidR="0016594E" w:rsidRPr="00997F82" w:rsidRDefault="00623A12" w:rsidP="0016594E">
      <w:pPr>
        <w:spacing w:line="240" w:lineRule="auto"/>
        <w:rPr>
          <w:sz w:val="22"/>
          <w:szCs w:val="24"/>
        </w:rPr>
      </w:pPr>
      <w:r w:rsidRPr="00997F82">
        <w:rPr>
          <w:noProof/>
          <w:sz w:val="22"/>
          <w:szCs w:val="24"/>
        </w:rPr>
        <w:drawing>
          <wp:inline distT="0" distB="0" distL="0" distR="0" wp14:anchorId="09464306" wp14:editId="2F9C4DC2">
            <wp:extent cx="6056555" cy="8749786"/>
            <wp:effectExtent l="0" t="0" r="1905" b="0"/>
            <wp:docPr id="1834781627" name="Picture 10" descr="A case study titled 'Advance Care Planning (ACP) in Community' by Central Queensland, Wide Bay and Sunshine Coast PHN.&#10;&#10;Project Context:&#10;The project is ongoing as part of a wider PHN effort to improve palliative care access and coordination.&#10;&#10;CCQPHN Fast Facts (as at June 2019):&#10;&#10;877K residents, projected to be 1.1M by 2036.&#10;&#10;21.7% Aged 65 and above.&#10;&#10;3.6% Aboriginal and/or Torres Strait Islanders.&#10;&#10;5.4% Born in non-English speaking countries.&#10;&#10;66.9% living outside of metropolitan areas.&#10;&#10;CCQPHN scoped the level of existing awareness:&#10;&#10;70% of respondents stated they had thought about their future health care.&#10;&#10;Respondents felt the most important times to complete an ACP was if:&#10;&#10;they were diagnosed with a terminal illness.&#10;&#10;they became too old and frail.&#10;&#10;they were diagnosed with dementia.&#10;&#10;Activity objectives:&#10;CCQPHN's ACP project aims to raise awareness, understanding and confidence in ACP in the community. It is delivered in partnership with the Queensland Office of Advance Care Planning (OACP) and includes:&#10;&#10;A commitment to improving ACP literacy.&#10;&#10;Earlier engagement with ACP.&#10;&#10;Increasing accessibility to key resources.&#10;&#10;How it was implemented:&#10;&#10;Train-the-trainer education programs for volunteer community members, to ensure a sustainable program.&#10;&#10;The provision of evidence-based resources to local clinicians to build awareness.&#10;&#10;Sharing standardised documentation.&#10;&#10;Establishing community champions who facilitate community discussions, promote ACP, and assist with navigation of resources and support.&#10;&#10;The role of a volunteer ACP community Champion:&#10;&#10;Define: and facilitate formal and informal community ACP discussions.&#10;&#10;Promote: the advantages of ACP to the local community.&#10;&#10;Direct: Assist community members in accessing support and resources. Be a source of information about further support.&#10;&#10;Connect: community members to the Statewide Office of Advanced Care Planning and Queensland ACP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81627" name="Picture 10" descr="A case study titled 'Advance Care Planning (ACP) in Community' by Central Queensland, Wide Bay and Sunshine Coast PHN.&#10;&#10;Project Context:&#10;The project is ongoing as part of a wider PHN effort to improve palliative care access and coordination.&#10;&#10;CCQPHN Fast Facts (as at June 2019):&#10;&#10;877K residents, projected to be 1.1M by 2036.&#10;&#10;21.7% Aged 65 and above.&#10;&#10;3.6% Aboriginal and/or Torres Strait Islanders.&#10;&#10;5.4% Born in non-English speaking countries.&#10;&#10;66.9% living outside of metropolitan areas.&#10;&#10;CCQPHN scoped the level of existing awareness:&#10;&#10;70% of respondents stated they had thought about their future health care.&#10;&#10;Respondents felt the most important times to complete an ACP was if:&#10;&#10;they were diagnosed with a terminal illness.&#10;&#10;they became too old and frail.&#10;&#10;they were diagnosed with dementia.&#10;&#10;Activity objectives:&#10;CCQPHN's ACP project aims to raise awareness, understanding and confidence in ACP in the community. It is delivered in partnership with the Queensland Office of Advance Care Planning (OACP) and includes:&#10;&#10;A commitment to improving ACP literacy.&#10;&#10;Earlier engagement with ACP.&#10;&#10;Increasing accessibility to key resources.&#10;&#10;How it was implemented:&#10;&#10;Train-the-trainer education programs for volunteer community members, to ensure a sustainable program.&#10;&#10;The provision of evidence-based resources to local clinicians to build awareness.&#10;&#10;Sharing standardised documentation.&#10;&#10;Establishing community champions who facilitate community discussions, promote ACP, and assist with navigation of resources and support.&#10;&#10;The role of a volunteer ACP community Champion:&#10;&#10;Define: and facilitate formal and informal community ACP discussions.&#10;&#10;Promote: the advantages of ACP to the local community.&#10;&#10;Direct: Assist community members in accessing support and resources. Be a source of information about further support.&#10;&#10;Connect: community members to the Statewide Office of Advanced Care Planning and Queensland ACP document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57668" cy="8751394"/>
                    </a:xfrm>
                    <a:prstGeom prst="rect">
                      <a:avLst/>
                    </a:prstGeom>
                    <a:noFill/>
                  </pic:spPr>
                </pic:pic>
              </a:graphicData>
            </a:graphic>
          </wp:inline>
        </w:drawing>
      </w:r>
    </w:p>
    <w:p w14:paraId="6A38868B" w14:textId="2F2FADC1" w:rsidR="0016594E" w:rsidRPr="00997F82" w:rsidRDefault="00836D93" w:rsidP="0016594E">
      <w:pPr>
        <w:spacing w:line="240" w:lineRule="auto"/>
        <w:rPr>
          <w:sz w:val="22"/>
          <w:szCs w:val="24"/>
        </w:rPr>
      </w:pPr>
      <w:r w:rsidRPr="00997F82">
        <w:rPr>
          <w:noProof/>
          <w:sz w:val="22"/>
          <w:szCs w:val="24"/>
        </w:rPr>
        <w:drawing>
          <wp:inline distT="0" distB="0" distL="0" distR="0" wp14:anchorId="17575B40" wp14:editId="48268D69">
            <wp:extent cx="6056555" cy="8749786"/>
            <wp:effectExtent l="0" t="0" r="1905" b="0"/>
            <wp:docPr id="1368611353" name="Picture 12" descr="This is the second page of the 'Advance Care Planning (ACP) in Community' case study, focusing on Impact and Outcomes and survey results.&#10;&#10;Impact and Outcomes:&#10;&#10;612 total participants over 64 hours of ACP education.&#10;&#10;475 Community members accessed 42 hours of ACP education.&#10;&#10;95 GPs and health clinicians accessed 7 hours of ACP education.&#10;&#10;41 ACP champions accessed 15 hours of ACP education.&#10;&#10;80% of respondents reported improved confidence and awareness.&#10;&#10;Survey results (Pre % vs. Post %):&#10;&#10;Awareness of ACP:&#10;&#10;Are you aware of the role advance care planning plays in your healthcare? Pre: 42% | Post: 92%&#10;&#10;Are you aware of the impact advance care planning can have on the care you are given at the end of your life? Pre: 44% | Post: 95%&#10;&#10;Are you aware that participating in advance care planning early in life is important? Pre: 49% | Post: 93%&#10;&#10;Confidence accessing and completing an ACP:&#10;&#10;I am confident that I know how to access ACP forms. Pre: 34% | Post: 81%&#10;&#10;I feel confident enough to ask my nurse/doctor about ACP. Pre: 55% | Post: 87%&#10;&#10;I feel confident to complete my ACP. Pre: 35% | Post: 78%&#10;&#10;Understanding of ACP documents:&#10;&#10;I understand the role of the Statewide Office of ACP. Pre: 20% | Post: 82%&#10;&#10;I understand that there are three main Queensland ACP documents. Pre: 21% | Post: 84%&#10;&#10;I understand how to store these ACP documents. Pre: 20% | Post: 87%&#10;&#10;Increased and continuing conversations around ACP has the potential to:&#10;&#10;Empower and prepare community members by helping individuals to understand the importance of planning for future health care decisions.&#10;&#10;Improve access to right care, at right time and right place.&#10;&#10;Has potential to reduce unnecessary hospitalisations.&#10;&#10;Lead to more efficient utilisation of healthcare resources.&#10;&#10;Enhance formal and informal community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11353" name="Picture 12" descr="This is the second page of the 'Advance Care Planning (ACP) in Community' case study, focusing on Impact and Outcomes and survey results.&#10;&#10;Impact and Outcomes:&#10;&#10;612 total participants over 64 hours of ACP education.&#10;&#10;475 Community members accessed 42 hours of ACP education.&#10;&#10;95 GPs and health clinicians accessed 7 hours of ACP education.&#10;&#10;41 ACP champions accessed 15 hours of ACP education.&#10;&#10;80% of respondents reported improved confidence and awareness.&#10;&#10;Survey results (Pre % vs. Post %):&#10;&#10;Awareness of ACP:&#10;&#10;Are you aware of the role advance care planning plays in your healthcare? Pre: 42% | Post: 92%&#10;&#10;Are you aware of the impact advance care planning can have on the care you are given at the end of your life? Pre: 44% | Post: 95%&#10;&#10;Are you aware that participating in advance care planning early in life is important? Pre: 49% | Post: 93%&#10;&#10;Confidence accessing and completing an ACP:&#10;&#10;I am confident that I know how to access ACP forms. Pre: 34% | Post: 81%&#10;&#10;I feel confident enough to ask my nurse/doctor about ACP. Pre: 55% | Post: 87%&#10;&#10;I feel confident to complete my ACP. Pre: 35% | Post: 78%&#10;&#10;Understanding of ACP documents:&#10;&#10;I understand the role of the Statewide Office of ACP. Pre: 20% | Post: 82%&#10;&#10;I understand that there are three main Queensland ACP documents. Pre: 21% | Post: 84%&#10;&#10;I understand how to store these ACP documents. Pre: 20% | Post: 87%&#10;&#10;Increased and continuing conversations around ACP has the potential to:&#10;&#10;Empower and prepare community members by helping individuals to understand the importance of planning for future health care decisions.&#10;&#10;Improve access to right care, at right time and right place.&#10;&#10;Has potential to reduce unnecessary hospitalisations.&#10;&#10;Lead to more efficient utilisation of healthcare resources.&#10;&#10;Enhance formal and informal community suppor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59616" cy="8754209"/>
                    </a:xfrm>
                    <a:prstGeom prst="rect">
                      <a:avLst/>
                    </a:prstGeom>
                    <a:noFill/>
                  </pic:spPr>
                </pic:pic>
              </a:graphicData>
            </a:graphic>
          </wp:inline>
        </w:drawing>
      </w:r>
    </w:p>
    <w:p w14:paraId="01787F2D" w14:textId="484D06B6" w:rsidR="0016594E" w:rsidRPr="00997F82" w:rsidRDefault="00836D93" w:rsidP="0016594E">
      <w:pPr>
        <w:spacing w:line="240" w:lineRule="auto"/>
        <w:rPr>
          <w:sz w:val="22"/>
          <w:szCs w:val="24"/>
        </w:rPr>
      </w:pPr>
      <w:r w:rsidRPr="00997F82">
        <w:rPr>
          <w:noProof/>
          <w:sz w:val="22"/>
          <w:szCs w:val="24"/>
        </w:rPr>
        <w:drawing>
          <wp:inline distT="0" distB="0" distL="0" distR="0" wp14:anchorId="7A5BCB36" wp14:editId="18DB0632">
            <wp:extent cx="6046465" cy="8735209"/>
            <wp:effectExtent l="0" t="0" r="0" b="0"/>
            <wp:docPr id="1476541997" name="Picture 13" descr="A case study titled 'Palliative Care Access to core Medicines (PCAM)' by Metropolitan Melbourne PHNs (EMPHN, NWMPHN &amp; SEMPHN).&#10;&#10;Project Context:&#10;The project is ongoing as part of a wider PHN effort to improve palliative care access and coordination.&#10;&#10;Overview and objectives of the project:&#10;The PCAM project aims to support palliative care in the community, focusing on end-of-life care through enhanced planning and access to essential medicines for people who wish to die at home. Partnering with the Pharmaceutical Society of Australia (PSA), a Core Medicine List (CML) was established in consultation with local palliative care providers, and an interactive map of pharmacies stocking CML medications was developed.&#10;The project aims to:&#10;&#10;Increase the number of community pharmacies stocking CML medicines.&#10;&#10;Increase awareness of anticipatory prescribing.&#10;&#10;Enhance collaboration between GPs and community pharmacists.&#10;&#10;Improve timely access to palliative care medicines for patients.&#10;&#10;How it was implemented:&#10;The PCAM Project established the CML in 2022. Communication and engagement activities were conducted within the PHNs and PSA networks to create awareness and encourage community pharmacies to stock the CML, including:&#10;&#10;A 'Letter of intent for provision of PCAM project' to increase awareness and encourage pharmacies to commit to stocking CML. Pharmacies completed the Letter of Intent to signal their participation.&#10;&#10;Engagement with pharmacy banner groups to cascade information to their member pharmacies and encourage participation.&#10;&#10;The PCAM Online hub:&#10;An online repository for pharmacists and health professionals on the PSA website with relevant resources, including:&#10;&#10;An embedded map of participating pharmacies.&#10;&#10;Frequently asked Questions.&#10;&#10;Links to recordings and webinars.&#10;&#10;A list of resources regarding palliative care.&#10;&#10;Letter of Intent for Pharmacists.&#10;&#10;Impact and Outcomes:&#10;&#10;305 participating pharmacies committed to stocking CML. All can be found on the interactive map.&#10;&#10;&gt;100% rise in the number of participating pharmacies from Nov '23-Oct '24.&#10;&#10;Increased and continuing commitments from pharmacies to stock CML:&#10;&#10;Enhances community access to palliative care medicines.&#10;&#10;Improves access to right care, at right time and right place.&#10;&#10;Has potential to reduce unnecessary hospital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41997" name="Picture 13" descr="A case study titled 'Palliative Care Access to core Medicines (PCAM)' by Metropolitan Melbourne PHNs (EMPHN, NWMPHN &amp; SEMPHN).&#10;&#10;Project Context:&#10;The project is ongoing as part of a wider PHN effort to improve palliative care access and coordination.&#10;&#10;Overview and objectives of the project:&#10;The PCAM project aims to support palliative care in the community, focusing on end-of-life care through enhanced planning and access to essential medicines for people who wish to die at home. Partnering with the Pharmaceutical Society of Australia (PSA), a Core Medicine List (CML) was established in consultation with local palliative care providers, and an interactive map of pharmacies stocking CML medications was developed.&#10;The project aims to:&#10;&#10;Increase the number of community pharmacies stocking CML medicines.&#10;&#10;Increase awareness of anticipatory prescribing.&#10;&#10;Enhance collaboration between GPs and community pharmacists.&#10;&#10;Improve timely access to palliative care medicines for patients.&#10;&#10;How it was implemented:&#10;The PCAM Project established the CML in 2022. Communication and engagement activities were conducted within the PHNs and PSA networks to create awareness and encourage community pharmacies to stock the CML, including:&#10;&#10;A 'Letter of intent for provision of PCAM project' to increase awareness and encourage pharmacies to commit to stocking CML. Pharmacies completed the Letter of Intent to signal their participation.&#10;&#10;Engagement with pharmacy banner groups to cascade information to their member pharmacies and encourage participation.&#10;&#10;The PCAM Online hub:&#10;An online repository for pharmacists and health professionals on the PSA website with relevant resources, including:&#10;&#10;An embedded map of participating pharmacies.&#10;&#10;Frequently asked Questions.&#10;&#10;Links to recordings and webinars.&#10;&#10;A list of resources regarding palliative care.&#10;&#10;Letter of Intent for Pharmacists.&#10;&#10;Impact and Outcomes:&#10;&#10;305 participating pharmacies committed to stocking CML. All can be found on the interactive map.&#10;&#10;&gt;100% rise in the number of participating pharmacies from Nov '23-Oct '24.&#10;&#10;Increased and continuing commitments from pharmacies to stock CML:&#10;&#10;Enhances community access to palliative care medicines.&#10;&#10;Improves access to right care, at right time and right place.&#10;&#10;Has potential to reduce unnecessary hospitalisation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51951" cy="8743134"/>
                    </a:xfrm>
                    <a:prstGeom prst="rect">
                      <a:avLst/>
                    </a:prstGeom>
                    <a:noFill/>
                  </pic:spPr>
                </pic:pic>
              </a:graphicData>
            </a:graphic>
          </wp:inline>
        </w:drawing>
      </w:r>
    </w:p>
    <w:p w14:paraId="3A0D43B5" w14:textId="43BD9B68" w:rsidR="0016594E" w:rsidRPr="00997F82" w:rsidRDefault="00C52829" w:rsidP="0016594E">
      <w:pPr>
        <w:spacing w:line="240" w:lineRule="auto"/>
        <w:rPr>
          <w:sz w:val="22"/>
          <w:szCs w:val="24"/>
        </w:rPr>
      </w:pPr>
      <w:r w:rsidRPr="00997F82">
        <w:rPr>
          <w:noProof/>
          <w:sz w:val="22"/>
          <w:szCs w:val="24"/>
        </w:rPr>
        <w:drawing>
          <wp:inline distT="0" distB="0" distL="0" distR="0" wp14:anchorId="5C87C6C2" wp14:editId="17667F07">
            <wp:extent cx="6045798" cy="8734246"/>
            <wp:effectExtent l="0" t="0" r="0" b="0"/>
            <wp:docPr id="1697580165" name="Picture 15" descr="A case study titled 'Upskilling the interpreter workforce in palliative care settings' by Brisbane South Primary Health Network.&#10;&#10;Project Context:&#10;The project was completed at Midpoint (2024) as part of a wider PHN effort to improve palliative care access and coordination.&#10;&#10;Overview of the project:&#10;This project aimed to provide professional development training to upskill practicing professional interpreters working in, or intending to work in, palliative care settings. Brisbane South Primary Health Network (BSPHN) worked with 2M Language Services to conduct training and awareness for language interpreters on how to access Advance Care Planning (ACP) and palliative care information, services, and communicating these to Culturally and Linguistically Diverse (CALD) communities.&#10;&#10;Objectives of the project:&#10;&#10;Improved outcomes for CALD consumers of palliative care.&#10;&#10;Improved knowledge and understanding of palliative care.&#10;&#10;Upskilling interpreters to feel better equipped with palliative care conversations.&#10;&#10;Creating resources for interpreters to assist with palliative care conversations.&#10;&#10;Raise awareness of the role of interpreters.&#10;&#10;Attract interest amongst interpreters to work in palliative care settings.&#10;&#10;How it was implemented:&#10;&#10;Face-to-face training.&#10;&#10;Onsite visits to palliative care settings.&#10;&#10;Discussions guided by a facilitator.&#10;&#10;Interpreters from regional Queensland and interstate were invited to attend hybrid components of the training. A video-library of resources was created for interpreters who could not attend in person.&#10;&#10;Project partnerships:&#10;&#10;2M Language Services.&#10;&#10;Significant Change for Interpreters:&#10;The most significant change for interpreters has been reported as understanding palliative care: &quot;Better, understanding [of the demands] of both palliative care and self-care.&quot;&#10;&#10;(Information sourced from PHN and 2M Final Project Report: Upskilling the Interpreter Workforce in Palliative Care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80165" name="Picture 15" descr="A case study titled 'Upskilling the interpreter workforce in palliative care settings' by Brisbane South Primary Health Network.&#10;&#10;Project Context:&#10;The project was completed at Midpoint (2024) as part of a wider PHN effort to improve palliative care access and coordination.&#10;&#10;Overview of the project:&#10;This project aimed to provide professional development training to upskill practicing professional interpreters working in, or intending to work in, palliative care settings. Brisbane South Primary Health Network (BSPHN) worked with 2M Language Services to conduct training and awareness for language interpreters on how to access Advance Care Planning (ACP) and palliative care information, services, and communicating these to Culturally and Linguistically Diverse (CALD) communities.&#10;&#10;Objectives of the project:&#10;&#10;Improved outcomes for CALD consumers of palliative care.&#10;&#10;Improved knowledge and understanding of palliative care.&#10;&#10;Upskilling interpreters to feel better equipped with palliative care conversations.&#10;&#10;Creating resources for interpreters to assist with palliative care conversations.&#10;&#10;Raise awareness of the role of interpreters.&#10;&#10;Attract interest amongst interpreters to work in palliative care settings.&#10;&#10;How it was implemented:&#10;&#10;Face-to-face training.&#10;&#10;Onsite visits to palliative care settings.&#10;&#10;Discussions guided by a facilitator.&#10;&#10;Interpreters from regional Queensland and interstate were invited to attend hybrid components of the training. A video-library of resources was created for interpreters who could not attend in person.&#10;&#10;Project partnerships:&#10;&#10;2M Language Services.&#10;&#10;Significant Change for Interpreters:&#10;The most significant change for interpreters has been reported as understanding palliative care: &quot;Better, understanding [of the demands] of both palliative care and self-care.&quot;&#10;&#10;(Information sourced from PHN and 2M Final Project Report: Upskilling the Interpreter Workforce in Palliative Care Setting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47463" cy="8736652"/>
                    </a:xfrm>
                    <a:prstGeom prst="rect">
                      <a:avLst/>
                    </a:prstGeom>
                    <a:noFill/>
                  </pic:spPr>
                </pic:pic>
              </a:graphicData>
            </a:graphic>
          </wp:inline>
        </w:drawing>
      </w:r>
    </w:p>
    <w:p w14:paraId="7AA8A4B0" w14:textId="46BBDD9A" w:rsidR="0016594E" w:rsidRPr="00997F82" w:rsidRDefault="00F92257" w:rsidP="0016594E">
      <w:pPr>
        <w:spacing w:line="240" w:lineRule="auto"/>
        <w:rPr>
          <w:sz w:val="22"/>
          <w:szCs w:val="24"/>
        </w:rPr>
      </w:pPr>
      <w:r w:rsidRPr="00997F82">
        <w:rPr>
          <w:noProof/>
          <w:sz w:val="22"/>
          <w:szCs w:val="24"/>
        </w:rPr>
        <w:drawing>
          <wp:inline distT="0" distB="0" distL="0" distR="0" wp14:anchorId="54CD116D" wp14:editId="4EF49C2F">
            <wp:extent cx="6067313" cy="8765328"/>
            <wp:effectExtent l="0" t="0" r="0" b="0"/>
            <wp:docPr id="379273341" name="Picture 17" descr="This is the second page of the 'Upskilling the interpreter workforce in palliative care settings' case study, detailing the Impact and Outcomes, including short-term, medium-term, and long-term outcomes.&#10;&#10;Impact and Outcomes:&#10;&#10;90 Attendees across events (FY23/24).&#10;&#10;92% increase in understanding of palliative care principles and its aims.&#10;&#10;87% increase in confidence interpreting palliative care settings.&#10;&#10;Short-term outcomes:&#10;&#10;Improved knowledge of palliative care in interpreter workforce.&#10;&#10;Increased comfort and confidence translating palliative care, medical and end-of-life discussions.&#10;&#10;Enhanced ability to aid health consumers with language barriers to navigate palliative care and end-of-life needs.&#10;&#10;Improved overall interpreting skills in palliative care conversations to better support CALD health consumers in meeting their care preferences and needs.&#10;&#10;Medium-term outcomes:&#10;&#10;Increased number of interpreters willing and able to participate in teams around palliative care.&#10;&#10;Improved quality of palliative care discussions between consumers, loved ones, and the multidisciplinary team.&#10;&#10;Potential to increase the number of interpreters willing to work in palliative care settings.&#10;&#10;Long-term outcomes:&#10;&#10;Improve cultural safety of palliative care provided by the multidisciplinary team.&#10;&#10;Improve the quality of palliative care received by CALD health consumers.&#10;&#10;Potential to increase the quality and volume of information about palliative care to CALD community members.&#10;&#10;Potential to increase the number of CALD community members having access to palliative care.&#10;&#10;(Information sourced from PHN and 2M Final Project Report: Upskilling the Interpreter Workforce in Palliative Care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73341" name="Picture 17" descr="This is the second page of the 'Upskilling the interpreter workforce in palliative care settings' case study, detailing the Impact and Outcomes, including short-term, medium-term, and long-term outcomes.&#10;&#10;Impact and Outcomes:&#10;&#10;90 Attendees across events (FY23/24).&#10;&#10;92% increase in understanding of palliative care principles and its aims.&#10;&#10;87% increase in confidence interpreting palliative care settings.&#10;&#10;Short-term outcomes:&#10;&#10;Improved knowledge of palliative care in interpreter workforce.&#10;&#10;Increased comfort and confidence translating palliative care, medical and end-of-life discussions.&#10;&#10;Enhanced ability to aid health consumers with language barriers to navigate palliative care and end-of-life needs.&#10;&#10;Improved overall interpreting skills in palliative care conversations to better support CALD health consumers in meeting their care preferences and needs.&#10;&#10;Medium-term outcomes:&#10;&#10;Increased number of interpreters willing and able to participate in teams around palliative care.&#10;&#10;Improved quality of palliative care discussions between consumers, loved ones, and the multidisciplinary team.&#10;&#10;Potential to increase the number of interpreters willing to work in palliative care settings.&#10;&#10;Long-term outcomes:&#10;&#10;Improve cultural safety of palliative care provided by the multidisciplinary team.&#10;&#10;Improve the quality of palliative care received by CALD health consumers.&#10;&#10;Potential to increase the quality and volume of information about palliative care to CALD community members.&#10;&#10;Potential to increase the number of CALD community members having access to palliative care.&#10;&#10;(Information sourced from PHN and 2M Final Project Report: Upskilling the Interpreter Workforce in Palliative Care Setting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69236" cy="8768106"/>
                    </a:xfrm>
                    <a:prstGeom prst="rect">
                      <a:avLst/>
                    </a:prstGeom>
                    <a:noFill/>
                  </pic:spPr>
                </pic:pic>
              </a:graphicData>
            </a:graphic>
          </wp:inline>
        </w:drawing>
      </w:r>
    </w:p>
    <w:p w14:paraId="118E8143" w14:textId="2F025651" w:rsidR="0016594E" w:rsidRPr="00997F82" w:rsidRDefault="00457826" w:rsidP="0016594E">
      <w:pPr>
        <w:spacing w:line="240" w:lineRule="auto"/>
        <w:rPr>
          <w:sz w:val="22"/>
          <w:szCs w:val="24"/>
        </w:rPr>
      </w:pPr>
      <w:r w:rsidRPr="00997F82">
        <w:rPr>
          <w:noProof/>
          <w:sz w:val="22"/>
          <w:szCs w:val="24"/>
        </w:rPr>
        <w:drawing>
          <wp:inline distT="0" distB="0" distL="0" distR="0" wp14:anchorId="7599CB54" wp14:editId="71D7D71A">
            <wp:extent cx="6067313" cy="8765020"/>
            <wp:effectExtent l="0" t="0" r="0" b="0"/>
            <wp:docPr id="894917683" name="Picture 18" descr="A case study titled 'Living and dying well for people with disability: palliative and end of life care knowledge framework' by Brisbane North PHN.&#10;&#10;Project Context:&#10;The project is ongoing as part of a wider PHN effort to improve palliative care access and coordination.&#10;&#10;Overview and objectives:&#10;The framework is designed to ensure people with disabilities receive dignified and appropriate palliative and end-of-life care.&#10;The project aims to:&#10;&#10;Create a comprehensive knowledge framework to guide and help care providers who support people of any age with any disability and life-limiting conditions.&#10;&#10;Describe the knowledge care providers need when they support people with disability though their palliative and end-of-life journey.&#10;&#10;Share education and training resources for people working in disability and health.&#10;&#10;Intended outcomes:&#10;&#10;Enhance the knowledge and skills of disability service providers and care staff to deliver high-quality palliative and end-of-life care.&#10;&#10;Improve equitable access to palliative care for people with disabilities by implementing a co-designed action plan.&#10;&#10;Support communication between healthcare providers, individuals with disabilities, and their families to ensure care preferences are understood and respected.&#10;&#10;Promote dignity and choice by providing tailored care to individuals with disabilities that aligns with their wishes and needs.&#10;&#10;Build a community network that shares resources, experiences, and best practices in palliative care for people with disabilities.&#10;&#10;Figure 1: Life period covered by the framework.&#10;A diagram showing the progression from 'Diagnosis' to 'Death'. The horizontal axis is labeled 'Palliative and end of life care knowledge framework' and the bottom layer is 'Grief'. Above grief, there are three main phases: 'Curative Treatment' (yellow, tapering down), 'Palliative Care' (blue, widening and then tapering), and 'End of Life care' (dark blue, triangular phase leading to death). Following 'Death' is 'Bereavement' (pink). This visual illustrates that palliative care and grief can occur concurrently with curative treatment and extend through end-of-life care and into bereavement.&#10;&#10;The framework was developed in consultation with:&#10;&#10;People with disabilities and their carers.&#10;&#10;Disability and palliative care organisations.&#10;&#10;Disability service providers.&#10;&#10;Disability accommodation providers.&#10;&#10;Specialist palliative care services.&#10;&#10;Community palliative care services.&#10;&#10;Services that support people with disabilities in hospitals and health.&#10;&#10;Aboriginal and Torres Strait Islander services.&#10;&#10;General practitioners.&#10;&#10;Government departments.&#10;&#10;Academics and resear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17683" name="Picture 18" descr="A case study titled 'Living and dying well for people with disability: palliative and end of life care knowledge framework' by Brisbane North PHN.&#10;&#10;Project Context:&#10;The project is ongoing as part of a wider PHN effort to improve palliative care access and coordination.&#10;&#10;Overview and objectives:&#10;The framework is designed to ensure people with disabilities receive dignified and appropriate palliative and end-of-life care.&#10;The project aims to:&#10;&#10;Create a comprehensive knowledge framework to guide and help care providers who support people of any age with any disability and life-limiting conditions.&#10;&#10;Describe the knowledge care providers need when they support people with disability though their palliative and end-of-life journey.&#10;&#10;Share education and training resources for people working in disability and health.&#10;&#10;Intended outcomes:&#10;&#10;Enhance the knowledge and skills of disability service providers and care staff to deliver high-quality palliative and end-of-life care.&#10;&#10;Improve equitable access to palliative care for people with disabilities by implementing a co-designed action plan.&#10;&#10;Support communication between healthcare providers, individuals with disabilities, and their families to ensure care preferences are understood and respected.&#10;&#10;Promote dignity and choice by providing tailored care to individuals with disabilities that aligns with their wishes and needs.&#10;&#10;Build a community network that shares resources, experiences, and best practices in palliative care for people with disabilities.&#10;&#10;Figure 1: Life period covered by the framework.&#10;A diagram showing the progression from 'Diagnosis' to 'Death'. The horizontal axis is labeled 'Palliative and end of life care knowledge framework' and the bottom layer is 'Grief'. Above grief, there are three main phases: 'Curative Treatment' (yellow, tapering down), 'Palliative Care' (blue, widening and then tapering), and 'End of Life care' (dark blue, triangular phase leading to death). Following 'Death' is 'Bereavement' (pink). This visual illustrates that palliative care and grief can occur concurrently with curative treatment and extend through end-of-life care and into bereavement.&#10;&#10;The framework was developed in consultation with:&#10;&#10;People with disabilities and their carers.&#10;&#10;Disability and palliative care organisations.&#10;&#10;Disability service providers.&#10;&#10;Disability accommodation providers.&#10;&#10;Specialist palliative care services.&#10;&#10;Community palliative care services.&#10;&#10;Services that support people with disabilities in hospitals and health.&#10;&#10;Aboriginal and Torres Strait Islander services.&#10;&#10;General practitioners.&#10;&#10;Government departments.&#10;&#10;Academics and researcher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70544" cy="8769688"/>
                    </a:xfrm>
                    <a:prstGeom prst="rect">
                      <a:avLst/>
                    </a:prstGeom>
                    <a:noFill/>
                  </pic:spPr>
                </pic:pic>
              </a:graphicData>
            </a:graphic>
          </wp:inline>
        </w:drawing>
      </w:r>
    </w:p>
    <w:p w14:paraId="7AC6D5D3" w14:textId="47855499" w:rsidR="0016594E" w:rsidRPr="00997F82" w:rsidRDefault="00457826" w:rsidP="0016594E">
      <w:pPr>
        <w:spacing w:line="240" w:lineRule="auto"/>
        <w:rPr>
          <w:sz w:val="22"/>
          <w:szCs w:val="24"/>
        </w:rPr>
      </w:pPr>
      <w:r w:rsidRPr="00997F82">
        <w:rPr>
          <w:noProof/>
          <w:sz w:val="22"/>
          <w:szCs w:val="24"/>
        </w:rPr>
        <w:drawing>
          <wp:inline distT="0" distB="0" distL="0" distR="0" wp14:anchorId="12AE0452" wp14:editId="2D30A745">
            <wp:extent cx="6039230" cy="8724451"/>
            <wp:effectExtent l="0" t="0" r="0" b="635"/>
            <wp:docPr id="1181556848" name="Picture 19" descr="This is the second page of the 'Living and dying well for people with disability: palliative and end of life care knowledge framework' case study, detailing the framework's components and potential community impact and outcomes.&#10;&#10;The framework consists of:&#10;&#10;13 identified domains of palliative care knowledge (e.g., collaboration, recognizing the need for palliative care).&#10;&#10;Each domain sits under one of 2 levels. Some domains include knowledge that applies when caring for an individual (direct care level), while others apply to the management of organisation and services (service level). 'Collaboration' is a domain that sits across both levels.&#10;&#10;Each domain has an identified lead or co-lead sector, who would take responsibility for coordination of the domain. Leads can include the disability sector or the health sector.&#10;&#10;Underpinning the framework is the sector and policy level, which represents the input from authorities, legislation, government policy, programs, and strategies. It is included in the framework to acknowledge that practice is influenced by, and will influence, sector and policy level.&#10;&#10;Potential community impact and outcomes:&#10;&#10;Increased access to services for people with disabilities, ensuring they receive the same level of care as others.&#10;&#10;Better coordination of services to encourage collaboration between service providers, ensuring a more integrated and coordinated approach to care, and efficient use of resources to maximise the impact of care provided.&#10;&#10;Improved quality of care through enhanced skills and knowledge to ensure that individuals with disabilities receive care that meets their specific needs and preferences and leads to better outcomes.&#10;&#10;Community-based care ensuring individuals can receive support in a familiar and comfortable environment.&#10;&#10;Community awareness to increase awareness about the importance of palliative care for people with disabilities can lead to broader community support and understanding.&#10;&#10;Strengthened support networks supporting families and caregivers by providing resources and support for families and caregivers, as well as the general community, fosters a more inclusive and supportiv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556848" name="Picture 19" descr="This is the second page of the 'Living and dying well for people with disability: palliative and end of life care knowledge framework' case study, detailing the framework's components and potential community impact and outcomes.&#10;&#10;The framework consists of:&#10;&#10;13 identified domains of palliative care knowledge (e.g., collaboration, recognizing the need for palliative care).&#10;&#10;Each domain sits under one of 2 levels. Some domains include knowledge that applies when caring for an individual (direct care level), while others apply to the management of organisation and services (service level). 'Collaboration' is a domain that sits across both levels.&#10;&#10;Each domain has an identified lead or co-lead sector, who would take responsibility for coordination of the domain. Leads can include the disability sector or the health sector.&#10;&#10;Underpinning the framework is the sector and policy level, which represents the input from authorities, legislation, government policy, programs, and strategies. It is included in the framework to acknowledge that practice is influenced by, and will influence, sector and policy level.&#10;&#10;Potential community impact and outcomes:&#10;&#10;Increased access to services for people with disabilities, ensuring they receive the same level of care as others.&#10;&#10;Better coordination of services to encourage collaboration between service providers, ensuring a more integrated and coordinated approach to care, and efficient use of resources to maximise the impact of care provided.&#10;&#10;Improved quality of care through enhanced skills and knowledge to ensure that individuals with disabilities receive care that meets their specific needs and preferences and leads to better outcomes.&#10;&#10;Community-based care ensuring individuals can receive support in a familiar and comfortable environment.&#10;&#10;Community awareness to increase awareness about the importance of palliative care for people with disabilities can lead to broader community support and understanding.&#10;&#10;Strengthened support networks supporting families and caregivers by providing resources and support for families and caregivers, as well as the general community, fosters a more inclusive and supportive environmen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40289" cy="8725981"/>
                    </a:xfrm>
                    <a:prstGeom prst="rect">
                      <a:avLst/>
                    </a:prstGeom>
                    <a:noFill/>
                  </pic:spPr>
                </pic:pic>
              </a:graphicData>
            </a:graphic>
          </wp:inline>
        </w:drawing>
      </w:r>
    </w:p>
    <w:p w14:paraId="37DDD8AC" w14:textId="0EC0D54C" w:rsidR="00084D29" w:rsidRPr="003D6E09" w:rsidRDefault="00A7580E">
      <w:r w:rsidRPr="00997F82">
        <w:rPr>
          <w:noProof/>
        </w:rPr>
        <w:drawing>
          <wp:anchor distT="0" distB="0" distL="114300" distR="114300" simplePos="0" relativeHeight="251658244" behindDoc="0" locked="0" layoutInCell="1" allowOverlap="1" wp14:anchorId="080E549B" wp14:editId="11869A23">
            <wp:simplePos x="0" y="0"/>
            <wp:positionH relativeFrom="page">
              <wp:align>right</wp:align>
            </wp:positionH>
            <wp:positionV relativeFrom="paragraph">
              <wp:posOffset>-1081174</wp:posOffset>
            </wp:positionV>
            <wp:extent cx="7562850" cy="10701655"/>
            <wp:effectExtent l="0" t="0" r="0" b="4445"/>
            <wp:wrapNone/>
            <wp:docPr id="53610603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06031" name="Picture 4">
                      <a:extLst>
                        <a:ext uri="{C183D7F6-B498-43B3-948B-1728B52AA6E4}">
                          <adec:decorative xmlns:adec="http://schemas.microsoft.com/office/drawing/2017/decorative" val="1"/>
                        </a:ext>
                      </a:extLst>
                    </pic:cNvPr>
                    <pic:cNvPicPr/>
                  </pic:nvPicPr>
                  <pic:blipFill>
                    <a:blip r:embed="rId53">
                      <a:extLst>
                        <a:ext uri="{28A0092B-C50C-407E-A947-70E740481C1C}">
                          <a14:useLocalDpi xmlns:a14="http://schemas.microsoft.com/office/drawing/2010/main" val="0"/>
                        </a:ext>
                      </a:extLst>
                    </a:blip>
                    <a:stretch>
                      <a:fillRect/>
                    </a:stretch>
                  </pic:blipFill>
                  <pic:spPr>
                    <a:xfrm>
                      <a:off x="0" y="0"/>
                      <a:ext cx="7562850" cy="10701655"/>
                    </a:xfrm>
                    <a:prstGeom prst="rect">
                      <a:avLst/>
                    </a:prstGeom>
                  </pic:spPr>
                </pic:pic>
              </a:graphicData>
            </a:graphic>
            <wp14:sizeRelH relativeFrom="margin">
              <wp14:pctWidth>0</wp14:pctWidth>
            </wp14:sizeRelH>
            <wp14:sizeRelV relativeFrom="margin">
              <wp14:pctHeight>0</wp14:pctHeight>
            </wp14:sizeRelV>
          </wp:anchor>
        </w:drawing>
      </w:r>
    </w:p>
    <w:p w14:paraId="754DFDE4" w14:textId="5B134EBF" w:rsidR="00F362B7" w:rsidRDefault="00F362B7"/>
    <w:sectPr w:rsidR="00F362B7" w:rsidSect="00311134">
      <w:headerReference w:type="default" r:id="rId54"/>
      <w:footerReference w:type="default" r:id="rId55"/>
      <w:footnotePr>
        <w:pos w:val="beneathText"/>
      </w:footnotePr>
      <w:endnotePr>
        <w:numFmt w:val="decimal"/>
      </w:endnotePr>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96C86" w14:textId="77777777" w:rsidR="00137CA8" w:rsidRPr="003D6E09" w:rsidRDefault="00137CA8" w:rsidP="0061125F">
      <w:r w:rsidRPr="003D6E09">
        <w:separator/>
      </w:r>
    </w:p>
  </w:endnote>
  <w:endnote w:type="continuationSeparator" w:id="0">
    <w:p w14:paraId="33A38B06" w14:textId="77777777" w:rsidR="00137CA8" w:rsidRPr="003D6E09" w:rsidRDefault="00137CA8" w:rsidP="0061125F">
      <w:r w:rsidRPr="003D6E09">
        <w:continuationSeparator/>
      </w:r>
    </w:p>
  </w:endnote>
  <w:endnote w:type="continuationNotice" w:id="1">
    <w:p w14:paraId="7870CA87" w14:textId="77777777" w:rsidR="00137CA8" w:rsidRPr="003D6E09" w:rsidRDefault="00137CA8" w:rsidP="00611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venir Next LT Pro Dem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altName w:val="Times New Roman"/>
    <w:charset w:val="00"/>
    <w:family w:val="roman"/>
    <w:pitch w:val="default"/>
  </w:font>
  <w:font w:name="Public Sans (NSW)">
    <w:altName w:val="Calibri"/>
    <w:charset w:val="00"/>
    <w:family w:val="auto"/>
    <w:pitch w:val="variable"/>
    <w:sig w:usb0="A00000FF" w:usb1="4000205B" w:usb2="00000000" w:usb3="00000000" w:csb0="00000193"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199E1" w14:textId="5D59C328" w:rsidR="003F27AC" w:rsidRDefault="003F27AC">
    <w:pPr>
      <w:pStyle w:val="Footer"/>
    </w:pPr>
    <w:r>
      <w:rPr>
        <w:noProof/>
      </w:rPr>
      <mc:AlternateContent>
        <mc:Choice Requires="wps">
          <w:drawing>
            <wp:anchor distT="0" distB="0" distL="0" distR="0" simplePos="0" relativeHeight="251665412" behindDoc="0" locked="0" layoutInCell="1" allowOverlap="1" wp14:anchorId="57A0AA80" wp14:editId="67C1DCD5">
              <wp:simplePos x="635" y="635"/>
              <wp:positionH relativeFrom="page">
                <wp:align>center</wp:align>
              </wp:positionH>
              <wp:positionV relativeFrom="page">
                <wp:align>bottom</wp:align>
              </wp:positionV>
              <wp:extent cx="622300" cy="405765"/>
              <wp:effectExtent l="0" t="0" r="6350" b="0"/>
              <wp:wrapNone/>
              <wp:docPr id="1434619608" name="Text Box 4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E3F8347" w14:textId="259C0559" w:rsidR="003F27AC" w:rsidRPr="003F27AC" w:rsidRDefault="003F27AC" w:rsidP="003F27AC">
                          <w:pPr>
                            <w:spacing w:after="0"/>
                            <w:rPr>
                              <w:rFonts w:ascii="Aptos" w:eastAsia="Aptos" w:hAnsi="Aptos" w:cs="Aptos"/>
                              <w:noProof/>
                              <w:color w:val="FF0000"/>
                              <w:sz w:val="24"/>
                              <w:szCs w:val="24"/>
                            </w:rPr>
                          </w:pPr>
                          <w:r w:rsidRPr="003F27A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A0AA80" id="_x0000_t202" coordsize="21600,21600" o:spt="202" path="m,l,21600r21600,l21600,xe">
              <v:stroke joinstyle="miter"/>
              <v:path gradientshapeok="t" o:connecttype="rect"/>
            </v:shapetype>
            <v:shape id="Text Box 47" o:spid="_x0000_s1028" type="#_x0000_t202" alt="OFFICIAL" style="position:absolute;margin-left:0;margin-top:0;width:49pt;height:31.95pt;z-index:2516654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5fdM0wwCAAAcBAAA&#10;DgAAAAAAAAAAAAAAAAAuAgAAZHJzL2Uyb0RvYy54bWxQSwECLQAUAAYACAAAACEAwLHFXtoAAAAD&#10;AQAADwAAAAAAAAAAAAAAAABmBAAAZHJzL2Rvd25yZXYueG1sUEsFBgAAAAAEAAQA8wAAAG0FAAAA&#10;AA==&#10;" filled="f" stroked="f">
              <v:textbox style="mso-fit-shape-to-text:t" inset="0,0,0,15pt">
                <w:txbxContent>
                  <w:p w14:paraId="3E3F8347" w14:textId="259C0559" w:rsidR="003F27AC" w:rsidRPr="003F27AC" w:rsidRDefault="003F27AC" w:rsidP="003F27AC">
                    <w:pPr>
                      <w:spacing w:after="0"/>
                      <w:rPr>
                        <w:rFonts w:ascii="Aptos" w:eastAsia="Aptos" w:hAnsi="Aptos" w:cs="Aptos"/>
                        <w:noProof/>
                        <w:color w:val="FF0000"/>
                        <w:sz w:val="24"/>
                        <w:szCs w:val="24"/>
                      </w:rPr>
                    </w:pPr>
                    <w:r w:rsidRPr="003F27AC">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610D" w14:textId="14A6F2DF" w:rsidR="007D0FAF" w:rsidRPr="003D6E09" w:rsidRDefault="00000000" w:rsidP="006805E3">
    <w:pPr>
      <w:pStyle w:val="Footer"/>
      <w:jc w:val="right"/>
    </w:pPr>
    <w:sdt>
      <w:sdtPr>
        <w:id w:val="-1887476658"/>
        <w:docPartObj>
          <w:docPartGallery w:val="Page Numbers (Bottom of Page)"/>
          <w:docPartUnique/>
        </w:docPartObj>
      </w:sdtPr>
      <w:sdtContent>
        <w:r w:rsidR="007D0FAF" w:rsidRPr="0083034A">
          <w:fldChar w:fldCharType="begin"/>
        </w:r>
        <w:r w:rsidR="007D0FAF" w:rsidRPr="003D6E09">
          <w:instrText xml:space="preserve"> PAGE   \* MERGEFORMAT </w:instrText>
        </w:r>
        <w:r w:rsidR="007D0FAF" w:rsidRPr="0083034A">
          <w:fldChar w:fldCharType="separate"/>
        </w:r>
        <w:r w:rsidR="007D0FAF" w:rsidRPr="003D6E09">
          <w:t>11</w:t>
        </w:r>
        <w:r w:rsidR="007D0FAF" w:rsidRPr="0083034A">
          <w:fldChar w:fldCharType="end"/>
        </w:r>
      </w:sdtContent>
    </w:sdt>
    <w:r w:rsidR="007D0FAF" w:rsidRPr="00B90DB0">
      <w:rPr>
        <w:noProof/>
      </w:rPr>
      <w:drawing>
        <wp:anchor distT="0" distB="0" distL="114300" distR="114300" simplePos="0" relativeHeight="251658241" behindDoc="0" locked="0" layoutInCell="1" allowOverlap="1" wp14:anchorId="1517A749" wp14:editId="5004F123">
          <wp:simplePos x="0" y="0"/>
          <wp:positionH relativeFrom="column">
            <wp:posOffset>617220</wp:posOffset>
          </wp:positionH>
          <wp:positionV relativeFrom="paragraph">
            <wp:posOffset>23495</wp:posOffset>
          </wp:positionV>
          <wp:extent cx="6017260" cy="697230"/>
          <wp:effectExtent l="0" t="0" r="0" b="7620"/>
          <wp:wrapNone/>
          <wp:docPr id="481526824"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26824" name="Graphic 13">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6017260" cy="69723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3A16" w14:textId="4DEE438D" w:rsidR="003F27AC" w:rsidRDefault="003F27AC">
    <w:pPr>
      <w:pStyle w:val="Footer"/>
    </w:pPr>
    <w:r>
      <w:rPr>
        <w:noProof/>
      </w:rPr>
      <mc:AlternateContent>
        <mc:Choice Requires="wps">
          <w:drawing>
            <wp:anchor distT="0" distB="0" distL="0" distR="0" simplePos="0" relativeHeight="251664388" behindDoc="0" locked="0" layoutInCell="1" allowOverlap="1" wp14:anchorId="48A25FC6" wp14:editId="6A50C398">
              <wp:simplePos x="635" y="635"/>
              <wp:positionH relativeFrom="page">
                <wp:align>center</wp:align>
              </wp:positionH>
              <wp:positionV relativeFrom="page">
                <wp:align>bottom</wp:align>
              </wp:positionV>
              <wp:extent cx="622300" cy="405765"/>
              <wp:effectExtent l="0" t="0" r="6350" b="0"/>
              <wp:wrapNone/>
              <wp:docPr id="1606134955" name="Text Box 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032AB05" w14:textId="42D7B249" w:rsidR="003F27AC" w:rsidRPr="003F27AC" w:rsidRDefault="003F27AC" w:rsidP="003F27AC">
                          <w:pPr>
                            <w:spacing w:after="0"/>
                            <w:rPr>
                              <w:rFonts w:ascii="Aptos" w:eastAsia="Aptos" w:hAnsi="Aptos" w:cs="Aptos"/>
                              <w:noProof/>
                              <w:color w:val="FF0000"/>
                              <w:sz w:val="24"/>
                              <w:szCs w:val="24"/>
                            </w:rPr>
                          </w:pPr>
                          <w:r w:rsidRPr="003F27A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A25FC6" id="_x0000_t202" coordsize="21600,21600" o:spt="202" path="m,l,21600r21600,l21600,xe">
              <v:stroke joinstyle="miter"/>
              <v:path gradientshapeok="t" o:connecttype="rect"/>
            </v:shapetype>
            <v:shape id="Text Box 46" o:spid="_x0000_s1030" type="#_x0000_t202" alt="OFFICIAL" style="position:absolute;margin-left:0;margin-top:0;width:49pt;height:31.95pt;z-index:2516643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5032AB05" w14:textId="42D7B249" w:rsidR="003F27AC" w:rsidRPr="003F27AC" w:rsidRDefault="003F27AC" w:rsidP="003F27AC">
                    <w:pPr>
                      <w:spacing w:after="0"/>
                      <w:rPr>
                        <w:rFonts w:ascii="Aptos" w:eastAsia="Aptos" w:hAnsi="Aptos" w:cs="Aptos"/>
                        <w:noProof/>
                        <w:color w:val="FF0000"/>
                        <w:sz w:val="24"/>
                        <w:szCs w:val="24"/>
                      </w:rPr>
                    </w:pPr>
                    <w:r w:rsidRPr="003F27AC">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9" w:name="_Hlk184815839"/>
  <w:p w14:paraId="51D9DE67" w14:textId="6067BE3E" w:rsidR="00E901C5" w:rsidRPr="003D6E09" w:rsidRDefault="00000000" w:rsidP="00A57CA5">
    <w:pPr>
      <w:pStyle w:val="Footer"/>
      <w:jc w:val="right"/>
    </w:pPr>
    <w:sdt>
      <w:sdtPr>
        <w:id w:val="1496838158"/>
        <w:docPartObj>
          <w:docPartGallery w:val="Page Numbers (Bottom of Page)"/>
          <w:docPartUnique/>
        </w:docPartObj>
      </w:sdtPr>
      <w:sdtContent>
        <w:bookmarkEnd w:id="89"/>
        <w:r w:rsidR="0012480E" w:rsidRPr="00997F82">
          <w:fldChar w:fldCharType="begin"/>
        </w:r>
        <w:r w:rsidR="0012480E" w:rsidRPr="003D6E09">
          <w:instrText xml:space="preserve"> PAGE   \* MERGEFORMAT </w:instrText>
        </w:r>
        <w:r w:rsidR="0012480E" w:rsidRPr="00997F82">
          <w:fldChar w:fldCharType="separate"/>
        </w:r>
        <w:r w:rsidR="0012480E" w:rsidRPr="00997F82">
          <w:t>2</w:t>
        </w:r>
        <w:r w:rsidR="0012480E" w:rsidRPr="00997F82">
          <w:fldChar w:fldCharType="end"/>
        </w:r>
      </w:sdtContent>
    </w:sdt>
    <w:r w:rsidR="00FE2FFC" w:rsidRPr="00B90DB0">
      <w:rPr>
        <w:noProof/>
      </w:rPr>
      <w:drawing>
        <wp:anchor distT="0" distB="0" distL="114300" distR="114300" simplePos="0" relativeHeight="251658244" behindDoc="0" locked="0" layoutInCell="1" allowOverlap="1" wp14:anchorId="43A4E12E" wp14:editId="152A5A14">
          <wp:simplePos x="0" y="0"/>
          <wp:positionH relativeFrom="column">
            <wp:posOffset>617220</wp:posOffset>
          </wp:positionH>
          <wp:positionV relativeFrom="paragraph">
            <wp:posOffset>23495</wp:posOffset>
          </wp:positionV>
          <wp:extent cx="6017260" cy="697230"/>
          <wp:effectExtent l="0" t="0" r="0" b="7620"/>
          <wp:wrapNone/>
          <wp:docPr id="284456479"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56479" name="Graphic 13">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6017260" cy="6972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28A60" w14:textId="77777777" w:rsidR="00137CA8" w:rsidRPr="003D6E09" w:rsidRDefault="00137CA8" w:rsidP="0061125F">
      <w:r w:rsidRPr="003D6E09">
        <w:separator/>
      </w:r>
    </w:p>
  </w:footnote>
  <w:footnote w:type="continuationSeparator" w:id="0">
    <w:p w14:paraId="2787DE5A" w14:textId="77777777" w:rsidR="00137CA8" w:rsidRPr="003D6E09" w:rsidRDefault="00137CA8" w:rsidP="0061125F">
      <w:r w:rsidRPr="003D6E09">
        <w:continuationSeparator/>
      </w:r>
    </w:p>
  </w:footnote>
  <w:footnote w:type="continuationNotice" w:id="1">
    <w:p w14:paraId="532D11EE" w14:textId="77777777" w:rsidR="00137CA8" w:rsidRPr="003D6E09" w:rsidRDefault="00137CA8" w:rsidP="0061125F"/>
  </w:footnote>
  <w:footnote w:id="2">
    <w:p w14:paraId="75C2D290" w14:textId="77777777" w:rsidR="00BA4BA3" w:rsidRPr="003D6E09" w:rsidRDefault="00BA4BA3" w:rsidP="00BA4BA3">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DHDA (2021). Primary Health Networks (PHN) Program Expansion of the Greater Choice for At Home Palliative Care (GCfAHPC) Measure Grant Opportunity Guidelines.</w:t>
      </w:r>
    </w:p>
  </w:footnote>
  <w:footnote w:id="3">
    <w:p w14:paraId="4E14CEEE" w14:textId="77777777" w:rsidR="00BA4BA3" w:rsidRPr="003D6E09" w:rsidRDefault="00BA4BA3" w:rsidP="00BA4BA3">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DHDA (2025). Greater Choice for At Home Palliative Care Program</w:t>
      </w:r>
    </w:p>
  </w:footnote>
  <w:footnote w:id="4">
    <w:p w14:paraId="05086420" w14:textId="439107AC" w:rsidR="005A713D" w:rsidRPr="003D6E09" w:rsidRDefault="005A713D" w:rsidP="005A713D">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Palliative Care Australia (2018). Background Report to the Palliative Care Service Development Guidelines. Available at: </w:t>
      </w:r>
      <w:hyperlink r:id="rId1" w:history="1">
        <w:r w:rsidR="00D66FD7" w:rsidRPr="003D6E09">
          <w:rPr>
            <w:rStyle w:val="Hyperlink"/>
            <w:rFonts w:asciiTheme="minorHAnsi" w:hAnsiTheme="minorHAnsi"/>
            <w:sz w:val="16"/>
            <w:szCs w:val="16"/>
          </w:rPr>
          <w:t>https://palliativecare.org.au/wp-content/uploads/dlm_uploads/2018/02/PalliativeCare-Background-to-Service-Delivery-2018_v3.pdf</w:t>
        </w:r>
      </w:hyperlink>
      <w:r w:rsidR="00D66FD7" w:rsidRPr="003D6E09">
        <w:rPr>
          <w:rFonts w:asciiTheme="minorHAnsi" w:hAnsiTheme="minorHAnsi"/>
          <w:sz w:val="16"/>
          <w:szCs w:val="16"/>
        </w:rPr>
        <w:t xml:space="preserve"> </w:t>
      </w:r>
    </w:p>
  </w:footnote>
  <w:footnote w:id="5">
    <w:p w14:paraId="2DF5CA09" w14:textId="489F7EDD" w:rsidR="005A713D" w:rsidRPr="003D6E09" w:rsidRDefault="005A713D" w:rsidP="005A713D">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proofErr w:type="spellStart"/>
      <w:r w:rsidRPr="003D6E09">
        <w:rPr>
          <w:rFonts w:asciiTheme="minorHAnsi" w:hAnsiTheme="minorHAnsi"/>
          <w:sz w:val="16"/>
          <w:szCs w:val="16"/>
        </w:rPr>
        <w:t>DoHAC</w:t>
      </w:r>
      <w:proofErr w:type="spellEnd"/>
      <w:r w:rsidRPr="003D6E09">
        <w:rPr>
          <w:rFonts w:asciiTheme="minorHAnsi" w:hAnsiTheme="minorHAnsi"/>
          <w:sz w:val="16"/>
          <w:szCs w:val="16"/>
        </w:rPr>
        <w:t xml:space="preserve">. (2019). What is Palliative Care? Available at: </w:t>
      </w:r>
      <w:hyperlink r:id="rId2" w:anchor="what-is-endoflife-care" w:history="1">
        <w:r w:rsidR="00D66FD7" w:rsidRPr="003D6E09">
          <w:rPr>
            <w:rStyle w:val="Hyperlink"/>
            <w:rFonts w:asciiTheme="minorHAnsi" w:hAnsiTheme="minorHAnsi"/>
            <w:sz w:val="16"/>
            <w:szCs w:val="16"/>
          </w:rPr>
          <w:t>www.health.gov.au/topics/palliative-care/about-palliative-care/what-is-palliative-care#what-is-endoflife-care</w:t>
        </w:r>
      </w:hyperlink>
      <w:r w:rsidR="00D66FD7" w:rsidRPr="003D6E09">
        <w:rPr>
          <w:rFonts w:asciiTheme="minorHAnsi" w:hAnsiTheme="minorHAnsi"/>
          <w:sz w:val="16"/>
          <w:szCs w:val="16"/>
        </w:rPr>
        <w:t xml:space="preserve"> </w:t>
      </w:r>
    </w:p>
  </w:footnote>
  <w:footnote w:id="6">
    <w:p w14:paraId="49548DC4" w14:textId="6C0E0F1E" w:rsidR="005A713D" w:rsidRPr="003D6E09" w:rsidRDefault="005A713D" w:rsidP="005A713D">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proofErr w:type="spellStart"/>
      <w:r w:rsidRPr="003D6E09">
        <w:rPr>
          <w:rFonts w:asciiTheme="minorHAnsi" w:hAnsiTheme="minorHAnsi"/>
          <w:sz w:val="16"/>
          <w:szCs w:val="16"/>
        </w:rPr>
        <w:t>DoHAC</w:t>
      </w:r>
      <w:proofErr w:type="spellEnd"/>
      <w:r w:rsidRPr="003D6E09">
        <w:rPr>
          <w:rFonts w:asciiTheme="minorHAnsi" w:hAnsiTheme="minorHAnsi"/>
          <w:sz w:val="16"/>
          <w:szCs w:val="16"/>
        </w:rPr>
        <w:t xml:space="preserve">. (2019). What is Palliative Care? Available at: </w:t>
      </w:r>
      <w:hyperlink r:id="rId3" w:anchor="what-is-endoflife-care" w:history="1">
        <w:r w:rsidR="00D66FD7" w:rsidRPr="003D6E09">
          <w:rPr>
            <w:rStyle w:val="Hyperlink"/>
            <w:rFonts w:asciiTheme="minorHAnsi" w:hAnsiTheme="minorHAnsi"/>
            <w:sz w:val="16"/>
            <w:szCs w:val="16"/>
          </w:rPr>
          <w:t>www.health.gov.au/topics/palliative-care/about-palliative-care/what-is-palliative-care#what-is-endoflife-care</w:t>
        </w:r>
      </w:hyperlink>
      <w:r w:rsidR="00D66FD7" w:rsidRPr="003D6E09">
        <w:rPr>
          <w:rFonts w:asciiTheme="minorHAnsi" w:hAnsiTheme="minorHAnsi"/>
          <w:sz w:val="16"/>
          <w:szCs w:val="16"/>
        </w:rPr>
        <w:t xml:space="preserve"> </w:t>
      </w:r>
      <w:r w:rsidRPr="003D6E09">
        <w:rPr>
          <w:rFonts w:asciiTheme="minorHAnsi" w:hAnsiTheme="minorHAnsi"/>
          <w:sz w:val="16"/>
          <w:szCs w:val="16"/>
        </w:rPr>
        <w:t xml:space="preserve"> </w:t>
      </w:r>
    </w:p>
  </w:footnote>
  <w:footnote w:id="7">
    <w:p w14:paraId="4BCF7184" w14:textId="7CFCAC50" w:rsidR="005A713D" w:rsidRPr="003D6E09" w:rsidRDefault="005A713D" w:rsidP="005A713D">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Palliative Care Australia. (2017). The Economic Value of Palliative Care and End-of-Life Care. Available at: </w:t>
      </w:r>
      <w:hyperlink r:id="rId4" w:history="1">
        <w:r w:rsidR="00AE7B7F" w:rsidRPr="00AE7B7F">
          <w:rPr>
            <w:rStyle w:val="Hyperlink"/>
            <w:rFonts w:asciiTheme="minorHAnsi" w:hAnsiTheme="minorHAnsi"/>
            <w:sz w:val="16"/>
            <w:szCs w:val="16"/>
          </w:rPr>
          <w:t>The Economic Value of Palliative Care and End-of-Life Care - Palliative Care Australia</w:t>
        </w:r>
      </w:hyperlink>
      <w:r w:rsidR="00AE7B7F">
        <w:rPr>
          <w:rFonts w:asciiTheme="minorHAnsi" w:hAnsiTheme="minorHAnsi"/>
          <w:sz w:val="16"/>
          <w:szCs w:val="16"/>
        </w:rPr>
        <w:t xml:space="preserve"> </w:t>
      </w:r>
    </w:p>
  </w:footnote>
  <w:footnote w:id="8">
    <w:p w14:paraId="1E88FF67" w14:textId="77777777" w:rsidR="00AD4847" w:rsidRPr="003D6E09" w:rsidRDefault="00AD4847" w:rsidP="00AD4847">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color w:val="00B050"/>
          <w:sz w:val="16"/>
          <w:szCs w:val="16"/>
        </w:rPr>
        <w:t xml:space="preserve"> </w:t>
      </w:r>
      <w:r w:rsidRPr="003D6E09">
        <w:rPr>
          <w:rFonts w:asciiTheme="minorHAnsi" w:hAnsiTheme="minorHAnsi"/>
          <w:color w:val="000000" w:themeColor="text1"/>
          <w:sz w:val="16"/>
          <w:szCs w:val="16"/>
        </w:rPr>
        <w:t xml:space="preserve">Based on the Murtagh (2014) minimal estimate. </w:t>
      </w:r>
      <w:hyperlink r:id="rId5" w:history="1">
        <w:r w:rsidRPr="003D6E09">
          <w:rPr>
            <w:rStyle w:val="Hyperlink"/>
            <w:rFonts w:asciiTheme="minorHAnsi" w:hAnsiTheme="minorHAnsi"/>
            <w:sz w:val="16"/>
            <w:szCs w:val="16"/>
          </w:rPr>
          <w:t>Palliative care and health service use for people with life-limiting conditions, Overview of the population in need of palliative care - Australian Institute of Health and Welfare</w:t>
        </w:r>
      </w:hyperlink>
    </w:p>
  </w:footnote>
  <w:footnote w:id="9">
    <w:p w14:paraId="55525026" w14:textId="77777777" w:rsidR="005A713D" w:rsidRPr="003D6E09" w:rsidRDefault="005A713D" w:rsidP="005A713D">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proofErr w:type="spellStart"/>
      <w:r w:rsidRPr="003D6E09">
        <w:rPr>
          <w:rFonts w:asciiTheme="minorHAnsi" w:hAnsiTheme="minorHAnsi"/>
          <w:sz w:val="16"/>
          <w:szCs w:val="16"/>
        </w:rPr>
        <w:t>DoHAC</w:t>
      </w:r>
      <w:proofErr w:type="spellEnd"/>
      <w:r w:rsidRPr="003D6E09">
        <w:rPr>
          <w:rFonts w:asciiTheme="minorHAnsi" w:hAnsiTheme="minorHAnsi"/>
          <w:sz w:val="16"/>
          <w:szCs w:val="16"/>
        </w:rPr>
        <w:t xml:space="preserve"> (2021). Primary Health Networks (PHN) Program Expansion of the Greater Choice for At Home Palliative Care (GCfAHPC) Measure Grant Opportunity Guidelines.</w:t>
      </w:r>
    </w:p>
  </w:footnote>
  <w:footnote w:id="10">
    <w:p w14:paraId="265632AA" w14:textId="77777777" w:rsidR="009439F0" w:rsidRPr="003D6E09" w:rsidRDefault="009439F0" w:rsidP="009439F0">
      <w:pPr>
        <w:pStyle w:val="FootnoteText"/>
        <w:rPr>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Deloitte (2021). Greater Choice for at Home Palliative Care Final Report.</w:t>
      </w:r>
    </w:p>
  </w:footnote>
  <w:footnote w:id="11">
    <w:p w14:paraId="329A4C86" w14:textId="77777777" w:rsidR="009439F0" w:rsidRPr="003D6E09" w:rsidRDefault="009439F0" w:rsidP="009439F0">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proofErr w:type="spellStart"/>
      <w:r w:rsidRPr="003D6E09">
        <w:rPr>
          <w:rFonts w:asciiTheme="minorHAnsi" w:hAnsiTheme="minorHAnsi"/>
          <w:sz w:val="16"/>
          <w:szCs w:val="16"/>
        </w:rPr>
        <w:t>DoHAC</w:t>
      </w:r>
      <w:proofErr w:type="spellEnd"/>
      <w:r w:rsidRPr="003D6E09">
        <w:rPr>
          <w:rFonts w:asciiTheme="minorHAnsi" w:hAnsiTheme="minorHAnsi"/>
          <w:sz w:val="16"/>
          <w:szCs w:val="16"/>
        </w:rPr>
        <w:t xml:space="preserve"> (2021). PHN Program Expansion of the GCfAHPC Measure Grant Opportunity Guidelines.</w:t>
      </w:r>
    </w:p>
  </w:footnote>
  <w:footnote w:id="12">
    <w:p w14:paraId="331C601A" w14:textId="77777777" w:rsidR="00B5300B" w:rsidRPr="003D6E09" w:rsidRDefault="00B5300B" w:rsidP="00B5300B">
      <w:pPr>
        <w:pStyle w:val="FootnoteText"/>
        <w:rPr>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For the purposes of the GCfAHPC Evaluation Perth North, Perth South and Country Western Australia are co-operating as the Western Australia Primary Health Alliance (WAPHA). As a result, when counting the number of PHNs undertaking an activity, these three PHNs count as one entity (i.e. WAPHA). Otherwise, this report refers to 31 PHNs nationally.</w:t>
      </w:r>
      <w:r w:rsidRPr="003D6E09">
        <w:rPr>
          <w:sz w:val="16"/>
          <w:szCs w:val="16"/>
        </w:rPr>
        <w:t xml:space="preserve"> </w:t>
      </w:r>
    </w:p>
  </w:footnote>
  <w:footnote w:id="13">
    <w:p w14:paraId="41772105" w14:textId="71486144" w:rsidR="0073070B" w:rsidRPr="003D6E09" w:rsidRDefault="0073070B">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proofErr w:type="spellStart"/>
      <w:r w:rsidRPr="003D6E09">
        <w:rPr>
          <w:rFonts w:asciiTheme="minorHAnsi" w:hAnsiTheme="minorHAnsi"/>
          <w:sz w:val="16"/>
          <w:szCs w:val="16"/>
        </w:rPr>
        <w:t>DoHAC</w:t>
      </w:r>
      <w:proofErr w:type="spellEnd"/>
      <w:r w:rsidRPr="003D6E09">
        <w:rPr>
          <w:rFonts w:asciiTheme="minorHAnsi" w:hAnsiTheme="minorHAnsi"/>
          <w:sz w:val="16"/>
          <w:szCs w:val="16"/>
        </w:rPr>
        <w:t xml:space="preserve"> (2021). PHN Program Expansion of the GCfAHPC Measure Grant Opportunity Guidelines. </w:t>
      </w:r>
    </w:p>
  </w:footnote>
  <w:footnote w:id="14">
    <w:p w14:paraId="7F3BBA80" w14:textId="085D6C30" w:rsidR="00FB6852" w:rsidRPr="003D6E09" w:rsidRDefault="00FB6852" w:rsidP="00FB6852">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proofErr w:type="spellStart"/>
      <w:r w:rsidRPr="003D6E09">
        <w:rPr>
          <w:rFonts w:asciiTheme="minorHAnsi" w:hAnsiTheme="minorHAnsi"/>
          <w:sz w:val="16"/>
          <w:szCs w:val="16"/>
        </w:rPr>
        <w:t>DoHAC</w:t>
      </w:r>
      <w:proofErr w:type="spellEnd"/>
      <w:r w:rsidRPr="003D6E09">
        <w:rPr>
          <w:rFonts w:asciiTheme="minorHAnsi" w:hAnsiTheme="minorHAnsi"/>
          <w:sz w:val="16"/>
          <w:szCs w:val="16"/>
        </w:rPr>
        <w:t xml:space="preserve"> (2025)</w:t>
      </w:r>
      <w:r w:rsidR="00D66FD7" w:rsidRPr="003D6E09">
        <w:rPr>
          <w:rFonts w:asciiTheme="minorHAnsi" w:hAnsiTheme="minorHAnsi"/>
          <w:sz w:val="16"/>
          <w:szCs w:val="16"/>
        </w:rPr>
        <w:t>.</w:t>
      </w:r>
      <w:r w:rsidRPr="003D6E09">
        <w:rPr>
          <w:rFonts w:asciiTheme="minorHAnsi" w:hAnsiTheme="minorHAnsi"/>
          <w:sz w:val="16"/>
          <w:szCs w:val="16"/>
        </w:rPr>
        <w:t xml:space="preserve"> National Evaluation of the GCfAHPC Program: Baseline Report.</w:t>
      </w:r>
    </w:p>
  </w:footnote>
  <w:footnote w:id="15">
    <w:p w14:paraId="7123CF62" w14:textId="77777777" w:rsidR="00260275" w:rsidRPr="006D5E59" w:rsidRDefault="00260275" w:rsidP="00260275">
      <w:pPr>
        <w:pStyle w:val="FootnoteText"/>
        <w:rPr>
          <w:sz w:val="16"/>
          <w:szCs w:val="16"/>
          <w:lang w:val="fr-FR"/>
        </w:rPr>
      </w:pPr>
      <w:r w:rsidRPr="003D6E09">
        <w:rPr>
          <w:rStyle w:val="FootnoteReference"/>
          <w:rFonts w:asciiTheme="minorHAnsi" w:hAnsiTheme="minorHAnsi"/>
          <w:sz w:val="16"/>
          <w:szCs w:val="16"/>
        </w:rPr>
        <w:footnoteRef/>
      </w:r>
      <w:r w:rsidRPr="006D5E59">
        <w:rPr>
          <w:rFonts w:asciiTheme="minorHAnsi" w:hAnsiTheme="minorHAnsi"/>
          <w:sz w:val="16"/>
          <w:szCs w:val="16"/>
          <w:lang w:val="fr-FR"/>
        </w:rPr>
        <w:t xml:space="preserve"> PHN </w:t>
      </w:r>
      <w:r w:rsidR="00D8670D" w:rsidRPr="006D5E59">
        <w:rPr>
          <w:rFonts w:asciiTheme="minorHAnsi" w:hAnsiTheme="minorHAnsi"/>
          <w:sz w:val="16"/>
          <w:szCs w:val="16"/>
          <w:lang w:val="fr-FR"/>
        </w:rPr>
        <w:t>Endpoint</w:t>
      </w:r>
      <w:r w:rsidRPr="006D5E59">
        <w:rPr>
          <w:rFonts w:asciiTheme="minorHAnsi" w:hAnsiTheme="minorHAnsi"/>
          <w:sz w:val="16"/>
          <w:szCs w:val="16"/>
          <w:lang w:val="fr-FR"/>
        </w:rPr>
        <w:t xml:space="preserve"> </w:t>
      </w:r>
      <w:proofErr w:type="spellStart"/>
      <w:r w:rsidRPr="006D5E59">
        <w:rPr>
          <w:rFonts w:asciiTheme="minorHAnsi" w:hAnsiTheme="minorHAnsi"/>
          <w:sz w:val="16"/>
          <w:szCs w:val="16"/>
          <w:lang w:val="fr-FR"/>
        </w:rPr>
        <w:t>survey</w:t>
      </w:r>
      <w:proofErr w:type="spellEnd"/>
      <w:r w:rsidRPr="006D5E59">
        <w:rPr>
          <w:rFonts w:asciiTheme="minorHAnsi" w:hAnsiTheme="minorHAnsi"/>
          <w:sz w:val="16"/>
          <w:szCs w:val="16"/>
          <w:lang w:val="fr-FR"/>
        </w:rPr>
        <w:t xml:space="preserve"> – qualitative </w:t>
      </w:r>
      <w:proofErr w:type="spellStart"/>
      <w:r w:rsidRPr="006D5E59">
        <w:rPr>
          <w:rFonts w:asciiTheme="minorHAnsi" w:hAnsiTheme="minorHAnsi"/>
          <w:sz w:val="16"/>
          <w:szCs w:val="16"/>
          <w:lang w:val="fr-FR"/>
        </w:rPr>
        <w:t>responses</w:t>
      </w:r>
      <w:proofErr w:type="spellEnd"/>
    </w:p>
  </w:footnote>
  <w:footnote w:id="16">
    <w:p w14:paraId="1FEF1C81" w14:textId="77777777" w:rsidR="009E468D" w:rsidRPr="006D5E59" w:rsidRDefault="009E468D" w:rsidP="009E468D">
      <w:pPr>
        <w:pStyle w:val="FootnoteText"/>
        <w:rPr>
          <w:rFonts w:asciiTheme="minorHAnsi" w:hAnsiTheme="minorHAnsi"/>
          <w:sz w:val="16"/>
          <w:szCs w:val="16"/>
          <w:lang w:val="fr-FR"/>
        </w:rPr>
      </w:pPr>
      <w:r w:rsidRPr="003D6E09">
        <w:rPr>
          <w:rStyle w:val="FootnoteReference"/>
          <w:rFonts w:asciiTheme="minorHAnsi" w:hAnsiTheme="minorHAnsi"/>
          <w:sz w:val="16"/>
          <w:szCs w:val="16"/>
        </w:rPr>
        <w:footnoteRef/>
      </w:r>
      <w:r w:rsidRPr="006D5E59">
        <w:rPr>
          <w:rFonts w:asciiTheme="minorHAnsi" w:hAnsiTheme="minorHAnsi"/>
          <w:sz w:val="16"/>
          <w:szCs w:val="16"/>
          <w:lang w:val="fr-FR"/>
        </w:rPr>
        <w:t xml:space="preserve"> PHN Endpoint </w:t>
      </w:r>
      <w:proofErr w:type="spellStart"/>
      <w:r w:rsidRPr="006D5E59">
        <w:rPr>
          <w:rFonts w:asciiTheme="minorHAnsi" w:hAnsiTheme="minorHAnsi"/>
          <w:sz w:val="16"/>
          <w:szCs w:val="16"/>
          <w:lang w:val="fr-FR"/>
        </w:rPr>
        <w:t>survey</w:t>
      </w:r>
      <w:proofErr w:type="spellEnd"/>
      <w:r w:rsidRPr="006D5E59">
        <w:rPr>
          <w:rFonts w:asciiTheme="minorHAnsi" w:hAnsiTheme="minorHAnsi"/>
          <w:sz w:val="16"/>
          <w:szCs w:val="16"/>
          <w:lang w:val="fr-FR"/>
        </w:rPr>
        <w:t xml:space="preserve"> – qualitative </w:t>
      </w:r>
      <w:proofErr w:type="spellStart"/>
      <w:r w:rsidRPr="006D5E59">
        <w:rPr>
          <w:rFonts w:asciiTheme="minorHAnsi" w:hAnsiTheme="minorHAnsi"/>
          <w:sz w:val="16"/>
          <w:szCs w:val="16"/>
          <w:lang w:val="fr-FR"/>
        </w:rPr>
        <w:t>responses</w:t>
      </w:r>
      <w:proofErr w:type="spellEnd"/>
    </w:p>
  </w:footnote>
  <w:footnote w:id="17">
    <w:p w14:paraId="2114CED2" w14:textId="77777777" w:rsidR="009E468D" w:rsidRPr="006D5E59" w:rsidRDefault="009E468D" w:rsidP="009E468D">
      <w:pPr>
        <w:pStyle w:val="FootnoteText"/>
        <w:rPr>
          <w:lang w:val="fr-FR"/>
        </w:rPr>
      </w:pPr>
      <w:r w:rsidRPr="003D6E09">
        <w:rPr>
          <w:rStyle w:val="FootnoteReference"/>
        </w:rPr>
        <w:footnoteRef/>
      </w:r>
      <w:r w:rsidRPr="006D5E59">
        <w:rPr>
          <w:lang w:val="fr-FR"/>
        </w:rPr>
        <w:t xml:space="preserve"> </w:t>
      </w:r>
      <w:r w:rsidRPr="006D5E59">
        <w:rPr>
          <w:sz w:val="16"/>
          <w:szCs w:val="16"/>
          <w:lang w:val="fr-FR"/>
        </w:rPr>
        <w:t>PHN Consultations</w:t>
      </w:r>
    </w:p>
  </w:footnote>
  <w:footnote w:id="18">
    <w:p w14:paraId="3325516A" w14:textId="77777777" w:rsidR="009E468D" w:rsidRPr="006D5E59" w:rsidRDefault="009E468D" w:rsidP="009E468D">
      <w:pPr>
        <w:pStyle w:val="FootnoteText"/>
        <w:rPr>
          <w:rFonts w:asciiTheme="minorHAnsi" w:hAnsiTheme="minorHAnsi"/>
          <w:sz w:val="16"/>
          <w:szCs w:val="16"/>
          <w:lang w:val="fr-FR"/>
        </w:rPr>
      </w:pPr>
      <w:r w:rsidRPr="003D6E09">
        <w:rPr>
          <w:rStyle w:val="FootnoteReference"/>
          <w:rFonts w:asciiTheme="minorHAnsi" w:hAnsiTheme="minorHAnsi"/>
          <w:sz w:val="16"/>
          <w:szCs w:val="16"/>
        </w:rPr>
        <w:footnoteRef/>
      </w:r>
      <w:r w:rsidRPr="006D5E59">
        <w:rPr>
          <w:rFonts w:asciiTheme="minorHAnsi" w:hAnsiTheme="minorHAnsi"/>
          <w:sz w:val="16"/>
          <w:szCs w:val="16"/>
          <w:lang w:val="fr-FR"/>
        </w:rPr>
        <w:t xml:space="preserve"> PHN Endpoint </w:t>
      </w:r>
      <w:proofErr w:type="spellStart"/>
      <w:r w:rsidRPr="006D5E59">
        <w:rPr>
          <w:rFonts w:asciiTheme="minorHAnsi" w:hAnsiTheme="minorHAnsi"/>
          <w:sz w:val="16"/>
          <w:szCs w:val="16"/>
          <w:lang w:val="fr-FR"/>
        </w:rPr>
        <w:t>survey</w:t>
      </w:r>
      <w:proofErr w:type="spellEnd"/>
      <w:r w:rsidRPr="006D5E59">
        <w:rPr>
          <w:rFonts w:asciiTheme="minorHAnsi" w:hAnsiTheme="minorHAnsi"/>
          <w:sz w:val="16"/>
          <w:szCs w:val="16"/>
          <w:lang w:val="fr-FR"/>
        </w:rPr>
        <w:t xml:space="preserve"> – qualitative </w:t>
      </w:r>
      <w:proofErr w:type="spellStart"/>
      <w:r w:rsidRPr="006D5E59">
        <w:rPr>
          <w:rFonts w:asciiTheme="minorHAnsi" w:hAnsiTheme="minorHAnsi"/>
          <w:sz w:val="16"/>
          <w:szCs w:val="16"/>
          <w:lang w:val="fr-FR"/>
        </w:rPr>
        <w:t>responses</w:t>
      </w:r>
      <w:proofErr w:type="spellEnd"/>
    </w:p>
  </w:footnote>
  <w:footnote w:id="19">
    <w:p w14:paraId="03C29EEA" w14:textId="7416F846" w:rsidR="00DA1BBA" w:rsidRPr="006D5E59" w:rsidRDefault="00DA1BBA">
      <w:pPr>
        <w:pStyle w:val="FootnoteText"/>
        <w:rPr>
          <w:lang w:val="fr-FR"/>
        </w:rPr>
      </w:pPr>
      <w:r w:rsidRPr="003D6E09">
        <w:rPr>
          <w:rStyle w:val="FootnoteReference"/>
          <w:sz w:val="16"/>
          <w:szCs w:val="16"/>
        </w:rPr>
        <w:footnoteRef/>
      </w:r>
      <w:r w:rsidRPr="006D5E59">
        <w:rPr>
          <w:sz w:val="16"/>
          <w:szCs w:val="16"/>
          <w:lang w:val="fr-FR"/>
        </w:rPr>
        <w:t xml:space="preserve"> PHN consultations</w:t>
      </w:r>
    </w:p>
  </w:footnote>
  <w:footnote w:id="20">
    <w:p w14:paraId="346E2FF5" w14:textId="4B181912" w:rsidR="009E468D" w:rsidRPr="00EF0CC2" w:rsidRDefault="009E468D">
      <w:pPr>
        <w:pStyle w:val="FootnoteText"/>
      </w:pPr>
      <w:r w:rsidRPr="003D6E09">
        <w:rPr>
          <w:rStyle w:val="FootnoteReference"/>
          <w:sz w:val="16"/>
          <w:szCs w:val="16"/>
        </w:rPr>
        <w:footnoteRef/>
      </w:r>
      <w:r w:rsidRPr="003D6E09">
        <w:rPr>
          <w:sz w:val="16"/>
          <w:szCs w:val="16"/>
        </w:rPr>
        <w:t xml:space="preserve"> </w:t>
      </w:r>
      <w:r w:rsidRPr="00EF0CC2">
        <w:rPr>
          <w:sz w:val="16"/>
          <w:szCs w:val="16"/>
        </w:rPr>
        <w:t>Service provider consultations</w:t>
      </w:r>
    </w:p>
  </w:footnote>
  <w:footnote w:id="21">
    <w:p w14:paraId="5EE65E6D" w14:textId="29F4D3E4" w:rsidR="00A52502" w:rsidRPr="003D6E09" w:rsidRDefault="00A52502">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PHN Endpoint survey</w:t>
      </w:r>
    </w:p>
  </w:footnote>
  <w:footnote w:id="22">
    <w:p w14:paraId="5410D221" w14:textId="77777777" w:rsidR="006C31AE" w:rsidRPr="00EF0CC2" w:rsidRDefault="006C31AE" w:rsidP="006C31AE">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r w:rsidRPr="00EF0CC2">
        <w:rPr>
          <w:rFonts w:asciiTheme="minorHAnsi" w:hAnsiTheme="minorHAnsi"/>
          <w:sz w:val="16"/>
          <w:szCs w:val="16"/>
        </w:rPr>
        <w:t xml:space="preserve">National Core Community Palliative Care Medicines List identifies four medicines for use with home-based palliative patients in the terminal phase who require urgent symptom relief. Most common terminal symptoms in uncomplicated palliative care patients can be managed using medicines from the List. The List, developed by </w:t>
      </w:r>
      <w:proofErr w:type="spellStart"/>
      <w:r w:rsidRPr="00EF0CC2">
        <w:rPr>
          <w:rFonts w:asciiTheme="minorHAnsi" w:hAnsiTheme="minorHAnsi"/>
          <w:sz w:val="16"/>
          <w:szCs w:val="16"/>
        </w:rPr>
        <w:t>caring@home</w:t>
      </w:r>
      <w:proofErr w:type="spellEnd"/>
      <w:r w:rsidRPr="00EF0CC2">
        <w:rPr>
          <w:rFonts w:asciiTheme="minorHAnsi" w:hAnsiTheme="minorHAnsi"/>
          <w:sz w:val="16"/>
          <w:szCs w:val="16"/>
        </w:rPr>
        <w:t xml:space="preserve"> with key national stakeholders, supports quality palliative care by improving access to medicines in the community.</w:t>
      </w:r>
    </w:p>
    <w:p w14:paraId="245A318E" w14:textId="77777777" w:rsidR="006C31AE" w:rsidRPr="003D6E09" w:rsidRDefault="006C31AE" w:rsidP="006C31AE">
      <w:pPr>
        <w:pStyle w:val="FootnoteText"/>
        <w:rPr>
          <w:sz w:val="16"/>
          <w:szCs w:val="16"/>
        </w:rPr>
      </w:pPr>
    </w:p>
  </w:footnote>
  <w:footnote w:id="23">
    <w:p w14:paraId="1BD63D1C" w14:textId="77777777" w:rsidR="007F5C65" w:rsidRPr="003D6E09" w:rsidRDefault="007F5C65" w:rsidP="007F5C65">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Palliative Care New South Wales (2023). Further evidence of the economic benefits of Palliative Care. Available at: </w:t>
      </w:r>
      <w:hyperlink r:id="rId6" w:history="1">
        <w:r w:rsidRPr="003D6E09">
          <w:rPr>
            <w:rStyle w:val="Hyperlink"/>
            <w:rFonts w:asciiTheme="minorHAnsi" w:hAnsiTheme="minorHAnsi"/>
            <w:sz w:val="16"/>
            <w:szCs w:val="16"/>
          </w:rPr>
          <w:t>https://palliativecarensw.org.au/further-evidence-of-the-economic-benefits-of-palliative-care/</w:t>
        </w:r>
      </w:hyperlink>
      <w:r w:rsidRPr="003D6E09">
        <w:rPr>
          <w:rFonts w:asciiTheme="minorHAnsi" w:hAnsiTheme="minorHAnsi"/>
          <w:sz w:val="16"/>
          <w:szCs w:val="16"/>
        </w:rPr>
        <w:t xml:space="preserve"> </w:t>
      </w:r>
    </w:p>
  </w:footnote>
  <w:footnote w:id="24">
    <w:p w14:paraId="04F319F7" w14:textId="77777777" w:rsidR="007F5C65" w:rsidRPr="003D6E09" w:rsidRDefault="007F5C65" w:rsidP="007F5C65">
      <w:pPr>
        <w:pStyle w:val="FootnoteText"/>
        <w:rPr>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Palliative Care Australia (2024). Wellbeing in palliative care workforces - National Workforce Survey Findings Report 1. Available at: </w:t>
      </w:r>
      <w:hyperlink r:id="rId7" w:history="1">
        <w:r w:rsidRPr="003D6E09">
          <w:rPr>
            <w:rStyle w:val="Hyperlink"/>
            <w:rFonts w:asciiTheme="minorHAnsi" w:hAnsiTheme="minorHAnsi"/>
            <w:sz w:val="16"/>
            <w:szCs w:val="16"/>
          </w:rPr>
          <w:t>https://palliativecare.org.au/statement/wellbeing-in-palliative-care-workforces-national-workforce-survey-findings-report-1/</w:t>
        </w:r>
      </w:hyperlink>
    </w:p>
  </w:footnote>
  <w:footnote w:id="25">
    <w:p w14:paraId="103474FE" w14:textId="77777777" w:rsidR="008070DB" w:rsidRPr="003D6E09" w:rsidRDefault="008070DB" w:rsidP="008070DB">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CESPHN. Greater choice for at home palliative care nurse education final report (2025). University of Technology: Sydney.</w:t>
      </w:r>
    </w:p>
  </w:footnote>
  <w:footnote w:id="26">
    <w:p w14:paraId="4685955C" w14:textId="2FC0CB74" w:rsidR="009E468D" w:rsidRPr="00EF0CC2" w:rsidRDefault="009E468D">
      <w:pPr>
        <w:pStyle w:val="FootnoteText"/>
      </w:pPr>
      <w:r w:rsidRPr="003D6E09">
        <w:rPr>
          <w:rStyle w:val="FootnoteReference"/>
          <w:sz w:val="16"/>
          <w:szCs w:val="16"/>
        </w:rPr>
        <w:footnoteRef/>
      </w:r>
      <w:r w:rsidRPr="003D6E09">
        <w:rPr>
          <w:sz w:val="16"/>
          <w:szCs w:val="16"/>
        </w:rPr>
        <w:t xml:space="preserve"> </w:t>
      </w:r>
      <w:r w:rsidRPr="00EF0CC2">
        <w:rPr>
          <w:sz w:val="16"/>
          <w:szCs w:val="16"/>
        </w:rPr>
        <w:t>PHN consultations</w:t>
      </w:r>
    </w:p>
  </w:footnote>
  <w:footnote w:id="27">
    <w:p w14:paraId="62C9110D" w14:textId="77777777" w:rsidR="006E7EC6" w:rsidRPr="003D6E09" w:rsidRDefault="006E7EC6" w:rsidP="006E7EC6">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PHN Endpoint survey</w:t>
      </w:r>
    </w:p>
  </w:footnote>
  <w:footnote w:id="28">
    <w:p w14:paraId="6EFA135B" w14:textId="77777777" w:rsidR="00C82424" w:rsidRPr="003D6E09" w:rsidRDefault="00C82424" w:rsidP="00C82424">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GCfAHPC Baseline report</w:t>
      </w:r>
    </w:p>
  </w:footnote>
  <w:footnote w:id="29">
    <w:p w14:paraId="0AC57BBA" w14:textId="77777777" w:rsidR="00C82424" w:rsidRPr="003D6E09" w:rsidRDefault="00C82424" w:rsidP="00C82424">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PHN Endpoint survey</w:t>
      </w:r>
    </w:p>
  </w:footnote>
  <w:footnote w:id="30">
    <w:p w14:paraId="085E7F72" w14:textId="77777777" w:rsidR="00B568F1" w:rsidRPr="003D6E09" w:rsidRDefault="00B568F1" w:rsidP="00B568F1">
      <w:pPr>
        <w:pStyle w:val="FootnoteText"/>
        <w:rPr>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PHN Endpoint survey – qualitative responses</w:t>
      </w:r>
    </w:p>
  </w:footnote>
  <w:footnote w:id="31">
    <w:p w14:paraId="7B2F4B09" w14:textId="77777777" w:rsidR="006E14D8" w:rsidRPr="003D6E09" w:rsidRDefault="006E14D8" w:rsidP="006E14D8">
      <w:pPr>
        <w:pStyle w:val="FootnoteText"/>
        <w:rPr>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PHN Endpoint survey – qualitative responses</w:t>
      </w:r>
    </w:p>
  </w:footnote>
  <w:footnote w:id="32">
    <w:p w14:paraId="01CE0D3C" w14:textId="77777777" w:rsidR="007F647A" w:rsidRPr="003D6E09" w:rsidRDefault="007F647A" w:rsidP="007F647A">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PHN Endpoint survey</w:t>
      </w:r>
    </w:p>
  </w:footnote>
  <w:footnote w:id="33">
    <w:p w14:paraId="58DE6E18" w14:textId="77777777" w:rsidR="007F647A" w:rsidRPr="00F1160C" w:rsidRDefault="007F647A" w:rsidP="007F647A">
      <w:pPr>
        <w:pStyle w:val="FootnoteText"/>
      </w:pPr>
      <w:r w:rsidRPr="003D6E09">
        <w:rPr>
          <w:rStyle w:val="FootnoteReference"/>
          <w:sz w:val="16"/>
          <w:szCs w:val="16"/>
        </w:rPr>
        <w:footnoteRef/>
      </w:r>
      <w:r w:rsidRPr="003D6E09">
        <w:rPr>
          <w:sz w:val="16"/>
          <w:szCs w:val="16"/>
        </w:rPr>
        <w:t xml:space="preserve"> </w:t>
      </w:r>
      <w:r w:rsidRPr="00F1160C">
        <w:rPr>
          <w:sz w:val="16"/>
          <w:szCs w:val="16"/>
        </w:rPr>
        <w:t>PHN consultations</w:t>
      </w:r>
    </w:p>
  </w:footnote>
  <w:footnote w:id="34">
    <w:p w14:paraId="44C90C75" w14:textId="2FD8F271" w:rsidR="00F0035A" w:rsidRPr="003D6E09" w:rsidRDefault="00F0035A" w:rsidP="00F0035A">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005A73E2" w:rsidRPr="003D6E09">
        <w:rPr>
          <w:rFonts w:asciiTheme="minorHAnsi" w:hAnsiTheme="minorHAnsi"/>
          <w:sz w:val="16"/>
          <w:szCs w:val="16"/>
        </w:rPr>
        <w:t xml:space="preserve"> </w:t>
      </w:r>
      <w:r w:rsidR="00490D6B" w:rsidRPr="003D6E09">
        <w:rPr>
          <w:rFonts w:asciiTheme="minorHAnsi" w:hAnsiTheme="minorHAnsi"/>
          <w:sz w:val="16"/>
          <w:szCs w:val="16"/>
        </w:rPr>
        <w:t xml:space="preserve">Palliative Care Australia (2024). Wellbeing in palliative care workforces - National Workforce Survey Findings Report 1. Available at: </w:t>
      </w:r>
      <w:hyperlink r:id="rId8" w:history="1">
        <w:r w:rsidR="002565FB" w:rsidRPr="003D6E09">
          <w:rPr>
            <w:rStyle w:val="Hyperlink"/>
            <w:rFonts w:asciiTheme="minorHAnsi" w:hAnsiTheme="minorHAnsi"/>
            <w:sz w:val="16"/>
            <w:szCs w:val="16"/>
          </w:rPr>
          <w:t>https://palliativecare.org.au/statement/wellbeing-in-palliative-care-workforces-national-workforce-survey-findings-report-1/</w:t>
        </w:r>
      </w:hyperlink>
      <w:r w:rsidR="002565FB" w:rsidRPr="003D6E09">
        <w:rPr>
          <w:rFonts w:asciiTheme="minorHAnsi" w:hAnsiTheme="minorHAnsi"/>
          <w:sz w:val="16"/>
          <w:szCs w:val="16"/>
        </w:rPr>
        <w:t xml:space="preserve"> </w:t>
      </w:r>
    </w:p>
  </w:footnote>
  <w:footnote w:id="35">
    <w:p w14:paraId="1EB4338B" w14:textId="2B97E689" w:rsidR="00F37822" w:rsidRPr="00F1160C" w:rsidRDefault="00F37822">
      <w:pPr>
        <w:pStyle w:val="FootnoteText"/>
      </w:pPr>
      <w:r w:rsidRPr="003D6E09">
        <w:rPr>
          <w:rStyle w:val="FootnoteReference"/>
          <w:sz w:val="16"/>
          <w:szCs w:val="16"/>
        </w:rPr>
        <w:footnoteRef/>
      </w:r>
      <w:r w:rsidRPr="003D6E09">
        <w:rPr>
          <w:sz w:val="16"/>
          <w:szCs w:val="16"/>
        </w:rPr>
        <w:t xml:space="preserve"> </w:t>
      </w:r>
      <w:r w:rsidRPr="00F1160C">
        <w:rPr>
          <w:sz w:val="16"/>
          <w:szCs w:val="16"/>
        </w:rPr>
        <w:t xml:space="preserve">AIHW (2025) Palliative Care Services in Australia. Available at: </w:t>
      </w:r>
      <w:r w:rsidR="00A775F9" w:rsidRPr="00F1160C">
        <w:rPr>
          <w:sz w:val="16"/>
          <w:szCs w:val="16"/>
        </w:rPr>
        <w:t>https://www.aihw.gov.au/reports/palliative-care-services/palliative-care-services-in-australia/contents/palliative-care-related-medications</w:t>
      </w:r>
    </w:p>
  </w:footnote>
  <w:footnote w:id="36">
    <w:p w14:paraId="76C24242" w14:textId="77777777" w:rsidR="00F12839" w:rsidRPr="003D6E09" w:rsidRDefault="00F12839" w:rsidP="00F12839">
      <w:pPr>
        <w:pStyle w:val="FootnoteText"/>
        <w:rPr>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Endpoint provider survey</w:t>
      </w:r>
    </w:p>
  </w:footnote>
  <w:footnote w:id="37">
    <w:p w14:paraId="273B072D" w14:textId="187852FF" w:rsidR="00FB3C84" w:rsidRPr="00F1160C" w:rsidRDefault="00FB3C84">
      <w:pPr>
        <w:pStyle w:val="FootnoteText"/>
      </w:pPr>
      <w:r w:rsidRPr="003D6E09">
        <w:rPr>
          <w:rStyle w:val="FootnoteReference"/>
          <w:sz w:val="16"/>
          <w:szCs w:val="16"/>
        </w:rPr>
        <w:footnoteRef/>
      </w:r>
      <w:r w:rsidRPr="003D6E09">
        <w:rPr>
          <w:sz w:val="16"/>
          <w:szCs w:val="16"/>
        </w:rPr>
        <w:t xml:space="preserve"> </w:t>
      </w:r>
      <w:r w:rsidRPr="00F1160C">
        <w:rPr>
          <w:sz w:val="16"/>
          <w:szCs w:val="16"/>
        </w:rPr>
        <w:t>PHN consultations</w:t>
      </w:r>
    </w:p>
  </w:footnote>
  <w:footnote w:id="38">
    <w:p w14:paraId="59C52CDF" w14:textId="2631BE20" w:rsidR="000579AD" w:rsidRPr="003D6E09" w:rsidRDefault="000579AD">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00043F9C" w:rsidRPr="003D6E09">
        <w:rPr>
          <w:rFonts w:asciiTheme="minorHAnsi" w:hAnsiTheme="minorHAnsi"/>
          <w:sz w:val="16"/>
          <w:szCs w:val="16"/>
        </w:rPr>
        <w:t xml:space="preserve"> Palliative Care Australia (2024). Wellbeing in palliative care workforces - National Workforce Survey Findings Report 1. Available at: </w:t>
      </w:r>
      <w:hyperlink r:id="rId9" w:history="1">
        <w:r w:rsidR="00043F9C" w:rsidRPr="003D6E09">
          <w:rPr>
            <w:rStyle w:val="Hyperlink"/>
            <w:rFonts w:asciiTheme="minorHAnsi" w:hAnsiTheme="minorHAnsi"/>
            <w:sz w:val="16"/>
            <w:szCs w:val="16"/>
          </w:rPr>
          <w:t>https://palliativecare.org.au/statement/wellbeing-in-palliative-care-workforces-national-workforce-survey-findings-report-1/</w:t>
        </w:r>
      </w:hyperlink>
      <w:r w:rsidR="00043F9C" w:rsidRPr="003D6E09">
        <w:rPr>
          <w:rFonts w:asciiTheme="minorHAnsi" w:hAnsiTheme="minorHAnsi"/>
          <w:sz w:val="16"/>
          <w:szCs w:val="16"/>
        </w:rPr>
        <w:t xml:space="preserve"> </w:t>
      </w:r>
    </w:p>
  </w:footnote>
  <w:footnote w:id="39">
    <w:p w14:paraId="65CCDA09" w14:textId="77777777" w:rsidR="00695CE7" w:rsidRPr="00F1160C" w:rsidRDefault="00695CE7" w:rsidP="00695CE7">
      <w:pPr>
        <w:pStyle w:val="FootnoteText"/>
      </w:pPr>
      <w:r w:rsidRPr="003D6E09">
        <w:rPr>
          <w:rStyle w:val="FootnoteReference"/>
          <w:sz w:val="16"/>
          <w:szCs w:val="16"/>
        </w:rPr>
        <w:footnoteRef/>
      </w:r>
      <w:r w:rsidRPr="003D6E09">
        <w:rPr>
          <w:sz w:val="16"/>
          <w:szCs w:val="16"/>
        </w:rPr>
        <w:t xml:space="preserve"> </w:t>
      </w:r>
      <w:r w:rsidRPr="00F1160C">
        <w:rPr>
          <w:sz w:val="16"/>
          <w:szCs w:val="16"/>
        </w:rPr>
        <w:t>AIHW (2025) Palliative Care services in Australia: Palliative care in General Practice. Available at: https://www.aihw.gov.au/reports/palliative-care-services/palliative-care-services-in-australia/contents/palliative-care-in-general-practice</w:t>
      </w:r>
    </w:p>
  </w:footnote>
  <w:footnote w:id="40">
    <w:p w14:paraId="7C298CDF" w14:textId="01E0D57A" w:rsidR="0078387E" w:rsidRPr="003D6E09" w:rsidRDefault="0078387E">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00995FDF" w:rsidRPr="003D6E09">
        <w:rPr>
          <w:rFonts w:asciiTheme="minorHAnsi" w:hAnsiTheme="minorHAnsi"/>
          <w:color w:val="00B050"/>
          <w:sz w:val="16"/>
          <w:szCs w:val="16"/>
        </w:rPr>
        <w:t xml:space="preserve"> </w:t>
      </w:r>
      <w:r w:rsidR="00867376" w:rsidRPr="003D6E09">
        <w:rPr>
          <w:rFonts w:asciiTheme="minorHAnsi" w:hAnsiTheme="minorHAnsi"/>
          <w:color w:val="000000" w:themeColor="text1"/>
          <w:sz w:val="16"/>
          <w:szCs w:val="16"/>
        </w:rPr>
        <w:t>B</w:t>
      </w:r>
      <w:r w:rsidR="002D3D82" w:rsidRPr="003D6E09">
        <w:rPr>
          <w:rFonts w:asciiTheme="minorHAnsi" w:hAnsiTheme="minorHAnsi"/>
          <w:color w:val="000000" w:themeColor="text1"/>
          <w:sz w:val="16"/>
          <w:szCs w:val="16"/>
        </w:rPr>
        <w:t>ased on the Murtagh (2014) minimal estimate.</w:t>
      </w:r>
      <w:r w:rsidR="00995FDF" w:rsidRPr="003D6E09">
        <w:rPr>
          <w:rFonts w:asciiTheme="minorHAnsi" w:hAnsiTheme="minorHAnsi"/>
          <w:color w:val="000000" w:themeColor="text1"/>
          <w:sz w:val="16"/>
          <w:szCs w:val="16"/>
        </w:rPr>
        <w:t xml:space="preserve"> </w:t>
      </w:r>
      <w:hyperlink r:id="rId10" w:history="1">
        <w:r w:rsidR="00995FDF" w:rsidRPr="003D6E09">
          <w:rPr>
            <w:rStyle w:val="Hyperlink"/>
            <w:rFonts w:asciiTheme="minorHAnsi" w:hAnsiTheme="minorHAnsi"/>
            <w:sz w:val="16"/>
            <w:szCs w:val="16"/>
          </w:rPr>
          <w:t>Palliative care and health service use for people with life-limiting conditions, Overview of the population in need of palliative care - Australian Institute of Health and Welfare</w:t>
        </w:r>
      </w:hyperlink>
    </w:p>
  </w:footnote>
  <w:footnote w:id="41">
    <w:p w14:paraId="71F3BA1B" w14:textId="797F8FD5" w:rsidR="00E0570C" w:rsidRPr="00F1160C" w:rsidRDefault="00E0570C">
      <w:pPr>
        <w:pStyle w:val="FootnoteText"/>
        <w:rPr>
          <w:sz w:val="16"/>
          <w:szCs w:val="16"/>
        </w:rPr>
      </w:pPr>
      <w:r w:rsidRPr="003D6E09">
        <w:rPr>
          <w:rStyle w:val="FootnoteReference"/>
          <w:rFonts w:asciiTheme="minorHAnsi" w:hAnsiTheme="minorHAnsi"/>
          <w:color w:val="auto"/>
          <w:sz w:val="16"/>
          <w:szCs w:val="16"/>
        </w:rPr>
        <w:footnoteRef/>
      </w:r>
      <w:r w:rsidRPr="003D6E09">
        <w:rPr>
          <w:rFonts w:asciiTheme="minorHAnsi" w:hAnsiTheme="minorHAnsi"/>
          <w:color w:val="auto"/>
          <w:sz w:val="16"/>
          <w:szCs w:val="16"/>
        </w:rPr>
        <w:t xml:space="preserve"> The DLI is an Australian validated tool developed by the Death Literacy Institute and used to measure the </w:t>
      </w:r>
      <w:proofErr w:type="gramStart"/>
      <w:r w:rsidRPr="003D6E09">
        <w:rPr>
          <w:rFonts w:asciiTheme="minorHAnsi" w:hAnsiTheme="minorHAnsi"/>
          <w:color w:val="auto"/>
          <w:sz w:val="16"/>
          <w:szCs w:val="16"/>
        </w:rPr>
        <w:t>knowledge</w:t>
      </w:r>
      <w:proofErr w:type="gramEnd"/>
      <w:r w:rsidRPr="003D6E09">
        <w:rPr>
          <w:rFonts w:asciiTheme="minorHAnsi" w:hAnsiTheme="minorHAnsi"/>
          <w:color w:val="auto"/>
          <w:sz w:val="16"/>
          <w:szCs w:val="16"/>
        </w:rPr>
        <w:t xml:space="preserve"> and skills people have about death and dying.</w:t>
      </w:r>
      <w:r w:rsidR="00125F84">
        <w:rPr>
          <w:rFonts w:asciiTheme="minorHAnsi" w:hAnsiTheme="minorHAnsi"/>
          <w:color w:val="auto"/>
          <w:sz w:val="16"/>
          <w:szCs w:val="16"/>
        </w:rPr>
        <w:t xml:space="preserve"> </w:t>
      </w:r>
      <w:hyperlink r:id="rId11" w:history="1">
        <w:r w:rsidR="00125F84" w:rsidRPr="00125F84">
          <w:rPr>
            <w:rStyle w:val="Hyperlink"/>
            <w:rFonts w:asciiTheme="minorHAnsi" w:hAnsiTheme="minorHAnsi"/>
            <w:sz w:val="16"/>
            <w:szCs w:val="16"/>
          </w:rPr>
          <w:t>Death Literacy Institute</w:t>
        </w:r>
      </w:hyperlink>
    </w:p>
  </w:footnote>
  <w:footnote w:id="42">
    <w:p w14:paraId="2DD9B9F7" w14:textId="77777777" w:rsidR="00706C3F" w:rsidRPr="00F1160C" w:rsidRDefault="00706C3F" w:rsidP="00706C3F">
      <w:pPr>
        <w:pStyle w:val="FootnoteText"/>
        <w:rPr>
          <w:rFonts w:asciiTheme="minorHAnsi" w:hAnsiTheme="minorHAnsi"/>
          <w:sz w:val="16"/>
          <w:szCs w:val="16"/>
        </w:rPr>
      </w:pPr>
      <w:r w:rsidRPr="003D6E09">
        <w:rPr>
          <w:rStyle w:val="FootnoteReference"/>
          <w:rFonts w:asciiTheme="minorHAnsi" w:hAnsiTheme="minorHAnsi"/>
          <w:color w:val="000000" w:themeColor="text1"/>
          <w:sz w:val="16"/>
          <w:szCs w:val="16"/>
        </w:rPr>
        <w:footnoteRef/>
      </w:r>
      <w:r w:rsidRPr="00F1160C">
        <w:rPr>
          <w:rFonts w:asciiTheme="minorHAnsi" w:hAnsiTheme="minorHAnsi"/>
          <w:color w:val="000000" w:themeColor="text1"/>
          <w:sz w:val="16"/>
          <w:szCs w:val="16"/>
        </w:rPr>
        <w:t xml:space="preserve"> DLI analysis</w:t>
      </w:r>
    </w:p>
  </w:footnote>
  <w:footnote w:id="43">
    <w:p w14:paraId="647068B5" w14:textId="4DA15D36" w:rsidR="00924402" w:rsidRPr="00997F82" w:rsidRDefault="00924402">
      <w:pPr>
        <w:pStyle w:val="FootnoteText"/>
        <w:rPr>
          <w:lang w:val="en-US"/>
        </w:rPr>
      </w:pPr>
      <w:r>
        <w:rPr>
          <w:rStyle w:val="FootnoteReference"/>
        </w:rPr>
        <w:footnoteRef/>
      </w:r>
      <w:r>
        <w:t xml:space="preserve"> </w:t>
      </w:r>
      <w:r w:rsidR="00D9513C" w:rsidRPr="00D9513C">
        <w:t>PHN Consultations</w:t>
      </w:r>
    </w:p>
  </w:footnote>
  <w:footnote w:id="44">
    <w:p w14:paraId="46C9A981" w14:textId="0926590D" w:rsidR="00AD53DB" w:rsidRPr="00F1160C" w:rsidRDefault="00AD53DB">
      <w:pPr>
        <w:pStyle w:val="FootnoteText"/>
      </w:pPr>
      <w:r w:rsidRPr="003D6E09">
        <w:rPr>
          <w:rStyle w:val="FootnoteReference"/>
          <w:sz w:val="16"/>
          <w:szCs w:val="16"/>
        </w:rPr>
        <w:footnoteRef/>
      </w:r>
      <w:r w:rsidRPr="00F1160C">
        <w:rPr>
          <w:sz w:val="16"/>
          <w:szCs w:val="16"/>
        </w:rPr>
        <w:t xml:space="preserve"> PHN consultations</w:t>
      </w:r>
    </w:p>
  </w:footnote>
  <w:footnote w:id="45">
    <w:p w14:paraId="461F5641" w14:textId="18CBA31C" w:rsidR="002C1B05" w:rsidRPr="003D6E09" w:rsidRDefault="002C1B05">
      <w:pPr>
        <w:pStyle w:val="FootnoteText"/>
        <w:rPr>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r w:rsidR="00804014" w:rsidRPr="003D6E09">
        <w:rPr>
          <w:rFonts w:asciiTheme="minorHAnsi" w:hAnsiTheme="minorHAnsi"/>
          <w:sz w:val="16"/>
          <w:szCs w:val="16"/>
        </w:rPr>
        <w:t>Palliative Care Australia</w:t>
      </w:r>
      <w:r w:rsidR="00AB6AB8" w:rsidRPr="003D6E09">
        <w:rPr>
          <w:rFonts w:asciiTheme="minorHAnsi" w:hAnsiTheme="minorHAnsi"/>
          <w:sz w:val="16"/>
          <w:szCs w:val="16"/>
        </w:rPr>
        <w:t xml:space="preserve">. Available at: </w:t>
      </w:r>
      <w:hyperlink r:id="rId12" w:history="1">
        <w:r w:rsidR="00935240" w:rsidRPr="003D6E09">
          <w:rPr>
            <w:rStyle w:val="Hyperlink"/>
            <w:rFonts w:asciiTheme="minorHAnsi" w:hAnsiTheme="minorHAnsi"/>
            <w:sz w:val="16"/>
            <w:szCs w:val="16"/>
          </w:rPr>
          <w:t>https://palliativecare.org.au/resource/advance-care-planning</w:t>
        </w:r>
      </w:hyperlink>
      <w:r w:rsidR="00935240" w:rsidRPr="003D6E09">
        <w:rPr>
          <w:rFonts w:asciiTheme="minorHAnsi" w:hAnsiTheme="minorHAnsi"/>
          <w:sz w:val="16"/>
          <w:szCs w:val="16"/>
        </w:rPr>
        <w:t xml:space="preserve"> </w:t>
      </w:r>
    </w:p>
  </w:footnote>
  <w:footnote w:id="46">
    <w:p w14:paraId="7DBD035B" w14:textId="77777777" w:rsidR="00D83F9E" w:rsidRPr="00F1160C" w:rsidRDefault="00D83F9E" w:rsidP="00D83F9E">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r w:rsidRPr="00F1160C">
        <w:rPr>
          <w:rFonts w:asciiTheme="minorHAnsi" w:hAnsiTheme="minorHAnsi"/>
          <w:sz w:val="16"/>
          <w:szCs w:val="16"/>
        </w:rPr>
        <w:t>The Statement of Choices is a values-based document that records a person's wishes and preferences for their health care into the future.  Its purpose is to guide or inform those who need to make health care decisions for a person who is unable to make those decisions for themselves.</w:t>
      </w:r>
    </w:p>
  </w:footnote>
  <w:footnote w:id="47">
    <w:p w14:paraId="2F9F9FB0" w14:textId="77777777" w:rsidR="00182BF8" w:rsidRPr="003D6E09" w:rsidRDefault="00182BF8" w:rsidP="00182BF8">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An Advance Care Directive is a legally binding document that can be used in certain circumstances to provide directions about future health care and to appoint an attorney for health matters.  </w:t>
      </w:r>
    </w:p>
  </w:footnote>
  <w:footnote w:id="48">
    <w:p w14:paraId="24B49CB7" w14:textId="462748D7" w:rsidR="00182BF8" w:rsidRPr="00F1160C" w:rsidRDefault="00182BF8" w:rsidP="00775056">
      <w:pPr>
        <w:spacing w:after="0" w:line="240" w:lineRule="auto"/>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r w:rsidRPr="00F1160C">
        <w:rPr>
          <w:rFonts w:asciiTheme="minorHAnsi" w:hAnsiTheme="minorHAnsi"/>
          <w:sz w:val="16"/>
          <w:szCs w:val="16"/>
        </w:rPr>
        <w:t xml:space="preserve">An EPOA is a legal document is used to appoint a person or people to make health/personal and/or financial decisions and sets out terms for how the power operates. </w:t>
      </w:r>
    </w:p>
  </w:footnote>
  <w:footnote w:id="49">
    <w:p w14:paraId="0920B2E8" w14:textId="3A3AAFEF" w:rsidR="008C6DC3" w:rsidRPr="003D6E09" w:rsidRDefault="008C6DC3">
      <w:pPr>
        <w:pStyle w:val="FootnoteText"/>
        <w:rPr>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r w:rsidR="0086190E" w:rsidRPr="003D6E09">
        <w:rPr>
          <w:rFonts w:asciiTheme="minorHAnsi" w:hAnsiTheme="minorHAnsi"/>
          <w:sz w:val="16"/>
          <w:szCs w:val="16"/>
        </w:rPr>
        <w:t>PHN Endpoint survey - service provider</w:t>
      </w:r>
    </w:p>
  </w:footnote>
  <w:footnote w:id="50">
    <w:p w14:paraId="62192947" w14:textId="1F2884CC" w:rsidR="00251D6F" w:rsidRPr="00F1160C" w:rsidRDefault="00251D6F">
      <w:pPr>
        <w:pStyle w:val="FootnoteText"/>
      </w:pPr>
      <w:r w:rsidRPr="003D6E09">
        <w:rPr>
          <w:rStyle w:val="FootnoteReference"/>
        </w:rPr>
        <w:footnoteRef/>
      </w:r>
      <w:r w:rsidRPr="003D6E09">
        <w:t xml:space="preserve"> </w:t>
      </w:r>
      <w:r w:rsidRPr="00F1160C">
        <w:rPr>
          <w:sz w:val="16"/>
          <w:szCs w:val="16"/>
        </w:rPr>
        <w:t>Service provider consultations</w:t>
      </w:r>
    </w:p>
  </w:footnote>
  <w:footnote w:id="51">
    <w:p w14:paraId="709352DD" w14:textId="368F0819" w:rsidR="00A82909" w:rsidRPr="003D6E09" w:rsidRDefault="00A82909">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PHN Endpoint survey</w:t>
      </w:r>
    </w:p>
  </w:footnote>
  <w:footnote w:id="52">
    <w:p w14:paraId="6DBD63E2" w14:textId="321E50E0" w:rsidR="00AA67F7" w:rsidRPr="00F1160C" w:rsidRDefault="00AA67F7">
      <w:pPr>
        <w:pStyle w:val="FootnoteText"/>
      </w:pPr>
      <w:r w:rsidRPr="003D6E09">
        <w:rPr>
          <w:rStyle w:val="FootnoteReference"/>
          <w:sz w:val="16"/>
          <w:szCs w:val="16"/>
        </w:rPr>
        <w:footnoteRef/>
      </w:r>
      <w:r w:rsidRPr="003D6E09">
        <w:rPr>
          <w:sz w:val="16"/>
          <w:szCs w:val="16"/>
        </w:rPr>
        <w:t xml:space="preserve"> </w:t>
      </w:r>
      <w:r w:rsidRPr="00F1160C">
        <w:rPr>
          <w:sz w:val="16"/>
          <w:szCs w:val="16"/>
        </w:rPr>
        <w:t>PHN consultations</w:t>
      </w:r>
    </w:p>
  </w:footnote>
  <w:footnote w:id="53">
    <w:p w14:paraId="44769ACA" w14:textId="77777777" w:rsidR="008070DB" w:rsidRPr="003D6E09" w:rsidRDefault="008070DB" w:rsidP="008070DB">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PHN Endpoint Survey – qualitative responses</w:t>
      </w:r>
    </w:p>
  </w:footnote>
  <w:footnote w:id="54">
    <w:p w14:paraId="1E4E078C" w14:textId="77777777" w:rsidR="000C156E" w:rsidRPr="003D6E09" w:rsidRDefault="000C156E" w:rsidP="000C156E">
      <w:pPr>
        <w:pStyle w:val="FootnoteText"/>
        <w:rPr>
          <w:sz w:val="16"/>
          <w:szCs w:val="16"/>
        </w:rPr>
      </w:pPr>
      <w:r w:rsidRPr="003D6E09">
        <w:rPr>
          <w:rStyle w:val="FootnoteReference"/>
          <w:sz w:val="16"/>
          <w:szCs w:val="16"/>
        </w:rPr>
        <w:footnoteRef/>
      </w:r>
      <w:r w:rsidRPr="003D6E09">
        <w:rPr>
          <w:sz w:val="16"/>
          <w:szCs w:val="16"/>
        </w:rPr>
        <w:t xml:space="preserve"> Jordan, R.I., Allsop, M.J., </w:t>
      </w:r>
      <w:proofErr w:type="spellStart"/>
      <w:r w:rsidRPr="003D6E09">
        <w:rPr>
          <w:sz w:val="16"/>
          <w:szCs w:val="16"/>
        </w:rPr>
        <w:t>ElMokhallalati</w:t>
      </w:r>
      <w:proofErr w:type="spellEnd"/>
      <w:r w:rsidRPr="003D6E09">
        <w:rPr>
          <w:sz w:val="16"/>
          <w:szCs w:val="16"/>
        </w:rPr>
        <w:t>, Y. </w:t>
      </w:r>
      <w:r w:rsidRPr="003D6E09">
        <w:rPr>
          <w:i/>
          <w:sz w:val="16"/>
          <w:szCs w:val="16"/>
        </w:rPr>
        <w:t>et al.</w:t>
      </w:r>
      <w:r w:rsidRPr="003D6E09">
        <w:rPr>
          <w:sz w:val="16"/>
          <w:szCs w:val="16"/>
        </w:rPr>
        <w:t> Duration of palliative care before death in international routine practice: a systematic review and meta-analysis. </w:t>
      </w:r>
      <w:r w:rsidRPr="003D6E09">
        <w:rPr>
          <w:i/>
          <w:sz w:val="16"/>
          <w:szCs w:val="16"/>
        </w:rPr>
        <w:t>BMC Med</w:t>
      </w:r>
      <w:r w:rsidRPr="003D6E09">
        <w:rPr>
          <w:sz w:val="16"/>
          <w:szCs w:val="16"/>
        </w:rPr>
        <w:t> </w:t>
      </w:r>
      <w:r w:rsidRPr="003D6E09">
        <w:rPr>
          <w:b/>
          <w:sz w:val="16"/>
          <w:szCs w:val="16"/>
        </w:rPr>
        <w:t>18</w:t>
      </w:r>
      <w:r w:rsidRPr="003D6E09">
        <w:rPr>
          <w:sz w:val="16"/>
          <w:szCs w:val="16"/>
        </w:rPr>
        <w:t>, 368 (2020). https://doi.org/10.1186/s12916-020-01829-x</w:t>
      </w:r>
    </w:p>
  </w:footnote>
  <w:footnote w:id="55">
    <w:p w14:paraId="70030577" w14:textId="77777777" w:rsidR="000C156E" w:rsidRPr="003D6E09" w:rsidRDefault="000C156E" w:rsidP="000C156E">
      <w:pPr>
        <w:pStyle w:val="FootnoteText"/>
        <w:rPr>
          <w:sz w:val="16"/>
          <w:szCs w:val="16"/>
        </w:rPr>
      </w:pPr>
      <w:r w:rsidRPr="003D6E09">
        <w:rPr>
          <w:rStyle w:val="FootnoteReference"/>
          <w:sz w:val="16"/>
          <w:szCs w:val="16"/>
        </w:rPr>
        <w:footnoteRef/>
      </w:r>
      <w:r w:rsidRPr="003D6E09">
        <w:rPr>
          <w:sz w:val="16"/>
          <w:szCs w:val="16"/>
        </w:rPr>
        <w:t xml:space="preserve"> Palliative Care Australia (2025). Recent developments in national palliative care data. https://palliativecare.org.au/statement/recent-developments-in-national-palliative-care-data/ </w:t>
      </w:r>
    </w:p>
  </w:footnote>
  <w:footnote w:id="56">
    <w:p w14:paraId="76F08B7C" w14:textId="77777777" w:rsidR="00867854" w:rsidRPr="003D6E09" w:rsidRDefault="00867854" w:rsidP="00867854">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PHN Endpoint survey</w:t>
      </w:r>
    </w:p>
  </w:footnote>
  <w:footnote w:id="57">
    <w:p w14:paraId="7D074BA4" w14:textId="59D4A3FF" w:rsidR="00D37EB1" w:rsidRPr="00F1160C" w:rsidRDefault="00D37EB1">
      <w:pPr>
        <w:pStyle w:val="FootnoteText"/>
      </w:pPr>
      <w:r w:rsidRPr="003D6E09">
        <w:rPr>
          <w:rStyle w:val="FootnoteReference"/>
        </w:rPr>
        <w:footnoteRef/>
      </w:r>
      <w:r w:rsidRPr="003D6E09">
        <w:t xml:space="preserve"> </w:t>
      </w:r>
      <w:r w:rsidRPr="00F1160C">
        <w:rPr>
          <w:sz w:val="16"/>
          <w:szCs w:val="16"/>
        </w:rPr>
        <w:t>PHN consultations</w:t>
      </w:r>
    </w:p>
  </w:footnote>
  <w:footnote w:id="58">
    <w:p w14:paraId="1E072D6C" w14:textId="755F5D68" w:rsidR="00C44F59" w:rsidRPr="00F1160C" w:rsidRDefault="00C44F59">
      <w:pPr>
        <w:pStyle w:val="FootnoteText"/>
      </w:pPr>
      <w:r w:rsidRPr="003D6E09">
        <w:rPr>
          <w:rStyle w:val="FootnoteReference"/>
        </w:rPr>
        <w:footnoteRef/>
      </w:r>
      <w:r w:rsidRPr="003D6E09">
        <w:t xml:space="preserve"> </w:t>
      </w:r>
      <w:r w:rsidRPr="00F1160C">
        <w:rPr>
          <w:sz w:val="16"/>
          <w:szCs w:val="16"/>
        </w:rPr>
        <w:t>Service provider consultations</w:t>
      </w:r>
    </w:p>
  </w:footnote>
  <w:footnote w:id="59">
    <w:p w14:paraId="7F86BBA9" w14:textId="206A34A3" w:rsidR="00C44F59" w:rsidRPr="00F1160C" w:rsidRDefault="00C44F59">
      <w:pPr>
        <w:pStyle w:val="FootnoteText"/>
      </w:pPr>
      <w:r w:rsidRPr="003D6E09">
        <w:rPr>
          <w:rStyle w:val="FootnoteReference"/>
        </w:rPr>
        <w:footnoteRef/>
      </w:r>
      <w:r w:rsidRPr="003D6E09">
        <w:t xml:space="preserve"> </w:t>
      </w:r>
      <w:r w:rsidRPr="00F1160C">
        <w:rPr>
          <w:sz w:val="16"/>
          <w:szCs w:val="16"/>
        </w:rPr>
        <w:t>Service provider consultations</w:t>
      </w:r>
    </w:p>
  </w:footnote>
  <w:footnote w:id="60">
    <w:p w14:paraId="409F33F7" w14:textId="77777777" w:rsidR="006B1D86" w:rsidRPr="003D6E09" w:rsidRDefault="006B1D86" w:rsidP="006B1D86">
      <w:pPr>
        <w:pStyle w:val="FootnoteText"/>
        <w:rPr>
          <w:sz w:val="16"/>
          <w:szCs w:val="16"/>
        </w:rPr>
      </w:pPr>
      <w:r w:rsidRPr="003D6E09">
        <w:rPr>
          <w:rStyle w:val="FootnoteReference"/>
          <w:sz w:val="16"/>
          <w:szCs w:val="16"/>
        </w:rPr>
        <w:footnoteRef/>
      </w:r>
      <w:r w:rsidRPr="003D6E09">
        <w:rPr>
          <w:sz w:val="16"/>
          <w:szCs w:val="16"/>
        </w:rPr>
        <w:t xml:space="preserve"> https://www.health.gov.au/sites/default/files/documents/2020/01/exploratory-analysis-of-barriers-to-palliative-care-summary-policy-paper.pdf</w:t>
      </w:r>
    </w:p>
  </w:footnote>
  <w:footnote w:id="61">
    <w:p w14:paraId="45D22641" w14:textId="59A56634" w:rsidR="000A2C57" w:rsidRPr="00F1160C" w:rsidRDefault="000A2C57">
      <w:pPr>
        <w:pStyle w:val="FootnoteText"/>
      </w:pPr>
      <w:r w:rsidRPr="003D6E09">
        <w:rPr>
          <w:rStyle w:val="FootnoteReference"/>
          <w:sz w:val="16"/>
          <w:szCs w:val="16"/>
        </w:rPr>
        <w:footnoteRef/>
      </w:r>
      <w:r w:rsidRPr="003D6E09">
        <w:rPr>
          <w:sz w:val="16"/>
          <w:szCs w:val="16"/>
        </w:rPr>
        <w:t xml:space="preserve"> </w:t>
      </w:r>
      <w:r w:rsidRPr="00F1160C">
        <w:rPr>
          <w:sz w:val="16"/>
          <w:szCs w:val="16"/>
        </w:rPr>
        <w:t>PHN consultations</w:t>
      </w:r>
    </w:p>
  </w:footnote>
  <w:footnote w:id="62">
    <w:p w14:paraId="2024597D" w14:textId="4A9D4EFA" w:rsidR="0053248C" w:rsidRPr="00F1160C" w:rsidRDefault="0053248C">
      <w:pPr>
        <w:pStyle w:val="FootnoteText"/>
      </w:pPr>
      <w:r w:rsidRPr="003D6E09">
        <w:rPr>
          <w:rStyle w:val="FootnoteReference"/>
          <w:sz w:val="16"/>
          <w:szCs w:val="16"/>
        </w:rPr>
        <w:footnoteRef/>
      </w:r>
      <w:r w:rsidRPr="003D6E09">
        <w:rPr>
          <w:sz w:val="16"/>
          <w:szCs w:val="16"/>
        </w:rPr>
        <w:t xml:space="preserve"> </w:t>
      </w:r>
      <w:r w:rsidRPr="00F1160C">
        <w:rPr>
          <w:sz w:val="16"/>
          <w:szCs w:val="16"/>
        </w:rPr>
        <w:t>Service provider consultation</w:t>
      </w:r>
    </w:p>
  </w:footnote>
  <w:footnote w:id="63">
    <w:p w14:paraId="25FA5070" w14:textId="30059D6F" w:rsidR="0053248C" w:rsidRPr="00F1160C" w:rsidRDefault="0053248C">
      <w:pPr>
        <w:pStyle w:val="FootnoteText"/>
      </w:pPr>
      <w:r w:rsidRPr="003D6E09">
        <w:rPr>
          <w:rStyle w:val="FootnoteReference"/>
          <w:sz w:val="16"/>
          <w:szCs w:val="16"/>
        </w:rPr>
        <w:footnoteRef/>
      </w:r>
      <w:r w:rsidRPr="003D6E09">
        <w:rPr>
          <w:sz w:val="16"/>
          <w:szCs w:val="16"/>
        </w:rPr>
        <w:t xml:space="preserve"> </w:t>
      </w:r>
      <w:r w:rsidRPr="00F1160C">
        <w:rPr>
          <w:sz w:val="16"/>
          <w:szCs w:val="16"/>
        </w:rPr>
        <w:t>PHN consultations</w:t>
      </w:r>
    </w:p>
  </w:footnote>
  <w:footnote w:id="64">
    <w:p w14:paraId="56D08EB1" w14:textId="01F9B1AD" w:rsidR="00870324" w:rsidRPr="003D6E09" w:rsidRDefault="00870324">
      <w:pPr>
        <w:pStyle w:val="FootnoteText"/>
        <w:rPr>
          <w:sz w:val="16"/>
          <w:szCs w:val="16"/>
        </w:rPr>
      </w:pPr>
      <w:r w:rsidRPr="003D6E09">
        <w:rPr>
          <w:rStyle w:val="FootnoteReference"/>
          <w:sz w:val="16"/>
          <w:szCs w:val="16"/>
        </w:rPr>
        <w:footnoteRef/>
      </w:r>
      <w:r w:rsidRPr="003D6E09">
        <w:rPr>
          <w:sz w:val="16"/>
          <w:szCs w:val="16"/>
        </w:rPr>
        <w:t xml:space="preserve"> Palliative Care Australia (</w:t>
      </w:r>
      <w:r w:rsidR="00D45549" w:rsidRPr="003D6E09">
        <w:rPr>
          <w:sz w:val="16"/>
          <w:szCs w:val="16"/>
        </w:rPr>
        <w:t xml:space="preserve">2022). Palliative Care Australia Roadmap 2022-2027. </w:t>
      </w:r>
      <w:r w:rsidR="0060046F" w:rsidRPr="003D6E09">
        <w:rPr>
          <w:sz w:val="16"/>
          <w:szCs w:val="16"/>
        </w:rPr>
        <w:t>https://palliativecare.org.au/publication/palliative-care-australia-roadmap-2022-2027/</w:t>
      </w:r>
    </w:p>
  </w:footnote>
  <w:footnote w:id="65">
    <w:p w14:paraId="4BAD0CB4" w14:textId="4E1BD274" w:rsidR="002B2E0C" w:rsidRPr="00F1160C" w:rsidRDefault="002B2E0C">
      <w:pPr>
        <w:pStyle w:val="FootnoteText"/>
        <w:rPr>
          <w:sz w:val="16"/>
          <w:szCs w:val="16"/>
        </w:rPr>
      </w:pPr>
      <w:r w:rsidRPr="003D6E09">
        <w:rPr>
          <w:rStyle w:val="FootnoteReference"/>
          <w:sz w:val="16"/>
          <w:szCs w:val="16"/>
        </w:rPr>
        <w:footnoteRef/>
      </w:r>
      <w:r w:rsidRPr="003D6E09">
        <w:rPr>
          <w:sz w:val="16"/>
          <w:szCs w:val="16"/>
        </w:rPr>
        <w:t xml:space="preserve"> </w:t>
      </w:r>
      <w:proofErr w:type="spellStart"/>
      <w:r w:rsidRPr="003D6E09">
        <w:rPr>
          <w:rFonts w:asciiTheme="minorHAnsi" w:hAnsiTheme="minorHAnsi"/>
          <w:sz w:val="16"/>
          <w:szCs w:val="16"/>
        </w:rPr>
        <w:t>DoHAC</w:t>
      </w:r>
      <w:proofErr w:type="spellEnd"/>
      <w:r w:rsidRPr="003D6E09">
        <w:rPr>
          <w:rFonts w:asciiTheme="minorHAnsi" w:hAnsiTheme="minorHAnsi"/>
          <w:sz w:val="16"/>
          <w:szCs w:val="16"/>
        </w:rPr>
        <w:t xml:space="preserve"> (2021). PHN Program Expansion of the GCfAHPC Measure Grant Opportunity Guidelines. </w:t>
      </w:r>
    </w:p>
  </w:footnote>
  <w:footnote w:id="66">
    <w:p w14:paraId="39C059A8" w14:textId="183A8718" w:rsidR="00173C0F" w:rsidRPr="00F1160C" w:rsidRDefault="00173C0F">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proofErr w:type="spellStart"/>
      <w:r w:rsidR="007244AE" w:rsidRPr="003D6E09">
        <w:rPr>
          <w:rFonts w:asciiTheme="minorHAnsi" w:hAnsiTheme="minorHAnsi"/>
          <w:sz w:val="16"/>
          <w:szCs w:val="16"/>
        </w:rPr>
        <w:t>DoHAC</w:t>
      </w:r>
      <w:proofErr w:type="spellEnd"/>
      <w:r w:rsidR="007244AE" w:rsidRPr="003D6E09">
        <w:rPr>
          <w:rFonts w:asciiTheme="minorHAnsi" w:hAnsiTheme="minorHAnsi"/>
          <w:sz w:val="16"/>
          <w:szCs w:val="16"/>
        </w:rPr>
        <w:t xml:space="preserve"> (2021). PHN Program Expansion of the GCfAHPC Measure Grant Opportunity Guidelines. </w:t>
      </w:r>
    </w:p>
  </w:footnote>
  <w:footnote w:id="67">
    <w:p w14:paraId="734F1BC8" w14:textId="66C1C23D" w:rsidR="007244AE" w:rsidRPr="00F1160C" w:rsidRDefault="007244AE">
      <w:pPr>
        <w:pStyle w:val="FootnoteText"/>
        <w:rPr>
          <w:rFonts w:asciiTheme="minorHAnsi" w:hAnsiTheme="minorHAnsi"/>
          <w:sz w:val="16"/>
          <w:szCs w:val="16"/>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r w:rsidRPr="00F1160C">
        <w:rPr>
          <w:rFonts w:asciiTheme="minorHAnsi" w:hAnsiTheme="minorHAnsi"/>
          <w:sz w:val="16"/>
          <w:szCs w:val="16"/>
        </w:rPr>
        <w:t>Ibid.</w:t>
      </w:r>
    </w:p>
  </w:footnote>
  <w:footnote w:id="68">
    <w:p w14:paraId="0C52CE3B" w14:textId="77777777" w:rsidR="001D69F5" w:rsidRPr="003D6E09" w:rsidRDefault="001D69F5" w:rsidP="001D69F5">
      <w:pPr>
        <w:pStyle w:val="FootnoteText"/>
        <w:rPr>
          <w:sz w:val="16"/>
          <w:szCs w:val="16"/>
        </w:rPr>
      </w:pPr>
      <w:r w:rsidRPr="003D6E09">
        <w:rPr>
          <w:rStyle w:val="FootnoteReference"/>
          <w:sz w:val="16"/>
          <w:szCs w:val="16"/>
        </w:rPr>
        <w:footnoteRef/>
      </w:r>
      <w:r w:rsidRPr="003D6E09">
        <w:rPr>
          <w:sz w:val="16"/>
          <w:szCs w:val="16"/>
        </w:rPr>
        <w:t xml:space="preserve"> Cassel BJ, Kerr KM, McClish DK et al. (2016). Effect of a Home-Based Palliative Care Program on Healthcare Use and Costs. J Am </w:t>
      </w:r>
      <w:proofErr w:type="spellStart"/>
      <w:r w:rsidRPr="003D6E09">
        <w:rPr>
          <w:sz w:val="16"/>
          <w:szCs w:val="16"/>
        </w:rPr>
        <w:t>Geriatr</w:t>
      </w:r>
      <w:proofErr w:type="spellEnd"/>
      <w:r w:rsidRPr="003D6E09">
        <w:rPr>
          <w:sz w:val="16"/>
          <w:szCs w:val="16"/>
        </w:rPr>
        <w:t xml:space="preserve"> Soc. 64(11):2288-2295</w:t>
      </w:r>
    </w:p>
  </w:footnote>
  <w:footnote w:id="69">
    <w:p w14:paraId="4AF7A5FC" w14:textId="77777777" w:rsidR="00F95190" w:rsidRPr="006D5E59" w:rsidRDefault="00F95190" w:rsidP="00F95190">
      <w:pPr>
        <w:pStyle w:val="FootnoteText"/>
        <w:rPr>
          <w:sz w:val="16"/>
          <w:szCs w:val="16"/>
          <w:lang w:val="fr-FR"/>
        </w:rPr>
      </w:pPr>
      <w:r w:rsidRPr="003D6E09">
        <w:rPr>
          <w:rStyle w:val="FootnoteReference"/>
          <w:rFonts w:asciiTheme="minorHAnsi" w:hAnsiTheme="minorHAnsi"/>
          <w:sz w:val="16"/>
          <w:szCs w:val="16"/>
        </w:rPr>
        <w:footnoteRef/>
      </w:r>
      <w:r w:rsidRPr="003D6E09">
        <w:rPr>
          <w:rFonts w:asciiTheme="minorHAnsi" w:hAnsiTheme="minorHAnsi"/>
          <w:sz w:val="16"/>
          <w:szCs w:val="16"/>
        </w:rPr>
        <w:t xml:space="preserve"> </w:t>
      </w:r>
      <w:proofErr w:type="spellStart"/>
      <w:r w:rsidRPr="003D6E09">
        <w:rPr>
          <w:rFonts w:asciiTheme="minorHAnsi" w:hAnsiTheme="minorHAnsi"/>
          <w:sz w:val="16"/>
          <w:szCs w:val="16"/>
        </w:rPr>
        <w:t>Swerissen</w:t>
      </w:r>
      <w:proofErr w:type="spellEnd"/>
      <w:r w:rsidRPr="003D6E09">
        <w:rPr>
          <w:rFonts w:asciiTheme="minorHAnsi" w:hAnsiTheme="minorHAnsi"/>
          <w:sz w:val="16"/>
          <w:szCs w:val="16"/>
        </w:rPr>
        <w:t xml:space="preserve"> H and Duckett S. (2014). Dying Well. </w:t>
      </w:r>
      <w:r w:rsidRPr="006D5E59">
        <w:rPr>
          <w:rFonts w:asciiTheme="minorHAnsi" w:hAnsiTheme="minorHAnsi"/>
          <w:sz w:val="16"/>
          <w:szCs w:val="16"/>
          <w:lang w:val="fr-FR"/>
        </w:rPr>
        <w:t>Grattan Institute, Melbourne</w:t>
      </w:r>
    </w:p>
  </w:footnote>
  <w:footnote w:id="70">
    <w:p w14:paraId="660B2D62" w14:textId="448CC4C3" w:rsidR="00EA43B6" w:rsidRPr="006D5E59" w:rsidRDefault="00EA43B6">
      <w:pPr>
        <w:pStyle w:val="FootnoteText"/>
        <w:rPr>
          <w:sz w:val="16"/>
          <w:szCs w:val="16"/>
          <w:lang w:val="fr-FR"/>
        </w:rPr>
      </w:pPr>
      <w:r w:rsidRPr="003D6E09">
        <w:rPr>
          <w:rStyle w:val="FootnoteReference"/>
          <w:sz w:val="16"/>
          <w:szCs w:val="16"/>
        </w:rPr>
        <w:footnoteRef/>
      </w:r>
      <w:r w:rsidRPr="006D5E59">
        <w:rPr>
          <w:sz w:val="16"/>
          <w:szCs w:val="16"/>
          <w:lang w:val="fr-FR"/>
        </w:rPr>
        <w:t xml:space="preserve"> PHN Endpoint Survey</w:t>
      </w:r>
    </w:p>
  </w:footnote>
  <w:footnote w:id="71">
    <w:p w14:paraId="7D43EACD" w14:textId="77777777" w:rsidR="000E763D" w:rsidRPr="00F1160C" w:rsidRDefault="000E763D" w:rsidP="000E763D">
      <w:pPr>
        <w:pStyle w:val="FootnoteText"/>
        <w:rPr>
          <w:sz w:val="16"/>
          <w:szCs w:val="16"/>
        </w:rPr>
      </w:pPr>
      <w:r w:rsidRPr="003D6E09">
        <w:rPr>
          <w:rStyle w:val="FootnoteReference"/>
          <w:sz w:val="16"/>
          <w:szCs w:val="16"/>
        </w:rPr>
        <w:footnoteRef/>
      </w:r>
      <w:r w:rsidRPr="003D6E09">
        <w:rPr>
          <w:sz w:val="16"/>
          <w:szCs w:val="16"/>
        </w:rPr>
        <w:t xml:space="preserve"> BMC Nursing (2025) Enhancing nursing roles in community-based palliative care: closing gaps to improve patient outcomes, available at: https://bmcnurs.biomedcentral.com/articles/10.1186/s12912-025-02959-4</w:t>
      </w:r>
    </w:p>
  </w:footnote>
  <w:footnote w:id="72">
    <w:p w14:paraId="12D40DB3" w14:textId="77777777" w:rsidR="005F5358" w:rsidRPr="006805E3" w:rsidRDefault="005F5358">
      <w:pPr>
        <w:pStyle w:val="FootnoteText"/>
        <w:rPr>
          <w:sz w:val="16"/>
          <w:szCs w:val="16"/>
          <w:lang w:val="en-AU"/>
        </w:rPr>
      </w:pPr>
      <w:r w:rsidRPr="003D6E09">
        <w:rPr>
          <w:rStyle w:val="FootnoteReference"/>
          <w:sz w:val="16"/>
          <w:szCs w:val="16"/>
        </w:rPr>
        <w:footnoteRef/>
      </w:r>
      <w:r w:rsidRPr="003D6E09">
        <w:rPr>
          <w:sz w:val="16"/>
          <w:szCs w:val="16"/>
        </w:rPr>
        <w:t xml:space="preserve"> BMC Palliative Care (2023) The clinical effect evaluation of multidisciplinary collaborative team combined with palliative care model in patients with terminal cancer: a randomised controlled study, available at: https://bmcpalliatcare.biomedcentral.com/articles/10.1186/s12904-023-01192-7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2B58" w14:textId="1D36D27D" w:rsidR="003F27AC" w:rsidRDefault="003F27AC">
    <w:pPr>
      <w:pStyle w:val="Header"/>
    </w:pPr>
    <w:r>
      <w:rPr>
        <w:noProof/>
      </w:rPr>
      <mc:AlternateContent>
        <mc:Choice Requires="wps">
          <w:drawing>
            <wp:anchor distT="0" distB="0" distL="0" distR="0" simplePos="0" relativeHeight="251660292" behindDoc="0" locked="0" layoutInCell="1" allowOverlap="1" wp14:anchorId="5B35B48A" wp14:editId="336F6B46">
              <wp:simplePos x="635" y="635"/>
              <wp:positionH relativeFrom="page">
                <wp:align>center</wp:align>
              </wp:positionH>
              <wp:positionV relativeFrom="page">
                <wp:align>top</wp:align>
              </wp:positionV>
              <wp:extent cx="622300" cy="405765"/>
              <wp:effectExtent l="0" t="0" r="6350" b="13335"/>
              <wp:wrapNone/>
              <wp:docPr id="1018710370" name="Text Box 4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E7A0446" w14:textId="0A02C9A0" w:rsidR="003F27AC" w:rsidRPr="003F27AC" w:rsidRDefault="003F27AC" w:rsidP="003F27AC">
                          <w:pPr>
                            <w:spacing w:after="0"/>
                            <w:rPr>
                              <w:rFonts w:ascii="Aptos" w:eastAsia="Aptos" w:hAnsi="Aptos" w:cs="Aptos"/>
                              <w:noProof/>
                              <w:color w:val="FF0000"/>
                              <w:sz w:val="24"/>
                              <w:szCs w:val="24"/>
                            </w:rPr>
                          </w:pPr>
                          <w:r w:rsidRPr="003F27A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35B48A" id="_x0000_t202" coordsize="21600,21600" o:spt="202" path="m,l,21600r21600,l21600,xe">
              <v:stroke joinstyle="miter"/>
              <v:path gradientshapeok="t" o:connecttype="rect"/>
            </v:shapetype>
            <v:shape id="Text Box 42" o:spid="_x0000_s1027" type="#_x0000_t202" alt="OFFICIAL" style="position:absolute;margin-left:0;margin-top:0;width:49pt;height:31.95pt;z-index:2516602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5E7A0446" w14:textId="0A02C9A0" w:rsidR="003F27AC" w:rsidRPr="003F27AC" w:rsidRDefault="003F27AC" w:rsidP="003F27AC">
                    <w:pPr>
                      <w:spacing w:after="0"/>
                      <w:rPr>
                        <w:rFonts w:ascii="Aptos" w:eastAsia="Aptos" w:hAnsi="Aptos" w:cs="Aptos"/>
                        <w:noProof/>
                        <w:color w:val="FF0000"/>
                        <w:sz w:val="24"/>
                        <w:szCs w:val="24"/>
                      </w:rPr>
                    </w:pPr>
                    <w:r w:rsidRPr="003F27AC">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07053" w14:textId="59BF44F4" w:rsidR="00F60BBC" w:rsidRPr="003D6E09" w:rsidRDefault="00F60BBC" w:rsidP="00F60BBC">
    <w:pPr>
      <w:pStyle w:val="Header"/>
      <w:rPr>
        <w:rFonts w:asciiTheme="majorHAnsi" w:hAnsiTheme="majorHAnsi"/>
        <w:sz w:val="22"/>
        <w:szCs w:val="22"/>
      </w:rPr>
    </w:pPr>
    <w:r w:rsidRPr="00B90DB0">
      <w:rPr>
        <w:rFonts w:asciiTheme="majorHAnsi" w:hAnsiTheme="majorHAnsi"/>
        <w:noProof/>
        <w:sz w:val="22"/>
        <w:szCs w:val="22"/>
        <w:highlight w:val="yellow"/>
      </w:rPr>
      <w:drawing>
        <wp:anchor distT="0" distB="0" distL="114300" distR="114300" simplePos="0" relativeHeight="251658240" behindDoc="1" locked="0" layoutInCell="1" allowOverlap="1" wp14:anchorId="78FAEE39" wp14:editId="58CC5ED4">
          <wp:simplePos x="0" y="0"/>
          <wp:positionH relativeFrom="margin">
            <wp:posOffset>4721860</wp:posOffset>
          </wp:positionH>
          <wp:positionV relativeFrom="margin">
            <wp:posOffset>-600518</wp:posOffset>
          </wp:positionV>
          <wp:extent cx="1200150" cy="415290"/>
          <wp:effectExtent l="0" t="0" r="0" b="3810"/>
          <wp:wrapSquare wrapText="bothSides"/>
          <wp:docPr id="30697127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71272"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41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6E09">
      <w:rPr>
        <w:rFonts w:asciiTheme="majorHAnsi" w:hAnsiTheme="majorHAnsi"/>
        <w:sz w:val="22"/>
        <w:szCs w:val="22"/>
      </w:rPr>
      <w:t xml:space="preserve">Evaluation of Greater Choice for At Home Palliative Care </w:t>
    </w:r>
  </w:p>
  <w:p w14:paraId="157184C2" w14:textId="64B8B59E" w:rsidR="00F60BBC" w:rsidRPr="003D6E09" w:rsidRDefault="00F60BBC" w:rsidP="00F60BBC">
    <w:pPr>
      <w:pStyle w:val="Header"/>
      <w:rPr>
        <w:rFonts w:asciiTheme="majorHAnsi" w:hAnsiTheme="majorHAnsi"/>
        <w:sz w:val="22"/>
        <w:szCs w:val="22"/>
      </w:rPr>
    </w:pPr>
    <w:r w:rsidRPr="003D6E09">
      <w:rPr>
        <w:rFonts w:asciiTheme="majorHAnsi" w:hAnsiTheme="majorHAnsi"/>
        <w:sz w:val="22"/>
        <w:szCs w:val="22"/>
      </w:rPr>
      <w:t>Endpoint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DE55" w14:textId="5EDE8FAD" w:rsidR="003F27AC" w:rsidRDefault="003F27AC">
    <w:pPr>
      <w:pStyle w:val="Header"/>
    </w:pPr>
    <w:r>
      <w:rPr>
        <w:noProof/>
      </w:rPr>
      <mc:AlternateContent>
        <mc:Choice Requires="wps">
          <w:drawing>
            <wp:anchor distT="0" distB="0" distL="0" distR="0" simplePos="0" relativeHeight="251659268" behindDoc="0" locked="0" layoutInCell="1" allowOverlap="1" wp14:anchorId="1B3ABFAF" wp14:editId="692F5088">
              <wp:simplePos x="635" y="635"/>
              <wp:positionH relativeFrom="page">
                <wp:align>center</wp:align>
              </wp:positionH>
              <wp:positionV relativeFrom="page">
                <wp:align>top</wp:align>
              </wp:positionV>
              <wp:extent cx="622300" cy="405765"/>
              <wp:effectExtent l="0" t="0" r="6350" b="13335"/>
              <wp:wrapNone/>
              <wp:docPr id="435806373" name="Text Box 4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34D6C43" w14:textId="1C3F04E9" w:rsidR="003F27AC" w:rsidRPr="003F27AC" w:rsidRDefault="003F27AC" w:rsidP="003F27AC">
                          <w:pPr>
                            <w:spacing w:after="0"/>
                            <w:rPr>
                              <w:rFonts w:ascii="Aptos" w:eastAsia="Aptos" w:hAnsi="Aptos" w:cs="Aptos"/>
                              <w:noProof/>
                              <w:color w:val="FF0000"/>
                              <w:sz w:val="24"/>
                              <w:szCs w:val="24"/>
                            </w:rPr>
                          </w:pPr>
                          <w:r w:rsidRPr="003F27A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3ABFAF" id="_x0000_t202" coordsize="21600,21600" o:spt="202" path="m,l,21600r21600,l21600,xe">
              <v:stroke joinstyle="miter"/>
              <v:path gradientshapeok="t" o:connecttype="rect"/>
            </v:shapetype>
            <v:shape id="Text Box 41" o:spid="_x0000_s1029" type="#_x0000_t202" alt="OFFICIAL" style="position:absolute;margin-left:0;margin-top:0;width:49pt;height:31.95pt;z-index:251659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cohDQ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qrks7H7HVQnGsrDsO/g5Kah0vci4JPwtGDqlkSL&#10;j3ToFrqSw9nirAb/42/+mE+8U5SzjgRTckuK5qz9ZmkfUVvJmH7O55EMP7p3o2EP5hZIhlN6EU4m&#10;M+ZhO5rag3khOa9jIQoJK6lcyXE0b3FQLj0HqdbrlEQycgLv7dbJCB3pilw+9y/CuzPhSJt6gFFN&#10;onjF+5Abbwa3PiCxn5YSqR2IPDNOEkxrPT+XqPFf/1PW9VGvfgI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zPHKIQ0CAAAcBAAA&#10;DgAAAAAAAAAAAAAAAAAuAgAAZHJzL2Uyb0RvYy54bWxQSwECLQAUAAYACAAAACEAI0IZ4dkAAAAD&#10;AQAADwAAAAAAAAAAAAAAAABnBAAAZHJzL2Rvd25yZXYueG1sUEsFBgAAAAAEAAQA8wAAAG0FAAAA&#10;AA==&#10;" filled="f" stroked="f">
              <v:textbox style="mso-fit-shape-to-text:t" inset="0,15pt,0,0">
                <w:txbxContent>
                  <w:p w14:paraId="134D6C43" w14:textId="1C3F04E9" w:rsidR="003F27AC" w:rsidRPr="003F27AC" w:rsidRDefault="003F27AC" w:rsidP="003F27AC">
                    <w:pPr>
                      <w:spacing w:after="0"/>
                      <w:rPr>
                        <w:rFonts w:ascii="Aptos" w:eastAsia="Aptos" w:hAnsi="Aptos" w:cs="Aptos"/>
                        <w:noProof/>
                        <w:color w:val="FF0000"/>
                        <w:sz w:val="24"/>
                        <w:szCs w:val="24"/>
                      </w:rPr>
                    </w:pPr>
                    <w:r w:rsidRPr="003F27AC">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E97E" w14:textId="67973283" w:rsidR="00311134" w:rsidRPr="003D6E09" w:rsidRDefault="00311134" w:rsidP="00F60BBC">
    <w:pPr>
      <w:pStyle w:val="Header"/>
      <w:rPr>
        <w:rFonts w:asciiTheme="majorHAnsi" w:hAnsiTheme="majorHAnsi"/>
        <w:sz w:val="22"/>
        <w:szCs w:val="22"/>
      </w:rPr>
    </w:pPr>
    <w:r w:rsidRPr="00B90DB0">
      <w:rPr>
        <w:rFonts w:asciiTheme="majorHAnsi" w:hAnsiTheme="majorHAnsi"/>
        <w:noProof/>
        <w:sz w:val="22"/>
        <w:szCs w:val="22"/>
        <w:highlight w:val="yellow"/>
      </w:rPr>
      <w:drawing>
        <wp:anchor distT="0" distB="0" distL="114300" distR="114300" simplePos="0" relativeHeight="251658242" behindDoc="1" locked="0" layoutInCell="1" allowOverlap="1" wp14:anchorId="73C56104" wp14:editId="2E79C86C">
          <wp:simplePos x="0" y="0"/>
          <wp:positionH relativeFrom="margin">
            <wp:posOffset>8174508</wp:posOffset>
          </wp:positionH>
          <wp:positionV relativeFrom="margin">
            <wp:posOffset>-584309</wp:posOffset>
          </wp:positionV>
          <wp:extent cx="1200150" cy="415290"/>
          <wp:effectExtent l="0" t="0" r="0" b="3810"/>
          <wp:wrapSquare wrapText="bothSides"/>
          <wp:docPr id="96259571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95719"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415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36907E" w14:textId="38FFE849" w:rsidR="00311134" w:rsidRPr="003D6E09" w:rsidRDefault="00311134" w:rsidP="00F60BBC">
    <w:pPr>
      <w:pStyle w:val="Header"/>
      <w:rPr>
        <w:rFonts w:asciiTheme="majorHAnsi" w:hAnsiTheme="majorHAnsi"/>
        <w:sz w:val="22"/>
        <w:szCs w:val="22"/>
      </w:rPr>
    </w:pPr>
    <w:r w:rsidRPr="003D6E09">
      <w:rPr>
        <w:rFonts w:asciiTheme="majorHAnsi" w:hAnsiTheme="majorHAnsi"/>
        <w:sz w:val="22"/>
        <w:szCs w:val="22"/>
      </w:rPr>
      <w:t xml:space="preserve">Evaluation of Greater Choice for At Home Palliative Care  </w:t>
    </w:r>
  </w:p>
  <w:p w14:paraId="66520637" w14:textId="77777777" w:rsidR="00311134" w:rsidRPr="003D6E09" w:rsidRDefault="00311134" w:rsidP="00F60BBC">
    <w:pPr>
      <w:pStyle w:val="Header"/>
      <w:rPr>
        <w:rFonts w:asciiTheme="majorHAnsi" w:hAnsiTheme="majorHAnsi"/>
        <w:sz w:val="22"/>
        <w:szCs w:val="22"/>
      </w:rPr>
    </w:pPr>
    <w:r w:rsidRPr="003D6E09">
      <w:rPr>
        <w:rFonts w:asciiTheme="majorHAnsi" w:hAnsiTheme="majorHAnsi"/>
        <w:sz w:val="22"/>
        <w:szCs w:val="22"/>
      </w:rPr>
      <w:t>Endpoint Report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6A97" w14:textId="35C0FEB7" w:rsidR="00456E0D" w:rsidRPr="003D6E09" w:rsidRDefault="00AC4A19" w:rsidP="0061125F">
    <w:pPr>
      <w:pStyle w:val="Header"/>
      <w:rPr>
        <w:rFonts w:asciiTheme="majorHAnsi" w:hAnsiTheme="majorHAnsi"/>
        <w:sz w:val="22"/>
        <w:szCs w:val="22"/>
      </w:rPr>
    </w:pPr>
    <w:r w:rsidRPr="00B90DB0">
      <w:rPr>
        <w:rFonts w:asciiTheme="majorHAnsi" w:hAnsiTheme="majorHAnsi"/>
        <w:noProof/>
        <w:sz w:val="22"/>
        <w:szCs w:val="22"/>
        <w:highlight w:val="yellow"/>
      </w:rPr>
      <w:drawing>
        <wp:anchor distT="0" distB="0" distL="114300" distR="114300" simplePos="0" relativeHeight="251658243" behindDoc="1" locked="0" layoutInCell="1" allowOverlap="1" wp14:anchorId="31CEAEC9" wp14:editId="47F86FD9">
          <wp:simplePos x="0" y="0"/>
          <wp:positionH relativeFrom="margin">
            <wp:posOffset>4721860</wp:posOffset>
          </wp:positionH>
          <wp:positionV relativeFrom="margin">
            <wp:posOffset>-600518</wp:posOffset>
          </wp:positionV>
          <wp:extent cx="1200150" cy="415290"/>
          <wp:effectExtent l="0" t="0" r="0" b="3810"/>
          <wp:wrapSquare wrapText="bothSides"/>
          <wp:docPr id="24537663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76635"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41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48BE" w:rsidRPr="003D6E09">
      <w:rPr>
        <w:rFonts w:asciiTheme="majorHAnsi" w:hAnsiTheme="majorHAnsi"/>
        <w:sz w:val="22"/>
        <w:szCs w:val="22"/>
      </w:rPr>
      <w:t>Evaluation of Greater Choice for At Home Palliative Care</w:t>
    </w:r>
    <w:r w:rsidR="00DA31DC" w:rsidRPr="003D6E09">
      <w:rPr>
        <w:rFonts w:asciiTheme="majorHAnsi" w:hAnsiTheme="majorHAnsi"/>
        <w:sz w:val="22"/>
        <w:szCs w:val="22"/>
      </w:rPr>
      <w:t xml:space="preserve"> </w:t>
    </w:r>
    <w:r w:rsidR="00F248BE" w:rsidRPr="003D6E09">
      <w:rPr>
        <w:rFonts w:asciiTheme="majorHAnsi" w:hAnsiTheme="majorHAnsi"/>
        <w:sz w:val="22"/>
        <w:szCs w:val="22"/>
      </w:rPr>
      <w:t xml:space="preserve"> </w:t>
    </w:r>
  </w:p>
  <w:p w14:paraId="2E90CD44" w14:textId="425E47FE" w:rsidR="00E901C5" w:rsidRPr="00A57CA5" w:rsidRDefault="00D8670D" w:rsidP="00A57CA5">
    <w:pPr>
      <w:pStyle w:val="Header"/>
      <w:rPr>
        <w:rFonts w:asciiTheme="majorHAnsi" w:hAnsiTheme="majorHAnsi"/>
        <w:sz w:val="22"/>
        <w:szCs w:val="22"/>
      </w:rPr>
    </w:pPr>
    <w:r w:rsidRPr="003D6E09">
      <w:rPr>
        <w:rFonts w:asciiTheme="majorHAnsi" w:hAnsiTheme="majorHAnsi"/>
        <w:sz w:val="22"/>
        <w:szCs w:val="22"/>
      </w:rPr>
      <w:t>Endpoint</w:t>
    </w:r>
    <w:r w:rsidR="00F248BE" w:rsidRPr="003D6E09">
      <w:rPr>
        <w:rFonts w:asciiTheme="majorHAnsi" w:hAnsiTheme="majorHAnsi"/>
        <w:sz w:val="22"/>
        <w:szCs w:val="22"/>
      </w:rPr>
      <w:t xml:space="preserve"> Report</w:t>
    </w:r>
    <w:r w:rsidR="00AC4A19" w:rsidRPr="0083034A">
      <w:rPr>
        <w:rFonts w:asciiTheme="majorHAnsi" w:hAnsiTheme="majorHAns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B626C2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C3BC8BD6"/>
    <w:lvl w:ilvl="0">
      <w:start w:val="1"/>
      <w:numFmt w:val="decimal"/>
      <w:lvlText w:val="%1."/>
      <w:lvlJc w:val="left"/>
      <w:pPr>
        <w:tabs>
          <w:tab w:val="num" w:pos="360"/>
        </w:tabs>
        <w:ind w:left="360" w:hanging="360"/>
      </w:pPr>
    </w:lvl>
  </w:abstractNum>
  <w:abstractNum w:abstractNumId="2" w15:restartNumberingAfterBreak="0">
    <w:nsid w:val="001024FE"/>
    <w:multiLevelType w:val="multilevel"/>
    <w:tmpl w:val="0C09001D"/>
    <w:styleLink w:val="Style10"/>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7B2A91"/>
    <w:multiLevelType w:val="hybridMultilevel"/>
    <w:tmpl w:val="7FAEA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0AC7F2D"/>
    <w:multiLevelType w:val="multilevel"/>
    <w:tmpl w:val="0C09001D"/>
    <w:numStyleLink w:val="Style10"/>
  </w:abstractNum>
  <w:abstractNum w:abstractNumId="5" w15:restartNumberingAfterBreak="0">
    <w:nsid w:val="031C08C1"/>
    <w:multiLevelType w:val="hybridMultilevel"/>
    <w:tmpl w:val="6AAA71C0"/>
    <w:lvl w:ilvl="0" w:tplc="FFFFFFFF">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64B2BC6"/>
    <w:multiLevelType w:val="hybridMultilevel"/>
    <w:tmpl w:val="00869610"/>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A3701D"/>
    <w:multiLevelType w:val="hybridMultilevel"/>
    <w:tmpl w:val="7EDEA3A0"/>
    <w:lvl w:ilvl="0" w:tplc="975C3F08">
      <w:numFmt w:val="bullet"/>
      <w:lvlText w:val="-"/>
      <w:lvlJc w:val="left"/>
      <w:pPr>
        <w:ind w:left="720" w:hanging="360"/>
      </w:pPr>
      <w:rPr>
        <w:rFonts w:ascii="Avenir Next LT Pro" w:eastAsiaTheme="minorEastAsia"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756593"/>
    <w:multiLevelType w:val="hybridMultilevel"/>
    <w:tmpl w:val="1E68F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9B17EA"/>
    <w:multiLevelType w:val="hybridMultilevel"/>
    <w:tmpl w:val="88908F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3056DF"/>
    <w:multiLevelType w:val="hybridMultilevel"/>
    <w:tmpl w:val="CAFA6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69746E"/>
    <w:multiLevelType w:val="hybridMultilevel"/>
    <w:tmpl w:val="E0CC7F10"/>
    <w:lvl w:ilvl="0" w:tplc="F704E776">
      <w:start w:val="1"/>
      <w:numFmt w:val="bullet"/>
      <w:lvlText w:val=""/>
      <w:lvlJc w:val="left"/>
      <w:pPr>
        <w:ind w:left="1440" w:hanging="360"/>
      </w:pPr>
      <w:rPr>
        <w:rFonts w:ascii="Symbol" w:hAnsi="Symbol"/>
      </w:rPr>
    </w:lvl>
    <w:lvl w:ilvl="1" w:tplc="3B6863E6">
      <w:start w:val="1"/>
      <w:numFmt w:val="bullet"/>
      <w:lvlText w:val=""/>
      <w:lvlJc w:val="left"/>
      <w:pPr>
        <w:ind w:left="1440" w:hanging="360"/>
      </w:pPr>
      <w:rPr>
        <w:rFonts w:ascii="Symbol" w:hAnsi="Symbol"/>
      </w:rPr>
    </w:lvl>
    <w:lvl w:ilvl="2" w:tplc="E23EFAAA">
      <w:start w:val="1"/>
      <w:numFmt w:val="bullet"/>
      <w:lvlText w:val=""/>
      <w:lvlJc w:val="left"/>
      <w:pPr>
        <w:ind w:left="1440" w:hanging="360"/>
      </w:pPr>
      <w:rPr>
        <w:rFonts w:ascii="Symbol" w:hAnsi="Symbol"/>
      </w:rPr>
    </w:lvl>
    <w:lvl w:ilvl="3" w:tplc="F93E6A02">
      <w:start w:val="1"/>
      <w:numFmt w:val="bullet"/>
      <w:lvlText w:val=""/>
      <w:lvlJc w:val="left"/>
      <w:pPr>
        <w:ind w:left="1440" w:hanging="360"/>
      </w:pPr>
      <w:rPr>
        <w:rFonts w:ascii="Symbol" w:hAnsi="Symbol"/>
      </w:rPr>
    </w:lvl>
    <w:lvl w:ilvl="4" w:tplc="43043E7C">
      <w:start w:val="1"/>
      <w:numFmt w:val="bullet"/>
      <w:lvlText w:val=""/>
      <w:lvlJc w:val="left"/>
      <w:pPr>
        <w:ind w:left="1440" w:hanging="360"/>
      </w:pPr>
      <w:rPr>
        <w:rFonts w:ascii="Symbol" w:hAnsi="Symbol"/>
      </w:rPr>
    </w:lvl>
    <w:lvl w:ilvl="5" w:tplc="965480EC">
      <w:start w:val="1"/>
      <w:numFmt w:val="bullet"/>
      <w:lvlText w:val=""/>
      <w:lvlJc w:val="left"/>
      <w:pPr>
        <w:ind w:left="1440" w:hanging="360"/>
      </w:pPr>
      <w:rPr>
        <w:rFonts w:ascii="Symbol" w:hAnsi="Symbol"/>
      </w:rPr>
    </w:lvl>
    <w:lvl w:ilvl="6" w:tplc="7018E02A">
      <w:start w:val="1"/>
      <w:numFmt w:val="bullet"/>
      <w:lvlText w:val=""/>
      <w:lvlJc w:val="left"/>
      <w:pPr>
        <w:ind w:left="1440" w:hanging="360"/>
      </w:pPr>
      <w:rPr>
        <w:rFonts w:ascii="Symbol" w:hAnsi="Symbol"/>
      </w:rPr>
    </w:lvl>
    <w:lvl w:ilvl="7" w:tplc="4C52766A">
      <w:start w:val="1"/>
      <w:numFmt w:val="bullet"/>
      <w:lvlText w:val=""/>
      <w:lvlJc w:val="left"/>
      <w:pPr>
        <w:ind w:left="1440" w:hanging="360"/>
      </w:pPr>
      <w:rPr>
        <w:rFonts w:ascii="Symbol" w:hAnsi="Symbol"/>
      </w:rPr>
    </w:lvl>
    <w:lvl w:ilvl="8" w:tplc="416634EA">
      <w:start w:val="1"/>
      <w:numFmt w:val="bullet"/>
      <w:lvlText w:val=""/>
      <w:lvlJc w:val="left"/>
      <w:pPr>
        <w:ind w:left="1440" w:hanging="360"/>
      </w:pPr>
      <w:rPr>
        <w:rFonts w:ascii="Symbol" w:hAnsi="Symbol"/>
      </w:rPr>
    </w:lvl>
  </w:abstractNum>
  <w:abstractNum w:abstractNumId="12" w15:restartNumberingAfterBreak="0">
    <w:nsid w:val="0C292AB0"/>
    <w:multiLevelType w:val="hybridMultilevel"/>
    <w:tmpl w:val="A156D554"/>
    <w:lvl w:ilvl="0" w:tplc="FFFFFFFF">
      <w:start w:val="1"/>
      <w:numFmt w:val="bullet"/>
      <w:lvlText w:val="•"/>
      <w:lvlJc w:val="left"/>
      <w:pPr>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C92F99"/>
    <w:multiLevelType w:val="hybridMultilevel"/>
    <w:tmpl w:val="9B2EA242"/>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C93C3B"/>
    <w:multiLevelType w:val="multilevel"/>
    <w:tmpl w:val="BF6E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262CE8"/>
    <w:multiLevelType w:val="hybridMultilevel"/>
    <w:tmpl w:val="6E786FDE"/>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E835E15"/>
    <w:multiLevelType w:val="multilevel"/>
    <w:tmpl w:val="3D60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7A3BE8"/>
    <w:multiLevelType w:val="hybridMultilevel"/>
    <w:tmpl w:val="F5A09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2185904"/>
    <w:multiLevelType w:val="hybridMultilevel"/>
    <w:tmpl w:val="50FC2DF0"/>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481592A"/>
    <w:multiLevelType w:val="multilevel"/>
    <w:tmpl w:val="A4722EAE"/>
    <w:lvl w:ilvl="0">
      <w:start w:val="4"/>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7042CC2"/>
    <w:multiLevelType w:val="hybridMultilevel"/>
    <w:tmpl w:val="8EA4A622"/>
    <w:lvl w:ilvl="0" w:tplc="50E0F8DE">
      <w:numFmt w:val="bullet"/>
      <w:lvlText w:val="•"/>
      <w:lvlJc w:val="left"/>
      <w:pPr>
        <w:ind w:left="720" w:hanging="360"/>
      </w:pPr>
      <w:rPr>
        <w:rFonts w:ascii="Avenir Next LT Pro" w:eastAsiaTheme="minorEastAsia"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223AA5"/>
    <w:multiLevelType w:val="multilevel"/>
    <w:tmpl w:val="0ADCD812"/>
    <w:lvl w:ilvl="0">
      <w:start w:val="1"/>
      <w:numFmt w:val="decimal"/>
      <w:lvlText w:val="%1."/>
      <w:lvlJc w:val="left"/>
      <w:pPr>
        <w:ind w:left="720" w:hanging="720"/>
      </w:pPr>
      <w:rPr>
        <w:rFonts w:hint="default"/>
      </w:rPr>
    </w:lvl>
    <w:lvl w:ilvl="1">
      <w:start w:val="1"/>
      <w:numFmt w:val="decimal"/>
      <w:lvlText w:val="9.%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173747D5"/>
    <w:multiLevelType w:val="multilevel"/>
    <w:tmpl w:val="0C09001D"/>
    <w:styleLink w:val="Style6"/>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7A12D8E"/>
    <w:multiLevelType w:val="hybridMultilevel"/>
    <w:tmpl w:val="AE5C9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A8A46EC"/>
    <w:multiLevelType w:val="hybridMultilevel"/>
    <w:tmpl w:val="779E623C"/>
    <w:lvl w:ilvl="0" w:tplc="FFFFFFFF">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1A9D21E3"/>
    <w:multiLevelType w:val="multilevel"/>
    <w:tmpl w:val="0C09001F"/>
    <w:styleLink w:val="Style2"/>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ACF3526"/>
    <w:multiLevelType w:val="hybridMultilevel"/>
    <w:tmpl w:val="93D48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AE57FA8"/>
    <w:multiLevelType w:val="hybridMultilevel"/>
    <w:tmpl w:val="3A52E408"/>
    <w:lvl w:ilvl="0" w:tplc="06068CBE">
      <w:numFmt w:val="bullet"/>
      <w:lvlText w:val="•"/>
      <w:lvlJc w:val="left"/>
      <w:pPr>
        <w:ind w:left="720" w:hanging="360"/>
      </w:pPr>
      <w:rPr>
        <w:rFonts w:ascii="Avenir Next LT Pro" w:eastAsia="Times New Roman" w:hAnsi="Avenir Next LT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B262A82"/>
    <w:multiLevelType w:val="hybridMultilevel"/>
    <w:tmpl w:val="962A7700"/>
    <w:lvl w:ilvl="0" w:tplc="B02068D8">
      <w:start w:val="1"/>
      <w:numFmt w:val="bullet"/>
      <w:pStyle w:val="CVbullets"/>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9" w15:restartNumberingAfterBreak="0">
    <w:nsid w:val="1BF66AB8"/>
    <w:multiLevelType w:val="hybridMultilevel"/>
    <w:tmpl w:val="1478B8BE"/>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C0A5348"/>
    <w:multiLevelType w:val="multilevel"/>
    <w:tmpl w:val="E3281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C2869F1"/>
    <w:multiLevelType w:val="hybridMultilevel"/>
    <w:tmpl w:val="88ACD8A6"/>
    <w:lvl w:ilvl="0" w:tplc="A89045F8">
      <w:start w:val="14"/>
      <w:numFmt w:val="bullet"/>
      <w:lvlText w:val="-"/>
      <w:lvlJc w:val="left"/>
      <w:pPr>
        <w:ind w:left="720" w:hanging="360"/>
      </w:pPr>
      <w:rPr>
        <w:rFonts w:ascii="Avenir Next LT Pro" w:eastAsiaTheme="minorEastAsia"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E1369D4"/>
    <w:multiLevelType w:val="hybridMultilevel"/>
    <w:tmpl w:val="8CA4F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E2E7ECD"/>
    <w:multiLevelType w:val="multilevel"/>
    <w:tmpl w:val="8782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E65392B"/>
    <w:multiLevelType w:val="multilevel"/>
    <w:tmpl w:val="C0B4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FDD19F0"/>
    <w:multiLevelType w:val="hybridMultilevel"/>
    <w:tmpl w:val="8E8C3CA4"/>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00176D7"/>
    <w:multiLevelType w:val="multilevel"/>
    <w:tmpl w:val="E9724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0342A2F"/>
    <w:multiLevelType w:val="hybridMultilevel"/>
    <w:tmpl w:val="EC869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10869B6"/>
    <w:multiLevelType w:val="hybridMultilevel"/>
    <w:tmpl w:val="F490CA60"/>
    <w:lvl w:ilvl="0" w:tplc="06068CBE">
      <w:numFmt w:val="bullet"/>
      <w:lvlText w:val="•"/>
      <w:lvlJc w:val="left"/>
      <w:pPr>
        <w:ind w:left="363" w:hanging="360"/>
      </w:pPr>
      <w:rPr>
        <w:rFonts w:ascii="Avenir Next LT Pro" w:eastAsia="Times New Roman" w:hAnsi="Avenir Next LT Pro" w:cs="Aria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9" w15:restartNumberingAfterBreak="0">
    <w:nsid w:val="225D03B0"/>
    <w:multiLevelType w:val="hybridMultilevel"/>
    <w:tmpl w:val="2F7E5C00"/>
    <w:lvl w:ilvl="0" w:tplc="50E0F8DE">
      <w:numFmt w:val="bullet"/>
      <w:lvlText w:val="•"/>
      <w:lvlJc w:val="left"/>
      <w:pPr>
        <w:ind w:left="720" w:hanging="360"/>
      </w:pPr>
      <w:rPr>
        <w:rFonts w:ascii="Avenir Next LT Pro" w:eastAsiaTheme="minorEastAsia"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3411A66"/>
    <w:multiLevelType w:val="hybridMultilevel"/>
    <w:tmpl w:val="809C5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3E41976"/>
    <w:multiLevelType w:val="multilevel"/>
    <w:tmpl w:val="E1E4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4004AC2"/>
    <w:multiLevelType w:val="hybridMultilevel"/>
    <w:tmpl w:val="964E9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4340B06"/>
    <w:multiLevelType w:val="hybridMultilevel"/>
    <w:tmpl w:val="343AF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4B73E84"/>
    <w:multiLevelType w:val="multilevel"/>
    <w:tmpl w:val="12CA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5C64AFF"/>
    <w:multiLevelType w:val="multilevel"/>
    <w:tmpl w:val="9EA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635669B"/>
    <w:multiLevelType w:val="hybridMultilevel"/>
    <w:tmpl w:val="D6923B9A"/>
    <w:lvl w:ilvl="0" w:tplc="EC30A614">
      <w:numFmt w:val="bullet"/>
      <w:lvlText w:val="•"/>
      <w:lvlJc w:val="left"/>
      <w:pPr>
        <w:ind w:left="1080" w:hanging="720"/>
      </w:pPr>
      <w:rPr>
        <w:rFonts w:ascii="Avenir Next LT Pro" w:eastAsiaTheme="minorEastAsia"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723296B"/>
    <w:multiLevelType w:val="hybridMultilevel"/>
    <w:tmpl w:val="46606082"/>
    <w:lvl w:ilvl="0" w:tplc="AE92C3F0">
      <w:start w:val="1"/>
      <w:numFmt w:val="decimal"/>
      <w:lvlText w:val="%1)"/>
      <w:lvlJc w:val="left"/>
      <w:pPr>
        <w:ind w:left="1020" w:hanging="360"/>
      </w:pPr>
    </w:lvl>
    <w:lvl w:ilvl="1" w:tplc="8402EA46">
      <w:start w:val="1"/>
      <w:numFmt w:val="decimal"/>
      <w:lvlText w:val="%2)"/>
      <w:lvlJc w:val="left"/>
      <w:pPr>
        <w:ind w:left="1020" w:hanging="360"/>
      </w:pPr>
    </w:lvl>
    <w:lvl w:ilvl="2" w:tplc="1AC0851A">
      <w:start w:val="1"/>
      <w:numFmt w:val="decimal"/>
      <w:lvlText w:val="%3)"/>
      <w:lvlJc w:val="left"/>
      <w:pPr>
        <w:ind w:left="1020" w:hanging="360"/>
      </w:pPr>
    </w:lvl>
    <w:lvl w:ilvl="3" w:tplc="A3C8CA1C">
      <w:start w:val="1"/>
      <w:numFmt w:val="decimal"/>
      <w:lvlText w:val="%4)"/>
      <w:lvlJc w:val="left"/>
      <w:pPr>
        <w:ind w:left="1020" w:hanging="360"/>
      </w:pPr>
    </w:lvl>
    <w:lvl w:ilvl="4" w:tplc="4C302C3C">
      <w:start w:val="1"/>
      <w:numFmt w:val="decimal"/>
      <w:lvlText w:val="%5)"/>
      <w:lvlJc w:val="left"/>
      <w:pPr>
        <w:ind w:left="1020" w:hanging="360"/>
      </w:pPr>
    </w:lvl>
    <w:lvl w:ilvl="5" w:tplc="7C52E6B8">
      <w:start w:val="1"/>
      <w:numFmt w:val="decimal"/>
      <w:lvlText w:val="%6)"/>
      <w:lvlJc w:val="left"/>
      <w:pPr>
        <w:ind w:left="1020" w:hanging="360"/>
      </w:pPr>
    </w:lvl>
    <w:lvl w:ilvl="6" w:tplc="CAA82BCC">
      <w:start w:val="1"/>
      <w:numFmt w:val="decimal"/>
      <w:lvlText w:val="%7)"/>
      <w:lvlJc w:val="left"/>
      <w:pPr>
        <w:ind w:left="1020" w:hanging="360"/>
      </w:pPr>
    </w:lvl>
    <w:lvl w:ilvl="7" w:tplc="B0FC41C6">
      <w:start w:val="1"/>
      <w:numFmt w:val="decimal"/>
      <w:lvlText w:val="%8)"/>
      <w:lvlJc w:val="left"/>
      <w:pPr>
        <w:ind w:left="1020" w:hanging="360"/>
      </w:pPr>
    </w:lvl>
    <w:lvl w:ilvl="8" w:tplc="D9AC4C12">
      <w:start w:val="1"/>
      <w:numFmt w:val="decimal"/>
      <w:lvlText w:val="%9)"/>
      <w:lvlJc w:val="left"/>
      <w:pPr>
        <w:ind w:left="1020" w:hanging="360"/>
      </w:pPr>
    </w:lvl>
  </w:abstractNum>
  <w:abstractNum w:abstractNumId="48" w15:restartNumberingAfterBreak="0">
    <w:nsid w:val="28B01637"/>
    <w:multiLevelType w:val="multilevel"/>
    <w:tmpl w:val="CB3E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8DA771F"/>
    <w:multiLevelType w:val="hybridMultilevel"/>
    <w:tmpl w:val="50E60068"/>
    <w:lvl w:ilvl="0" w:tplc="FFFFFFFF">
      <w:start w:val="1"/>
      <w:numFmt w:val="bullet"/>
      <w:lvlText w:val="•"/>
      <w:lvlJc w:val="left"/>
      <w:pPr>
        <w:ind w:left="363" w:hanging="360"/>
      </w:pPr>
      <w:rPr>
        <w:rFonts w:ascii="Arial" w:hAnsi="Aria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50" w15:restartNumberingAfterBreak="0">
    <w:nsid w:val="29084932"/>
    <w:multiLevelType w:val="multilevel"/>
    <w:tmpl w:val="0C09001F"/>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91B37A3"/>
    <w:multiLevelType w:val="multilevel"/>
    <w:tmpl w:val="731E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93A5BE0"/>
    <w:multiLevelType w:val="hybridMultilevel"/>
    <w:tmpl w:val="EC869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C18633D"/>
    <w:multiLevelType w:val="multilevel"/>
    <w:tmpl w:val="C97657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CFF7B13"/>
    <w:multiLevelType w:val="hybridMultilevel"/>
    <w:tmpl w:val="8A28C93E"/>
    <w:lvl w:ilvl="0" w:tplc="597428F4">
      <w:numFmt w:val="bullet"/>
      <w:lvlText w:val="-"/>
      <w:lvlJc w:val="left"/>
      <w:pPr>
        <w:ind w:left="720" w:hanging="360"/>
      </w:pPr>
      <w:rPr>
        <w:rFonts w:ascii="Avenir Next LT Pro" w:eastAsiaTheme="minorEastAsia"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2D71712E"/>
    <w:multiLevelType w:val="multilevel"/>
    <w:tmpl w:val="0C09001D"/>
    <w:numStyleLink w:val="Style10"/>
  </w:abstractNum>
  <w:abstractNum w:abstractNumId="56" w15:restartNumberingAfterBreak="0">
    <w:nsid w:val="2E326FA3"/>
    <w:multiLevelType w:val="hybridMultilevel"/>
    <w:tmpl w:val="269EF532"/>
    <w:lvl w:ilvl="0" w:tplc="50E0F8DE">
      <w:numFmt w:val="bullet"/>
      <w:lvlText w:val="•"/>
      <w:lvlJc w:val="left"/>
      <w:pPr>
        <w:ind w:left="720" w:hanging="360"/>
      </w:pPr>
      <w:rPr>
        <w:rFonts w:ascii="Avenir Next LT Pro" w:eastAsiaTheme="minorEastAsia"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0487C0C"/>
    <w:multiLevelType w:val="multilevel"/>
    <w:tmpl w:val="0C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0846263"/>
    <w:multiLevelType w:val="hybridMultilevel"/>
    <w:tmpl w:val="E8D86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32E700A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3340832"/>
    <w:multiLevelType w:val="hybridMultilevel"/>
    <w:tmpl w:val="51780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34B66324"/>
    <w:multiLevelType w:val="multilevel"/>
    <w:tmpl w:val="3BD2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4BC435B"/>
    <w:multiLevelType w:val="hybridMultilevel"/>
    <w:tmpl w:val="6FA0C33A"/>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595598E"/>
    <w:multiLevelType w:val="hybridMultilevel"/>
    <w:tmpl w:val="E294C3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5A41BBB"/>
    <w:multiLevelType w:val="hybridMultilevel"/>
    <w:tmpl w:val="3AAADB96"/>
    <w:lvl w:ilvl="0" w:tplc="50E0F8DE">
      <w:numFmt w:val="bullet"/>
      <w:lvlText w:val="•"/>
      <w:lvlJc w:val="left"/>
      <w:pPr>
        <w:ind w:left="720" w:hanging="360"/>
      </w:pPr>
      <w:rPr>
        <w:rFonts w:ascii="Avenir Next LT Pro" w:eastAsiaTheme="minorEastAsia"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3965125D"/>
    <w:multiLevelType w:val="multilevel"/>
    <w:tmpl w:val="5B34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9721AB6"/>
    <w:multiLevelType w:val="hybridMultilevel"/>
    <w:tmpl w:val="7BB40A1E"/>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9AB14F4"/>
    <w:multiLevelType w:val="hybridMultilevel"/>
    <w:tmpl w:val="6A548978"/>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BB25352"/>
    <w:multiLevelType w:val="multilevel"/>
    <w:tmpl w:val="7B40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C7B015B"/>
    <w:multiLevelType w:val="hybridMultilevel"/>
    <w:tmpl w:val="3B0239F8"/>
    <w:lvl w:ilvl="0" w:tplc="4B44F0A6">
      <w:start w:val="1"/>
      <w:numFmt w:val="decimal"/>
      <w:lvlText w:val="%1)"/>
      <w:lvlJc w:val="left"/>
      <w:pPr>
        <w:ind w:left="1020" w:hanging="360"/>
      </w:pPr>
    </w:lvl>
    <w:lvl w:ilvl="1" w:tplc="9CF264CE">
      <w:start w:val="1"/>
      <w:numFmt w:val="decimal"/>
      <w:lvlText w:val="%2)"/>
      <w:lvlJc w:val="left"/>
      <w:pPr>
        <w:ind w:left="1020" w:hanging="360"/>
      </w:pPr>
    </w:lvl>
    <w:lvl w:ilvl="2" w:tplc="88A22448">
      <w:start w:val="1"/>
      <w:numFmt w:val="decimal"/>
      <w:lvlText w:val="%3)"/>
      <w:lvlJc w:val="left"/>
      <w:pPr>
        <w:ind w:left="1020" w:hanging="360"/>
      </w:pPr>
    </w:lvl>
    <w:lvl w:ilvl="3" w:tplc="239EDBA6">
      <w:start w:val="1"/>
      <w:numFmt w:val="decimal"/>
      <w:lvlText w:val="%4)"/>
      <w:lvlJc w:val="left"/>
      <w:pPr>
        <w:ind w:left="1020" w:hanging="360"/>
      </w:pPr>
    </w:lvl>
    <w:lvl w:ilvl="4" w:tplc="EF785AC0">
      <w:start w:val="1"/>
      <w:numFmt w:val="decimal"/>
      <w:lvlText w:val="%5)"/>
      <w:lvlJc w:val="left"/>
      <w:pPr>
        <w:ind w:left="1020" w:hanging="360"/>
      </w:pPr>
    </w:lvl>
    <w:lvl w:ilvl="5" w:tplc="037E6FF0">
      <w:start w:val="1"/>
      <w:numFmt w:val="decimal"/>
      <w:lvlText w:val="%6)"/>
      <w:lvlJc w:val="left"/>
      <w:pPr>
        <w:ind w:left="1020" w:hanging="360"/>
      </w:pPr>
    </w:lvl>
    <w:lvl w:ilvl="6" w:tplc="E32232CC">
      <w:start w:val="1"/>
      <w:numFmt w:val="decimal"/>
      <w:lvlText w:val="%7)"/>
      <w:lvlJc w:val="left"/>
      <w:pPr>
        <w:ind w:left="1020" w:hanging="360"/>
      </w:pPr>
    </w:lvl>
    <w:lvl w:ilvl="7" w:tplc="0192ACB0">
      <w:start w:val="1"/>
      <w:numFmt w:val="decimal"/>
      <w:lvlText w:val="%8)"/>
      <w:lvlJc w:val="left"/>
      <w:pPr>
        <w:ind w:left="1020" w:hanging="360"/>
      </w:pPr>
    </w:lvl>
    <w:lvl w:ilvl="8" w:tplc="615C722C">
      <w:start w:val="1"/>
      <w:numFmt w:val="decimal"/>
      <w:lvlText w:val="%9)"/>
      <w:lvlJc w:val="left"/>
      <w:pPr>
        <w:ind w:left="1020" w:hanging="360"/>
      </w:pPr>
    </w:lvl>
  </w:abstractNum>
  <w:abstractNum w:abstractNumId="70" w15:restartNumberingAfterBreak="0">
    <w:nsid w:val="3E4F29E4"/>
    <w:multiLevelType w:val="multilevel"/>
    <w:tmpl w:val="C9904664"/>
    <w:styleLink w:val="ChapterNumberingList"/>
    <w:lvl w:ilvl="0">
      <w:start w:val="1"/>
      <w:numFmt w:val="decimal"/>
      <w:lvlRestart w:val="0"/>
      <w:suff w:val="nothing"/>
      <w:lvlText w:val="%1"/>
      <w:lvlJc w:val="left"/>
      <w:pPr>
        <w:ind w:left="0" w:firstLine="0"/>
      </w:pPr>
      <w:rPr>
        <w:rFonts w:hint="default"/>
      </w:rPr>
    </w:lvl>
    <w:lvl w:ilvl="1">
      <w:start w:val="1"/>
      <w:numFmt w:val="decimal"/>
      <w:lvlRestart w:val="0"/>
      <w:lvlText w:val="%2"/>
      <w:lvlJc w:val="left"/>
      <w:pPr>
        <w:tabs>
          <w:tab w:val="num" w:pos="850"/>
        </w:tabs>
        <w:ind w:left="850" w:hanging="850"/>
      </w:pPr>
      <w:rPr>
        <w:rFonts w:hint="default"/>
      </w:rPr>
    </w:lvl>
    <w:lvl w:ilvl="2">
      <w:start w:val="1"/>
      <w:numFmt w:val="decimal"/>
      <w:lvlText w:val="%2.%3"/>
      <w:lvlJc w:val="left"/>
      <w:pPr>
        <w:tabs>
          <w:tab w:val="num" w:pos="850"/>
        </w:tabs>
        <w:ind w:left="850" w:hanging="850"/>
      </w:pPr>
      <w:rPr>
        <w:rFonts w:hint="default"/>
      </w:rPr>
    </w:lvl>
    <w:lvl w:ilvl="3">
      <w:start w:val="1"/>
      <w:numFmt w:val="decimal"/>
      <w:lvlText w:val="%2.%3.%4"/>
      <w:lvlJc w:val="left"/>
      <w:pPr>
        <w:tabs>
          <w:tab w:val="num" w:pos="850"/>
        </w:tabs>
        <w:ind w:left="850" w:hanging="850"/>
      </w:pPr>
      <w:rPr>
        <w:rFonts w:hint="default"/>
      </w:rPr>
    </w:lvl>
    <w:lvl w:ilvl="4">
      <w:start w:val="1"/>
      <w:numFmt w:val="upperLetter"/>
      <w:lvlRestart w:val="0"/>
      <w:lvlText w:val="Appendix %5"/>
      <w:lvlJc w:val="left"/>
      <w:pPr>
        <w:tabs>
          <w:tab w:val="num" w:pos="3685"/>
        </w:tabs>
        <w:ind w:left="0" w:firstLine="0"/>
      </w:pPr>
      <w:rPr>
        <w:rFonts w:hint="default"/>
      </w:rPr>
    </w:lvl>
    <w:lvl w:ilvl="5">
      <w:start w:val="1"/>
      <w:numFmt w:val="upperLetter"/>
      <w:lvlRestart w:val="0"/>
      <w:suff w:val="nothing"/>
      <w:lvlText w:val="Appendix %6"/>
      <w:lvlJc w:val="left"/>
      <w:pPr>
        <w:ind w:left="0" w:firstLine="0"/>
      </w:pPr>
      <w:rPr>
        <w:rFonts w:hint="default"/>
      </w:rPr>
    </w:lvl>
    <w:lvl w:ilvl="6">
      <w:start w:val="1"/>
      <w:numFmt w:val="decimal"/>
      <w:lvlText w:val="%7"/>
      <w:lvlJc w:val="left"/>
      <w:pPr>
        <w:tabs>
          <w:tab w:val="num" w:pos="567"/>
        </w:tabs>
        <w:ind w:left="567" w:hanging="567"/>
      </w:pPr>
      <w:rPr>
        <w:rFonts w:hint="default"/>
        <w:b/>
        <w:i/>
      </w:rPr>
    </w:lvl>
    <w:lvl w:ilvl="7">
      <w:start w:val="1"/>
      <w:numFmt w:val="decimal"/>
      <w:lvlText w:val="%8"/>
      <w:lvlJc w:val="left"/>
      <w:pPr>
        <w:tabs>
          <w:tab w:val="num" w:pos="284"/>
        </w:tabs>
        <w:ind w:left="284" w:hanging="284"/>
      </w:pPr>
      <w:rPr>
        <w:rFonts w:hint="default"/>
        <w:b w:val="0"/>
        <w:i w:val="0"/>
        <w:color w:val="auto"/>
      </w:rPr>
    </w:lvl>
    <w:lvl w:ilvl="8">
      <w:start w:val="1"/>
      <w:numFmt w:val="lowerLetter"/>
      <w:lvlText w:val="%9"/>
      <w:lvlJc w:val="left"/>
      <w:pPr>
        <w:tabs>
          <w:tab w:val="num" w:pos="567"/>
        </w:tabs>
        <w:ind w:left="567" w:hanging="283"/>
      </w:pPr>
      <w:rPr>
        <w:rFonts w:hint="default"/>
        <w:b w:val="0"/>
        <w:i w:val="0"/>
        <w:color w:val="auto"/>
      </w:rPr>
    </w:lvl>
  </w:abstractNum>
  <w:abstractNum w:abstractNumId="71" w15:restartNumberingAfterBreak="0">
    <w:nsid w:val="3EB318E9"/>
    <w:multiLevelType w:val="hybridMultilevel"/>
    <w:tmpl w:val="9ECC7D5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72" w15:restartNumberingAfterBreak="0">
    <w:nsid w:val="3EF75092"/>
    <w:multiLevelType w:val="multilevel"/>
    <w:tmpl w:val="4A2E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F5D1A47"/>
    <w:multiLevelType w:val="multilevel"/>
    <w:tmpl w:val="AE3A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0AD5DD0"/>
    <w:multiLevelType w:val="multilevel"/>
    <w:tmpl w:val="9CCA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120191A"/>
    <w:multiLevelType w:val="hybridMultilevel"/>
    <w:tmpl w:val="4EAA4726"/>
    <w:lvl w:ilvl="0" w:tplc="FFFFFFFF">
      <w:start w:val="1"/>
      <w:numFmt w:val="bullet"/>
      <w:lvlText w:val="•"/>
      <w:lvlJc w:val="left"/>
      <w:pPr>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41A34F6A"/>
    <w:multiLevelType w:val="hybridMultilevel"/>
    <w:tmpl w:val="A3160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44F76E68"/>
    <w:multiLevelType w:val="hybridMultilevel"/>
    <w:tmpl w:val="92264E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8" w15:restartNumberingAfterBreak="0">
    <w:nsid w:val="45256261"/>
    <w:multiLevelType w:val="hybridMultilevel"/>
    <w:tmpl w:val="12349B7C"/>
    <w:lvl w:ilvl="0" w:tplc="606A5520">
      <w:start w:val="1"/>
      <w:numFmt w:val="decimal"/>
      <w:pStyle w:val="ListNumb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6A73513"/>
    <w:multiLevelType w:val="hybridMultilevel"/>
    <w:tmpl w:val="9AD2FC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46EB7239"/>
    <w:multiLevelType w:val="multilevel"/>
    <w:tmpl w:val="0C09001F"/>
    <w:numStyleLink w:val="Style3"/>
  </w:abstractNum>
  <w:abstractNum w:abstractNumId="81" w15:restartNumberingAfterBreak="0">
    <w:nsid w:val="49A45BC6"/>
    <w:multiLevelType w:val="hybridMultilevel"/>
    <w:tmpl w:val="EDF8FB88"/>
    <w:lvl w:ilvl="0" w:tplc="0C090003">
      <w:start w:val="1"/>
      <w:numFmt w:val="bullet"/>
      <w:lvlText w:val="o"/>
      <w:lvlJc w:val="left"/>
      <w:pPr>
        <w:ind w:left="1146" w:hanging="360"/>
      </w:pPr>
      <w:rPr>
        <w:rFonts w:ascii="Courier New" w:hAnsi="Courier New" w:cs="Courier New" w:hint="default"/>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82" w15:restartNumberingAfterBreak="0">
    <w:nsid w:val="4AAB5470"/>
    <w:multiLevelType w:val="multilevel"/>
    <w:tmpl w:val="1022367C"/>
    <w:lvl w:ilvl="0">
      <w:start w:val="1"/>
      <w:numFmt w:val="bullet"/>
      <w:pStyle w:val="ListBullet"/>
      <w:lvlText w:val=""/>
      <w:lvlJc w:val="left"/>
      <w:pPr>
        <w:ind w:left="360" w:hanging="360"/>
      </w:pPr>
      <w:rPr>
        <w:rFonts w:ascii="Symbol" w:hAnsi="Symbol" w:cs="Symbol" w:hint="default"/>
        <w:b w:val="0"/>
        <w:i w:val="0"/>
        <w:color w:val="484B5D" w:themeColor="accent3"/>
      </w:rPr>
    </w:lvl>
    <w:lvl w:ilvl="1">
      <w:start w:val="1"/>
      <w:numFmt w:val="bullet"/>
      <w:lvlText w:val="–"/>
      <w:lvlJc w:val="left"/>
      <w:pPr>
        <w:tabs>
          <w:tab w:val="num" w:pos="567"/>
        </w:tabs>
        <w:ind w:left="568" w:hanging="284"/>
      </w:pPr>
      <w:rPr>
        <w:rFonts w:ascii="Arial" w:hAnsi="Arial" w:hint="default"/>
        <w:b w:val="0"/>
        <w:i w:val="0"/>
        <w:color w:val="auto"/>
      </w:rPr>
    </w:lvl>
    <w:lvl w:ilvl="2">
      <w:start w:val="1"/>
      <w:numFmt w:val="bullet"/>
      <w:lvlText w:val="◦"/>
      <w:lvlJc w:val="left"/>
      <w:pPr>
        <w:tabs>
          <w:tab w:val="num" w:pos="851"/>
        </w:tabs>
        <w:ind w:left="852" w:hanging="284"/>
      </w:pPr>
      <w:rPr>
        <w:rFonts w:ascii="Georgia" w:hAnsi="Georgia" w:hint="default"/>
        <w:b w:val="0"/>
        <w:i w:val="0"/>
        <w:color w:val="auto"/>
        <w:sz w:val="18"/>
        <w:szCs w:val="10"/>
      </w:rPr>
    </w:lvl>
    <w:lvl w:ilvl="3">
      <w:start w:val="1"/>
      <w:numFmt w:val="bullet"/>
      <w:lvlText w:val=""/>
      <w:lvlJc w:val="left"/>
      <w:pPr>
        <w:tabs>
          <w:tab w:val="num" w:pos="1134"/>
        </w:tabs>
        <w:ind w:left="1136" w:hanging="284"/>
      </w:pPr>
      <w:rPr>
        <w:rFonts w:ascii="Symbol" w:hAnsi="Symbol" w:hint="default"/>
        <w:b w:val="0"/>
        <w:i w:val="0"/>
        <w:color w:val="auto"/>
        <w:sz w:val="20"/>
        <w:szCs w:val="10"/>
      </w:rPr>
    </w:lvl>
    <w:lvl w:ilvl="4">
      <w:start w:val="1"/>
      <w:numFmt w:val="bullet"/>
      <w:lvlText w:val="~"/>
      <w:lvlJc w:val="left"/>
      <w:pPr>
        <w:tabs>
          <w:tab w:val="num" w:pos="1418"/>
        </w:tabs>
        <w:ind w:left="1420" w:hanging="284"/>
      </w:pPr>
      <w:rPr>
        <w:rFonts w:ascii="Georgia" w:hAnsi="Georgia" w:hint="default"/>
        <w:color w:val="auto"/>
      </w:rPr>
    </w:lvl>
    <w:lvl w:ilvl="5">
      <w:start w:val="1"/>
      <w:numFmt w:val="lowerRoman"/>
      <w:lvlText w:val="%6"/>
      <w:lvlJc w:val="left"/>
      <w:pPr>
        <w:tabs>
          <w:tab w:val="num" w:pos="1701"/>
        </w:tabs>
        <w:ind w:left="1361" w:firstLine="59"/>
      </w:pPr>
      <w:rPr>
        <w:rFonts w:hint="default"/>
      </w:rPr>
    </w:lvl>
    <w:lvl w:ilvl="6">
      <w:start w:val="1"/>
      <w:numFmt w:val="decimal"/>
      <w:lvlText w:val="%7"/>
      <w:lvlJc w:val="left"/>
      <w:pPr>
        <w:tabs>
          <w:tab w:val="num" w:pos="1985"/>
        </w:tabs>
        <w:ind w:left="1985" w:hanging="964"/>
      </w:pPr>
      <w:rPr>
        <w:rFonts w:hint="default"/>
      </w:rPr>
    </w:lvl>
    <w:lvl w:ilvl="7">
      <w:start w:val="1"/>
      <w:numFmt w:val="lowerLetter"/>
      <w:lvlText w:val="%8"/>
      <w:lvlJc w:val="left"/>
      <w:pPr>
        <w:tabs>
          <w:tab w:val="num" w:pos="2268"/>
        </w:tabs>
        <w:ind w:left="2211" w:hanging="226"/>
      </w:pPr>
      <w:rPr>
        <w:rFonts w:hint="default"/>
      </w:rPr>
    </w:lvl>
    <w:lvl w:ilvl="8">
      <w:start w:val="1"/>
      <w:numFmt w:val="lowerRoman"/>
      <w:lvlText w:val="%9"/>
      <w:lvlJc w:val="left"/>
      <w:pPr>
        <w:tabs>
          <w:tab w:val="num" w:pos="2552"/>
        </w:tabs>
        <w:ind w:left="2552" w:hanging="284"/>
      </w:pPr>
      <w:rPr>
        <w:rFonts w:hint="default"/>
      </w:rPr>
    </w:lvl>
  </w:abstractNum>
  <w:abstractNum w:abstractNumId="83" w15:restartNumberingAfterBreak="0">
    <w:nsid w:val="4C076227"/>
    <w:multiLevelType w:val="multilevel"/>
    <w:tmpl w:val="62EC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D8C2F25"/>
    <w:multiLevelType w:val="multilevel"/>
    <w:tmpl w:val="6E008996"/>
    <w:lvl w:ilvl="0">
      <w:start w:val="1"/>
      <w:numFmt w:val="bullet"/>
      <w:lvlRestart w:val="0"/>
      <w:pStyle w:val="TableNormalBullet1"/>
      <w:lvlText w:val=""/>
      <w:lvlJc w:val="left"/>
      <w:pPr>
        <w:tabs>
          <w:tab w:val="num" w:pos="283"/>
        </w:tabs>
        <w:ind w:left="284" w:hanging="284"/>
      </w:pPr>
      <w:rPr>
        <w:rFonts w:ascii="Symbol" w:hAnsi="Symbol" w:hint="default"/>
        <w:b w:val="0"/>
        <w:i w:val="0"/>
        <w:color w:val="auto"/>
      </w:rPr>
    </w:lvl>
    <w:lvl w:ilvl="1">
      <w:start w:val="1"/>
      <w:numFmt w:val="bullet"/>
      <w:lvlRestart w:val="0"/>
      <w:pStyle w:val="TableNormalBullet2"/>
      <w:lvlText w:val="–"/>
      <w:lvlJc w:val="left"/>
      <w:pPr>
        <w:tabs>
          <w:tab w:val="num" w:pos="567"/>
        </w:tabs>
        <w:ind w:left="567" w:hanging="283"/>
      </w:pPr>
      <w:rPr>
        <w:rFonts w:ascii="Arial" w:hAnsi="Arial" w:hint="default"/>
        <w:b w:val="0"/>
        <w:i w:val="0"/>
        <w:color w:val="auto"/>
        <w:szCs w:val="10"/>
      </w:rPr>
    </w:lvl>
    <w:lvl w:ilvl="2">
      <w:start w:val="1"/>
      <w:numFmt w:val="bullet"/>
      <w:lvlRestart w:val="0"/>
      <w:pStyle w:val="TableNormalBullet3"/>
      <w:lvlText w:val="o"/>
      <w:lvlJc w:val="left"/>
      <w:pPr>
        <w:tabs>
          <w:tab w:val="num" w:pos="851"/>
        </w:tabs>
        <w:ind w:left="851" w:hanging="284"/>
      </w:pPr>
      <w:rPr>
        <w:rFonts w:ascii="Arial" w:hAnsi="Arial" w:hint="default"/>
        <w:b w:val="0"/>
        <w:i w:val="0"/>
        <w:color w:val="auto"/>
        <w:sz w:val="1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85" w15:restartNumberingAfterBreak="0">
    <w:nsid w:val="4EE7481A"/>
    <w:multiLevelType w:val="hybridMultilevel"/>
    <w:tmpl w:val="8D265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4F4D0418"/>
    <w:multiLevelType w:val="multilevel"/>
    <w:tmpl w:val="607A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072762B"/>
    <w:multiLevelType w:val="multilevel"/>
    <w:tmpl w:val="E9724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3856AA3"/>
    <w:multiLevelType w:val="multilevel"/>
    <w:tmpl w:val="BE86C694"/>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9" w15:restartNumberingAfterBreak="0">
    <w:nsid w:val="553A5129"/>
    <w:multiLevelType w:val="hybridMultilevel"/>
    <w:tmpl w:val="F9560CBC"/>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563C1115"/>
    <w:multiLevelType w:val="multilevel"/>
    <w:tmpl w:val="0C09001F"/>
    <w:numStyleLink w:val="Style2"/>
  </w:abstractNum>
  <w:abstractNum w:abstractNumId="91" w15:restartNumberingAfterBreak="0">
    <w:nsid w:val="56BA5AE7"/>
    <w:multiLevelType w:val="hybridMultilevel"/>
    <w:tmpl w:val="1646D47C"/>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92" w15:restartNumberingAfterBreak="0">
    <w:nsid w:val="5717516B"/>
    <w:multiLevelType w:val="multilevel"/>
    <w:tmpl w:val="9142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80D2F56"/>
    <w:multiLevelType w:val="hybridMultilevel"/>
    <w:tmpl w:val="D71E1DCE"/>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58311C9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58AC13AE"/>
    <w:multiLevelType w:val="multilevel"/>
    <w:tmpl w:val="77848E68"/>
    <w:lvl w:ilvl="0">
      <w:start w:val="1"/>
      <w:numFmt w:val="bullet"/>
      <w:lvlText w:val=""/>
      <w:lvlJc w:val="left"/>
      <w:pPr>
        <w:tabs>
          <w:tab w:val="num" w:pos="720"/>
        </w:tabs>
        <w:ind w:left="720" w:hanging="360"/>
      </w:pPr>
      <w:rPr>
        <w:rFonts w:ascii="Symbol" w:hAnsi="Symbol" w:hint="default"/>
        <w:sz w:val="20"/>
      </w:rPr>
    </w:lvl>
    <w:lvl w:ilvl="1">
      <w:start w:val="27"/>
      <w:numFmt w:val="bullet"/>
      <w:lvlText w:val="-"/>
      <w:lvlJc w:val="left"/>
      <w:pPr>
        <w:ind w:left="1440" w:hanging="360"/>
      </w:pPr>
      <w:rPr>
        <w:rFonts w:ascii="Avenir Next LT Pro Demi" w:eastAsiaTheme="minorEastAsia" w:hAnsi="Avenir Next LT Pro Demi"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A6A5937"/>
    <w:multiLevelType w:val="hybridMultilevel"/>
    <w:tmpl w:val="DC9602D2"/>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B1C1202"/>
    <w:multiLevelType w:val="hybridMultilevel"/>
    <w:tmpl w:val="25126F76"/>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B842793"/>
    <w:multiLevelType w:val="hybridMultilevel"/>
    <w:tmpl w:val="D7DA87B0"/>
    <w:lvl w:ilvl="0" w:tplc="FFFFFFFF">
      <w:start w:val="1"/>
      <w:numFmt w:val="bullet"/>
      <w:lvlText w:val="•"/>
      <w:lvlJc w:val="left"/>
      <w:pPr>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9" w15:restartNumberingAfterBreak="0">
    <w:nsid w:val="5C476381"/>
    <w:multiLevelType w:val="hybridMultilevel"/>
    <w:tmpl w:val="E294C3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E5A7293"/>
    <w:multiLevelType w:val="hybridMultilevel"/>
    <w:tmpl w:val="80CC9B6E"/>
    <w:lvl w:ilvl="0" w:tplc="FFFFFFFF">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1" w15:restartNumberingAfterBreak="0">
    <w:nsid w:val="5F672D01"/>
    <w:multiLevelType w:val="hybridMultilevel"/>
    <w:tmpl w:val="C8EA5F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2" w15:restartNumberingAfterBreak="0">
    <w:nsid w:val="600D1C76"/>
    <w:multiLevelType w:val="multilevel"/>
    <w:tmpl w:val="77848E68"/>
    <w:lvl w:ilvl="0">
      <w:start w:val="1"/>
      <w:numFmt w:val="bullet"/>
      <w:lvlText w:val=""/>
      <w:lvlJc w:val="left"/>
      <w:pPr>
        <w:tabs>
          <w:tab w:val="num" w:pos="720"/>
        </w:tabs>
        <w:ind w:left="720" w:hanging="360"/>
      </w:pPr>
      <w:rPr>
        <w:rFonts w:ascii="Symbol" w:hAnsi="Symbol" w:hint="default"/>
        <w:sz w:val="20"/>
      </w:rPr>
    </w:lvl>
    <w:lvl w:ilvl="1">
      <w:start w:val="27"/>
      <w:numFmt w:val="bullet"/>
      <w:lvlText w:val="-"/>
      <w:lvlJc w:val="left"/>
      <w:pPr>
        <w:ind w:left="1440" w:hanging="360"/>
      </w:pPr>
      <w:rPr>
        <w:rFonts w:ascii="Avenir Next LT Pro Demi" w:eastAsiaTheme="minorEastAsia" w:hAnsi="Avenir Next LT Pro Demi"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0FA26B3"/>
    <w:multiLevelType w:val="hybridMultilevel"/>
    <w:tmpl w:val="86003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12F0CEE"/>
    <w:multiLevelType w:val="hybridMultilevel"/>
    <w:tmpl w:val="9544FD9E"/>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05" w15:restartNumberingAfterBreak="0">
    <w:nsid w:val="63B01698"/>
    <w:multiLevelType w:val="multilevel"/>
    <w:tmpl w:val="0E24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4F7333E"/>
    <w:multiLevelType w:val="hybridMultilevel"/>
    <w:tmpl w:val="160419CC"/>
    <w:lvl w:ilvl="0" w:tplc="23A6139A">
      <w:start w:val="1"/>
      <w:numFmt w:val="decimal"/>
      <w:lvlText w:val="%1)"/>
      <w:lvlJc w:val="left"/>
      <w:pPr>
        <w:ind w:left="1020" w:hanging="360"/>
      </w:pPr>
    </w:lvl>
    <w:lvl w:ilvl="1" w:tplc="5456BA30">
      <w:start w:val="1"/>
      <w:numFmt w:val="decimal"/>
      <w:lvlText w:val="%2)"/>
      <w:lvlJc w:val="left"/>
      <w:pPr>
        <w:ind w:left="1020" w:hanging="360"/>
      </w:pPr>
    </w:lvl>
    <w:lvl w:ilvl="2" w:tplc="64687CA2">
      <w:start w:val="1"/>
      <w:numFmt w:val="decimal"/>
      <w:lvlText w:val="%3)"/>
      <w:lvlJc w:val="left"/>
      <w:pPr>
        <w:ind w:left="1020" w:hanging="360"/>
      </w:pPr>
    </w:lvl>
    <w:lvl w:ilvl="3" w:tplc="E020E8C6">
      <w:start w:val="1"/>
      <w:numFmt w:val="decimal"/>
      <w:lvlText w:val="%4)"/>
      <w:lvlJc w:val="left"/>
      <w:pPr>
        <w:ind w:left="1020" w:hanging="360"/>
      </w:pPr>
    </w:lvl>
    <w:lvl w:ilvl="4" w:tplc="83B8A626">
      <w:start w:val="1"/>
      <w:numFmt w:val="decimal"/>
      <w:lvlText w:val="%5)"/>
      <w:lvlJc w:val="left"/>
      <w:pPr>
        <w:ind w:left="1020" w:hanging="360"/>
      </w:pPr>
    </w:lvl>
    <w:lvl w:ilvl="5" w:tplc="B13AAAAC">
      <w:start w:val="1"/>
      <w:numFmt w:val="decimal"/>
      <w:lvlText w:val="%6)"/>
      <w:lvlJc w:val="left"/>
      <w:pPr>
        <w:ind w:left="1020" w:hanging="360"/>
      </w:pPr>
    </w:lvl>
    <w:lvl w:ilvl="6" w:tplc="1D6894C6">
      <w:start w:val="1"/>
      <w:numFmt w:val="decimal"/>
      <w:lvlText w:val="%7)"/>
      <w:lvlJc w:val="left"/>
      <w:pPr>
        <w:ind w:left="1020" w:hanging="360"/>
      </w:pPr>
    </w:lvl>
    <w:lvl w:ilvl="7" w:tplc="D78A63AE">
      <w:start w:val="1"/>
      <w:numFmt w:val="decimal"/>
      <w:lvlText w:val="%8)"/>
      <w:lvlJc w:val="left"/>
      <w:pPr>
        <w:ind w:left="1020" w:hanging="360"/>
      </w:pPr>
    </w:lvl>
    <w:lvl w:ilvl="8" w:tplc="A790BBE2">
      <w:start w:val="1"/>
      <w:numFmt w:val="decimal"/>
      <w:lvlText w:val="%9)"/>
      <w:lvlJc w:val="left"/>
      <w:pPr>
        <w:ind w:left="1020" w:hanging="360"/>
      </w:pPr>
    </w:lvl>
  </w:abstractNum>
  <w:abstractNum w:abstractNumId="107" w15:restartNumberingAfterBreak="0">
    <w:nsid w:val="69CD1A3E"/>
    <w:multiLevelType w:val="hybridMultilevel"/>
    <w:tmpl w:val="C1D8EE90"/>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69F7695B"/>
    <w:multiLevelType w:val="multilevel"/>
    <w:tmpl w:val="0C09001D"/>
    <w:styleLink w:val="Style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6B932F82"/>
    <w:multiLevelType w:val="hybridMultilevel"/>
    <w:tmpl w:val="EC869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6CAB29BD"/>
    <w:multiLevelType w:val="hybridMultilevel"/>
    <w:tmpl w:val="F790F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6CC93736"/>
    <w:multiLevelType w:val="hybridMultilevel"/>
    <w:tmpl w:val="AC280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6EB84F35"/>
    <w:multiLevelType w:val="hybridMultilevel"/>
    <w:tmpl w:val="E5FED388"/>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72613991"/>
    <w:multiLevelType w:val="multilevel"/>
    <w:tmpl w:val="E29C0284"/>
    <w:lvl w:ilvl="0">
      <w:start w:val="1"/>
      <w:numFmt w:val="decimal"/>
      <w:lvlText w:val="%1."/>
      <w:lvlJc w:val="left"/>
      <w:pPr>
        <w:ind w:left="720" w:hanging="720"/>
      </w:pPr>
      <w:rPr>
        <w:rFonts w:hint="default"/>
      </w:rPr>
    </w:lvl>
    <w:lvl w:ilvl="1">
      <w:start w:val="1"/>
      <w:numFmt w:val="decimal"/>
      <w:lvlText w:val="9.%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4" w15:restartNumberingAfterBreak="0">
    <w:nsid w:val="72B974B5"/>
    <w:multiLevelType w:val="multilevel"/>
    <w:tmpl w:val="9B9A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3F1315E"/>
    <w:multiLevelType w:val="hybridMultilevel"/>
    <w:tmpl w:val="25BE504E"/>
    <w:lvl w:ilvl="0" w:tplc="50E0F8DE">
      <w:numFmt w:val="bullet"/>
      <w:lvlText w:val="•"/>
      <w:lvlJc w:val="left"/>
      <w:pPr>
        <w:ind w:left="1440" w:hanging="360"/>
      </w:pPr>
      <w:rPr>
        <w:rFonts w:ascii="Avenir Next LT Pro" w:eastAsiaTheme="minorEastAsia" w:hAnsi="Avenir Next LT Pro"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6" w15:restartNumberingAfterBreak="0">
    <w:nsid w:val="748F6871"/>
    <w:multiLevelType w:val="multilevel"/>
    <w:tmpl w:val="03D4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5324347"/>
    <w:multiLevelType w:val="multilevel"/>
    <w:tmpl w:val="D9FE73E0"/>
    <w:lvl w:ilvl="0">
      <w:start w:val="1"/>
      <w:numFmt w:val="decimal"/>
      <w:pStyle w:val="Heading1"/>
      <w:lvlText w:val="%1."/>
      <w:lvlJc w:val="left"/>
      <w:pPr>
        <w:ind w:left="720" w:hanging="720"/>
      </w:pPr>
      <w:rPr>
        <w:rFonts w:hint="default"/>
      </w:rPr>
    </w:lvl>
    <w:lvl w:ilvl="1">
      <w:start w:val="1"/>
      <w:numFmt w:val="decimal"/>
      <w:pStyle w:val="Heading2"/>
      <w:isLgl/>
      <w:lvlText w:val="%1.%2"/>
      <w:lvlJc w:val="left"/>
      <w:pPr>
        <w:ind w:left="720" w:hanging="720"/>
      </w:pPr>
      <w:rPr>
        <w:rFonts w:asciiTheme="minorHAnsi" w:hAnsiTheme="minorHAnsi"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8" w15:restartNumberingAfterBreak="0">
    <w:nsid w:val="75604166"/>
    <w:multiLevelType w:val="hybridMultilevel"/>
    <w:tmpl w:val="1EEA583E"/>
    <w:lvl w:ilvl="0" w:tplc="D996F5B4">
      <w:start w:val="1"/>
      <w:numFmt w:val="decimal"/>
      <w:pStyle w:val="ListNumber2"/>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5E93516"/>
    <w:multiLevelType w:val="multilevel"/>
    <w:tmpl w:val="BB32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60F6F78"/>
    <w:multiLevelType w:val="hybridMultilevel"/>
    <w:tmpl w:val="B67ADB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1" w15:restartNumberingAfterBreak="0">
    <w:nsid w:val="763A70C8"/>
    <w:multiLevelType w:val="multilevel"/>
    <w:tmpl w:val="0DBAE6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6934776"/>
    <w:multiLevelType w:val="multilevel"/>
    <w:tmpl w:val="5A32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6B849C3"/>
    <w:multiLevelType w:val="multilevel"/>
    <w:tmpl w:val="3E968964"/>
    <w:lvl w:ilvl="0">
      <w:start w:val="1"/>
      <w:numFmt w:val="decimal"/>
      <w:lvlText w:val="%1."/>
      <w:lvlJc w:val="left"/>
      <w:pPr>
        <w:ind w:left="720" w:hanging="720"/>
      </w:pPr>
      <w:rPr>
        <w:rFonts w:hint="default"/>
      </w:rPr>
    </w:lvl>
    <w:lvl w:ilvl="1">
      <w:start w:val="1"/>
      <w:numFmt w:val="decimal"/>
      <w:lvlText w:val="8.%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4" w15:restartNumberingAfterBreak="0">
    <w:nsid w:val="773C7A30"/>
    <w:multiLevelType w:val="hybridMultilevel"/>
    <w:tmpl w:val="933CCD10"/>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78B80527"/>
    <w:multiLevelType w:val="multilevel"/>
    <w:tmpl w:val="9B9AD58A"/>
    <w:styleLink w:val="Styl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8CC79AD"/>
    <w:multiLevelType w:val="hybridMultilevel"/>
    <w:tmpl w:val="759C5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79806A98"/>
    <w:multiLevelType w:val="hybridMultilevel"/>
    <w:tmpl w:val="3D5AF9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8" w15:restartNumberingAfterBreak="0">
    <w:nsid w:val="7A4F6AA5"/>
    <w:multiLevelType w:val="multilevel"/>
    <w:tmpl w:val="71EE203A"/>
    <w:styleLink w:val="Style9"/>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15:restartNumberingAfterBreak="0">
    <w:nsid w:val="7A5C66C7"/>
    <w:multiLevelType w:val="hybridMultilevel"/>
    <w:tmpl w:val="73B2DB1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30" w15:restartNumberingAfterBreak="0">
    <w:nsid w:val="7D697C1D"/>
    <w:multiLevelType w:val="hybridMultilevel"/>
    <w:tmpl w:val="5128C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7D741289"/>
    <w:multiLevelType w:val="hybridMultilevel"/>
    <w:tmpl w:val="88942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7E3C0FD7"/>
    <w:multiLevelType w:val="hybridMultilevel"/>
    <w:tmpl w:val="2BC20608"/>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7F1F20A9"/>
    <w:multiLevelType w:val="multilevel"/>
    <w:tmpl w:val="0C09001D"/>
    <w:styleLink w:val="Style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7F6405E6"/>
    <w:multiLevelType w:val="hybridMultilevel"/>
    <w:tmpl w:val="EE76AC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5" w15:restartNumberingAfterBreak="0">
    <w:nsid w:val="7FFE0385"/>
    <w:multiLevelType w:val="multilevel"/>
    <w:tmpl w:val="79BA4C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6714275">
    <w:abstractNumId w:val="46"/>
  </w:num>
  <w:num w:numId="2" w16cid:durableId="485709621">
    <w:abstractNumId w:val="84"/>
  </w:num>
  <w:num w:numId="3" w16cid:durableId="2046060286">
    <w:abstractNumId w:val="130"/>
  </w:num>
  <w:num w:numId="4" w16cid:durableId="370032514">
    <w:abstractNumId w:val="28"/>
  </w:num>
  <w:num w:numId="5" w16cid:durableId="543561495">
    <w:abstractNumId w:val="117"/>
  </w:num>
  <w:num w:numId="6" w16cid:durableId="1008213339">
    <w:abstractNumId w:val="57"/>
  </w:num>
  <w:num w:numId="7" w16cid:durableId="1558126591">
    <w:abstractNumId w:val="59"/>
  </w:num>
  <w:num w:numId="8" w16cid:durableId="1229346884">
    <w:abstractNumId w:val="25"/>
  </w:num>
  <w:num w:numId="9" w16cid:durableId="1845708796">
    <w:abstractNumId w:val="90"/>
  </w:num>
  <w:num w:numId="10" w16cid:durableId="1025331156">
    <w:abstractNumId w:val="80"/>
  </w:num>
  <w:num w:numId="11" w16cid:durableId="1262835522">
    <w:abstractNumId w:val="50"/>
  </w:num>
  <w:num w:numId="12" w16cid:durableId="324826086">
    <w:abstractNumId w:val="133"/>
  </w:num>
  <w:num w:numId="13" w16cid:durableId="362369715">
    <w:abstractNumId w:val="108"/>
  </w:num>
  <w:num w:numId="14" w16cid:durableId="1188250952">
    <w:abstractNumId w:val="22"/>
  </w:num>
  <w:num w:numId="15" w16cid:durableId="577977628">
    <w:abstractNumId w:val="19"/>
  </w:num>
  <w:num w:numId="16" w16cid:durableId="543367898">
    <w:abstractNumId w:val="99"/>
  </w:num>
  <w:num w:numId="17" w16cid:durableId="703595791">
    <w:abstractNumId w:val="62"/>
  </w:num>
  <w:num w:numId="18" w16cid:durableId="1017462788">
    <w:abstractNumId w:val="13"/>
  </w:num>
  <w:num w:numId="19" w16cid:durableId="627276181">
    <w:abstractNumId w:val="12"/>
  </w:num>
  <w:num w:numId="20" w16cid:durableId="1667896783">
    <w:abstractNumId w:val="97"/>
  </w:num>
  <w:num w:numId="21" w16cid:durableId="1917593448">
    <w:abstractNumId w:val="132"/>
  </w:num>
  <w:num w:numId="22" w16cid:durableId="978650554">
    <w:abstractNumId w:val="110"/>
  </w:num>
  <w:num w:numId="23" w16cid:durableId="659043338">
    <w:abstractNumId w:val="36"/>
  </w:num>
  <w:num w:numId="24" w16cid:durableId="1811557006">
    <w:abstractNumId w:val="75"/>
  </w:num>
  <w:num w:numId="25" w16cid:durableId="1384669646">
    <w:abstractNumId w:val="98"/>
  </w:num>
  <w:num w:numId="26" w16cid:durableId="194080834">
    <w:abstractNumId w:val="102"/>
  </w:num>
  <w:num w:numId="27" w16cid:durableId="787897642">
    <w:abstractNumId w:val="95"/>
  </w:num>
  <w:num w:numId="28" w16cid:durableId="1889107610">
    <w:abstractNumId w:val="30"/>
  </w:num>
  <w:num w:numId="29" w16cid:durableId="1626539983">
    <w:abstractNumId w:val="77"/>
  </w:num>
  <w:num w:numId="30" w16cid:durableId="1102457038">
    <w:abstractNumId w:val="58"/>
  </w:num>
  <w:num w:numId="31" w16cid:durableId="1522937054">
    <w:abstractNumId w:val="111"/>
  </w:num>
  <w:num w:numId="32" w16cid:durableId="220411272">
    <w:abstractNumId w:val="87"/>
  </w:num>
  <w:num w:numId="33" w16cid:durableId="2067415399">
    <w:abstractNumId w:val="71"/>
  </w:num>
  <w:num w:numId="34" w16cid:durableId="36392897">
    <w:abstractNumId w:val="109"/>
  </w:num>
  <w:num w:numId="35" w16cid:durableId="34745647">
    <w:abstractNumId w:val="52"/>
  </w:num>
  <w:num w:numId="36" w16cid:durableId="550192702">
    <w:abstractNumId w:val="112"/>
  </w:num>
  <w:num w:numId="37" w16cid:durableId="1955860618">
    <w:abstractNumId w:val="37"/>
  </w:num>
  <w:num w:numId="38" w16cid:durableId="1856071942">
    <w:abstractNumId w:val="91"/>
  </w:num>
  <w:num w:numId="39" w16cid:durableId="1363940665">
    <w:abstractNumId w:val="114"/>
  </w:num>
  <w:num w:numId="40" w16cid:durableId="1779131438">
    <w:abstractNumId w:val="124"/>
  </w:num>
  <w:num w:numId="41" w16cid:durableId="1341587781">
    <w:abstractNumId w:val="100"/>
  </w:num>
  <w:num w:numId="42" w16cid:durableId="802969140">
    <w:abstractNumId w:val="35"/>
  </w:num>
  <w:num w:numId="43" w16cid:durableId="848525736">
    <w:abstractNumId w:val="53"/>
  </w:num>
  <w:num w:numId="44" w16cid:durableId="1238518042">
    <w:abstractNumId w:val="44"/>
  </w:num>
  <w:num w:numId="45" w16cid:durableId="1128669134">
    <w:abstractNumId w:val="48"/>
  </w:num>
  <w:num w:numId="46" w16cid:durableId="457722318">
    <w:abstractNumId w:val="73"/>
  </w:num>
  <w:num w:numId="47" w16cid:durableId="1333336609">
    <w:abstractNumId w:val="135"/>
  </w:num>
  <w:num w:numId="48" w16cid:durableId="1313024439">
    <w:abstractNumId w:val="41"/>
  </w:num>
  <w:num w:numId="49" w16cid:durableId="1546142137">
    <w:abstractNumId w:val="119"/>
  </w:num>
  <w:num w:numId="50" w16cid:durableId="1294217232">
    <w:abstractNumId w:val="61"/>
  </w:num>
  <w:num w:numId="51" w16cid:durableId="109980286">
    <w:abstractNumId w:val="83"/>
  </w:num>
  <w:num w:numId="52" w16cid:durableId="532883273">
    <w:abstractNumId w:val="92"/>
  </w:num>
  <w:num w:numId="53" w16cid:durableId="297152294">
    <w:abstractNumId w:val="14"/>
  </w:num>
  <w:num w:numId="54" w16cid:durableId="72553027">
    <w:abstractNumId w:val="65"/>
  </w:num>
  <w:num w:numId="55" w16cid:durableId="1373848977">
    <w:abstractNumId w:val="45"/>
  </w:num>
  <w:num w:numId="56" w16cid:durableId="294876335">
    <w:abstractNumId w:val="68"/>
  </w:num>
  <w:num w:numId="57" w16cid:durableId="552158924">
    <w:abstractNumId w:val="72"/>
  </w:num>
  <w:num w:numId="58" w16cid:durableId="301470784">
    <w:abstractNumId w:val="34"/>
  </w:num>
  <w:num w:numId="59" w16cid:durableId="14232004">
    <w:abstractNumId w:val="33"/>
  </w:num>
  <w:num w:numId="60" w16cid:durableId="1938714248">
    <w:abstractNumId w:val="74"/>
  </w:num>
  <w:num w:numId="61" w16cid:durableId="1905138078">
    <w:abstractNumId w:val="16"/>
  </w:num>
  <w:num w:numId="62" w16cid:durableId="1150632688">
    <w:abstractNumId w:val="125"/>
  </w:num>
  <w:num w:numId="63" w16cid:durableId="89087289">
    <w:abstractNumId w:val="122"/>
  </w:num>
  <w:num w:numId="64" w16cid:durableId="1712076352">
    <w:abstractNumId w:val="86"/>
  </w:num>
  <w:num w:numId="65" w16cid:durableId="757604937">
    <w:abstractNumId w:val="118"/>
  </w:num>
  <w:num w:numId="66" w16cid:durableId="849413175">
    <w:abstractNumId w:val="104"/>
  </w:num>
  <w:num w:numId="67" w16cid:durableId="560099729">
    <w:abstractNumId w:val="26"/>
  </w:num>
  <w:num w:numId="68" w16cid:durableId="36206190">
    <w:abstractNumId w:val="60"/>
  </w:num>
  <w:num w:numId="69" w16cid:durableId="1861699336">
    <w:abstractNumId w:val="78"/>
  </w:num>
  <w:num w:numId="70" w16cid:durableId="28845624">
    <w:abstractNumId w:val="123"/>
  </w:num>
  <w:num w:numId="71" w16cid:durableId="407777114">
    <w:abstractNumId w:val="21"/>
  </w:num>
  <w:num w:numId="72" w16cid:durableId="795224178">
    <w:abstractNumId w:val="113"/>
  </w:num>
  <w:num w:numId="73" w16cid:durableId="1553926274">
    <w:abstractNumId w:val="42"/>
  </w:num>
  <w:num w:numId="74" w16cid:durableId="959844618">
    <w:abstractNumId w:val="88"/>
  </w:num>
  <w:num w:numId="75" w16cid:durableId="2090879863">
    <w:abstractNumId w:val="103"/>
  </w:num>
  <w:num w:numId="76" w16cid:durableId="1065295399">
    <w:abstractNumId w:val="121"/>
  </w:num>
  <w:num w:numId="77" w16cid:durableId="2126384753">
    <w:abstractNumId w:val="63"/>
  </w:num>
  <w:num w:numId="78" w16cid:durableId="444427645">
    <w:abstractNumId w:val="67"/>
  </w:num>
  <w:num w:numId="79" w16cid:durableId="1930655035">
    <w:abstractNumId w:val="15"/>
  </w:num>
  <w:num w:numId="80" w16cid:durableId="1081099858">
    <w:abstractNumId w:val="93"/>
  </w:num>
  <w:num w:numId="81" w16cid:durableId="1631790235">
    <w:abstractNumId w:val="89"/>
  </w:num>
  <w:num w:numId="82" w16cid:durableId="88356179">
    <w:abstractNumId w:val="107"/>
  </w:num>
  <w:num w:numId="83" w16cid:durableId="1532571370">
    <w:abstractNumId w:val="29"/>
  </w:num>
  <w:num w:numId="84" w16cid:durableId="852113408">
    <w:abstractNumId w:val="18"/>
  </w:num>
  <w:num w:numId="85" w16cid:durableId="630211273">
    <w:abstractNumId w:val="81"/>
  </w:num>
  <w:num w:numId="86" w16cid:durableId="1991710083">
    <w:abstractNumId w:val="131"/>
  </w:num>
  <w:num w:numId="87" w16cid:durableId="1486773559">
    <w:abstractNumId w:val="85"/>
  </w:num>
  <w:num w:numId="88" w16cid:durableId="508180035">
    <w:abstractNumId w:val="11"/>
  </w:num>
  <w:num w:numId="89" w16cid:durableId="395013331">
    <w:abstractNumId w:val="54"/>
  </w:num>
  <w:num w:numId="90" w16cid:durableId="1774399792">
    <w:abstractNumId w:val="7"/>
  </w:num>
  <w:num w:numId="91" w16cid:durableId="566263032">
    <w:abstractNumId w:val="23"/>
  </w:num>
  <w:num w:numId="92" w16cid:durableId="2115854973">
    <w:abstractNumId w:val="32"/>
  </w:num>
  <w:num w:numId="93" w16cid:durableId="451947495">
    <w:abstractNumId w:val="8"/>
  </w:num>
  <w:num w:numId="94" w16cid:durableId="794056848">
    <w:abstractNumId w:val="105"/>
  </w:num>
  <w:num w:numId="95" w16cid:durableId="1802578632">
    <w:abstractNumId w:val="51"/>
  </w:num>
  <w:num w:numId="96" w16cid:durableId="829321980">
    <w:abstractNumId w:val="10"/>
  </w:num>
  <w:num w:numId="97" w16cid:durableId="1495297260">
    <w:abstractNumId w:val="127"/>
  </w:num>
  <w:num w:numId="98" w16cid:durableId="141587259">
    <w:abstractNumId w:val="3"/>
  </w:num>
  <w:num w:numId="99" w16cid:durableId="1198158618">
    <w:abstractNumId w:val="129"/>
  </w:num>
  <w:num w:numId="100" w16cid:durableId="1162892976">
    <w:abstractNumId w:val="101"/>
  </w:num>
  <w:num w:numId="101" w16cid:durableId="285551551">
    <w:abstractNumId w:val="120"/>
  </w:num>
  <w:num w:numId="102" w16cid:durableId="342973467">
    <w:abstractNumId w:val="76"/>
  </w:num>
  <w:num w:numId="103" w16cid:durableId="1015037569">
    <w:abstractNumId w:val="43"/>
  </w:num>
  <w:num w:numId="104" w16cid:durableId="901452967">
    <w:abstractNumId w:val="126"/>
  </w:num>
  <w:num w:numId="105" w16cid:durableId="1765687740">
    <w:abstractNumId w:val="17"/>
  </w:num>
  <w:num w:numId="106" w16cid:durableId="395012026">
    <w:abstractNumId w:val="40"/>
  </w:num>
  <w:num w:numId="107" w16cid:durableId="456414982">
    <w:abstractNumId w:val="24"/>
  </w:num>
  <w:num w:numId="108" w16cid:durableId="901646351">
    <w:abstractNumId w:val="82"/>
  </w:num>
  <w:num w:numId="109" w16cid:durableId="22482303">
    <w:abstractNumId w:val="70"/>
  </w:num>
  <w:num w:numId="110" w16cid:durableId="1019892715">
    <w:abstractNumId w:val="27"/>
  </w:num>
  <w:num w:numId="111" w16cid:durableId="639502924">
    <w:abstractNumId w:val="9"/>
  </w:num>
  <w:num w:numId="112" w16cid:durableId="1961063097">
    <w:abstractNumId w:val="38"/>
  </w:num>
  <w:num w:numId="113" w16cid:durableId="2097434891">
    <w:abstractNumId w:val="79"/>
  </w:num>
  <w:num w:numId="114" w16cid:durableId="745035418">
    <w:abstractNumId w:val="49"/>
  </w:num>
  <w:num w:numId="115" w16cid:durableId="1934316984">
    <w:abstractNumId w:val="5"/>
  </w:num>
  <w:num w:numId="116" w16cid:durableId="424375747">
    <w:abstractNumId w:val="134"/>
  </w:num>
  <w:num w:numId="117" w16cid:durableId="1584801373">
    <w:abstractNumId w:val="4"/>
  </w:num>
  <w:num w:numId="118" w16cid:durableId="2095009138">
    <w:abstractNumId w:val="128"/>
  </w:num>
  <w:num w:numId="119" w16cid:durableId="1142426967">
    <w:abstractNumId w:val="2"/>
  </w:num>
  <w:num w:numId="120" w16cid:durableId="1361316802">
    <w:abstractNumId w:val="94"/>
  </w:num>
  <w:num w:numId="121" w16cid:durableId="1067607773">
    <w:abstractNumId w:val="6"/>
  </w:num>
  <w:num w:numId="122" w16cid:durableId="1554654665">
    <w:abstractNumId w:val="96"/>
  </w:num>
  <w:num w:numId="123" w16cid:durableId="500775356">
    <w:abstractNumId w:val="56"/>
  </w:num>
  <w:num w:numId="124" w16cid:durableId="460541721">
    <w:abstractNumId w:val="64"/>
  </w:num>
  <w:num w:numId="125" w16cid:durableId="618100287">
    <w:abstractNumId w:val="39"/>
  </w:num>
  <w:num w:numId="126" w16cid:durableId="1221089545">
    <w:abstractNumId w:val="115"/>
  </w:num>
  <w:num w:numId="127" w16cid:durableId="1428119625">
    <w:abstractNumId w:val="20"/>
  </w:num>
  <w:num w:numId="128" w16cid:durableId="1224023369">
    <w:abstractNumId w:val="55"/>
  </w:num>
  <w:num w:numId="129" w16cid:durableId="2056153430">
    <w:abstractNumId w:val="31"/>
  </w:num>
  <w:num w:numId="130" w16cid:durableId="1975715170">
    <w:abstractNumId w:val="66"/>
  </w:num>
  <w:num w:numId="131" w16cid:durableId="1223566463">
    <w:abstractNumId w:val="69"/>
  </w:num>
  <w:num w:numId="132" w16cid:durableId="1007252811">
    <w:abstractNumId w:val="106"/>
  </w:num>
  <w:num w:numId="133" w16cid:durableId="1585529748">
    <w:abstractNumId w:val="47"/>
  </w:num>
  <w:num w:numId="134" w16cid:durableId="1044208482">
    <w:abstractNumId w:val="116"/>
  </w:num>
  <w:num w:numId="135" w16cid:durableId="1856993193">
    <w:abstractNumId w:val="1"/>
  </w:num>
  <w:num w:numId="136" w16cid:durableId="317999457">
    <w:abstractNumId w:val="0"/>
  </w:num>
  <w:num w:numId="137" w16cid:durableId="409080201">
    <w:abstractNumId w:val="78"/>
    <w:lvlOverride w:ilvl="0">
      <w:startOverride w:val="1"/>
    </w:lvlOverride>
  </w:num>
  <w:num w:numId="138" w16cid:durableId="1378237214">
    <w:abstractNumId w:val="118"/>
    <w:lvlOverride w:ilvl="0">
      <w:startOverride w:val="1"/>
    </w:lvlOverride>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517286E"/>
    <w:rsid w:val="00000009"/>
    <w:rsid w:val="0000022A"/>
    <w:rsid w:val="000002F5"/>
    <w:rsid w:val="000003B0"/>
    <w:rsid w:val="00000415"/>
    <w:rsid w:val="00000454"/>
    <w:rsid w:val="00000504"/>
    <w:rsid w:val="00000543"/>
    <w:rsid w:val="00000561"/>
    <w:rsid w:val="0000064E"/>
    <w:rsid w:val="000006C4"/>
    <w:rsid w:val="000006E0"/>
    <w:rsid w:val="000008D5"/>
    <w:rsid w:val="000009FC"/>
    <w:rsid w:val="00000AC7"/>
    <w:rsid w:val="00000BFB"/>
    <w:rsid w:val="00000D02"/>
    <w:rsid w:val="00000D08"/>
    <w:rsid w:val="00000DB0"/>
    <w:rsid w:val="00000DF6"/>
    <w:rsid w:val="00000F1B"/>
    <w:rsid w:val="00000F32"/>
    <w:rsid w:val="0000104B"/>
    <w:rsid w:val="000010B5"/>
    <w:rsid w:val="0000112A"/>
    <w:rsid w:val="00001160"/>
    <w:rsid w:val="0000126E"/>
    <w:rsid w:val="00001475"/>
    <w:rsid w:val="000014D3"/>
    <w:rsid w:val="00001554"/>
    <w:rsid w:val="00001586"/>
    <w:rsid w:val="000015A7"/>
    <w:rsid w:val="00001636"/>
    <w:rsid w:val="00001703"/>
    <w:rsid w:val="0000179C"/>
    <w:rsid w:val="000017C2"/>
    <w:rsid w:val="000018E8"/>
    <w:rsid w:val="0000198B"/>
    <w:rsid w:val="00001B4D"/>
    <w:rsid w:val="00001F1C"/>
    <w:rsid w:val="0000202F"/>
    <w:rsid w:val="000020EA"/>
    <w:rsid w:val="00002260"/>
    <w:rsid w:val="000022D9"/>
    <w:rsid w:val="000024BC"/>
    <w:rsid w:val="000024BF"/>
    <w:rsid w:val="0000254E"/>
    <w:rsid w:val="00002669"/>
    <w:rsid w:val="000027BB"/>
    <w:rsid w:val="00002A2D"/>
    <w:rsid w:val="00002A3C"/>
    <w:rsid w:val="00002A78"/>
    <w:rsid w:val="00002B6E"/>
    <w:rsid w:val="00002C5D"/>
    <w:rsid w:val="00002E94"/>
    <w:rsid w:val="00002F06"/>
    <w:rsid w:val="0000308E"/>
    <w:rsid w:val="00003175"/>
    <w:rsid w:val="00003182"/>
    <w:rsid w:val="000031A7"/>
    <w:rsid w:val="0000330C"/>
    <w:rsid w:val="00003327"/>
    <w:rsid w:val="000033AD"/>
    <w:rsid w:val="000034F1"/>
    <w:rsid w:val="000035B6"/>
    <w:rsid w:val="000036D5"/>
    <w:rsid w:val="0000370A"/>
    <w:rsid w:val="00003717"/>
    <w:rsid w:val="000037A3"/>
    <w:rsid w:val="000037B7"/>
    <w:rsid w:val="00003892"/>
    <w:rsid w:val="000039BF"/>
    <w:rsid w:val="00003A32"/>
    <w:rsid w:val="00003C23"/>
    <w:rsid w:val="00003C3D"/>
    <w:rsid w:val="00003CB9"/>
    <w:rsid w:val="00003DFB"/>
    <w:rsid w:val="00003E04"/>
    <w:rsid w:val="00003E60"/>
    <w:rsid w:val="00004069"/>
    <w:rsid w:val="000040E5"/>
    <w:rsid w:val="000041D6"/>
    <w:rsid w:val="000041D8"/>
    <w:rsid w:val="00004253"/>
    <w:rsid w:val="000042D2"/>
    <w:rsid w:val="0000441B"/>
    <w:rsid w:val="00004437"/>
    <w:rsid w:val="00004440"/>
    <w:rsid w:val="00004662"/>
    <w:rsid w:val="000046BF"/>
    <w:rsid w:val="00004805"/>
    <w:rsid w:val="0000481B"/>
    <w:rsid w:val="00004EA0"/>
    <w:rsid w:val="00004F79"/>
    <w:rsid w:val="00004FD5"/>
    <w:rsid w:val="00005025"/>
    <w:rsid w:val="00005036"/>
    <w:rsid w:val="00005041"/>
    <w:rsid w:val="00005104"/>
    <w:rsid w:val="000051DC"/>
    <w:rsid w:val="00005225"/>
    <w:rsid w:val="0000526D"/>
    <w:rsid w:val="0000529F"/>
    <w:rsid w:val="000052DE"/>
    <w:rsid w:val="00005334"/>
    <w:rsid w:val="000053D6"/>
    <w:rsid w:val="00005432"/>
    <w:rsid w:val="000054C8"/>
    <w:rsid w:val="000054C9"/>
    <w:rsid w:val="00005615"/>
    <w:rsid w:val="0000567B"/>
    <w:rsid w:val="000056DB"/>
    <w:rsid w:val="00005701"/>
    <w:rsid w:val="00005751"/>
    <w:rsid w:val="00005794"/>
    <w:rsid w:val="000057B4"/>
    <w:rsid w:val="00005834"/>
    <w:rsid w:val="00005906"/>
    <w:rsid w:val="00005C69"/>
    <w:rsid w:val="00005F30"/>
    <w:rsid w:val="00005F58"/>
    <w:rsid w:val="00005F5B"/>
    <w:rsid w:val="00005F8D"/>
    <w:rsid w:val="00005FE5"/>
    <w:rsid w:val="000060CD"/>
    <w:rsid w:val="000060F5"/>
    <w:rsid w:val="00006189"/>
    <w:rsid w:val="000061BA"/>
    <w:rsid w:val="00006294"/>
    <w:rsid w:val="0000653F"/>
    <w:rsid w:val="00006590"/>
    <w:rsid w:val="00006680"/>
    <w:rsid w:val="0000668D"/>
    <w:rsid w:val="00006696"/>
    <w:rsid w:val="000066D7"/>
    <w:rsid w:val="0000670B"/>
    <w:rsid w:val="00006940"/>
    <w:rsid w:val="000069D6"/>
    <w:rsid w:val="00006A00"/>
    <w:rsid w:val="00006A9A"/>
    <w:rsid w:val="00006B22"/>
    <w:rsid w:val="00006BD2"/>
    <w:rsid w:val="00006CE8"/>
    <w:rsid w:val="00006CF6"/>
    <w:rsid w:val="00006D62"/>
    <w:rsid w:val="00006E75"/>
    <w:rsid w:val="00006EC2"/>
    <w:rsid w:val="00007016"/>
    <w:rsid w:val="0000762F"/>
    <w:rsid w:val="000076A6"/>
    <w:rsid w:val="000076C2"/>
    <w:rsid w:val="00007743"/>
    <w:rsid w:val="0000787C"/>
    <w:rsid w:val="00007900"/>
    <w:rsid w:val="00007A43"/>
    <w:rsid w:val="00007AD8"/>
    <w:rsid w:val="00007BAD"/>
    <w:rsid w:val="00007BB6"/>
    <w:rsid w:val="00007BD2"/>
    <w:rsid w:val="00007CC7"/>
    <w:rsid w:val="00007FAA"/>
    <w:rsid w:val="00010097"/>
    <w:rsid w:val="00010102"/>
    <w:rsid w:val="0001011E"/>
    <w:rsid w:val="00010180"/>
    <w:rsid w:val="000101B0"/>
    <w:rsid w:val="000103BA"/>
    <w:rsid w:val="000103C3"/>
    <w:rsid w:val="000103FD"/>
    <w:rsid w:val="00010438"/>
    <w:rsid w:val="000105F5"/>
    <w:rsid w:val="0001071F"/>
    <w:rsid w:val="00010734"/>
    <w:rsid w:val="0001096C"/>
    <w:rsid w:val="000109EB"/>
    <w:rsid w:val="00010A41"/>
    <w:rsid w:val="00010B87"/>
    <w:rsid w:val="00010BB0"/>
    <w:rsid w:val="00010C28"/>
    <w:rsid w:val="00010C3C"/>
    <w:rsid w:val="00010DB9"/>
    <w:rsid w:val="00010F34"/>
    <w:rsid w:val="00010F8C"/>
    <w:rsid w:val="00011000"/>
    <w:rsid w:val="000111C3"/>
    <w:rsid w:val="0001121B"/>
    <w:rsid w:val="000113D6"/>
    <w:rsid w:val="000113F4"/>
    <w:rsid w:val="000114D3"/>
    <w:rsid w:val="00011582"/>
    <w:rsid w:val="00011684"/>
    <w:rsid w:val="0001177B"/>
    <w:rsid w:val="0001187B"/>
    <w:rsid w:val="00011A69"/>
    <w:rsid w:val="00011A79"/>
    <w:rsid w:val="00011C01"/>
    <w:rsid w:val="00011C6C"/>
    <w:rsid w:val="00011CF0"/>
    <w:rsid w:val="00011D89"/>
    <w:rsid w:val="00011DAC"/>
    <w:rsid w:val="00011E64"/>
    <w:rsid w:val="0001200A"/>
    <w:rsid w:val="00012075"/>
    <w:rsid w:val="00012153"/>
    <w:rsid w:val="0001223E"/>
    <w:rsid w:val="0001233C"/>
    <w:rsid w:val="00012605"/>
    <w:rsid w:val="000126BD"/>
    <w:rsid w:val="0001286F"/>
    <w:rsid w:val="00012979"/>
    <w:rsid w:val="00012A19"/>
    <w:rsid w:val="00012B02"/>
    <w:rsid w:val="00012C20"/>
    <w:rsid w:val="00012C42"/>
    <w:rsid w:val="00012CC2"/>
    <w:rsid w:val="00012D16"/>
    <w:rsid w:val="00012D7E"/>
    <w:rsid w:val="00012E36"/>
    <w:rsid w:val="00012FA2"/>
    <w:rsid w:val="00013218"/>
    <w:rsid w:val="00013224"/>
    <w:rsid w:val="000132E8"/>
    <w:rsid w:val="000133E0"/>
    <w:rsid w:val="00013510"/>
    <w:rsid w:val="0001380C"/>
    <w:rsid w:val="00013948"/>
    <w:rsid w:val="0001397C"/>
    <w:rsid w:val="00013A18"/>
    <w:rsid w:val="00013ADC"/>
    <w:rsid w:val="00013AFC"/>
    <w:rsid w:val="00013EEB"/>
    <w:rsid w:val="00013FCE"/>
    <w:rsid w:val="00014062"/>
    <w:rsid w:val="0001420A"/>
    <w:rsid w:val="000144E4"/>
    <w:rsid w:val="000144F7"/>
    <w:rsid w:val="00014593"/>
    <w:rsid w:val="000145CC"/>
    <w:rsid w:val="00014630"/>
    <w:rsid w:val="000146C5"/>
    <w:rsid w:val="000146EC"/>
    <w:rsid w:val="00014787"/>
    <w:rsid w:val="000147DF"/>
    <w:rsid w:val="0001481C"/>
    <w:rsid w:val="00014AF0"/>
    <w:rsid w:val="00014D49"/>
    <w:rsid w:val="00014DB6"/>
    <w:rsid w:val="00014F5D"/>
    <w:rsid w:val="0001506F"/>
    <w:rsid w:val="000151F1"/>
    <w:rsid w:val="0001523A"/>
    <w:rsid w:val="00015612"/>
    <w:rsid w:val="00015710"/>
    <w:rsid w:val="000157F8"/>
    <w:rsid w:val="00015912"/>
    <w:rsid w:val="00015A54"/>
    <w:rsid w:val="00015BFC"/>
    <w:rsid w:val="00015C88"/>
    <w:rsid w:val="00015D19"/>
    <w:rsid w:val="00015D8A"/>
    <w:rsid w:val="00015F91"/>
    <w:rsid w:val="00016011"/>
    <w:rsid w:val="00016061"/>
    <w:rsid w:val="000160F3"/>
    <w:rsid w:val="000163BE"/>
    <w:rsid w:val="000163E8"/>
    <w:rsid w:val="0001647F"/>
    <w:rsid w:val="000165BA"/>
    <w:rsid w:val="00016615"/>
    <w:rsid w:val="00016998"/>
    <w:rsid w:val="00016BC8"/>
    <w:rsid w:val="00016C57"/>
    <w:rsid w:val="00016C7D"/>
    <w:rsid w:val="00016E56"/>
    <w:rsid w:val="00017050"/>
    <w:rsid w:val="0001705C"/>
    <w:rsid w:val="000171C1"/>
    <w:rsid w:val="0001729F"/>
    <w:rsid w:val="000172CC"/>
    <w:rsid w:val="000172D7"/>
    <w:rsid w:val="00017374"/>
    <w:rsid w:val="0001782C"/>
    <w:rsid w:val="0001787C"/>
    <w:rsid w:val="000179A9"/>
    <w:rsid w:val="00017BDA"/>
    <w:rsid w:val="00017C2E"/>
    <w:rsid w:val="00017C95"/>
    <w:rsid w:val="00017CA2"/>
    <w:rsid w:val="00017D5A"/>
    <w:rsid w:val="00017E75"/>
    <w:rsid w:val="00017EEA"/>
    <w:rsid w:val="00017FE6"/>
    <w:rsid w:val="000200D1"/>
    <w:rsid w:val="000200D5"/>
    <w:rsid w:val="00020106"/>
    <w:rsid w:val="00020142"/>
    <w:rsid w:val="0002016B"/>
    <w:rsid w:val="00020176"/>
    <w:rsid w:val="000201F3"/>
    <w:rsid w:val="0002021E"/>
    <w:rsid w:val="00020344"/>
    <w:rsid w:val="000203A1"/>
    <w:rsid w:val="00020424"/>
    <w:rsid w:val="000204A5"/>
    <w:rsid w:val="000205B5"/>
    <w:rsid w:val="000205C9"/>
    <w:rsid w:val="00020955"/>
    <w:rsid w:val="00020A59"/>
    <w:rsid w:val="00020AD6"/>
    <w:rsid w:val="00020AF3"/>
    <w:rsid w:val="00020C0D"/>
    <w:rsid w:val="00020E15"/>
    <w:rsid w:val="00020FEC"/>
    <w:rsid w:val="0002107D"/>
    <w:rsid w:val="000212A0"/>
    <w:rsid w:val="000212AE"/>
    <w:rsid w:val="0002157A"/>
    <w:rsid w:val="000215A9"/>
    <w:rsid w:val="000216CF"/>
    <w:rsid w:val="000218E7"/>
    <w:rsid w:val="0002194C"/>
    <w:rsid w:val="0002196B"/>
    <w:rsid w:val="00021AF9"/>
    <w:rsid w:val="00021BE9"/>
    <w:rsid w:val="00021CB6"/>
    <w:rsid w:val="00021E3A"/>
    <w:rsid w:val="00021F4D"/>
    <w:rsid w:val="00021FF1"/>
    <w:rsid w:val="000220D9"/>
    <w:rsid w:val="0002228F"/>
    <w:rsid w:val="00022294"/>
    <w:rsid w:val="000224CF"/>
    <w:rsid w:val="00022553"/>
    <w:rsid w:val="00022579"/>
    <w:rsid w:val="0002266D"/>
    <w:rsid w:val="00022682"/>
    <w:rsid w:val="0002281B"/>
    <w:rsid w:val="00022884"/>
    <w:rsid w:val="0002295D"/>
    <w:rsid w:val="000229E3"/>
    <w:rsid w:val="00022A04"/>
    <w:rsid w:val="00022B8E"/>
    <w:rsid w:val="00022F75"/>
    <w:rsid w:val="00023006"/>
    <w:rsid w:val="00023185"/>
    <w:rsid w:val="000233A8"/>
    <w:rsid w:val="00023679"/>
    <w:rsid w:val="0002369A"/>
    <w:rsid w:val="000236B6"/>
    <w:rsid w:val="0002376B"/>
    <w:rsid w:val="00023781"/>
    <w:rsid w:val="000237CB"/>
    <w:rsid w:val="0002390E"/>
    <w:rsid w:val="000239FC"/>
    <w:rsid w:val="00023AAD"/>
    <w:rsid w:val="00023AF8"/>
    <w:rsid w:val="00023B9C"/>
    <w:rsid w:val="00023C7B"/>
    <w:rsid w:val="00023CAC"/>
    <w:rsid w:val="00023E5C"/>
    <w:rsid w:val="000240B7"/>
    <w:rsid w:val="00024105"/>
    <w:rsid w:val="0002427D"/>
    <w:rsid w:val="000242D6"/>
    <w:rsid w:val="0002431B"/>
    <w:rsid w:val="00024367"/>
    <w:rsid w:val="00024465"/>
    <w:rsid w:val="0002473D"/>
    <w:rsid w:val="000247CB"/>
    <w:rsid w:val="000247E1"/>
    <w:rsid w:val="0002482E"/>
    <w:rsid w:val="00024892"/>
    <w:rsid w:val="0002489D"/>
    <w:rsid w:val="000248FF"/>
    <w:rsid w:val="000249A7"/>
    <w:rsid w:val="000249BC"/>
    <w:rsid w:val="000249EC"/>
    <w:rsid w:val="00024A37"/>
    <w:rsid w:val="00024A39"/>
    <w:rsid w:val="00024AB4"/>
    <w:rsid w:val="00024B49"/>
    <w:rsid w:val="00024CD3"/>
    <w:rsid w:val="00024D85"/>
    <w:rsid w:val="00024DB8"/>
    <w:rsid w:val="0002501C"/>
    <w:rsid w:val="00025087"/>
    <w:rsid w:val="0002508E"/>
    <w:rsid w:val="00025200"/>
    <w:rsid w:val="00025215"/>
    <w:rsid w:val="0002526D"/>
    <w:rsid w:val="00025279"/>
    <w:rsid w:val="00025291"/>
    <w:rsid w:val="000253F6"/>
    <w:rsid w:val="0002541C"/>
    <w:rsid w:val="00025477"/>
    <w:rsid w:val="000255E6"/>
    <w:rsid w:val="000257C2"/>
    <w:rsid w:val="0002584C"/>
    <w:rsid w:val="000259F2"/>
    <w:rsid w:val="00025A12"/>
    <w:rsid w:val="00025A47"/>
    <w:rsid w:val="00025A58"/>
    <w:rsid w:val="00025B3E"/>
    <w:rsid w:val="00025BF1"/>
    <w:rsid w:val="00025D1A"/>
    <w:rsid w:val="00025E9E"/>
    <w:rsid w:val="00026026"/>
    <w:rsid w:val="000260F7"/>
    <w:rsid w:val="000261B6"/>
    <w:rsid w:val="00026239"/>
    <w:rsid w:val="00026277"/>
    <w:rsid w:val="00026428"/>
    <w:rsid w:val="000264B2"/>
    <w:rsid w:val="00026593"/>
    <w:rsid w:val="0002678B"/>
    <w:rsid w:val="000268CB"/>
    <w:rsid w:val="00026A81"/>
    <w:rsid w:val="00026A9B"/>
    <w:rsid w:val="00026B9C"/>
    <w:rsid w:val="00026E09"/>
    <w:rsid w:val="0002717F"/>
    <w:rsid w:val="000271F9"/>
    <w:rsid w:val="00027211"/>
    <w:rsid w:val="00027223"/>
    <w:rsid w:val="00027296"/>
    <w:rsid w:val="0002744F"/>
    <w:rsid w:val="000275B6"/>
    <w:rsid w:val="000277E2"/>
    <w:rsid w:val="000277E7"/>
    <w:rsid w:val="00027858"/>
    <w:rsid w:val="0002791A"/>
    <w:rsid w:val="00027A42"/>
    <w:rsid w:val="00027A7F"/>
    <w:rsid w:val="00027C34"/>
    <w:rsid w:val="00027DAD"/>
    <w:rsid w:val="00027DD1"/>
    <w:rsid w:val="00027E91"/>
    <w:rsid w:val="000303B8"/>
    <w:rsid w:val="00030462"/>
    <w:rsid w:val="0003052F"/>
    <w:rsid w:val="000306A3"/>
    <w:rsid w:val="00030798"/>
    <w:rsid w:val="00030AD2"/>
    <w:rsid w:val="00030AEB"/>
    <w:rsid w:val="00030B11"/>
    <w:rsid w:val="00030D2B"/>
    <w:rsid w:val="00030F1F"/>
    <w:rsid w:val="000310B0"/>
    <w:rsid w:val="000310D7"/>
    <w:rsid w:val="00031163"/>
    <w:rsid w:val="00031225"/>
    <w:rsid w:val="0003127B"/>
    <w:rsid w:val="000312F5"/>
    <w:rsid w:val="0003150C"/>
    <w:rsid w:val="00031683"/>
    <w:rsid w:val="00031716"/>
    <w:rsid w:val="00031865"/>
    <w:rsid w:val="00031A66"/>
    <w:rsid w:val="00031B86"/>
    <w:rsid w:val="00031B9D"/>
    <w:rsid w:val="00031BAE"/>
    <w:rsid w:val="00031C19"/>
    <w:rsid w:val="00031DC5"/>
    <w:rsid w:val="00031EE7"/>
    <w:rsid w:val="00031F2D"/>
    <w:rsid w:val="00031F8E"/>
    <w:rsid w:val="000320DE"/>
    <w:rsid w:val="0003216E"/>
    <w:rsid w:val="000323AE"/>
    <w:rsid w:val="0003246B"/>
    <w:rsid w:val="0003259E"/>
    <w:rsid w:val="000325F0"/>
    <w:rsid w:val="000326E7"/>
    <w:rsid w:val="0003286A"/>
    <w:rsid w:val="00032917"/>
    <w:rsid w:val="000329F5"/>
    <w:rsid w:val="00032A8C"/>
    <w:rsid w:val="00032B4A"/>
    <w:rsid w:val="00032C95"/>
    <w:rsid w:val="00032CE9"/>
    <w:rsid w:val="00032E7D"/>
    <w:rsid w:val="00032F58"/>
    <w:rsid w:val="00033136"/>
    <w:rsid w:val="00033169"/>
    <w:rsid w:val="000331D2"/>
    <w:rsid w:val="000331DF"/>
    <w:rsid w:val="0003322F"/>
    <w:rsid w:val="0003330B"/>
    <w:rsid w:val="0003333B"/>
    <w:rsid w:val="000333CC"/>
    <w:rsid w:val="00033820"/>
    <w:rsid w:val="000338DC"/>
    <w:rsid w:val="00033ACC"/>
    <w:rsid w:val="00033AD8"/>
    <w:rsid w:val="00033B22"/>
    <w:rsid w:val="00033D4C"/>
    <w:rsid w:val="00033D51"/>
    <w:rsid w:val="00033FB2"/>
    <w:rsid w:val="00034050"/>
    <w:rsid w:val="0003406C"/>
    <w:rsid w:val="000340C5"/>
    <w:rsid w:val="0003410F"/>
    <w:rsid w:val="00034231"/>
    <w:rsid w:val="000342A7"/>
    <w:rsid w:val="0003431F"/>
    <w:rsid w:val="000343EE"/>
    <w:rsid w:val="00034697"/>
    <w:rsid w:val="0003479C"/>
    <w:rsid w:val="0003479D"/>
    <w:rsid w:val="000347FC"/>
    <w:rsid w:val="0003488A"/>
    <w:rsid w:val="000348B9"/>
    <w:rsid w:val="0003499F"/>
    <w:rsid w:val="00034C64"/>
    <w:rsid w:val="00034D2C"/>
    <w:rsid w:val="00034E1D"/>
    <w:rsid w:val="00034EE8"/>
    <w:rsid w:val="00035063"/>
    <w:rsid w:val="00035211"/>
    <w:rsid w:val="00035268"/>
    <w:rsid w:val="00035365"/>
    <w:rsid w:val="0003536E"/>
    <w:rsid w:val="0003552C"/>
    <w:rsid w:val="000355DC"/>
    <w:rsid w:val="000355E3"/>
    <w:rsid w:val="00035774"/>
    <w:rsid w:val="00035B4F"/>
    <w:rsid w:val="00035BD9"/>
    <w:rsid w:val="00035BFE"/>
    <w:rsid w:val="00035C67"/>
    <w:rsid w:val="00035DB0"/>
    <w:rsid w:val="00035E09"/>
    <w:rsid w:val="00035E21"/>
    <w:rsid w:val="00035EC3"/>
    <w:rsid w:val="00035ECA"/>
    <w:rsid w:val="00036288"/>
    <w:rsid w:val="000362F3"/>
    <w:rsid w:val="000363CC"/>
    <w:rsid w:val="00036443"/>
    <w:rsid w:val="000364D9"/>
    <w:rsid w:val="0003667B"/>
    <w:rsid w:val="0003679E"/>
    <w:rsid w:val="00036871"/>
    <w:rsid w:val="000368B0"/>
    <w:rsid w:val="00036B40"/>
    <w:rsid w:val="00036D5D"/>
    <w:rsid w:val="00036D9F"/>
    <w:rsid w:val="00036E2E"/>
    <w:rsid w:val="00036EDD"/>
    <w:rsid w:val="00036F54"/>
    <w:rsid w:val="00036F71"/>
    <w:rsid w:val="00036FD4"/>
    <w:rsid w:val="000371BE"/>
    <w:rsid w:val="000372A5"/>
    <w:rsid w:val="000372A7"/>
    <w:rsid w:val="00037400"/>
    <w:rsid w:val="00037590"/>
    <w:rsid w:val="000375E3"/>
    <w:rsid w:val="0003764C"/>
    <w:rsid w:val="00037756"/>
    <w:rsid w:val="000377B5"/>
    <w:rsid w:val="00037885"/>
    <w:rsid w:val="00037A5C"/>
    <w:rsid w:val="00037B3D"/>
    <w:rsid w:val="00037DF9"/>
    <w:rsid w:val="00037ED0"/>
    <w:rsid w:val="00037FB4"/>
    <w:rsid w:val="00040149"/>
    <w:rsid w:val="000401B4"/>
    <w:rsid w:val="000401DC"/>
    <w:rsid w:val="00040216"/>
    <w:rsid w:val="00040222"/>
    <w:rsid w:val="000402D5"/>
    <w:rsid w:val="00040395"/>
    <w:rsid w:val="00040416"/>
    <w:rsid w:val="0004045F"/>
    <w:rsid w:val="00040506"/>
    <w:rsid w:val="000405A6"/>
    <w:rsid w:val="000405CD"/>
    <w:rsid w:val="00040690"/>
    <w:rsid w:val="0004069E"/>
    <w:rsid w:val="000407E8"/>
    <w:rsid w:val="0004083D"/>
    <w:rsid w:val="0004089B"/>
    <w:rsid w:val="0004094B"/>
    <w:rsid w:val="00040A8D"/>
    <w:rsid w:val="00040A93"/>
    <w:rsid w:val="00040AB5"/>
    <w:rsid w:val="00040B6C"/>
    <w:rsid w:val="00040DB1"/>
    <w:rsid w:val="00040E62"/>
    <w:rsid w:val="00040E71"/>
    <w:rsid w:val="00040F2A"/>
    <w:rsid w:val="00040F59"/>
    <w:rsid w:val="00041159"/>
    <w:rsid w:val="0004119E"/>
    <w:rsid w:val="00041289"/>
    <w:rsid w:val="000412D5"/>
    <w:rsid w:val="000412D6"/>
    <w:rsid w:val="000413A3"/>
    <w:rsid w:val="00041401"/>
    <w:rsid w:val="00041479"/>
    <w:rsid w:val="00041489"/>
    <w:rsid w:val="00041517"/>
    <w:rsid w:val="0004152E"/>
    <w:rsid w:val="000415DD"/>
    <w:rsid w:val="00041734"/>
    <w:rsid w:val="0004187B"/>
    <w:rsid w:val="000418CA"/>
    <w:rsid w:val="00041923"/>
    <w:rsid w:val="00041DB2"/>
    <w:rsid w:val="00041E89"/>
    <w:rsid w:val="00041EB0"/>
    <w:rsid w:val="00041EC5"/>
    <w:rsid w:val="00041F85"/>
    <w:rsid w:val="00042347"/>
    <w:rsid w:val="00042378"/>
    <w:rsid w:val="0004239A"/>
    <w:rsid w:val="000423DC"/>
    <w:rsid w:val="000423EA"/>
    <w:rsid w:val="00042493"/>
    <w:rsid w:val="0004250E"/>
    <w:rsid w:val="00042546"/>
    <w:rsid w:val="0004261A"/>
    <w:rsid w:val="000426C9"/>
    <w:rsid w:val="00042702"/>
    <w:rsid w:val="00042732"/>
    <w:rsid w:val="00042764"/>
    <w:rsid w:val="00042842"/>
    <w:rsid w:val="00042907"/>
    <w:rsid w:val="00042B18"/>
    <w:rsid w:val="00042B5A"/>
    <w:rsid w:val="00042B6E"/>
    <w:rsid w:val="00042BC6"/>
    <w:rsid w:val="00042C53"/>
    <w:rsid w:val="00042C87"/>
    <w:rsid w:val="00042CAB"/>
    <w:rsid w:val="00042D4F"/>
    <w:rsid w:val="0004300E"/>
    <w:rsid w:val="00043219"/>
    <w:rsid w:val="00043294"/>
    <w:rsid w:val="000433DF"/>
    <w:rsid w:val="000434C3"/>
    <w:rsid w:val="000434D3"/>
    <w:rsid w:val="00043510"/>
    <w:rsid w:val="00043594"/>
    <w:rsid w:val="000436E4"/>
    <w:rsid w:val="0004385E"/>
    <w:rsid w:val="0004389C"/>
    <w:rsid w:val="00043952"/>
    <w:rsid w:val="000439D9"/>
    <w:rsid w:val="00043B99"/>
    <w:rsid w:val="00043D39"/>
    <w:rsid w:val="00043DEA"/>
    <w:rsid w:val="00043F18"/>
    <w:rsid w:val="00043F9C"/>
    <w:rsid w:val="00043FE0"/>
    <w:rsid w:val="0004404C"/>
    <w:rsid w:val="000440B7"/>
    <w:rsid w:val="0004429E"/>
    <w:rsid w:val="0004434E"/>
    <w:rsid w:val="00044392"/>
    <w:rsid w:val="000443F3"/>
    <w:rsid w:val="00044411"/>
    <w:rsid w:val="00044706"/>
    <w:rsid w:val="00044887"/>
    <w:rsid w:val="000448F4"/>
    <w:rsid w:val="000448FA"/>
    <w:rsid w:val="0004499E"/>
    <w:rsid w:val="000449E6"/>
    <w:rsid w:val="00044A2A"/>
    <w:rsid w:val="00044BE3"/>
    <w:rsid w:val="00044C0E"/>
    <w:rsid w:val="00044D5B"/>
    <w:rsid w:val="00044DAD"/>
    <w:rsid w:val="00044DDB"/>
    <w:rsid w:val="00044EB7"/>
    <w:rsid w:val="00044F6C"/>
    <w:rsid w:val="00044F77"/>
    <w:rsid w:val="00044FD6"/>
    <w:rsid w:val="0004506E"/>
    <w:rsid w:val="000454EB"/>
    <w:rsid w:val="000454F2"/>
    <w:rsid w:val="000455A1"/>
    <w:rsid w:val="00045682"/>
    <w:rsid w:val="000456B1"/>
    <w:rsid w:val="00045793"/>
    <w:rsid w:val="000457A4"/>
    <w:rsid w:val="000457FA"/>
    <w:rsid w:val="00045893"/>
    <w:rsid w:val="000458DC"/>
    <w:rsid w:val="000459D7"/>
    <w:rsid w:val="00045A41"/>
    <w:rsid w:val="00045A4A"/>
    <w:rsid w:val="00045E33"/>
    <w:rsid w:val="00045FCA"/>
    <w:rsid w:val="00046000"/>
    <w:rsid w:val="0004610E"/>
    <w:rsid w:val="00046141"/>
    <w:rsid w:val="000462E1"/>
    <w:rsid w:val="000466B3"/>
    <w:rsid w:val="000466F5"/>
    <w:rsid w:val="000467DF"/>
    <w:rsid w:val="0004688B"/>
    <w:rsid w:val="000468A7"/>
    <w:rsid w:val="00046A27"/>
    <w:rsid w:val="00046A7C"/>
    <w:rsid w:val="00046B0F"/>
    <w:rsid w:val="00046B8C"/>
    <w:rsid w:val="00046BCA"/>
    <w:rsid w:val="00046C59"/>
    <w:rsid w:val="00046CBA"/>
    <w:rsid w:val="00046D16"/>
    <w:rsid w:val="00046DF2"/>
    <w:rsid w:val="00046ED1"/>
    <w:rsid w:val="00047040"/>
    <w:rsid w:val="0004710E"/>
    <w:rsid w:val="00047208"/>
    <w:rsid w:val="0004722E"/>
    <w:rsid w:val="00047370"/>
    <w:rsid w:val="00047429"/>
    <w:rsid w:val="0004752B"/>
    <w:rsid w:val="00047571"/>
    <w:rsid w:val="000475C0"/>
    <w:rsid w:val="000475E6"/>
    <w:rsid w:val="000476EA"/>
    <w:rsid w:val="00047799"/>
    <w:rsid w:val="0004788F"/>
    <w:rsid w:val="00047959"/>
    <w:rsid w:val="00047970"/>
    <w:rsid w:val="000479D4"/>
    <w:rsid w:val="00047A04"/>
    <w:rsid w:val="00047AE9"/>
    <w:rsid w:val="00047B41"/>
    <w:rsid w:val="00047C67"/>
    <w:rsid w:val="00047D05"/>
    <w:rsid w:val="00047DA0"/>
    <w:rsid w:val="00047EAF"/>
    <w:rsid w:val="00047F0D"/>
    <w:rsid w:val="000500B8"/>
    <w:rsid w:val="0005021E"/>
    <w:rsid w:val="000502FA"/>
    <w:rsid w:val="0005036F"/>
    <w:rsid w:val="000504CC"/>
    <w:rsid w:val="000506AA"/>
    <w:rsid w:val="0005077E"/>
    <w:rsid w:val="000507ED"/>
    <w:rsid w:val="0005086A"/>
    <w:rsid w:val="00050CD0"/>
    <w:rsid w:val="00050DF6"/>
    <w:rsid w:val="00050F45"/>
    <w:rsid w:val="00050F65"/>
    <w:rsid w:val="00050F93"/>
    <w:rsid w:val="00051172"/>
    <w:rsid w:val="000512F7"/>
    <w:rsid w:val="0005132E"/>
    <w:rsid w:val="00051652"/>
    <w:rsid w:val="000516F1"/>
    <w:rsid w:val="000516F9"/>
    <w:rsid w:val="0005171E"/>
    <w:rsid w:val="0005172D"/>
    <w:rsid w:val="000519FA"/>
    <w:rsid w:val="000519FE"/>
    <w:rsid w:val="00051B47"/>
    <w:rsid w:val="00051BF7"/>
    <w:rsid w:val="00051DB2"/>
    <w:rsid w:val="00051DBD"/>
    <w:rsid w:val="00051E1D"/>
    <w:rsid w:val="00051E6F"/>
    <w:rsid w:val="00051F26"/>
    <w:rsid w:val="000520DB"/>
    <w:rsid w:val="0005213E"/>
    <w:rsid w:val="0005235B"/>
    <w:rsid w:val="0005248B"/>
    <w:rsid w:val="000525FE"/>
    <w:rsid w:val="00052635"/>
    <w:rsid w:val="000526B2"/>
    <w:rsid w:val="00052706"/>
    <w:rsid w:val="0005278F"/>
    <w:rsid w:val="000527EB"/>
    <w:rsid w:val="00052821"/>
    <w:rsid w:val="0005283D"/>
    <w:rsid w:val="00052867"/>
    <w:rsid w:val="000528EC"/>
    <w:rsid w:val="000529B1"/>
    <w:rsid w:val="00052AAD"/>
    <w:rsid w:val="00052E1D"/>
    <w:rsid w:val="00052EDE"/>
    <w:rsid w:val="00052F04"/>
    <w:rsid w:val="00052F79"/>
    <w:rsid w:val="0005310E"/>
    <w:rsid w:val="0005311E"/>
    <w:rsid w:val="0005319C"/>
    <w:rsid w:val="000531EA"/>
    <w:rsid w:val="00053242"/>
    <w:rsid w:val="00053361"/>
    <w:rsid w:val="0005336E"/>
    <w:rsid w:val="0005346B"/>
    <w:rsid w:val="00053477"/>
    <w:rsid w:val="0005364B"/>
    <w:rsid w:val="000536FE"/>
    <w:rsid w:val="00053877"/>
    <w:rsid w:val="00053883"/>
    <w:rsid w:val="00053945"/>
    <w:rsid w:val="00053A27"/>
    <w:rsid w:val="00053AB4"/>
    <w:rsid w:val="00053AEC"/>
    <w:rsid w:val="00053BAA"/>
    <w:rsid w:val="00053C6F"/>
    <w:rsid w:val="00053C9A"/>
    <w:rsid w:val="00053DCC"/>
    <w:rsid w:val="0005401A"/>
    <w:rsid w:val="0005402A"/>
    <w:rsid w:val="0005406A"/>
    <w:rsid w:val="000541D2"/>
    <w:rsid w:val="0005425B"/>
    <w:rsid w:val="000543EA"/>
    <w:rsid w:val="000544A6"/>
    <w:rsid w:val="000544D5"/>
    <w:rsid w:val="000544F0"/>
    <w:rsid w:val="00054628"/>
    <w:rsid w:val="000546EB"/>
    <w:rsid w:val="000546F1"/>
    <w:rsid w:val="0005490C"/>
    <w:rsid w:val="00054957"/>
    <w:rsid w:val="00054AA6"/>
    <w:rsid w:val="00054B16"/>
    <w:rsid w:val="00054B17"/>
    <w:rsid w:val="00054C10"/>
    <w:rsid w:val="00054C80"/>
    <w:rsid w:val="00054C9C"/>
    <w:rsid w:val="00054CDD"/>
    <w:rsid w:val="00054DE5"/>
    <w:rsid w:val="00054EDA"/>
    <w:rsid w:val="00054F56"/>
    <w:rsid w:val="00054FCF"/>
    <w:rsid w:val="00055203"/>
    <w:rsid w:val="00055447"/>
    <w:rsid w:val="00055690"/>
    <w:rsid w:val="000558CF"/>
    <w:rsid w:val="00055A1C"/>
    <w:rsid w:val="00055C98"/>
    <w:rsid w:val="00055CFD"/>
    <w:rsid w:val="00055D5D"/>
    <w:rsid w:val="00055EFF"/>
    <w:rsid w:val="00055F11"/>
    <w:rsid w:val="00055F66"/>
    <w:rsid w:val="000560A4"/>
    <w:rsid w:val="000560B6"/>
    <w:rsid w:val="000561AE"/>
    <w:rsid w:val="000563DB"/>
    <w:rsid w:val="000563F1"/>
    <w:rsid w:val="00056513"/>
    <w:rsid w:val="00056527"/>
    <w:rsid w:val="0005661C"/>
    <w:rsid w:val="0005671E"/>
    <w:rsid w:val="000569C8"/>
    <w:rsid w:val="00056AE6"/>
    <w:rsid w:val="00056D82"/>
    <w:rsid w:val="00056DDB"/>
    <w:rsid w:val="00056E09"/>
    <w:rsid w:val="00056EEB"/>
    <w:rsid w:val="00056F4E"/>
    <w:rsid w:val="00056FEF"/>
    <w:rsid w:val="00057075"/>
    <w:rsid w:val="000571E9"/>
    <w:rsid w:val="00057235"/>
    <w:rsid w:val="000572EF"/>
    <w:rsid w:val="000573A3"/>
    <w:rsid w:val="000573B4"/>
    <w:rsid w:val="00057659"/>
    <w:rsid w:val="0005769B"/>
    <w:rsid w:val="000576E7"/>
    <w:rsid w:val="000576F4"/>
    <w:rsid w:val="000576F6"/>
    <w:rsid w:val="00057721"/>
    <w:rsid w:val="0005787B"/>
    <w:rsid w:val="000578EC"/>
    <w:rsid w:val="000579AD"/>
    <w:rsid w:val="00057C78"/>
    <w:rsid w:val="00057C7A"/>
    <w:rsid w:val="00057CEE"/>
    <w:rsid w:val="00057CFE"/>
    <w:rsid w:val="00057D51"/>
    <w:rsid w:val="00057DAE"/>
    <w:rsid w:val="00057DCB"/>
    <w:rsid w:val="00057FA4"/>
    <w:rsid w:val="00057FF4"/>
    <w:rsid w:val="000600F8"/>
    <w:rsid w:val="0006020D"/>
    <w:rsid w:val="00060306"/>
    <w:rsid w:val="0006038E"/>
    <w:rsid w:val="0006044D"/>
    <w:rsid w:val="000604E4"/>
    <w:rsid w:val="00060583"/>
    <w:rsid w:val="00060642"/>
    <w:rsid w:val="00060661"/>
    <w:rsid w:val="000606C8"/>
    <w:rsid w:val="000606EF"/>
    <w:rsid w:val="0006077B"/>
    <w:rsid w:val="000608AF"/>
    <w:rsid w:val="000609B0"/>
    <w:rsid w:val="00060A78"/>
    <w:rsid w:val="00060D06"/>
    <w:rsid w:val="00060E8F"/>
    <w:rsid w:val="00060EA9"/>
    <w:rsid w:val="00060F2D"/>
    <w:rsid w:val="00060F66"/>
    <w:rsid w:val="00060FED"/>
    <w:rsid w:val="00060FF3"/>
    <w:rsid w:val="0006100D"/>
    <w:rsid w:val="0006118A"/>
    <w:rsid w:val="000612B5"/>
    <w:rsid w:val="000612C4"/>
    <w:rsid w:val="000612DC"/>
    <w:rsid w:val="00061328"/>
    <w:rsid w:val="000614D7"/>
    <w:rsid w:val="00061519"/>
    <w:rsid w:val="000616D8"/>
    <w:rsid w:val="00061813"/>
    <w:rsid w:val="0006183A"/>
    <w:rsid w:val="00061869"/>
    <w:rsid w:val="0006187A"/>
    <w:rsid w:val="0006187F"/>
    <w:rsid w:val="000618A2"/>
    <w:rsid w:val="00061921"/>
    <w:rsid w:val="0006192A"/>
    <w:rsid w:val="00061A93"/>
    <w:rsid w:val="00061BC1"/>
    <w:rsid w:val="00061DD3"/>
    <w:rsid w:val="00061F2E"/>
    <w:rsid w:val="00061F89"/>
    <w:rsid w:val="00062109"/>
    <w:rsid w:val="0006210E"/>
    <w:rsid w:val="0006215F"/>
    <w:rsid w:val="000622B8"/>
    <w:rsid w:val="00062315"/>
    <w:rsid w:val="00062439"/>
    <w:rsid w:val="0006254D"/>
    <w:rsid w:val="00062655"/>
    <w:rsid w:val="000626A3"/>
    <w:rsid w:val="00062718"/>
    <w:rsid w:val="00062D2D"/>
    <w:rsid w:val="00062D9A"/>
    <w:rsid w:val="00062DF1"/>
    <w:rsid w:val="00062F08"/>
    <w:rsid w:val="00062F6E"/>
    <w:rsid w:val="00062F80"/>
    <w:rsid w:val="00062FF3"/>
    <w:rsid w:val="00063150"/>
    <w:rsid w:val="00063214"/>
    <w:rsid w:val="0006341A"/>
    <w:rsid w:val="00063420"/>
    <w:rsid w:val="00063689"/>
    <w:rsid w:val="00063691"/>
    <w:rsid w:val="00063747"/>
    <w:rsid w:val="000638F3"/>
    <w:rsid w:val="0006391A"/>
    <w:rsid w:val="00063AEC"/>
    <w:rsid w:val="00063C50"/>
    <w:rsid w:val="00063D55"/>
    <w:rsid w:val="00063DC5"/>
    <w:rsid w:val="00063DD2"/>
    <w:rsid w:val="00063E36"/>
    <w:rsid w:val="00063EA7"/>
    <w:rsid w:val="000640E4"/>
    <w:rsid w:val="0006411B"/>
    <w:rsid w:val="0006412A"/>
    <w:rsid w:val="00064345"/>
    <w:rsid w:val="000644D4"/>
    <w:rsid w:val="00064650"/>
    <w:rsid w:val="00064815"/>
    <w:rsid w:val="0006483F"/>
    <w:rsid w:val="00064BC9"/>
    <w:rsid w:val="00064C8C"/>
    <w:rsid w:val="00064CAE"/>
    <w:rsid w:val="00064D10"/>
    <w:rsid w:val="00064DD5"/>
    <w:rsid w:val="000650A0"/>
    <w:rsid w:val="000650F0"/>
    <w:rsid w:val="00065163"/>
    <w:rsid w:val="000653B0"/>
    <w:rsid w:val="0006567E"/>
    <w:rsid w:val="0006577E"/>
    <w:rsid w:val="00065817"/>
    <w:rsid w:val="00065862"/>
    <w:rsid w:val="00065946"/>
    <w:rsid w:val="0006594B"/>
    <w:rsid w:val="00065972"/>
    <w:rsid w:val="000659ED"/>
    <w:rsid w:val="00065AAA"/>
    <w:rsid w:val="00065AFA"/>
    <w:rsid w:val="00065B8B"/>
    <w:rsid w:val="00065E1D"/>
    <w:rsid w:val="000663F8"/>
    <w:rsid w:val="000664D4"/>
    <w:rsid w:val="0006658B"/>
    <w:rsid w:val="00066658"/>
    <w:rsid w:val="0006672E"/>
    <w:rsid w:val="000667D9"/>
    <w:rsid w:val="000668D8"/>
    <w:rsid w:val="00066979"/>
    <w:rsid w:val="0006698B"/>
    <w:rsid w:val="00066AE2"/>
    <w:rsid w:val="00066B04"/>
    <w:rsid w:val="00066B38"/>
    <w:rsid w:val="00066C8D"/>
    <w:rsid w:val="00066D8B"/>
    <w:rsid w:val="00066E40"/>
    <w:rsid w:val="00066F61"/>
    <w:rsid w:val="000673B8"/>
    <w:rsid w:val="00067479"/>
    <w:rsid w:val="000675DA"/>
    <w:rsid w:val="0006774C"/>
    <w:rsid w:val="00067847"/>
    <w:rsid w:val="0006788C"/>
    <w:rsid w:val="00067912"/>
    <w:rsid w:val="00067B1E"/>
    <w:rsid w:val="00067C21"/>
    <w:rsid w:val="00067C75"/>
    <w:rsid w:val="00067CBA"/>
    <w:rsid w:val="00067D3C"/>
    <w:rsid w:val="00067DC2"/>
    <w:rsid w:val="0007011A"/>
    <w:rsid w:val="0007019E"/>
    <w:rsid w:val="000701D3"/>
    <w:rsid w:val="000701DE"/>
    <w:rsid w:val="00070352"/>
    <w:rsid w:val="0007035E"/>
    <w:rsid w:val="00070662"/>
    <w:rsid w:val="000706E9"/>
    <w:rsid w:val="00070756"/>
    <w:rsid w:val="000707A4"/>
    <w:rsid w:val="000707B2"/>
    <w:rsid w:val="000708F1"/>
    <w:rsid w:val="00070B47"/>
    <w:rsid w:val="00070C33"/>
    <w:rsid w:val="00070DA5"/>
    <w:rsid w:val="00070FC0"/>
    <w:rsid w:val="00071015"/>
    <w:rsid w:val="000711C4"/>
    <w:rsid w:val="00071252"/>
    <w:rsid w:val="0007126F"/>
    <w:rsid w:val="000712C1"/>
    <w:rsid w:val="00071327"/>
    <w:rsid w:val="000717E4"/>
    <w:rsid w:val="00071815"/>
    <w:rsid w:val="00071842"/>
    <w:rsid w:val="00071898"/>
    <w:rsid w:val="0007190A"/>
    <w:rsid w:val="00071928"/>
    <w:rsid w:val="0007199A"/>
    <w:rsid w:val="00071A71"/>
    <w:rsid w:val="00071AB9"/>
    <w:rsid w:val="00071AE2"/>
    <w:rsid w:val="00071B9E"/>
    <w:rsid w:val="00071BF6"/>
    <w:rsid w:val="00071CC6"/>
    <w:rsid w:val="00071D1B"/>
    <w:rsid w:val="00071DA0"/>
    <w:rsid w:val="00071DFA"/>
    <w:rsid w:val="00072049"/>
    <w:rsid w:val="000721C6"/>
    <w:rsid w:val="000721D0"/>
    <w:rsid w:val="00072238"/>
    <w:rsid w:val="0007229D"/>
    <w:rsid w:val="00072375"/>
    <w:rsid w:val="0007239B"/>
    <w:rsid w:val="00072404"/>
    <w:rsid w:val="00072433"/>
    <w:rsid w:val="000724FF"/>
    <w:rsid w:val="00072649"/>
    <w:rsid w:val="0007264B"/>
    <w:rsid w:val="00072698"/>
    <w:rsid w:val="0007296B"/>
    <w:rsid w:val="00072999"/>
    <w:rsid w:val="00072A32"/>
    <w:rsid w:val="00072B1B"/>
    <w:rsid w:val="00072E27"/>
    <w:rsid w:val="00072E45"/>
    <w:rsid w:val="00072F41"/>
    <w:rsid w:val="00072F44"/>
    <w:rsid w:val="00072F7D"/>
    <w:rsid w:val="00073047"/>
    <w:rsid w:val="0007316E"/>
    <w:rsid w:val="0007344E"/>
    <w:rsid w:val="000734A5"/>
    <w:rsid w:val="000735BC"/>
    <w:rsid w:val="00073620"/>
    <w:rsid w:val="0007374D"/>
    <w:rsid w:val="0007377A"/>
    <w:rsid w:val="00073863"/>
    <w:rsid w:val="000738BB"/>
    <w:rsid w:val="000738F8"/>
    <w:rsid w:val="0007391D"/>
    <w:rsid w:val="000739F5"/>
    <w:rsid w:val="00073BB3"/>
    <w:rsid w:val="00073C98"/>
    <w:rsid w:val="00073CD6"/>
    <w:rsid w:val="00073DBA"/>
    <w:rsid w:val="00073F0A"/>
    <w:rsid w:val="00073F80"/>
    <w:rsid w:val="00073F91"/>
    <w:rsid w:val="00074027"/>
    <w:rsid w:val="000743B9"/>
    <w:rsid w:val="00074417"/>
    <w:rsid w:val="00074509"/>
    <w:rsid w:val="00074523"/>
    <w:rsid w:val="000745F0"/>
    <w:rsid w:val="000747BE"/>
    <w:rsid w:val="00074825"/>
    <w:rsid w:val="0007483F"/>
    <w:rsid w:val="000748A8"/>
    <w:rsid w:val="00074A52"/>
    <w:rsid w:val="00074A97"/>
    <w:rsid w:val="00074B76"/>
    <w:rsid w:val="00074BBB"/>
    <w:rsid w:val="00074C23"/>
    <w:rsid w:val="00074DD9"/>
    <w:rsid w:val="00074EE7"/>
    <w:rsid w:val="00074FC5"/>
    <w:rsid w:val="00074FD5"/>
    <w:rsid w:val="0007503A"/>
    <w:rsid w:val="00075387"/>
    <w:rsid w:val="0007540F"/>
    <w:rsid w:val="00075418"/>
    <w:rsid w:val="0007541C"/>
    <w:rsid w:val="0007546B"/>
    <w:rsid w:val="000755C3"/>
    <w:rsid w:val="00075694"/>
    <w:rsid w:val="0007571A"/>
    <w:rsid w:val="000757E0"/>
    <w:rsid w:val="000758AB"/>
    <w:rsid w:val="00075A98"/>
    <w:rsid w:val="00075ABC"/>
    <w:rsid w:val="00075AE1"/>
    <w:rsid w:val="00075B43"/>
    <w:rsid w:val="00075BB7"/>
    <w:rsid w:val="00075E36"/>
    <w:rsid w:val="00075E4E"/>
    <w:rsid w:val="00075E9C"/>
    <w:rsid w:val="00075F02"/>
    <w:rsid w:val="00075FD9"/>
    <w:rsid w:val="0007603D"/>
    <w:rsid w:val="0007612E"/>
    <w:rsid w:val="000762DC"/>
    <w:rsid w:val="00076328"/>
    <w:rsid w:val="0007639B"/>
    <w:rsid w:val="00076455"/>
    <w:rsid w:val="00076467"/>
    <w:rsid w:val="000764D6"/>
    <w:rsid w:val="00076534"/>
    <w:rsid w:val="00076586"/>
    <w:rsid w:val="000768EB"/>
    <w:rsid w:val="0007699E"/>
    <w:rsid w:val="00076A4C"/>
    <w:rsid w:val="00076AB5"/>
    <w:rsid w:val="00076ACE"/>
    <w:rsid w:val="00076AE7"/>
    <w:rsid w:val="00076BD2"/>
    <w:rsid w:val="00076C24"/>
    <w:rsid w:val="00076CF5"/>
    <w:rsid w:val="00076EB1"/>
    <w:rsid w:val="00076F5C"/>
    <w:rsid w:val="00077055"/>
    <w:rsid w:val="00077093"/>
    <w:rsid w:val="000770FE"/>
    <w:rsid w:val="00077207"/>
    <w:rsid w:val="00077247"/>
    <w:rsid w:val="00077372"/>
    <w:rsid w:val="00077460"/>
    <w:rsid w:val="0007754E"/>
    <w:rsid w:val="000775B4"/>
    <w:rsid w:val="00077661"/>
    <w:rsid w:val="000777E2"/>
    <w:rsid w:val="00077BCF"/>
    <w:rsid w:val="00077CB0"/>
    <w:rsid w:val="00077D06"/>
    <w:rsid w:val="00077D69"/>
    <w:rsid w:val="00077DA3"/>
    <w:rsid w:val="00077E79"/>
    <w:rsid w:val="00080137"/>
    <w:rsid w:val="000801A1"/>
    <w:rsid w:val="0008049A"/>
    <w:rsid w:val="00080503"/>
    <w:rsid w:val="00080675"/>
    <w:rsid w:val="00080AFE"/>
    <w:rsid w:val="00080B97"/>
    <w:rsid w:val="00080C53"/>
    <w:rsid w:val="00080CA6"/>
    <w:rsid w:val="00080E64"/>
    <w:rsid w:val="00081033"/>
    <w:rsid w:val="00081383"/>
    <w:rsid w:val="000816E6"/>
    <w:rsid w:val="00081835"/>
    <w:rsid w:val="000819DF"/>
    <w:rsid w:val="00081ACA"/>
    <w:rsid w:val="00081CA9"/>
    <w:rsid w:val="00081F38"/>
    <w:rsid w:val="00081F85"/>
    <w:rsid w:val="0008210C"/>
    <w:rsid w:val="00082166"/>
    <w:rsid w:val="0008217E"/>
    <w:rsid w:val="0008221E"/>
    <w:rsid w:val="00082235"/>
    <w:rsid w:val="00082239"/>
    <w:rsid w:val="00082288"/>
    <w:rsid w:val="0008229A"/>
    <w:rsid w:val="000822B4"/>
    <w:rsid w:val="00082333"/>
    <w:rsid w:val="00082345"/>
    <w:rsid w:val="00082397"/>
    <w:rsid w:val="000824A7"/>
    <w:rsid w:val="000824AF"/>
    <w:rsid w:val="00082570"/>
    <w:rsid w:val="00082577"/>
    <w:rsid w:val="00082630"/>
    <w:rsid w:val="00082695"/>
    <w:rsid w:val="0008269D"/>
    <w:rsid w:val="000828D2"/>
    <w:rsid w:val="0008295E"/>
    <w:rsid w:val="00082A85"/>
    <w:rsid w:val="00082B68"/>
    <w:rsid w:val="00082F6F"/>
    <w:rsid w:val="00082FB1"/>
    <w:rsid w:val="00083137"/>
    <w:rsid w:val="000832BD"/>
    <w:rsid w:val="00083473"/>
    <w:rsid w:val="00083484"/>
    <w:rsid w:val="000834C2"/>
    <w:rsid w:val="000834C4"/>
    <w:rsid w:val="0008361A"/>
    <w:rsid w:val="00083723"/>
    <w:rsid w:val="0008374C"/>
    <w:rsid w:val="000837DA"/>
    <w:rsid w:val="000837E2"/>
    <w:rsid w:val="00083849"/>
    <w:rsid w:val="00083B14"/>
    <w:rsid w:val="00083B6F"/>
    <w:rsid w:val="00083C77"/>
    <w:rsid w:val="00083D0C"/>
    <w:rsid w:val="00083D2C"/>
    <w:rsid w:val="00083D6C"/>
    <w:rsid w:val="00084000"/>
    <w:rsid w:val="00084044"/>
    <w:rsid w:val="00084068"/>
    <w:rsid w:val="00084084"/>
    <w:rsid w:val="00084157"/>
    <w:rsid w:val="00084247"/>
    <w:rsid w:val="00084338"/>
    <w:rsid w:val="00084559"/>
    <w:rsid w:val="000846F3"/>
    <w:rsid w:val="0008480D"/>
    <w:rsid w:val="000848FD"/>
    <w:rsid w:val="00084AF0"/>
    <w:rsid w:val="00084D29"/>
    <w:rsid w:val="00084F41"/>
    <w:rsid w:val="0008516E"/>
    <w:rsid w:val="00085184"/>
    <w:rsid w:val="000853A3"/>
    <w:rsid w:val="000853C6"/>
    <w:rsid w:val="00085441"/>
    <w:rsid w:val="000855D1"/>
    <w:rsid w:val="0008575E"/>
    <w:rsid w:val="000858E1"/>
    <w:rsid w:val="000859F3"/>
    <w:rsid w:val="00085C59"/>
    <w:rsid w:val="00085CA7"/>
    <w:rsid w:val="00085D18"/>
    <w:rsid w:val="00085EF7"/>
    <w:rsid w:val="00085FDF"/>
    <w:rsid w:val="000860EE"/>
    <w:rsid w:val="000861F1"/>
    <w:rsid w:val="00086216"/>
    <w:rsid w:val="00086291"/>
    <w:rsid w:val="000862DD"/>
    <w:rsid w:val="0008649B"/>
    <w:rsid w:val="00086504"/>
    <w:rsid w:val="00086629"/>
    <w:rsid w:val="000868F9"/>
    <w:rsid w:val="0008694F"/>
    <w:rsid w:val="00086A7F"/>
    <w:rsid w:val="00086ACC"/>
    <w:rsid w:val="00086B25"/>
    <w:rsid w:val="00086B57"/>
    <w:rsid w:val="00086C62"/>
    <w:rsid w:val="00086CD4"/>
    <w:rsid w:val="00086D14"/>
    <w:rsid w:val="00086D4B"/>
    <w:rsid w:val="00086D64"/>
    <w:rsid w:val="00086E2A"/>
    <w:rsid w:val="00086EB9"/>
    <w:rsid w:val="00086EC6"/>
    <w:rsid w:val="00086EDF"/>
    <w:rsid w:val="00086F34"/>
    <w:rsid w:val="00086F95"/>
    <w:rsid w:val="000870D8"/>
    <w:rsid w:val="000871B4"/>
    <w:rsid w:val="000876E4"/>
    <w:rsid w:val="00087A48"/>
    <w:rsid w:val="00087B57"/>
    <w:rsid w:val="000900DA"/>
    <w:rsid w:val="000901FB"/>
    <w:rsid w:val="000902D4"/>
    <w:rsid w:val="0009045C"/>
    <w:rsid w:val="00090460"/>
    <w:rsid w:val="000904D8"/>
    <w:rsid w:val="000906CE"/>
    <w:rsid w:val="000907B1"/>
    <w:rsid w:val="00090885"/>
    <w:rsid w:val="000908C9"/>
    <w:rsid w:val="00090AAF"/>
    <w:rsid w:val="00090B28"/>
    <w:rsid w:val="00090C12"/>
    <w:rsid w:val="00090C28"/>
    <w:rsid w:val="00090C82"/>
    <w:rsid w:val="00090D30"/>
    <w:rsid w:val="00090D7A"/>
    <w:rsid w:val="00090DE0"/>
    <w:rsid w:val="00090EE9"/>
    <w:rsid w:val="000910FD"/>
    <w:rsid w:val="000911DF"/>
    <w:rsid w:val="0009149E"/>
    <w:rsid w:val="0009154A"/>
    <w:rsid w:val="000915B7"/>
    <w:rsid w:val="000915F9"/>
    <w:rsid w:val="000916EE"/>
    <w:rsid w:val="0009173A"/>
    <w:rsid w:val="0009179C"/>
    <w:rsid w:val="00091871"/>
    <w:rsid w:val="00091A25"/>
    <w:rsid w:val="00091AA8"/>
    <w:rsid w:val="00091B24"/>
    <w:rsid w:val="00091EE1"/>
    <w:rsid w:val="00091F08"/>
    <w:rsid w:val="00091F65"/>
    <w:rsid w:val="00091F92"/>
    <w:rsid w:val="00091FCE"/>
    <w:rsid w:val="000920E4"/>
    <w:rsid w:val="00092245"/>
    <w:rsid w:val="000925A8"/>
    <w:rsid w:val="00092612"/>
    <w:rsid w:val="000926A8"/>
    <w:rsid w:val="000927A9"/>
    <w:rsid w:val="00092900"/>
    <w:rsid w:val="0009298D"/>
    <w:rsid w:val="000929FF"/>
    <w:rsid w:val="00092A7B"/>
    <w:rsid w:val="00092BC5"/>
    <w:rsid w:val="00092C1C"/>
    <w:rsid w:val="00092C40"/>
    <w:rsid w:val="00092D26"/>
    <w:rsid w:val="00092DBD"/>
    <w:rsid w:val="00092E28"/>
    <w:rsid w:val="00092E40"/>
    <w:rsid w:val="00092F5E"/>
    <w:rsid w:val="00093142"/>
    <w:rsid w:val="0009327B"/>
    <w:rsid w:val="00093382"/>
    <w:rsid w:val="000933C9"/>
    <w:rsid w:val="00093459"/>
    <w:rsid w:val="00093718"/>
    <w:rsid w:val="00093855"/>
    <w:rsid w:val="00093918"/>
    <w:rsid w:val="0009392B"/>
    <w:rsid w:val="00093946"/>
    <w:rsid w:val="00093A06"/>
    <w:rsid w:val="00093B1C"/>
    <w:rsid w:val="00093B55"/>
    <w:rsid w:val="00093C50"/>
    <w:rsid w:val="00093D10"/>
    <w:rsid w:val="00093D1B"/>
    <w:rsid w:val="00093D6A"/>
    <w:rsid w:val="00093F15"/>
    <w:rsid w:val="00094002"/>
    <w:rsid w:val="00094144"/>
    <w:rsid w:val="000942CB"/>
    <w:rsid w:val="0009439D"/>
    <w:rsid w:val="00094415"/>
    <w:rsid w:val="00094527"/>
    <w:rsid w:val="00094568"/>
    <w:rsid w:val="000948D4"/>
    <w:rsid w:val="000949E8"/>
    <w:rsid w:val="00094B54"/>
    <w:rsid w:val="00094B6A"/>
    <w:rsid w:val="00094B94"/>
    <w:rsid w:val="00094C80"/>
    <w:rsid w:val="00094CD6"/>
    <w:rsid w:val="00094DAF"/>
    <w:rsid w:val="00094E2A"/>
    <w:rsid w:val="00094E30"/>
    <w:rsid w:val="00094F3E"/>
    <w:rsid w:val="00094F57"/>
    <w:rsid w:val="0009508C"/>
    <w:rsid w:val="00095125"/>
    <w:rsid w:val="0009514A"/>
    <w:rsid w:val="0009516C"/>
    <w:rsid w:val="00095173"/>
    <w:rsid w:val="00095270"/>
    <w:rsid w:val="000954E0"/>
    <w:rsid w:val="00095511"/>
    <w:rsid w:val="0009553A"/>
    <w:rsid w:val="000955A9"/>
    <w:rsid w:val="0009567C"/>
    <w:rsid w:val="00095769"/>
    <w:rsid w:val="00095A4A"/>
    <w:rsid w:val="00095BBD"/>
    <w:rsid w:val="00095C33"/>
    <w:rsid w:val="00095C47"/>
    <w:rsid w:val="00095DE9"/>
    <w:rsid w:val="00095F2F"/>
    <w:rsid w:val="00095FC4"/>
    <w:rsid w:val="00096093"/>
    <w:rsid w:val="000960E3"/>
    <w:rsid w:val="00096391"/>
    <w:rsid w:val="00096441"/>
    <w:rsid w:val="000964AF"/>
    <w:rsid w:val="000965CE"/>
    <w:rsid w:val="000965FB"/>
    <w:rsid w:val="00096630"/>
    <w:rsid w:val="00096638"/>
    <w:rsid w:val="00096686"/>
    <w:rsid w:val="00096780"/>
    <w:rsid w:val="000968E6"/>
    <w:rsid w:val="00096983"/>
    <w:rsid w:val="000969A6"/>
    <w:rsid w:val="00096B4D"/>
    <w:rsid w:val="00096C2B"/>
    <w:rsid w:val="00096C51"/>
    <w:rsid w:val="00096CAB"/>
    <w:rsid w:val="00096E02"/>
    <w:rsid w:val="00096FB4"/>
    <w:rsid w:val="000970A4"/>
    <w:rsid w:val="000971A5"/>
    <w:rsid w:val="000971E3"/>
    <w:rsid w:val="000973FC"/>
    <w:rsid w:val="00097448"/>
    <w:rsid w:val="0009758B"/>
    <w:rsid w:val="0009764D"/>
    <w:rsid w:val="000976C6"/>
    <w:rsid w:val="00097722"/>
    <w:rsid w:val="000979D1"/>
    <w:rsid w:val="00097B96"/>
    <w:rsid w:val="00097E17"/>
    <w:rsid w:val="00097E2E"/>
    <w:rsid w:val="00097E6D"/>
    <w:rsid w:val="00097F57"/>
    <w:rsid w:val="000A0122"/>
    <w:rsid w:val="000A0131"/>
    <w:rsid w:val="000A034E"/>
    <w:rsid w:val="000A0449"/>
    <w:rsid w:val="000A0457"/>
    <w:rsid w:val="000A04D0"/>
    <w:rsid w:val="000A04F0"/>
    <w:rsid w:val="000A054E"/>
    <w:rsid w:val="000A078F"/>
    <w:rsid w:val="000A089B"/>
    <w:rsid w:val="000A0A8E"/>
    <w:rsid w:val="000A0AFF"/>
    <w:rsid w:val="000A0D8B"/>
    <w:rsid w:val="000A0DA0"/>
    <w:rsid w:val="000A0E61"/>
    <w:rsid w:val="000A0F68"/>
    <w:rsid w:val="000A107A"/>
    <w:rsid w:val="000A1362"/>
    <w:rsid w:val="000A14AA"/>
    <w:rsid w:val="000A1540"/>
    <w:rsid w:val="000A157E"/>
    <w:rsid w:val="000A1592"/>
    <w:rsid w:val="000A1643"/>
    <w:rsid w:val="000A17D0"/>
    <w:rsid w:val="000A1857"/>
    <w:rsid w:val="000A1894"/>
    <w:rsid w:val="000A189B"/>
    <w:rsid w:val="000A1953"/>
    <w:rsid w:val="000A198B"/>
    <w:rsid w:val="000A19E1"/>
    <w:rsid w:val="000A1A0A"/>
    <w:rsid w:val="000A1B5E"/>
    <w:rsid w:val="000A1F8F"/>
    <w:rsid w:val="000A21C6"/>
    <w:rsid w:val="000A2348"/>
    <w:rsid w:val="000A2479"/>
    <w:rsid w:val="000A24DC"/>
    <w:rsid w:val="000A258F"/>
    <w:rsid w:val="000A2670"/>
    <w:rsid w:val="000A2672"/>
    <w:rsid w:val="000A2884"/>
    <w:rsid w:val="000A2B16"/>
    <w:rsid w:val="000A2C46"/>
    <w:rsid w:val="000A2C57"/>
    <w:rsid w:val="000A2D15"/>
    <w:rsid w:val="000A2F1D"/>
    <w:rsid w:val="000A2F45"/>
    <w:rsid w:val="000A2FD7"/>
    <w:rsid w:val="000A323A"/>
    <w:rsid w:val="000A32A8"/>
    <w:rsid w:val="000A34B1"/>
    <w:rsid w:val="000A34F0"/>
    <w:rsid w:val="000A34FE"/>
    <w:rsid w:val="000A3563"/>
    <w:rsid w:val="000A356F"/>
    <w:rsid w:val="000A3693"/>
    <w:rsid w:val="000A36B4"/>
    <w:rsid w:val="000A3719"/>
    <w:rsid w:val="000A3775"/>
    <w:rsid w:val="000A3797"/>
    <w:rsid w:val="000A38F6"/>
    <w:rsid w:val="000A3BA3"/>
    <w:rsid w:val="000A3C24"/>
    <w:rsid w:val="000A3CCA"/>
    <w:rsid w:val="000A3CE4"/>
    <w:rsid w:val="000A3D3D"/>
    <w:rsid w:val="000A3D77"/>
    <w:rsid w:val="000A40E0"/>
    <w:rsid w:val="000A4157"/>
    <w:rsid w:val="000A4412"/>
    <w:rsid w:val="000A442E"/>
    <w:rsid w:val="000A44FD"/>
    <w:rsid w:val="000A4687"/>
    <w:rsid w:val="000A46E6"/>
    <w:rsid w:val="000A4ADB"/>
    <w:rsid w:val="000A4BE8"/>
    <w:rsid w:val="000A4C01"/>
    <w:rsid w:val="000A4CE8"/>
    <w:rsid w:val="000A4E5C"/>
    <w:rsid w:val="000A4E9F"/>
    <w:rsid w:val="000A4EB7"/>
    <w:rsid w:val="000A4F08"/>
    <w:rsid w:val="000A4F62"/>
    <w:rsid w:val="000A4F87"/>
    <w:rsid w:val="000A5373"/>
    <w:rsid w:val="000A53DC"/>
    <w:rsid w:val="000A5409"/>
    <w:rsid w:val="000A543B"/>
    <w:rsid w:val="000A56E7"/>
    <w:rsid w:val="000A5892"/>
    <w:rsid w:val="000A595C"/>
    <w:rsid w:val="000A598D"/>
    <w:rsid w:val="000A5B6A"/>
    <w:rsid w:val="000A5B9C"/>
    <w:rsid w:val="000A5C31"/>
    <w:rsid w:val="000A5C8A"/>
    <w:rsid w:val="000A5D60"/>
    <w:rsid w:val="000A5DA4"/>
    <w:rsid w:val="000A5E94"/>
    <w:rsid w:val="000A5F07"/>
    <w:rsid w:val="000A6096"/>
    <w:rsid w:val="000A6119"/>
    <w:rsid w:val="000A617A"/>
    <w:rsid w:val="000A61F5"/>
    <w:rsid w:val="000A6302"/>
    <w:rsid w:val="000A64F0"/>
    <w:rsid w:val="000A655E"/>
    <w:rsid w:val="000A65EC"/>
    <w:rsid w:val="000A6616"/>
    <w:rsid w:val="000A67D6"/>
    <w:rsid w:val="000A67FB"/>
    <w:rsid w:val="000A6AD7"/>
    <w:rsid w:val="000A6C46"/>
    <w:rsid w:val="000A6D18"/>
    <w:rsid w:val="000A6D93"/>
    <w:rsid w:val="000A6DC5"/>
    <w:rsid w:val="000A6F8F"/>
    <w:rsid w:val="000A7194"/>
    <w:rsid w:val="000A71C2"/>
    <w:rsid w:val="000A747E"/>
    <w:rsid w:val="000A754D"/>
    <w:rsid w:val="000A75AA"/>
    <w:rsid w:val="000A75BD"/>
    <w:rsid w:val="000A76AE"/>
    <w:rsid w:val="000A77EB"/>
    <w:rsid w:val="000A78A4"/>
    <w:rsid w:val="000A7C8F"/>
    <w:rsid w:val="000A7D1B"/>
    <w:rsid w:val="000A7D2F"/>
    <w:rsid w:val="000A7D50"/>
    <w:rsid w:val="000A7E0A"/>
    <w:rsid w:val="000A7E84"/>
    <w:rsid w:val="000A7F4F"/>
    <w:rsid w:val="000A7F61"/>
    <w:rsid w:val="000B0069"/>
    <w:rsid w:val="000B0344"/>
    <w:rsid w:val="000B03EF"/>
    <w:rsid w:val="000B045E"/>
    <w:rsid w:val="000B0475"/>
    <w:rsid w:val="000B047E"/>
    <w:rsid w:val="000B05F9"/>
    <w:rsid w:val="000B0639"/>
    <w:rsid w:val="000B06A6"/>
    <w:rsid w:val="000B06AB"/>
    <w:rsid w:val="000B074A"/>
    <w:rsid w:val="000B08D2"/>
    <w:rsid w:val="000B0968"/>
    <w:rsid w:val="000B0B50"/>
    <w:rsid w:val="000B0BA9"/>
    <w:rsid w:val="000B0DB8"/>
    <w:rsid w:val="000B156A"/>
    <w:rsid w:val="000B16A0"/>
    <w:rsid w:val="000B17E7"/>
    <w:rsid w:val="000B17F7"/>
    <w:rsid w:val="000B17FE"/>
    <w:rsid w:val="000B1802"/>
    <w:rsid w:val="000B199E"/>
    <w:rsid w:val="000B19B2"/>
    <w:rsid w:val="000B1AF4"/>
    <w:rsid w:val="000B1B0D"/>
    <w:rsid w:val="000B1D35"/>
    <w:rsid w:val="000B1E00"/>
    <w:rsid w:val="000B1E6E"/>
    <w:rsid w:val="000B1E86"/>
    <w:rsid w:val="000B1F73"/>
    <w:rsid w:val="000B1FD4"/>
    <w:rsid w:val="000B2014"/>
    <w:rsid w:val="000B2066"/>
    <w:rsid w:val="000B209E"/>
    <w:rsid w:val="000B20A7"/>
    <w:rsid w:val="000B2117"/>
    <w:rsid w:val="000B21CB"/>
    <w:rsid w:val="000B2243"/>
    <w:rsid w:val="000B229E"/>
    <w:rsid w:val="000B231C"/>
    <w:rsid w:val="000B23CB"/>
    <w:rsid w:val="000B2408"/>
    <w:rsid w:val="000B26B5"/>
    <w:rsid w:val="000B2818"/>
    <w:rsid w:val="000B2877"/>
    <w:rsid w:val="000B2A4B"/>
    <w:rsid w:val="000B2A8C"/>
    <w:rsid w:val="000B2A8E"/>
    <w:rsid w:val="000B2B50"/>
    <w:rsid w:val="000B2B9C"/>
    <w:rsid w:val="000B2BE0"/>
    <w:rsid w:val="000B2C0B"/>
    <w:rsid w:val="000B2C11"/>
    <w:rsid w:val="000B2C26"/>
    <w:rsid w:val="000B2CBB"/>
    <w:rsid w:val="000B2DA9"/>
    <w:rsid w:val="000B300D"/>
    <w:rsid w:val="000B3084"/>
    <w:rsid w:val="000B319F"/>
    <w:rsid w:val="000B331E"/>
    <w:rsid w:val="000B335B"/>
    <w:rsid w:val="000B3371"/>
    <w:rsid w:val="000B3398"/>
    <w:rsid w:val="000B3451"/>
    <w:rsid w:val="000B35EA"/>
    <w:rsid w:val="000B38F8"/>
    <w:rsid w:val="000B3B26"/>
    <w:rsid w:val="000B3CD8"/>
    <w:rsid w:val="000B40FF"/>
    <w:rsid w:val="000B4284"/>
    <w:rsid w:val="000B42BF"/>
    <w:rsid w:val="000B4454"/>
    <w:rsid w:val="000B45DA"/>
    <w:rsid w:val="000B469D"/>
    <w:rsid w:val="000B4835"/>
    <w:rsid w:val="000B4978"/>
    <w:rsid w:val="000B4A06"/>
    <w:rsid w:val="000B4A19"/>
    <w:rsid w:val="000B4A66"/>
    <w:rsid w:val="000B4A7A"/>
    <w:rsid w:val="000B4B38"/>
    <w:rsid w:val="000B4B60"/>
    <w:rsid w:val="000B4D1D"/>
    <w:rsid w:val="000B4D2A"/>
    <w:rsid w:val="000B4E6D"/>
    <w:rsid w:val="000B4E7D"/>
    <w:rsid w:val="000B4EDC"/>
    <w:rsid w:val="000B5010"/>
    <w:rsid w:val="000B5093"/>
    <w:rsid w:val="000B5102"/>
    <w:rsid w:val="000B5241"/>
    <w:rsid w:val="000B5278"/>
    <w:rsid w:val="000B560C"/>
    <w:rsid w:val="000B5652"/>
    <w:rsid w:val="000B56C1"/>
    <w:rsid w:val="000B56F1"/>
    <w:rsid w:val="000B596A"/>
    <w:rsid w:val="000B598E"/>
    <w:rsid w:val="000B5A54"/>
    <w:rsid w:val="000B5C06"/>
    <w:rsid w:val="000B5D0B"/>
    <w:rsid w:val="000B5D19"/>
    <w:rsid w:val="000B5E0C"/>
    <w:rsid w:val="000B5E32"/>
    <w:rsid w:val="000B5EAF"/>
    <w:rsid w:val="000B5F65"/>
    <w:rsid w:val="000B60A3"/>
    <w:rsid w:val="000B6443"/>
    <w:rsid w:val="000B660A"/>
    <w:rsid w:val="000B6859"/>
    <w:rsid w:val="000B6869"/>
    <w:rsid w:val="000B6958"/>
    <w:rsid w:val="000B6BE0"/>
    <w:rsid w:val="000B6C2C"/>
    <w:rsid w:val="000B6D9E"/>
    <w:rsid w:val="000B6DF5"/>
    <w:rsid w:val="000B6E09"/>
    <w:rsid w:val="000B6E62"/>
    <w:rsid w:val="000B7242"/>
    <w:rsid w:val="000B7297"/>
    <w:rsid w:val="000B72BC"/>
    <w:rsid w:val="000B739A"/>
    <w:rsid w:val="000B7448"/>
    <w:rsid w:val="000B749B"/>
    <w:rsid w:val="000B77B1"/>
    <w:rsid w:val="000B78D0"/>
    <w:rsid w:val="000B79E4"/>
    <w:rsid w:val="000B7A0C"/>
    <w:rsid w:val="000B7A71"/>
    <w:rsid w:val="000B7B72"/>
    <w:rsid w:val="000B7C86"/>
    <w:rsid w:val="000B7D03"/>
    <w:rsid w:val="000B7EBA"/>
    <w:rsid w:val="000B7F36"/>
    <w:rsid w:val="000C0199"/>
    <w:rsid w:val="000C0380"/>
    <w:rsid w:val="000C048D"/>
    <w:rsid w:val="000C04CD"/>
    <w:rsid w:val="000C04D3"/>
    <w:rsid w:val="000C0521"/>
    <w:rsid w:val="000C085D"/>
    <w:rsid w:val="000C0909"/>
    <w:rsid w:val="000C0988"/>
    <w:rsid w:val="000C0A1D"/>
    <w:rsid w:val="000C0A4A"/>
    <w:rsid w:val="000C0BA9"/>
    <w:rsid w:val="000C0D45"/>
    <w:rsid w:val="000C0E08"/>
    <w:rsid w:val="000C1241"/>
    <w:rsid w:val="000C154D"/>
    <w:rsid w:val="000C156E"/>
    <w:rsid w:val="000C1624"/>
    <w:rsid w:val="000C1658"/>
    <w:rsid w:val="000C1762"/>
    <w:rsid w:val="000C17D5"/>
    <w:rsid w:val="000C186A"/>
    <w:rsid w:val="000C18F0"/>
    <w:rsid w:val="000C196B"/>
    <w:rsid w:val="000C19AD"/>
    <w:rsid w:val="000C1B38"/>
    <w:rsid w:val="000C1C3B"/>
    <w:rsid w:val="000C1C99"/>
    <w:rsid w:val="000C1D12"/>
    <w:rsid w:val="000C1E94"/>
    <w:rsid w:val="000C1FF0"/>
    <w:rsid w:val="000C207A"/>
    <w:rsid w:val="000C216A"/>
    <w:rsid w:val="000C229C"/>
    <w:rsid w:val="000C2324"/>
    <w:rsid w:val="000C239D"/>
    <w:rsid w:val="000C23E2"/>
    <w:rsid w:val="000C2572"/>
    <w:rsid w:val="000C2754"/>
    <w:rsid w:val="000C280B"/>
    <w:rsid w:val="000C28F1"/>
    <w:rsid w:val="000C2D5D"/>
    <w:rsid w:val="000C2DC2"/>
    <w:rsid w:val="000C2E8B"/>
    <w:rsid w:val="000C2F9D"/>
    <w:rsid w:val="000C33F3"/>
    <w:rsid w:val="000C3481"/>
    <w:rsid w:val="000C35EF"/>
    <w:rsid w:val="000C3752"/>
    <w:rsid w:val="000C3926"/>
    <w:rsid w:val="000C3A29"/>
    <w:rsid w:val="000C3A32"/>
    <w:rsid w:val="000C3BE4"/>
    <w:rsid w:val="000C3BFA"/>
    <w:rsid w:val="000C3C7E"/>
    <w:rsid w:val="000C3D64"/>
    <w:rsid w:val="000C3DB8"/>
    <w:rsid w:val="000C3DE5"/>
    <w:rsid w:val="000C3E51"/>
    <w:rsid w:val="000C3FFF"/>
    <w:rsid w:val="000C4018"/>
    <w:rsid w:val="000C4056"/>
    <w:rsid w:val="000C409A"/>
    <w:rsid w:val="000C4120"/>
    <w:rsid w:val="000C4298"/>
    <w:rsid w:val="000C42C6"/>
    <w:rsid w:val="000C44C4"/>
    <w:rsid w:val="000C468A"/>
    <w:rsid w:val="000C46FD"/>
    <w:rsid w:val="000C4719"/>
    <w:rsid w:val="000C47C4"/>
    <w:rsid w:val="000C4944"/>
    <w:rsid w:val="000C4B08"/>
    <w:rsid w:val="000C4BE9"/>
    <w:rsid w:val="000C4D43"/>
    <w:rsid w:val="000C4F16"/>
    <w:rsid w:val="000C4FCC"/>
    <w:rsid w:val="000C4FE1"/>
    <w:rsid w:val="000C5017"/>
    <w:rsid w:val="000C50CB"/>
    <w:rsid w:val="000C52F1"/>
    <w:rsid w:val="000C53B8"/>
    <w:rsid w:val="000C5436"/>
    <w:rsid w:val="000C54B0"/>
    <w:rsid w:val="000C5510"/>
    <w:rsid w:val="000C5726"/>
    <w:rsid w:val="000C58AC"/>
    <w:rsid w:val="000C58E0"/>
    <w:rsid w:val="000C5938"/>
    <w:rsid w:val="000C59E9"/>
    <w:rsid w:val="000C5C04"/>
    <w:rsid w:val="000C5C35"/>
    <w:rsid w:val="000C5D60"/>
    <w:rsid w:val="000C5E4F"/>
    <w:rsid w:val="000C5EF3"/>
    <w:rsid w:val="000C5F1A"/>
    <w:rsid w:val="000C5F59"/>
    <w:rsid w:val="000C60FB"/>
    <w:rsid w:val="000C6185"/>
    <w:rsid w:val="000C6187"/>
    <w:rsid w:val="000C62A9"/>
    <w:rsid w:val="000C648A"/>
    <w:rsid w:val="000C64A4"/>
    <w:rsid w:val="000C659E"/>
    <w:rsid w:val="000C65F0"/>
    <w:rsid w:val="000C6603"/>
    <w:rsid w:val="000C661A"/>
    <w:rsid w:val="000C6657"/>
    <w:rsid w:val="000C66EB"/>
    <w:rsid w:val="000C6B45"/>
    <w:rsid w:val="000C6B7F"/>
    <w:rsid w:val="000C6BDB"/>
    <w:rsid w:val="000C6BF3"/>
    <w:rsid w:val="000C6C31"/>
    <w:rsid w:val="000C6CC7"/>
    <w:rsid w:val="000C6D3E"/>
    <w:rsid w:val="000C6D87"/>
    <w:rsid w:val="000C6DB1"/>
    <w:rsid w:val="000C6E22"/>
    <w:rsid w:val="000C6E75"/>
    <w:rsid w:val="000C6EF0"/>
    <w:rsid w:val="000C7041"/>
    <w:rsid w:val="000C708A"/>
    <w:rsid w:val="000C70F1"/>
    <w:rsid w:val="000C7140"/>
    <w:rsid w:val="000C7168"/>
    <w:rsid w:val="000C74A7"/>
    <w:rsid w:val="000C7749"/>
    <w:rsid w:val="000C7892"/>
    <w:rsid w:val="000C78C0"/>
    <w:rsid w:val="000C795A"/>
    <w:rsid w:val="000C7A37"/>
    <w:rsid w:val="000C7A3A"/>
    <w:rsid w:val="000C7A77"/>
    <w:rsid w:val="000C7C97"/>
    <w:rsid w:val="000C7D10"/>
    <w:rsid w:val="000C7D70"/>
    <w:rsid w:val="000C7D84"/>
    <w:rsid w:val="000C7D9C"/>
    <w:rsid w:val="000C7DC2"/>
    <w:rsid w:val="000D0032"/>
    <w:rsid w:val="000D0250"/>
    <w:rsid w:val="000D0353"/>
    <w:rsid w:val="000D03B5"/>
    <w:rsid w:val="000D0430"/>
    <w:rsid w:val="000D04A7"/>
    <w:rsid w:val="000D05C7"/>
    <w:rsid w:val="000D071C"/>
    <w:rsid w:val="000D0732"/>
    <w:rsid w:val="000D07A0"/>
    <w:rsid w:val="000D07DB"/>
    <w:rsid w:val="000D094C"/>
    <w:rsid w:val="000D094D"/>
    <w:rsid w:val="000D09CD"/>
    <w:rsid w:val="000D0A91"/>
    <w:rsid w:val="000D0ADD"/>
    <w:rsid w:val="000D0C13"/>
    <w:rsid w:val="000D0D67"/>
    <w:rsid w:val="000D0FF0"/>
    <w:rsid w:val="000D1151"/>
    <w:rsid w:val="000D11C0"/>
    <w:rsid w:val="000D12A1"/>
    <w:rsid w:val="000D1319"/>
    <w:rsid w:val="000D131E"/>
    <w:rsid w:val="000D13A3"/>
    <w:rsid w:val="000D1422"/>
    <w:rsid w:val="000D143A"/>
    <w:rsid w:val="000D1535"/>
    <w:rsid w:val="000D1537"/>
    <w:rsid w:val="000D1539"/>
    <w:rsid w:val="000D174A"/>
    <w:rsid w:val="000D18F4"/>
    <w:rsid w:val="000D19B6"/>
    <w:rsid w:val="000D1A14"/>
    <w:rsid w:val="000D1B5D"/>
    <w:rsid w:val="000D1B6A"/>
    <w:rsid w:val="000D1B89"/>
    <w:rsid w:val="000D1C1E"/>
    <w:rsid w:val="000D1E52"/>
    <w:rsid w:val="000D1E8E"/>
    <w:rsid w:val="000D1F52"/>
    <w:rsid w:val="000D222C"/>
    <w:rsid w:val="000D22B0"/>
    <w:rsid w:val="000D25D2"/>
    <w:rsid w:val="000D25F8"/>
    <w:rsid w:val="000D2905"/>
    <w:rsid w:val="000D2AF2"/>
    <w:rsid w:val="000D2B1F"/>
    <w:rsid w:val="000D2BCA"/>
    <w:rsid w:val="000D2CB7"/>
    <w:rsid w:val="000D2D02"/>
    <w:rsid w:val="000D2E5F"/>
    <w:rsid w:val="000D2EC8"/>
    <w:rsid w:val="000D2F14"/>
    <w:rsid w:val="000D2F3D"/>
    <w:rsid w:val="000D2FAF"/>
    <w:rsid w:val="000D2FD6"/>
    <w:rsid w:val="000D303D"/>
    <w:rsid w:val="000D32B9"/>
    <w:rsid w:val="000D32BF"/>
    <w:rsid w:val="000D3349"/>
    <w:rsid w:val="000D33E7"/>
    <w:rsid w:val="000D343A"/>
    <w:rsid w:val="000D345A"/>
    <w:rsid w:val="000D3562"/>
    <w:rsid w:val="000D35A4"/>
    <w:rsid w:val="000D35B4"/>
    <w:rsid w:val="000D3836"/>
    <w:rsid w:val="000D386B"/>
    <w:rsid w:val="000D3934"/>
    <w:rsid w:val="000D3B4C"/>
    <w:rsid w:val="000D3CA7"/>
    <w:rsid w:val="000D3CE2"/>
    <w:rsid w:val="000D3D18"/>
    <w:rsid w:val="000D3D71"/>
    <w:rsid w:val="000D3D9D"/>
    <w:rsid w:val="000D3DFB"/>
    <w:rsid w:val="000D3E71"/>
    <w:rsid w:val="000D3EB7"/>
    <w:rsid w:val="000D3F18"/>
    <w:rsid w:val="000D3F30"/>
    <w:rsid w:val="000D3FFA"/>
    <w:rsid w:val="000D4040"/>
    <w:rsid w:val="000D41A8"/>
    <w:rsid w:val="000D429A"/>
    <w:rsid w:val="000D431D"/>
    <w:rsid w:val="000D431F"/>
    <w:rsid w:val="000D436B"/>
    <w:rsid w:val="000D44DB"/>
    <w:rsid w:val="000D457B"/>
    <w:rsid w:val="000D45A4"/>
    <w:rsid w:val="000D47A0"/>
    <w:rsid w:val="000D4820"/>
    <w:rsid w:val="000D4862"/>
    <w:rsid w:val="000D486C"/>
    <w:rsid w:val="000D498C"/>
    <w:rsid w:val="000D49DE"/>
    <w:rsid w:val="000D4AB0"/>
    <w:rsid w:val="000D4BEE"/>
    <w:rsid w:val="000D4C4F"/>
    <w:rsid w:val="000D4CE6"/>
    <w:rsid w:val="000D4CEF"/>
    <w:rsid w:val="000D4DC1"/>
    <w:rsid w:val="000D4DF0"/>
    <w:rsid w:val="000D4E2F"/>
    <w:rsid w:val="000D4E8D"/>
    <w:rsid w:val="000D4ECE"/>
    <w:rsid w:val="000D500D"/>
    <w:rsid w:val="000D5029"/>
    <w:rsid w:val="000D5057"/>
    <w:rsid w:val="000D5099"/>
    <w:rsid w:val="000D50B8"/>
    <w:rsid w:val="000D515E"/>
    <w:rsid w:val="000D515F"/>
    <w:rsid w:val="000D526B"/>
    <w:rsid w:val="000D53D9"/>
    <w:rsid w:val="000D5475"/>
    <w:rsid w:val="000D54F3"/>
    <w:rsid w:val="000D5681"/>
    <w:rsid w:val="000D570B"/>
    <w:rsid w:val="000D57F6"/>
    <w:rsid w:val="000D5817"/>
    <w:rsid w:val="000D5849"/>
    <w:rsid w:val="000D5AAD"/>
    <w:rsid w:val="000D5B92"/>
    <w:rsid w:val="000D5C21"/>
    <w:rsid w:val="000D5CCD"/>
    <w:rsid w:val="000D5D36"/>
    <w:rsid w:val="000D5EF0"/>
    <w:rsid w:val="000D5F15"/>
    <w:rsid w:val="000D61A4"/>
    <w:rsid w:val="000D64AA"/>
    <w:rsid w:val="000D659F"/>
    <w:rsid w:val="000D6630"/>
    <w:rsid w:val="000D66F0"/>
    <w:rsid w:val="000D67D7"/>
    <w:rsid w:val="000D67E2"/>
    <w:rsid w:val="000D6987"/>
    <w:rsid w:val="000D6A62"/>
    <w:rsid w:val="000D6A6F"/>
    <w:rsid w:val="000D6D91"/>
    <w:rsid w:val="000D6DC6"/>
    <w:rsid w:val="000D6EDD"/>
    <w:rsid w:val="000D7009"/>
    <w:rsid w:val="000D715D"/>
    <w:rsid w:val="000D73DF"/>
    <w:rsid w:val="000D7491"/>
    <w:rsid w:val="000D74A4"/>
    <w:rsid w:val="000D754C"/>
    <w:rsid w:val="000D7666"/>
    <w:rsid w:val="000D777B"/>
    <w:rsid w:val="000D7888"/>
    <w:rsid w:val="000D7903"/>
    <w:rsid w:val="000D7A45"/>
    <w:rsid w:val="000D7C87"/>
    <w:rsid w:val="000D7CA6"/>
    <w:rsid w:val="000D7D18"/>
    <w:rsid w:val="000D7D81"/>
    <w:rsid w:val="000D7DC8"/>
    <w:rsid w:val="000E0015"/>
    <w:rsid w:val="000E0061"/>
    <w:rsid w:val="000E015D"/>
    <w:rsid w:val="000E016B"/>
    <w:rsid w:val="000E0358"/>
    <w:rsid w:val="000E0406"/>
    <w:rsid w:val="000E042D"/>
    <w:rsid w:val="000E06FE"/>
    <w:rsid w:val="000E0944"/>
    <w:rsid w:val="000E09B5"/>
    <w:rsid w:val="000E0A70"/>
    <w:rsid w:val="000E0AC3"/>
    <w:rsid w:val="000E0B5E"/>
    <w:rsid w:val="000E0C52"/>
    <w:rsid w:val="000E0CAB"/>
    <w:rsid w:val="000E0DCD"/>
    <w:rsid w:val="000E0E13"/>
    <w:rsid w:val="000E0E67"/>
    <w:rsid w:val="000E0FCF"/>
    <w:rsid w:val="000E10E2"/>
    <w:rsid w:val="000E110D"/>
    <w:rsid w:val="000E118C"/>
    <w:rsid w:val="000E1298"/>
    <w:rsid w:val="000E130A"/>
    <w:rsid w:val="000E13F6"/>
    <w:rsid w:val="000E141E"/>
    <w:rsid w:val="000E1527"/>
    <w:rsid w:val="000E1592"/>
    <w:rsid w:val="000E15FC"/>
    <w:rsid w:val="000E16B2"/>
    <w:rsid w:val="000E16B4"/>
    <w:rsid w:val="000E17BB"/>
    <w:rsid w:val="000E17BE"/>
    <w:rsid w:val="000E1921"/>
    <w:rsid w:val="000E19A1"/>
    <w:rsid w:val="000E19A3"/>
    <w:rsid w:val="000E19DF"/>
    <w:rsid w:val="000E19F7"/>
    <w:rsid w:val="000E1AD7"/>
    <w:rsid w:val="000E1B88"/>
    <w:rsid w:val="000E1BB6"/>
    <w:rsid w:val="000E1CE0"/>
    <w:rsid w:val="000E1D45"/>
    <w:rsid w:val="000E1FDB"/>
    <w:rsid w:val="000E225E"/>
    <w:rsid w:val="000E236D"/>
    <w:rsid w:val="000E23AC"/>
    <w:rsid w:val="000E23F0"/>
    <w:rsid w:val="000E24D3"/>
    <w:rsid w:val="000E24F1"/>
    <w:rsid w:val="000E2652"/>
    <w:rsid w:val="000E26D4"/>
    <w:rsid w:val="000E277F"/>
    <w:rsid w:val="000E27D6"/>
    <w:rsid w:val="000E2900"/>
    <w:rsid w:val="000E29F2"/>
    <w:rsid w:val="000E2A9C"/>
    <w:rsid w:val="000E2AC0"/>
    <w:rsid w:val="000E2AE8"/>
    <w:rsid w:val="000E2B8C"/>
    <w:rsid w:val="000E2D6C"/>
    <w:rsid w:val="000E3034"/>
    <w:rsid w:val="000E3039"/>
    <w:rsid w:val="000E3120"/>
    <w:rsid w:val="000E31BB"/>
    <w:rsid w:val="000E32B2"/>
    <w:rsid w:val="000E34D7"/>
    <w:rsid w:val="000E3504"/>
    <w:rsid w:val="000E3677"/>
    <w:rsid w:val="000E3693"/>
    <w:rsid w:val="000E383F"/>
    <w:rsid w:val="000E3850"/>
    <w:rsid w:val="000E3A20"/>
    <w:rsid w:val="000E3C21"/>
    <w:rsid w:val="000E3CB7"/>
    <w:rsid w:val="000E3DE5"/>
    <w:rsid w:val="000E3E14"/>
    <w:rsid w:val="000E3EF3"/>
    <w:rsid w:val="000E3FE4"/>
    <w:rsid w:val="000E418C"/>
    <w:rsid w:val="000E41DD"/>
    <w:rsid w:val="000E43A7"/>
    <w:rsid w:val="000E43AC"/>
    <w:rsid w:val="000E454C"/>
    <w:rsid w:val="000E474F"/>
    <w:rsid w:val="000E48D0"/>
    <w:rsid w:val="000E494F"/>
    <w:rsid w:val="000E4971"/>
    <w:rsid w:val="000E4A9B"/>
    <w:rsid w:val="000E4B39"/>
    <w:rsid w:val="000E4B89"/>
    <w:rsid w:val="000E4C76"/>
    <w:rsid w:val="000E4F52"/>
    <w:rsid w:val="000E516D"/>
    <w:rsid w:val="000E518E"/>
    <w:rsid w:val="000E52F3"/>
    <w:rsid w:val="000E5305"/>
    <w:rsid w:val="000E53E9"/>
    <w:rsid w:val="000E56B7"/>
    <w:rsid w:val="000E5942"/>
    <w:rsid w:val="000E59DF"/>
    <w:rsid w:val="000E59E6"/>
    <w:rsid w:val="000E59F9"/>
    <w:rsid w:val="000E5AB2"/>
    <w:rsid w:val="000E5BB0"/>
    <w:rsid w:val="000E5D29"/>
    <w:rsid w:val="000E5D4C"/>
    <w:rsid w:val="000E5E54"/>
    <w:rsid w:val="000E6024"/>
    <w:rsid w:val="000E6251"/>
    <w:rsid w:val="000E63E2"/>
    <w:rsid w:val="000E64E2"/>
    <w:rsid w:val="000E665C"/>
    <w:rsid w:val="000E6684"/>
    <w:rsid w:val="000E6700"/>
    <w:rsid w:val="000E67A7"/>
    <w:rsid w:val="000E69A3"/>
    <w:rsid w:val="000E69AA"/>
    <w:rsid w:val="000E6A8B"/>
    <w:rsid w:val="000E6AE2"/>
    <w:rsid w:val="000E6C91"/>
    <w:rsid w:val="000E6C94"/>
    <w:rsid w:val="000E6D80"/>
    <w:rsid w:val="000E6D99"/>
    <w:rsid w:val="000E6DB6"/>
    <w:rsid w:val="000E6E01"/>
    <w:rsid w:val="000E6E2F"/>
    <w:rsid w:val="000E6E83"/>
    <w:rsid w:val="000E6EF5"/>
    <w:rsid w:val="000E6F00"/>
    <w:rsid w:val="000E7054"/>
    <w:rsid w:val="000E7092"/>
    <w:rsid w:val="000E716F"/>
    <w:rsid w:val="000E719E"/>
    <w:rsid w:val="000E71DB"/>
    <w:rsid w:val="000E728F"/>
    <w:rsid w:val="000E72DE"/>
    <w:rsid w:val="000E746B"/>
    <w:rsid w:val="000E74E1"/>
    <w:rsid w:val="000E75A4"/>
    <w:rsid w:val="000E75F7"/>
    <w:rsid w:val="000E763D"/>
    <w:rsid w:val="000E7687"/>
    <w:rsid w:val="000E7742"/>
    <w:rsid w:val="000E7822"/>
    <w:rsid w:val="000E78D4"/>
    <w:rsid w:val="000E7911"/>
    <w:rsid w:val="000E7A6D"/>
    <w:rsid w:val="000E7BFF"/>
    <w:rsid w:val="000E7D33"/>
    <w:rsid w:val="000E7D3A"/>
    <w:rsid w:val="000E7D88"/>
    <w:rsid w:val="000E7E1E"/>
    <w:rsid w:val="000E7F51"/>
    <w:rsid w:val="000F000A"/>
    <w:rsid w:val="000F0031"/>
    <w:rsid w:val="000F03AE"/>
    <w:rsid w:val="000F0595"/>
    <w:rsid w:val="000F05BD"/>
    <w:rsid w:val="000F0843"/>
    <w:rsid w:val="000F08EE"/>
    <w:rsid w:val="000F0ADD"/>
    <w:rsid w:val="000F0BDB"/>
    <w:rsid w:val="000F0C67"/>
    <w:rsid w:val="000F0D35"/>
    <w:rsid w:val="000F0D4C"/>
    <w:rsid w:val="000F0E28"/>
    <w:rsid w:val="000F0E69"/>
    <w:rsid w:val="000F1039"/>
    <w:rsid w:val="000F103B"/>
    <w:rsid w:val="000F10E3"/>
    <w:rsid w:val="000F1168"/>
    <w:rsid w:val="000F1363"/>
    <w:rsid w:val="000F13D5"/>
    <w:rsid w:val="000F1477"/>
    <w:rsid w:val="000F1497"/>
    <w:rsid w:val="000F1584"/>
    <w:rsid w:val="000F18C4"/>
    <w:rsid w:val="000F1937"/>
    <w:rsid w:val="000F1A17"/>
    <w:rsid w:val="000F1B4D"/>
    <w:rsid w:val="000F1B99"/>
    <w:rsid w:val="000F1C38"/>
    <w:rsid w:val="000F1D0A"/>
    <w:rsid w:val="000F1D45"/>
    <w:rsid w:val="000F1DF0"/>
    <w:rsid w:val="000F1E16"/>
    <w:rsid w:val="000F20F3"/>
    <w:rsid w:val="000F20F8"/>
    <w:rsid w:val="000F215F"/>
    <w:rsid w:val="000F2183"/>
    <w:rsid w:val="000F2194"/>
    <w:rsid w:val="000F2282"/>
    <w:rsid w:val="000F22B7"/>
    <w:rsid w:val="000F22C8"/>
    <w:rsid w:val="000F23B7"/>
    <w:rsid w:val="000F2429"/>
    <w:rsid w:val="000F24D4"/>
    <w:rsid w:val="000F253E"/>
    <w:rsid w:val="000F2594"/>
    <w:rsid w:val="000F281E"/>
    <w:rsid w:val="000F299B"/>
    <w:rsid w:val="000F2BDD"/>
    <w:rsid w:val="000F2D1D"/>
    <w:rsid w:val="000F2D24"/>
    <w:rsid w:val="000F2D81"/>
    <w:rsid w:val="000F2E04"/>
    <w:rsid w:val="000F2E52"/>
    <w:rsid w:val="000F2E86"/>
    <w:rsid w:val="000F2EC1"/>
    <w:rsid w:val="000F2F0A"/>
    <w:rsid w:val="000F30D4"/>
    <w:rsid w:val="000F30E1"/>
    <w:rsid w:val="000F30E8"/>
    <w:rsid w:val="000F324F"/>
    <w:rsid w:val="000F3328"/>
    <w:rsid w:val="000F3396"/>
    <w:rsid w:val="000F33DC"/>
    <w:rsid w:val="000F34CA"/>
    <w:rsid w:val="000F351A"/>
    <w:rsid w:val="000F3574"/>
    <w:rsid w:val="000F35AF"/>
    <w:rsid w:val="000F3610"/>
    <w:rsid w:val="000F3624"/>
    <w:rsid w:val="000F36B2"/>
    <w:rsid w:val="000F36FB"/>
    <w:rsid w:val="000F3724"/>
    <w:rsid w:val="000F39B7"/>
    <w:rsid w:val="000F3B94"/>
    <w:rsid w:val="000F3C21"/>
    <w:rsid w:val="000F3C94"/>
    <w:rsid w:val="000F3DD7"/>
    <w:rsid w:val="000F3DE1"/>
    <w:rsid w:val="000F3E69"/>
    <w:rsid w:val="000F3EB4"/>
    <w:rsid w:val="000F4311"/>
    <w:rsid w:val="000F45CC"/>
    <w:rsid w:val="000F4717"/>
    <w:rsid w:val="000F4775"/>
    <w:rsid w:val="000F4987"/>
    <w:rsid w:val="000F4A43"/>
    <w:rsid w:val="000F4A4D"/>
    <w:rsid w:val="000F4C27"/>
    <w:rsid w:val="000F4C96"/>
    <w:rsid w:val="000F4D35"/>
    <w:rsid w:val="000F4E47"/>
    <w:rsid w:val="000F4E62"/>
    <w:rsid w:val="000F4F31"/>
    <w:rsid w:val="000F4FDA"/>
    <w:rsid w:val="000F515B"/>
    <w:rsid w:val="000F51AC"/>
    <w:rsid w:val="000F521F"/>
    <w:rsid w:val="000F522F"/>
    <w:rsid w:val="000F5487"/>
    <w:rsid w:val="000F54F8"/>
    <w:rsid w:val="000F555A"/>
    <w:rsid w:val="000F5725"/>
    <w:rsid w:val="000F5785"/>
    <w:rsid w:val="000F5934"/>
    <w:rsid w:val="000F5A8E"/>
    <w:rsid w:val="000F5B50"/>
    <w:rsid w:val="000F5B85"/>
    <w:rsid w:val="000F5D68"/>
    <w:rsid w:val="000F5DC0"/>
    <w:rsid w:val="000F5F0B"/>
    <w:rsid w:val="000F5F24"/>
    <w:rsid w:val="000F60CC"/>
    <w:rsid w:val="000F60D7"/>
    <w:rsid w:val="000F612F"/>
    <w:rsid w:val="000F6257"/>
    <w:rsid w:val="000F6267"/>
    <w:rsid w:val="000F6442"/>
    <w:rsid w:val="000F646C"/>
    <w:rsid w:val="000F64E7"/>
    <w:rsid w:val="000F65BC"/>
    <w:rsid w:val="000F667F"/>
    <w:rsid w:val="000F66FF"/>
    <w:rsid w:val="000F67E0"/>
    <w:rsid w:val="000F699A"/>
    <w:rsid w:val="000F6A0D"/>
    <w:rsid w:val="000F6A80"/>
    <w:rsid w:val="000F6BA0"/>
    <w:rsid w:val="000F6C34"/>
    <w:rsid w:val="000F6C67"/>
    <w:rsid w:val="000F6D06"/>
    <w:rsid w:val="000F6D86"/>
    <w:rsid w:val="000F6E47"/>
    <w:rsid w:val="000F6E4A"/>
    <w:rsid w:val="000F6E8C"/>
    <w:rsid w:val="000F702C"/>
    <w:rsid w:val="000F7040"/>
    <w:rsid w:val="000F704D"/>
    <w:rsid w:val="000F70D7"/>
    <w:rsid w:val="000F70EA"/>
    <w:rsid w:val="000F713B"/>
    <w:rsid w:val="000F719A"/>
    <w:rsid w:val="000F72B9"/>
    <w:rsid w:val="000F72E5"/>
    <w:rsid w:val="000F735D"/>
    <w:rsid w:val="000F7534"/>
    <w:rsid w:val="000F773D"/>
    <w:rsid w:val="000F7A1E"/>
    <w:rsid w:val="000F7A7B"/>
    <w:rsid w:val="000F7A95"/>
    <w:rsid w:val="000F7AB2"/>
    <w:rsid w:val="000F7B70"/>
    <w:rsid w:val="000F7C2D"/>
    <w:rsid w:val="000F7DFA"/>
    <w:rsid w:val="000F7F80"/>
    <w:rsid w:val="001000B2"/>
    <w:rsid w:val="001000C4"/>
    <w:rsid w:val="001000E7"/>
    <w:rsid w:val="0010012A"/>
    <w:rsid w:val="00100208"/>
    <w:rsid w:val="001002F3"/>
    <w:rsid w:val="00100302"/>
    <w:rsid w:val="0010039E"/>
    <w:rsid w:val="001003EA"/>
    <w:rsid w:val="00100559"/>
    <w:rsid w:val="001006CB"/>
    <w:rsid w:val="001006D2"/>
    <w:rsid w:val="001006D3"/>
    <w:rsid w:val="001006FC"/>
    <w:rsid w:val="001008A7"/>
    <w:rsid w:val="00100A21"/>
    <w:rsid w:val="00100C33"/>
    <w:rsid w:val="00100DDD"/>
    <w:rsid w:val="00100E86"/>
    <w:rsid w:val="00100F2A"/>
    <w:rsid w:val="00100FD3"/>
    <w:rsid w:val="0010116D"/>
    <w:rsid w:val="00101224"/>
    <w:rsid w:val="00101346"/>
    <w:rsid w:val="00101435"/>
    <w:rsid w:val="0010148D"/>
    <w:rsid w:val="00101490"/>
    <w:rsid w:val="0010157D"/>
    <w:rsid w:val="00101645"/>
    <w:rsid w:val="0010169E"/>
    <w:rsid w:val="0010172E"/>
    <w:rsid w:val="0010174C"/>
    <w:rsid w:val="0010177C"/>
    <w:rsid w:val="001017A3"/>
    <w:rsid w:val="001018DD"/>
    <w:rsid w:val="00101908"/>
    <w:rsid w:val="00101A6C"/>
    <w:rsid w:val="00101AC5"/>
    <w:rsid w:val="00101C48"/>
    <w:rsid w:val="00101CED"/>
    <w:rsid w:val="00101DE8"/>
    <w:rsid w:val="00101E0D"/>
    <w:rsid w:val="00101F45"/>
    <w:rsid w:val="001020EB"/>
    <w:rsid w:val="0010212F"/>
    <w:rsid w:val="00102136"/>
    <w:rsid w:val="0010221A"/>
    <w:rsid w:val="001022C0"/>
    <w:rsid w:val="0010232B"/>
    <w:rsid w:val="001024C0"/>
    <w:rsid w:val="001024E4"/>
    <w:rsid w:val="0010251D"/>
    <w:rsid w:val="0010261B"/>
    <w:rsid w:val="00102688"/>
    <w:rsid w:val="0010272F"/>
    <w:rsid w:val="00102802"/>
    <w:rsid w:val="001028A5"/>
    <w:rsid w:val="001028D5"/>
    <w:rsid w:val="001029CF"/>
    <w:rsid w:val="00102A52"/>
    <w:rsid w:val="00102A6E"/>
    <w:rsid w:val="00102A6F"/>
    <w:rsid w:val="00102B5D"/>
    <w:rsid w:val="00102B7A"/>
    <w:rsid w:val="00102B8B"/>
    <w:rsid w:val="00102BF0"/>
    <w:rsid w:val="00102C0C"/>
    <w:rsid w:val="00102C2A"/>
    <w:rsid w:val="00102C41"/>
    <w:rsid w:val="00102D33"/>
    <w:rsid w:val="00102D5F"/>
    <w:rsid w:val="00102D78"/>
    <w:rsid w:val="00102E67"/>
    <w:rsid w:val="00102F3C"/>
    <w:rsid w:val="00102FB3"/>
    <w:rsid w:val="00103065"/>
    <w:rsid w:val="0010306C"/>
    <w:rsid w:val="001030A6"/>
    <w:rsid w:val="00103190"/>
    <w:rsid w:val="001031F7"/>
    <w:rsid w:val="00103239"/>
    <w:rsid w:val="00103280"/>
    <w:rsid w:val="00103408"/>
    <w:rsid w:val="00103457"/>
    <w:rsid w:val="001034E0"/>
    <w:rsid w:val="00103621"/>
    <w:rsid w:val="00103645"/>
    <w:rsid w:val="0010371B"/>
    <w:rsid w:val="001037E6"/>
    <w:rsid w:val="00103887"/>
    <w:rsid w:val="001038A2"/>
    <w:rsid w:val="00103924"/>
    <w:rsid w:val="0010392B"/>
    <w:rsid w:val="00103960"/>
    <w:rsid w:val="00103A2D"/>
    <w:rsid w:val="00103B57"/>
    <w:rsid w:val="00103C67"/>
    <w:rsid w:val="00103CA2"/>
    <w:rsid w:val="00103EE3"/>
    <w:rsid w:val="00103F98"/>
    <w:rsid w:val="00103FC8"/>
    <w:rsid w:val="001040D1"/>
    <w:rsid w:val="0010413A"/>
    <w:rsid w:val="00104244"/>
    <w:rsid w:val="001042CC"/>
    <w:rsid w:val="0010435C"/>
    <w:rsid w:val="00104436"/>
    <w:rsid w:val="00104493"/>
    <w:rsid w:val="001047FA"/>
    <w:rsid w:val="00104992"/>
    <w:rsid w:val="001049BA"/>
    <w:rsid w:val="001049E4"/>
    <w:rsid w:val="00104B25"/>
    <w:rsid w:val="00104CB9"/>
    <w:rsid w:val="00104D8D"/>
    <w:rsid w:val="001051D1"/>
    <w:rsid w:val="00105219"/>
    <w:rsid w:val="0010525D"/>
    <w:rsid w:val="001052A2"/>
    <w:rsid w:val="00105461"/>
    <w:rsid w:val="001054CF"/>
    <w:rsid w:val="00105785"/>
    <w:rsid w:val="00105791"/>
    <w:rsid w:val="0010587D"/>
    <w:rsid w:val="0010594C"/>
    <w:rsid w:val="00105A35"/>
    <w:rsid w:val="00105A98"/>
    <w:rsid w:val="00105B0B"/>
    <w:rsid w:val="00105C0F"/>
    <w:rsid w:val="00106057"/>
    <w:rsid w:val="00106226"/>
    <w:rsid w:val="0010623F"/>
    <w:rsid w:val="001063FA"/>
    <w:rsid w:val="001065F5"/>
    <w:rsid w:val="00106674"/>
    <w:rsid w:val="001066DE"/>
    <w:rsid w:val="0010682B"/>
    <w:rsid w:val="00106850"/>
    <w:rsid w:val="00106863"/>
    <w:rsid w:val="0010693E"/>
    <w:rsid w:val="00106944"/>
    <w:rsid w:val="00106A94"/>
    <w:rsid w:val="00106B4A"/>
    <w:rsid w:val="00106D04"/>
    <w:rsid w:val="00106D70"/>
    <w:rsid w:val="00106E2C"/>
    <w:rsid w:val="00107187"/>
    <w:rsid w:val="00107207"/>
    <w:rsid w:val="001072A4"/>
    <w:rsid w:val="001072E2"/>
    <w:rsid w:val="001073B4"/>
    <w:rsid w:val="0010749B"/>
    <w:rsid w:val="0010749C"/>
    <w:rsid w:val="0010750F"/>
    <w:rsid w:val="00107753"/>
    <w:rsid w:val="001077D2"/>
    <w:rsid w:val="001078C5"/>
    <w:rsid w:val="001079A5"/>
    <w:rsid w:val="001079E6"/>
    <w:rsid w:val="00107AEA"/>
    <w:rsid w:val="00107AF8"/>
    <w:rsid w:val="00107C46"/>
    <w:rsid w:val="00107D13"/>
    <w:rsid w:val="00107DA0"/>
    <w:rsid w:val="00107DB9"/>
    <w:rsid w:val="00107E19"/>
    <w:rsid w:val="00107E46"/>
    <w:rsid w:val="00107EE3"/>
    <w:rsid w:val="00107F08"/>
    <w:rsid w:val="00107F62"/>
    <w:rsid w:val="001102A8"/>
    <w:rsid w:val="00110365"/>
    <w:rsid w:val="0011044C"/>
    <w:rsid w:val="0011056D"/>
    <w:rsid w:val="001105C2"/>
    <w:rsid w:val="001105F1"/>
    <w:rsid w:val="0011066E"/>
    <w:rsid w:val="00110674"/>
    <w:rsid w:val="001106A2"/>
    <w:rsid w:val="001107A2"/>
    <w:rsid w:val="00110895"/>
    <w:rsid w:val="001108ED"/>
    <w:rsid w:val="00110943"/>
    <w:rsid w:val="001109D5"/>
    <w:rsid w:val="00110B15"/>
    <w:rsid w:val="00110B7B"/>
    <w:rsid w:val="00110BBD"/>
    <w:rsid w:val="00110BF7"/>
    <w:rsid w:val="00110E4E"/>
    <w:rsid w:val="00110E73"/>
    <w:rsid w:val="00110EEB"/>
    <w:rsid w:val="00111004"/>
    <w:rsid w:val="001111A9"/>
    <w:rsid w:val="001111B4"/>
    <w:rsid w:val="00111267"/>
    <w:rsid w:val="001114D9"/>
    <w:rsid w:val="001115E0"/>
    <w:rsid w:val="001116E8"/>
    <w:rsid w:val="001117E8"/>
    <w:rsid w:val="001117F9"/>
    <w:rsid w:val="0011181F"/>
    <w:rsid w:val="0011199E"/>
    <w:rsid w:val="001119B2"/>
    <w:rsid w:val="001119FC"/>
    <w:rsid w:val="00111A50"/>
    <w:rsid w:val="00111C4C"/>
    <w:rsid w:val="00111D01"/>
    <w:rsid w:val="00111D50"/>
    <w:rsid w:val="00111D82"/>
    <w:rsid w:val="00111DAC"/>
    <w:rsid w:val="00111DEC"/>
    <w:rsid w:val="00111F02"/>
    <w:rsid w:val="00111FF2"/>
    <w:rsid w:val="00111FFC"/>
    <w:rsid w:val="00112042"/>
    <w:rsid w:val="001120C5"/>
    <w:rsid w:val="001122DC"/>
    <w:rsid w:val="00112336"/>
    <w:rsid w:val="0011241B"/>
    <w:rsid w:val="00112781"/>
    <w:rsid w:val="00112876"/>
    <w:rsid w:val="00112B41"/>
    <w:rsid w:val="00112E74"/>
    <w:rsid w:val="00112FB9"/>
    <w:rsid w:val="001130AB"/>
    <w:rsid w:val="001131B4"/>
    <w:rsid w:val="00113247"/>
    <w:rsid w:val="00113370"/>
    <w:rsid w:val="0011338C"/>
    <w:rsid w:val="00113550"/>
    <w:rsid w:val="00113583"/>
    <w:rsid w:val="0011390E"/>
    <w:rsid w:val="00113985"/>
    <w:rsid w:val="001139A9"/>
    <w:rsid w:val="001139AC"/>
    <w:rsid w:val="001139B1"/>
    <w:rsid w:val="00113B44"/>
    <w:rsid w:val="00113BEC"/>
    <w:rsid w:val="00113CAE"/>
    <w:rsid w:val="00113D23"/>
    <w:rsid w:val="00113ED8"/>
    <w:rsid w:val="00114074"/>
    <w:rsid w:val="00114241"/>
    <w:rsid w:val="001142DD"/>
    <w:rsid w:val="00114352"/>
    <w:rsid w:val="00114385"/>
    <w:rsid w:val="001143D3"/>
    <w:rsid w:val="00114515"/>
    <w:rsid w:val="001145A3"/>
    <w:rsid w:val="00114670"/>
    <w:rsid w:val="001146E8"/>
    <w:rsid w:val="00114851"/>
    <w:rsid w:val="001148C6"/>
    <w:rsid w:val="001148D0"/>
    <w:rsid w:val="00114AA0"/>
    <w:rsid w:val="00114B03"/>
    <w:rsid w:val="00114D1B"/>
    <w:rsid w:val="00114D3E"/>
    <w:rsid w:val="00114D5A"/>
    <w:rsid w:val="00114E67"/>
    <w:rsid w:val="00114EDF"/>
    <w:rsid w:val="00114F8E"/>
    <w:rsid w:val="00114FA4"/>
    <w:rsid w:val="0011523F"/>
    <w:rsid w:val="0011536C"/>
    <w:rsid w:val="00115446"/>
    <w:rsid w:val="0011564F"/>
    <w:rsid w:val="001157CB"/>
    <w:rsid w:val="00115973"/>
    <w:rsid w:val="001159A2"/>
    <w:rsid w:val="001159D9"/>
    <w:rsid w:val="001159F6"/>
    <w:rsid w:val="00115B10"/>
    <w:rsid w:val="00115C68"/>
    <w:rsid w:val="00115CD8"/>
    <w:rsid w:val="00115D11"/>
    <w:rsid w:val="00115DC2"/>
    <w:rsid w:val="00115E21"/>
    <w:rsid w:val="00115E6D"/>
    <w:rsid w:val="00116194"/>
    <w:rsid w:val="00116247"/>
    <w:rsid w:val="001162BE"/>
    <w:rsid w:val="001164D5"/>
    <w:rsid w:val="0011650A"/>
    <w:rsid w:val="00116579"/>
    <w:rsid w:val="001165E4"/>
    <w:rsid w:val="00116631"/>
    <w:rsid w:val="00116881"/>
    <w:rsid w:val="001169C9"/>
    <w:rsid w:val="00116AF2"/>
    <w:rsid w:val="00116BE7"/>
    <w:rsid w:val="00116C6D"/>
    <w:rsid w:val="00116E0F"/>
    <w:rsid w:val="00116E52"/>
    <w:rsid w:val="00116EB4"/>
    <w:rsid w:val="00116EBB"/>
    <w:rsid w:val="00116EC4"/>
    <w:rsid w:val="00117128"/>
    <w:rsid w:val="0011717C"/>
    <w:rsid w:val="0011726C"/>
    <w:rsid w:val="001173C6"/>
    <w:rsid w:val="001173C9"/>
    <w:rsid w:val="001174E7"/>
    <w:rsid w:val="00117501"/>
    <w:rsid w:val="00117547"/>
    <w:rsid w:val="00117556"/>
    <w:rsid w:val="00117608"/>
    <w:rsid w:val="0011783F"/>
    <w:rsid w:val="0011784C"/>
    <w:rsid w:val="0011788F"/>
    <w:rsid w:val="0011794C"/>
    <w:rsid w:val="00117955"/>
    <w:rsid w:val="00117A2A"/>
    <w:rsid w:val="00117AE1"/>
    <w:rsid w:val="00117B7A"/>
    <w:rsid w:val="00117CD5"/>
    <w:rsid w:val="00117E21"/>
    <w:rsid w:val="00117F05"/>
    <w:rsid w:val="00117F39"/>
    <w:rsid w:val="00117FD6"/>
    <w:rsid w:val="0012004B"/>
    <w:rsid w:val="001200D0"/>
    <w:rsid w:val="00120247"/>
    <w:rsid w:val="00120443"/>
    <w:rsid w:val="0012044F"/>
    <w:rsid w:val="00120475"/>
    <w:rsid w:val="0012051F"/>
    <w:rsid w:val="00120542"/>
    <w:rsid w:val="001206EC"/>
    <w:rsid w:val="00120804"/>
    <w:rsid w:val="00120967"/>
    <w:rsid w:val="00120C58"/>
    <w:rsid w:val="00120C7F"/>
    <w:rsid w:val="0012102A"/>
    <w:rsid w:val="0012103E"/>
    <w:rsid w:val="00121114"/>
    <w:rsid w:val="00121205"/>
    <w:rsid w:val="00121272"/>
    <w:rsid w:val="00121467"/>
    <w:rsid w:val="001215A0"/>
    <w:rsid w:val="00121795"/>
    <w:rsid w:val="0012188C"/>
    <w:rsid w:val="0012199C"/>
    <w:rsid w:val="00121ABF"/>
    <w:rsid w:val="00121BBD"/>
    <w:rsid w:val="00121C98"/>
    <w:rsid w:val="00121D51"/>
    <w:rsid w:val="00121E0B"/>
    <w:rsid w:val="00121F12"/>
    <w:rsid w:val="00122126"/>
    <w:rsid w:val="00122228"/>
    <w:rsid w:val="0012229C"/>
    <w:rsid w:val="0012231C"/>
    <w:rsid w:val="001223C3"/>
    <w:rsid w:val="00122423"/>
    <w:rsid w:val="001224BB"/>
    <w:rsid w:val="00122590"/>
    <w:rsid w:val="001225A1"/>
    <w:rsid w:val="001225C5"/>
    <w:rsid w:val="00122662"/>
    <w:rsid w:val="00122672"/>
    <w:rsid w:val="00122681"/>
    <w:rsid w:val="0012270F"/>
    <w:rsid w:val="001227F1"/>
    <w:rsid w:val="00122886"/>
    <w:rsid w:val="0012290A"/>
    <w:rsid w:val="001229FD"/>
    <w:rsid w:val="00122A91"/>
    <w:rsid w:val="00122B41"/>
    <w:rsid w:val="00122B6B"/>
    <w:rsid w:val="00122C19"/>
    <w:rsid w:val="00122D78"/>
    <w:rsid w:val="00122DD3"/>
    <w:rsid w:val="00122E17"/>
    <w:rsid w:val="00122E8D"/>
    <w:rsid w:val="00122ED9"/>
    <w:rsid w:val="00122FB1"/>
    <w:rsid w:val="00123139"/>
    <w:rsid w:val="00123278"/>
    <w:rsid w:val="001232D4"/>
    <w:rsid w:val="001233B9"/>
    <w:rsid w:val="00123423"/>
    <w:rsid w:val="0012342D"/>
    <w:rsid w:val="0012350F"/>
    <w:rsid w:val="00123544"/>
    <w:rsid w:val="00123577"/>
    <w:rsid w:val="001236A4"/>
    <w:rsid w:val="001236EF"/>
    <w:rsid w:val="001237B0"/>
    <w:rsid w:val="001238A5"/>
    <w:rsid w:val="0012394E"/>
    <w:rsid w:val="001239CD"/>
    <w:rsid w:val="00123B11"/>
    <w:rsid w:val="00123C0E"/>
    <w:rsid w:val="00123C24"/>
    <w:rsid w:val="00123D35"/>
    <w:rsid w:val="00123D81"/>
    <w:rsid w:val="00123EC5"/>
    <w:rsid w:val="00123F38"/>
    <w:rsid w:val="00123F3B"/>
    <w:rsid w:val="00124064"/>
    <w:rsid w:val="001240A4"/>
    <w:rsid w:val="001240DF"/>
    <w:rsid w:val="00124204"/>
    <w:rsid w:val="0012429E"/>
    <w:rsid w:val="00124393"/>
    <w:rsid w:val="001244F4"/>
    <w:rsid w:val="0012458E"/>
    <w:rsid w:val="001245B6"/>
    <w:rsid w:val="001247E6"/>
    <w:rsid w:val="0012480E"/>
    <w:rsid w:val="00124943"/>
    <w:rsid w:val="001249FD"/>
    <w:rsid w:val="00124A57"/>
    <w:rsid w:val="00124BFC"/>
    <w:rsid w:val="00124CB7"/>
    <w:rsid w:val="00124E74"/>
    <w:rsid w:val="00124E7E"/>
    <w:rsid w:val="0012511F"/>
    <w:rsid w:val="00125137"/>
    <w:rsid w:val="00125165"/>
    <w:rsid w:val="001251B9"/>
    <w:rsid w:val="0012526C"/>
    <w:rsid w:val="001252C5"/>
    <w:rsid w:val="00125590"/>
    <w:rsid w:val="00125963"/>
    <w:rsid w:val="00125A28"/>
    <w:rsid w:val="00125A46"/>
    <w:rsid w:val="00125AFE"/>
    <w:rsid w:val="00125B44"/>
    <w:rsid w:val="00125B59"/>
    <w:rsid w:val="00125C15"/>
    <w:rsid w:val="00125C25"/>
    <w:rsid w:val="00125CCF"/>
    <w:rsid w:val="00125CED"/>
    <w:rsid w:val="00125DC7"/>
    <w:rsid w:val="00125F38"/>
    <w:rsid w:val="00125F79"/>
    <w:rsid w:val="00125F84"/>
    <w:rsid w:val="0012603F"/>
    <w:rsid w:val="00126180"/>
    <w:rsid w:val="001261A8"/>
    <w:rsid w:val="00126586"/>
    <w:rsid w:val="00126684"/>
    <w:rsid w:val="00126721"/>
    <w:rsid w:val="0012675C"/>
    <w:rsid w:val="00126819"/>
    <w:rsid w:val="00126989"/>
    <w:rsid w:val="00126C08"/>
    <w:rsid w:val="00126DDC"/>
    <w:rsid w:val="00126EAB"/>
    <w:rsid w:val="00126F75"/>
    <w:rsid w:val="00127031"/>
    <w:rsid w:val="00127035"/>
    <w:rsid w:val="0012705F"/>
    <w:rsid w:val="001270A8"/>
    <w:rsid w:val="001270D0"/>
    <w:rsid w:val="001271DD"/>
    <w:rsid w:val="001272B8"/>
    <w:rsid w:val="00127392"/>
    <w:rsid w:val="0012741D"/>
    <w:rsid w:val="0012752A"/>
    <w:rsid w:val="00127593"/>
    <w:rsid w:val="00127595"/>
    <w:rsid w:val="00127640"/>
    <w:rsid w:val="00127863"/>
    <w:rsid w:val="00127880"/>
    <w:rsid w:val="001279EE"/>
    <w:rsid w:val="00127B99"/>
    <w:rsid w:val="00127DD6"/>
    <w:rsid w:val="00127E18"/>
    <w:rsid w:val="00127E73"/>
    <w:rsid w:val="00127F03"/>
    <w:rsid w:val="00127F06"/>
    <w:rsid w:val="00127F87"/>
    <w:rsid w:val="00127F90"/>
    <w:rsid w:val="00127FB4"/>
    <w:rsid w:val="00130031"/>
    <w:rsid w:val="001300EB"/>
    <w:rsid w:val="001302F3"/>
    <w:rsid w:val="00130327"/>
    <w:rsid w:val="00130564"/>
    <w:rsid w:val="0013060F"/>
    <w:rsid w:val="001306FD"/>
    <w:rsid w:val="00130754"/>
    <w:rsid w:val="0013077F"/>
    <w:rsid w:val="00130A8B"/>
    <w:rsid w:val="00130B44"/>
    <w:rsid w:val="00130C6A"/>
    <w:rsid w:val="00130C7D"/>
    <w:rsid w:val="00130CCC"/>
    <w:rsid w:val="00130ED6"/>
    <w:rsid w:val="0013113A"/>
    <w:rsid w:val="00131192"/>
    <w:rsid w:val="00131279"/>
    <w:rsid w:val="00131285"/>
    <w:rsid w:val="0013128F"/>
    <w:rsid w:val="00131347"/>
    <w:rsid w:val="00131419"/>
    <w:rsid w:val="00131479"/>
    <w:rsid w:val="001314B9"/>
    <w:rsid w:val="00131882"/>
    <w:rsid w:val="0013193C"/>
    <w:rsid w:val="00131A7F"/>
    <w:rsid w:val="00131B37"/>
    <w:rsid w:val="00131D1F"/>
    <w:rsid w:val="00131E02"/>
    <w:rsid w:val="00131E41"/>
    <w:rsid w:val="00131E4B"/>
    <w:rsid w:val="00131EEE"/>
    <w:rsid w:val="00131F86"/>
    <w:rsid w:val="00131FA8"/>
    <w:rsid w:val="00131FC9"/>
    <w:rsid w:val="00132249"/>
    <w:rsid w:val="0013246B"/>
    <w:rsid w:val="0013254E"/>
    <w:rsid w:val="00132594"/>
    <w:rsid w:val="00132B6F"/>
    <w:rsid w:val="00132BFA"/>
    <w:rsid w:val="00132CC9"/>
    <w:rsid w:val="001330E4"/>
    <w:rsid w:val="001331ED"/>
    <w:rsid w:val="00133217"/>
    <w:rsid w:val="001333F3"/>
    <w:rsid w:val="0013342A"/>
    <w:rsid w:val="00133444"/>
    <w:rsid w:val="00133454"/>
    <w:rsid w:val="00133582"/>
    <w:rsid w:val="001335A5"/>
    <w:rsid w:val="0013365F"/>
    <w:rsid w:val="0013368C"/>
    <w:rsid w:val="001336FF"/>
    <w:rsid w:val="001338FC"/>
    <w:rsid w:val="00133956"/>
    <w:rsid w:val="00133BCC"/>
    <w:rsid w:val="00133FDC"/>
    <w:rsid w:val="001341AC"/>
    <w:rsid w:val="001342A8"/>
    <w:rsid w:val="001342AE"/>
    <w:rsid w:val="00134568"/>
    <w:rsid w:val="00134582"/>
    <w:rsid w:val="00134747"/>
    <w:rsid w:val="001347D0"/>
    <w:rsid w:val="001349FF"/>
    <w:rsid w:val="00134A77"/>
    <w:rsid w:val="00134B56"/>
    <w:rsid w:val="00134D70"/>
    <w:rsid w:val="00134E00"/>
    <w:rsid w:val="0013513D"/>
    <w:rsid w:val="001352A1"/>
    <w:rsid w:val="001354D9"/>
    <w:rsid w:val="00135546"/>
    <w:rsid w:val="001355C9"/>
    <w:rsid w:val="001356C8"/>
    <w:rsid w:val="001357B8"/>
    <w:rsid w:val="00135808"/>
    <w:rsid w:val="0013590D"/>
    <w:rsid w:val="001359E4"/>
    <w:rsid w:val="00135A5B"/>
    <w:rsid w:val="00135AC5"/>
    <w:rsid w:val="00135B36"/>
    <w:rsid w:val="00135C8C"/>
    <w:rsid w:val="00135CAB"/>
    <w:rsid w:val="00135CDA"/>
    <w:rsid w:val="00135D18"/>
    <w:rsid w:val="00135D29"/>
    <w:rsid w:val="00135D3C"/>
    <w:rsid w:val="00135DC1"/>
    <w:rsid w:val="00135E95"/>
    <w:rsid w:val="00135ECA"/>
    <w:rsid w:val="00135ED3"/>
    <w:rsid w:val="00135FCC"/>
    <w:rsid w:val="00136087"/>
    <w:rsid w:val="00136199"/>
    <w:rsid w:val="001361B9"/>
    <w:rsid w:val="001361D0"/>
    <w:rsid w:val="001361FC"/>
    <w:rsid w:val="001362AF"/>
    <w:rsid w:val="001362F3"/>
    <w:rsid w:val="00136431"/>
    <w:rsid w:val="0013647E"/>
    <w:rsid w:val="001364E7"/>
    <w:rsid w:val="00136568"/>
    <w:rsid w:val="001365EE"/>
    <w:rsid w:val="001366A0"/>
    <w:rsid w:val="001367F4"/>
    <w:rsid w:val="00136895"/>
    <w:rsid w:val="0013691C"/>
    <w:rsid w:val="00136A0A"/>
    <w:rsid w:val="00136A8A"/>
    <w:rsid w:val="00136E4C"/>
    <w:rsid w:val="00136F2F"/>
    <w:rsid w:val="00137016"/>
    <w:rsid w:val="00137281"/>
    <w:rsid w:val="00137496"/>
    <w:rsid w:val="00137497"/>
    <w:rsid w:val="0013750B"/>
    <w:rsid w:val="00137515"/>
    <w:rsid w:val="001375AC"/>
    <w:rsid w:val="001375EA"/>
    <w:rsid w:val="00137685"/>
    <w:rsid w:val="00137726"/>
    <w:rsid w:val="00137875"/>
    <w:rsid w:val="001378CC"/>
    <w:rsid w:val="00137A36"/>
    <w:rsid w:val="00137AF1"/>
    <w:rsid w:val="00137B83"/>
    <w:rsid w:val="00137B95"/>
    <w:rsid w:val="00137BDA"/>
    <w:rsid w:val="00137CA8"/>
    <w:rsid w:val="00137D1C"/>
    <w:rsid w:val="00137EBE"/>
    <w:rsid w:val="00137F63"/>
    <w:rsid w:val="00137FCD"/>
    <w:rsid w:val="001400C8"/>
    <w:rsid w:val="00140125"/>
    <w:rsid w:val="00140163"/>
    <w:rsid w:val="00140599"/>
    <w:rsid w:val="0014074F"/>
    <w:rsid w:val="0014079D"/>
    <w:rsid w:val="00140951"/>
    <w:rsid w:val="001409E7"/>
    <w:rsid w:val="00140C19"/>
    <w:rsid w:val="00140C3C"/>
    <w:rsid w:val="00140CC5"/>
    <w:rsid w:val="00140D24"/>
    <w:rsid w:val="00140F91"/>
    <w:rsid w:val="00141243"/>
    <w:rsid w:val="0014127B"/>
    <w:rsid w:val="0014131B"/>
    <w:rsid w:val="00141408"/>
    <w:rsid w:val="00141458"/>
    <w:rsid w:val="00141515"/>
    <w:rsid w:val="0014179A"/>
    <w:rsid w:val="00141833"/>
    <w:rsid w:val="00141843"/>
    <w:rsid w:val="001418BE"/>
    <w:rsid w:val="001418D8"/>
    <w:rsid w:val="00141C45"/>
    <w:rsid w:val="00141CDE"/>
    <w:rsid w:val="00141D1E"/>
    <w:rsid w:val="00141FF2"/>
    <w:rsid w:val="00142028"/>
    <w:rsid w:val="00142049"/>
    <w:rsid w:val="001420A0"/>
    <w:rsid w:val="0014210B"/>
    <w:rsid w:val="00142125"/>
    <w:rsid w:val="001421C6"/>
    <w:rsid w:val="001421D6"/>
    <w:rsid w:val="001421E4"/>
    <w:rsid w:val="0014230D"/>
    <w:rsid w:val="0014234F"/>
    <w:rsid w:val="0014247B"/>
    <w:rsid w:val="001424E1"/>
    <w:rsid w:val="00142550"/>
    <w:rsid w:val="00142558"/>
    <w:rsid w:val="001425D9"/>
    <w:rsid w:val="001427C4"/>
    <w:rsid w:val="001427E0"/>
    <w:rsid w:val="001428A6"/>
    <w:rsid w:val="00142999"/>
    <w:rsid w:val="00142A05"/>
    <w:rsid w:val="00142AB4"/>
    <w:rsid w:val="00142B1A"/>
    <w:rsid w:val="00142BC6"/>
    <w:rsid w:val="00142C50"/>
    <w:rsid w:val="00142C6E"/>
    <w:rsid w:val="00142D00"/>
    <w:rsid w:val="00142F10"/>
    <w:rsid w:val="00143151"/>
    <w:rsid w:val="001431AE"/>
    <w:rsid w:val="0014323C"/>
    <w:rsid w:val="0014329E"/>
    <w:rsid w:val="001433BD"/>
    <w:rsid w:val="00143519"/>
    <w:rsid w:val="0014357D"/>
    <w:rsid w:val="00143693"/>
    <w:rsid w:val="001436F1"/>
    <w:rsid w:val="00143777"/>
    <w:rsid w:val="00143782"/>
    <w:rsid w:val="0014384D"/>
    <w:rsid w:val="0014389A"/>
    <w:rsid w:val="00143A4C"/>
    <w:rsid w:val="00143AF3"/>
    <w:rsid w:val="00143BB1"/>
    <w:rsid w:val="00143BE7"/>
    <w:rsid w:val="00143C6C"/>
    <w:rsid w:val="00143DE2"/>
    <w:rsid w:val="00143F68"/>
    <w:rsid w:val="0014403F"/>
    <w:rsid w:val="001440B1"/>
    <w:rsid w:val="0014411F"/>
    <w:rsid w:val="00144155"/>
    <w:rsid w:val="001441CF"/>
    <w:rsid w:val="001443CE"/>
    <w:rsid w:val="0014447B"/>
    <w:rsid w:val="001445E2"/>
    <w:rsid w:val="00144753"/>
    <w:rsid w:val="00144756"/>
    <w:rsid w:val="001447B3"/>
    <w:rsid w:val="001448BE"/>
    <w:rsid w:val="00144923"/>
    <w:rsid w:val="001449EF"/>
    <w:rsid w:val="00144A5C"/>
    <w:rsid w:val="00144AB9"/>
    <w:rsid w:val="00144B5C"/>
    <w:rsid w:val="00144BCF"/>
    <w:rsid w:val="00144D1F"/>
    <w:rsid w:val="00144E21"/>
    <w:rsid w:val="00144EF5"/>
    <w:rsid w:val="00145079"/>
    <w:rsid w:val="0014508C"/>
    <w:rsid w:val="00145091"/>
    <w:rsid w:val="001451FE"/>
    <w:rsid w:val="0014520C"/>
    <w:rsid w:val="00145434"/>
    <w:rsid w:val="00145456"/>
    <w:rsid w:val="00145566"/>
    <w:rsid w:val="0014569B"/>
    <w:rsid w:val="00145773"/>
    <w:rsid w:val="001457CA"/>
    <w:rsid w:val="0014585A"/>
    <w:rsid w:val="001458ED"/>
    <w:rsid w:val="0014595D"/>
    <w:rsid w:val="00145992"/>
    <w:rsid w:val="00145A4D"/>
    <w:rsid w:val="00145AC2"/>
    <w:rsid w:val="00145ADD"/>
    <w:rsid w:val="00145C4E"/>
    <w:rsid w:val="00145C51"/>
    <w:rsid w:val="00145CB8"/>
    <w:rsid w:val="00145D08"/>
    <w:rsid w:val="00145D4F"/>
    <w:rsid w:val="00145DB6"/>
    <w:rsid w:val="00145DF9"/>
    <w:rsid w:val="00145EA0"/>
    <w:rsid w:val="00145F4E"/>
    <w:rsid w:val="00145F6D"/>
    <w:rsid w:val="00145F79"/>
    <w:rsid w:val="00145F91"/>
    <w:rsid w:val="0014606F"/>
    <w:rsid w:val="0014621A"/>
    <w:rsid w:val="001462C0"/>
    <w:rsid w:val="00146355"/>
    <w:rsid w:val="0014642C"/>
    <w:rsid w:val="00146483"/>
    <w:rsid w:val="001466BC"/>
    <w:rsid w:val="001466DD"/>
    <w:rsid w:val="001467D5"/>
    <w:rsid w:val="001468AF"/>
    <w:rsid w:val="00146987"/>
    <w:rsid w:val="001469F4"/>
    <w:rsid w:val="00146A66"/>
    <w:rsid w:val="00146AF0"/>
    <w:rsid w:val="00146D49"/>
    <w:rsid w:val="00146DFA"/>
    <w:rsid w:val="00146ED7"/>
    <w:rsid w:val="00146FB0"/>
    <w:rsid w:val="00147146"/>
    <w:rsid w:val="0014727C"/>
    <w:rsid w:val="0014734B"/>
    <w:rsid w:val="00147495"/>
    <w:rsid w:val="001475DB"/>
    <w:rsid w:val="0014766E"/>
    <w:rsid w:val="00147818"/>
    <w:rsid w:val="00147991"/>
    <w:rsid w:val="0014799F"/>
    <w:rsid w:val="00147A78"/>
    <w:rsid w:val="00147AEC"/>
    <w:rsid w:val="00147B45"/>
    <w:rsid w:val="00147BF5"/>
    <w:rsid w:val="00147FDC"/>
    <w:rsid w:val="00150015"/>
    <w:rsid w:val="001501D6"/>
    <w:rsid w:val="0015024D"/>
    <w:rsid w:val="00150265"/>
    <w:rsid w:val="00150336"/>
    <w:rsid w:val="00150358"/>
    <w:rsid w:val="0015044C"/>
    <w:rsid w:val="00150775"/>
    <w:rsid w:val="0015078D"/>
    <w:rsid w:val="001507F7"/>
    <w:rsid w:val="0015085D"/>
    <w:rsid w:val="001508C1"/>
    <w:rsid w:val="0015097E"/>
    <w:rsid w:val="00150A13"/>
    <w:rsid w:val="00150A84"/>
    <w:rsid w:val="00150AB9"/>
    <w:rsid w:val="00150D19"/>
    <w:rsid w:val="00150D5E"/>
    <w:rsid w:val="00150E6A"/>
    <w:rsid w:val="00150F89"/>
    <w:rsid w:val="0015100D"/>
    <w:rsid w:val="00151074"/>
    <w:rsid w:val="001510DE"/>
    <w:rsid w:val="001513A2"/>
    <w:rsid w:val="001514A3"/>
    <w:rsid w:val="0015155C"/>
    <w:rsid w:val="001516CC"/>
    <w:rsid w:val="00151718"/>
    <w:rsid w:val="00151732"/>
    <w:rsid w:val="00151740"/>
    <w:rsid w:val="001519BE"/>
    <w:rsid w:val="00151A32"/>
    <w:rsid w:val="00151B1C"/>
    <w:rsid w:val="00151B2C"/>
    <w:rsid w:val="00151B49"/>
    <w:rsid w:val="00151B5A"/>
    <w:rsid w:val="00151C5E"/>
    <w:rsid w:val="001521A2"/>
    <w:rsid w:val="0015225B"/>
    <w:rsid w:val="001522D2"/>
    <w:rsid w:val="0015255C"/>
    <w:rsid w:val="00152619"/>
    <w:rsid w:val="00152735"/>
    <w:rsid w:val="00152858"/>
    <w:rsid w:val="00152996"/>
    <w:rsid w:val="00152A01"/>
    <w:rsid w:val="00152B55"/>
    <w:rsid w:val="00152C5D"/>
    <w:rsid w:val="00152CA3"/>
    <w:rsid w:val="00153027"/>
    <w:rsid w:val="001531E9"/>
    <w:rsid w:val="00153274"/>
    <w:rsid w:val="00153450"/>
    <w:rsid w:val="00153470"/>
    <w:rsid w:val="00153484"/>
    <w:rsid w:val="0015355C"/>
    <w:rsid w:val="0015368B"/>
    <w:rsid w:val="001536B3"/>
    <w:rsid w:val="0015373E"/>
    <w:rsid w:val="0015387A"/>
    <w:rsid w:val="00153885"/>
    <w:rsid w:val="0015397A"/>
    <w:rsid w:val="00153A2F"/>
    <w:rsid w:val="00153A5B"/>
    <w:rsid w:val="00153A91"/>
    <w:rsid w:val="00153C70"/>
    <w:rsid w:val="00153CB7"/>
    <w:rsid w:val="00153F1B"/>
    <w:rsid w:val="00153F94"/>
    <w:rsid w:val="001540BC"/>
    <w:rsid w:val="001540C2"/>
    <w:rsid w:val="001540F1"/>
    <w:rsid w:val="00154232"/>
    <w:rsid w:val="0015436F"/>
    <w:rsid w:val="0015443F"/>
    <w:rsid w:val="0015483C"/>
    <w:rsid w:val="0015495E"/>
    <w:rsid w:val="001549B8"/>
    <w:rsid w:val="001549DC"/>
    <w:rsid w:val="00154AE6"/>
    <w:rsid w:val="00154B83"/>
    <w:rsid w:val="00154CE0"/>
    <w:rsid w:val="00154D6C"/>
    <w:rsid w:val="00154D74"/>
    <w:rsid w:val="00154FA1"/>
    <w:rsid w:val="0015513D"/>
    <w:rsid w:val="00155382"/>
    <w:rsid w:val="001553A9"/>
    <w:rsid w:val="001554AA"/>
    <w:rsid w:val="00155862"/>
    <w:rsid w:val="00155867"/>
    <w:rsid w:val="001558BA"/>
    <w:rsid w:val="001558D3"/>
    <w:rsid w:val="001558D4"/>
    <w:rsid w:val="00155ACB"/>
    <w:rsid w:val="00155CB6"/>
    <w:rsid w:val="00155E3E"/>
    <w:rsid w:val="00156185"/>
    <w:rsid w:val="00156244"/>
    <w:rsid w:val="00156280"/>
    <w:rsid w:val="001562E5"/>
    <w:rsid w:val="001562EE"/>
    <w:rsid w:val="001562FA"/>
    <w:rsid w:val="001563E0"/>
    <w:rsid w:val="00156494"/>
    <w:rsid w:val="0015649C"/>
    <w:rsid w:val="001564E1"/>
    <w:rsid w:val="0015662D"/>
    <w:rsid w:val="0015672D"/>
    <w:rsid w:val="00156785"/>
    <w:rsid w:val="001567FA"/>
    <w:rsid w:val="00156800"/>
    <w:rsid w:val="00156820"/>
    <w:rsid w:val="0015684C"/>
    <w:rsid w:val="00156964"/>
    <w:rsid w:val="001569F1"/>
    <w:rsid w:val="00156B3B"/>
    <w:rsid w:val="00156C8C"/>
    <w:rsid w:val="00156CDB"/>
    <w:rsid w:val="00156D3E"/>
    <w:rsid w:val="00156F5E"/>
    <w:rsid w:val="00157031"/>
    <w:rsid w:val="001570A3"/>
    <w:rsid w:val="0015713D"/>
    <w:rsid w:val="00157226"/>
    <w:rsid w:val="001572D2"/>
    <w:rsid w:val="0015736F"/>
    <w:rsid w:val="001574C0"/>
    <w:rsid w:val="001574CB"/>
    <w:rsid w:val="00157544"/>
    <w:rsid w:val="001575F6"/>
    <w:rsid w:val="00157767"/>
    <w:rsid w:val="001577F5"/>
    <w:rsid w:val="0015783B"/>
    <w:rsid w:val="0015784B"/>
    <w:rsid w:val="00157929"/>
    <w:rsid w:val="0015793C"/>
    <w:rsid w:val="00157A6F"/>
    <w:rsid w:val="00157AC7"/>
    <w:rsid w:val="00157AEE"/>
    <w:rsid w:val="00157B9F"/>
    <w:rsid w:val="00157C9B"/>
    <w:rsid w:val="00157CAD"/>
    <w:rsid w:val="00157CC1"/>
    <w:rsid w:val="00157D34"/>
    <w:rsid w:val="00157D50"/>
    <w:rsid w:val="00157D7C"/>
    <w:rsid w:val="00157E69"/>
    <w:rsid w:val="00157FF6"/>
    <w:rsid w:val="0016010B"/>
    <w:rsid w:val="001601D5"/>
    <w:rsid w:val="00160289"/>
    <w:rsid w:val="00160565"/>
    <w:rsid w:val="00160699"/>
    <w:rsid w:val="001606C7"/>
    <w:rsid w:val="00160A7D"/>
    <w:rsid w:val="00160A92"/>
    <w:rsid w:val="00160C27"/>
    <w:rsid w:val="00160CA7"/>
    <w:rsid w:val="00160DE2"/>
    <w:rsid w:val="00160E6C"/>
    <w:rsid w:val="00160EE8"/>
    <w:rsid w:val="001610E9"/>
    <w:rsid w:val="001612B6"/>
    <w:rsid w:val="001613EB"/>
    <w:rsid w:val="0016149C"/>
    <w:rsid w:val="001614CC"/>
    <w:rsid w:val="00161589"/>
    <w:rsid w:val="00161606"/>
    <w:rsid w:val="0016192E"/>
    <w:rsid w:val="001619CB"/>
    <w:rsid w:val="001619D4"/>
    <w:rsid w:val="00161A7E"/>
    <w:rsid w:val="00161A94"/>
    <w:rsid w:val="00161C1F"/>
    <w:rsid w:val="00161D2E"/>
    <w:rsid w:val="00161D74"/>
    <w:rsid w:val="00161E62"/>
    <w:rsid w:val="00161F35"/>
    <w:rsid w:val="00161FD2"/>
    <w:rsid w:val="0016211D"/>
    <w:rsid w:val="00162138"/>
    <w:rsid w:val="00162154"/>
    <w:rsid w:val="0016219B"/>
    <w:rsid w:val="001621DA"/>
    <w:rsid w:val="001621F2"/>
    <w:rsid w:val="00162288"/>
    <w:rsid w:val="001625B5"/>
    <w:rsid w:val="001626C7"/>
    <w:rsid w:val="0016276C"/>
    <w:rsid w:val="0016283C"/>
    <w:rsid w:val="001628AA"/>
    <w:rsid w:val="001628CE"/>
    <w:rsid w:val="001629C3"/>
    <w:rsid w:val="00162B1A"/>
    <w:rsid w:val="00162B21"/>
    <w:rsid w:val="00162E8E"/>
    <w:rsid w:val="00163136"/>
    <w:rsid w:val="00163157"/>
    <w:rsid w:val="001632A6"/>
    <w:rsid w:val="001634B6"/>
    <w:rsid w:val="001635E4"/>
    <w:rsid w:val="00163716"/>
    <w:rsid w:val="0016387E"/>
    <w:rsid w:val="00163959"/>
    <w:rsid w:val="00163BB4"/>
    <w:rsid w:val="00163BC4"/>
    <w:rsid w:val="00163BD7"/>
    <w:rsid w:val="00163CBC"/>
    <w:rsid w:val="00163F58"/>
    <w:rsid w:val="00164024"/>
    <w:rsid w:val="0016405E"/>
    <w:rsid w:val="00164116"/>
    <w:rsid w:val="0016415E"/>
    <w:rsid w:val="001641A1"/>
    <w:rsid w:val="0016427E"/>
    <w:rsid w:val="0016435C"/>
    <w:rsid w:val="00164399"/>
    <w:rsid w:val="00164411"/>
    <w:rsid w:val="00164421"/>
    <w:rsid w:val="001644EA"/>
    <w:rsid w:val="00164851"/>
    <w:rsid w:val="00164AF9"/>
    <w:rsid w:val="00164B1E"/>
    <w:rsid w:val="00164B5F"/>
    <w:rsid w:val="00164CB9"/>
    <w:rsid w:val="00164DBA"/>
    <w:rsid w:val="00164E77"/>
    <w:rsid w:val="00164FAA"/>
    <w:rsid w:val="001651CD"/>
    <w:rsid w:val="00165309"/>
    <w:rsid w:val="001653AD"/>
    <w:rsid w:val="001654C2"/>
    <w:rsid w:val="001656E9"/>
    <w:rsid w:val="001657D6"/>
    <w:rsid w:val="0016580A"/>
    <w:rsid w:val="0016591F"/>
    <w:rsid w:val="0016594E"/>
    <w:rsid w:val="00165A65"/>
    <w:rsid w:val="00165A8D"/>
    <w:rsid w:val="00165AF1"/>
    <w:rsid w:val="00165B24"/>
    <w:rsid w:val="00165C89"/>
    <w:rsid w:val="00165D18"/>
    <w:rsid w:val="00165D35"/>
    <w:rsid w:val="00165E25"/>
    <w:rsid w:val="00165E9B"/>
    <w:rsid w:val="00165F49"/>
    <w:rsid w:val="00165FCE"/>
    <w:rsid w:val="001660FA"/>
    <w:rsid w:val="00166136"/>
    <w:rsid w:val="001661B1"/>
    <w:rsid w:val="001661BC"/>
    <w:rsid w:val="001662D8"/>
    <w:rsid w:val="0016632C"/>
    <w:rsid w:val="00166380"/>
    <w:rsid w:val="001664BA"/>
    <w:rsid w:val="00166503"/>
    <w:rsid w:val="00166606"/>
    <w:rsid w:val="001666AC"/>
    <w:rsid w:val="00166702"/>
    <w:rsid w:val="0016686A"/>
    <w:rsid w:val="00166937"/>
    <w:rsid w:val="00166A39"/>
    <w:rsid w:val="00166AA4"/>
    <w:rsid w:val="00166B2B"/>
    <w:rsid w:val="00166CA7"/>
    <w:rsid w:val="00166D92"/>
    <w:rsid w:val="00166F24"/>
    <w:rsid w:val="00166F26"/>
    <w:rsid w:val="001670AF"/>
    <w:rsid w:val="0016741F"/>
    <w:rsid w:val="00167430"/>
    <w:rsid w:val="00167509"/>
    <w:rsid w:val="001676DD"/>
    <w:rsid w:val="001676FA"/>
    <w:rsid w:val="00167A08"/>
    <w:rsid w:val="00167BFE"/>
    <w:rsid w:val="00167C03"/>
    <w:rsid w:val="00167DBB"/>
    <w:rsid w:val="00167F2A"/>
    <w:rsid w:val="00167F75"/>
    <w:rsid w:val="00170065"/>
    <w:rsid w:val="00170134"/>
    <w:rsid w:val="001701A9"/>
    <w:rsid w:val="001702DA"/>
    <w:rsid w:val="0017032C"/>
    <w:rsid w:val="001704DF"/>
    <w:rsid w:val="00170534"/>
    <w:rsid w:val="0017054D"/>
    <w:rsid w:val="001705EF"/>
    <w:rsid w:val="0017065A"/>
    <w:rsid w:val="001707C5"/>
    <w:rsid w:val="00170909"/>
    <w:rsid w:val="00170949"/>
    <w:rsid w:val="00170ABF"/>
    <w:rsid w:val="00170B11"/>
    <w:rsid w:val="00170B50"/>
    <w:rsid w:val="00170C82"/>
    <w:rsid w:val="00170EC1"/>
    <w:rsid w:val="001710B8"/>
    <w:rsid w:val="00171106"/>
    <w:rsid w:val="00171115"/>
    <w:rsid w:val="001711EB"/>
    <w:rsid w:val="00171223"/>
    <w:rsid w:val="001712B0"/>
    <w:rsid w:val="00171557"/>
    <w:rsid w:val="001715D8"/>
    <w:rsid w:val="00171606"/>
    <w:rsid w:val="0017166F"/>
    <w:rsid w:val="0017178E"/>
    <w:rsid w:val="001717D8"/>
    <w:rsid w:val="00171912"/>
    <w:rsid w:val="00171931"/>
    <w:rsid w:val="0017194F"/>
    <w:rsid w:val="00171BCA"/>
    <w:rsid w:val="00171C24"/>
    <w:rsid w:val="00171D12"/>
    <w:rsid w:val="00171D6F"/>
    <w:rsid w:val="00171DBF"/>
    <w:rsid w:val="00171EAF"/>
    <w:rsid w:val="00171FBC"/>
    <w:rsid w:val="0017200C"/>
    <w:rsid w:val="0017202E"/>
    <w:rsid w:val="001720B2"/>
    <w:rsid w:val="0017213D"/>
    <w:rsid w:val="00172260"/>
    <w:rsid w:val="0017228E"/>
    <w:rsid w:val="001722FD"/>
    <w:rsid w:val="001723AD"/>
    <w:rsid w:val="0017248B"/>
    <w:rsid w:val="001724EB"/>
    <w:rsid w:val="00172628"/>
    <w:rsid w:val="001726B1"/>
    <w:rsid w:val="00172738"/>
    <w:rsid w:val="0017280B"/>
    <w:rsid w:val="0017291D"/>
    <w:rsid w:val="001729C2"/>
    <w:rsid w:val="001729FE"/>
    <w:rsid w:val="00172B03"/>
    <w:rsid w:val="00172B47"/>
    <w:rsid w:val="00172B7E"/>
    <w:rsid w:val="00172B8F"/>
    <w:rsid w:val="00172C15"/>
    <w:rsid w:val="00172DDB"/>
    <w:rsid w:val="00173107"/>
    <w:rsid w:val="001731A7"/>
    <w:rsid w:val="00173426"/>
    <w:rsid w:val="00173507"/>
    <w:rsid w:val="00173513"/>
    <w:rsid w:val="00173607"/>
    <w:rsid w:val="00173807"/>
    <w:rsid w:val="00173851"/>
    <w:rsid w:val="001738C8"/>
    <w:rsid w:val="0017391D"/>
    <w:rsid w:val="00173A38"/>
    <w:rsid w:val="00173B2C"/>
    <w:rsid w:val="00173C0F"/>
    <w:rsid w:val="00173D07"/>
    <w:rsid w:val="00173D6A"/>
    <w:rsid w:val="00173DF8"/>
    <w:rsid w:val="00174110"/>
    <w:rsid w:val="00174128"/>
    <w:rsid w:val="0017426B"/>
    <w:rsid w:val="0017426C"/>
    <w:rsid w:val="001742AB"/>
    <w:rsid w:val="001743FB"/>
    <w:rsid w:val="00174553"/>
    <w:rsid w:val="00174616"/>
    <w:rsid w:val="00174857"/>
    <w:rsid w:val="00174920"/>
    <w:rsid w:val="00174A1F"/>
    <w:rsid w:val="00174A5F"/>
    <w:rsid w:val="00174B93"/>
    <w:rsid w:val="00174B96"/>
    <w:rsid w:val="00174C32"/>
    <w:rsid w:val="00174CC1"/>
    <w:rsid w:val="00174D65"/>
    <w:rsid w:val="00174E23"/>
    <w:rsid w:val="001752A5"/>
    <w:rsid w:val="0017533F"/>
    <w:rsid w:val="00175355"/>
    <w:rsid w:val="001758B5"/>
    <w:rsid w:val="00175B0F"/>
    <w:rsid w:val="00175B90"/>
    <w:rsid w:val="00175BE6"/>
    <w:rsid w:val="00175BF3"/>
    <w:rsid w:val="00175D22"/>
    <w:rsid w:val="00175F5D"/>
    <w:rsid w:val="0017603A"/>
    <w:rsid w:val="001760E7"/>
    <w:rsid w:val="001761D5"/>
    <w:rsid w:val="0017622E"/>
    <w:rsid w:val="001763F6"/>
    <w:rsid w:val="00176489"/>
    <w:rsid w:val="001764D2"/>
    <w:rsid w:val="001764FF"/>
    <w:rsid w:val="001765F4"/>
    <w:rsid w:val="00176787"/>
    <w:rsid w:val="0017683F"/>
    <w:rsid w:val="00176893"/>
    <w:rsid w:val="001768B0"/>
    <w:rsid w:val="00176915"/>
    <w:rsid w:val="00176A19"/>
    <w:rsid w:val="00176A6A"/>
    <w:rsid w:val="00176AFE"/>
    <w:rsid w:val="00176C40"/>
    <w:rsid w:val="00176CC3"/>
    <w:rsid w:val="00176CE1"/>
    <w:rsid w:val="00176CE7"/>
    <w:rsid w:val="00176D0E"/>
    <w:rsid w:val="00176E23"/>
    <w:rsid w:val="00176E5F"/>
    <w:rsid w:val="00176F2B"/>
    <w:rsid w:val="0017709F"/>
    <w:rsid w:val="001770B4"/>
    <w:rsid w:val="0017741F"/>
    <w:rsid w:val="00177472"/>
    <w:rsid w:val="001775B5"/>
    <w:rsid w:val="001775B6"/>
    <w:rsid w:val="001775C6"/>
    <w:rsid w:val="00177644"/>
    <w:rsid w:val="001776B4"/>
    <w:rsid w:val="0017774D"/>
    <w:rsid w:val="001778E6"/>
    <w:rsid w:val="001778ED"/>
    <w:rsid w:val="00177909"/>
    <w:rsid w:val="00177AC3"/>
    <w:rsid w:val="00177B16"/>
    <w:rsid w:val="00177C20"/>
    <w:rsid w:val="00177D15"/>
    <w:rsid w:val="00177DF9"/>
    <w:rsid w:val="00177E50"/>
    <w:rsid w:val="00177E75"/>
    <w:rsid w:val="00177EA4"/>
    <w:rsid w:val="00177F86"/>
    <w:rsid w:val="00180025"/>
    <w:rsid w:val="00180050"/>
    <w:rsid w:val="0018015D"/>
    <w:rsid w:val="00180240"/>
    <w:rsid w:val="001803C1"/>
    <w:rsid w:val="001803D9"/>
    <w:rsid w:val="00180467"/>
    <w:rsid w:val="001804B3"/>
    <w:rsid w:val="00180659"/>
    <w:rsid w:val="00180670"/>
    <w:rsid w:val="0018077E"/>
    <w:rsid w:val="00180A38"/>
    <w:rsid w:val="00180ABB"/>
    <w:rsid w:val="00180AD8"/>
    <w:rsid w:val="00180B18"/>
    <w:rsid w:val="00180BD4"/>
    <w:rsid w:val="00180CB1"/>
    <w:rsid w:val="00180F4B"/>
    <w:rsid w:val="00181011"/>
    <w:rsid w:val="0018126C"/>
    <w:rsid w:val="00181288"/>
    <w:rsid w:val="001812E5"/>
    <w:rsid w:val="00181451"/>
    <w:rsid w:val="0018150D"/>
    <w:rsid w:val="001815B2"/>
    <w:rsid w:val="0018170C"/>
    <w:rsid w:val="00181760"/>
    <w:rsid w:val="001819D9"/>
    <w:rsid w:val="00181A0E"/>
    <w:rsid w:val="00181B46"/>
    <w:rsid w:val="00181B47"/>
    <w:rsid w:val="00181BD9"/>
    <w:rsid w:val="00181CEA"/>
    <w:rsid w:val="00181D18"/>
    <w:rsid w:val="00181F3E"/>
    <w:rsid w:val="0018201B"/>
    <w:rsid w:val="0018202D"/>
    <w:rsid w:val="00182051"/>
    <w:rsid w:val="00182063"/>
    <w:rsid w:val="00182225"/>
    <w:rsid w:val="001823D5"/>
    <w:rsid w:val="001823E4"/>
    <w:rsid w:val="00182400"/>
    <w:rsid w:val="001825BE"/>
    <w:rsid w:val="001825C0"/>
    <w:rsid w:val="0018264A"/>
    <w:rsid w:val="0018267B"/>
    <w:rsid w:val="0018279E"/>
    <w:rsid w:val="001827B8"/>
    <w:rsid w:val="00182828"/>
    <w:rsid w:val="00182896"/>
    <w:rsid w:val="001828AF"/>
    <w:rsid w:val="00182969"/>
    <w:rsid w:val="00182AF9"/>
    <w:rsid w:val="00182AFC"/>
    <w:rsid w:val="00182B47"/>
    <w:rsid w:val="00182BF8"/>
    <w:rsid w:val="00182BFC"/>
    <w:rsid w:val="00182C3C"/>
    <w:rsid w:val="00182CE2"/>
    <w:rsid w:val="00182EBC"/>
    <w:rsid w:val="00182F8A"/>
    <w:rsid w:val="00183052"/>
    <w:rsid w:val="00183568"/>
    <w:rsid w:val="0018360D"/>
    <w:rsid w:val="0018366B"/>
    <w:rsid w:val="0018369F"/>
    <w:rsid w:val="001836DE"/>
    <w:rsid w:val="0018372E"/>
    <w:rsid w:val="001838B2"/>
    <w:rsid w:val="00183992"/>
    <w:rsid w:val="00183A1A"/>
    <w:rsid w:val="00183B01"/>
    <w:rsid w:val="00183BB4"/>
    <w:rsid w:val="00183CE8"/>
    <w:rsid w:val="00183D15"/>
    <w:rsid w:val="00183F8C"/>
    <w:rsid w:val="00184126"/>
    <w:rsid w:val="0018413B"/>
    <w:rsid w:val="00184202"/>
    <w:rsid w:val="00184318"/>
    <w:rsid w:val="001843F2"/>
    <w:rsid w:val="00184477"/>
    <w:rsid w:val="00184479"/>
    <w:rsid w:val="001844FC"/>
    <w:rsid w:val="001846BD"/>
    <w:rsid w:val="001846CF"/>
    <w:rsid w:val="00184775"/>
    <w:rsid w:val="001848A6"/>
    <w:rsid w:val="001848CD"/>
    <w:rsid w:val="001849D9"/>
    <w:rsid w:val="00184A0E"/>
    <w:rsid w:val="00184AA3"/>
    <w:rsid w:val="00184BD9"/>
    <w:rsid w:val="00184CE8"/>
    <w:rsid w:val="00184D04"/>
    <w:rsid w:val="00184D3D"/>
    <w:rsid w:val="00184D54"/>
    <w:rsid w:val="00184D5B"/>
    <w:rsid w:val="00184E21"/>
    <w:rsid w:val="00184EBA"/>
    <w:rsid w:val="00184FB4"/>
    <w:rsid w:val="00185044"/>
    <w:rsid w:val="00185134"/>
    <w:rsid w:val="0018524A"/>
    <w:rsid w:val="001852EA"/>
    <w:rsid w:val="001853DD"/>
    <w:rsid w:val="00185582"/>
    <w:rsid w:val="0018579D"/>
    <w:rsid w:val="00185869"/>
    <w:rsid w:val="001858B4"/>
    <w:rsid w:val="001858E4"/>
    <w:rsid w:val="00185A1D"/>
    <w:rsid w:val="00185DB3"/>
    <w:rsid w:val="00185E5C"/>
    <w:rsid w:val="00185E70"/>
    <w:rsid w:val="001860CB"/>
    <w:rsid w:val="001860E8"/>
    <w:rsid w:val="0018612C"/>
    <w:rsid w:val="00186222"/>
    <w:rsid w:val="00186475"/>
    <w:rsid w:val="00186680"/>
    <w:rsid w:val="0018685F"/>
    <w:rsid w:val="00186915"/>
    <w:rsid w:val="0018694C"/>
    <w:rsid w:val="00186A37"/>
    <w:rsid w:val="00186A60"/>
    <w:rsid w:val="00186B77"/>
    <w:rsid w:val="00186D77"/>
    <w:rsid w:val="00186D98"/>
    <w:rsid w:val="00186DA4"/>
    <w:rsid w:val="00186F8A"/>
    <w:rsid w:val="00186FF4"/>
    <w:rsid w:val="00187024"/>
    <w:rsid w:val="0018708E"/>
    <w:rsid w:val="001870CC"/>
    <w:rsid w:val="001870E6"/>
    <w:rsid w:val="0018716E"/>
    <w:rsid w:val="0018739A"/>
    <w:rsid w:val="00187402"/>
    <w:rsid w:val="0018750F"/>
    <w:rsid w:val="00187543"/>
    <w:rsid w:val="001875FF"/>
    <w:rsid w:val="0018766B"/>
    <w:rsid w:val="001876B7"/>
    <w:rsid w:val="001876D0"/>
    <w:rsid w:val="0018782D"/>
    <w:rsid w:val="00187855"/>
    <w:rsid w:val="0018791B"/>
    <w:rsid w:val="001879CB"/>
    <w:rsid w:val="00187A8F"/>
    <w:rsid w:val="00187B4B"/>
    <w:rsid w:val="00187BC6"/>
    <w:rsid w:val="00187D60"/>
    <w:rsid w:val="00187DF1"/>
    <w:rsid w:val="00187FA9"/>
    <w:rsid w:val="00187FF7"/>
    <w:rsid w:val="0019004C"/>
    <w:rsid w:val="001901A4"/>
    <w:rsid w:val="00190300"/>
    <w:rsid w:val="0019031C"/>
    <w:rsid w:val="00190391"/>
    <w:rsid w:val="0019053D"/>
    <w:rsid w:val="001906FE"/>
    <w:rsid w:val="0019076E"/>
    <w:rsid w:val="001909A4"/>
    <w:rsid w:val="00190B1E"/>
    <w:rsid w:val="00190BA1"/>
    <w:rsid w:val="00190C07"/>
    <w:rsid w:val="00190E0B"/>
    <w:rsid w:val="00190E6B"/>
    <w:rsid w:val="00190E6F"/>
    <w:rsid w:val="00190EC7"/>
    <w:rsid w:val="00191123"/>
    <w:rsid w:val="00191183"/>
    <w:rsid w:val="001911A2"/>
    <w:rsid w:val="001912D1"/>
    <w:rsid w:val="0019136B"/>
    <w:rsid w:val="001913D9"/>
    <w:rsid w:val="00191626"/>
    <w:rsid w:val="0019168A"/>
    <w:rsid w:val="0019191F"/>
    <w:rsid w:val="00191CC7"/>
    <w:rsid w:val="00191CE3"/>
    <w:rsid w:val="00191D95"/>
    <w:rsid w:val="00191DFC"/>
    <w:rsid w:val="00191F33"/>
    <w:rsid w:val="0019204B"/>
    <w:rsid w:val="0019205C"/>
    <w:rsid w:val="001920BC"/>
    <w:rsid w:val="001921F8"/>
    <w:rsid w:val="00192251"/>
    <w:rsid w:val="00192290"/>
    <w:rsid w:val="001922E1"/>
    <w:rsid w:val="00192454"/>
    <w:rsid w:val="001924A8"/>
    <w:rsid w:val="001925BD"/>
    <w:rsid w:val="001925EA"/>
    <w:rsid w:val="00192605"/>
    <w:rsid w:val="00192677"/>
    <w:rsid w:val="001927FF"/>
    <w:rsid w:val="00192817"/>
    <w:rsid w:val="001928F1"/>
    <w:rsid w:val="0019291A"/>
    <w:rsid w:val="001929EF"/>
    <w:rsid w:val="00192AAC"/>
    <w:rsid w:val="00192B4C"/>
    <w:rsid w:val="00192D80"/>
    <w:rsid w:val="00192DBB"/>
    <w:rsid w:val="00192FC3"/>
    <w:rsid w:val="001930D3"/>
    <w:rsid w:val="00193183"/>
    <w:rsid w:val="00193349"/>
    <w:rsid w:val="0019336E"/>
    <w:rsid w:val="00193487"/>
    <w:rsid w:val="001935E7"/>
    <w:rsid w:val="001936A0"/>
    <w:rsid w:val="001937DB"/>
    <w:rsid w:val="001937FA"/>
    <w:rsid w:val="00193813"/>
    <w:rsid w:val="00193860"/>
    <w:rsid w:val="001938EC"/>
    <w:rsid w:val="0019393D"/>
    <w:rsid w:val="00193AE2"/>
    <w:rsid w:val="00193B4D"/>
    <w:rsid w:val="00193B5A"/>
    <w:rsid w:val="00193D3F"/>
    <w:rsid w:val="00193D98"/>
    <w:rsid w:val="00193E2A"/>
    <w:rsid w:val="00193F9F"/>
    <w:rsid w:val="00193FD9"/>
    <w:rsid w:val="00194204"/>
    <w:rsid w:val="0019435D"/>
    <w:rsid w:val="00194367"/>
    <w:rsid w:val="00194377"/>
    <w:rsid w:val="001943A1"/>
    <w:rsid w:val="00194480"/>
    <w:rsid w:val="0019449C"/>
    <w:rsid w:val="0019450E"/>
    <w:rsid w:val="001945D9"/>
    <w:rsid w:val="00194655"/>
    <w:rsid w:val="0019465A"/>
    <w:rsid w:val="001948F3"/>
    <w:rsid w:val="0019494D"/>
    <w:rsid w:val="00194A0C"/>
    <w:rsid w:val="00194DE8"/>
    <w:rsid w:val="00194E2C"/>
    <w:rsid w:val="00194E57"/>
    <w:rsid w:val="00194E5A"/>
    <w:rsid w:val="00194EA2"/>
    <w:rsid w:val="00195042"/>
    <w:rsid w:val="00195075"/>
    <w:rsid w:val="001950D1"/>
    <w:rsid w:val="00195151"/>
    <w:rsid w:val="00195243"/>
    <w:rsid w:val="001953F1"/>
    <w:rsid w:val="0019543B"/>
    <w:rsid w:val="00195480"/>
    <w:rsid w:val="001956F7"/>
    <w:rsid w:val="00195710"/>
    <w:rsid w:val="001958FD"/>
    <w:rsid w:val="00195A04"/>
    <w:rsid w:val="00195A53"/>
    <w:rsid w:val="00195ADA"/>
    <w:rsid w:val="00195D01"/>
    <w:rsid w:val="00195D1C"/>
    <w:rsid w:val="00195D95"/>
    <w:rsid w:val="001960C4"/>
    <w:rsid w:val="00196132"/>
    <w:rsid w:val="0019630D"/>
    <w:rsid w:val="0019632B"/>
    <w:rsid w:val="001963CC"/>
    <w:rsid w:val="00196769"/>
    <w:rsid w:val="00196779"/>
    <w:rsid w:val="001967CB"/>
    <w:rsid w:val="00196980"/>
    <w:rsid w:val="00196B59"/>
    <w:rsid w:val="00196BCF"/>
    <w:rsid w:val="00196C43"/>
    <w:rsid w:val="00196C78"/>
    <w:rsid w:val="00196CA9"/>
    <w:rsid w:val="00197039"/>
    <w:rsid w:val="00197275"/>
    <w:rsid w:val="00197450"/>
    <w:rsid w:val="00197457"/>
    <w:rsid w:val="00197460"/>
    <w:rsid w:val="00197580"/>
    <w:rsid w:val="0019758F"/>
    <w:rsid w:val="0019766C"/>
    <w:rsid w:val="001977BB"/>
    <w:rsid w:val="00197868"/>
    <w:rsid w:val="001978D2"/>
    <w:rsid w:val="0019798D"/>
    <w:rsid w:val="00197A7E"/>
    <w:rsid w:val="00197AEC"/>
    <w:rsid w:val="00197BDB"/>
    <w:rsid w:val="00197D71"/>
    <w:rsid w:val="00197DC2"/>
    <w:rsid w:val="00197DD0"/>
    <w:rsid w:val="00197FCE"/>
    <w:rsid w:val="001A011B"/>
    <w:rsid w:val="001A038F"/>
    <w:rsid w:val="001A03F2"/>
    <w:rsid w:val="001A045B"/>
    <w:rsid w:val="001A04CB"/>
    <w:rsid w:val="001A05E7"/>
    <w:rsid w:val="001A0675"/>
    <w:rsid w:val="001A06E0"/>
    <w:rsid w:val="001A0991"/>
    <w:rsid w:val="001A099D"/>
    <w:rsid w:val="001A0A43"/>
    <w:rsid w:val="001A0A78"/>
    <w:rsid w:val="001A0B92"/>
    <w:rsid w:val="001A0C25"/>
    <w:rsid w:val="001A0C3E"/>
    <w:rsid w:val="001A0C46"/>
    <w:rsid w:val="001A0E24"/>
    <w:rsid w:val="001A105D"/>
    <w:rsid w:val="001A1169"/>
    <w:rsid w:val="001A1239"/>
    <w:rsid w:val="001A12E3"/>
    <w:rsid w:val="001A12EC"/>
    <w:rsid w:val="001A131B"/>
    <w:rsid w:val="001A145A"/>
    <w:rsid w:val="001A1467"/>
    <w:rsid w:val="001A14B7"/>
    <w:rsid w:val="001A15B5"/>
    <w:rsid w:val="001A15E7"/>
    <w:rsid w:val="001A1685"/>
    <w:rsid w:val="001A1734"/>
    <w:rsid w:val="001A1743"/>
    <w:rsid w:val="001A19BE"/>
    <w:rsid w:val="001A1AB4"/>
    <w:rsid w:val="001A1AF7"/>
    <w:rsid w:val="001A1BC5"/>
    <w:rsid w:val="001A1C99"/>
    <w:rsid w:val="001A1CDD"/>
    <w:rsid w:val="001A1CFC"/>
    <w:rsid w:val="001A1E47"/>
    <w:rsid w:val="001A1EDC"/>
    <w:rsid w:val="001A1F44"/>
    <w:rsid w:val="001A1F67"/>
    <w:rsid w:val="001A20B0"/>
    <w:rsid w:val="001A210B"/>
    <w:rsid w:val="001A215E"/>
    <w:rsid w:val="001A21B3"/>
    <w:rsid w:val="001A21C5"/>
    <w:rsid w:val="001A24F6"/>
    <w:rsid w:val="001A26F4"/>
    <w:rsid w:val="001A290C"/>
    <w:rsid w:val="001A2936"/>
    <w:rsid w:val="001A2A02"/>
    <w:rsid w:val="001A2A50"/>
    <w:rsid w:val="001A2B9A"/>
    <w:rsid w:val="001A2D81"/>
    <w:rsid w:val="001A2E0F"/>
    <w:rsid w:val="001A2FFE"/>
    <w:rsid w:val="001A31DF"/>
    <w:rsid w:val="001A32AB"/>
    <w:rsid w:val="001A32EF"/>
    <w:rsid w:val="001A3347"/>
    <w:rsid w:val="001A357C"/>
    <w:rsid w:val="001A36C2"/>
    <w:rsid w:val="001A36E6"/>
    <w:rsid w:val="001A37C3"/>
    <w:rsid w:val="001A38BD"/>
    <w:rsid w:val="001A399F"/>
    <w:rsid w:val="001A39EF"/>
    <w:rsid w:val="001A3BB1"/>
    <w:rsid w:val="001A3E84"/>
    <w:rsid w:val="001A3F69"/>
    <w:rsid w:val="001A3F82"/>
    <w:rsid w:val="001A409C"/>
    <w:rsid w:val="001A43B3"/>
    <w:rsid w:val="001A449B"/>
    <w:rsid w:val="001A44F1"/>
    <w:rsid w:val="001A46B6"/>
    <w:rsid w:val="001A47AB"/>
    <w:rsid w:val="001A488A"/>
    <w:rsid w:val="001A48D1"/>
    <w:rsid w:val="001A4A08"/>
    <w:rsid w:val="001A4A67"/>
    <w:rsid w:val="001A4BD4"/>
    <w:rsid w:val="001A4C25"/>
    <w:rsid w:val="001A4C4F"/>
    <w:rsid w:val="001A4C56"/>
    <w:rsid w:val="001A4C6C"/>
    <w:rsid w:val="001A4D53"/>
    <w:rsid w:val="001A4E25"/>
    <w:rsid w:val="001A4EB6"/>
    <w:rsid w:val="001A4EF9"/>
    <w:rsid w:val="001A4FEA"/>
    <w:rsid w:val="001A5023"/>
    <w:rsid w:val="001A5270"/>
    <w:rsid w:val="001A529F"/>
    <w:rsid w:val="001A52D0"/>
    <w:rsid w:val="001A53CC"/>
    <w:rsid w:val="001A54BC"/>
    <w:rsid w:val="001A5564"/>
    <w:rsid w:val="001A56D3"/>
    <w:rsid w:val="001A5800"/>
    <w:rsid w:val="001A5A35"/>
    <w:rsid w:val="001A5A6E"/>
    <w:rsid w:val="001A5BEA"/>
    <w:rsid w:val="001A5C83"/>
    <w:rsid w:val="001A5FD5"/>
    <w:rsid w:val="001A62A7"/>
    <w:rsid w:val="001A6311"/>
    <w:rsid w:val="001A643F"/>
    <w:rsid w:val="001A6458"/>
    <w:rsid w:val="001A64D3"/>
    <w:rsid w:val="001A652B"/>
    <w:rsid w:val="001A6608"/>
    <w:rsid w:val="001A6768"/>
    <w:rsid w:val="001A679D"/>
    <w:rsid w:val="001A681E"/>
    <w:rsid w:val="001A6825"/>
    <w:rsid w:val="001A685B"/>
    <w:rsid w:val="001A686E"/>
    <w:rsid w:val="001A6894"/>
    <w:rsid w:val="001A68C8"/>
    <w:rsid w:val="001A6AA9"/>
    <w:rsid w:val="001A6DB7"/>
    <w:rsid w:val="001A6E47"/>
    <w:rsid w:val="001A6EF3"/>
    <w:rsid w:val="001A703A"/>
    <w:rsid w:val="001A7043"/>
    <w:rsid w:val="001A7055"/>
    <w:rsid w:val="001A7205"/>
    <w:rsid w:val="001A724D"/>
    <w:rsid w:val="001A7273"/>
    <w:rsid w:val="001A727D"/>
    <w:rsid w:val="001A72BB"/>
    <w:rsid w:val="001A740B"/>
    <w:rsid w:val="001A74FA"/>
    <w:rsid w:val="001A7563"/>
    <w:rsid w:val="001A757B"/>
    <w:rsid w:val="001A7593"/>
    <w:rsid w:val="001A7678"/>
    <w:rsid w:val="001A7794"/>
    <w:rsid w:val="001A7997"/>
    <w:rsid w:val="001A7C46"/>
    <w:rsid w:val="001A7DC8"/>
    <w:rsid w:val="001A7DED"/>
    <w:rsid w:val="001A7E80"/>
    <w:rsid w:val="001A7E97"/>
    <w:rsid w:val="001A7F21"/>
    <w:rsid w:val="001B000C"/>
    <w:rsid w:val="001B004F"/>
    <w:rsid w:val="001B01B7"/>
    <w:rsid w:val="001B02DD"/>
    <w:rsid w:val="001B038C"/>
    <w:rsid w:val="001B03CF"/>
    <w:rsid w:val="001B04AB"/>
    <w:rsid w:val="001B04AD"/>
    <w:rsid w:val="001B04E2"/>
    <w:rsid w:val="001B069B"/>
    <w:rsid w:val="001B06AC"/>
    <w:rsid w:val="001B06B2"/>
    <w:rsid w:val="001B06B7"/>
    <w:rsid w:val="001B070B"/>
    <w:rsid w:val="001B09AC"/>
    <w:rsid w:val="001B0A21"/>
    <w:rsid w:val="001B0A28"/>
    <w:rsid w:val="001B0B4E"/>
    <w:rsid w:val="001B0BA0"/>
    <w:rsid w:val="001B0BE4"/>
    <w:rsid w:val="001B0BE5"/>
    <w:rsid w:val="001B0C74"/>
    <w:rsid w:val="001B0C86"/>
    <w:rsid w:val="001B0D4C"/>
    <w:rsid w:val="001B0D72"/>
    <w:rsid w:val="001B0EED"/>
    <w:rsid w:val="001B1046"/>
    <w:rsid w:val="001B1067"/>
    <w:rsid w:val="001B1164"/>
    <w:rsid w:val="001B1241"/>
    <w:rsid w:val="001B1243"/>
    <w:rsid w:val="001B12B5"/>
    <w:rsid w:val="001B12BC"/>
    <w:rsid w:val="001B154F"/>
    <w:rsid w:val="001B158F"/>
    <w:rsid w:val="001B17F9"/>
    <w:rsid w:val="001B18C7"/>
    <w:rsid w:val="001B196C"/>
    <w:rsid w:val="001B19A4"/>
    <w:rsid w:val="001B1AB7"/>
    <w:rsid w:val="001B1C4C"/>
    <w:rsid w:val="001B1D07"/>
    <w:rsid w:val="001B1DDC"/>
    <w:rsid w:val="001B1E71"/>
    <w:rsid w:val="001B2014"/>
    <w:rsid w:val="001B209A"/>
    <w:rsid w:val="001B20E1"/>
    <w:rsid w:val="001B24CC"/>
    <w:rsid w:val="001B2656"/>
    <w:rsid w:val="001B26EA"/>
    <w:rsid w:val="001B271F"/>
    <w:rsid w:val="001B2787"/>
    <w:rsid w:val="001B284D"/>
    <w:rsid w:val="001B28A5"/>
    <w:rsid w:val="001B28B9"/>
    <w:rsid w:val="001B29E8"/>
    <w:rsid w:val="001B2A4F"/>
    <w:rsid w:val="001B2A8D"/>
    <w:rsid w:val="001B2B3F"/>
    <w:rsid w:val="001B2B72"/>
    <w:rsid w:val="001B2BB9"/>
    <w:rsid w:val="001B2D37"/>
    <w:rsid w:val="001B2FB0"/>
    <w:rsid w:val="001B3069"/>
    <w:rsid w:val="001B32A5"/>
    <w:rsid w:val="001B33D7"/>
    <w:rsid w:val="001B3521"/>
    <w:rsid w:val="001B3618"/>
    <w:rsid w:val="001B3653"/>
    <w:rsid w:val="001B38B9"/>
    <w:rsid w:val="001B3902"/>
    <w:rsid w:val="001B391F"/>
    <w:rsid w:val="001B3950"/>
    <w:rsid w:val="001B3AF5"/>
    <w:rsid w:val="001B3CED"/>
    <w:rsid w:val="001B3DC1"/>
    <w:rsid w:val="001B3DF7"/>
    <w:rsid w:val="001B3EC3"/>
    <w:rsid w:val="001B3EF4"/>
    <w:rsid w:val="001B3F60"/>
    <w:rsid w:val="001B401A"/>
    <w:rsid w:val="001B4162"/>
    <w:rsid w:val="001B418F"/>
    <w:rsid w:val="001B41A1"/>
    <w:rsid w:val="001B4238"/>
    <w:rsid w:val="001B4262"/>
    <w:rsid w:val="001B4385"/>
    <w:rsid w:val="001B4426"/>
    <w:rsid w:val="001B46C2"/>
    <w:rsid w:val="001B48DC"/>
    <w:rsid w:val="001B4904"/>
    <w:rsid w:val="001B49BE"/>
    <w:rsid w:val="001B4A27"/>
    <w:rsid w:val="001B4CA0"/>
    <w:rsid w:val="001B4D2D"/>
    <w:rsid w:val="001B4E2E"/>
    <w:rsid w:val="001B4ED2"/>
    <w:rsid w:val="001B4F77"/>
    <w:rsid w:val="001B4FA2"/>
    <w:rsid w:val="001B4FBB"/>
    <w:rsid w:val="001B4FC8"/>
    <w:rsid w:val="001B50F8"/>
    <w:rsid w:val="001B5370"/>
    <w:rsid w:val="001B53CA"/>
    <w:rsid w:val="001B555F"/>
    <w:rsid w:val="001B577E"/>
    <w:rsid w:val="001B5BD7"/>
    <w:rsid w:val="001B5EE9"/>
    <w:rsid w:val="001B5F0B"/>
    <w:rsid w:val="001B5FBF"/>
    <w:rsid w:val="001B5FE4"/>
    <w:rsid w:val="001B62F6"/>
    <w:rsid w:val="001B63B9"/>
    <w:rsid w:val="001B64E9"/>
    <w:rsid w:val="001B652D"/>
    <w:rsid w:val="001B6581"/>
    <w:rsid w:val="001B660D"/>
    <w:rsid w:val="001B68D0"/>
    <w:rsid w:val="001B6B04"/>
    <w:rsid w:val="001B6C88"/>
    <w:rsid w:val="001B6F46"/>
    <w:rsid w:val="001B6F5F"/>
    <w:rsid w:val="001B70D4"/>
    <w:rsid w:val="001B74F1"/>
    <w:rsid w:val="001B7716"/>
    <w:rsid w:val="001B78B9"/>
    <w:rsid w:val="001B796C"/>
    <w:rsid w:val="001B7BBD"/>
    <w:rsid w:val="001B7D33"/>
    <w:rsid w:val="001B7D56"/>
    <w:rsid w:val="001B7DA4"/>
    <w:rsid w:val="001B7DCB"/>
    <w:rsid w:val="001B7E1B"/>
    <w:rsid w:val="001B7F2B"/>
    <w:rsid w:val="001B7F37"/>
    <w:rsid w:val="001B7FBA"/>
    <w:rsid w:val="001C01BB"/>
    <w:rsid w:val="001C035A"/>
    <w:rsid w:val="001C03FF"/>
    <w:rsid w:val="001C04E1"/>
    <w:rsid w:val="001C0548"/>
    <w:rsid w:val="001C0608"/>
    <w:rsid w:val="001C0620"/>
    <w:rsid w:val="001C066A"/>
    <w:rsid w:val="001C0738"/>
    <w:rsid w:val="001C0800"/>
    <w:rsid w:val="001C0810"/>
    <w:rsid w:val="001C08BF"/>
    <w:rsid w:val="001C0964"/>
    <w:rsid w:val="001C096C"/>
    <w:rsid w:val="001C0C29"/>
    <w:rsid w:val="001C0CCC"/>
    <w:rsid w:val="001C0D64"/>
    <w:rsid w:val="001C0F01"/>
    <w:rsid w:val="001C0F03"/>
    <w:rsid w:val="001C0F98"/>
    <w:rsid w:val="001C1111"/>
    <w:rsid w:val="001C131A"/>
    <w:rsid w:val="001C13BE"/>
    <w:rsid w:val="001C13E0"/>
    <w:rsid w:val="001C1453"/>
    <w:rsid w:val="001C1482"/>
    <w:rsid w:val="001C14B1"/>
    <w:rsid w:val="001C1599"/>
    <w:rsid w:val="001C176B"/>
    <w:rsid w:val="001C17FE"/>
    <w:rsid w:val="001C1A44"/>
    <w:rsid w:val="001C1A89"/>
    <w:rsid w:val="001C1BD5"/>
    <w:rsid w:val="001C1BFD"/>
    <w:rsid w:val="001C1C83"/>
    <w:rsid w:val="001C2068"/>
    <w:rsid w:val="001C21B5"/>
    <w:rsid w:val="001C21C2"/>
    <w:rsid w:val="001C2278"/>
    <w:rsid w:val="001C22FE"/>
    <w:rsid w:val="001C23A7"/>
    <w:rsid w:val="001C23BF"/>
    <w:rsid w:val="001C23CD"/>
    <w:rsid w:val="001C258C"/>
    <w:rsid w:val="001C261C"/>
    <w:rsid w:val="001C2733"/>
    <w:rsid w:val="001C27A4"/>
    <w:rsid w:val="001C27AC"/>
    <w:rsid w:val="001C28C9"/>
    <w:rsid w:val="001C28CB"/>
    <w:rsid w:val="001C28E6"/>
    <w:rsid w:val="001C2A0F"/>
    <w:rsid w:val="001C2A58"/>
    <w:rsid w:val="001C2ADA"/>
    <w:rsid w:val="001C2B16"/>
    <w:rsid w:val="001C2B22"/>
    <w:rsid w:val="001C2B8F"/>
    <w:rsid w:val="001C2D3B"/>
    <w:rsid w:val="001C2D70"/>
    <w:rsid w:val="001C2EAE"/>
    <w:rsid w:val="001C2F73"/>
    <w:rsid w:val="001C2F9D"/>
    <w:rsid w:val="001C303A"/>
    <w:rsid w:val="001C3172"/>
    <w:rsid w:val="001C3223"/>
    <w:rsid w:val="001C328F"/>
    <w:rsid w:val="001C34F3"/>
    <w:rsid w:val="001C3669"/>
    <w:rsid w:val="001C3796"/>
    <w:rsid w:val="001C3798"/>
    <w:rsid w:val="001C3873"/>
    <w:rsid w:val="001C39A5"/>
    <w:rsid w:val="001C3B85"/>
    <w:rsid w:val="001C3BDC"/>
    <w:rsid w:val="001C3D18"/>
    <w:rsid w:val="001C3D5F"/>
    <w:rsid w:val="001C3DCB"/>
    <w:rsid w:val="001C3E51"/>
    <w:rsid w:val="001C3FAE"/>
    <w:rsid w:val="001C4122"/>
    <w:rsid w:val="001C4252"/>
    <w:rsid w:val="001C4382"/>
    <w:rsid w:val="001C43B4"/>
    <w:rsid w:val="001C4404"/>
    <w:rsid w:val="001C4603"/>
    <w:rsid w:val="001C4637"/>
    <w:rsid w:val="001C4694"/>
    <w:rsid w:val="001C46A7"/>
    <w:rsid w:val="001C46D4"/>
    <w:rsid w:val="001C476E"/>
    <w:rsid w:val="001C4966"/>
    <w:rsid w:val="001C4A4F"/>
    <w:rsid w:val="001C4AB5"/>
    <w:rsid w:val="001C4ACA"/>
    <w:rsid w:val="001C4BAA"/>
    <w:rsid w:val="001C4E6A"/>
    <w:rsid w:val="001C513E"/>
    <w:rsid w:val="001C5142"/>
    <w:rsid w:val="001C522F"/>
    <w:rsid w:val="001C5309"/>
    <w:rsid w:val="001C54E0"/>
    <w:rsid w:val="001C5650"/>
    <w:rsid w:val="001C5748"/>
    <w:rsid w:val="001C575A"/>
    <w:rsid w:val="001C57AC"/>
    <w:rsid w:val="001C57FE"/>
    <w:rsid w:val="001C58B0"/>
    <w:rsid w:val="001C58E3"/>
    <w:rsid w:val="001C58F6"/>
    <w:rsid w:val="001C5C2F"/>
    <w:rsid w:val="001C5C6E"/>
    <w:rsid w:val="001C5E01"/>
    <w:rsid w:val="001C6042"/>
    <w:rsid w:val="001C608B"/>
    <w:rsid w:val="001C62E8"/>
    <w:rsid w:val="001C639D"/>
    <w:rsid w:val="001C658E"/>
    <w:rsid w:val="001C6764"/>
    <w:rsid w:val="001C6765"/>
    <w:rsid w:val="001C6794"/>
    <w:rsid w:val="001C67AA"/>
    <w:rsid w:val="001C67AE"/>
    <w:rsid w:val="001C6AC1"/>
    <w:rsid w:val="001C6AFD"/>
    <w:rsid w:val="001C6E46"/>
    <w:rsid w:val="001C6F03"/>
    <w:rsid w:val="001C764E"/>
    <w:rsid w:val="001C769B"/>
    <w:rsid w:val="001C774E"/>
    <w:rsid w:val="001C77EA"/>
    <w:rsid w:val="001C787C"/>
    <w:rsid w:val="001C7C50"/>
    <w:rsid w:val="001C7DBE"/>
    <w:rsid w:val="001C7E86"/>
    <w:rsid w:val="001D008B"/>
    <w:rsid w:val="001D020F"/>
    <w:rsid w:val="001D0307"/>
    <w:rsid w:val="001D0329"/>
    <w:rsid w:val="001D0416"/>
    <w:rsid w:val="001D0567"/>
    <w:rsid w:val="001D073F"/>
    <w:rsid w:val="001D0944"/>
    <w:rsid w:val="001D0960"/>
    <w:rsid w:val="001D0981"/>
    <w:rsid w:val="001D0CFA"/>
    <w:rsid w:val="001D100C"/>
    <w:rsid w:val="001D1069"/>
    <w:rsid w:val="001D123C"/>
    <w:rsid w:val="001D166E"/>
    <w:rsid w:val="001D17BC"/>
    <w:rsid w:val="001D1870"/>
    <w:rsid w:val="001D18E1"/>
    <w:rsid w:val="001D19E8"/>
    <w:rsid w:val="001D19EF"/>
    <w:rsid w:val="001D1A9D"/>
    <w:rsid w:val="001D1F33"/>
    <w:rsid w:val="001D1F3B"/>
    <w:rsid w:val="001D1FE1"/>
    <w:rsid w:val="001D1FF5"/>
    <w:rsid w:val="001D216E"/>
    <w:rsid w:val="001D21C7"/>
    <w:rsid w:val="001D2237"/>
    <w:rsid w:val="001D2967"/>
    <w:rsid w:val="001D298D"/>
    <w:rsid w:val="001D2A00"/>
    <w:rsid w:val="001D2DFA"/>
    <w:rsid w:val="001D2EA5"/>
    <w:rsid w:val="001D2EEA"/>
    <w:rsid w:val="001D2F24"/>
    <w:rsid w:val="001D2F48"/>
    <w:rsid w:val="001D2F7E"/>
    <w:rsid w:val="001D2FD8"/>
    <w:rsid w:val="001D31CD"/>
    <w:rsid w:val="001D33E2"/>
    <w:rsid w:val="001D3499"/>
    <w:rsid w:val="001D357D"/>
    <w:rsid w:val="001D3588"/>
    <w:rsid w:val="001D3684"/>
    <w:rsid w:val="001D36A4"/>
    <w:rsid w:val="001D36B6"/>
    <w:rsid w:val="001D36DB"/>
    <w:rsid w:val="001D3796"/>
    <w:rsid w:val="001D37F4"/>
    <w:rsid w:val="001D3856"/>
    <w:rsid w:val="001D3A43"/>
    <w:rsid w:val="001D3ABE"/>
    <w:rsid w:val="001D3AE0"/>
    <w:rsid w:val="001D3B0F"/>
    <w:rsid w:val="001D3C0E"/>
    <w:rsid w:val="001D3D33"/>
    <w:rsid w:val="001D3DCD"/>
    <w:rsid w:val="001D3EFE"/>
    <w:rsid w:val="001D3F36"/>
    <w:rsid w:val="001D3F5E"/>
    <w:rsid w:val="001D417A"/>
    <w:rsid w:val="001D4265"/>
    <w:rsid w:val="001D43C3"/>
    <w:rsid w:val="001D4468"/>
    <w:rsid w:val="001D45B4"/>
    <w:rsid w:val="001D4648"/>
    <w:rsid w:val="001D4727"/>
    <w:rsid w:val="001D4771"/>
    <w:rsid w:val="001D48A5"/>
    <w:rsid w:val="001D49CB"/>
    <w:rsid w:val="001D4A87"/>
    <w:rsid w:val="001D4B23"/>
    <w:rsid w:val="001D4BFF"/>
    <w:rsid w:val="001D4EA1"/>
    <w:rsid w:val="001D4F66"/>
    <w:rsid w:val="001D4FC7"/>
    <w:rsid w:val="001D51E8"/>
    <w:rsid w:val="001D52EF"/>
    <w:rsid w:val="001D53AB"/>
    <w:rsid w:val="001D53BD"/>
    <w:rsid w:val="001D54CF"/>
    <w:rsid w:val="001D55A7"/>
    <w:rsid w:val="001D5780"/>
    <w:rsid w:val="001D5A05"/>
    <w:rsid w:val="001D5A9A"/>
    <w:rsid w:val="001D5AD1"/>
    <w:rsid w:val="001D5BAC"/>
    <w:rsid w:val="001D5BCE"/>
    <w:rsid w:val="001D5CEE"/>
    <w:rsid w:val="001D5CF1"/>
    <w:rsid w:val="001D5D1A"/>
    <w:rsid w:val="001D5D44"/>
    <w:rsid w:val="001D5D50"/>
    <w:rsid w:val="001D5DB1"/>
    <w:rsid w:val="001D5E38"/>
    <w:rsid w:val="001D5F25"/>
    <w:rsid w:val="001D6016"/>
    <w:rsid w:val="001D60F9"/>
    <w:rsid w:val="001D61B5"/>
    <w:rsid w:val="001D6363"/>
    <w:rsid w:val="001D6563"/>
    <w:rsid w:val="001D6620"/>
    <w:rsid w:val="001D68F3"/>
    <w:rsid w:val="001D6915"/>
    <w:rsid w:val="001D6926"/>
    <w:rsid w:val="001D69F5"/>
    <w:rsid w:val="001D6C27"/>
    <w:rsid w:val="001D6C4F"/>
    <w:rsid w:val="001D6C7A"/>
    <w:rsid w:val="001D6D8E"/>
    <w:rsid w:val="001D6D9F"/>
    <w:rsid w:val="001D6DB7"/>
    <w:rsid w:val="001D704C"/>
    <w:rsid w:val="001D7069"/>
    <w:rsid w:val="001D7140"/>
    <w:rsid w:val="001D71C2"/>
    <w:rsid w:val="001D72A5"/>
    <w:rsid w:val="001D73DB"/>
    <w:rsid w:val="001D74CC"/>
    <w:rsid w:val="001D74E3"/>
    <w:rsid w:val="001D76D6"/>
    <w:rsid w:val="001D77A6"/>
    <w:rsid w:val="001D7817"/>
    <w:rsid w:val="001D7998"/>
    <w:rsid w:val="001D79E0"/>
    <w:rsid w:val="001D7A43"/>
    <w:rsid w:val="001D7B70"/>
    <w:rsid w:val="001D7BDE"/>
    <w:rsid w:val="001D7CD2"/>
    <w:rsid w:val="001D7D2F"/>
    <w:rsid w:val="001D7EDD"/>
    <w:rsid w:val="001D7F9E"/>
    <w:rsid w:val="001E015D"/>
    <w:rsid w:val="001E024C"/>
    <w:rsid w:val="001E02DA"/>
    <w:rsid w:val="001E0300"/>
    <w:rsid w:val="001E031E"/>
    <w:rsid w:val="001E03F1"/>
    <w:rsid w:val="001E04B0"/>
    <w:rsid w:val="001E0604"/>
    <w:rsid w:val="001E0626"/>
    <w:rsid w:val="001E063F"/>
    <w:rsid w:val="001E0714"/>
    <w:rsid w:val="001E0889"/>
    <w:rsid w:val="001E0A52"/>
    <w:rsid w:val="001E0BF7"/>
    <w:rsid w:val="001E0C84"/>
    <w:rsid w:val="001E0CF0"/>
    <w:rsid w:val="001E0DA8"/>
    <w:rsid w:val="001E0DC2"/>
    <w:rsid w:val="001E0E50"/>
    <w:rsid w:val="001E0E7D"/>
    <w:rsid w:val="001E0F7D"/>
    <w:rsid w:val="001E0FF9"/>
    <w:rsid w:val="001E10AA"/>
    <w:rsid w:val="001E117C"/>
    <w:rsid w:val="001E1187"/>
    <w:rsid w:val="001E1254"/>
    <w:rsid w:val="001E1442"/>
    <w:rsid w:val="001E14AF"/>
    <w:rsid w:val="001E15BF"/>
    <w:rsid w:val="001E161F"/>
    <w:rsid w:val="001E1642"/>
    <w:rsid w:val="001E1918"/>
    <w:rsid w:val="001E194B"/>
    <w:rsid w:val="001E19BE"/>
    <w:rsid w:val="001E19EE"/>
    <w:rsid w:val="001E1AFF"/>
    <w:rsid w:val="001E1B6B"/>
    <w:rsid w:val="001E1BAE"/>
    <w:rsid w:val="001E1BBF"/>
    <w:rsid w:val="001E1BCB"/>
    <w:rsid w:val="001E1BE4"/>
    <w:rsid w:val="001E1C2D"/>
    <w:rsid w:val="001E1CE7"/>
    <w:rsid w:val="001E1E2B"/>
    <w:rsid w:val="001E1E38"/>
    <w:rsid w:val="001E1EF2"/>
    <w:rsid w:val="001E1F01"/>
    <w:rsid w:val="001E1F2F"/>
    <w:rsid w:val="001E1FDE"/>
    <w:rsid w:val="001E209D"/>
    <w:rsid w:val="001E20BE"/>
    <w:rsid w:val="001E20C8"/>
    <w:rsid w:val="001E2102"/>
    <w:rsid w:val="001E2148"/>
    <w:rsid w:val="001E249F"/>
    <w:rsid w:val="001E2676"/>
    <w:rsid w:val="001E2687"/>
    <w:rsid w:val="001E26A6"/>
    <w:rsid w:val="001E2774"/>
    <w:rsid w:val="001E2835"/>
    <w:rsid w:val="001E2879"/>
    <w:rsid w:val="001E299A"/>
    <w:rsid w:val="001E29A3"/>
    <w:rsid w:val="001E2E1E"/>
    <w:rsid w:val="001E2F14"/>
    <w:rsid w:val="001E3289"/>
    <w:rsid w:val="001E3297"/>
    <w:rsid w:val="001E32EE"/>
    <w:rsid w:val="001E3543"/>
    <w:rsid w:val="001E357D"/>
    <w:rsid w:val="001E3668"/>
    <w:rsid w:val="001E36FB"/>
    <w:rsid w:val="001E3730"/>
    <w:rsid w:val="001E3816"/>
    <w:rsid w:val="001E38B7"/>
    <w:rsid w:val="001E3982"/>
    <w:rsid w:val="001E3ACA"/>
    <w:rsid w:val="001E3AD2"/>
    <w:rsid w:val="001E3B1E"/>
    <w:rsid w:val="001E3B5A"/>
    <w:rsid w:val="001E3C21"/>
    <w:rsid w:val="001E3C57"/>
    <w:rsid w:val="001E4096"/>
    <w:rsid w:val="001E40EE"/>
    <w:rsid w:val="001E412D"/>
    <w:rsid w:val="001E414B"/>
    <w:rsid w:val="001E4233"/>
    <w:rsid w:val="001E42B5"/>
    <w:rsid w:val="001E434B"/>
    <w:rsid w:val="001E43B0"/>
    <w:rsid w:val="001E43EE"/>
    <w:rsid w:val="001E446D"/>
    <w:rsid w:val="001E465E"/>
    <w:rsid w:val="001E4672"/>
    <w:rsid w:val="001E46C5"/>
    <w:rsid w:val="001E474A"/>
    <w:rsid w:val="001E47B7"/>
    <w:rsid w:val="001E48BB"/>
    <w:rsid w:val="001E49C2"/>
    <w:rsid w:val="001E4A44"/>
    <w:rsid w:val="001E4B56"/>
    <w:rsid w:val="001E4B62"/>
    <w:rsid w:val="001E4C43"/>
    <w:rsid w:val="001E4D25"/>
    <w:rsid w:val="001E4D7B"/>
    <w:rsid w:val="001E4F36"/>
    <w:rsid w:val="001E5192"/>
    <w:rsid w:val="001E51A0"/>
    <w:rsid w:val="001E55CF"/>
    <w:rsid w:val="001E55DD"/>
    <w:rsid w:val="001E563A"/>
    <w:rsid w:val="001E5697"/>
    <w:rsid w:val="001E57CC"/>
    <w:rsid w:val="001E57F0"/>
    <w:rsid w:val="001E5A53"/>
    <w:rsid w:val="001E5D63"/>
    <w:rsid w:val="001E5E8C"/>
    <w:rsid w:val="001E5F37"/>
    <w:rsid w:val="001E5F82"/>
    <w:rsid w:val="001E61D5"/>
    <w:rsid w:val="001E63AD"/>
    <w:rsid w:val="001E6529"/>
    <w:rsid w:val="001E6739"/>
    <w:rsid w:val="001E69C9"/>
    <w:rsid w:val="001E6A17"/>
    <w:rsid w:val="001E6A1F"/>
    <w:rsid w:val="001E6AC6"/>
    <w:rsid w:val="001E6DD3"/>
    <w:rsid w:val="001E6F63"/>
    <w:rsid w:val="001E6F7B"/>
    <w:rsid w:val="001E701E"/>
    <w:rsid w:val="001E722E"/>
    <w:rsid w:val="001E730A"/>
    <w:rsid w:val="001E73DB"/>
    <w:rsid w:val="001E73EF"/>
    <w:rsid w:val="001E7554"/>
    <w:rsid w:val="001E7638"/>
    <w:rsid w:val="001E76E0"/>
    <w:rsid w:val="001E77B6"/>
    <w:rsid w:val="001E78C9"/>
    <w:rsid w:val="001E7A91"/>
    <w:rsid w:val="001E7AA4"/>
    <w:rsid w:val="001E7D03"/>
    <w:rsid w:val="001E7D2A"/>
    <w:rsid w:val="001E7E9D"/>
    <w:rsid w:val="001E7EFD"/>
    <w:rsid w:val="001E7F66"/>
    <w:rsid w:val="001F005E"/>
    <w:rsid w:val="001F02E2"/>
    <w:rsid w:val="001F035B"/>
    <w:rsid w:val="001F0452"/>
    <w:rsid w:val="001F053D"/>
    <w:rsid w:val="001F05F1"/>
    <w:rsid w:val="001F069C"/>
    <w:rsid w:val="001F06C5"/>
    <w:rsid w:val="001F078E"/>
    <w:rsid w:val="001F0859"/>
    <w:rsid w:val="001F0A5F"/>
    <w:rsid w:val="001F0B0A"/>
    <w:rsid w:val="001F0C44"/>
    <w:rsid w:val="001F0E0C"/>
    <w:rsid w:val="001F0EB2"/>
    <w:rsid w:val="001F0ECB"/>
    <w:rsid w:val="001F107A"/>
    <w:rsid w:val="001F111C"/>
    <w:rsid w:val="001F1584"/>
    <w:rsid w:val="001F15C2"/>
    <w:rsid w:val="001F166F"/>
    <w:rsid w:val="001F1866"/>
    <w:rsid w:val="001F19E1"/>
    <w:rsid w:val="001F1A2F"/>
    <w:rsid w:val="001F1B53"/>
    <w:rsid w:val="001F1B5E"/>
    <w:rsid w:val="001F1C08"/>
    <w:rsid w:val="001F1C85"/>
    <w:rsid w:val="001F1CBE"/>
    <w:rsid w:val="001F1CD6"/>
    <w:rsid w:val="001F1D22"/>
    <w:rsid w:val="001F1DB4"/>
    <w:rsid w:val="001F1EA5"/>
    <w:rsid w:val="001F1F65"/>
    <w:rsid w:val="001F1FD6"/>
    <w:rsid w:val="001F2056"/>
    <w:rsid w:val="001F21F5"/>
    <w:rsid w:val="001F2486"/>
    <w:rsid w:val="001F2539"/>
    <w:rsid w:val="001F2658"/>
    <w:rsid w:val="001F2821"/>
    <w:rsid w:val="001F285F"/>
    <w:rsid w:val="001F296F"/>
    <w:rsid w:val="001F29EB"/>
    <w:rsid w:val="001F2B22"/>
    <w:rsid w:val="001F2B94"/>
    <w:rsid w:val="001F2C94"/>
    <w:rsid w:val="001F2D6E"/>
    <w:rsid w:val="001F2EEB"/>
    <w:rsid w:val="001F2F2D"/>
    <w:rsid w:val="001F2FDD"/>
    <w:rsid w:val="001F2FEB"/>
    <w:rsid w:val="001F30AB"/>
    <w:rsid w:val="001F30F2"/>
    <w:rsid w:val="001F3259"/>
    <w:rsid w:val="001F32CF"/>
    <w:rsid w:val="001F338B"/>
    <w:rsid w:val="001F33A3"/>
    <w:rsid w:val="001F33DA"/>
    <w:rsid w:val="001F38CB"/>
    <w:rsid w:val="001F38D3"/>
    <w:rsid w:val="001F3E3A"/>
    <w:rsid w:val="001F3E9E"/>
    <w:rsid w:val="001F3EAA"/>
    <w:rsid w:val="001F3EAC"/>
    <w:rsid w:val="001F3ED6"/>
    <w:rsid w:val="001F3EED"/>
    <w:rsid w:val="001F3F43"/>
    <w:rsid w:val="001F3F61"/>
    <w:rsid w:val="001F437B"/>
    <w:rsid w:val="001F4385"/>
    <w:rsid w:val="001F4417"/>
    <w:rsid w:val="001F4583"/>
    <w:rsid w:val="001F4590"/>
    <w:rsid w:val="001F45A8"/>
    <w:rsid w:val="001F48BD"/>
    <w:rsid w:val="001F49B9"/>
    <w:rsid w:val="001F4B0C"/>
    <w:rsid w:val="001F4B93"/>
    <w:rsid w:val="001F4C5A"/>
    <w:rsid w:val="001F4CE2"/>
    <w:rsid w:val="001F4D85"/>
    <w:rsid w:val="001F4DA0"/>
    <w:rsid w:val="001F4DFC"/>
    <w:rsid w:val="001F509E"/>
    <w:rsid w:val="001F50A9"/>
    <w:rsid w:val="001F50E4"/>
    <w:rsid w:val="001F5223"/>
    <w:rsid w:val="001F523C"/>
    <w:rsid w:val="001F5299"/>
    <w:rsid w:val="001F5310"/>
    <w:rsid w:val="001F535E"/>
    <w:rsid w:val="001F547C"/>
    <w:rsid w:val="001F553D"/>
    <w:rsid w:val="001F5570"/>
    <w:rsid w:val="001F558E"/>
    <w:rsid w:val="001F56D7"/>
    <w:rsid w:val="001F5760"/>
    <w:rsid w:val="001F5806"/>
    <w:rsid w:val="001F587F"/>
    <w:rsid w:val="001F5946"/>
    <w:rsid w:val="001F5A16"/>
    <w:rsid w:val="001F5A86"/>
    <w:rsid w:val="001F5B98"/>
    <w:rsid w:val="001F5C63"/>
    <w:rsid w:val="001F5DB5"/>
    <w:rsid w:val="001F5E2B"/>
    <w:rsid w:val="001F5E96"/>
    <w:rsid w:val="001F5EA6"/>
    <w:rsid w:val="001F5F07"/>
    <w:rsid w:val="001F5F5C"/>
    <w:rsid w:val="001F6282"/>
    <w:rsid w:val="001F62EA"/>
    <w:rsid w:val="001F6B31"/>
    <w:rsid w:val="001F6F1B"/>
    <w:rsid w:val="001F6FA5"/>
    <w:rsid w:val="001F6FFE"/>
    <w:rsid w:val="001F7144"/>
    <w:rsid w:val="001F7173"/>
    <w:rsid w:val="001F7204"/>
    <w:rsid w:val="001F7249"/>
    <w:rsid w:val="001F72F9"/>
    <w:rsid w:val="001F7329"/>
    <w:rsid w:val="001F7462"/>
    <w:rsid w:val="001F7629"/>
    <w:rsid w:val="001F76F0"/>
    <w:rsid w:val="001F784B"/>
    <w:rsid w:val="001F7906"/>
    <w:rsid w:val="001F7A74"/>
    <w:rsid w:val="001F7B6E"/>
    <w:rsid w:val="001F7B9C"/>
    <w:rsid w:val="001F7E96"/>
    <w:rsid w:val="001F7E9A"/>
    <w:rsid w:val="001F7EFA"/>
    <w:rsid w:val="0020006C"/>
    <w:rsid w:val="002001C0"/>
    <w:rsid w:val="0020035E"/>
    <w:rsid w:val="002005CF"/>
    <w:rsid w:val="00200623"/>
    <w:rsid w:val="00200731"/>
    <w:rsid w:val="00200861"/>
    <w:rsid w:val="00200A7A"/>
    <w:rsid w:val="00200A7E"/>
    <w:rsid w:val="00200ABE"/>
    <w:rsid w:val="00200B75"/>
    <w:rsid w:val="00200BC4"/>
    <w:rsid w:val="00200CC2"/>
    <w:rsid w:val="00200CCC"/>
    <w:rsid w:val="00200D3D"/>
    <w:rsid w:val="00200F2D"/>
    <w:rsid w:val="00201053"/>
    <w:rsid w:val="002010A0"/>
    <w:rsid w:val="00201413"/>
    <w:rsid w:val="0020145F"/>
    <w:rsid w:val="002014CE"/>
    <w:rsid w:val="00201515"/>
    <w:rsid w:val="00201560"/>
    <w:rsid w:val="002015BC"/>
    <w:rsid w:val="002015CC"/>
    <w:rsid w:val="002015FA"/>
    <w:rsid w:val="00201609"/>
    <w:rsid w:val="00201685"/>
    <w:rsid w:val="002016C9"/>
    <w:rsid w:val="002018E0"/>
    <w:rsid w:val="00201AE3"/>
    <w:rsid w:val="00201D30"/>
    <w:rsid w:val="00201DD4"/>
    <w:rsid w:val="00201E0C"/>
    <w:rsid w:val="00201E5F"/>
    <w:rsid w:val="00201FE1"/>
    <w:rsid w:val="00202008"/>
    <w:rsid w:val="00202295"/>
    <w:rsid w:val="002022F6"/>
    <w:rsid w:val="002023CD"/>
    <w:rsid w:val="00202448"/>
    <w:rsid w:val="002024A1"/>
    <w:rsid w:val="002024DC"/>
    <w:rsid w:val="0020252F"/>
    <w:rsid w:val="00202620"/>
    <w:rsid w:val="00202698"/>
    <w:rsid w:val="00202738"/>
    <w:rsid w:val="00202787"/>
    <w:rsid w:val="00202863"/>
    <w:rsid w:val="00202939"/>
    <w:rsid w:val="00202A7F"/>
    <w:rsid w:val="00202B5E"/>
    <w:rsid w:val="00202C11"/>
    <w:rsid w:val="00202CCD"/>
    <w:rsid w:val="00202D5B"/>
    <w:rsid w:val="00202E74"/>
    <w:rsid w:val="00202FBA"/>
    <w:rsid w:val="002030B3"/>
    <w:rsid w:val="002030E4"/>
    <w:rsid w:val="0020313A"/>
    <w:rsid w:val="0020325B"/>
    <w:rsid w:val="0020327E"/>
    <w:rsid w:val="002032CB"/>
    <w:rsid w:val="002035CF"/>
    <w:rsid w:val="002035F2"/>
    <w:rsid w:val="0020382F"/>
    <w:rsid w:val="00203831"/>
    <w:rsid w:val="002038DF"/>
    <w:rsid w:val="00203A1B"/>
    <w:rsid w:val="00203A2A"/>
    <w:rsid w:val="00203A52"/>
    <w:rsid w:val="00203D59"/>
    <w:rsid w:val="00203E2A"/>
    <w:rsid w:val="00204064"/>
    <w:rsid w:val="00204274"/>
    <w:rsid w:val="002042E8"/>
    <w:rsid w:val="00204322"/>
    <w:rsid w:val="002045A5"/>
    <w:rsid w:val="00204657"/>
    <w:rsid w:val="00204683"/>
    <w:rsid w:val="002046B8"/>
    <w:rsid w:val="0020480A"/>
    <w:rsid w:val="002048BE"/>
    <w:rsid w:val="002048EF"/>
    <w:rsid w:val="00204916"/>
    <w:rsid w:val="002049D5"/>
    <w:rsid w:val="002049D6"/>
    <w:rsid w:val="002049E2"/>
    <w:rsid w:val="00204C25"/>
    <w:rsid w:val="00204CF6"/>
    <w:rsid w:val="00204D56"/>
    <w:rsid w:val="00204D71"/>
    <w:rsid w:val="00204FF9"/>
    <w:rsid w:val="00205008"/>
    <w:rsid w:val="0020506D"/>
    <w:rsid w:val="00205238"/>
    <w:rsid w:val="00205362"/>
    <w:rsid w:val="002053AE"/>
    <w:rsid w:val="002054F1"/>
    <w:rsid w:val="002056EB"/>
    <w:rsid w:val="00205735"/>
    <w:rsid w:val="002057B2"/>
    <w:rsid w:val="00205883"/>
    <w:rsid w:val="002058D4"/>
    <w:rsid w:val="00205914"/>
    <w:rsid w:val="00205928"/>
    <w:rsid w:val="00205B2D"/>
    <w:rsid w:val="00205B30"/>
    <w:rsid w:val="00205B74"/>
    <w:rsid w:val="00205B89"/>
    <w:rsid w:val="00205CDC"/>
    <w:rsid w:val="00205DB7"/>
    <w:rsid w:val="00205DD3"/>
    <w:rsid w:val="00205DE3"/>
    <w:rsid w:val="00205F43"/>
    <w:rsid w:val="00205F4D"/>
    <w:rsid w:val="00205FDF"/>
    <w:rsid w:val="0020603A"/>
    <w:rsid w:val="00206073"/>
    <w:rsid w:val="002060FA"/>
    <w:rsid w:val="0020618C"/>
    <w:rsid w:val="00206562"/>
    <w:rsid w:val="002065A0"/>
    <w:rsid w:val="0020668F"/>
    <w:rsid w:val="00206879"/>
    <w:rsid w:val="00206A8F"/>
    <w:rsid w:val="00206BD2"/>
    <w:rsid w:val="00206C8D"/>
    <w:rsid w:val="00206D3A"/>
    <w:rsid w:val="00206D66"/>
    <w:rsid w:val="00206F9B"/>
    <w:rsid w:val="002073A6"/>
    <w:rsid w:val="00207500"/>
    <w:rsid w:val="00207685"/>
    <w:rsid w:val="002076EA"/>
    <w:rsid w:val="0020776D"/>
    <w:rsid w:val="002077B3"/>
    <w:rsid w:val="00207801"/>
    <w:rsid w:val="00207938"/>
    <w:rsid w:val="0020794B"/>
    <w:rsid w:val="00207968"/>
    <w:rsid w:val="00207B63"/>
    <w:rsid w:val="00207B89"/>
    <w:rsid w:val="00207B9F"/>
    <w:rsid w:val="00207BB9"/>
    <w:rsid w:val="00207BFC"/>
    <w:rsid w:val="00207C4A"/>
    <w:rsid w:val="00207C4B"/>
    <w:rsid w:val="00207C59"/>
    <w:rsid w:val="00207D0F"/>
    <w:rsid w:val="00207D41"/>
    <w:rsid w:val="00207F9C"/>
    <w:rsid w:val="00207FE8"/>
    <w:rsid w:val="00210176"/>
    <w:rsid w:val="002101EF"/>
    <w:rsid w:val="00210325"/>
    <w:rsid w:val="00210374"/>
    <w:rsid w:val="002103AE"/>
    <w:rsid w:val="002104D5"/>
    <w:rsid w:val="0021052C"/>
    <w:rsid w:val="0021056E"/>
    <w:rsid w:val="002107ED"/>
    <w:rsid w:val="002107EE"/>
    <w:rsid w:val="002107FB"/>
    <w:rsid w:val="00210B9E"/>
    <w:rsid w:val="00210BC8"/>
    <w:rsid w:val="00210C53"/>
    <w:rsid w:val="00210CFA"/>
    <w:rsid w:val="00210D1B"/>
    <w:rsid w:val="00210DAC"/>
    <w:rsid w:val="00210E0D"/>
    <w:rsid w:val="00210E8A"/>
    <w:rsid w:val="00210FC9"/>
    <w:rsid w:val="00210FE8"/>
    <w:rsid w:val="0021107A"/>
    <w:rsid w:val="002110F1"/>
    <w:rsid w:val="0021111D"/>
    <w:rsid w:val="0021118B"/>
    <w:rsid w:val="0021137F"/>
    <w:rsid w:val="00211487"/>
    <w:rsid w:val="002114C5"/>
    <w:rsid w:val="00211512"/>
    <w:rsid w:val="00211554"/>
    <w:rsid w:val="0021161F"/>
    <w:rsid w:val="00211653"/>
    <w:rsid w:val="00211672"/>
    <w:rsid w:val="002116D2"/>
    <w:rsid w:val="00211740"/>
    <w:rsid w:val="002117C4"/>
    <w:rsid w:val="002117E5"/>
    <w:rsid w:val="002118BF"/>
    <w:rsid w:val="00211A2A"/>
    <w:rsid w:val="00211AD9"/>
    <w:rsid w:val="00211AFC"/>
    <w:rsid w:val="00211B83"/>
    <w:rsid w:val="00211DCC"/>
    <w:rsid w:val="00211F46"/>
    <w:rsid w:val="002121C5"/>
    <w:rsid w:val="002121CC"/>
    <w:rsid w:val="0021229E"/>
    <w:rsid w:val="002123AB"/>
    <w:rsid w:val="002123D0"/>
    <w:rsid w:val="002126A9"/>
    <w:rsid w:val="002126B3"/>
    <w:rsid w:val="002126BB"/>
    <w:rsid w:val="0021273C"/>
    <w:rsid w:val="0021281C"/>
    <w:rsid w:val="00212833"/>
    <w:rsid w:val="00212857"/>
    <w:rsid w:val="00212993"/>
    <w:rsid w:val="002129EC"/>
    <w:rsid w:val="00212A71"/>
    <w:rsid w:val="00212A77"/>
    <w:rsid w:val="00212B73"/>
    <w:rsid w:val="00212D20"/>
    <w:rsid w:val="00212F03"/>
    <w:rsid w:val="00213102"/>
    <w:rsid w:val="0021310B"/>
    <w:rsid w:val="00213152"/>
    <w:rsid w:val="00213394"/>
    <w:rsid w:val="002133F0"/>
    <w:rsid w:val="002134C1"/>
    <w:rsid w:val="00213529"/>
    <w:rsid w:val="0021359B"/>
    <w:rsid w:val="002135FC"/>
    <w:rsid w:val="0021388C"/>
    <w:rsid w:val="0021397E"/>
    <w:rsid w:val="00213A96"/>
    <w:rsid w:val="00213C0D"/>
    <w:rsid w:val="00213D32"/>
    <w:rsid w:val="00213E65"/>
    <w:rsid w:val="00213EA2"/>
    <w:rsid w:val="00213EC7"/>
    <w:rsid w:val="00213F08"/>
    <w:rsid w:val="00213F2B"/>
    <w:rsid w:val="00213FEE"/>
    <w:rsid w:val="0021400C"/>
    <w:rsid w:val="002141CE"/>
    <w:rsid w:val="0021422E"/>
    <w:rsid w:val="002144FE"/>
    <w:rsid w:val="00214528"/>
    <w:rsid w:val="0021467C"/>
    <w:rsid w:val="0021475C"/>
    <w:rsid w:val="002147A8"/>
    <w:rsid w:val="002147E1"/>
    <w:rsid w:val="0021486C"/>
    <w:rsid w:val="002149C3"/>
    <w:rsid w:val="00214AEA"/>
    <w:rsid w:val="00214B9D"/>
    <w:rsid w:val="00214C42"/>
    <w:rsid w:val="00214D09"/>
    <w:rsid w:val="00214D8D"/>
    <w:rsid w:val="00214F3E"/>
    <w:rsid w:val="00215027"/>
    <w:rsid w:val="0021503A"/>
    <w:rsid w:val="00215111"/>
    <w:rsid w:val="00215134"/>
    <w:rsid w:val="002151EF"/>
    <w:rsid w:val="002152AA"/>
    <w:rsid w:val="00215435"/>
    <w:rsid w:val="00215449"/>
    <w:rsid w:val="00215466"/>
    <w:rsid w:val="00215589"/>
    <w:rsid w:val="0021568A"/>
    <w:rsid w:val="002156AB"/>
    <w:rsid w:val="00215840"/>
    <w:rsid w:val="00215A03"/>
    <w:rsid w:val="00215A25"/>
    <w:rsid w:val="00215E11"/>
    <w:rsid w:val="00215EC7"/>
    <w:rsid w:val="00215F82"/>
    <w:rsid w:val="002161E7"/>
    <w:rsid w:val="00216302"/>
    <w:rsid w:val="00216434"/>
    <w:rsid w:val="0021644D"/>
    <w:rsid w:val="00216506"/>
    <w:rsid w:val="00216537"/>
    <w:rsid w:val="00216636"/>
    <w:rsid w:val="00216686"/>
    <w:rsid w:val="002166E5"/>
    <w:rsid w:val="00216723"/>
    <w:rsid w:val="00216739"/>
    <w:rsid w:val="002167C6"/>
    <w:rsid w:val="00216857"/>
    <w:rsid w:val="002169D6"/>
    <w:rsid w:val="00216AA8"/>
    <w:rsid w:val="00216AFA"/>
    <w:rsid w:val="00216C03"/>
    <w:rsid w:val="00216C4C"/>
    <w:rsid w:val="00216C68"/>
    <w:rsid w:val="00216C88"/>
    <w:rsid w:val="00216D55"/>
    <w:rsid w:val="00216F2D"/>
    <w:rsid w:val="00217012"/>
    <w:rsid w:val="00217162"/>
    <w:rsid w:val="0021740C"/>
    <w:rsid w:val="0021740D"/>
    <w:rsid w:val="002174B4"/>
    <w:rsid w:val="002175F3"/>
    <w:rsid w:val="002175F9"/>
    <w:rsid w:val="0021762E"/>
    <w:rsid w:val="00217702"/>
    <w:rsid w:val="00217B79"/>
    <w:rsid w:val="00217DF5"/>
    <w:rsid w:val="00217E54"/>
    <w:rsid w:val="00217E92"/>
    <w:rsid w:val="00220016"/>
    <w:rsid w:val="0022016C"/>
    <w:rsid w:val="00220199"/>
    <w:rsid w:val="002201E1"/>
    <w:rsid w:val="0022021A"/>
    <w:rsid w:val="002202C1"/>
    <w:rsid w:val="00220345"/>
    <w:rsid w:val="00220376"/>
    <w:rsid w:val="002203DC"/>
    <w:rsid w:val="0022041B"/>
    <w:rsid w:val="0022067D"/>
    <w:rsid w:val="00220718"/>
    <w:rsid w:val="002207B0"/>
    <w:rsid w:val="00220808"/>
    <w:rsid w:val="00220876"/>
    <w:rsid w:val="002208AD"/>
    <w:rsid w:val="002209A5"/>
    <w:rsid w:val="002209F8"/>
    <w:rsid w:val="00220A57"/>
    <w:rsid w:val="00220A65"/>
    <w:rsid w:val="00220C09"/>
    <w:rsid w:val="00220DB5"/>
    <w:rsid w:val="00220E4E"/>
    <w:rsid w:val="00220E98"/>
    <w:rsid w:val="00220EB7"/>
    <w:rsid w:val="00220EBE"/>
    <w:rsid w:val="00221077"/>
    <w:rsid w:val="002211D4"/>
    <w:rsid w:val="002211FA"/>
    <w:rsid w:val="002212B2"/>
    <w:rsid w:val="002212C3"/>
    <w:rsid w:val="0022130F"/>
    <w:rsid w:val="00221591"/>
    <w:rsid w:val="002215CA"/>
    <w:rsid w:val="00221638"/>
    <w:rsid w:val="0022166C"/>
    <w:rsid w:val="002216B4"/>
    <w:rsid w:val="00221964"/>
    <w:rsid w:val="00221A05"/>
    <w:rsid w:val="00221BD1"/>
    <w:rsid w:val="00221C90"/>
    <w:rsid w:val="00221D64"/>
    <w:rsid w:val="00221E22"/>
    <w:rsid w:val="00221E3C"/>
    <w:rsid w:val="00221EB0"/>
    <w:rsid w:val="00221F00"/>
    <w:rsid w:val="002220CA"/>
    <w:rsid w:val="00222191"/>
    <w:rsid w:val="002221A7"/>
    <w:rsid w:val="002221E5"/>
    <w:rsid w:val="0022236E"/>
    <w:rsid w:val="002224A0"/>
    <w:rsid w:val="002224B2"/>
    <w:rsid w:val="002224CC"/>
    <w:rsid w:val="0022259E"/>
    <w:rsid w:val="002225A2"/>
    <w:rsid w:val="0022262E"/>
    <w:rsid w:val="00222660"/>
    <w:rsid w:val="002226D5"/>
    <w:rsid w:val="002227BE"/>
    <w:rsid w:val="002227DD"/>
    <w:rsid w:val="002227DF"/>
    <w:rsid w:val="00222871"/>
    <w:rsid w:val="0022289F"/>
    <w:rsid w:val="002228BB"/>
    <w:rsid w:val="002228BE"/>
    <w:rsid w:val="00222952"/>
    <w:rsid w:val="00222C04"/>
    <w:rsid w:val="00222D9D"/>
    <w:rsid w:val="00222DE6"/>
    <w:rsid w:val="00222DF5"/>
    <w:rsid w:val="00222E1D"/>
    <w:rsid w:val="00222FFB"/>
    <w:rsid w:val="00223011"/>
    <w:rsid w:val="00223020"/>
    <w:rsid w:val="002230D3"/>
    <w:rsid w:val="002231B9"/>
    <w:rsid w:val="002231D9"/>
    <w:rsid w:val="0022326A"/>
    <w:rsid w:val="002232A7"/>
    <w:rsid w:val="00223349"/>
    <w:rsid w:val="002235A3"/>
    <w:rsid w:val="00223649"/>
    <w:rsid w:val="002236B7"/>
    <w:rsid w:val="0022381B"/>
    <w:rsid w:val="002238D0"/>
    <w:rsid w:val="00223939"/>
    <w:rsid w:val="00223AAE"/>
    <w:rsid w:val="00223BA7"/>
    <w:rsid w:val="00223D8F"/>
    <w:rsid w:val="00223DD8"/>
    <w:rsid w:val="00223EC6"/>
    <w:rsid w:val="00223F33"/>
    <w:rsid w:val="00224016"/>
    <w:rsid w:val="0022406E"/>
    <w:rsid w:val="002240D8"/>
    <w:rsid w:val="00224157"/>
    <w:rsid w:val="002241DE"/>
    <w:rsid w:val="00224542"/>
    <w:rsid w:val="0022456C"/>
    <w:rsid w:val="002247C4"/>
    <w:rsid w:val="002247C6"/>
    <w:rsid w:val="002247F7"/>
    <w:rsid w:val="002248D6"/>
    <w:rsid w:val="002249FD"/>
    <w:rsid w:val="00224A6D"/>
    <w:rsid w:val="00224B11"/>
    <w:rsid w:val="00224BAB"/>
    <w:rsid w:val="00224BFA"/>
    <w:rsid w:val="00224CF9"/>
    <w:rsid w:val="00224DCE"/>
    <w:rsid w:val="00224E4E"/>
    <w:rsid w:val="00224EA2"/>
    <w:rsid w:val="00225014"/>
    <w:rsid w:val="002250D9"/>
    <w:rsid w:val="00225247"/>
    <w:rsid w:val="0022529C"/>
    <w:rsid w:val="00225354"/>
    <w:rsid w:val="00225396"/>
    <w:rsid w:val="00225503"/>
    <w:rsid w:val="00225574"/>
    <w:rsid w:val="002257F1"/>
    <w:rsid w:val="002258B6"/>
    <w:rsid w:val="00225958"/>
    <w:rsid w:val="00225A8D"/>
    <w:rsid w:val="00225BB8"/>
    <w:rsid w:val="00225BBA"/>
    <w:rsid w:val="00225D11"/>
    <w:rsid w:val="00225EBB"/>
    <w:rsid w:val="00226067"/>
    <w:rsid w:val="0022606C"/>
    <w:rsid w:val="002261B3"/>
    <w:rsid w:val="0022620C"/>
    <w:rsid w:val="00226411"/>
    <w:rsid w:val="00226545"/>
    <w:rsid w:val="002268A2"/>
    <w:rsid w:val="0022696D"/>
    <w:rsid w:val="00226981"/>
    <w:rsid w:val="00226AF8"/>
    <w:rsid w:val="00226B13"/>
    <w:rsid w:val="00226B7E"/>
    <w:rsid w:val="00226BC5"/>
    <w:rsid w:val="00226C33"/>
    <w:rsid w:val="00226C71"/>
    <w:rsid w:val="00226DF4"/>
    <w:rsid w:val="00226E30"/>
    <w:rsid w:val="00226FDE"/>
    <w:rsid w:val="0022704A"/>
    <w:rsid w:val="00227421"/>
    <w:rsid w:val="00227491"/>
    <w:rsid w:val="00227576"/>
    <w:rsid w:val="002275D9"/>
    <w:rsid w:val="00227689"/>
    <w:rsid w:val="002277C7"/>
    <w:rsid w:val="002279F4"/>
    <w:rsid w:val="00227B5C"/>
    <w:rsid w:val="00227DDE"/>
    <w:rsid w:val="00227DFA"/>
    <w:rsid w:val="00227E3D"/>
    <w:rsid w:val="00230019"/>
    <w:rsid w:val="00230130"/>
    <w:rsid w:val="00230309"/>
    <w:rsid w:val="00230501"/>
    <w:rsid w:val="0023052E"/>
    <w:rsid w:val="00230587"/>
    <w:rsid w:val="002306D0"/>
    <w:rsid w:val="00230702"/>
    <w:rsid w:val="00230A85"/>
    <w:rsid w:val="00230AA0"/>
    <w:rsid w:val="00230B7B"/>
    <w:rsid w:val="00230BFC"/>
    <w:rsid w:val="00230E05"/>
    <w:rsid w:val="00230F5F"/>
    <w:rsid w:val="002310DD"/>
    <w:rsid w:val="0023123A"/>
    <w:rsid w:val="00231301"/>
    <w:rsid w:val="002313D3"/>
    <w:rsid w:val="0023148C"/>
    <w:rsid w:val="002317D2"/>
    <w:rsid w:val="002318C9"/>
    <w:rsid w:val="002319A9"/>
    <w:rsid w:val="002319D8"/>
    <w:rsid w:val="00231A51"/>
    <w:rsid w:val="00231C44"/>
    <w:rsid w:val="00231D7B"/>
    <w:rsid w:val="00231E6C"/>
    <w:rsid w:val="00231EAF"/>
    <w:rsid w:val="00231EB0"/>
    <w:rsid w:val="00232031"/>
    <w:rsid w:val="002320A5"/>
    <w:rsid w:val="002320FA"/>
    <w:rsid w:val="00232304"/>
    <w:rsid w:val="0023230D"/>
    <w:rsid w:val="002323E4"/>
    <w:rsid w:val="00232543"/>
    <w:rsid w:val="002325DC"/>
    <w:rsid w:val="0023264E"/>
    <w:rsid w:val="002326AB"/>
    <w:rsid w:val="002326F8"/>
    <w:rsid w:val="002328B2"/>
    <w:rsid w:val="00232995"/>
    <w:rsid w:val="00232996"/>
    <w:rsid w:val="002329D9"/>
    <w:rsid w:val="00232A66"/>
    <w:rsid w:val="00232A9A"/>
    <w:rsid w:val="00232B28"/>
    <w:rsid w:val="00232BE7"/>
    <w:rsid w:val="00232BFB"/>
    <w:rsid w:val="00232C01"/>
    <w:rsid w:val="00232E27"/>
    <w:rsid w:val="00232FCC"/>
    <w:rsid w:val="002330B9"/>
    <w:rsid w:val="002331FC"/>
    <w:rsid w:val="00233281"/>
    <w:rsid w:val="002332DF"/>
    <w:rsid w:val="0023331A"/>
    <w:rsid w:val="0023339D"/>
    <w:rsid w:val="0023343E"/>
    <w:rsid w:val="00233485"/>
    <w:rsid w:val="00233552"/>
    <w:rsid w:val="002336DD"/>
    <w:rsid w:val="002337DF"/>
    <w:rsid w:val="002338E8"/>
    <w:rsid w:val="00233AD6"/>
    <w:rsid w:val="00233B18"/>
    <w:rsid w:val="00233BF1"/>
    <w:rsid w:val="00233D65"/>
    <w:rsid w:val="00233D96"/>
    <w:rsid w:val="00233EB9"/>
    <w:rsid w:val="00233FBD"/>
    <w:rsid w:val="002340EB"/>
    <w:rsid w:val="002341D5"/>
    <w:rsid w:val="002341E7"/>
    <w:rsid w:val="002343AB"/>
    <w:rsid w:val="0023457B"/>
    <w:rsid w:val="002345C7"/>
    <w:rsid w:val="002346E3"/>
    <w:rsid w:val="0023478D"/>
    <w:rsid w:val="002347B9"/>
    <w:rsid w:val="002347DF"/>
    <w:rsid w:val="00234899"/>
    <w:rsid w:val="00234934"/>
    <w:rsid w:val="00234970"/>
    <w:rsid w:val="0023499B"/>
    <w:rsid w:val="00234AED"/>
    <w:rsid w:val="00235115"/>
    <w:rsid w:val="0023530B"/>
    <w:rsid w:val="0023530D"/>
    <w:rsid w:val="002353A1"/>
    <w:rsid w:val="00235418"/>
    <w:rsid w:val="0023545A"/>
    <w:rsid w:val="00235473"/>
    <w:rsid w:val="0023547D"/>
    <w:rsid w:val="00235520"/>
    <w:rsid w:val="00235657"/>
    <w:rsid w:val="002356E7"/>
    <w:rsid w:val="002357F6"/>
    <w:rsid w:val="002357FE"/>
    <w:rsid w:val="0023584A"/>
    <w:rsid w:val="0023584C"/>
    <w:rsid w:val="00235935"/>
    <w:rsid w:val="0023598C"/>
    <w:rsid w:val="00235A17"/>
    <w:rsid w:val="00235A89"/>
    <w:rsid w:val="00235C38"/>
    <w:rsid w:val="00235C8C"/>
    <w:rsid w:val="00235EA2"/>
    <w:rsid w:val="00235EAC"/>
    <w:rsid w:val="00235EEC"/>
    <w:rsid w:val="00236053"/>
    <w:rsid w:val="002361D9"/>
    <w:rsid w:val="00236206"/>
    <w:rsid w:val="0023621E"/>
    <w:rsid w:val="0023625D"/>
    <w:rsid w:val="00236354"/>
    <w:rsid w:val="0023671E"/>
    <w:rsid w:val="002369CC"/>
    <w:rsid w:val="00236A99"/>
    <w:rsid w:val="00236B45"/>
    <w:rsid w:val="00236C52"/>
    <w:rsid w:val="00236CDA"/>
    <w:rsid w:val="00236D6C"/>
    <w:rsid w:val="00236E7D"/>
    <w:rsid w:val="00236FD0"/>
    <w:rsid w:val="0023700E"/>
    <w:rsid w:val="002370A6"/>
    <w:rsid w:val="002370C1"/>
    <w:rsid w:val="00237379"/>
    <w:rsid w:val="002375E1"/>
    <w:rsid w:val="00237691"/>
    <w:rsid w:val="0023777B"/>
    <w:rsid w:val="00237793"/>
    <w:rsid w:val="00237800"/>
    <w:rsid w:val="00237A1A"/>
    <w:rsid w:val="00237AE9"/>
    <w:rsid w:val="00237B0C"/>
    <w:rsid w:val="00237CC1"/>
    <w:rsid w:val="00237D6D"/>
    <w:rsid w:val="00237DCF"/>
    <w:rsid w:val="00237DDC"/>
    <w:rsid w:val="0024000E"/>
    <w:rsid w:val="00240021"/>
    <w:rsid w:val="002400CB"/>
    <w:rsid w:val="002401C0"/>
    <w:rsid w:val="002402EC"/>
    <w:rsid w:val="00240378"/>
    <w:rsid w:val="00240448"/>
    <w:rsid w:val="0024045D"/>
    <w:rsid w:val="0024059F"/>
    <w:rsid w:val="00240823"/>
    <w:rsid w:val="00240982"/>
    <w:rsid w:val="002409A1"/>
    <w:rsid w:val="002409A2"/>
    <w:rsid w:val="002409C6"/>
    <w:rsid w:val="00240A89"/>
    <w:rsid w:val="00240C1A"/>
    <w:rsid w:val="00240CA5"/>
    <w:rsid w:val="00240D96"/>
    <w:rsid w:val="00241005"/>
    <w:rsid w:val="0024111B"/>
    <w:rsid w:val="00241122"/>
    <w:rsid w:val="002411B3"/>
    <w:rsid w:val="00241230"/>
    <w:rsid w:val="00241244"/>
    <w:rsid w:val="00241271"/>
    <w:rsid w:val="00241452"/>
    <w:rsid w:val="0024159D"/>
    <w:rsid w:val="002415A9"/>
    <w:rsid w:val="002417A4"/>
    <w:rsid w:val="002418E0"/>
    <w:rsid w:val="002419AA"/>
    <w:rsid w:val="002419ED"/>
    <w:rsid w:val="00241AAE"/>
    <w:rsid w:val="00241B37"/>
    <w:rsid w:val="00241B65"/>
    <w:rsid w:val="00241E50"/>
    <w:rsid w:val="00241ECB"/>
    <w:rsid w:val="00241FBF"/>
    <w:rsid w:val="0024213E"/>
    <w:rsid w:val="00242322"/>
    <w:rsid w:val="0024234A"/>
    <w:rsid w:val="00242397"/>
    <w:rsid w:val="002423D6"/>
    <w:rsid w:val="00242518"/>
    <w:rsid w:val="002425A5"/>
    <w:rsid w:val="002425E3"/>
    <w:rsid w:val="00242693"/>
    <w:rsid w:val="002426C6"/>
    <w:rsid w:val="002426DF"/>
    <w:rsid w:val="002426E2"/>
    <w:rsid w:val="0024278F"/>
    <w:rsid w:val="002428F3"/>
    <w:rsid w:val="0024298C"/>
    <w:rsid w:val="00242A15"/>
    <w:rsid w:val="00242B21"/>
    <w:rsid w:val="00242BAA"/>
    <w:rsid w:val="00242CDF"/>
    <w:rsid w:val="00242DEC"/>
    <w:rsid w:val="00242FD9"/>
    <w:rsid w:val="002430FE"/>
    <w:rsid w:val="00243503"/>
    <w:rsid w:val="00243794"/>
    <w:rsid w:val="002439E1"/>
    <w:rsid w:val="00243A25"/>
    <w:rsid w:val="00243A43"/>
    <w:rsid w:val="00243AAD"/>
    <w:rsid w:val="00243B0E"/>
    <w:rsid w:val="00243BD7"/>
    <w:rsid w:val="00243C43"/>
    <w:rsid w:val="00243C73"/>
    <w:rsid w:val="00243CAC"/>
    <w:rsid w:val="00243D29"/>
    <w:rsid w:val="002440AA"/>
    <w:rsid w:val="002443E9"/>
    <w:rsid w:val="002444CD"/>
    <w:rsid w:val="002444DA"/>
    <w:rsid w:val="002444E0"/>
    <w:rsid w:val="0024459E"/>
    <w:rsid w:val="002445E9"/>
    <w:rsid w:val="002446C7"/>
    <w:rsid w:val="002448AC"/>
    <w:rsid w:val="002448B4"/>
    <w:rsid w:val="002448E8"/>
    <w:rsid w:val="00244938"/>
    <w:rsid w:val="002449DB"/>
    <w:rsid w:val="00244A46"/>
    <w:rsid w:val="00244F57"/>
    <w:rsid w:val="00244FB5"/>
    <w:rsid w:val="00245095"/>
    <w:rsid w:val="002450C7"/>
    <w:rsid w:val="0024547C"/>
    <w:rsid w:val="00245594"/>
    <w:rsid w:val="00245595"/>
    <w:rsid w:val="002455C3"/>
    <w:rsid w:val="00245655"/>
    <w:rsid w:val="002456C7"/>
    <w:rsid w:val="002456E5"/>
    <w:rsid w:val="00245705"/>
    <w:rsid w:val="00245827"/>
    <w:rsid w:val="00245A51"/>
    <w:rsid w:val="00245A68"/>
    <w:rsid w:val="00245AE9"/>
    <w:rsid w:val="00245D02"/>
    <w:rsid w:val="00245F05"/>
    <w:rsid w:val="0024625A"/>
    <w:rsid w:val="002462B7"/>
    <w:rsid w:val="0024652E"/>
    <w:rsid w:val="00246581"/>
    <w:rsid w:val="002465F8"/>
    <w:rsid w:val="0024667C"/>
    <w:rsid w:val="00246706"/>
    <w:rsid w:val="0024673B"/>
    <w:rsid w:val="00246848"/>
    <w:rsid w:val="002469AB"/>
    <w:rsid w:val="002469FF"/>
    <w:rsid w:val="00246B3E"/>
    <w:rsid w:val="00246D3A"/>
    <w:rsid w:val="00246F55"/>
    <w:rsid w:val="00247018"/>
    <w:rsid w:val="0024704B"/>
    <w:rsid w:val="002471A2"/>
    <w:rsid w:val="002471ED"/>
    <w:rsid w:val="002471FB"/>
    <w:rsid w:val="00247298"/>
    <w:rsid w:val="00247301"/>
    <w:rsid w:val="00247333"/>
    <w:rsid w:val="0024735E"/>
    <w:rsid w:val="002473BE"/>
    <w:rsid w:val="002476E7"/>
    <w:rsid w:val="002477A0"/>
    <w:rsid w:val="0024780A"/>
    <w:rsid w:val="002479F6"/>
    <w:rsid w:val="002479FB"/>
    <w:rsid w:val="00247A80"/>
    <w:rsid w:val="00247ACD"/>
    <w:rsid w:val="00247B1A"/>
    <w:rsid w:val="00247C0A"/>
    <w:rsid w:val="00247CB1"/>
    <w:rsid w:val="00247DAD"/>
    <w:rsid w:val="00247F51"/>
    <w:rsid w:val="00247FA9"/>
    <w:rsid w:val="00250244"/>
    <w:rsid w:val="0025052C"/>
    <w:rsid w:val="00250644"/>
    <w:rsid w:val="00250680"/>
    <w:rsid w:val="002506BC"/>
    <w:rsid w:val="002506F5"/>
    <w:rsid w:val="00250815"/>
    <w:rsid w:val="002508A3"/>
    <w:rsid w:val="002508B7"/>
    <w:rsid w:val="00250964"/>
    <w:rsid w:val="002509D4"/>
    <w:rsid w:val="00251035"/>
    <w:rsid w:val="002510A9"/>
    <w:rsid w:val="002510D0"/>
    <w:rsid w:val="0025114A"/>
    <w:rsid w:val="002511BA"/>
    <w:rsid w:val="002511F1"/>
    <w:rsid w:val="00251314"/>
    <w:rsid w:val="0025145B"/>
    <w:rsid w:val="002514B4"/>
    <w:rsid w:val="002514B7"/>
    <w:rsid w:val="00251504"/>
    <w:rsid w:val="00251582"/>
    <w:rsid w:val="0025161E"/>
    <w:rsid w:val="00251745"/>
    <w:rsid w:val="00251779"/>
    <w:rsid w:val="00251874"/>
    <w:rsid w:val="0025196A"/>
    <w:rsid w:val="00251AE0"/>
    <w:rsid w:val="00251CE6"/>
    <w:rsid w:val="00251D6F"/>
    <w:rsid w:val="00251DC3"/>
    <w:rsid w:val="00251F23"/>
    <w:rsid w:val="00251FAB"/>
    <w:rsid w:val="0025205D"/>
    <w:rsid w:val="002520D8"/>
    <w:rsid w:val="002520F3"/>
    <w:rsid w:val="0025217D"/>
    <w:rsid w:val="002521E6"/>
    <w:rsid w:val="00252257"/>
    <w:rsid w:val="002524C3"/>
    <w:rsid w:val="00252654"/>
    <w:rsid w:val="00252677"/>
    <w:rsid w:val="002526AE"/>
    <w:rsid w:val="00252706"/>
    <w:rsid w:val="0025270D"/>
    <w:rsid w:val="002527CC"/>
    <w:rsid w:val="002528F7"/>
    <w:rsid w:val="002528F9"/>
    <w:rsid w:val="00252C84"/>
    <w:rsid w:val="00252D0C"/>
    <w:rsid w:val="00252DB9"/>
    <w:rsid w:val="00252DCC"/>
    <w:rsid w:val="00252DFE"/>
    <w:rsid w:val="00252E88"/>
    <w:rsid w:val="00252FC6"/>
    <w:rsid w:val="00252FE6"/>
    <w:rsid w:val="00253088"/>
    <w:rsid w:val="002531B3"/>
    <w:rsid w:val="0025325A"/>
    <w:rsid w:val="002532C3"/>
    <w:rsid w:val="002532F9"/>
    <w:rsid w:val="002533DF"/>
    <w:rsid w:val="0025340A"/>
    <w:rsid w:val="00253457"/>
    <w:rsid w:val="0025345A"/>
    <w:rsid w:val="00253490"/>
    <w:rsid w:val="00253524"/>
    <w:rsid w:val="00253660"/>
    <w:rsid w:val="00253679"/>
    <w:rsid w:val="00253816"/>
    <w:rsid w:val="002538BB"/>
    <w:rsid w:val="00253B40"/>
    <w:rsid w:val="00253CFE"/>
    <w:rsid w:val="00253D80"/>
    <w:rsid w:val="00253F44"/>
    <w:rsid w:val="00253F63"/>
    <w:rsid w:val="002540BF"/>
    <w:rsid w:val="002540E7"/>
    <w:rsid w:val="00254267"/>
    <w:rsid w:val="0025426F"/>
    <w:rsid w:val="002542B8"/>
    <w:rsid w:val="00254455"/>
    <w:rsid w:val="00254474"/>
    <w:rsid w:val="002544A0"/>
    <w:rsid w:val="00254645"/>
    <w:rsid w:val="0025477A"/>
    <w:rsid w:val="002547C5"/>
    <w:rsid w:val="002548F6"/>
    <w:rsid w:val="0025498E"/>
    <w:rsid w:val="002549F6"/>
    <w:rsid w:val="00254A4F"/>
    <w:rsid w:val="00254BF1"/>
    <w:rsid w:val="00254CBA"/>
    <w:rsid w:val="00254CCB"/>
    <w:rsid w:val="00254FC8"/>
    <w:rsid w:val="00255034"/>
    <w:rsid w:val="0025527B"/>
    <w:rsid w:val="0025536C"/>
    <w:rsid w:val="0025538A"/>
    <w:rsid w:val="002553CA"/>
    <w:rsid w:val="002554C2"/>
    <w:rsid w:val="002556AC"/>
    <w:rsid w:val="0025597D"/>
    <w:rsid w:val="00255A00"/>
    <w:rsid w:val="00255A25"/>
    <w:rsid w:val="00255A71"/>
    <w:rsid w:val="00255B17"/>
    <w:rsid w:val="00255B89"/>
    <w:rsid w:val="00255B99"/>
    <w:rsid w:val="00255D92"/>
    <w:rsid w:val="00255E82"/>
    <w:rsid w:val="00255FB5"/>
    <w:rsid w:val="00256238"/>
    <w:rsid w:val="00256404"/>
    <w:rsid w:val="002564B2"/>
    <w:rsid w:val="002565FB"/>
    <w:rsid w:val="00256649"/>
    <w:rsid w:val="0025684E"/>
    <w:rsid w:val="002568BA"/>
    <w:rsid w:val="002569FE"/>
    <w:rsid w:val="00256B3C"/>
    <w:rsid w:val="00256BAC"/>
    <w:rsid w:val="00256BE8"/>
    <w:rsid w:val="00256BFD"/>
    <w:rsid w:val="00256C2A"/>
    <w:rsid w:val="00256CB1"/>
    <w:rsid w:val="00256CDE"/>
    <w:rsid w:val="00256D7B"/>
    <w:rsid w:val="00256D86"/>
    <w:rsid w:val="00256DF4"/>
    <w:rsid w:val="00256ED6"/>
    <w:rsid w:val="00256EED"/>
    <w:rsid w:val="00256F09"/>
    <w:rsid w:val="00256FB9"/>
    <w:rsid w:val="002570D5"/>
    <w:rsid w:val="002571BC"/>
    <w:rsid w:val="002573C0"/>
    <w:rsid w:val="00257466"/>
    <w:rsid w:val="00257598"/>
    <w:rsid w:val="0025759B"/>
    <w:rsid w:val="00257641"/>
    <w:rsid w:val="00257720"/>
    <w:rsid w:val="002577D9"/>
    <w:rsid w:val="0025792A"/>
    <w:rsid w:val="00257966"/>
    <w:rsid w:val="00257A1A"/>
    <w:rsid w:val="00257BE0"/>
    <w:rsid w:val="00257D30"/>
    <w:rsid w:val="00257E20"/>
    <w:rsid w:val="00257EBF"/>
    <w:rsid w:val="002600FF"/>
    <w:rsid w:val="002601C7"/>
    <w:rsid w:val="0026026D"/>
    <w:rsid w:val="00260275"/>
    <w:rsid w:val="00260292"/>
    <w:rsid w:val="0026034F"/>
    <w:rsid w:val="002604A2"/>
    <w:rsid w:val="0026051D"/>
    <w:rsid w:val="0026053C"/>
    <w:rsid w:val="00260599"/>
    <w:rsid w:val="002605F5"/>
    <w:rsid w:val="002606BF"/>
    <w:rsid w:val="00260792"/>
    <w:rsid w:val="0026080A"/>
    <w:rsid w:val="00260992"/>
    <w:rsid w:val="00260A14"/>
    <w:rsid w:val="00260A18"/>
    <w:rsid w:val="00260AA5"/>
    <w:rsid w:val="00260B69"/>
    <w:rsid w:val="00260C09"/>
    <w:rsid w:val="00260C1F"/>
    <w:rsid w:val="00260C31"/>
    <w:rsid w:val="00260D3F"/>
    <w:rsid w:val="00260DD5"/>
    <w:rsid w:val="00260E73"/>
    <w:rsid w:val="00260FF7"/>
    <w:rsid w:val="00261061"/>
    <w:rsid w:val="00261164"/>
    <w:rsid w:val="00261366"/>
    <w:rsid w:val="00261488"/>
    <w:rsid w:val="0026156E"/>
    <w:rsid w:val="00261660"/>
    <w:rsid w:val="002616CE"/>
    <w:rsid w:val="00261794"/>
    <w:rsid w:val="002619AD"/>
    <w:rsid w:val="00261AEE"/>
    <w:rsid w:val="00261B2F"/>
    <w:rsid w:val="00261D26"/>
    <w:rsid w:val="00261E5C"/>
    <w:rsid w:val="00261EA4"/>
    <w:rsid w:val="00261EF5"/>
    <w:rsid w:val="00261F72"/>
    <w:rsid w:val="00261F93"/>
    <w:rsid w:val="00262042"/>
    <w:rsid w:val="002621B6"/>
    <w:rsid w:val="002621D8"/>
    <w:rsid w:val="002621DC"/>
    <w:rsid w:val="00262206"/>
    <w:rsid w:val="0026229C"/>
    <w:rsid w:val="0026233A"/>
    <w:rsid w:val="00262384"/>
    <w:rsid w:val="002623DD"/>
    <w:rsid w:val="00262558"/>
    <w:rsid w:val="00262566"/>
    <w:rsid w:val="00262581"/>
    <w:rsid w:val="00262955"/>
    <w:rsid w:val="00262A5B"/>
    <w:rsid w:val="00262ADB"/>
    <w:rsid w:val="00262AFE"/>
    <w:rsid w:val="00262B92"/>
    <w:rsid w:val="00262C44"/>
    <w:rsid w:val="00262CC4"/>
    <w:rsid w:val="00262D74"/>
    <w:rsid w:val="00262E79"/>
    <w:rsid w:val="00262EA7"/>
    <w:rsid w:val="00262F70"/>
    <w:rsid w:val="00262F82"/>
    <w:rsid w:val="00262FE7"/>
    <w:rsid w:val="0026318B"/>
    <w:rsid w:val="002631BB"/>
    <w:rsid w:val="00263281"/>
    <w:rsid w:val="00263296"/>
    <w:rsid w:val="002632D0"/>
    <w:rsid w:val="00263302"/>
    <w:rsid w:val="0026338B"/>
    <w:rsid w:val="002633FD"/>
    <w:rsid w:val="0026341D"/>
    <w:rsid w:val="00263449"/>
    <w:rsid w:val="002634DD"/>
    <w:rsid w:val="002635F6"/>
    <w:rsid w:val="00263620"/>
    <w:rsid w:val="0026368A"/>
    <w:rsid w:val="002638DF"/>
    <w:rsid w:val="00263AA7"/>
    <w:rsid w:val="00263B7B"/>
    <w:rsid w:val="00263B8D"/>
    <w:rsid w:val="00263D55"/>
    <w:rsid w:val="00263E51"/>
    <w:rsid w:val="00263EC9"/>
    <w:rsid w:val="00263ECF"/>
    <w:rsid w:val="00263F3A"/>
    <w:rsid w:val="00263F41"/>
    <w:rsid w:val="00263F7D"/>
    <w:rsid w:val="00264213"/>
    <w:rsid w:val="0026424D"/>
    <w:rsid w:val="002643CE"/>
    <w:rsid w:val="0026449E"/>
    <w:rsid w:val="002644A3"/>
    <w:rsid w:val="002644D1"/>
    <w:rsid w:val="002646E6"/>
    <w:rsid w:val="00264805"/>
    <w:rsid w:val="00264844"/>
    <w:rsid w:val="002648C9"/>
    <w:rsid w:val="00264A14"/>
    <w:rsid w:val="00264C5E"/>
    <w:rsid w:val="00264DD5"/>
    <w:rsid w:val="00264E13"/>
    <w:rsid w:val="00264E37"/>
    <w:rsid w:val="00264EDF"/>
    <w:rsid w:val="002650D0"/>
    <w:rsid w:val="0026513B"/>
    <w:rsid w:val="0026518F"/>
    <w:rsid w:val="002651AB"/>
    <w:rsid w:val="00265246"/>
    <w:rsid w:val="00265315"/>
    <w:rsid w:val="002653C6"/>
    <w:rsid w:val="00265416"/>
    <w:rsid w:val="002655BB"/>
    <w:rsid w:val="002655E8"/>
    <w:rsid w:val="00265A2E"/>
    <w:rsid w:val="00265A8E"/>
    <w:rsid w:val="00265B55"/>
    <w:rsid w:val="00265B83"/>
    <w:rsid w:val="00265CD8"/>
    <w:rsid w:val="00265CEE"/>
    <w:rsid w:val="00265F2F"/>
    <w:rsid w:val="00265FE4"/>
    <w:rsid w:val="00266031"/>
    <w:rsid w:val="00266219"/>
    <w:rsid w:val="0026628D"/>
    <w:rsid w:val="002662A4"/>
    <w:rsid w:val="00266348"/>
    <w:rsid w:val="0026643F"/>
    <w:rsid w:val="00266486"/>
    <w:rsid w:val="002665E4"/>
    <w:rsid w:val="002665FD"/>
    <w:rsid w:val="00266660"/>
    <w:rsid w:val="0026674D"/>
    <w:rsid w:val="0026681F"/>
    <w:rsid w:val="002668E6"/>
    <w:rsid w:val="00266A11"/>
    <w:rsid w:val="00266BDB"/>
    <w:rsid w:val="00266CA2"/>
    <w:rsid w:val="00266CAD"/>
    <w:rsid w:val="00266D39"/>
    <w:rsid w:val="00266E4B"/>
    <w:rsid w:val="00266E88"/>
    <w:rsid w:val="0026702B"/>
    <w:rsid w:val="002671EE"/>
    <w:rsid w:val="002672A2"/>
    <w:rsid w:val="00267518"/>
    <w:rsid w:val="0026751A"/>
    <w:rsid w:val="00267643"/>
    <w:rsid w:val="00267689"/>
    <w:rsid w:val="00267809"/>
    <w:rsid w:val="002678EA"/>
    <w:rsid w:val="0026790D"/>
    <w:rsid w:val="00267CEB"/>
    <w:rsid w:val="00267F7F"/>
    <w:rsid w:val="002702BB"/>
    <w:rsid w:val="002702CB"/>
    <w:rsid w:val="002704BB"/>
    <w:rsid w:val="00270547"/>
    <w:rsid w:val="002705C4"/>
    <w:rsid w:val="00270681"/>
    <w:rsid w:val="00270888"/>
    <w:rsid w:val="002708FB"/>
    <w:rsid w:val="002709C1"/>
    <w:rsid w:val="002709D3"/>
    <w:rsid w:val="00270CA3"/>
    <w:rsid w:val="00270CB2"/>
    <w:rsid w:val="00270CCD"/>
    <w:rsid w:val="00270D41"/>
    <w:rsid w:val="00270E38"/>
    <w:rsid w:val="00270E58"/>
    <w:rsid w:val="002710A0"/>
    <w:rsid w:val="00271271"/>
    <w:rsid w:val="00271318"/>
    <w:rsid w:val="00271321"/>
    <w:rsid w:val="0027147C"/>
    <w:rsid w:val="002715A8"/>
    <w:rsid w:val="00271680"/>
    <w:rsid w:val="00271702"/>
    <w:rsid w:val="00271A03"/>
    <w:rsid w:val="00271A39"/>
    <w:rsid w:val="00271AA4"/>
    <w:rsid w:val="00271AE7"/>
    <w:rsid w:val="00271B65"/>
    <w:rsid w:val="00271C41"/>
    <w:rsid w:val="00271C6B"/>
    <w:rsid w:val="00271C71"/>
    <w:rsid w:val="00271CB4"/>
    <w:rsid w:val="00271CE8"/>
    <w:rsid w:val="00271DE8"/>
    <w:rsid w:val="00271E92"/>
    <w:rsid w:val="00272089"/>
    <w:rsid w:val="00272134"/>
    <w:rsid w:val="00272156"/>
    <w:rsid w:val="00272275"/>
    <w:rsid w:val="00272323"/>
    <w:rsid w:val="0027234F"/>
    <w:rsid w:val="002724FA"/>
    <w:rsid w:val="00272690"/>
    <w:rsid w:val="002727B5"/>
    <w:rsid w:val="002728CE"/>
    <w:rsid w:val="00272970"/>
    <w:rsid w:val="00272A05"/>
    <w:rsid w:val="00272AB6"/>
    <w:rsid w:val="00272BFA"/>
    <w:rsid w:val="00272C11"/>
    <w:rsid w:val="00272C2C"/>
    <w:rsid w:val="00272E49"/>
    <w:rsid w:val="00272ED0"/>
    <w:rsid w:val="00272F15"/>
    <w:rsid w:val="00272FF7"/>
    <w:rsid w:val="002730B5"/>
    <w:rsid w:val="0027328C"/>
    <w:rsid w:val="002732DA"/>
    <w:rsid w:val="0027335A"/>
    <w:rsid w:val="0027337C"/>
    <w:rsid w:val="0027343D"/>
    <w:rsid w:val="00273602"/>
    <w:rsid w:val="00273637"/>
    <w:rsid w:val="00273644"/>
    <w:rsid w:val="0027368C"/>
    <w:rsid w:val="00273769"/>
    <w:rsid w:val="0027376E"/>
    <w:rsid w:val="002738A5"/>
    <w:rsid w:val="00273AFB"/>
    <w:rsid w:val="00273CE6"/>
    <w:rsid w:val="00273E37"/>
    <w:rsid w:val="00273EAC"/>
    <w:rsid w:val="00273EB7"/>
    <w:rsid w:val="00273FCD"/>
    <w:rsid w:val="00274127"/>
    <w:rsid w:val="00274159"/>
    <w:rsid w:val="002741F1"/>
    <w:rsid w:val="0027421C"/>
    <w:rsid w:val="00274434"/>
    <w:rsid w:val="002744E2"/>
    <w:rsid w:val="0027453B"/>
    <w:rsid w:val="00274546"/>
    <w:rsid w:val="0027476B"/>
    <w:rsid w:val="002747A1"/>
    <w:rsid w:val="00274815"/>
    <w:rsid w:val="002748FC"/>
    <w:rsid w:val="00274904"/>
    <w:rsid w:val="00274936"/>
    <w:rsid w:val="00274975"/>
    <w:rsid w:val="002749B8"/>
    <w:rsid w:val="00274B0B"/>
    <w:rsid w:val="00274C4C"/>
    <w:rsid w:val="00274D87"/>
    <w:rsid w:val="00274DBB"/>
    <w:rsid w:val="00274DBC"/>
    <w:rsid w:val="00275083"/>
    <w:rsid w:val="002750BF"/>
    <w:rsid w:val="002750CA"/>
    <w:rsid w:val="00275154"/>
    <w:rsid w:val="0027529F"/>
    <w:rsid w:val="0027537D"/>
    <w:rsid w:val="0027539E"/>
    <w:rsid w:val="002753EE"/>
    <w:rsid w:val="00275439"/>
    <w:rsid w:val="002755BC"/>
    <w:rsid w:val="0027566C"/>
    <w:rsid w:val="00275682"/>
    <w:rsid w:val="002756C0"/>
    <w:rsid w:val="0027574C"/>
    <w:rsid w:val="00275788"/>
    <w:rsid w:val="00275ABC"/>
    <w:rsid w:val="00275CCA"/>
    <w:rsid w:val="00275DA9"/>
    <w:rsid w:val="00275E76"/>
    <w:rsid w:val="0027647A"/>
    <w:rsid w:val="002764E3"/>
    <w:rsid w:val="002764F1"/>
    <w:rsid w:val="00276649"/>
    <w:rsid w:val="002766A5"/>
    <w:rsid w:val="002766B6"/>
    <w:rsid w:val="002766C9"/>
    <w:rsid w:val="002768D4"/>
    <w:rsid w:val="0027697E"/>
    <w:rsid w:val="00276B47"/>
    <w:rsid w:val="00276B54"/>
    <w:rsid w:val="00276B5F"/>
    <w:rsid w:val="00276C10"/>
    <w:rsid w:val="00276E1D"/>
    <w:rsid w:val="00276E7F"/>
    <w:rsid w:val="00277057"/>
    <w:rsid w:val="0027707B"/>
    <w:rsid w:val="00277143"/>
    <w:rsid w:val="00277232"/>
    <w:rsid w:val="0027725B"/>
    <w:rsid w:val="00277304"/>
    <w:rsid w:val="00277349"/>
    <w:rsid w:val="0027748A"/>
    <w:rsid w:val="002774E1"/>
    <w:rsid w:val="00277514"/>
    <w:rsid w:val="00277548"/>
    <w:rsid w:val="00277583"/>
    <w:rsid w:val="002775B0"/>
    <w:rsid w:val="00277713"/>
    <w:rsid w:val="00277853"/>
    <w:rsid w:val="002778B3"/>
    <w:rsid w:val="00277A50"/>
    <w:rsid w:val="00277AE3"/>
    <w:rsid w:val="00277B79"/>
    <w:rsid w:val="00277C85"/>
    <w:rsid w:val="00277CD5"/>
    <w:rsid w:val="00277D66"/>
    <w:rsid w:val="00277E8F"/>
    <w:rsid w:val="00280043"/>
    <w:rsid w:val="00280099"/>
    <w:rsid w:val="00280248"/>
    <w:rsid w:val="00280273"/>
    <w:rsid w:val="002803C9"/>
    <w:rsid w:val="00280514"/>
    <w:rsid w:val="00280533"/>
    <w:rsid w:val="0028053C"/>
    <w:rsid w:val="002805F4"/>
    <w:rsid w:val="0028072A"/>
    <w:rsid w:val="00280A05"/>
    <w:rsid w:val="00280A28"/>
    <w:rsid w:val="00280A79"/>
    <w:rsid w:val="00280A7B"/>
    <w:rsid w:val="00280AC4"/>
    <w:rsid w:val="00280B83"/>
    <w:rsid w:val="00280C20"/>
    <w:rsid w:val="00280D57"/>
    <w:rsid w:val="00280DD3"/>
    <w:rsid w:val="00280DF5"/>
    <w:rsid w:val="00280EF4"/>
    <w:rsid w:val="00280F68"/>
    <w:rsid w:val="00280F90"/>
    <w:rsid w:val="00280FB5"/>
    <w:rsid w:val="002810AB"/>
    <w:rsid w:val="002810C8"/>
    <w:rsid w:val="00281118"/>
    <w:rsid w:val="0028126F"/>
    <w:rsid w:val="00281298"/>
    <w:rsid w:val="002813AB"/>
    <w:rsid w:val="002813D5"/>
    <w:rsid w:val="00281618"/>
    <w:rsid w:val="00281657"/>
    <w:rsid w:val="00281666"/>
    <w:rsid w:val="00281681"/>
    <w:rsid w:val="002818A7"/>
    <w:rsid w:val="002818AD"/>
    <w:rsid w:val="002819BD"/>
    <w:rsid w:val="00281A55"/>
    <w:rsid w:val="00281A76"/>
    <w:rsid w:val="00281B9B"/>
    <w:rsid w:val="00281BF5"/>
    <w:rsid w:val="00281C3E"/>
    <w:rsid w:val="00281D52"/>
    <w:rsid w:val="00281D82"/>
    <w:rsid w:val="00281DF5"/>
    <w:rsid w:val="00281E5D"/>
    <w:rsid w:val="00281F23"/>
    <w:rsid w:val="00282009"/>
    <w:rsid w:val="002821B4"/>
    <w:rsid w:val="00282204"/>
    <w:rsid w:val="00282319"/>
    <w:rsid w:val="002823F0"/>
    <w:rsid w:val="0028262E"/>
    <w:rsid w:val="0028263E"/>
    <w:rsid w:val="00282972"/>
    <w:rsid w:val="002829A2"/>
    <w:rsid w:val="002829C5"/>
    <w:rsid w:val="00282B25"/>
    <w:rsid w:val="00282B73"/>
    <w:rsid w:val="00282C9D"/>
    <w:rsid w:val="00282DBF"/>
    <w:rsid w:val="00282DDC"/>
    <w:rsid w:val="00282ECB"/>
    <w:rsid w:val="00282F12"/>
    <w:rsid w:val="00282FB2"/>
    <w:rsid w:val="00282FC2"/>
    <w:rsid w:val="00282FE9"/>
    <w:rsid w:val="00283025"/>
    <w:rsid w:val="00283098"/>
    <w:rsid w:val="002830AE"/>
    <w:rsid w:val="002830E7"/>
    <w:rsid w:val="0028323A"/>
    <w:rsid w:val="0028324D"/>
    <w:rsid w:val="002832DD"/>
    <w:rsid w:val="0028332A"/>
    <w:rsid w:val="002833D8"/>
    <w:rsid w:val="002834A4"/>
    <w:rsid w:val="002835A3"/>
    <w:rsid w:val="002836E9"/>
    <w:rsid w:val="00283736"/>
    <w:rsid w:val="002837E1"/>
    <w:rsid w:val="00283802"/>
    <w:rsid w:val="0028381D"/>
    <w:rsid w:val="00283913"/>
    <w:rsid w:val="00283999"/>
    <w:rsid w:val="00283A11"/>
    <w:rsid w:val="00283A44"/>
    <w:rsid w:val="00283B68"/>
    <w:rsid w:val="00283BD6"/>
    <w:rsid w:val="00283BE6"/>
    <w:rsid w:val="00283BF1"/>
    <w:rsid w:val="00283C00"/>
    <w:rsid w:val="00283EAB"/>
    <w:rsid w:val="00283F69"/>
    <w:rsid w:val="0028400B"/>
    <w:rsid w:val="002844F6"/>
    <w:rsid w:val="00284573"/>
    <w:rsid w:val="002845DB"/>
    <w:rsid w:val="00284697"/>
    <w:rsid w:val="00284803"/>
    <w:rsid w:val="002848B9"/>
    <w:rsid w:val="002849FE"/>
    <w:rsid w:val="00284A8E"/>
    <w:rsid w:val="00284B0B"/>
    <w:rsid w:val="00284B91"/>
    <w:rsid w:val="00284BA2"/>
    <w:rsid w:val="00284C00"/>
    <w:rsid w:val="00284C6A"/>
    <w:rsid w:val="00284D1A"/>
    <w:rsid w:val="00284DCE"/>
    <w:rsid w:val="00284DF5"/>
    <w:rsid w:val="00284E38"/>
    <w:rsid w:val="00284E54"/>
    <w:rsid w:val="00284ED3"/>
    <w:rsid w:val="00284F62"/>
    <w:rsid w:val="00285091"/>
    <w:rsid w:val="002850E3"/>
    <w:rsid w:val="00285121"/>
    <w:rsid w:val="00285276"/>
    <w:rsid w:val="002852C8"/>
    <w:rsid w:val="0028533E"/>
    <w:rsid w:val="002853A7"/>
    <w:rsid w:val="00285477"/>
    <w:rsid w:val="0028549F"/>
    <w:rsid w:val="002854D4"/>
    <w:rsid w:val="0028552E"/>
    <w:rsid w:val="0028552F"/>
    <w:rsid w:val="00285622"/>
    <w:rsid w:val="0028580B"/>
    <w:rsid w:val="00285887"/>
    <w:rsid w:val="00285AC9"/>
    <w:rsid w:val="00285C0C"/>
    <w:rsid w:val="00285DED"/>
    <w:rsid w:val="00285E7F"/>
    <w:rsid w:val="00285FE9"/>
    <w:rsid w:val="002863D9"/>
    <w:rsid w:val="00286459"/>
    <w:rsid w:val="0028645E"/>
    <w:rsid w:val="002864FA"/>
    <w:rsid w:val="0028654D"/>
    <w:rsid w:val="002866C1"/>
    <w:rsid w:val="002866D5"/>
    <w:rsid w:val="0028685F"/>
    <w:rsid w:val="00286933"/>
    <w:rsid w:val="002869BE"/>
    <w:rsid w:val="002869C5"/>
    <w:rsid w:val="00286A94"/>
    <w:rsid w:val="00286B27"/>
    <w:rsid w:val="00286BF8"/>
    <w:rsid w:val="00286C55"/>
    <w:rsid w:val="00286C62"/>
    <w:rsid w:val="00286C6A"/>
    <w:rsid w:val="00286CA0"/>
    <w:rsid w:val="00286D9D"/>
    <w:rsid w:val="00286DA6"/>
    <w:rsid w:val="00286E2C"/>
    <w:rsid w:val="00286E37"/>
    <w:rsid w:val="00286F15"/>
    <w:rsid w:val="00286F71"/>
    <w:rsid w:val="00287069"/>
    <w:rsid w:val="002871E4"/>
    <w:rsid w:val="002872C4"/>
    <w:rsid w:val="00287342"/>
    <w:rsid w:val="00287562"/>
    <w:rsid w:val="00287663"/>
    <w:rsid w:val="002877E9"/>
    <w:rsid w:val="00287859"/>
    <w:rsid w:val="002878AC"/>
    <w:rsid w:val="0028791A"/>
    <w:rsid w:val="00287A1E"/>
    <w:rsid w:val="00287A6C"/>
    <w:rsid w:val="00287B47"/>
    <w:rsid w:val="00287BA0"/>
    <w:rsid w:val="00287C31"/>
    <w:rsid w:val="00287C66"/>
    <w:rsid w:val="00287C69"/>
    <w:rsid w:val="00287CBB"/>
    <w:rsid w:val="00287F1E"/>
    <w:rsid w:val="00290065"/>
    <w:rsid w:val="0029015C"/>
    <w:rsid w:val="002902B8"/>
    <w:rsid w:val="002902E8"/>
    <w:rsid w:val="002903D6"/>
    <w:rsid w:val="0029048B"/>
    <w:rsid w:val="002904BB"/>
    <w:rsid w:val="002905DC"/>
    <w:rsid w:val="00290728"/>
    <w:rsid w:val="0029082C"/>
    <w:rsid w:val="00290A9B"/>
    <w:rsid w:val="00290B9C"/>
    <w:rsid w:val="00290CFF"/>
    <w:rsid w:val="00290D55"/>
    <w:rsid w:val="00290D93"/>
    <w:rsid w:val="00290F16"/>
    <w:rsid w:val="00290F51"/>
    <w:rsid w:val="00290FDF"/>
    <w:rsid w:val="002911C6"/>
    <w:rsid w:val="0029141E"/>
    <w:rsid w:val="0029152F"/>
    <w:rsid w:val="00291608"/>
    <w:rsid w:val="002916DF"/>
    <w:rsid w:val="0029172D"/>
    <w:rsid w:val="00291A65"/>
    <w:rsid w:val="00291AD6"/>
    <w:rsid w:val="00291AEC"/>
    <w:rsid w:val="00291B4E"/>
    <w:rsid w:val="00291B9E"/>
    <w:rsid w:val="00291BA2"/>
    <w:rsid w:val="00291BA8"/>
    <w:rsid w:val="00291C26"/>
    <w:rsid w:val="00291C2D"/>
    <w:rsid w:val="00291CC7"/>
    <w:rsid w:val="00291DA4"/>
    <w:rsid w:val="00291F0A"/>
    <w:rsid w:val="00291F7C"/>
    <w:rsid w:val="00291FBA"/>
    <w:rsid w:val="00292006"/>
    <w:rsid w:val="0029202D"/>
    <w:rsid w:val="002920DF"/>
    <w:rsid w:val="0029220F"/>
    <w:rsid w:val="00292318"/>
    <w:rsid w:val="0029231C"/>
    <w:rsid w:val="00292333"/>
    <w:rsid w:val="00292528"/>
    <w:rsid w:val="002926A1"/>
    <w:rsid w:val="002926FA"/>
    <w:rsid w:val="00292818"/>
    <w:rsid w:val="00292916"/>
    <w:rsid w:val="00292ABB"/>
    <w:rsid w:val="00292ACF"/>
    <w:rsid w:val="00292B58"/>
    <w:rsid w:val="00292BCA"/>
    <w:rsid w:val="00292C67"/>
    <w:rsid w:val="00292DDF"/>
    <w:rsid w:val="00292FB0"/>
    <w:rsid w:val="00292FF1"/>
    <w:rsid w:val="002930F4"/>
    <w:rsid w:val="0029311C"/>
    <w:rsid w:val="002931DA"/>
    <w:rsid w:val="00293424"/>
    <w:rsid w:val="0029345C"/>
    <w:rsid w:val="002934B4"/>
    <w:rsid w:val="002935C5"/>
    <w:rsid w:val="0029362E"/>
    <w:rsid w:val="00293656"/>
    <w:rsid w:val="00293783"/>
    <w:rsid w:val="002937DB"/>
    <w:rsid w:val="00293828"/>
    <w:rsid w:val="00293840"/>
    <w:rsid w:val="0029387C"/>
    <w:rsid w:val="0029391B"/>
    <w:rsid w:val="002939F7"/>
    <w:rsid w:val="00293A75"/>
    <w:rsid w:val="00293AF8"/>
    <w:rsid w:val="00293C30"/>
    <w:rsid w:val="00293CD2"/>
    <w:rsid w:val="00293D40"/>
    <w:rsid w:val="00293DA0"/>
    <w:rsid w:val="00293F31"/>
    <w:rsid w:val="00294084"/>
    <w:rsid w:val="002940E5"/>
    <w:rsid w:val="00294165"/>
    <w:rsid w:val="0029423C"/>
    <w:rsid w:val="0029452E"/>
    <w:rsid w:val="00294577"/>
    <w:rsid w:val="00294651"/>
    <w:rsid w:val="002946DF"/>
    <w:rsid w:val="0029477B"/>
    <w:rsid w:val="002949EC"/>
    <w:rsid w:val="00294A08"/>
    <w:rsid w:val="00294CDE"/>
    <w:rsid w:val="00294DEA"/>
    <w:rsid w:val="00294E28"/>
    <w:rsid w:val="00295016"/>
    <w:rsid w:val="002950AC"/>
    <w:rsid w:val="002950B9"/>
    <w:rsid w:val="00295402"/>
    <w:rsid w:val="00295605"/>
    <w:rsid w:val="00295621"/>
    <w:rsid w:val="0029576A"/>
    <w:rsid w:val="002957A9"/>
    <w:rsid w:val="00295842"/>
    <w:rsid w:val="002958AA"/>
    <w:rsid w:val="002958D0"/>
    <w:rsid w:val="002958E8"/>
    <w:rsid w:val="002958FC"/>
    <w:rsid w:val="002959A0"/>
    <w:rsid w:val="00295C70"/>
    <w:rsid w:val="00295D09"/>
    <w:rsid w:val="00295D7A"/>
    <w:rsid w:val="00295DB6"/>
    <w:rsid w:val="00295DC3"/>
    <w:rsid w:val="00295DCB"/>
    <w:rsid w:val="00295E18"/>
    <w:rsid w:val="00295E23"/>
    <w:rsid w:val="00295E3F"/>
    <w:rsid w:val="00295F16"/>
    <w:rsid w:val="00295FD2"/>
    <w:rsid w:val="002960D1"/>
    <w:rsid w:val="0029621D"/>
    <w:rsid w:val="00296224"/>
    <w:rsid w:val="0029652D"/>
    <w:rsid w:val="002966E3"/>
    <w:rsid w:val="002967DC"/>
    <w:rsid w:val="00296837"/>
    <w:rsid w:val="00296913"/>
    <w:rsid w:val="00296C09"/>
    <w:rsid w:val="00296E69"/>
    <w:rsid w:val="00296E6F"/>
    <w:rsid w:val="00296FF7"/>
    <w:rsid w:val="002970D4"/>
    <w:rsid w:val="0029727A"/>
    <w:rsid w:val="0029743B"/>
    <w:rsid w:val="00297469"/>
    <w:rsid w:val="00297491"/>
    <w:rsid w:val="002975FD"/>
    <w:rsid w:val="002976E6"/>
    <w:rsid w:val="0029770A"/>
    <w:rsid w:val="0029775D"/>
    <w:rsid w:val="00297775"/>
    <w:rsid w:val="002978D8"/>
    <w:rsid w:val="002979F4"/>
    <w:rsid w:val="00297B26"/>
    <w:rsid w:val="00297BD4"/>
    <w:rsid w:val="00297BE4"/>
    <w:rsid w:val="00297CAC"/>
    <w:rsid w:val="00297CFF"/>
    <w:rsid w:val="00297D95"/>
    <w:rsid w:val="00297DB4"/>
    <w:rsid w:val="00297DE8"/>
    <w:rsid w:val="00297E85"/>
    <w:rsid w:val="002A0071"/>
    <w:rsid w:val="002A00B9"/>
    <w:rsid w:val="002A01F4"/>
    <w:rsid w:val="002A028A"/>
    <w:rsid w:val="002A02C2"/>
    <w:rsid w:val="002A02CB"/>
    <w:rsid w:val="002A0439"/>
    <w:rsid w:val="002A0468"/>
    <w:rsid w:val="002A049A"/>
    <w:rsid w:val="002A04D0"/>
    <w:rsid w:val="002A0595"/>
    <w:rsid w:val="002A05D0"/>
    <w:rsid w:val="002A069D"/>
    <w:rsid w:val="002A0798"/>
    <w:rsid w:val="002A07EF"/>
    <w:rsid w:val="002A0837"/>
    <w:rsid w:val="002A0841"/>
    <w:rsid w:val="002A0968"/>
    <w:rsid w:val="002A0A93"/>
    <w:rsid w:val="002A0B23"/>
    <w:rsid w:val="002A0C0E"/>
    <w:rsid w:val="002A0D1F"/>
    <w:rsid w:val="002A0DE2"/>
    <w:rsid w:val="002A0DEC"/>
    <w:rsid w:val="002A0E47"/>
    <w:rsid w:val="002A0EF7"/>
    <w:rsid w:val="002A11F1"/>
    <w:rsid w:val="002A12E9"/>
    <w:rsid w:val="002A13AC"/>
    <w:rsid w:val="002A14D8"/>
    <w:rsid w:val="002A1515"/>
    <w:rsid w:val="002A1859"/>
    <w:rsid w:val="002A18FE"/>
    <w:rsid w:val="002A192B"/>
    <w:rsid w:val="002A1A0D"/>
    <w:rsid w:val="002A1B2B"/>
    <w:rsid w:val="002A1B40"/>
    <w:rsid w:val="002A1B75"/>
    <w:rsid w:val="002A1CCE"/>
    <w:rsid w:val="002A1D4A"/>
    <w:rsid w:val="002A1DCF"/>
    <w:rsid w:val="002A1F0A"/>
    <w:rsid w:val="002A1F2D"/>
    <w:rsid w:val="002A200B"/>
    <w:rsid w:val="002A2011"/>
    <w:rsid w:val="002A2359"/>
    <w:rsid w:val="002A2478"/>
    <w:rsid w:val="002A251E"/>
    <w:rsid w:val="002A29EA"/>
    <w:rsid w:val="002A2C04"/>
    <w:rsid w:val="002A2C82"/>
    <w:rsid w:val="002A2CA7"/>
    <w:rsid w:val="002A2D30"/>
    <w:rsid w:val="002A2D97"/>
    <w:rsid w:val="002A2DF0"/>
    <w:rsid w:val="002A2E61"/>
    <w:rsid w:val="002A2F30"/>
    <w:rsid w:val="002A2F78"/>
    <w:rsid w:val="002A31A3"/>
    <w:rsid w:val="002A354E"/>
    <w:rsid w:val="002A367B"/>
    <w:rsid w:val="002A3698"/>
    <w:rsid w:val="002A372D"/>
    <w:rsid w:val="002A374A"/>
    <w:rsid w:val="002A375A"/>
    <w:rsid w:val="002A375E"/>
    <w:rsid w:val="002A37D1"/>
    <w:rsid w:val="002A37FC"/>
    <w:rsid w:val="002A38BA"/>
    <w:rsid w:val="002A39BD"/>
    <w:rsid w:val="002A3A2D"/>
    <w:rsid w:val="002A3A65"/>
    <w:rsid w:val="002A3A69"/>
    <w:rsid w:val="002A3AAC"/>
    <w:rsid w:val="002A3B88"/>
    <w:rsid w:val="002A3D5B"/>
    <w:rsid w:val="002A3EE8"/>
    <w:rsid w:val="002A3F5C"/>
    <w:rsid w:val="002A3FF7"/>
    <w:rsid w:val="002A4049"/>
    <w:rsid w:val="002A41BD"/>
    <w:rsid w:val="002A4274"/>
    <w:rsid w:val="002A438E"/>
    <w:rsid w:val="002A4427"/>
    <w:rsid w:val="002A44F3"/>
    <w:rsid w:val="002A4571"/>
    <w:rsid w:val="002A45B3"/>
    <w:rsid w:val="002A4615"/>
    <w:rsid w:val="002A4905"/>
    <w:rsid w:val="002A4A11"/>
    <w:rsid w:val="002A4A18"/>
    <w:rsid w:val="002A4B53"/>
    <w:rsid w:val="002A4CFF"/>
    <w:rsid w:val="002A4D28"/>
    <w:rsid w:val="002A4D74"/>
    <w:rsid w:val="002A4EE7"/>
    <w:rsid w:val="002A4FBE"/>
    <w:rsid w:val="002A504B"/>
    <w:rsid w:val="002A50D1"/>
    <w:rsid w:val="002A50E6"/>
    <w:rsid w:val="002A5137"/>
    <w:rsid w:val="002A5176"/>
    <w:rsid w:val="002A5433"/>
    <w:rsid w:val="002A559A"/>
    <w:rsid w:val="002A55E8"/>
    <w:rsid w:val="002A5603"/>
    <w:rsid w:val="002A57BC"/>
    <w:rsid w:val="002A57D7"/>
    <w:rsid w:val="002A5808"/>
    <w:rsid w:val="002A5838"/>
    <w:rsid w:val="002A58FF"/>
    <w:rsid w:val="002A59C5"/>
    <w:rsid w:val="002A5A0B"/>
    <w:rsid w:val="002A5CF6"/>
    <w:rsid w:val="002A5DC4"/>
    <w:rsid w:val="002A5ED3"/>
    <w:rsid w:val="002A608A"/>
    <w:rsid w:val="002A60A0"/>
    <w:rsid w:val="002A60C3"/>
    <w:rsid w:val="002A60E4"/>
    <w:rsid w:val="002A6108"/>
    <w:rsid w:val="002A6163"/>
    <w:rsid w:val="002A616C"/>
    <w:rsid w:val="002A61F3"/>
    <w:rsid w:val="002A644B"/>
    <w:rsid w:val="002A648D"/>
    <w:rsid w:val="002A6498"/>
    <w:rsid w:val="002A64B9"/>
    <w:rsid w:val="002A655D"/>
    <w:rsid w:val="002A67A6"/>
    <w:rsid w:val="002A68E6"/>
    <w:rsid w:val="002A68F5"/>
    <w:rsid w:val="002A6968"/>
    <w:rsid w:val="002A69E3"/>
    <w:rsid w:val="002A6A52"/>
    <w:rsid w:val="002A6A6E"/>
    <w:rsid w:val="002A6BCE"/>
    <w:rsid w:val="002A6C80"/>
    <w:rsid w:val="002A6D60"/>
    <w:rsid w:val="002A6DB7"/>
    <w:rsid w:val="002A717C"/>
    <w:rsid w:val="002A7243"/>
    <w:rsid w:val="002A7364"/>
    <w:rsid w:val="002A73A4"/>
    <w:rsid w:val="002A745D"/>
    <w:rsid w:val="002A7685"/>
    <w:rsid w:val="002A7756"/>
    <w:rsid w:val="002A77E8"/>
    <w:rsid w:val="002A782D"/>
    <w:rsid w:val="002A78D0"/>
    <w:rsid w:val="002A790D"/>
    <w:rsid w:val="002A7983"/>
    <w:rsid w:val="002A7AA8"/>
    <w:rsid w:val="002A7C33"/>
    <w:rsid w:val="002A7D91"/>
    <w:rsid w:val="002A7DC8"/>
    <w:rsid w:val="002A7FB3"/>
    <w:rsid w:val="002B009E"/>
    <w:rsid w:val="002B01CD"/>
    <w:rsid w:val="002B02AF"/>
    <w:rsid w:val="002B039A"/>
    <w:rsid w:val="002B046E"/>
    <w:rsid w:val="002B06CD"/>
    <w:rsid w:val="002B06F3"/>
    <w:rsid w:val="002B08B6"/>
    <w:rsid w:val="002B0907"/>
    <w:rsid w:val="002B0922"/>
    <w:rsid w:val="002B09A3"/>
    <w:rsid w:val="002B09A7"/>
    <w:rsid w:val="002B0A97"/>
    <w:rsid w:val="002B0AF3"/>
    <w:rsid w:val="002B0E13"/>
    <w:rsid w:val="002B0FA2"/>
    <w:rsid w:val="002B10E0"/>
    <w:rsid w:val="002B1103"/>
    <w:rsid w:val="002B125D"/>
    <w:rsid w:val="002B12D2"/>
    <w:rsid w:val="002B13ED"/>
    <w:rsid w:val="002B165D"/>
    <w:rsid w:val="002B166D"/>
    <w:rsid w:val="002B16C5"/>
    <w:rsid w:val="002B1708"/>
    <w:rsid w:val="002B1740"/>
    <w:rsid w:val="002B1782"/>
    <w:rsid w:val="002B1799"/>
    <w:rsid w:val="002B194D"/>
    <w:rsid w:val="002B1CDA"/>
    <w:rsid w:val="002B1D5E"/>
    <w:rsid w:val="002B1D99"/>
    <w:rsid w:val="002B1F69"/>
    <w:rsid w:val="002B20AA"/>
    <w:rsid w:val="002B235E"/>
    <w:rsid w:val="002B23D3"/>
    <w:rsid w:val="002B23D9"/>
    <w:rsid w:val="002B24FE"/>
    <w:rsid w:val="002B252D"/>
    <w:rsid w:val="002B2541"/>
    <w:rsid w:val="002B26FD"/>
    <w:rsid w:val="002B2889"/>
    <w:rsid w:val="002B29B2"/>
    <w:rsid w:val="002B29B4"/>
    <w:rsid w:val="002B2AE5"/>
    <w:rsid w:val="002B2BF3"/>
    <w:rsid w:val="002B2D02"/>
    <w:rsid w:val="002B2E0C"/>
    <w:rsid w:val="002B2E6B"/>
    <w:rsid w:val="002B2EB0"/>
    <w:rsid w:val="002B2EC8"/>
    <w:rsid w:val="002B2F97"/>
    <w:rsid w:val="002B2FB3"/>
    <w:rsid w:val="002B3013"/>
    <w:rsid w:val="002B312A"/>
    <w:rsid w:val="002B354E"/>
    <w:rsid w:val="002B365D"/>
    <w:rsid w:val="002B3669"/>
    <w:rsid w:val="002B369B"/>
    <w:rsid w:val="002B37A0"/>
    <w:rsid w:val="002B38EB"/>
    <w:rsid w:val="002B39A1"/>
    <w:rsid w:val="002B3AFD"/>
    <w:rsid w:val="002B3C5B"/>
    <w:rsid w:val="002B3D53"/>
    <w:rsid w:val="002B3DD3"/>
    <w:rsid w:val="002B3EF9"/>
    <w:rsid w:val="002B3FF3"/>
    <w:rsid w:val="002B425F"/>
    <w:rsid w:val="002B4286"/>
    <w:rsid w:val="002B42C2"/>
    <w:rsid w:val="002B43C2"/>
    <w:rsid w:val="002B44E0"/>
    <w:rsid w:val="002B475C"/>
    <w:rsid w:val="002B496D"/>
    <w:rsid w:val="002B4B0B"/>
    <w:rsid w:val="002B4B23"/>
    <w:rsid w:val="002B4B5C"/>
    <w:rsid w:val="002B4B87"/>
    <w:rsid w:val="002B4BEC"/>
    <w:rsid w:val="002B4C83"/>
    <w:rsid w:val="002B4CF3"/>
    <w:rsid w:val="002B4E73"/>
    <w:rsid w:val="002B531D"/>
    <w:rsid w:val="002B5352"/>
    <w:rsid w:val="002B53F6"/>
    <w:rsid w:val="002B5421"/>
    <w:rsid w:val="002B54ED"/>
    <w:rsid w:val="002B5551"/>
    <w:rsid w:val="002B56C4"/>
    <w:rsid w:val="002B56E8"/>
    <w:rsid w:val="002B5728"/>
    <w:rsid w:val="002B5729"/>
    <w:rsid w:val="002B583B"/>
    <w:rsid w:val="002B5A43"/>
    <w:rsid w:val="002B5A4E"/>
    <w:rsid w:val="002B5B99"/>
    <w:rsid w:val="002B5C15"/>
    <w:rsid w:val="002B5CB9"/>
    <w:rsid w:val="002B5CD5"/>
    <w:rsid w:val="002B5D90"/>
    <w:rsid w:val="002B5DE1"/>
    <w:rsid w:val="002B5DFD"/>
    <w:rsid w:val="002B5E7B"/>
    <w:rsid w:val="002B5F5B"/>
    <w:rsid w:val="002B5F93"/>
    <w:rsid w:val="002B5FBF"/>
    <w:rsid w:val="002B603B"/>
    <w:rsid w:val="002B6041"/>
    <w:rsid w:val="002B60C3"/>
    <w:rsid w:val="002B6142"/>
    <w:rsid w:val="002B6194"/>
    <w:rsid w:val="002B61F0"/>
    <w:rsid w:val="002B6214"/>
    <w:rsid w:val="002B628D"/>
    <w:rsid w:val="002B6492"/>
    <w:rsid w:val="002B64D1"/>
    <w:rsid w:val="002B65FE"/>
    <w:rsid w:val="002B6799"/>
    <w:rsid w:val="002B67D2"/>
    <w:rsid w:val="002B67FC"/>
    <w:rsid w:val="002B684D"/>
    <w:rsid w:val="002B685C"/>
    <w:rsid w:val="002B68D1"/>
    <w:rsid w:val="002B6B0A"/>
    <w:rsid w:val="002B6B4E"/>
    <w:rsid w:val="002B6D2C"/>
    <w:rsid w:val="002B6E6A"/>
    <w:rsid w:val="002B6EF8"/>
    <w:rsid w:val="002B705D"/>
    <w:rsid w:val="002B707E"/>
    <w:rsid w:val="002B7095"/>
    <w:rsid w:val="002B70A8"/>
    <w:rsid w:val="002B70B0"/>
    <w:rsid w:val="002B70BA"/>
    <w:rsid w:val="002B718E"/>
    <w:rsid w:val="002B7275"/>
    <w:rsid w:val="002B72A2"/>
    <w:rsid w:val="002B731F"/>
    <w:rsid w:val="002B73AE"/>
    <w:rsid w:val="002B73F6"/>
    <w:rsid w:val="002B7420"/>
    <w:rsid w:val="002B7451"/>
    <w:rsid w:val="002B7621"/>
    <w:rsid w:val="002B763A"/>
    <w:rsid w:val="002B7711"/>
    <w:rsid w:val="002B7767"/>
    <w:rsid w:val="002B7777"/>
    <w:rsid w:val="002B77B7"/>
    <w:rsid w:val="002B7950"/>
    <w:rsid w:val="002B797B"/>
    <w:rsid w:val="002B79A0"/>
    <w:rsid w:val="002B79BF"/>
    <w:rsid w:val="002B79FA"/>
    <w:rsid w:val="002B7A8B"/>
    <w:rsid w:val="002B7BC5"/>
    <w:rsid w:val="002B7CAB"/>
    <w:rsid w:val="002B7D8B"/>
    <w:rsid w:val="002B7DBB"/>
    <w:rsid w:val="002B7F2B"/>
    <w:rsid w:val="002B7FC3"/>
    <w:rsid w:val="002C00A2"/>
    <w:rsid w:val="002C00C6"/>
    <w:rsid w:val="002C0151"/>
    <w:rsid w:val="002C01E1"/>
    <w:rsid w:val="002C01F5"/>
    <w:rsid w:val="002C0234"/>
    <w:rsid w:val="002C029A"/>
    <w:rsid w:val="002C02B3"/>
    <w:rsid w:val="002C02C4"/>
    <w:rsid w:val="002C03BF"/>
    <w:rsid w:val="002C05CC"/>
    <w:rsid w:val="002C069C"/>
    <w:rsid w:val="002C06E8"/>
    <w:rsid w:val="002C0867"/>
    <w:rsid w:val="002C086D"/>
    <w:rsid w:val="002C08C9"/>
    <w:rsid w:val="002C08FB"/>
    <w:rsid w:val="002C095A"/>
    <w:rsid w:val="002C0A0E"/>
    <w:rsid w:val="002C0A2C"/>
    <w:rsid w:val="002C0AAE"/>
    <w:rsid w:val="002C0ADE"/>
    <w:rsid w:val="002C0BE8"/>
    <w:rsid w:val="002C0C95"/>
    <w:rsid w:val="002C0CF9"/>
    <w:rsid w:val="002C0DAC"/>
    <w:rsid w:val="002C0E6E"/>
    <w:rsid w:val="002C0E85"/>
    <w:rsid w:val="002C1053"/>
    <w:rsid w:val="002C11EB"/>
    <w:rsid w:val="002C1405"/>
    <w:rsid w:val="002C1506"/>
    <w:rsid w:val="002C15EB"/>
    <w:rsid w:val="002C18D3"/>
    <w:rsid w:val="002C19F7"/>
    <w:rsid w:val="002C1A30"/>
    <w:rsid w:val="002C1A6C"/>
    <w:rsid w:val="002C1AF8"/>
    <w:rsid w:val="002C1B05"/>
    <w:rsid w:val="002C1BAD"/>
    <w:rsid w:val="002C1C2D"/>
    <w:rsid w:val="002C1C2E"/>
    <w:rsid w:val="002C1E7A"/>
    <w:rsid w:val="002C1E93"/>
    <w:rsid w:val="002C1F20"/>
    <w:rsid w:val="002C202C"/>
    <w:rsid w:val="002C2052"/>
    <w:rsid w:val="002C21EB"/>
    <w:rsid w:val="002C2282"/>
    <w:rsid w:val="002C2299"/>
    <w:rsid w:val="002C25EE"/>
    <w:rsid w:val="002C26BC"/>
    <w:rsid w:val="002C28FF"/>
    <w:rsid w:val="002C2973"/>
    <w:rsid w:val="002C2AAE"/>
    <w:rsid w:val="002C2ABB"/>
    <w:rsid w:val="002C2C16"/>
    <w:rsid w:val="002C2C72"/>
    <w:rsid w:val="002C2C81"/>
    <w:rsid w:val="002C2CB6"/>
    <w:rsid w:val="002C2D07"/>
    <w:rsid w:val="002C2EE1"/>
    <w:rsid w:val="002C2F75"/>
    <w:rsid w:val="002C308C"/>
    <w:rsid w:val="002C30AA"/>
    <w:rsid w:val="002C30EC"/>
    <w:rsid w:val="002C3100"/>
    <w:rsid w:val="002C3112"/>
    <w:rsid w:val="002C3258"/>
    <w:rsid w:val="002C33F2"/>
    <w:rsid w:val="002C3423"/>
    <w:rsid w:val="002C34D6"/>
    <w:rsid w:val="002C3612"/>
    <w:rsid w:val="002C3658"/>
    <w:rsid w:val="002C36B4"/>
    <w:rsid w:val="002C3705"/>
    <w:rsid w:val="002C37DE"/>
    <w:rsid w:val="002C37F3"/>
    <w:rsid w:val="002C3974"/>
    <w:rsid w:val="002C3AFE"/>
    <w:rsid w:val="002C3BA4"/>
    <w:rsid w:val="002C3BED"/>
    <w:rsid w:val="002C3E20"/>
    <w:rsid w:val="002C405E"/>
    <w:rsid w:val="002C4081"/>
    <w:rsid w:val="002C4098"/>
    <w:rsid w:val="002C410C"/>
    <w:rsid w:val="002C4245"/>
    <w:rsid w:val="002C4389"/>
    <w:rsid w:val="002C4397"/>
    <w:rsid w:val="002C43F7"/>
    <w:rsid w:val="002C4645"/>
    <w:rsid w:val="002C4866"/>
    <w:rsid w:val="002C48B1"/>
    <w:rsid w:val="002C4AE3"/>
    <w:rsid w:val="002C4B2F"/>
    <w:rsid w:val="002C4BB0"/>
    <w:rsid w:val="002C4BE6"/>
    <w:rsid w:val="002C4BFB"/>
    <w:rsid w:val="002C4C52"/>
    <w:rsid w:val="002C4C82"/>
    <w:rsid w:val="002C4CBF"/>
    <w:rsid w:val="002C4D0F"/>
    <w:rsid w:val="002C4E7F"/>
    <w:rsid w:val="002C4E85"/>
    <w:rsid w:val="002C4E99"/>
    <w:rsid w:val="002C4FBE"/>
    <w:rsid w:val="002C50B7"/>
    <w:rsid w:val="002C5172"/>
    <w:rsid w:val="002C53C9"/>
    <w:rsid w:val="002C5433"/>
    <w:rsid w:val="002C5696"/>
    <w:rsid w:val="002C57F3"/>
    <w:rsid w:val="002C58A1"/>
    <w:rsid w:val="002C5AD9"/>
    <w:rsid w:val="002C5C0E"/>
    <w:rsid w:val="002C5F8F"/>
    <w:rsid w:val="002C5FCD"/>
    <w:rsid w:val="002C6064"/>
    <w:rsid w:val="002C6069"/>
    <w:rsid w:val="002C6129"/>
    <w:rsid w:val="002C614E"/>
    <w:rsid w:val="002C6176"/>
    <w:rsid w:val="002C640B"/>
    <w:rsid w:val="002C6431"/>
    <w:rsid w:val="002C6659"/>
    <w:rsid w:val="002C6660"/>
    <w:rsid w:val="002C66F4"/>
    <w:rsid w:val="002C6710"/>
    <w:rsid w:val="002C6762"/>
    <w:rsid w:val="002C67D8"/>
    <w:rsid w:val="002C6859"/>
    <w:rsid w:val="002C6866"/>
    <w:rsid w:val="002C68B5"/>
    <w:rsid w:val="002C68CE"/>
    <w:rsid w:val="002C6917"/>
    <w:rsid w:val="002C6BEC"/>
    <w:rsid w:val="002C6C7E"/>
    <w:rsid w:val="002C6C80"/>
    <w:rsid w:val="002C6CF5"/>
    <w:rsid w:val="002C6CF9"/>
    <w:rsid w:val="002C6DB0"/>
    <w:rsid w:val="002C6F8B"/>
    <w:rsid w:val="002C6FF4"/>
    <w:rsid w:val="002C7096"/>
    <w:rsid w:val="002C73CC"/>
    <w:rsid w:val="002C76B8"/>
    <w:rsid w:val="002C7705"/>
    <w:rsid w:val="002C7814"/>
    <w:rsid w:val="002C7852"/>
    <w:rsid w:val="002C78C2"/>
    <w:rsid w:val="002C794B"/>
    <w:rsid w:val="002C7AFB"/>
    <w:rsid w:val="002C7BC7"/>
    <w:rsid w:val="002C7CB9"/>
    <w:rsid w:val="002C7EDB"/>
    <w:rsid w:val="002D000D"/>
    <w:rsid w:val="002D0047"/>
    <w:rsid w:val="002D0084"/>
    <w:rsid w:val="002D008D"/>
    <w:rsid w:val="002D0111"/>
    <w:rsid w:val="002D024A"/>
    <w:rsid w:val="002D02B9"/>
    <w:rsid w:val="002D04C2"/>
    <w:rsid w:val="002D0651"/>
    <w:rsid w:val="002D0690"/>
    <w:rsid w:val="002D0A02"/>
    <w:rsid w:val="002D0A26"/>
    <w:rsid w:val="002D0B16"/>
    <w:rsid w:val="002D0B3E"/>
    <w:rsid w:val="002D0C5A"/>
    <w:rsid w:val="002D0C7E"/>
    <w:rsid w:val="002D0CA3"/>
    <w:rsid w:val="002D0D58"/>
    <w:rsid w:val="002D0D63"/>
    <w:rsid w:val="002D0DBA"/>
    <w:rsid w:val="002D0E2C"/>
    <w:rsid w:val="002D0EFE"/>
    <w:rsid w:val="002D0F18"/>
    <w:rsid w:val="002D0F3D"/>
    <w:rsid w:val="002D13CC"/>
    <w:rsid w:val="002D146D"/>
    <w:rsid w:val="002D1584"/>
    <w:rsid w:val="002D16BF"/>
    <w:rsid w:val="002D16CB"/>
    <w:rsid w:val="002D18E3"/>
    <w:rsid w:val="002D19CC"/>
    <w:rsid w:val="002D1C62"/>
    <w:rsid w:val="002D1D6B"/>
    <w:rsid w:val="002D1DEB"/>
    <w:rsid w:val="002D1E67"/>
    <w:rsid w:val="002D205E"/>
    <w:rsid w:val="002D21EA"/>
    <w:rsid w:val="002D22BE"/>
    <w:rsid w:val="002D22CB"/>
    <w:rsid w:val="002D24A6"/>
    <w:rsid w:val="002D2521"/>
    <w:rsid w:val="002D252F"/>
    <w:rsid w:val="002D2594"/>
    <w:rsid w:val="002D262A"/>
    <w:rsid w:val="002D2677"/>
    <w:rsid w:val="002D2847"/>
    <w:rsid w:val="002D2860"/>
    <w:rsid w:val="002D2962"/>
    <w:rsid w:val="002D2B6E"/>
    <w:rsid w:val="002D2BCF"/>
    <w:rsid w:val="002D2C35"/>
    <w:rsid w:val="002D2C5B"/>
    <w:rsid w:val="002D2CB8"/>
    <w:rsid w:val="002D2E01"/>
    <w:rsid w:val="002D2E1A"/>
    <w:rsid w:val="002D2ECD"/>
    <w:rsid w:val="002D2F00"/>
    <w:rsid w:val="002D30DA"/>
    <w:rsid w:val="002D313D"/>
    <w:rsid w:val="002D332D"/>
    <w:rsid w:val="002D33BD"/>
    <w:rsid w:val="002D3987"/>
    <w:rsid w:val="002D3A21"/>
    <w:rsid w:val="002D3C6F"/>
    <w:rsid w:val="002D3D82"/>
    <w:rsid w:val="002D3DC8"/>
    <w:rsid w:val="002D404A"/>
    <w:rsid w:val="002D419D"/>
    <w:rsid w:val="002D42A2"/>
    <w:rsid w:val="002D450A"/>
    <w:rsid w:val="002D466C"/>
    <w:rsid w:val="002D467E"/>
    <w:rsid w:val="002D46C6"/>
    <w:rsid w:val="002D4A1F"/>
    <w:rsid w:val="002D4B57"/>
    <w:rsid w:val="002D4BE7"/>
    <w:rsid w:val="002D4C79"/>
    <w:rsid w:val="002D4C81"/>
    <w:rsid w:val="002D4D31"/>
    <w:rsid w:val="002D4F38"/>
    <w:rsid w:val="002D5099"/>
    <w:rsid w:val="002D50D9"/>
    <w:rsid w:val="002D51BB"/>
    <w:rsid w:val="002D526B"/>
    <w:rsid w:val="002D5302"/>
    <w:rsid w:val="002D5480"/>
    <w:rsid w:val="002D569B"/>
    <w:rsid w:val="002D56CA"/>
    <w:rsid w:val="002D56D6"/>
    <w:rsid w:val="002D57C7"/>
    <w:rsid w:val="002D57E9"/>
    <w:rsid w:val="002D5831"/>
    <w:rsid w:val="002D5C98"/>
    <w:rsid w:val="002D5E9E"/>
    <w:rsid w:val="002D6122"/>
    <w:rsid w:val="002D61C6"/>
    <w:rsid w:val="002D6278"/>
    <w:rsid w:val="002D63A5"/>
    <w:rsid w:val="002D63FE"/>
    <w:rsid w:val="002D6676"/>
    <w:rsid w:val="002D6736"/>
    <w:rsid w:val="002D676A"/>
    <w:rsid w:val="002D68F7"/>
    <w:rsid w:val="002D68F9"/>
    <w:rsid w:val="002D6979"/>
    <w:rsid w:val="002D6A24"/>
    <w:rsid w:val="002D6A93"/>
    <w:rsid w:val="002D6B11"/>
    <w:rsid w:val="002D6B73"/>
    <w:rsid w:val="002D6BCD"/>
    <w:rsid w:val="002D6D44"/>
    <w:rsid w:val="002D6E65"/>
    <w:rsid w:val="002D6E9D"/>
    <w:rsid w:val="002D6EC8"/>
    <w:rsid w:val="002D6F52"/>
    <w:rsid w:val="002D6F83"/>
    <w:rsid w:val="002D6FAD"/>
    <w:rsid w:val="002D70AA"/>
    <w:rsid w:val="002D70EF"/>
    <w:rsid w:val="002D72EC"/>
    <w:rsid w:val="002D745A"/>
    <w:rsid w:val="002D749E"/>
    <w:rsid w:val="002D752C"/>
    <w:rsid w:val="002D7577"/>
    <w:rsid w:val="002D78C5"/>
    <w:rsid w:val="002D7A91"/>
    <w:rsid w:val="002D7A93"/>
    <w:rsid w:val="002D7A97"/>
    <w:rsid w:val="002D7ABF"/>
    <w:rsid w:val="002D7B40"/>
    <w:rsid w:val="002D7CA7"/>
    <w:rsid w:val="002D7DB1"/>
    <w:rsid w:val="002D7E9F"/>
    <w:rsid w:val="002D7F29"/>
    <w:rsid w:val="002E00F1"/>
    <w:rsid w:val="002E01B7"/>
    <w:rsid w:val="002E01B9"/>
    <w:rsid w:val="002E03CA"/>
    <w:rsid w:val="002E0516"/>
    <w:rsid w:val="002E064C"/>
    <w:rsid w:val="002E06D3"/>
    <w:rsid w:val="002E0732"/>
    <w:rsid w:val="002E0752"/>
    <w:rsid w:val="002E0860"/>
    <w:rsid w:val="002E09A6"/>
    <w:rsid w:val="002E09F8"/>
    <w:rsid w:val="002E0A9B"/>
    <w:rsid w:val="002E0AD3"/>
    <w:rsid w:val="002E0B18"/>
    <w:rsid w:val="002E0BF6"/>
    <w:rsid w:val="002E0C5E"/>
    <w:rsid w:val="002E0EBF"/>
    <w:rsid w:val="002E11AF"/>
    <w:rsid w:val="002E11B0"/>
    <w:rsid w:val="002E12FB"/>
    <w:rsid w:val="002E130F"/>
    <w:rsid w:val="002E13E6"/>
    <w:rsid w:val="002E143F"/>
    <w:rsid w:val="002E1465"/>
    <w:rsid w:val="002E14BF"/>
    <w:rsid w:val="002E150C"/>
    <w:rsid w:val="002E163F"/>
    <w:rsid w:val="002E17E3"/>
    <w:rsid w:val="002E193C"/>
    <w:rsid w:val="002E1AF8"/>
    <w:rsid w:val="002E1B0D"/>
    <w:rsid w:val="002E1D73"/>
    <w:rsid w:val="002E1E4F"/>
    <w:rsid w:val="002E1FCB"/>
    <w:rsid w:val="002E1FD2"/>
    <w:rsid w:val="002E2158"/>
    <w:rsid w:val="002E21AB"/>
    <w:rsid w:val="002E21FE"/>
    <w:rsid w:val="002E22DA"/>
    <w:rsid w:val="002E2412"/>
    <w:rsid w:val="002E24DB"/>
    <w:rsid w:val="002E24F5"/>
    <w:rsid w:val="002E25BE"/>
    <w:rsid w:val="002E2630"/>
    <w:rsid w:val="002E28E9"/>
    <w:rsid w:val="002E2924"/>
    <w:rsid w:val="002E2950"/>
    <w:rsid w:val="002E29F9"/>
    <w:rsid w:val="002E2B25"/>
    <w:rsid w:val="002E2B36"/>
    <w:rsid w:val="002E2C3A"/>
    <w:rsid w:val="002E2E2C"/>
    <w:rsid w:val="002E2E73"/>
    <w:rsid w:val="002E2E81"/>
    <w:rsid w:val="002E2E90"/>
    <w:rsid w:val="002E2FC3"/>
    <w:rsid w:val="002E32CA"/>
    <w:rsid w:val="002E3350"/>
    <w:rsid w:val="002E350A"/>
    <w:rsid w:val="002E3540"/>
    <w:rsid w:val="002E35B6"/>
    <w:rsid w:val="002E3673"/>
    <w:rsid w:val="002E36B5"/>
    <w:rsid w:val="002E36BE"/>
    <w:rsid w:val="002E3849"/>
    <w:rsid w:val="002E3879"/>
    <w:rsid w:val="002E3A38"/>
    <w:rsid w:val="002E3AD4"/>
    <w:rsid w:val="002E3B54"/>
    <w:rsid w:val="002E3BD0"/>
    <w:rsid w:val="002E3C30"/>
    <w:rsid w:val="002E3CA2"/>
    <w:rsid w:val="002E3D29"/>
    <w:rsid w:val="002E3D80"/>
    <w:rsid w:val="002E3FC1"/>
    <w:rsid w:val="002E3FE4"/>
    <w:rsid w:val="002E4094"/>
    <w:rsid w:val="002E42EE"/>
    <w:rsid w:val="002E4425"/>
    <w:rsid w:val="002E474B"/>
    <w:rsid w:val="002E477A"/>
    <w:rsid w:val="002E47B2"/>
    <w:rsid w:val="002E4882"/>
    <w:rsid w:val="002E48A7"/>
    <w:rsid w:val="002E48D4"/>
    <w:rsid w:val="002E490D"/>
    <w:rsid w:val="002E4971"/>
    <w:rsid w:val="002E4AB0"/>
    <w:rsid w:val="002E4ACD"/>
    <w:rsid w:val="002E4B35"/>
    <w:rsid w:val="002E4B9A"/>
    <w:rsid w:val="002E4DEA"/>
    <w:rsid w:val="002E4E1D"/>
    <w:rsid w:val="002E4E95"/>
    <w:rsid w:val="002E503B"/>
    <w:rsid w:val="002E510E"/>
    <w:rsid w:val="002E517A"/>
    <w:rsid w:val="002E523C"/>
    <w:rsid w:val="002E53D7"/>
    <w:rsid w:val="002E5506"/>
    <w:rsid w:val="002E5570"/>
    <w:rsid w:val="002E568A"/>
    <w:rsid w:val="002E56BA"/>
    <w:rsid w:val="002E5703"/>
    <w:rsid w:val="002E57A2"/>
    <w:rsid w:val="002E58CB"/>
    <w:rsid w:val="002E5B71"/>
    <w:rsid w:val="002E5BCB"/>
    <w:rsid w:val="002E5BD3"/>
    <w:rsid w:val="002E5D9F"/>
    <w:rsid w:val="002E5DB0"/>
    <w:rsid w:val="002E5DD7"/>
    <w:rsid w:val="002E5E7E"/>
    <w:rsid w:val="002E5FD3"/>
    <w:rsid w:val="002E5FEF"/>
    <w:rsid w:val="002E62B0"/>
    <w:rsid w:val="002E64B5"/>
    <w:rsid w:val="002E6520"/>
    <w:rsid w:val="002E6579"/>
    <w:rsid w:val="002E6596"/>
    <w:rsid w:val="002E6603"/>
    <w:rsid w:val="002E6B59"/>
    <w:rsid w:val="002E6CC7"/>
    <w:rsid w:val="002E6D1C"/>
    <w:rsid w:val="002E6E57"/>
    <w:rsid w:val="002E6EDF"/>
    <w:rsid w:val="002E6F50"/>
    <w:rsid w:val="002E6F98"/>
    <w:rsid w:val="002E70B1"/>
    <w:rsid w:val="002E749F"/>
    <w:rsid w:val="002E7505"/>
    <w:rsid w:val="002E7599"/>
    <w:rsid w:val="002E75DF"/>
    <w:rsid w:val="002E77AE"/>
    <w:rsid w:val="002E7806"/>
    <w:rsid w:val="002E7862"/>
    <w:rsid w:val="002E78FC"/>
    <w:rsid w:val="002E792D"/>
    <w:rsid w:val="002E7943"/>
    <w:rsid w:val="002E79B6"/>
    <w:rsid w:val="002E7AB0"/>
    <w:rsid w:val="002E7B6E"/>
    <w:rsid w:val="002E7B8F"/>
    <w:rsid w:val="002E7E32"/>
    <w:rsid w:val="002E7F14"/>
    <w:rsid w:val="002E7FA9"/>
    <w:rsid w:val="002E7FAC"/>
    <w:rsid w:val="002F00C8"/>
    <w:rsid w:val="002F00CA"/>
    <w:rsid w:val="002F0109"/>
    <w:rsid w:val="002F028D"/>
    <w:rsid w:val="002F04A2"/>
    <w:rsid w:val="002F057B"/>
    <w:rsid w:val="002F0653"/>
    <w:rsid w:val="002F0714"/>
    <w:rsid w:val="002F0761"/>
    <w:rsid w:val="002F07DB"/>
    <w:rsid w:val="002F0814"/>
    <w:rsid w:val="002F08A3"/>
    <w:rsid w:val="002F0976"/>
    <w:rsid w:val="002F0ABB"/>
    <w:rsid w:val="002F0BAC"/>
    <w:rsid w:val="002F0DE7"/>
    <w:rsid w:val="002F0E6D"/>
    <w:rsid w:val="002F0E9E"/>
    <w:rsid w:val="002F0EC3"/>
    <w:rsid w:val="002F0EFB"/>
    <w:rsid w:val="002F0F3D"/>
    <w:rsid w:val="002F0FF5"/>
    <w:rsid w:val="002F100B"/>
    <w:rsid w:val="002F1143"/>
    <w:rsid w:val="002F118A"/>
    <w:rsid w:val="002F12B4"/>
    <w:rsid w:val="002F12E5"/>
    <w:rsid w:val="002F13A7"/>
    <w:rsid w:val="002F146E"/>
    <w:rsid w:val="002F146F"/>
    <w:rsid w:val="002F1510"/>
    <w:rsid w:val="002F1594"/>
    <w:rsid w:val="002F15C5"/>
    <w:rsid w:val="002F15D0"/>
    <w:rsid w:val="002F1827"/>
    <w:rsid w:val="002F186D"/>
    <w:rsid w:val="002F187C"/>
    <w:rsid w:val="002F1A21"/>
    <w:rsid w:val="002F1A70"/>
    <w:rsid w:val="002F1C33"/>
    <w:rsid w:val="002F1C34"/>
    <w:rsid w:val="002F1C3A"/>
    <w:rsid w:val="002F1D7B"/>
    <w:rsid w:val="002F1D86"/>
    <w:rsid w:val="002F1EFA"/>
    <w:rsid w:val="002F1F4E"/>
    <w:rsid w:val="002F20CD"/>
    <w:rsid w:val="002F2178"/>
    <w:rsid w:val="002F2198"/>
    <w:rsid w:val="002F22CD"/>
    <w:rsid w:val="002F2321"/>
    <w:rsid w:val="002F236A"/>
    <w:rsid w:val="002F24BC"/>
    <w:rsid w:val="002F251D"/>
    <w:rsid w:val="002F25FE"/>
    <w:rsid w:val="002F2650"/>
    <w:rsid w:val="002F274B"/>
    <w:rsid w:val="002F2847"/>
    <w:rsid w:val="002F2891"/>
    <w:rsid w:val="002F2953"/>
    <w:rsid w:val="002F295A"/>
    <w:rsid w:val="002F29A9"/>
    <w:rsid w:val="002F2A3B"/>
    <w:rsid w:val="002F2AAF"/>
    <w:rsid w:val="002F2C94"/>
    <w:rsid w:val="002F2DFE"/>
    <w:rsid w:val="002F2ED6"/>
    <w:rsid w:val="002F2EF3"/>
    <w:rsid w:val="002F2F12"/>
    <w:rsid w:val="002F2F27"/>
    <w:rsid w:val="002F3182"/>
    <w:rsid w:val="002F3257"/>
    <w:rsid w:val="002F3299"/>
    <w:rsid w:val="002F3342"/>
    <w:rsid w:val="002F3464"/>
    <w:rsid w:val="002F34B7"/>
    <w:rsid w:val="002F3640"/>
    <w:rsid w:val="002F386D"/>
    <w:rsid w:val="002F39FA"/>
    <w:rsid w:val="002F3A2A"/>
    <w:rsid w:val="002F3C72"/>
    <w:rsid w:val="002F3EAF"/>
    <w:rsid w:val="002F3F16"/>
    <w:rsid w:val="002F411E"/>
    <w:rsid w:val="002F4197"/>
    <w:rsid w:val="002F41F9"/>
    <w:rsid w:val="002F4352"/>
    <w:rsid w:val="002F4365"/>
    <w:rsid w:val="002F4391"/>
    <w:rsid w:val="002F44C4"/>
    <w:rsid w:val="002F4534"/>
    <w:rsid w:val="002F456F"/>
    <w:rsid w:val="002F46C9"/>
    <w:rsid w:val="002F474F"/>
    <w:rsid w:val="002F478B"/>
    <w:rsid w:val="002F4826"/>
    <w:rsid w:val="002F4BF5"/>
    <w:rsid w:val="002F4C30"/>
    <w:rsid w:val="002F4C46"/>
    <w:rsid w:val="002F4CAB"/>
    <w:rsid w:val="002F4CBF"/>
    <w:rsid w:val="002F4CCB"/>
    <w:rsid w:val="002F4E27"/>
    <w:rsid w:val="002F50D5"/>
    <w:rsid w:val="002F52B5"/>
    <w:rsid w:val="002F5459"/>
    <w:rsid w:val="002F5514"/>
    <w:rsid w:val="002F56F8"/>
    <w:rsid w:val="002F56FA"/>
    <w:rsid w:val="002F5907"/>
    <w:rsid w:val="002F596F"/>
    <w:rsid w:val="002F59C2"/>
    <w:rsid w:val="002F5A94"/>
    <w:rsid w:val="002F5AB5"/>
    <w:rsid w:val="002F5AD4"/>
    <w:rsid w:val="002F5BD8"/>
    <w:rsid w:val="002F5C00"/>
    <w:rsid w:val="002F5C35"/>
    <w:rsid w:val="002F5E93"/>
    <w:rsid w:val="002F5FA5"/>
    <w:rsid w:val="002F60D1"/>
    <w:rsid w:val="002F614F"/>
    <w:rsid w:val="002F6166"/>
    <w:rsid w:val="002F6247"/>
    <w:rsid w:val="002F630E"/>
    <w:rsid w:val="002F6371"/>
    <w:rsid w:val="002F64C6"/>
    <w:rsid w:val="002F6682"/>
    <w:rsid w:val="002F6725"/>
    <w:rsid w:val="002F67D2"/>
    <w:rsid w:val="002F681F"/>
    <w:rsid w:val="002F69AC"/>
    <w:rsid w:val="002F6A5F"/>
    <w:rsid w:val="002F6AE6"/>
    <w:rsid w:val="002F6B9E"/>
    <w:rsid w:val="002F6C0B"/>
    <w:rsid w:val="002F7017"/>
    <w:rsid w:val="002F70B5"/>
    <w:rsid w:val="002F718A"/>
    <w:rsid w:val="002F738A"/>
    <w:rsid w:val="002F73A2"/>
    <w:rsid w:val="002F75C5"/>
    <w:rsid w:val="002F7635"/>
    <w:rsid w:val="002F788B"/>
    <w:rsid w:val="002F793F"/>
    <w:rsid w:val="002F7958"/>
    <w:rsid w:val="002F796A"/>
    <w:rsid w:val="002F79D9"/>
    <w:rsid w:val="002F7B2B"/>
    <w:rsid w:val="002F7C55"/>
    <w:rsid w:val="002F7CAA"/>
    <w:rsid w:val="002F7CD0"/>
    <w:rsid w:val="002F7CE6"/>
    <w:rsid w:val="002F7E7C"/>
    <w:rsid w:val="002F7EA1"/>
    <w:rsid w:val="002F7FB1"/>
    <w:rsid w:val="003000DC"/>
    <w:rsid w:val="003002D1"/>
    <w:rsid w:val="003002DB"/>
    <w:rsid w:val="0030042C"/>
    <w:rsid w:val="0030055D"/>
    <w:rsid w:val="003005CF"/>
    <w:rsid w:val="003006AE"/>
    <w:rsid w:val="003006CD"/>
    <w:rsid w:val="0030079D"/>
    <w:rsid w:val="003007D2"/>
    <w:rsid w:val="003007DD"/>
    <w:rsid w:val="00300957"/>
    <w:rsid w:val="0030097B"/>
    <w:rsid w:val="003009DB"/>
    <w:rsid w:val="00300A2A"/>
    <w:rsid w:val="00300CFF"/>
    <w:rsid w:val="00300D5C"/>
    <w:rsid w:val="00300E2B"/>
    <w:rsid w:val="00300F39"/>
    <w:rsid w:val="00300F82"/>
    <w:rsid w:val="00301033"/>
    <w:rsid w:val="003010A7"/>
    <w:rsid w:val="0030118F"/>
    <w:rsid w:val="00301195"/>
    <w:rsid w:val="003011DC"/>
    <w:rsid w:val="0030127E"/>
    <w:rsid w:val="0030134D"/>
    <w:rsid w:val="0030135B"/>
    <w:rsid w:val="0030145E"/>
    <w:rsid w:val="0030146B"/>
    <w:rsid w:val="0030154D"/>
    <w:rsid w:val="00301653"/>
    <w:rsid w:val="00301676"/>
    <w:rsid w:val="00301707"/>
    <w:rsid w:val="0030187A"/>
    <w:rsid w:val="003018EF"/>
    <w:rsid w:val="00301947"/>
    <w:rsid w:val="003019F0"/>
    <w:rsid w:val="00301A26"/>
    <w:rsid w:val="00301B69"/>
    <w:rsid w:val="00301BD3"/>
    <w:rsid w:val="00301C96"/>
    <w:rsid w:val="00301D0E"/>
    <w:rsid w:val="00301E77"/>
    <w:rsid w:val="00301EB5"/>
    <w:rsid w:val="00301FFA"/>
    <w:rsid w:val="003020B7"/>
    <w:rsid w:val="003020CF"/>
    <w:rsid w:val="0030217B"/>
    <w:rsid w:val="003021C4"/>
    <w:rsid w:val="003022D2"/>
    <w:rsid w:val="003022F8"/>
    <w:rsid w:val="0030235F"/>
    <w:rsid w:val="00302414"/>
    <w:rsid w:val="003025AF"/>
    <w:rsid w:val="003025CC"/>
    <w:rsid w:val="003025DF"/>
    <w:rsid w:val="00302812"/>
    <w:rsid w:val="003028A0"/>
    <w:rsid w:val="00302AE9"/>
    <w:rsid w:val="00302C1B"/>
    <w:rsid w:val="00302FF0"/>
    <w:rsid w:val="0030305B"/>
    <w:rsid w:val="0030309A"/>
    <w:rsid w:val="0030310D"/>
    <w:rsid w:val="003033BB"/>
    <w:rsid w:val="00303574"/>
    <w:rsid w:val="00303910"/>
    <w:rsid w:val="00303924"/>
    <w:rsid w:val="00303B5D"/>
    <w:rsid w:val="00303BC9"/>
    <w:rsid w:val="00303C7E"/>
    <w:rsid w:val="00303CAC"/>
    <w:rsid w:val="00303D45"/>
    <w:rsid w:val="00303E08"/>
    <w:rsid w:val="00303E69"/>
    <w:rsid w:val="00303EA9"/>
    <w:rsid w:val="00303EF1"/>
    <w:rsid w:val="00303F47"/>
    <w:rsid w:val="0030400F"/>
    <w:rsid w:val="00304147"/>
    <w:rsid w:val="0030424F"/>
    <w:rsid w:val="003042CF"/>
    <w:rsid w:val="0030446D"/>
    <w:rsid w:val="003045AA"/>
    <w:rsid w:val="00304730"/>
    <w:rsid w:val="00304755"/>
    <w:rsid w:val="00304756"/>
    <w:rsid w:val="00304890"/>
    <w:rsid w:val="0030494D"/>
    <w:rsid w:val="00304954"/>
    <w:rsid w:val="00304A13"/>
    <w:rsid w:val="00304A8B"/>
    <w:rsid w:val="00304A9D"/>
    <w:rsid w:val="00304C99"/>
    <w:rsid w:val="00304D5C"/>
    <w:rsid w:val="00304DC4"/>
    <w:rsid w:val="00304E12"/>
    <w:rsid w:val="00304F32"/>
    <w:rsid w:val="00304F36"/>
    <w:rsid w:val="00304FBF"/>
    <w:rsid w:val="00304FEE"/>
    <w:rsid w:val="00305354"/>
    <w:rsid w:val="0030543C"/>
    <w:rsid w:val="00305556"/>
    <w:rsid w:val="00305838"/>
    <w:rsid w:val="0030585B"/>
    <w:rsid w:val="003058BF"/>
    <w:rsid w:val="003058C7"/>
    <w:rsid w:val="003059E8"/>
    <w:rsid w:val="00305A9B"/>
    <w:rsid w:val="00305B6F"/>
    <w:rsid w:val="00305C65"/>
    <w:rsid w:val="00305D1F"/>
    <w:rsid w:val="00305D20"/>
    <w:rsid w:val="00305D7A"/>
    <w:rsid w:val="00305D9F"/>
    <w:rsid w:val="00305DA8"/>
    <w:rsid w:val="00305ED5"/>
    <w:rsid w:val="00305EE1"/>
    <w:rsid w:val="00305F0A"/>
    <w:rsid w:val="00306241"/>
    <w:rsid w:val="00306265"/>
    <w:rsid w:val="00306295"/>
    <w:rsid w:val="003065C7"/>
    <w:rsid w:val="003065ED"/>
    <w:rsid w:val="0030662F"/>
    <w:rsid w:val="003066F9"/>
    <w:rsid w:val="00306775"/>
    <w:rsid w:val="003068CE"/>
    <w:rsid w:val="00306B44"/>
    <w:rsid w:val="00306C73"/>
    <w:rsid w:val="00306CAC"/>
    <w:rsid w:val="00306D7C"/>
    <w:rsid w:val="00306DFF"/>
    <w:rsid w:val="00306E29"/>
    <w:rsid w:val="00306E4B"/>
    <w:rsid w:val="00306E77"/>
    <w:rsid w:val="00306F24"/>
    <w:rsid w:val="003070A3"/>
    <w:rsid w:val="003070AF"/>
    <w:rsid w:val="003070D1"/>
    <w:rsid w:val="003070F5"/>
    <w:rsid w:val="00307106"/>
    <w:rsid w:val="00307285"/>
    <w:rsid w:val="003072BE"/>
    <w:rsid w:val="0030736D"/>
    <w:rsid w:val="00307375"/>
    <w:rsid w:val="00307482"/>
    <w:rsid w:val="003074AA"/>
    <w:rsid w:val="00307520"/>
    <w:rsid w:val="003075CE"/>
    <w:rsid w:val="003077DD"/>
    <w:rsid w:val="00307907"/>
    <w:rsid w:val="00307940"/>
    <w:rsid w:val="00307999"/>
    <w:rsid w:val="00307A0B"/>
    <w:rsid w:val="00307C61"/>
    <w:rsid w:val="00307CA4"/>
    <w:rsid w:val="00307CEA"/>
    <w:rsid w:val="00307CF5"/>
    <w:rsid w:val="00307E43"/>
    <w:rsid w:val="00307F3D"/>
    <w:rsid w:val="00307F55"/>
    <w:rsid w:val="00307F9C"/>
    <w:rsid w:val="00307FEB"/>
    <w:rsid w:val="0031008C"/>
    <w:rsid w:val="0031014B"/>
    <w:rsid w:val="0031014D"/>
    <w:rsid w:val="003101FB"/>
    <w:rsid w:val="003103F5"/>
    <w:rsid w:val="00310488"/>
    <w:rsid w:val="00310559"/>
    <w:rsid w:val="0031057F"/>
    <w:rsid w:val="003106B2"/>
    <w:rsid w:val="00310795"/>
    <w:rsid w:val="0031087E"/>
    <w:rsid w:val="003108CA"/>
    <w:rsid w:val="0031091B"/>
    <w:rsid w:val="00310A07"/>
    <w:rsid w:val="00310B60"/>
    <w:rsid w:val="00310CB1"/>
    <w:rsid w:val="00310E01"/>
    <w:rsid w:val="0031107C"/>
    <w:rsid w:val="00311134"/>
    <w:rsid w:val="0031113F"/>
    <w:rsid w:val="00311169"/>
    <w:rsid w:val="00311181"/>
    <w:rsid w:val="003111A2"/>
    <w:rsid w:val="00311221"/>
    <w:rsid w:val="0031131F"/>
    <w:rsid w:val="003114C9"/>
    <w:rsid w:val="003114EA"/>
    <w:rsid w:val="00311586"/>
    <w:rsid w:val="00311699"/>
    <w:rsid w:val="00311743"/>
    <w:rsid w:val="00311896"/>
    <w:rsid w:val="00311921"/>
    <w:rsid w:val="003119E7"/>
    <w:rsid w:val="00311A55"/>
    <w:rsid w:val="00311A6B"/>
    <w:rsid w:val="00311AFA"/>
    <w:rsid w:val="00311B14"/>
    <w:rsid w:val="00311F05"/>
    <w:rsid w:val="00311FA1"/>
    <w:rsid w:val="003120CA"/>
    <w:rsid w:val="003123B6"/>
    <w:rsid w:val="00312431"/>
    <w:rsid w:val="00312551"/>
    <w:rsid w:val="00312761"/>
    <w:rsid w:val="003127C5"/>
    <w:rsid w:val="00312821"/>
    <w:rsid w:val="00312880"/>
    <w:rsid w:val="00312B17"/>
    <w:rsid w:val="00312C35"/>
    <w:rsid w:val="00312CCA"/>
    <w:rsid w:val="00312CCD"/>
    <w:rsid w:val="00312D1C"/>
    <w:rsid w:val="00312D23"/>
    <w:rsid w:val="00312E1F"/>
    <w:rsid w:val="00312E4F"/>
    <w:rsid w:val="00312EC4"/>
    <w:rsid w:val="00312F34"/>
    <w:rsid w:val="00312FB9"/>
    <w:rsid w:val="00313006"/>
    <w:rsid w:val="00313026"/>
    <w:rsid w:val="00313116"/>
    <w:rsid w:val="0031316C"/>
    <w:rsid w:val="0031331C"/>
    <w:rsid w:val="003133D0"/>
    <w:rsid w:val="003133DB"/>
    <w:rsid w:val="003133E2"/>
    <w:rsid w:val="003134D4"/>
    <w:rsid w:val="003134DF"/>
    <w:rsid w:val="0031353A"/>
    <w:rsid w:val="00313765"/>
    <w:rsid w:val="00313832"/>
    <w:rsid w:val="0031388B"/>
    <w:rsid w:val="003138CF"/>
    <w:rsid w:val="00313A3F"/>
    <w:rsid w:val="00313BBE"/>
    <w:rsid w:val="00313C77"/>
    <w:rsid w:val="00313D08"/>
    <w:rsid w:val="00313F88"/>
    <w:rsid w:val="0031420A"/>
    <w:rsid w:val="00314269"/>
    <w:rsid w:val="003143F0"/>
    <w:rsid w:val="0031444C"/>
    <w:rsid w:val="00314576"/>
    <w:rsid w:val="00314625"/>
    <w:rsid w:val="003146BE"/>
    <w:rsid w:val="00314700"/>
    <w:rsid w:val="0031477E"/>
    <w:rsid w:val="003147CB"/>
    <w:rsid w:val="003147EA"/>
    <w:rsid w:val="0031493E"/>
    <w:rsid w:val="003149EE"/>
    <w:rsid w:val="00314A45"/>
    <w:rsid w:val="00314B7F"/>
    <w:rsid w:val="00314D04"/>
    <w:rsid w:val="00314E53"/>
    <w:rsid w:val="00314E94"/>
    <w:rsid w:val="00314F75"/>
    <w:rsid w:val="00315173"/>
    <w:rsid w:val="003151ED"/>
    <w:rsid w:val="0031536E"/>
    <w:rsid w:val="003154A1"/>
    <w:rsid w:val="00315636"/>
    <w:rsid w:val="0031588D"/>
    <w:rsid w:val="00315B2A"/>
    <w:rsid w:val="00315B33"/>
    <w:rsid w:val="00315C25"/>
    <w:rsid w:val="00315CBF"/>
    <w:rsid w:val="00315CC3"/>
    <w:rsid w:val="00315D6A"/>
    <w:rsid w:val="00315E76"/>
    <w:rsid w:val="00315EEF"/>
    <w:rsid w:val="00316066"/>
    <w:rsid w:val="003163A1"/>
    <w:rsid w:val="00316431"/>
    <w:rsid w:val="003164F7"/>
    <w:rsid w:val="003165B7"/>
    <w:rsid w:val="003167E7"/>
    <w:rsid w:val="00316887"/>
    <w:rsid w:val="003168CE"/>
    <w:rsid w:val="003169A0"/>
    <w:rsid w:val="00316A26"/>
    <w:rsid w:val="00316B69"/>
    <w:rsid w:val="00316BE5"/>
    <w:rsid w:val="00316BED"/>
    <w:rsid w:val="00316C8D"/>
    <w:rsid w:val="00317045"/>
    <w:rsid w:val="003170FE"/>
    <w:rsid w:val="00317102"/>
    <w:rsid w:val="003172C7"/>
    <w:rsid w:val="00317643"/>
    <w:rsid w:val="003176D4"/>
    <w:rsid w:val="003176F5"/>
    <w:rsid w:val="0031775C"/>
    <w:rsid w:val="0031778A"/>
    <w:rsid w:val="00317C87"/>
    <w:rsid w:val="00317C99"/>
    <w:rsid w:val="00317CE7"/>
    <w:rsid w:val="00317D02"/>
    <w:rsid w:val="00317E5C"/>
    <w:rsid w:val="00317E9A"/>
    <w:rsid w:val="00317EFE"/>
    <w:rsid w:val="00317FDE"/>
    <w:rsid w:val="003200B5"/>
    <w:rsid w:val="00320114"/>
    <w:rsid w:val="00320162"/>
    <w:rsid w:val="0032017C"/>
    <w:rsid w:val="0032027F"/>
    <w:rsid w:val="003202F1"/>
    <w:rsid w:val="00320401"/>
    <w:rsid w:val="003204E3"/>
    <w:rsid w:val="003205B8"/>
    <w:rsid w:val="0032060B"/>
    <w:rsid w:val="00320742"/>
    <w:rsid w:val="003207BC"/>
    <w:rsid w:val="00320923"/>
    <w:rsid w:val="00320A8E"/>
    <w:rsid w:val="00320C15"/>
    <w:rsid w:val="00320CAD"/>
    <w:rsid w:val="00320D2D"/>
    <w:rsid w:val="00320E3F"/>
    <w:rsid w:val="00320E95"/>
    <w:rsid w:val="00320FD1"/>
    <w:rsid w:val="003210A8"/>
    <w:rsid w:val="0032116B"/>
    <w:rsid w:val="00321181"/>
    <w:rsid w:val="00321297"/>
    <w:rsid w:val="00321352"/>
    <w:rsid w:val="00321383"/>
    <w:rsid w:val="003213B1"/>
    <w:rsid w:val="003214FC"/>
    <w:rsid w:val="003215A0"/>
    <w:rsid w:val="00321678"/>
    <w:rsid w:val="003216CD"/>
    <w:rsid w:val="00321846"/>
    <w:rsid w:val="00321D70"/>
    <w:rsid w:val="00321D9D"/>
    <w:rsid w:val="0032205F"/>
    <w:rsid w:val="0032206C"/>
    <w:rsid w:val="00322073"/>
    <w:rsid w:val="0032214F"/>
    <w:rsid w:val="00322438"/>
    <w:rsid w:val="003224E7"/>
    <w:rsid w:val="003224E8"/>
    <w:rsid w:val="003226CB"/>
    <w:rsid w:val="003228B6"/>
    <w:rsid w:val="00322A3A"/>
    <w:rsid w:val="00322AE1"/>
    <w:rsid w:val="00322B53"/>
    <w:rsid w:val="00322B90"/>
    <w:rsid w:val="00322C0A"/>
    <w:rsid w:val="00322CB0"/>
    <w:rsid w:val="00322E3C"/>
    <w:rsid w:val="00322E89"/>
    <w:rsid w:val="00322F72"/>
    <w:rsid w:val="00323314"/>
    <w:rsid w:val="0032331E"/>
    <w:rsid w:val="00323495"/>
    <w:rsid w:val="003235D6"/>
    <w:rsid w:val="0032362D"/>
    <w:rsid w:val="00323665"/>
    <w:rsid w:val="0032369E"/>
    <w:rsid w:val="0032386B"/>
    <w:rsid w:val="00323902"/>
    <w:rsid w:val="00323977"/>
    <w:rsid w:val="0032398A"/>
    <w:rsid w:val="00323A0B"/>
    <w:rsid w:val="00323A7F"/>
    <w:rsid w:val="00323B69"/>
    <w:rsid w:val="00323C05"/>
    <w:rsid w:val="00323D50"/>
    <w:rsid w:val="00323E10"/>
    <w:rsid w:val="00323F31"/>
    <w:rsid w:val="00324053"/>
    <w:rsid w:val="0032413B"/>
    <w:rsid w:val="0032414A"/>
    <w:rsid w:val="003243C1"/>
    <w:rsid w:val="00324406"/>
    <w:rsid w:val="003244A1"/>
    <w:rsid w:val="003244DB"/>
    <w:rsid w:val="0032454B"/>
    <w:rsid w:val="00324569"/>
    <w:rsid w:val="0032476A"/>
    <w:rsid w:val="00324829"/>
    <w:rsid w:val="00324B10"/>
    <w:rsid w:val="00325011"/>
    <w:rsid w:val="00325019"/>
    <w:rsid w:val="0032510C"/>
    <w:rsid w:val="00325114"/>
    <w:rsid w:val="0032537F"/>
    <w:rsid w:val="003254F6"/>
    <w:rsid w:val="00325706"/>
    <w:rsid w:val="003257BF"/>
    <w:rsid w:val="003257E2"/>
    <w:rsid w:val="00325805"/>
    <w:rsid w:val="003258AB"/>
    <w:rsid w:val="003258F1"/>
    <w:rsid w:val="00325978"/>
    <w:rsid w:val="00325B84"/>
    <w:rsid w:val="00325CEC"/>
    <w:rsid w:val="00325EA5"/>
    <w:rsid w:val="00325EE1"/>
    <w:rsid w:val="00325EF8"/>
    <w:rsid w:val="00325F95"/>
    <w:rsid w:val="00325FA4"/>
    <w:rsid w:val="00326041"/>
    <w:rsid w:val="0032607B"/>
    <w:rsid w:val="003261FF"/>
    <w:rsid w:val="00326206"/>
    <w:rsid w:val="0032629B"/>
    <w:rsid w:val="003262A2"/>
    <w:rsid w:val="003262B4"/>
    <w:rsid w:val="00326354"/>
    <w:rsid w:val="003263E7"/>
    <w:rsid w:val="003265EC"/>
    <w:rsid w:val="003267E4"/>
    <w:rsid w:val="00326A8E"/>
    <w:rsid w:val="00326ADD"/>
    <w:rsid w:val="00326B14"/>
    <w:rsid w:val="00326C04"/>
    <w:rsid w:val="00326E09"/>
    <w:rsid w:val="00326FF8"/>
    <w:rsid w:val="00327009"/>
    <w:rsid w:val="0032701E"/>
    <w:rsid w:val="00327063"/>
    <w:rsid w:val="0032706A"/>
    <w:rsid w:val="0032707F"/>
    <w:rsid w:val="003271FF"/>
    <w:rsid w:val="003272A2"/>
    <w:rsid w:val="003272EF"/>
    <w:rsid w:val="0032735B"/>
    <w:rsid w:val="00327374"/>
    <w:rsid w:val="003273EC"/>
    <w:rsid w:val="00327A4A"/>
    <w:rsid w:val="00327A56"/>
    <w:rsid w:val="00327AA5"/>
    <w:rsid w:val="00327B61"/>
    <w:rsid w:val="00327B66"/>
    <w:rsid w:val="00327C31"/>
    <w:rsid w:val="00327DEE"/>
    <w:rsid w:val="00327FBE"/>
    <w:rsid w:val="003301AD"/>
    <w:rsid w:val="003301D3"/>
    <w:rsid w:val="0033021B"/>
    <w:rsid w:val="003302A6"/>
    <w:rsid w:val="003302C2"/>
    <w:rsid w:val="003303C2"/>
    <w:rsid w:val="00330592"/>
    <w:rsid w:val="003305E3"/>
    <w:rsid w:val="0033061B"/>
    <w:rsid w:val="0033066E"/>
    <w:rsid w:val="003306DD"/>
    <w:rsid w:val="00330757"/>
    <w:rsid w:val="00330842"/>
    <w:rsid w:val="00330983"/>
    <w:rsid w:val="00330A2E"/>
    <w:rsid w:val="00330B7D"/>
    <w:rsid w:val="00330BA3"/>
    <w:rsid w:val="00330CB1"/>
    <w:rsid w:val="00330FBB"/>
    <w:rsid w:val="0033104E"/>
    <w:rsid w:val="0033129F"/>
    <w:rsid w:val="003313E8"/>
    <w:rsid w:val="003313F6"/>
    <w:rsid w:val="00331416"/>
    <w:rsid w:val="00331499"/>
    <w:rsid w:val="0033152A"/>
    <w:rsid w:val="003315ED"/>
    <w:rsid w:val="00331726"/>
    <w:rsid w:val="0033182C"/>
    <w:rsid w:val="0033188C"/>
    <w:rsid w:val="0033189D"/>
    <w:rsid w:val="0033199E"/>
    <w:rsid w:val="003319BC"/>
    <w:rsid w:val="003319CC"/>
    <w:rsid w:val="00331B1B"/>
    <w:rsid w:val="00331BEA"/>
    <w:rsid w:val="00331D25"/>
    <w:rsid w:val="00331DDB"/>
    <w:rsid w:val="00331E1B"/>
    <w:rsid w:val="00331EC2"/>
    <w:rsid w:val="00331FA2"/>
    <w:rsid w:val="00331FC8"/>
    <w:rsid w:val="0033205E"/>
    <w:rsid w:val="00332179"/>
    <w:rsid w:val="00332227"/>
    <w:rsid w:val="0033223B"/>
    <w:rsid w:val="003323DC"/>
    <w:rsid w:val="00332448"/>
    <w:rsid w:val="00332559"/>
    <w:rsid w:val="0033258C"/>
    <w:rsid w:val="003325A7"/>
    <w:rsid w:val="003326B0"/>
    <w:rsid w:val="00332711"/>
    <w:rsid w:val="003327EB"/>
    <w:rsid w:val="0033280D"/>
    <w:rsid w:val="0033281C"/>
    <w:rsid w:val="0033296B"/>
    <w:rsid w:val="00332A1F"/>
    <w:rsid w:val="00332A88"/>
    <w:rsid w:val="00332AA8"/>
    <w:rsid w:val="00332ABB"/>
    <w:rsid w:val="00332C2C"/>
    <w:rsid w:val="00332C6B"/>
    <w:rsid w:val="00332DC2"/>
    <w:rsid w:val="00332EA1"/>
    <w:rsid w:val="00332F42"/>
    <w:rsid w:val="00332F46"/>
    <w:rsid w:val="00332F73"/>
    <w:rsid w:val="00333139"/>
    <w:rsid w:val="003332C5"/>
    <w:rsid w:val="003333C3"/>
    <w:rsid w:val="003334E5"/>
    <w:rsid w:val="00333543"/>
    <w:rsid w:val="00333682"/>
    <w:rsid w:val="00333686"/>
    <w:rsid w:val="00333697"/>
    <w:rsid w:val="003336A6"/>
    <w:rsid w:val="003336B7"/>
    <w:rsid w:val="0033370F"/>
    <w:rsid w:val="00333725"/>
    <w:rsid w:val="0033375C"/>
    <w:rsid w:val="00333908"/>
    <w:rsid w:val="0033390B"/>
    <w:rsid w:val="0033392B"/>
    <w:rsid w:val="003339AF"/>
    <w:rsid w:val="00333A85"/>
    <w:rsid w:val="00333B7D"/>
    <w:rsid w:val="00333C4A"/>
    <w:rsid w:val="00333D0F"/>
    <w:rsid w:val="00333DBF"/>
    <w:rsid w:val="00333DFC"/>
    <w:rsid w:val="00333EA8"/>
    <w:rsid w:val="00333ECF"/>
    <w:rsid w:val="0033407A"/>
    <w:rsid w:val="003340BE"/>
    <w:rsid w:val="003340FA"/>
    <w:rsid w:val="003342BD"/>
    <w:rsid w:val="0033433C"/>
    <w:rsid w:val="003343FA"/>
    <w:rsid w:val="00334589"/>
    <w:rsid w:val="003345D6"/>
    <w:rsid w:val="003347D2"/>
    <w:rsid w:val="003348C0"/>
    <w:rsid w:val="003348E5"/>
    <w:rsid w:val="0033496F"/>
    <w:rsid w:val="00334A4B"/>
    <w:rsid w:val="00334AAC"/>
    <w:rsid w:val="00334BEC"/>
    <w:rsid w:val="00334C44"/>
    <w:rsid w:val="00334C89"/>
    <w:rsid w:val="00334CC6"/>
    <w:rsid w:val="003350E1"/>
    <w:rsid w:val="003350F4"/>
    <w:rsid w:val="00335124"/>
    <w:rsid w:val="00335184"/>
    <w:rsid w:val="003351F5"/>
    <w:rsid w:val="0033537A"/>
    <w:rsid w:val="003353BE"/>
    <w:rsid w:val="003353FC"/>
    <w:rsid w:val="00335411"/>
    <w:rsid w:val="0033544A"/>
    <w:rsid w:val="003355B8"/>
    <w:rsid w:val="00335716"/>
    <w:rsid w:val="0033574B"/>
    <w:rsid w:val="0033574C"/>
    <w:rsid w:val="0033577A"/>
    <w:rsid w:val="0033578D"/>
    <w:rsid w:val="003359B1"/>
    <w:rsid w:val="003359B8"/>
    <w:rsid w:val="00335A62"/>
    <w:rsid w:val="00335AB9"/>
    <w:rsid w:val="00335AD9"/>
    <w:rsid w:val="00335B3A"/>
    <w:rsid w:val="00335BC8"/>
    <w:rsid w:val="00335C57"/>
    <w:rsid w:val="00335D81"/>
    <w:rsid w:val="00335D86"/>
    <w:rsid w:val="00335F3C"/>
    <w:rsid w:val="00335FE8"/>
    <w:rsid w:val="003360ED"/>
    <w:rsid w:val="003360FA"/>
    <w:rsid w:val="003365C1"/>
    <w:rsid w:val="00336721"/>
    <w:rsid w:val="0033697C"/>
    <w:rsid w:val="0033699D"/>
    <w:rsid w:val="003369E8"/>
    <w:rsid w:val="00336BCF"/>
    <w:rsid w:val="00336C65"/>
    <w:rsid w:val="00336C6E"/>
    <w:rsid w:val="00336CCB"/>
    <w:rsid w:val="00336DCF"/>
    <w:rsid w:val="00336E1C"/>
    <w:rsid w:val="00336E9F"/>
    <w:rsid w:val="00336ED5"/>
    <w:rsid w:val="00336F87"/>
    <w:rsid w:val="00336FD9"/>
    <w:rsid w:val="00337101"/>
    <w:rsid w:val="00337150"/>
    <w:rsid w:val="00337151"/>
    <w:rsid w:val="00337196"/>
    <w:rsid w:val="0033719E"/>
    <w:rsid w:val="00337238"/>
    <w:rsid w:val="0033741A"/>
    <w:rsid w:val="00337480"/>
    <w:rsid w:val="0033754A"/>
    <w:rsid w:val="00337831"/>
    <w:rsid w:val="00337835"/>
    <w:rsid w:val="003378F7"/>
    <w:rsid w:val="00337A27"/>
    <w:rsid w:val="00337C92"/>
    <w:rsid w:val="00337D03"/>
    <w:rsid w:val="00337D85"/>
    <w:rsid w:val="00337F8C"/>
    <w:rsid w:val="00337F9D"/>
    <w:rsid w:val="00337FFE"/>
    <w:rsid w:val="0034069B"/>
    <w:rsid w:val="0034069F"/>
    <w:rsid w:val="00340834"/>
    <w:rsid w:val="003408C8"/>
    <w:rsid w:val="003408FF"/>
    <w:rsid w:val="003409FB"/>
    <w:rsid w:val="00340A74"/>
    <w:rsid w:val="00340B0E"/>
    <w:rsid w:val="00340C55"/>
    <w:rsid w:val="00340ECE"/>
    <w:rsid w:val="00341024"/>
    <w:rsid w:val="003410A4"/>
    <w:rsid w:val="003411D2"/>
    <w:rsid w:val="0034121C"/>
    <w:rsid w:val="00341311"/>
    <w:rsid w:val="003413AF"/>
    <w:rsid w:val="00341536"/>
    <w:rsid w:val="0034167A"/>
    <w:rsid w:val="00341689"/>
    <w:rsid w:val="0034197C"/>
    <w:rsid w:val="00341A00"/>
    <w:rsid w:val="00341A0F"/>
    <w:rsid w:val="00341B14"/>
    <w:rsid w:val="00341C0C"/>
    <w:rsid w:val="00341D42"/>
    <w:rsid w:val="00341DD3"/>
    <w:rsid w:val="00341DE9"/>
    <w:rsid w:val="00341EA2"/>
    <w:rsid w:val="00341F49"/>
    <w:rsid w:val="0034213D"/>
    <w:rsid w:val="00342331"/>
    <w:rsid w:val="003423F9"/>
    <w:rsid w:val="00342416"/>
    <w:rsid w:val="00342562"/>
    <w:rsid w:val="00342578"/>
    <w:rsid w:val="003425CC"/>
    <w:rsid w:val="0034265E"/>
    <w:rsid w:val="00342696"/>
    <w:rsid w:val="003426C1"/>
    <w:rsid w:val="0034284E"/>
    <w:rsid w:val="0034285A"/>
    <w:rsid w:val="00342B45"/>
    <w:rsid w:val="00342B84"/>
    <w:rsid w:val="00342E4F"/>
    <w:rsid w:val="00342E5E"/>
    <w:rsid w:val="00342EB8"/>
    <w:rsid w:val="00342F85"/>
    <w:rsid w:val="00342FBA"/>
    <w:rsid w:val="00343005"/>
    <w:rsid w:val="00343027"/>
    <w:rsid w:val="003430EF"/>
    <w:rsid w:val="0034332A"/>
    <w:rsid w:val="003435D5"/>
    <w:rsid w:val="0034362F"/>
    <w:rsid w:val="0034364B"/>
    <w:rsid w:val="003436C5"/>
    <w:rsid w:val="00343813"/>
    <w:rsid w:val="00343952"/>
    <w:rsid w:val="003439A4"/>
    <w:rsid w:val="00343A8E"/>
    <w:rsid w:val="00343B46"/>
    <w:rsid w:val="00343C40"/>
    <w:rsid w:val="00343CEC"/>
    <w:rsid w:val="00343D5E"/>
    <w:rsid w:val="00343EA3"/>
    <w:rsid w:val="00343EEB"/>
    <w:rsid w:val="00343F32"/>
    <w:rsid w:val="00343FCE"/>
    <w:rsid w:val="003440AF"/>
    <w:rsid w:val="00344186"/>
    <w:rsid w:val="003441E4"/>
    <w:rsid w:val="00344215"/>
    <w:rsid w:val="00344271"/>
    <w:rsid w:val="003442EF"/>
    <w:rsid w:val="00344349"/>
    <w:rsid w:val="0034435C"/>
    <w:rsid w:val="0034436A"/>
    <w:rsid w:val="003443B2"/>
    <w:rsid w:val="0034443C"/>
    <w:rsid w:val="0034448B"/>
    <w:rsid w:val="00344530"/>
    <w:rsid w:val="00344549"/>
    <w:rsid w:val="003445A1"/>
    <w:rsid w:val="003446A9"/>
    <w:rsid w:val="0034487A"/>
    <w:rsid w:val="0034489F"/>
    <w:rsid w:val="003448C2"/>
    <w:rsid w:val="00344A74"/>
    <w:rsid w:val="00344B54"/>
    <w:rsid w:val="00344BBA"/>
    <w:rsid w:val="00344CBF"/>
    <w:rsid w:val="00344EB8"/>
    <w:rsid w:val="00344EE5"/>
    <w:rsid w:val="00345138"/>
    <w:rsid w:val="00345169"/>
    <w:rsid w:val="003451AB"/>
    <w:rsid w:val="00345304"/>
    <w:rsid w:val="003453A7"/>
    <w:rsid w:val="003453BB"/>
    <w:rsid w:val="003454ED"/>
    <w:rsid w:val="0034558D"/>
    <w:rsid w:val="003456C6"/>
    <w:rsid w:val="00345894"/>
    <w:rsid w:val="003458F5"/>
    <w:rsid w:val="00345A09"/>
    <w:rsid w:val="00345A3D"/>
    <w:rsid w:val="00345A71"/>
    <w:rsid w:val="00345A93"/>
    <w:rsid w:val="00345C10"/>
    <w:rsid w:val="00345CD2"/>
    <w:rsid w:val="00345CD9"/>
    <w:rsid w:val="00345E76"/>
    <w:rsid w:val="0034600F"/>
    <w:rsid w:val="003460B0"/>
    <w:rsid w:val="00346153"/>
    <w:rsid w:val="00346220"/>
    <w:rsid w:val="00346490"/>
    <w:rsid w:val="003465EE"/>
    <w:rsid w:val="003466A3"/>
    <w:rsid w:val="0034673E"/>
    <w:rsid w:val="0034697F"/>
    <w:rsid w:val="003469E7"/>
    <w:rsid w:val="00346A50"/>
    <w:rsid w:val="00346AFD"/>
    <w:rsid w:val="00346D20"/>
    <w:rsid w:val="00346EFA"/>
    <w:rsid w:val="00346EFE"/>
    <w:rsid w:val="00346F06"/>
    <w:rsid w:val="00346FB1"/>
    <w:rsid w:val="0034707F"/>
    <w:rsid w:val="00347281"/>
    <w:rsid w:val="003472FA"/>
    <w:rsid w:val="00347363"/>
    <w:rsid w:val="003475AD"/>
    <w:rsid w:val="003475CD"/>
    <w:rsid w:val="00347609"/>
    <w:rsid w:val="0034769C"/>
    <w:rsid w:val="00347737"/>
    <w:rsid w:val="003477EA"/>
    <w:rsid w:val="00347BF2"/>
    <w:rsid w:val="00347C27"/>
    <w:rsid w:val="00347C95"/>
    <w:rsid w:val="00347DA1"/>
    <w:rsid w:val="00347E7E"/>
    <w:rsid w:val="00347E99"/>
    <w:rsid w:val="00350042"/>
    <w:rsid w:val="003500E8"/>
    <w:rsid w:val="00350127"/>
    <w:rsid w:val="003501B2"/>
    <w:rsid w:val="003501E3"/>
    <w:rsid w:val="003503C2"/>
    <w:rsid w:val="0035068C"/>
    <w:rsid w:val="0035093C"/>
    <w:rsid w:val="00350B90"/>
    <w:rsid w:val="00350BCF"/>
    <w:rsid w:val="00350BE5"/>
    <w:rsid w:val="00350D66"/>
    <w:rsid w:val="00350E12"/>
    <w:rsid w:val="00350E92"/>
    <w:rsid w:val="00350F29"/>
    <w:rsid w:val="00351206"/>
    <w:rsid w:val="0035121E"/>
    <w:rsid w:val="00351280"/>
    <w:rsid w:val="00351294"/>
    <w:rsid w:val="0035130A"/>
    <w:rsid w:val="003513C9"/>
    <w:rsid w:val="00351403"/>
    <w:rsid w:val="0035151D"/>
    <w:rsid w:val="003516D0"/>
    <w:rsid w:val="003517DF"/>
    <w:rsid w:val="003518C6"/>
    <w:rsid w:val="00351C90"/>
    <w:rsid w:val="00351E3C"/>
    <w:rsid w:val="00351EBA"/>
    <w:rsid w:val="00351EE3"/>
    <w:rsid w:val="00351F34"/>
    <w:rsid w:val="003520B1"/>
    <w:rsid w:val="00352139"/>
    <w:rsid w:val="00352162"/>
    <w:rsid w:val="00352431"/>
    <w:rsid w:val="00352763"/>
    <w:rsid w:val="0035294E"/>
    <w:rsid w:val="00352A0B"/>
    <w:rsid w:val="00352D44"/>
    <w:rsid w:val="00352EAC"/>
    <w:rsid w:val="00352F51"/>
    <w:rsid w:val="00352FDE"/>
    <w:rsid w:val="003530A3"/>
    <w:rsid w:val="003531E6"/>
    <w:rsid w:val="00353326"/>
    <w:rsid w:val="00353449"/>
    <w:rsid w:val="003535BC"/>
    <w:rsid w:val="00353610"/>
    <w:rsid w:val="003537F1"/>
    <w:rsid w:val="003537FF"/>
    <w:rsid w:val="0035380B"/>
    <w:rsid w:val="00353893"/>
    <w:rsid w:val="00353941"/>
    <w:rsid w:val="003539DC"/>
    <w:rsid w:val="00353B2A"/>
    <w:rsid w:val="00353B5E"/>
    <w:rsid w:val="00353C49"/>
    <w:rsid w:val="00353C7A"/>
    <w:rsid w:val="00353CCD"/>
    <w:rsid w:val="00353D90"/>
    <w:rsid w:val="00353F57"/>
    <w:rsid w:val="0035401F"/>
    <w:rsid w:val="00354483"/>
    <w:rsid w:val="00354509"/>
    <w:rsid w:val="0035454C"/>
    <w:rsid w:val="00354563"/>
    <w:rsid w:val="0035473C"/>
    <w:rsid w:val="00354838"/>
    <w:rsid w:val="00354848"/>
    <w:rsid w:val="0035492D"/>
    <w:rsid w:val="0035495F"/>
    <w:rsid w:val="003549D0"/>
    <w:rsid w:val="00354AD0"/>
    <w:rsid w:val="00354B2A"/>
    <w:rsid w:val="00354BB4"/>
    <w:rsid w:val="00354C47"/>
    <w:rsid w:val="00354C96"/>
    <w:rsid w:val="00354FE0"/>
    <w:rsid w:val="00355036"/>
    <w:rsid w:val="00355279"/>
    <w:rsid w:val="003553FF"/>
    <w:rsid w:val="00355480"/>
    <w:rsid w:val="003554F8"/>
    <w:rsid w:val="003557EB"/>
    <w:rsid w:val="003558CB"/>
    <w:rsid w:val="00355920"/>
    <w:rsid w:val="003559C9"/>
    <w:rsid w:val="00355A48"/>
    <w:rsid w:val="00355A95"/>
    <w:rsid w:val="00355BBF"/>
    <w:rsid w:val="00355BD9"/>
    <w:rsid w:val="00355C8D"/>
    <w:rsid w:val="00355D4D"/>
    <w:rsid w:val="00355E50"/>
    <w:rsid w:val="00355FDC"/>
    <w:rsid w:val="00356095"/>
    <w:rsid w:val="0035621F"/>
    <w:rsid w:val="003563FB"/>
    <w:rsid w:val="0035651E"/>
    <w:rsid w:val="0035661A"/>
    <w:rsid w:val="00356638"/>
    <w:rsid w:val="003566FE"/>
    <w:rsid w:val="00356784"/>
    <w:rsid w:val="003568D9"/>
    <w:rsid w:val="00356AF2"/>
    <w:rsid w:val="00356BE7"/>
    <w:rsid w:val="00356D0A"/>
    <w:rsid w:val="00356D92"/>
    <w:rsid w:val="00356EC7"/>
    <w:rsid w:val="00356EFB"/>
    <w:rsid w:val="00357002"/>
    <w:rsid w:val="00357054"/>
    <w:rsid w:val="0035706B"/>
    <w:rsid w:val="003570DD"/>
    <w:rsid w:val="00357131"/>
    <w:rsid w:val="003571CF"/>
    <w:rsid w:val="0035744F"/>
    <w:rsid w:val="0035749E"/>
    <w:rsid w:val="00357550"/>
    <w:rsid w:val="00357580"/>
    <w:rsid w:val="003575D1"/>
    <w:rsid w:val="00357797"/>
    <w:rsid w:val="0035780F"/>
    <w:rsid w:val="00357824"/>
    <w:rsid w:val="00357A0F"/>
    <w:rsid w:val="00357B65"/>
    <w:rsid w:val="00357BA9"/>
    <w:rsid w:val="00357C49"/>
    <w:rsid w:val="00357CC3"/>
    <w:rsid w:val="00357CCB"/>
    <w:rsid w:val="00357FFE"/>
    <w:rsid w:val="00360022"/>
    <w:rsid w:val="00360232"/>
    <w:rsid w:val="00360355"/>
    <w:rsid w:val="003603DD"/>
    <w:rsid w:val="00360482"/>
    <w:rsid w:val="003604FF"/>
    <w:rsid w:val="003606B6"/>
    <w:rsid w:val="00360921"/>
    <w:rsid w:val="00360AE1"/>
    <w:rsid w:val="00360C68"/>
    <w:rsid w:val="00360C8B"/>
    <w:rsid w:val="00360C96"/>
    <w:rsid w:val="00360D2E"/>
    <w:rsid w:val="0036103D"/>
    <w:rsid w:val="003611C6"/>
    <w:rsid w:val="003612F4"/>
    <w:rsid w:val="0036137C"/>
    <w:rsid w:val="003617BE"/>
    <w:rsid w:val="00361800"/>
    <w:rsid w:val="003618EE"/>
    <w:rsid w:val="00361938"/>
    <w:rsid w:val="003619AB"/>
    <w:rsid w:val="00361A69"/>
    <w:rsid w:val="00361AE8"/>
    <w:rsid w:val="00361BC5"/>
    <w:rsid w:val="00361CA6"/>
    <w:rsid w:val="00361D5E"/>
    <w:rsid w:val="00361DF9"/>
    <w:rsid w:val="003621BD"/>
    <w:rsid w:val="00362241"/>
    <w:rsid w:val="00362256"/>
    <w:rsid w:val="00362331"/>
    <w:rsid w:val="00362345"/>
    <w:rsid w:val="00362346"/>
    <w:rsid w:val="003623B7"/>
    <w:rsid w:val="003624DD"/>
    <w:rsid w:val="003624EF"/>
    <w:rsid w:val="0036250D"/>
    <w:rsid w:val="003625CD"/>
    <w:rsid w:val="003626F1"/>
    <w:rsid w:val="00362718"/>
    <w:rsid w:val="003627F6"/>
    <w:rsid w:val="00362882"/>
    <w:rsid w:val="00362A91"/>
    <w:rsid w:val="00362B33"/>
    <w:rsid w:val="00362B6F"/>
    <w:rsid w:val="00362B83"/>
    <w:rsid w:val="00362B90"/>
    <w:rsid w:val="00362EFD"/>
    <w:rsid w:val="00362F66"/>
    <w:rsid w:val="00362FA8"/>
    <w:rsid w:val="0036311F"/>
    <w:rsid w:val="0036323F"/>
    <w:rsid w:val="003633F2"/>
    <w:rsid w:val="0036345F"/>
    <w:rsid w:val="0036346D"/>
    <w:rsid w:val="003634D8"/>
    <w:rsid w:val="003635A9"/>
    <w:rsid w:val="003635E3"/>
    <w:rsid w:val="00363720"/>
    <w:rsid w:val="0036373B"/>
    <w:rsid w:val="003639EE"/>
    <w:rsid w:val="00363ADF"/>
    <w:rsid w:val="00363B7B"/>
    <w:rsid w:val="00363C6C"/>
    <w:rsid w:val="00363D6E"/>
    <w:rsid w:val="00363D83"/>
    <w:rsid w:val="00363E3B"/>
    <w:rsid w:val="003640BC"/>
    <w:rsid w:val="00364100"/>
    <w:rsid w:val="0036421B"/>
    <w:rsid w:val="0036421F"/>
    <w:rsid w:val="003643E7"/>
    <w:rsid w:val="003645AF"/>
    <w:rsid w:val="0036475F"/>
    <w:rsid w:val="0036478B"/>
    <w:rsid w:val="003647F4"/>
    <w:rsid w:val="0036497E"/>
    <w:rsid w:val="003649C3"/>
    <w:rsid w:val="00364AEA"/>
    <w:rsid w:val="00364B7C"/>
    <w:rsid w:val="00364B90"/>
    <w:rsid w:val="00364F40"/>
    <w:rsid w:val="0036502A"/>
    <w:rsid w:val="0036508B"/>
    <w:rsid w:val="003650EA"/>
    <w:rsid w:val="003651E2"/>
    <w:rsid w:val="003652AC"/>
    <w:rsid w:val="003654BD"/>
    <w:rsid w:val="003654FC"/>
    <w:rsid w:val="003656AC"/>
    <w:rsid w:val="0036575E"/>
    <w:rsid w:val="0036597B"/>
    <w:rsid w:val="003659EB"/>
    <w:rsid w:val="00365B8A"/>
    <w:rsid w:val="00365C22"/>
    <w:rsid w:val="00365DBF"/>
    <w:rsid w:val="00365DE5"/>
    <w:rsid w:val="00365E94"/>
    <w:rsid w:val="00365EFA"/>
    <w:rsid w:val="0036607B"/>
    <w:rsid w:val="003662FB"/>
    <w:rsid w:val="00366306"/>
    <w:rsid w:val="003663FD"/>
    <w:rsid w:val="003666B6"/>
    <w:rsid w:val="00366871"/>
    <w:rsid w:val="00366891"/>
    <w:rsid w:val="0036693F"/>
    <w:rsid w:val="00366987"/>
    <w:rsid w:val="003669B0"/>
    <w:rsid w:val="00366A02"/>
    <w:rsid w:val="00366A36"/>
    <w:rsid w:val="00366BA8"/>
    <w:rsid w:val="00366C75"/>
    <w:rsid w:val="00366DA6"/>
    <w:rsid w:val="00366E89"/>
    <w:rsid w:val="00366F88"/>
    <w:rsid w:val="003670D3"/>
    <w:rsid w:val="003670EB"/>
    <w:rsid w:val="00367158"/>
    <w:rsid w:val="00367312"/>
    <w:rsid w:val="00367366"/>
    <w:rsid w:val="00367367"/>
    <w:rsid w:val="003674A3"/>
    <w:rsid w:val="00367588"/>
    <w:rsid w:val="00367754"/>
    <w:rsid w:val="00367A69"/>
    <w:rsid w:val="00367AA1"/>
    <w:rsid w:val="00367B94"/>
    <w:rsid w:val="00367DE6"/>
    <w:rsid w:val="00367E10"/>
    <w:rsid w:val="00367E87"/>
    <w:rsid w:val="00367F81"/>
    <w:rsid w:val="003706BE"/>
    <w:rsid w:val="00370832"/>
    <w:rsid w:val="003708A1"/>
    <w:rsid w:val="003708A3"/>
    <w:rsid w:val="00370A37"/>
    <w:rsid w:val="00370A85"/>
    <w:rsid w:val="00370B3E"/>
    <w:rsid w:val="00370D11"/>
    <w:rsid w:val="00370D53"/>
    <w:rsid w:val="00370DB9"/>
    <w:rsid w:val="00370F49"/>
    <w:rsid w:val="00370F5A"/>
    <w:rsid w:val="00370FDE"/>
    <w:rsid w:val="0037107A"/>
    <w:rsid w:val="00371086"/>
    <w:rsid w:val="0037115B"/>
    <w:rsid w:val="00371229"/>
    <w:rsid w:val="003712C6"/>
    <w:rsid w:val="00371359"/>
    <w:rsid w:val="00371453"/>
    <w:rsid w:val="0037146C"/>
    <w:rsid w:val="00371506"/>
    <w:rsid w:val="00371563"/>
    <w:rsid w:val="00371634"/>
    <w:rsid w:val="0037166F"/>
    <w:rsid w:val="003718B1"/>
    <w:rsid w:val="00371DC3"/>
    <w:rsid w:val="00371EB3"/>
    <w:rsid w:val="00371FC7"/>
    <w:rsid w:val="00372079"/>
    <w:rsid w:val="003721A4"/>
    <w:rsid w:val="003724EF"/>
    <w:rsid w:val="003725AD"/>
    <w:rsid w:val="003725DD"/>
    <w:rsid w:val="00372734"/>
    <w:rsid w:val="00372850"/>
    <w:rsid w:val="003728A1"/>
    <w:rsid w:val="0037295C"/>
    <w:rsid w:val="003729E6"/>
    <w:rsid w:val="00372A24"/>
    <w:rsid w:val="00372AD6"/>
    <w:rsid w:val="00372B3E"/>
    <w:rsid w:val="00372BB2"/>
    <w:rsid w:val="00372BE8"/>
    <w:rsid w:val="00372CF7"/>
    <w:rsid w:val="00372D37"/>
    <w:rsid w:val="00372D58"/>
    <w:rsid w:val="00372E61"/>
    <w:rsid w:val="00372F0E"/>
    <w:rsid w:val="00372F22"/>
    <w:rsid w:val="003730E4"/>
    <w:rsid w:val="00373106"/>
    <w:rsid w:val="00373325"/>
    <w:rsid w:val="00373521"/>
    <w:rsid w:val="0037361C"/>
    <w:rsid w:val="00373793"/>
    <w:rsid w:val="003737AF"/>
    <w:rsid w:val="0037383A"/>
    <w:rsid w:val="0037390C"/>
    <w:rsid w:val="0037398F"/>
    <w:rsid w:val="00373A6C"/>
    <w:rsid w:val="00373B2A"/>
    <w:rsid w:val="00373C74"/>
    <w:rsid w:val="00373D2F"/>
    <w:rsid w:val="00373D87"/>
    <w:rsid w:val="00373E53"/>
    <w:rsid w:val="00374003"/>
    <w:rsid w:val="0037402B"/>
    <w:rsid w:val="0037410E"/>
    <w:rsid w:val="0037411B"/>
    <w:rsid w:val="00374218"/>
    <w:rsid w:val="003742E1"/>
    <w:rsid w:val="0037431A"/>
    <w:rsid w:val="00374470"/>
    <w:rsid w:val="00374726"/>
    <w:rsid w:val="003747AC"/>
    <w:rsid w:val="00374829"/>
    <w:rsid w:val="00374989"/>
    <w:rsid w:val="00374A46"/>
    <w:rsid w:val="00374A86"/>
    <w:rsid w:val="00374C40"/>
    <w:rsid w:val="00374CD4"/>
    <w:rsid w:val="00374E76"/>
    <w:rsid w:val="00374EAB"/>
    <w:rsid w:val="00374ED5"/>
    <w:rsid w:val="00374FB4"/>
    <w:rsid w:val="00375064"/>
    <w:rsid w:val="003750DA"/>
    <w:rsid w:val="003750FE"/>
    <w:rsid w:val="00375117"/>
    <w:rsid w:val="0037513B"/>
    <w:rsid w:val="0037520A"/>
    <w:rsid w:val="003752D8"/>
    <w:rsid w:val="00375438"/>
    <w:rsid w:val="0037545E"/>
    <w:rsid w:val="003754B6"/>
    <w:rsid w:val="003755ED"/>
    <w:rsid w:val="0037567A"/>
    <w:rsid w:val="003757A2"/>
    <w:rsid w:val="00375833"/>
    <w:rsid w:val="00375894"/>
    <w:rsid w:val="003758B7"/>
    <w:rsid w:val="00375ADE"/>
    <w:rsid w:val="00375BE3"/>
    <w:rsid w:val="00375CB2"/>
    <w:rsid w:val="00375CC7"/>
    <w:rsid w:val="00375D7A"/>
    <w:rsid w:val="0037619D"/>
    <w:rsid w:val="003761B7"/>
    <w:rsid w:val="00376357"/>
    <w:rsid w:val="00376528"/>
    <w:rsid w:val="00376542"/>
    <w:rsid w:val="003767E8"/>
    <w:rsid w:val="00376825"/>
    <w:rsid w:val="00376838"/>
    <w:rsid w:val="00376879"/>
    <w:rsid w:val="00376983"/>
    <w:rsid w:val="00376984"/>
    <w:rsid w:val="00376B74"/>
    <w:rsid w:val="00376D21"/>
    <w:rsid w:val="0037704D"/>
    <w:rsid w:val="003770E7"/>
    <w:rsid w:val="0037729F"/>
    <w:rsid w:val="003772DA"/>
    <w:rsid w:val="003773EB"/>
    <w:rsid w:val="00377511"/>
    <w:rsid w:val="0037771B"/>
    <w:rsid w:val="0037774E"/>
    <w:rsid w:val="0037784F"/>
    <w:rsid w:val="0037794E"/>
    <w:rsid w:val="00377B56"/>
    <w:rsid w:val="00377B98"/>
    <w:rsid w:val="00377EAA"/>
    <w:rsid w:val="00377EB0"/>
    <w:rsid w:val="0038003A"/>
    <w:rsid w:val="00380150"/>
    <w:rsid w:val="0038056B"/>
    <w:rsid w:val="00380575"/>
    <w:rsid w:val="0038058E"/>
    <w:rsid w:val="00380591"/>
    <w:rsid w:val="003807B5"/>
    <w:rsid w:val="003807C2"/>
    <w:rsid w:val="00380810"/>
    <w:rsid w:val="0038093A"/>
    <w:rsid w:val="00380961"/>
    <w:rsid w:val="00380968"/>
    <w:rsid w:val="00380972"/>
    <w:rsid w:val="003809E4"/>
    <w:rsid w:val="003809EA"/>
    <w:rsid w:val="00380A46"/>
    <w:rsid w:val="00380A4F"/>
    <w:rsid w:val="00380AA4"/>
    <w:rsid w:val="00380B43"/>
    <w:rsid w:val="00380BD9"/>
    <w:rsid w:val="00380C9E"/>
    <w:rsid w:val="00380CE8"/>
    <w:rsid w:val="00380D69"/>
    <w:rsid w:val="00380DCC"/>
    <w:rsid w:val="00380E10"/>
    <w:rsid w:val="00380E89"/>
    <w:rsid w:val="00380EDD"/>
    <w:rsid w:val="0038106D"/>
    <w:rsid w:val="003811D7"/>
    <w:rsid w:val="003813FA"/>
    <w:rsid w:val="00381409"/>
    <w:rsid w:val="00381415"/>
    <w:rsid w:val="00381813"/>
    <w:rsid w:val="00381CEA"/>
    <w:rsid w:val="00381D09"/>
    <w:rsid w:val="00381F86"/>
    <w:rsid w:val="0038202C"/>
    <w:rsid w:val="00382072"/>
    <w:rsid w:val="0038208B"/>
    <w:rsid w:val="0038224B"/>
    <w:rsid w:val="003822FC"/>
    <w:rsid w:val="0038240B"/>
    <w:rsid w:val="0038255A"/>
    <w:rsid w:val="003827A4"/>
    <w:rsid w:val="0038291F"/>
    <w:rsid w:val="00382987"/>
    <w:rsid w:val="00382A08"/>
    <w:rsid w:val="00382CBB"/>
    <w:rsid w:val="00382E18"/>
    <w:rsid w:val="00382E83"/>
    <w:rsid w:val="00382EF3"/>
    <w:rsid w:val="00382FB0"/>
    <w:rsid w:val="00382FB9"/>
    <w:rsid w:val="00382FCE"/>
    <w:rsid w:val="00383008"/>
    <w:rsid w:val="0038311F"/>
    <w:rsid w:val="00383234"/>
    <w:rsid w:val="0038332C"/>
    <w:rsid w:val="00383383"/>
    <w:rsid w:val="0038341F"/>
    <w:rsid w:val="00383428"/>
    <w:rsid w:val="0038363D"/>
    <w:rsid w:val="00383680"/>
    <w:rsid w:val="00383689"/>
    <w:rsid w:val="00383907"/>
    <w:rsid w:val="00383948"/>
    <w:rsid w:val="0038396C"/>
    <w:rsid w:val="003839C9"/>
    <w:rsid w:val="00383A91"/>
    <w:rsid w:val="00383ABB"/>
    <w:rsid w:val="00383B92"/>
    <w:rsid w:val="00383BBC"/>
    <w:rsid w:val="00383BBF"/>
    <w:rsid w:val="00383E06"/>
    <w:rsid w:val="0038400C"/>
    <w:rsid w:val="0038421E"/>
    <w:rsid w:val="00384266"/>
    <w:rsid w:val="003842DA"/>
    <w:rsid w:val="003843D1"/>
    <w:rsid w:val="003845EC"/>
    <w:rsid w:val="003845F9"/>
    <w:rsid w:val="00384640"/>
    <w:rsid w:val="0038478E"/>
    <w:rsid w:val="003847FA"/>
    <w:rsid w:val="0038490E"/>
    <w:rsid w:val="003849F4"/>
    <w:rsid w:val="00384AAC"/>
    <w:rsid w:val="00384AB3"/>
    <w:rsid w:val="00384BC2"/>
    <w:rsid w:val="00384BDF"/>
    <w:rsid w:val="00384CE3"/>
    <w:rsid w:val="00384D56"/>
    <w:rsid w:val="00384E1F"/>
    <w:rsid w:val="00384E25"/>
    <w:rsid w:val="00384FC0"/>
    <w:rsid w:val="003851DA"/>
    <w:rsid w:val="003853C6"/>
    <w:rsid w:val="0038554E"/>
    <w:rsid w:val="003856A7"/>
    <w:rsid w:val="003856CC"/>
    <w:rsid w:val="00385817"/>
    <w:rsid w:val="00385853"/>
    <w:rsid w:val="003859DE"/>
    <w:rsid w:val="00385A2C"/>
    <w:rsid w:val="00385B9A"/>
    <w:rsid w:val="00385DF0"/>
    <w:rsid w:val="00385DFD"/>
    <w:rsid w:val="00385E03"/>
    <w:rsid w:val="00385E4A"/>
    <w:rsid w:val="00385E9A"/>
    <w:rsid w:val="00385F39"/>
    <w:rsid w:val="00386024"/>
    <w:rsid w:val="003862D1"/>
    <w:rsid w:val="003862D8"/>
    <w:rsid w:val="00386459"/>
    <w:rsid w:val="0038675C"/>
    <w:rsid w:val="00386B83"/>
    <w:rsid w:val="00386C38"/>
    <w:rsid w:val="00386D81"/>
    <w:rsid w:val="00386DFF"/>
    <w:rsid w:val="00386EED"/>
    <w:rsid w:val="00386F68"/>
    <w:rsid w:val="00386F91"/>
    <w:rsid w:val="00386FD5"/>
    <w:rsid w:val="00387006"/>
    <w:rsid w:val="003870B4"/>
    <w:rsid w:val="003870B9"/>
    <w:rsid w:val="003871A6"/>
    <w:rsid w:val="003871CA"/>
    <w:rsid w:val="0038722E"/>
    <w:rsid w:val="00387272"/>
    <w:rsid w:val="003872A2"/>
    <w:rsid w:val="003872F9"/>
    <w:rsid w:val="0038736E"/>
    <w:rsid w:val="003876CD"/>
    <w:rsid w:val="00387730"/>
    <w:rsid w:val="003878BB"/>
    <w:rsid w:val="00387AAA"/>
    <w:rsid w:val="00387D48"/>
    <w:rsid w:val="00387D53"/>
    <w:rsid w:val="00387D58"/>
    <w:rsid w:val="00387E4C"/>
    <w:rsid w:val="00387EE3"/>
    <w:rsid w:val="003900EB"/>
    <w:rsid w:val="00390111"/>
    <w:rsid w:val="0039018E"/>
    <w:rsid w:val="003901C3"/>
    <w:rsid w:val="00390207"/>
    <w:rsid w:val="0039021B"/>
    <w:rsid w:val="003903F3"/>
    <w:rsid w:val="0039053E"/>
    <w:rsid w:val="0039062A"/>
    <w:rsid w:val="003906CB"/>
    <w:rsid w:val="0039090B"/>
    <w:rsid w:val="00390939"/>
    <w:rsid w:val="0039096F"/>
    <w:rsid w:val="003909AE"/>
    <w:rsid w:val="00390A35"/>
    <w:rsid w:val="00390A87"/>
    <w:rsid w:val="00390BD4"/>
    <w:rsid w:val="00390DA6"/>
    <w:rsid w:val="00390E05"/>
    <w:rsid w:val="00390EF5"/>
    <w:rsid w:val="0039106F"/>
    <w:rsid w:val="00391178"/>
    <w:rsid w:val="00391231"/>
    <w:rsid w:val="00391288"/>
    <w:rsid w:val="00391323"/>
    <w:rsid w:val="00391355"/>
    <w:rsid w:val="003913FA"/>
    <w:rsid w:val="00391498"/>
    <w:rsid w:val="003915B3"/>
    <w:rsid w:val="0039166E"/>
    <w:rsid w:val="003917C9"/>
    <w:rsid w:val="003917ED"/>
    <w:rsid w:val="003917F2"/>
    <w:rsid w:val="00391852"/>
    <w:rsid w:val="0039187D"/>
    <w:rsid w:val="003918A3"/>
    <w:rsid w:val="003918D1"/>
    <w:rsid w:val="00391ABC"/>
    <w:rsid w:val="00391BC2"/>
    <w:rsid w:val="00391BD6"/>
    <w:rsid w:val="00391BE0"/>
    <w:rsid w:val="00391F6D"/>
    <w:rsid w:val="00392058"/>
    <w:rsid w:val="00392125"/>
    <w:rsid w:val="00392169"/>
    <w:rsid w:val="0039223F"/>
    <w:rsid w:val="00392333"/>
    <w:rsid w:val="003923EE"/>
    <w:rsid w:val="0039241D"/>
    <w:rsid w:val="003924DA"/>
    <w:rsid w:val="003924EB"/>
    <w:rsid w:val="00392A17"/>
    <w:rsid w:val="00392A8A"/>
    <w:rsid w:val="00392AFE"/>
    <w:rsid w:val="00392B6C"/>
    <w:rsid w:val="00392BBE"/>
    <w:rsid w:val="00392BE2"/>
    <w:rsid w:val="00392C85"/>
    <w:rsid w:val="00392DC0"/>
    <w:rsid w:val="00392DD0"/>
    <w:rsid w:val="00392E48"/>
    <w:rsid w:val="00392F90"/>
    <w:rsid w:val="003930CC"/>
    <w:rsid w:val="0039312A"/>
    <w:rsid w:val="003931CE"/>
    <w:rsid w:val="0039335C"/>
    <w:rsid w:val="003935F8"/>
    <w:rsid w:val="003936A4"/>
    <w:rsid w:val="0039377A"/>
    <w:rsid w:val="003937A4"/>
    <w:rsid w:val="00393843"/>
    <w:rsid w:val="00393A66"/>
    <w:rsid w:val="00393A70"/>
    <w:rsid w:val="00393AAA"/>
    <w:rsid w:val="00393B18"/>
    <w:rsid w:val="00393CC6"/>
    <w:rsid w:val="00393D66"/>
    <w:rsid w:val="00394201"/>
    <w:rsid w:val="0039433E"/>
    <w:rsid w:val="00394365"/>
    <w:rsid w:val="003949C0"/>
    <w:rsid w:val="00394B2A"/>
    <w:rsid w:val="00394B68"/>
    <w:rsid w:val="00394B7F"/>
    <w:rsid w:val="00394BA6"/>
    <w:rsid w:val="00394C2A"/>
    <w:rsid w:val="00394D28"/>
    <w:rsid w:val="00394D3E"/>
    <w:rsid w:val="00394DB6"/>
    <w:rsid w:val="00394E29"/>
    <w:rsid w:val="00394E60"/>
    <w:rsid w:val="00394F67"/>
    <w:rsid w:val="00394F90"/>
    <w:rsid w:val="00394F99"/>
    <w:rsid w:val="00395225"/>
    <w:rsid w:val="0039532C"/>
    <w:rsid w:val="003953D1"/>
    <w:rsid w:val="003954BF"/>
    <w:rsid w:val="0039558E"/>
    <w:rsid w:val="003955D9"/>
    <w:rsid w:val="0039561B"/>
    <w:rsid w:val="00395638"/>
    <w:rsid w:val="00395675"/>
    <w:rsid w:val="003956CE"/>
    <w:rsid w:val="00395773"/>
    <w:rsid w:val="003957A5"/>
    <w:rsid w:val="003958B0"/>
    <w:rsid w:val="003958B1"/>
    <w:rsid w:val="003959FD"/>
    <w:rsid w:val="00395B41"/>
    <w:rsid w:val="00395B46"/>
    <w:rsid w:val="00395B72"/>
    <w:rsid w:val="00395CB9"/>
    <w:rsid w:val="00395E55"/>
    <w:rsid w:val="00395EA6"/>
    <w:rsid w:val="00395EBC"/>
    <w:rsid w:val="00395F76"/>
    <w:rsid w:val="00396053"/>
    <w:rsid w:val="003960B5"/>
    <w:rsid w:val="003963A7"/>
    <w:rsid w:val="003964E9"/>
    <w:rsid w:val="0039669A"/>
    <w:rsid w:val="003966BE"/>
    <w:rsid w:val="003966C6"/>
    <w:rsid w:val="0039679A"/>
    <w:rsid w:val="00396836"/>
    <w:rsid w:val="00396862"/>
    <w:rsid w:val="00396864"/>
    <w:rsid w:val="0039688F"/>
    <w:rsid w:val="00396915"/>
    <w:rsid w:val="00396977"/>
    <w:rsid w:val="00396A17"/>
    <w:rsid w:val="00396A26"/>
    <w:rsid w:val="00396C55"/>
    <w:rsid w:val="00396CFF"/>
    <w:rsid w:val="00396E4E"/>
    <w:rsid w:val="00396E73"/>
    <w:rsid w:val="00396EEC"/>
    <w:rsid w:val="00397012"/>
    <w:rsid w:val="003970C4"/>
    <w:rsid w:val="00397298"/>
    <w:rsid w:val="003972B6"/>
    <w:rsid w:val="003973B4"/>
    <w:rsid w:val="003974C4"/>
    <w:rsid w:val="0039755C"/>
    <w:rsid w:val="003975BA"/>
    <w:rsid w:val="003975F5"/>
    <w:rsid w:val="00397765"/>
    <w:rsid w:val="00397964"/>
    <w:rsid w:val="003979D0"/>
    <w:rsid w:val="00397A00"/>
    <w:rsid w:val="00397A70"/>
    <w:rsid w:val="00397C54"/>
    <w:rsid w:val="00397CCF"/>
    <w:rsid w:val="00397CDE"/>
    <w:rsid w:val="00397EBB"/>
    <w:rsid w:val="00397F6E"/>
    <w:rsid w:val="003A034C"/>
    <w:rsid w:val="003A049C"/>
    <w:rsid w:val="003A04BA"/>
    <w:rsid w:val="003A05A0"/>
    <w:rsid w:val="003A062F"/>
    <w:rsid w:val="003A0702"/>
    <w:rsid w:val="003A07F4"/>
    <w:rsid w:val="003A0870"/>
    <w:rsid w:val="003A0874"/>
    <w:rsid w:val="003A0919"/>
    <w:rsid w:val="003A0957"/>
    <w:rsid w:val="003A0A33"/>
    <w:rsid w:val="003A0BFE"/>
    <w:rsid w:val="003A0C74"/>
    <w:rsid w:val="003A0CF7"/>
    <w:rsid w:val="003A0DBD"/>
    <w:rsid w:val="003A0E27"/>
    <w:rsid w:val="003A0E3C"/>
    <w:rsid w:val="003A0EAA"/>
    <w:rsid w:val="003A0F55"/>
    <w:rsid w:val="003A1167"/>
    <w:rsid w:val="003A11C0"/>
    <w:rsid w:val="003A11FA"/>
    <w:rsid w:val="003A1367"/>
    <w:rsid w:val="003A1530"/>
    <w:rsid w:val="003A15B8"/>
    <w:rsid w:val="003A1742"/>
    <w:rsid w:val="003A1768"/>
    <w:rsid w:val="003A1769"/>
    <w:rsid w:val="003A193D"/>
    <w:rsid w:val="003A199B"/>
    <w:rsid w:val="003A19C5"/>
    <w:rsid w:val="003A1B44"/>
    <w:rsid w:val="003A1C1A"/>
    <w:rsid w:val="003A1C27"/>
    <w:rsid w:val="003A1CF3"/>
    <w:rsid w:val="003A1F74"/>
    <w:rsid w:val="003A1FFF"/>
    <w:rsid w:val="003A205D"/>
    <w:rsid w:val="003A2071"/>
    <w:rsid w:val="003A20CB"/>
    <w:rsid w:val="003A21D0"/>
    <w:rsid w:val="003A22A6"/>
    <w:rsid w:val="003A22CE"/>
    <w:rsid w:val="003A2394"/>
    <w:rsid w:val="003A23DC"/>
    <w:rsid w:val="003A24C8"/>
    <w:rsid w:val="003A2619"/>
    <w:rsid w:val="003A27B6"/>
    <w:rsid w:val="003A27EE"/>
    <w:rsid w:val="003A2924"/>
    <w:rsid w:val="003A2933"/>
    <w:rsid w:val="003A2959"/>
    <w:rsid w:val="003A29F3"/>
    <w:rsid w:val="003A2A0E"/>
    <w:rsid w:val="003A2B57"/>
    <w:rsid w:val="003A2BB6"/>
    <w:rsid w:val="003A2D2A"/>
    <w:rsid w:val="003A2F81"/>
    <w:rsid w:val="003A3227"/>
    <w:rsid w:val="003A3393"/>
    <w:rsid w:val="003A33DA"/>
    <w:rsid w:val="003A33DB"/>
    <w:rsid w:val="003A34F6"/>
    <w:rsid w:val="003A359E"/>
    <w:rsid w:val="003A35BD"/>
    <w:rsid w:val="003A378F"/>
    <w:rsid w:val="003A383B"/>
    <w:rsid w:val="003A390E"/>
    <w:rsid w:val="003A3932"/>
    <w:rsid w:val="003A39CB"/>
    <w:rsid w:val="003A39E0"/>
    <w:rsid w:val="003A39E6"/>
    <w:rsid w:val="003A3A66"/>
    <w:rsid w:val="003A3E24"/>
    <w:rsid w:val="003A40EE"/>
    <w:rsid w:val="003A423F"/>
    <w:rsid w:val="003A42F1"/>
    <w:rsid w:val="003A45CA"/>
    <w:rsid w:val="003A4692"/>
    <w:rsid w:val="003A481F"/>
    <w:rsid w:val="003A487F"/>
    <w:rsid w:val="003A49EE"/>
    <w:rsid w:val="003A4B65"/>
    <w:rsid w:val="003A4D4F"/>
    <w:rsid w:val="003A4ECB"/>
    <w:rsid w:val="003A4FE7"/>
    <w:rsid w:val="003A50F1"/>
    <w:rsid w:val="003A51A7"/>
    <w:rsid w:val="003A52F4"/>
    <w:rsid w:val="003A5376"/>
    <w:rsid w:val="003A551E"/>
    <w:rsid w:val="003A5525"/>
    <w:rsid w:val="003A55FF"/>
    <w:rsid w:val="003A57AD"/>
    <w:rsid w:val="003A57F7"/>
    <w:rsid w:val="003A5AC4"/>
    <w:rsid w:val="003A5B5D"/>
    <w:rsid w:val="003A5C32"/>
    <w:rsid w:val="003A5F11"/>
    <w:rsid w:val="003A5F4D"/>
    <w:rsid w:val="003A5FA9"/>
    <w:rsid w:val="003A6041"/>
    <w:rsid w:val="003A60B8"/>
    <w:rsid w:val="003A61C4"/>
    <w:rsid w:val="003A6206"/>
    <w:rsid w:val="003A6227"/>
    <w:rsid w:val="003A632A"/>
    <w:rsid w:val="003A650C"/>
    <w:rsid w:val="003A6569"/>
    <w:rsid w:val="003A6754"/>
    <w:rsid w:val="003A679F"/>
    <w:rsid w:val="003A67CF"/>
    <w:rsid w:val="003A67D2"/>
    <w:rsid w:val="003A67F7"/>
    <w:rsid w:val="003A682D"/>
    <w:rsid w:val="003A682F"/>
    <w:rsid w:val="003A6871"/>
    <w:rsid w:val="003A68FB"/>
    <w:rsid w:val="003A699C"/>
    <w:rsid w:val="003A6A02"/>
    <w:rsid w:val="003A6BE6"/>
    <w:rsid w:val="003A6C45"/>
    <w:rsid w:val="003A6C85"/>
    <w:rsid w:val="003A6D22"/>
    <w:rsid w:val="003A6DC9"/>
    <w:rsid w:val="003A6EDA"/>
    <w:rsid w:val="003A6EDE"/>
    <w:rsid w:val="003A6F9F"/>
    <w:rsid w:val="003A70A5"/>
    <w:rsid w:val="003A727E"/>
    <w:rsid w:val="003A7346"/>
    <w:rsid w:val="003A738F"/>
    <w:rsid w:val="003A7404"/>
    <w:rsid w:val="003A762D"/>
    <w:rsid w:val="003A769C"/>
    <w:rsid w:val="003A7715"/>
    <w:rsid w:val="003A7736"/>
    <w:rsid w:val="003A7787"/>
    <w:rsid w:val="003A77A8"/>
    <w:rsid w:val="003A7856"/>
    <w:rsid w:val="003A7885"/>
    <w:rsid w:val="003A78AA"/>
    <w:rsid w:val="003A7939"/>
    <w:rsid w:val="003A7940"/>
    <w:rsid w:val="003A7B39"/>
    <w:rsid w:val="003A7D59"/>
    <w:rsid w:val="003A7EEE"/>
    <w:rsid w:val="003A7F97"/>
    <w:rsid w:val="003B012C"/>
    <w:rsid w:val="003B01D5"/>
    <w:rsid w:val="003B01ED"/>
    <w:rsid w:val="003B0441"/>
    <w:rsid w:val="003B053F"/>
    <w:rsid w:val="003B05A0"/>
    <w:rsid w:val="003B07AD"/>
    <w:rsid w:val="003B07EE"/>
    <w:rsid w:val="003B08A5"/>
    <w:rsid w:val="003B0A14"/>
    <w:rsid w:val="003B0A22"/>
    <w:rsid w:val="003B0A4D"/>
    <w:rsid w:val="003B0B01"/>
    <w:rsid w:val="003B0BB5"/>
    <w:rsid w:val="003B0BFB"/>
    <w:rsid w:val="003B0C49"/>
    <w:rsid w:val="003B0E27"/>
    <w:rsid w:val="003B0E37"/>
    <w:rsid w:val="003B0E8D"/>
    <w:rsid w:val="003B0E9A"/>
    <w:rsid w:val="003B0F76"/>
    <w:rsid w:val="003B0F96"/>
    <w:rsid w:val="003B11D4"/>
    <w:rsid w:val="003B11DA"/>
    <w:rsid w:val="003B12EC"/>
    <w:rsid w:val="003B1320"/>
    <w:rsid w:val="003B14CA"/>
    <w:rsid w:val="003B153E"/>
    <w:rsid w:val="003B1584"/>
    <w:rsid w:val="003B162D"/>
    <w:rsid w:val="003B198C"/>
    <w:rsid w:val="003B1A4F"/>
    <w:rsid w:val="003B1B3A"/>
    <w:rsid w:val="003B1BE3"/>
    <w:rsid w:val="003B1D6E"/>
    <w:rsid w:val="003B1E97"/>
    <w:rsid w:val="003B1EDA"/>
    <w:rsid w:val="003B1F02"/>
    <w:rsid w:val="003B1F59"/>
    <w:rsid w:val="003B1F68"/>
    <w:rsid w:val="003B202A"/>
    <w:rsid w:val="003B20D5"/>
    <w:rsid w:val="003B2258"/>
    <w:rsid w:val="003B22E8"/>
    <w:rsid w:val="003B2470"/>
    <w:rsid w:val="003B24E3"/>
    <w:rsid w:val="003B257F"/>
    <w:rsid w:val="003B260A"/>
    <w:rsid w:val="003B2704"/>
    <w:rsid w:val="003B28C9"/>
    <w:rsid w:val="003B2945"/>
    <w:rsid w:val="003B29D1"/>
    <w:rsid w:val="003B2A90"/>
    <w:rsid w:val="003B2ACA"/>
    <w:rsid w:val="003B2BA3"/>
    <w:rsid w:val="003B2C95"/>
    <w:rsid w:val="003B2D08"/>
    <w:rsid w:val="003B2D53"/>
    <w:rsid w:val="003B2D81"/>
    <w:rsid w:val="003B2D8B"/>
    <w:rsid w:val="003B2E8A"/>
    <w:rsid w:val="003B2EEB"/>
    <w:rsid w:val="003B2F58"/>
    <w:rsid w:val="003B3123"/>
    <w:rsid w:val="003B3191"/>
    <w:rsid w:val="003B31E2"/>
    <w:rsid w:val="003B32A4"/>
    <w:rsid w:val="003B33F0"/>
    <w:rsid w:val="003B3485"/>
    <w:rsid w:val="003B34F4"/>
    <w:rsid w:val="003B35EA"/>
    <w:rsid w:val="003B36C4"/>
    <w:rsid w:val="003B378E"/>
    <w:rsid w:val="003B3844"/>
    <w:rsid w:val="003B3A6B"/>
    <w:rsid w:val="003B3AED"/>
    <w:rsid w:val="003B3C74"/>
    <w:rsid w:val="003B3F4D"/>
    <w:rsid w:val="003B414E"/>
    <w:rsid w:val="003B428D"/>
    <w:rsid w:val="003B43EA"/>
    <w:rsid w:val="003B4608"/>
    <w:rsid w:val="003B46E1"/>
    <w:rsid w:val="003B478D"/>
    <w:rsid w:val="003B47BC"/>
    <w:rsid w:val="003B4810"/>
    <w:rsid w:val="003B484D"/>
    <w:rsid w:val="003B49AD"/>
    <w:rsid w:val="003B4C16"/>
    <w:rsid w:val="003B4C72"/>
    <w:rsid w:val="003B4D45"/>
    <w:rsid w:val="003B4DF5"/>
    <w:rsid w:val="003B4E09"/>
    <w:rsid w:val="003B4E9F"/>
    <w:rsid w:val="003B4EED"/>
    <w:rsid w:val="003B4FEA"/>
    <w:rsid w:val="003B5111"/>
    <w:rsid w:val="003B51C6"/>
    <w:rsid w:val="003B52EE"/>
    <w:rsid w:val="003B5598"/>
    <w:rsid w:val="003B55D9"/>
    <w:rsid w:val="003B55E4"/>
    <w:rsid w:val="003B56AE"/>
    <w:rsid w:val="003B570F"/>
    <w:rsid w:val="003B5836"/>
    <w:rsid w:val="003B5A1D"/>
    <w:rsid w:val="003B5A4D"/>
    <w:rsid w:val="003B5B04"/>
    <w:rsid w:val="003B5B26"/>
    <w:rsid w:val="003B5BC6"/>
    <w:rsid w:val="003B5F60"/>
    <w:rsid w:val="003B5FB0"/>
    <w:rsid w:val="003B5FBE"/>
    <w:rsid w:val="003B61C3"/>
    <w:rsid w:val="003B62C4"/>
    <w:rsid w:val="003B6553"/>
    <w:rsid w:val="003B671E"/>
    <w:rsid w:val="003B6738"/>
    <w:rsid w:val="003B678A"/>
    <w:rsid w:val="003B67B9"/>
    <w:rsid w:val="003B683C"/>
    <w:rsid w:val="003B6A1B"/>
    <w:rsid w:val="003B6BA3"/>
    <w:rsid w:val="003B6CBB"/>
    <w:rsid w:val="003B6D42"/>
    <w:rsid w:val="003B6D6F"/>
    <w:rsid w:val="003B6EE4"/>
    <w:rsid w:val="003B7267"/>
    <w:rsid w:val="003B72D9"/>
    <w:rsid w:val="003B72F3"/>
    <w:rsid w:val="003B72F9"/>
    <w:rsid w:val="003B744F"/>
    <w:rsid w:val="003B7486"/>
    <w:rsid w:val="003B7510"/>
    <w:rsid w:val="003B7586"/>
    <w:rsid w:val="003B76A9"/>
    <w:rsid w:val="003B7780"/>
    <w:rsid w:val="003B7792"/>
    <w:rsid w:val="003B7807"/>
    <w:rsid w:val="003B7818"/>
    <w:rsid w:val="003B7F1F"/>
    <w:rsid w:val="003B7F63"/>
    <w:rsid w:val="003B7FE6"/>
    <w:rsid w:val="003C001A"/>
    <w:rsid w:val="003C0199"/>
    <w:rsid w:val="003C01D0"/>
    <w:rsid w:val="003C0211"/>
    <w:rsid w:val="003C0221"/>
    <w:rsid w:val="003C0251"/>
    <w:rsid w:val="003C02A6"/>
    <w:rsid w:val="003C02F6"/>
    <w:rsid w:val="003C0352"/>
    <w:rsid w:val="003C03A7"/>
    <w:rsid w:val="003C0491"/>
    <w:rsid w:val="003C04ED"/>
    <w:rsid w:val="003C04F4"/>
    <w:rsid w:val="003C06ED"/>
    <w:rsid w:val="003C0711"/>
    <w:rsid w:val="003C07A9"/>
    <w:rsid w:val="003C0B4C"/>
    <w:rsid w:val="003C0CB8"/>
    <w:rsid w:val="003C0D00"/>
    <w:rsid w:val="003C0E2F"/>
    <w:rsid w:val="003C0ECF"/>
    <w:rsid w:val="003C1152"/>
    <w:rsid w:val="003C11D9"/>
    <w:rsid w:val="003C123C"/>
    <w:rsid w:val="003C1356"/>
    <w:rsid w:val="003C136F"/>
    <w:rsid w:val="003C1371"/>
    <w:rsid w:val="003C1619"/>
    <w:rsid w:val="003C1819"/>
    <w:rsid w:val="003C187D"/>
    <w:rsid w:val="003C18B7"/>
    <w:rsid w:val="003C190B"/>
    <w:rsid w:val="003C1ADD"/>
    <w:rsid w:val="003C1B2A"/>
    <w:rsid w:val="003C1B8A"/>
    <w:rsid w:val="003C1C6E"/>
    <w:rsid w:val="003C1DAE"/>
    <w:rsid w:val="003C1E79"/>
    <w:rsid w:val="003C1E7F"/>
    <w:rsid w:val="003C1E9C"/>
    <w:rsid w:val="003C1EFB"/>
    <w:rsid w:val="003C1FD4"/>
    <w:rsid w:val="003C2242"/>
    <w:rsid w:val="003C24CA"/>
    <w:rsid w:val="003C255E"/>
    <w:rsid w:val="003C26EB"/>
    <w:rsid w:val="003C29FB"/>
    <w:rsid w:val="003C2B3B"/>
    <w:rsid w:val="003C2C80"/>
    <w:rsid w:val="003C2CBB"/>
    <w:rsid w:val="003C2CDC"/>
    <w:rsid w:val="003C2CFB"/>
    <w:rsid w:val="003C2D6D"/>
    <w:rsid w:val="003C2E80"/>
    <w:rsid w:val="003C2E9B"/>
    <w:rsid w:val="003C2EE0"/>
    <w:rsid w:val="003C2F1D"/>
    <w:rsid w:val="003C2FF6"/>
    <w:rsid w:val="003C3100"/>
    <w:rsid w:val="003C3119"/>
    <w:rsid w:val="003C3355"/>
    <w:rsid w:val="003C343A"/>
    <w:rsid w:val="003C3476"/>
    <w:rsid w:val="003C34F0"/>
    <w:rsid w:val="003C35C9"/>
    <w:rsid w:val="003C3942"/>
    <w:rsid w:val="003C39AE"/>
    <w:rsid w:val="003C3AD3"/>
    <w:rsid w:val="003C3CBD"/>
    <w:rsid w:val="003C40AF"/>
    <w:rsid w:val="003C419B"/>
    <w:rsid w:val="003C41F6"/>
    <w:rsid w:val="003C4216"/>
    <w:rsid w:val="003C4296"/>
    <w:rsid w:val="003C429F"/>
    <w:rsid w:val="003C45C2"/>
    <w:rsid w:val="003C460A"/>
    <w:rsid w:val="003C4640"/>
    <w:rsid w:val="003C49F0"/>
    <w:rsid w:val="003C4CB3"/>
    <w:rsid w:val="003C4E24"/>
    <w:rsid w:val="003C4E36"/>
    <w:rsid w:val="003C4EEC"/>
    <w:rsid w:val="003C4F2C"/>
    <w:rsid w:val="003C5056"/>
    <w:rsid w:val="003C50AD"/>
    <w:rsid w:val="003C5118"/>
    <w:rsid w:val="003C5148"/>
    <w:rsid w:val="003C5182"/>
    <w:rsid w:val="003C51E9"/>
    <w:rsid w:val="003C5223"/>
    <w:rsid w:val="003C5312"/>
    <w:rsid w:val="003C5573"/>
    <w:rsid w:val="003C55C6"/>
    <w:rsid w:val="003C55D0"/>
    <w:rsid w:val="003C58C1"/>
    <w:rsid w:val="003C592D"/>
    <w:rsid w:val="003C59CB"/>
    <w:rsid w:val="003C5AA0"/>
    <w:rsid w:val="003C5B38"/>
    <w:rsid w:val="003C5C84"/>
    <w:rsid w:val="003C5CF4"/>
    <w:rsid w:val="003C6085"/>
    <w:rsid w:val="003C6259"/>
    <w:rsid w:val="003C62BB"/>
    <w:rsid w:val="003C6358"/>
    <w:rsid w:val="003C6431"/>
    <w:rsid w:val="003C65BB"/>
    <w:rsid w:val="003C65C1"/>
    <w:rsid w:val="003C65D4"/>
    <w:rsid w:val="003C66B6"/>
    <w:rsid w:val="003C6934"/>
    <w:rsid w:val="003C6C62"/>
    <w:rsid w:val="003C6DBA"/>
    <w:rsid w:val="003C6EA9"/>
    <w:rsid w:val="003C6F11"/>
    <w:rsid w:val="003C7094"/>
    <w:rsid w:val="003C70A5"/>
    <w:rsid w:val="003C7134"/>
    <w:rsid w:val="003C7158"/>
    <w:rsid w:val="003C7225"/>
    <w:rsid w:val="003C723E"/>
    <w:rsid w:val="003C7379"/>
    <w:rsid w:val="003C7384"/>
    <w:rsid w:val="003C73CB"/>
    <w:rsid w:val="003C7463"/>
    <w:rsid w:val="003C74F7"/>
    <w:rsid w:val="003C755E"/>
    <w:rsid w:val="003C77FD"/>
    <w:rsid w:val="003C7817"/>
    <w:rsid w:val="003C7830"/>
    <w:rsid w:val="003C7955"/>
    <w:rsid w:val="003C795B"/>
    <w:rsid w:val="003C795F"/>
    <w:rsid w:val="003C79BF"/>
    <w:rsid w:val="003C7A30"/>
    <w:rsid w:val="003C7A51"/>
    <w:rsid w:val="003C7ACE"/>
    <w:rsid w:val="003C7ADA"/>
    <w:rsid w:val="003C7B04"/>
    <w:rsid w:val="003C7B09"/>
    <w:rsid w:val="003C7BE1"/>
    <w:rsid w:val="003C7C4C"/>
    <w:rsid w:val="003C7C9C"/>
    <w:rsid w:val="003C7D6E"/>
    <w:rsid w:val="003C7DB4"/>
    <w:rsid w:val="003C7DE3"/>
    <w:rsid w:val="003C7E15"/>
    <w:rsid w:val="003C7E30"/>
    <w:rsid w:val="003C7E52"/>
    <w:rsid w:val="003C7FC7"/>
    <w:rsid w:val="003D00F7"/>
    <w:rsid w:val="003D0132"/>
    <w:rsid w:val="003D019F"/>
    <w:rsid w:val="003D01DC"/>
    <w:rsid w:val="003D01E2"/>
    <w:rsid w:val="003D02D0"/>
    <w:rsid w:val="003D03A8"/>
    <w:rsid w:val="003D04F6"/>
    <w:rsid w:val="003D0593"/>
    <w:rsid w:val="003D05E7"/>
    <w:rsid w:val="003D060B"/>
    <w:rsid w:val="003D06B3"/>
    <w:rsid w:val="003D076A"/>
    <w:rsid w:val="003D07AD"/>
    <w:rsid w:val="003D07C5"/>
    <w:rsid w:val="003D095F"/>
    <w:rsid w:val="003D0A78"/>
    <w:rsid w:val="003D0AB5"/>
    <w:rsid w:val="003D0B45"/>
    <w:rsid w:val="003D0CAF"/>
    <w:rsid w:val="003D0DAB"/>
    <w:rsid w:val="003D0E06"/>
    <w:rsid w:val="003D0E1B"/>
    <w:rsid w:val="003D0EB0"/>
    <w:rsid w:val="003D0ED5"/>
    <w:rsid w:val="003D0FFD"/>
    <w:rsid w:val="003D118F"/>
    <w:rsid w:val="003D11EE"/>
    <w:rsid w:val="003D1227"/>
    <w:rsid w:val="003D1554"/>
    <w:rsid w:val="003D1563"/>
    <w:rsid w:val="003D1883"/>
    <w:rsid w:val="003D1973"/>
    <w:rsid w:val="003D1978"/>
    <w:rsid w:val="003D1A84"/>
    <w:rsid w:val="003D1B59"/>
    <w:rsid w:val="003D1B5D"/>
    <w:rsid w:val="003D1B9E"/>
    <w:rsid w:val="003D1BAB"/>
    <w:rsid w:val="003D1BFA"/>
    <w:rsid w:val="003D1D31"/>
    <w:rsid w:val="003D1DE9"/>
    <w:rsid w:val="003D1DFD"/>
    <w:rsid w:val="003D1E27"/>
    <w:rsid w:val="003D1F64"/>
    <w:rsid w:val="003D1FDF"/>
    <w:rsid w:val="003D2012"/>
    <w:rsid w:val="003D2059"/>
    <w:rsid w:val="003D2076"/>
    <w:rsid w:val="003D20A7"/>
    <w:rsid w:val="003D2238"/>
    <w:rsid w:val="003D226C"/>
    <w:rsid w:val="003D22BC"/>
    <w:rsid w:val="003D260D"/>
    <w:rsid w:val="003D260F"/>
    <w:rsid w:val="003D2625"/>
    <w:rsid w:val="003D2636"/>
    <w:rsid w:val="003D2678"/>
    <w:rsid w:val="003D2681"/>
    <w:rsid w:val="003D2697"/>
    <w:rsid w:val="003D269C"/>
    <w:rsid w:val="003D2702"/>
    <w:rsid w:val="003D2806"/>
    <w:rsid w:val="003D281C"/>
    <w:rsid w:val="003D283C"/>
    <w:rsid w:val="003D2847"/>
    <w:rsid w:val="003D2971"/>
    <w:rsid w:val="003D2985"/>
    <w:rsid w:val="003D29B0"/>
    <w:rsid w:val="003D2AF3"/>
    <w:rsid w:val="003D2B60"/>
    <w:rsid w:val="003D2B7C"/>
    <w:rsid w:val="003D2BA9"/>
    <w:rsid w:val="003D2BF5"/>
    <w:rsid w:val="003D2C7D"/>
    <w:rsid w:val="003D2CF1"/>
    <w:rsid w:val="003D2D76"/>
    <w:rsid w:val="003D2EB7"/>
    <w:rsid w:val="003D2F0C"/>
    <w:rsid w:val="003D2F6A"/>
    <w:rsid w:val="003D30FA"/>
    <w:rsid w:val="003D32F0"/>
    <w:rsid w:val="003D3419"/>
    <w:rsid w:val="003D3549"/>
    <w:rsid w:val="003D3576"/>
    <w:rsid w:val="003D3658"/>
    <w:rsid w:val="003D376D"/>
    <w:rsid w:val="003D38CE"/>
    <w:rsid w:val="003D3A3E"/>
    <w:rsid w:val="003D3A42"/>
    <w:rsid w:val="003D3A9D"/>
    <w:rsid w:val="003D3BEF"/>
    <w:rsid w:val="003D3C0A"/>
    <w:rsid w:val="003D3C2B"/>
    <w:rsid w:val="003D3C50"/>
    <w:rsid w:val="003D3C5F"/>
    <w:rsid w:val="003D3D7F"/>
    <w:rsid w:val="003D3EB0"/>
    <w:rsid w:val="003D3F15"/>
    <w:rsid w:val="003D4127"/>
    <w:rsid w:val="003D42DF"/>
    <w:rsid w:val="003D43CA"/>
    <w:rsid w:val="003D4535"/>
    <w:rsid w:val="003D4544"/>
    <w:rsid w:val="003D46D2"/>
    <w:rsid w:val="003D4765"/>
    <w:rsid w:val="003D476F"/>
    <w:rsid w:val="003D480A"/>
    <w:rsid w:val="003D4811"/>
    <w:rsid w:val="003D4907"/>
    <w:rsid w:val="003D491B"/>
    <w:rsid w:val="003D49A8"/>
    <w:rsid w:val="003D49AF"/>
    <w:rsid w:val="003D4A4F"/>
    <w:rsid w:val="003D4A50"/>
    <w:rsid w:val="003D4AC3"/>
    <w:rsid w:val="003D4C27"/>
    <w:rsid w:val="003D4C9F"/>
    <w:rsid w:val="003D4E3C"/>
    <w:rsid w:val="003D4F3A"/>
    <w:rsid w:val="003D5284"/>
    <w:rsid w:val="003D5427"/>
    <w:rsid w:val="003D556A"/>
    <w:rsid w:val="003D55A3"/>
    <w:rsid w:val="003D5641"/>
    <w:rsid w:val="003D5768"/>
    <w:rsid w:val="003D57D4"/>
    <w:rsid w:val="003D5926"/>
    <w:rsid w:val="003D5974"/>
    <w:rsid w:val="003D59BB"/>
    <w:rsid w:val="003D5A90"/>
    <w:rsid w:val="003D5ADA"/>
    <w:rsid w:val="003D5BAB"/>
    <w:rsid w:val="003D5C74"/>
    <w:rsid w:val="003D5CF0"/>
    <w:rsid w:val="003D5DF9"/>
    <w:rsid w:val="003D5E89"/>
    <w:rsid w:val="003D610F"/>
    <w:rsid w:val="003D6258"/>
    <w:rsid w:val="003D62C3"/>
    <w:rsid w:val="003D6416"/>
    <w:rsid w:val="003D6521"/>
    <w:rsid w:val="003D653E"/>
    <w:rsid w:val="003D660D"/>
    <w:rsid w:val="003D664F"/>
    <w:rsid w:val="003D678C"/>
    <w:rsid w:val="003D6898"/>
    <w:rsid w:val="003D6905"/>
    <w:rsid w:val="003D694A"/>
    <w:rsid w:val="003D6978"/>
    <w:rsid w:val="003D699B"/>
    <w:rsid w:val="003D69CD"/>
    <w:rsid w:val="003D6A3C"/>
    <w:rsid w:val="003D6B16"/>
    <w:rsid w:val="003D6C15"/>
    <w:rsid w:val="003D6D2E"/>
    <w:rsid w:val="003D6D99"/>
    <w:rsid w:val="003D6E09"/>
    <w:rsid w:val="003D6E36"/>
    <w:rsid w:val="003D6E5E"/>
    <w:rsid w:val="003D6EBC"/>
    <w:rsid w:val="003D6FCE"/>
    <w:rsid w:val="003D71A5"/>
    <w:rsid w:val="003D72EE"/>
    <w:rsid w:val="003D741B"/>
    <w:rsid w:val="003D7447"/>
    <w:rsid w:val="003D7526"/>
    <w:rsid w:val="003D75E3"/>
    <w:rsid w:val="003D7737"/>
    <w:rsid w:val="003D777F"/>
    <w:rsid w:val="003D7868"/>
    <w:rsid w:val="003D7878"/>
    <w:rsid w:val="003D789A"/>
    <w:rsid w:val="003D7935"/>
    <w:rsid w:val="003D79EF"/>
    <w:rsid w:val="003D7AC4"/>
    <w:rsid w:val="003D7C32"/>
    <w:rsid w:val="003D7D13"/>
    <w:rsid w:val="003D7E62"/>
    <w:rsid w:val="003D7E6D"/>
    <w:rsid w:val="003D7FA5"/>
    <w:rsid w:val="003D7FEA"/>
    <w:rsid w:val="003E0065"/>
    <w:rsid w:val="003E008F"/>
    <w:rsid w:val="003E0157"/>
    <w:rsid w:val="003E0238"/>
    <w:rsid w:val="003E02E7"/>
    <w:rsid w:val="003E03C8"/>
    <w:rsid w:val="003E0484"/>
    <w:rsid w:val="003E04B8"/>
    <w:rsid w:val="003E05F3"/>
    <w:rsid w:val="003E061D"/>
    <w:rsid w:val="003E074E"/>
    <w:rsid w:val="003E089B"/>
    <w:rsid w:val="003E0900"/>
    <w:rsid w:val="003E098F"/>
    <w:rsid w:val="003E09A7"/>
    <w:rsid w:val="003E0A8F"/>
    <w:rsid w:val="003E0DD5"/>
    <w:rsid w:val="003E1020"/>
    <w:rsid w:val="003E10F0"/>
    <w:rsid w:val="003E118E"/>
    <w:rsid w:val="003E130E"/>
    <w:rsid w:val="003E13C1"/>
    <w:rsid w:val="003E13CE"/>
    <w:rsid w:val="003E13EB"/>
    <w:rsid w:val="003E1481"/>
    <w:rsid w:val="003E14BA"/>
    <w:rsid w:val="003E15F2"/>
    <w:rsid w:val="003E1779"/>
    <w:rsid w:val="003E17C3"/>
    <w:rsid w:val="003E17C8"/>
    <w:rsid w:val="003E1826"/>
    <w:rsid w:val="003E1A2C"/>
    <w:rsid w:val="003E1B4E"/>
    <w:rsid w:val="003E1B9D"/>
    <w:rsid w:val="003E1C60"/>
    <w:rsid w:val="003E1D02"/>
    <w:rsid w:val="003E1D8F"/>
    <w:rsid w:val="003E1E1C"/>
    <w:rsid w:val="003E20D3"/>
    <w:rsid w:val="003E2103"/>
    <w:rsid w:val="003E2263"/>
    <w:rsid w:val="003E2330"/>
    <w:rsid w:val="003E23F0"/>
    <w:rsid w:val="003E2449"/>
    <w:rsid w:val="003E2737"/>
    <w:rsid w:val="003E27A5"/>
    <w:rsid w:val="003E2877"/>
    <w:rsid w:val="003E288C"/>
    <w:rsid w:val="003E28F4"/>
    <w:rsid w:val="003E29FB"/>
    <w:rsid w:val="003E2ABF"/>
    <w:rsid w:val="003E2AFC"/>
    <w:rsid w:val="003E2C67"/>
    <w:rsid w:val="003E2D0C"/>
    <w:rsid w:val="003E2D40"/>
    <w:rsid w:val="003E2E3F"/>
    <w:rsid w:val="003E2EF6"/>
    <w:rsid w:val="003E3097"/>
    <w:rsid w:val="003E3296"/>
    <w:rsid w:val="003E333D"/>
    <w:rsid w:val="003E3459"/>
    <w:rsid w:val="003E3532"/>
    <w:rsid w:val="003E394D"/>
    <w:rsid w:val="003E3A1D"/>
    <w:rsid w:val="003E3B79"/>
    <w:rsid w:val="003E3C11"/>
    <w:rsid w:val="003E3E2E"/>
    <w:rsid w:val="003E3ED3"/>
    <w:rsid w:val="003E3EE8"/>
    <w:rsid w:val="003E3F44"/>
    <w:rsid w:val="003E3FEE"/>
    <w:rsid w:val="003E4125"/>
    <w:rsid w:val="003E414D"/>
    <w:rsid w:val="003E41C8"/>
    <w:rsid w:val="003E4233"/>
    <w:rsid w:val="003E446B"/>
    <w:rsid w:val="003E44F7"/>
    <w:rsid w:val="003E4612"/>
    <w:rsid w:val="003E463D"/>
    <w:rsid w:val="003E4641"/>
    <w:rsid w:val="003E4721"/>
    <w:rsid w:val="003E4726"/>
    <w:rsid w:val="003E47F4"/>
    <w:rsid w:val="003E486D"/>
    <w:rsid w:val="003E4920"/>
    <w:rsid w:val="003E49B5"/>
    <w:rsid w:val="003E49F2"/>
    <w:rsid w:val="003E4C0A"/>
    <w:rsid w:val="003E4D0C"/>
    <w:rsid w:val="003E4E03"/>
    <w:rsid w:val="003E4E2B"/>
    <w:rsid w:val="003E4E79"/>
    <w:rsid w:val="003E4F92"/>
    <w:rsid w:val="003E4F94"/>
    <w:rsid w:val="003E50FE"/>
    <w:rsid w:val="003E5372"/>
    <w:rsid w:val="003E5548"/>
    <w:rsid w:val="003E557D"/>
    <w:rsid w:val="003E57A3"/>
    <w:rsid w:val="003E57B0"/>
    <w:rsid w:val="003E57D9"/>
    <w:rsid w:val="003E57F1"/>
    <w:rsid w:val="003E581F"/>
    <w:rsid w:val="003E5890"/>
    <w:rsid w:val="003E5939"/>
    <w:rsid w:val="003E5A68"/>
    <w:rsid w:val="003E5B91"/>
    <w:rsid w:val="003E5C11"/>
    <w:rsid w:val="003E5D28"/>
    <w:rsid w:val="003E5EC6"/>
    <w:rsid w:val="003E5ED0"/>
    <w:rsid w:val="003E5F9D"/>
    <w:rsid w:val="003E606A"/>
    <w:rsid w:val="003E60D3"/>
    <w:rsid w:val="003E6134"/>
    <w:rsid w:val="003E6236"/>
    <w:rsid w:val="003E62A5"/>
    <w:rsid w:val="003E63EB"/>
    <w:rsid w:val="003E64AC"/>
    <w:rsid w:val="003E64AD"/>
    <w:rsid w:val="003E64F7"/>
    <w:rsid w:val="003E6676"/>
    <w:rsid w:val="003E66A5"/>
    <w:rsid w:val="003E66BA"/>
    <w:rsid w:val="003E6737"/>
    <w:rsid w:val="003E6836"/>
    <w:rsid w:val="003E6903"/>
    <w:rsid w:val="003E6B2C"/>
    <w:rsid w:val="003E6C0D"/>
    <w:rsid w:val="003E6C48"/>
    <w:rsid w:val="003E6C51"/>
    <w:rsid w:val="003E6D30"/>
    <w:rsid w:val="003E6D85"/>
    <w:rsid w:val="003E6DA6"/>
    <w:rsid w:val="003E6EC6"/>
    <w:rsid w:val="003E6FB2"/>
    <w:rsid w:val="003E7020"/>
    <w:rsid w:val="003E7106"/>
    <w:rsid w:val="003E715A"/>
    <w:rsid w:val="003E733A"/>
    <w:rsid w:val="003E7584"/>
    <w:rsid w:val="003E7586"/>
    <w:rsid w:val="003E759A"/>
    <w:rsid w:val="003E76AC"/>
    <w:rsid w:val="003E7757"/>
    <w:rsid w:val="003E77B8"/>
    <w:rsid w:val="003E786C"/>
    <w:rsid w:val="003E78BD"/>
    <w:rsid w:val="003E791E"/>
    <w:rsid w:val="003E79E0"/>
    <w:rsid w:val="003E7A00"/>
    <w:rsid w:val="003E7A64"/>
    <w:rsid w:val="003E7B29"/>
    <w:rsid w:val="003E7DA2"/>
    <w:rsid w:val="003E7DB1"/>
    <w:rsid w:val="003E7F80"/>
    <w:rsid w:val="003E7F88"/>
    <w:rsid w:val="003F0007"/>
    <w:rsid w:val="003F0011"/>
    <w:rsid w:val="003F0107"/>
    <w:rsid w:val="003F01C1"/>
    <w:rsid w:val="003F01D7"/>
    <w:rsid w:val="003F0346"/>
    <w:rsid w:val="003F0417"/>
    <w:rsid w:val="003F0451"/>
    <w:rsid w:val="003F0458"/>
    <w:rsid w:val="003F04A7"/>
    <w:rsid w:val="003F070B"/>
    <w:rsid w:val="003F0736"/>
    <w:rsid w:val="003F082C"/>
    <w:rsid w:val="003F08C8"/>
    <w:rsid w:val="003F0B67"/>
    <w:rsid w:val="003F0BDE"/>
    <w:rsid w:val="003F0CF3"/>
    <w:rsid w:val="003F0D7D"/>
    <w:rsid w:val="003F0DE9"/>
    <w:rsid w:val="003F0EC6"/>
    <w:rsid w:val="003F0F1E"/>
    <w:rsid w:val="003F0F33"/>
    <w:rsid w:val="003F1020"/>
    <w:rsid w:val="003F1054"/>
    <w:rsid w:val="003F1143"/>
    <w:rsid w:val="003F11CD"/>
    <w:rsid w:val="003F11E4"/>
    <w:rsid w:val="003F147F"/>
    <w:rsid w:val="003F14CD"/>
    <w:rsid w:val="003F16CA"/>
    <w:rsid w:val="003F17F2"/>
    <w:rsid w:val="003F186C"/>
    <w:rsid w:val="003F19A3"/>
    <w:rsid w:val="003F19D5"/>
    <w:rsid w:val="003F1A16"/>
    <w:rsid w:val="003F1AA3"/>
    <w:rsid w:val="003F1AEC"/>
    <w:rsid w:val="003F1AF3"/>
    <w:rsid w:val="003F1B1F"/>
    <w:rsid w:val="003F1BC1"/>
    <w:rsid w:val="003F1BE7"/>
    <w:rsid w:val="003F1C4F"/>
    <w:rsid w:val="003F1D01"/>
    <w:rsid w:val="003F1D08"/>
    <w:rsid w:val="003F1D5D"/>
    <w:rsid w:val="003F1FB0"/>
    <w:rsid w:val="003F2003"/>
    <w:rsid w:val="003F2010"/>
    <w:rsid w:val="003F201E"/>
    <w:rsid w:val="003F2112"/>
    <w:rsid w:val="003F2283"/>
    <w:rsid w:val="003F22E6"/>
    <w:rsid w:val="003F2569"/>
    <w:rsid w:val="003F2597"/>
    <w:rsid w:val="003F25A8"/>
    <w:rsid w:val="003F27AC"/>
    <w:rsid w:val="003F2943"/>
    <w:rsid w:val="003F2A13"/>
    <w:rsid w:val="003F2A41"/>
    <w:rsid w:val="003F2B8A"/>
    <w:rsid w:val="003F2E12"/>
    <w:rsid w:val="003F2E30"/>
    <w:rsid w:val="003F2ED9"/>
    <w:rsid w:val="003F30F4"/>
    <w:rsid w:val="003F3311"/>
    <w:rsid w:val="003F3318"/>
    <w:rsid w:val="003F33A5"/>
    <w:rsid w:val="003F365C"/>
    <w:rsid w:val="003F39BD"/>
    <w:rsid w:val="003F39DB"/>
    <w:rsid w:val="003F3A02"/>
    <w:rsid w:val="003F3B08"/>
    <w:rsid w:val="003F3CA7"/>
    <w:rsid w:val="003F3CFD"/>
    <w:rsid w:val="003F3DC2"/>
    <w:rsid w:val="003F3EFD"/>
    <w:rsid w:val="003F3F18"/>
    <w:rsid w:val="003F3FC0"/>
    <w:rsid w:val="003F4037"/>
    <w:rsid w:val="003F40FC"/>
    <w:rsid w:val="003F42F5"/>
    <w:rsid w:val="003F4394"/>
    <w:rsid w:val="003F43D1"/>
    <w:rsid w:val="003F44FA"/>
    <w:rsid w:val="003F45A3"/>
    <w:rsid w:val="003F4605"/>
    <w:rsid w:val="003F46C4"/>
    <w:rsid w:val="003F470C"/>
    <w:rsid w:val="003F484D"/>
    <w:rsid w:val="003F4893"/>
    <w:rsid w:val="003F49CB"/>
    <w:rsid w:val="003F4A2A"/>
    <w:rsid w:val="003F4BFF"/>
    <w:rsid w:val="003F4C5A"/>
    <w:rsid w:val="003F4C82"/>
    <w:rsid w:val="003F4CD8"/>
    <w:rsid w:val="003F4DE5"/>
    <w:rsid w:val="003F4E0D"/>
    <w:rsid w:val="003F4E29"/>
    <w:rsid w:val="003F4EAD"/>
    <w:rsid w:val="003F4F38"/>
    <w:rsid w:val="003F5013"/>
    <w:rsid w:val="003F5025"/>
    <w:rsid w:val="003F51D9"/>
    <w:rsid w:val="003F5266"/>
    <w:rsid w:val="003F52F1"/>
    <w:rsid w:val="003F5312"/>
    <w:rsid w:val="003F53A2"/>
    <w:rsid w:val="003F53A9"/>
    <w:rsid w:val="003F5472"/>
    <w:rsid w:val="003F5747"/>
    <w:rsid w:val="003F5771"/>
    <w:rsid w:val="003F5933"/>
    <w:rsid w:val="003F59F7"/>
    <w:rsid w:val="003F5A13"/>
    <w:rsid w:val="003F5C09"/>
    <w:rsid w:val="003F5C5E"/>
    <w:rsid w:val="003F5C6D"/>
    <w:rsid w:val="003F5C96"/>
    <w:rsid w:val="003F5D30"/>
    <w:rsid w:val="003F5D60"/>
    <w:rsid w:val="003F5E3F"/>
    <w:rsid w:val="003F5EBB"/>
    <w:rsid w:val="003F5EDB"/>
    <w:rsid w:val="003F5F7F"/>
    <w:rsid w:val="003F5FB3"/>
    <w:rsid w:val="003F5FE5"/>
    <w:rsid w:val="003F610A"/>
    <w:rsid w:val="003F611D"/>
    <w:rsid w:val="003F626F"/>
    <w:rsid w:val="003F62F2"/>
    <w:rsid w:val="003F64B9"/>
    <w:rsid w:val="003F6689"/>
    <w:rsid w:val="003F67E1"/>
    <w:rsid w:val="003F6910"/>
    <w:rsid w:val="003F69C5"/>
    <w:rsid w:val="003F69DC"/>
    <w:rsid w:val="003F6B42"/>
    <w:rsid w:val="003F6C0E"/>
    <w:rsid w:val="003F6C49"/>
    <w:rsid w:val="003F6F1F"/>
    <w:rsid w:val="003F6F3D"/>
    <w:rsid w:val="003F6FB6"/>
    <w:rsid w:val="003F701C"/>
    <w:rsid w:val="003F70AA"/>
    <w:rsid w:val="003F7100"/>
    <w:rsid w:val="003F7121"/>
    <w:rsid w:val="003F71A9"/>
    <w:rsid w:val="003F7226"/>
    <w:rsid w:val="003F723A"/>
    <w:rsid w:val="003F72E6"/>
    <w:rsid w:val="003F736E"/>
    <w:rsid w:val="003F7520"/>
    <w:rsid w:val="003F76AB"/>
    <w:rsid w:val="003F7856"/>
    <w:rsid w:val="003F785F"/>
    <w:rsid w:val="003F7A9A"/>
    <w:rsid w:val="003F7CB4"/>
    <w:rsid w:val="003F7DA5"/>
    <w:rsid w:val="003F7E42"/>
    <w:rsid w:val="004000B6"/>
    <w:rsid w:val="0040010C"/>
    <w:rsid w:val="00400156"/>
    <w:rsid w:val="0040018B"/>
    <w:rsid w:val="004001E6"/>
    <w:rsid w:val="004003D9"/>
    <w:rsid w:val="00400482"/>
    <w:rsid w:val="00400584"/>
    <w:rsid w:val="004005A2"/>
    <w:rsid w:val="004006EC"/>
    <w:rsid w:val="0040072E"/>
    <w:rsid w:val="0040073F"/>
    <w:rsid w:val="00400896"/>
    <w:rsid w:val="00400909"/>
    <w:rsid w:val="00400913"/>
    <w:rsid w:val="00400941"/>
    <w:rsid w:val="00400947"/>
    <w:rsid w:val="00400ECE"/>
    <w:rsid w:val="00400F17"/>
    <w:rsid w:val="004013AE"/>
    <w:rsid w:val="004014E2"/>
    <w:rsid w:val="004018A4"/>
    <w:rsid w:val="004018B5"/>
    <w:rsid w:val="0040190F"/>
    <w:rsid w:val="00401A3C"/>
    <w:rsid w:val="00401C64"/>
    <w:rsid w:val="00401DA8"/>
    <w:rsid w:val="00401E4B"/>
    <w:rsid w:val="00401EB3"/>
    <w:rsid w:val="00401F0A"/>
    <w:rsid w:val="00402018"/>
    <w:rsid w:val="004020D0"/>
    <w:rsid w:val="004020FC"/>
    <w:rsid w:val="004021E0"/>
    <w:rsid w:val="00402282"/>
    <w:rsid w:val="004022F7"/>
    <w:rsid w:val="00402339"/>
    <w:rsid w:val="004023AB"/>
    <w:rsid w:val="00402493"/>
    <w:rsid w:val="0040257B"/>
    <w:rsid w:val="00402586"/>
    <w:rsid w:val="004025A7"/>
    <w:rsid w:val="004026A0"/>
    <w:rsid w:val="00402716"/>
    <w:rsid w:val="0040274B"/>
    <w:rsid w:val="00402807"/>
    <w:rsid w:val="0040286E"/>
    <w:rsid w:val="004029CC"/>
    <w:rsid w:val="00402CCE"/>
    <w:rsid w:val="00402D65"/>
    <w:rsid w:val="00402E23"/>
    <w:rsid w:val="00402E7D"/>
    <w:rsid w:val="00402E9F"/>
    <w:rsid w:val="00402EFB"/>
    <w:rsid w:val="00402F66"/>
    <w:rsid w:val="00403063"/>
    <w:rsid w:val="00403141"/>
    <w:rsid w:val="00403386"/>
    <w:rsid w:val="004034B6"/>
    <w:rsid w:val="004034D7"/>
    <w:rsid w:val="00403578"/>
    <w:rsid w:val="00403645"/>
    <w:rsid w:val="004036AE"/>
    <w:rsid w:val="004036B7"/>
    <w:rsid w:val="0040382D"/>
    <w:rsid w:val="004038B5"/>
    <w:rsid w:val="00403957"/>
    <w:rsid w:val="004039C1"/>
    <w:rsid w:val="00403AB9"/>
    <w:rsid w:val="00403B5C"/>
    <w:rsid w:val="00403BDA"/>
    <w:rsid w:val="00403C9C"/>
    <w:rsid w:val="00403DB9"/>
    <w:rsid w:val="00403FB0"/>
    <w:rsid w:val="00403FF7"/>
    <w:rsid w:val="00403FF8"/>
    <w:rsid w:val="004040DF"/>
    <w:rsid w:val="004041DC"/>
    <w:rsid w:val="00404214"/>
    <w:rsid w:val="00404349"/>
    <w:rsid w:val="00404423"/>
    <w:rsid w:val="00404439"/>
    <w:rsid w:val="00404674"/>
    <w:rsid w:val="004046EF"/>
    <w:rsid w:val="00404876"/>
    <w:rsid w:val="00404AA6"/>
    <w:rsid w:val="00404BBB"/>
    <w:rsid w:val="00404CF7"/>
    <w:rsid w:val="00404D54"/>
    <w:rsid w:val="00404DBF"/>
    <w:rsid w:val="00404E38"/>
    <w:rsid w:val="00404F40"/>
    <w:rsid w:val="00405160"/>
    <w:rsid w:val="0040535F"/>
    <w:rsid w:val="004053EF"/>
    <w:rsid w:val="004055E0"/>
    <w:rsid w:val="0040562A"/>
    <w:rsid w:val="00405691"/>
    <w:rsid w:val="004056E7"/>
    <w:rsid w:val="00405748"/>
    <w:rsid w:val="00405757"/>
    <w:rsid w:val="004057A7"/>
    <w:rsid w:val="00405833"/>
    <w:rsid w:val="0040597D"/>
    <w:rsid w:val="004059B6"/>
    <w:rsid w:val="004059D8"/>
    <w:rsid w:val="00405A1A"/>
    <w:rsid w:val="00405A41"/>
    <w:rsid w:val="00405BC3"/>
    <w:rsid w:val="00405BD2"/>
    <w:rsid w:val="00405C5E"/>
    <w:rsid w:val="00405D15"/>
    <w:rsid w:val="00405EC0"/>
    <w:rsid w:val="00405F98"/>
    <w:rsid w:val="00405FD3"/>
    <w:rsid w:val="00405FE8"/>
    <w:rsid w:val="00406107"/>
    <w:rsid w:val="0040629A"/>
    <w:rsid w:val="004062A5"/>
    <w:rsid w:val="00406595"/>
    <w:rsid w:val="00406654"/>
    <w:rsid w:val="00406701"/>
    <w:rsid w:val="0040671F"/>
    <w:rsid w:val="0040689A"/>
    <w:rsid w:val="004068A7"/>
    <w:rsid w:val="00406974"/>
    <w:rsid w:val="004069CE"/>
    <w:rsid w:val="00406C6D"/>
    <w:rsid w:val="00406E3F"/>
    <w:rsid w:val="00407047"/>
    <w:rsid w:val="004070B9"/>
    <w:rsid w:val="004072BD"/>
    <w:rsid w:val="0040733A"/>
    <w:rsid w:val="00407400"/>
    <w:rsid w:val="00407573"/>
    <w:rsid w:val="004075AC"/>
    <w:rsid w:val="00407A6A"/>
    <w:rsid w:val="00407A6E"/>
    <w:rsid w:val="00407AAF"/>
    <w:rsid w:val="00407B3D"/>
    <w:rsid w:val="00407CAB"/>
    <w:rsid w:val="00407CE0"/>
    <w:rsid w:val="00407D02"/>
    <w:rsid w:val="00407D0D"/>
    <w:rsid w:val="00407D10"/>
    <w:rsid w:val="00407D1F"/>
    <w:rsid w:val="00407F60"/>
    <w:rsid w:val="0041014D"/>
    <w:rsid w:val="0041024F"/>
    <w:rsid w:val="004104B4"/>
    <w:rsid w:val="004104DC"/>
    <w:rsid w:val="00410716"/>
    <w:rsid w:val="004107A5"/>
    <w:rsid w:val="00410942"/>
    <w:rsid w:val="00410943"/>
    <w:rsid w:val="0041098E"/>
    <w:rsid w:val="00410A27"/>
    <w:rsid w:val="00410A56"/>
    <w:rsid w:val="00410B58"/>
    <w:rsid w:val="00410D7D"/>
    <w:rsid w:val="00410D9D"/>
    <w:rsid w:val="00410E4B"/>
    <w:rsid w:val="00410EFE"/>
    <w:rsid w:val="00410F6A"/>
    <w:rsid w:val="00410F88"/>
    <w:rsid w:val="00411120"/>
    <w:rsid w:val="004111FB"/>
    <w:rsid w:val="004112EA"/>
    <w:rsid w:val="00411346"/>
    <w:rsid w:val="00411417"/>
    <w:rsid w:val="00411479"/>
    <w:rsid w:val="0041152C"/>
    <w:rsid w:val="004115A9"/>
    <w:rsid w:val="00411794"/>
    <w:rsid w:val="00411953"/>
    <w:rsid w:val="0041198D"/>
    <w:rsid w:val="00411AC6"/>
    <w:rsid w:val="00411B4A"/>
    <w:rsid w:val="00411BE0"/>
    <w:rsid w:val="00411D4C"/>
    <w:rsid w:val="0041241A"/>
    <w:rsid w:val="00412556"/>
    <w:rsid w:val="00412606"/>
    <w:rsid w:val="00412617"/>
    <w:rsid w:val="004126F5"/>
    <w:rsid w:val="0041274A"/>
    <w:rsid w:val="00412778"/>
    <w:rsid w:val="004127CF"/>
    <w:rsid w:val="004127D1"/>
    <w:rsid w:val="00412A20"/>
    <w:rsid w:val="00412A89"/>
    <w:rsid w:val="00412DA3"/>
    <w:rsid w:val="00412DCF"/>
    <w:rsid w:val="00412E5A"/>
    <w:rsid w:val="00412E98"/>
    <w:rsid w:val="00412ECA"/>
    <w:rsid w:val="00412EFF"/>
    <w:rsid w:val="0041306B"/>
    <w:rsid w:val="004130BA"/>
    <w:rsid w:val="00413130"/>
    <w:rsid w:val="0041319A"/>
    <w:rsid w:val="004131C2"/>
    <w:rsid w:val="004131E6"/>
    <w:rsid w:val="004132FB"/>
    <w:rsid w:val="0041340F"/>
    <w:rsid w:val="004135DC"/>
    <w:rsid w:val="0041369A"/>
    <w:rsid w:val="00413760"/>
    <w:rsid w:val="00413767"/>
    <w:rsid w:val="00413859"/>
    <w:rsid w:val="004138F7"/>
    <w:rsid w:val="00413946"/>
    <w:rsid w:val="0041395A"/>
    <w:rsid w:val="004139F1"/>
    <w:rsid w:val="00413BD0"/>
    <w:rsid w:val="00413C28"/>
    <w:rsid w:val="00413CFE"/>
    <w:rsid w:val="00413D67"/>
    <w:rsid w:val="00413E0A"/>
    <w:rsid w:val="00413F92"/>
    <w:rsid w:val="004141ED"/>
    <w:rsid w:val="00414238"/>
    <w:rsid w:val="00414366"/>
    <w:rsid w:val="004143D5"/>
    <w:rsid w:val="0041446F"/>
    <w:rsid w:val="004145EC"/>
    <w:rsid w:val="00414661"/>
    <w:rsid w:val="00414684"/>
    <w:rsid w:val="00414747"/>
    <w:rsid w:val="004148A4"/>
    <w:rsid w:val="00414AC1"/>
    <w:rsid w:val="00414AD6"/>
    <w:rsid w:val="00414B14"/>
    <w:rsid w:val="00414B3C"/>
    <w:rsid w:val="00414BB0"/>
    <w:rsid w:val="00414C76"/>
    <w:rsid w:val="00414D2D"/>
    <w:rsid w:val="00414D2E"/>
    <w:rsid w:val="00414D96"/>
    <w:rsid w:val="00414DD7"/>
    <w:rsid w:val="00414E08"/>
    <w:rsid w:val="00414E81"/>
    <w:rsid w:val="00414F13"/>
    <w:rsid w:val="00414F52"/>
    <w:rsid w:val="0041508B"/>
    <w:rsid w:val="0041517F"/>
    <w:rsid w:val="00415230"/>
    <w:rsid w:val="00415339"/>
    <w:rsid w:val="004154A8"/>
    <w:rsid w:val="00415557"/>
    <w:rsid w:val="004155BA"/>
    <w:rsid w:val="00415693"/>
    <w:rsid w:val="004156C1"/>
    <w:rsid w:val="0041572C"/>
    <w:rsid w:val="0041595C"/>
    <w:rsid w:val="004159CA"/>
    <w:rsid w:val="00415AAB"/>
    <w:rsid w:val="00415B58"/>
    <w:rsid w:val="00415B9E"/>
    <w:rsid w:val="00415BCA"/>
    <w:rsid w:val="00415BF0"/>
    <w:rsid w:val="00415D01"/>
    <w:rsid w:val="00415E9F"/>
    <w:rsid w:val="004160EF"/>
    <w:rsid w:val="0041615A"/>
    <w:rsid w:val="00416170"/>
    <w:rsid w:val="0041617A"/>
    <w:rsid w:val="00416222"/>
    <w:rsid w:val="004162B8"/>
    <w:rsid w:val="0041638D"/>
    <w:rsid w:val="0041649B"/>
    <w:rsid w:val="0041659A"/>
    <w:rsid w:val="004165B1"/>
    <w:rsid w:val="00416687"/>
    <w:rsid w:val="004166D5"/>
    <w:rsid w:val="004166E4"/>
    <w:rsid w:val="00416937"/>
    <w:rsid w:val="0041697E"/>
    <w:rsid w:val="00416B28"/>
    <w:rsid w:val="00416B63"/>
    <w:rsid w:val="00416DD1"/>
    <w:rsid w:val="00416F65"/>
    <w:rsid w:val="00417054"/>
    <w:rsid w:val="004171D6"/>
    <w:rsid w:val="0041722F"/>
    <w:rsid w:val="00417338"/>
    <w:rsid w:val="00417359"/>
    <w:rsid w:val="00417535"/>
    <w:rsid w:val="00417578"/>
    <w:rsid w:val="00417589"/>
    <w:rsid w:val="00417605"/>
    <w:rsid w:val="004176C8"/>
    <w:rsid w:val="00417747"/>
    <w:rsid w:val="0041777C"/>
    <w:rsid w:val="0041788F"/>
    <w:rsid w:val="00417999"/>
    <w:rsid w:val="0041799A"/>
    <w:rsid w:val="00417A61"/>
    <w:rsid w:val="00417C24"/>
    <w:rsid w:val="00417E56"/>
    <w:rsid w:val="00417E8F"/>
    <w:rsid w:val="00420076"/>
    <w:rsid w:val="004200D0"/>
    <w:rsid w:val="00420100"/>
    <w:rsid w:val="00420232"/>
    <w:rsid w:val="004202E0"/>
    <w:rsid w:val="00420373"/>
    <w:rsid w:val="0042080B"/>
    <w:rsid w:val="00420862"/>
    <w:rsid w:val="0042098A"/>
    <w:rsid w:val="00420AE5"/>
    <w:rsid w:val="00420E0A"/>
    <w:rsid w:val="00420EFC"/>
    <w:rsid w:val="00420F80"/>
    <w:rsid w:val="004210BD"/>
    <w:rsid w:val="004210F3"/>
    <w:rsid w:val="00421166"/>
    <w:rsid w:val="00421181"/>
    <w:rsid w:val="0042127A"/>
    <w:rsid w:val="00421453"/>
    <w:rsid w:val="004214B3"/>
    <w:rsid w:val="004214C3"/>
    <w:rsid w:val="004216A4"/>
    <w:rsid w:val="004216E4"/>
    <w:rsid w:val="00421730"/>
    <w:rsid w:val="00421865"/>
    <w:rsid w:val="00421B06"/>
    <w:rsid w:val="00421C0E"/>
    <w:rsid w:val="00421C32"/>
    <w:rsid w:val="00421D44"/>
    <w:rsid w:val="00421D90"/>
    <w:rsid w:val="00421FE8"/>
    <w:rsid w:val="00421FFA"/>
    <w:rsid w:val="00422068"/>
    <w:rsid w:val="004220E4"/>
    <w:rsid w:val="00422106"/>
    <w:rsid w:val="004222C2"/>
    <w:rsid w:val="004223E2"/>
    <w:rsid w:val="00422437"/>
    <w:rsid w:val="004225CC"/>
    <w:rsid w:val="0042295C"/>
    <w:rsid w:val="00422B15"/>
    <w:rsid w:val="00422B25"/>
    <w:rsid w:val="00422C80"/>
    <w:rsid w:val="00422D4D"/>
    <w:rsid w:val="00423019"/>
    <w:rsid w:val="004230AF"/>
    <w:rsid w:val="00423116"/>
    <w:rsid w:val="00423324"/>
    <w:rsid w:val="00423357"/>
    <w:rsid w:val="00423424"/>
    <w:rsid w:val="00423545"/>
    <w:rsid w:val="004235F4"/>
    <w:rsid w:val="0042366F"/>
    <w:rsid w:val="0042369F"/>
    <w:rsid w:val="0042378F"/>
    <w:rsid w:val="004237AD"/>
    <w:rsid w:val="00423802"/>
    <w:rsid w:val="0042382C"/>
    <w:rsid w:val="00423892"/>
    <w:rsid w:val="00423942"/>
    <w:rsid w:val="00423A61"/>
    <w:rsid w:val="00423A74"/>
    <w:rsid w:val="00423A97"/>
    <w:rsid w:val="00423BBA"/>
    <w:rsid w:val="00423C27"/>
    <w:rsid w:val="00423C48"/>
    <w:rsid w:val="00423D23"/>
    <w:rsid w:val="00423E5E"/>
    <w:rsid w:val="00423E5F"/>
    <w:rsid w:val="00423F25"/>
    <w:rsid w:val="00423FC7"/>
    <w:rsid w:val="004241E9"/>
    <w:rsid w:val="004242DA"/>
    <w:rsid w:val="004243C9"/>
    <w:rsid w:val="00424440"/>
    <w:rsid w:val="0042457B"/>
    <w:rsid w:val="00424601"/>
    <w:rsid w:val="0042469E"/>
    <w:rsid w:val="00424953"/>
    <w:rsid w:val="00424B68"/>
    <w:rsid w:val="00424D6A"/>
    <w:rsid w:val="00424E7A"/>
    <w:rsid w:val="00424EA3"/>
    <w:rsid w:val="00424F11"/>
    <w:rsid w:val="00425028"/>
    <w:rsid w:val="004253B6"/>
    <w:rsid w:val="00425504"/>
    <w:rsid w:val="004255F4"/>
    <w:rsid w:val="00425607"/>
    <w:rsid w:val="0042569C"/>
    <w:rsid w:val="004256E3"/>
    <w:rsid w:val="00425783"/>
    <w:rsid w:val="0042587C"/>
    <w:rsid w:val="004258E3"/>
    <w:rsid w:val="0042595C"/>
    <w:rsid w:val="00425A03"/>
    <w:rsid w:val="00425C15"/>
    <w:rsid w:val="00425D14"/>
    <w:rsid w:val="00425D36"/>
    <w:rsid w:val="00425E04"/>
    <w:rsid w:val="004261D5"/>
    <w:rsid w:val="00426200"/>
    <w:rsid w:val="00426226"/>
    <w:rsid w:val="004263A6"/>
    <w:rsid w:val="00426501"/>
    <w:rsid w:val="004266DA"/>
    <w:rsid w:val="00426722"/>
    <w:rsid w:val="00426824"/>
    <w:rsid w:val="00426936"/>
    <w:rsid w:val="00426BE7"/>
    <w:rsid w:val="00426C05"/>
    <w:rsid w:val="00426E3F"/>
    <w:rsid w:val="00426E5C"/>
    <w:rsid w:val="00426E9E"/>
    <w:rsid w:val="00426EF9"/>
    <w:rsid w:val="00426F51"/>
    <w:rsid w:val="00427097"/>
    <w:rsid w:val="004270CF"/>
    <w:rsid w:val="004270D0"/>
    <w:rsid w:val="00427116"/>
    <w:rsid w:val="004271DB"/>
    <w:rsid w:val="004272BD"/>
    <w:rsid w:val="00427389"/>
    <w:rsid w:val="0042742E"/>
    <w:rsid w:val="004274A5"/>
    <w:rsid w:val="004274FB"/>
    <w:rsid w:val="00427595"/>
    <w:rsid w:val="00427682"/>
    <w:rsid w:val="004276F5"/>
    <w:rsid w:val="00427761"/>
    <w:rsid w:val="004277B3"/>
    <w:rsid w:val="004277FA"/>
    <w:rsid w:val="00427962"/>
    <w:rsid w:val="00427AB6"/>
    <w:rsid w:val="00427B13"/>
    <w:rsid w:val="00427D83"/>
    <w:rsid w:val="00427E58"/>
    <w:rsid w:val="00427E85"/>
    <w:rsid w:val="00427F5B"/>
    <w:rsid w:val="0043004E"/>
    <w:rsid w:val="00430209"/>
    <w:rsid w:val="004302A0"/>
    <w:rsid w:val="004305E4"/>
    <w:rsid w:val="0043069B"/>
    <w:rsid w:val="0043088A"/>
    <w:rsid w:val="00430973"/>
    <w:rsid w:val="004309E1"/>
    <w:rsid w:val="00430A92"/>
    <w:rsid w:val="00430B28"/>
    <w:rsid w:val="00430BE7"/>
    <w:rsid w:val="00430C6E"/>
    <w:rsid w:val="00430DA5"/>
    <w:rsid w:val="004311C6"/>
    <w:rsid w:val="00431232"/>
    <w:rsid w:val="004312F7"/>
    <w:rsid w:val="00431559"/>
    <w:rsid w:val="00431677"/>
    <w:rsid w:val="0043171A"/>
    <w:rsid w:val="00431780"/>
    <w:rsid w:val="0043184D"/>
    <w:rsid w:val="00431A96"/>
    <w:rsid w:val="00431B61"/>
    <w:rsid w:val="00431B63"/>
    <w:rsid w:val="00431BE3"/>
    <w:rsid w:val="00431BF0"/>
    <w:rsid w:val="00431C60"/>
    <w:rsid w:val="00431DDE"/>
    <w:rsid w:val="00431E35"/>
    <w:rsid w:val="00432094"/>
    <w:rsid w:val="00432345"/>
    <w:rsid w:val="004323E1"/>
    <w:rsid w:val="0043247A"/>
    <w:rsid w:val="004325B9"/>
    <w:rsid w:val="0043262B"/>
    <w:rsid w:val="00432736"/>
    <w:rsid w:val="00432776"/>
    <w:rsid w:val="00432822"/>
    <w:rsid w:val="00432870"/>
    <w:rsid w:val="00432899"/>
    <w:rsid w:val="00432994"/>
    <w:rsid w:val="004329D5"/>
    <w:rsid w:val="00432A07"/>
    <w:rsid w:val="00432A51"/>
    <w:rsid w:val="00432C47"/>
    <w:rsid w:val="00432CAE"/>
    <w:rsid w:val="00432CCA"/>
    <w:rsid w:val="00432D7A"/>
    <w:rsid w:val="00432DBC"/>
    <w:rsid w:val="00432E8D"/>
    <w:rsid w:val="00432F96"/>
    <w:rsid w:val="00433015"/>
    <w:rsid w:val="00433030"/>
    <w:rsid w:val="004331FB"/>
    <w:rsid w:val="004332C4"/>
    <w:rsid w:val="00433318"/>
    <w:rsid w:val="00433392"/>
    <w:rsid w:val="0043340F"/>
    <w:rsid w:val="00433455"/>
    <w:rsid w:val="0043350F"/>
    <w:rsid w:val="004335D3"/>
    <w:rsid w:val="004335D8"/>
    <w:rsid w:val="004335E2"/>
    <w:rsid w:val="004336B1"/>
    <w:rsid w:val="00433739"/>
    <w:rsid w:val="0043388D"/>
    <w:rsid w:val="004338D1"/>
    <w:rsid w:val="004339EB"/>
    <w:rsid w:val="00433AA1"/>
    <w:rsid w:val="00433B3E"/>
    <w:rsid w:val="00433B6F"/>
    <w:rsid w:val="00433C7B"/>
    <w:rsid w:val="00433CF5"/>
    <w:rsid w:val="00433EC1"/>
    <w:rsid w:val="00433EEF"/>
    <w:rsid w:val="0043402B"/>
    <w:rsid w:val="004341AE"/>
    <w:rsid w:val="0043422A"/>
    <w:rsid w:val="0043441F"/>
    <w:rsid w:val="00434593"/>
    <w:rsid w:val="004347E1"/>
    <w:rsid w:val="00434803"/>
    <w:rsid w:val="00434900"/>
    <w:rsid w:val="004349A1"/>
    <w:rsid w:val="004349C3"/>
    <w:rsid w:val="00434AB4"/>
    <w:rsid w:val="00434AB7"/>
    <w:rsid w:val="00434AF0"/>
    <w:rsid w:val="00434B51"/>
    <w:rsid w:val="00434B5B"/>
    <w:rsid w:val="00434C28"/>
    <w:rsid w:val="00434CBC"/>
    <w:rsid w:val="00434D0B"/>
    <w:rsid w:val="00434E03"/>
    <w:rsid w:val="00434F5D"/>
    <w:rsid w:val="00435060"/>
    <w:rsid w:val="0043517A"/>
    <w:rsid w:val="00435279"/>
    <w:rsid w:val="00435554"/>
    <w:rsid w:val="004357DD"/>
    <w:rsid w:val="004357DF"/>
    <w:rsid w:val="004357F6"/>
    <w:rsid w:val="00435862"/>
    <w:rsid w:val="00435A8E"/>
    <w:rsid w:val="00435ADE"/>
    <w:rsid w:val="00435BE9"/>
    <w:rsid w:val="00435EB1"/>
    <w:rsid w:val="00435FC5"/>
    <w:rsid w:val="004360E5"/>
    <w:rsid w:val="00436126"/>
    <w:rsid w:val="0043621B"/>
    <w:rsid w:val="00436423"/>
    <w:rsid w:val="0043648A"/>
    <w:rsid w:val="00436564"/>
    <w:rsid w:val="00436645"/>
    <w:rsid w:val="00436797"/>
    <w:rsid w:val="00436A8F"/>
    <w:rsid w:val="00436AAA"/>
    <w:rsid w:val="00436B68"/>
    <w:rsid w:val="00436B83"/>
    <w:rsid w:val="00436C73"/>
    <w:rsid w:val="00436D42"/>
    <w:rsid w:val="00436D51"/>
    <w:rsid w:val="00436D5D"/>
    <w:rsid w:val="00436D91"/>
    <w:rsid w:val="00436E12"/>
    <w:rsid w:val="00436F97"/>
    <w:rsid w:val="00436FAD"/>
    <w:rsid w:val="00436FEE"/>
    <w:rsid w:val="0043727E"/>
    <w:rsid w:val="00437372"/>
    <w:rsid w:val="00437486"/>
    <w:rsid w:val="004374BF"/>
    <w:rsid w:val="004374C6"/>
    <w:rsid w:val="00437545"/>
    <w:rsid w:val="00437554"/>
    <w:rsid w:val="004375CD"/>
    <w:rsid w:val="00437744"/>
    <w:rsid w:val="00437847"/>
    <w:rsid w:val="004378FB"/>
    <w:rsid w:val="00437902"/>
    <w:rsid w:val="004379D2"/>
    <w:rsid w:val="004379FE"/>
    <w:rsid w:val="00437A00"/>
    <w:rsid w:val="00437B46"/>
    <w:rsid w:val="00437B84"/>
    <w:rsid w:val="00437E59"/>
    <w:rsid w:val="00437ED6"/>
    <w:rsid w:val="004400D6"/>
    <w:rsid w:val="0044038C"/>
    <w:rsid w:val="004404E5"/>
    <w:rsid w:val="004405A3"/>
    <w:rsid w:val="0044061B"/>
    <w:rsid w:val="004406D1"/>
    <w:rsid w:val="00440826"/>
    <w:rsid w:val="0044087E"/>
    <w:rsid w:val="0044092A"/>
    <w:rsid w:val="00440A24"/>
    <w:rsid w:val="00440AC4"/>
    <w:rsid w:val="00440C6C"/>
    <w:rsid w:val="00440D30"/>
    <w:rsid w:val="00440E3E"/>
    <w:rsid w:val="004410BE"/>
    <w:rsid w:val="00441118"/>
    <w:rsid w:val="0044116E"/>
    <w:rsid w:val="00441253"/>
    <w:rsid w:val="004413D2"/>
    <w:rsid w:val="00441438"/>
    <w:rsid w:val="0044145A"/>
    <w:rsid w:val="0044150A"/>
    <w:rsid w:val="00441675"/>
    <w:rsid w:val="0044168B"/>
    <w:rsid w:val="0044173C"/>
    <w:rsid w:val="00441A72"/>
    <w:rsid w:val="00441B56"/>
    <w:rsid w:val="00441C2E"/>
    <w:rsid w:val="00441C54"/>
    <w:rsid w:val="00441E40"/>
    <w:rsid w:val="00442177"/>
    <w:rsid w:val="0044218D"/>
    <w:rsid w:val="0044244E"/>
    <w:rsid w:val="0044261E"/>
    <w:rsid w:val="00442638"/>
    <w:rsid w:val="004426F0"/>
    <w:rsid w:val="00442743"/>
    <w:rsid w:val="0044287A"/>
    <w:rsid w:val="0044291F"/>
    <w:rsid w:val="00442B13"/>
    <w:rsid w:val="00442BC9"/>
    <w:rsid w:val="00442BDC"/>
    <w:rsid w:val="00442CC7"/>
    <w:rsid w:val="00442EFB"/>
    <w:rsid w:val="00443046"/>
    <w:rsid w:val="004430D0"/>
    <w:rsid w:val="00443197"/>
    <w:rsid w:val="00443200"/>
    <w:rsid w:val="0044321E"/>
    <w:rsid w:val="00443252"/>
    <w:rsid w:val="0044357E"/>
    <w:rsid w:val="004436A9"/>
    <w:rsid w:val="004436AC"/>
    <w:rsid w:val="0044390C"/>
    <w:rsid w:val="00443B08"/>
    <w:rsid w:val="00443B6C"/>
    <w:rsid w:val="00443C58"/>
    <w:rsid w:val="00443CAF"/>
    <w:rsid w:val="00443E82"/>
    <w:rsid w:val="00443F19"/>
    <w:rsid w:val="0044402B"/>
    <w:rsid w:val="00444068"/>
    <w:rsid w:val="0044408A"/>
    <w:rsid w:val="004440B2"/>
    <w:rsid w:val="00444274"/>
    <w:rsid w:val="00444346"/>
    <w:rsid w:val="004445A4"/>
    <w:rsid w:val="004445B8"/>
    <w:rsid w:val="004447A4"/>
    <w:rsid w:val="004447D5"/>
    <w:rsid w:val="004447D6"/>
    <w:rsid w:val="00444966"/>
    <w:rsid w:val="004449B7"/>
    <w:rsid w:val="00444B7F"/>
    <w:rsid w:val="00444E7F"/>
    <w:rsid w:val="00444F1D"/>
    <w:rsid w:val="00444F85"/>
    <w:rsid w:val="004450B5"/>
    <w:rsid w:val="00445101"/>
    <w:rsid w:val="00445115"/>
    <w:rsid w:val="00445231"/>
    <w:rsid w:val="004452EA"/>
    <w:rsid w:val="00445366"/>
    <w:rsid w:val="00445610"/>
    <w:rsid w:val="00445701"/>
    <w:rsid w:val="00445723"/>
    <w:rsid w:val="00445845"/>
    <w:rsid w:val="0044585B"/>
    <w:rsid w:val="00445863"/>
    <w:rsid w:val="00445B87"/>
    <w:rsid w:val="00445C55"/>
    <w:rsid w:val="00445C9E"/>
    <w:rsid w:val="00445CCD"/>
    <w:rsid w:val="00445D82"/>
    <w:rsid w:val="0044601B"/>
    <w:rsid w:val="0044604C"/>
    <w:rsid w:val="00446146"/>
    <w:rsid w:val="004461D7"/>
    <w:rsid w:val="0044623A"/>
    <w:rsid w:val="004462D9"/>
    <w:rsid w:val="0044650F"/>
    <w:rsid w:val="00446533"/>
    <w:rsid w:val="00446563"/>
    <w:rsid w:val="0044670A"/>
    <w:rsid w:val="00446713"/>
    <w:rsid w:val="004467F1"/>
    <w:rsid w:val="004469BD"/>
    <w:rsid w:val="00446A6B"/>
    <w:rsid w:val="00446B0C"/>
    <w:rsid w:val="00446BB0"/>
    <w:rsid w:val="00446BF5"/>
    <w:rsid w:val="00446C40"/>
    <w:rsid w:val="00446D75"/>
    <w:rsid w:val="00446DD7"/>
    <w:rsid w:val="00446FB8"/>
    <w:rsid w:val="00446FC6"/>
    <w:rsid w:val="00446FD2"/>
    <w:rsid w:val="00447036"/>
    <w:rsid w:val="00447075"/>
    <w:rsid w:val="00447138"/>
    <w:rsid w:val="00447281"/>
    <w:rsid w:val="004473BF"/>
    <w:rsid w:val="004473DE"/>
    <w:rsid w:val="0044742E"/>
    <w:rsid w:val="004474AD"/>
    <w:rsid w:val="004474C6"/>
    <w:rsid w:val="00447637"/>
    <w:rsid w:val="004476BE"/>
    <w:rsid w:val="00447708"/>
    <w:rsid w:val="00447A0A"/>
    <w:rsid w:val="00447AED"/>
    <w:rsid w:val="00447B4D"/>
    <w:rsid w:val="00447D55"/>
    <w:rsid w:val="00447E18"/>
    <w:rsid w:val="00447FF9"/>
    <w:rsid w:val="0045005C"/>
    <w:rsid w:val="0045012F"/>
    <w:rsid w:val="00450255"/>
    <w:rsid w:val="00450258"/>
    <w:rsid w:val="004502E5"/>
    <w:rsid w:val="004502ED"/>
    <w:rsid w:val="004502FD"/>
    <w:rsid w:val="004504F0"/>
    <w:rsid w:val="00450522"/>
    <w:rsid w:val="00450572"/>
    <w:rsid w:val="004506A9"/>
    <w:rsid w:val="004506AE"/>
    <w:rsid w:val="00450805"/>
    <w:rsid w:val="0045086A"/>
    <w:rsid w:val="0045089B"/>
    <w:rsid w:val="00450A89"/>
    <w:rsid w:val="00450A9F"/>
    <w:rsid w:val="00450AE7"/>
    <w:rsid w:val="00450D29"/>
    <w:rsid w:val="00451091"/>
    <w:rsid w:val="004510A6"/>
    <w:rsid w:val="00451229"/>
    <w:rsid w:val="00451338"/>
    <w:rsid w:val="004514B3"/>
    <w:rsid w:val="0045156F"/>
    <w:rsid w:val="004516D3"/>
    <w:rsid w:val="00451909"/>
    <w:rsid w:val="00451985"/>
    <w:rsid w:val="00451A92"/>
    <w:rsid w:val="00451A9B"/>
    <w:rsid w:val="00451B2B"/>
    <w:rsid w:val="00451B91"/>
    <w:rsid w:val="00451D25"/>
    <w:rsid w:val="00451ED1"/>
    <w:rsid w:val="00451ED5"/>
    <w:rsid w:val="0045207D"/>
    <w:rsid w:val="004520CB"/>
    <w:rsid w:val="0045210B"/>
    <w:rsid w:val="00452200"/>
    <w:rsid w:val="00452283"/>
    <w:rsid w:val="00452588"/>
    <w:rsid w:val="0045277F"/>
    <w:rsid w:val="00452826"/>
    <w:rsid w:val="0045291E"/>
    <w:rsid w:val="0045294A"/>
    <w:rsid w:val="00452A1D"/>
    <w:rsid w:val="00452B17"/>
    <w:rsid w:val="00452BE8"/>
    <w:rsid w:val="00452E68"/>
    <w:rsid w:val="004530EB"/>
    <w:rsid w:val="004531BC"/>
    <w:rsid w:val="00453339"/>
    <w:rsid w:val="004533E5"/>
    <w:rsid w:val="004536BF"/>
    <w:rsid w:val="00453769"/>
    <w:rsid w:val="0045387E"/>
    <w:rsid w:val="00453CAA"/>
    <w:rsid w:val="00453CB0"/>
    <w:rsid w:val="00453F60"/>
    <w:rsid w:val="00454174"/>
    <w:rsid w:val="00454178"/>
    <w:rsid w:val="004541BB"/>
    <w:rsid w:val="00454226"/>
    <w:rsid w:val="00454251"/>
    <w:rsid w:val="00454274"/>
    <w:rsid w:val="004542E7"/>
    <w:rsid w:val="00454362"/>
    <w:rsid w:val="0045440F"/>
    <w:rsid w:val="00454501"/>
    <w:rsid w:val="00454573"/>
    <w:rsid w:val="00454639"/>
    <w:rsid w:val="0045488F"/>
    <w:rsid w:val="00454920"/>
    <w:rsid w:val="00454C10"/>
    <w:rsid w:val="00454C5A"/>
    <w:rsid w:val="00454CC1"/>
    <w:rsid w:val="00454D11"/>
    <w:rsid w:val="00454D4F"/>
    <w:rsid w:val="00454DF5"/>
    <w:rsid w:val="00454F64"/>
    <w:rsid w:val="00454FC8"/>
    <w:rsid w:val="004550AA"/>
    <w:rsid w:val="004551A2"/>
    <w:rsid w:val="0045555C"/>
    <w:rsid w:val="004555E8"/>
    <w:rsid w:val="00455639"/>
    <w:rsid w:val="00455669"/>
    <w:rsid w:val="0045568D"/>
    <w:rsid w:val="004556C4"/>
    <w:rsid w:val="00455886"/>
    <w:rsid w:val="004559B4"/>
    <w:rsid w:val="00455A26"/>
    <w:rsid w:val="00455D88"/>
    <w:rsid w:val="00455DEC"/>
    <w:rsid w:val="00455E59"/>
    <w:rsid w:val="00455EF2"/>
    <w:rsid w:val="00455F4B"/>
    <w:rsid w:val="00455FB1"/>
    <w:rsid w:val="00456015"/>
    <w:rsid w:val="0045605C"/>
    <w:rsid w:val="00456072"/>
    <w:rsid w:val="004560AA"/>
    <w:rsid w:val="00456151"/>
    <w:rsid w:val="00456218"/>
    <w:rsid w:val="004562D6"/>
    <w:rsid w:val="0045631C"/>
    <w:rsid w:val="00456321"/>
    <w:rsid w:val="004563E5"/>
    <w:rsid w:val="0045643B"/>
    <w:rsid w:val="00456513"/>
    <w:rsid w:val="00456579"/>
    <w:rsid w:val="00456798"/>
    <w:rsid w:val="0045684B"/>
    <w:rsid w:val="004569C5"/>
    <w:rsid w:val="00456A46"/>
    <w:rsid w:val="00456A94"/>
    <w:rsid w:val="00456AAC"/>
    <w:rsid w:val="00456AD1"/>
    <w:rsid w:val="00456C48"/>
    <w:rsid w:val="00456C9D"/>
    <w:rsid w:val="00456D42"/>
    <w:rsid w:val="00456DCE"/>
    <w:rsid w:val="00456DFB"/>
    <w:rsid w:val="00456E0D"/>
    <w:rsid w:val="00456E5E"/>
    <w:rsid w:val="00456E8F"/>
    <w:rsid w:val="00456E9B"/>
    <w:rsid w:val="00456F57"/>
    <w:rsid w:val="00456F59"/>
    <w:rsid w:val="0045713B"/>
    <w:rsid w:val="00457208"/>
    <w:rsid w:val="0045724B"/>
    <w:rsid w:val="0045725E"/>
    <w:rsid w:val="004573EF"/>
    <w:rsid w:val="00457406"/>
    <w:rsid w:val="004574B8"/>
    <w:rsid w:val="0045752C"/>
    <w:rsid w:val="0045756B"/>
    <w:rsid w:val="00457619"/>
    <w:rsid w:val="004577DA"/>
    <w:rsid w:val="00457826"/>
    <w:rsid w:val="004578AA"/>
    <w:rsid w:val="00457B22"/>
    <w:rsid w:val="00457BE2"/>
    <w:rsid w:val="00457BF4"/>
    <w:rsid w:val="00457C7F"/>
    <w:rsid w:val="00457F40"/>
    <w:rsid w:val="00457FC5"/>
    <w:rsid w:val="004601E1"/>
    <w:rsid w:val="004604DF"/>
    <w:rsid w:val="0046052D"/>
    <w:rsid w:val="004606FA"/>
    <w:rsid w:val="00460A07"/>
    <w:rsid w:val="00460ADC"/>
    <w:rsid w:val="00460BAE"/>
    <w:rsid w:val="00460C4F"/>
    <w:rsid w:val="00460E1D"/>
    <w:rsid w:val="00460E74"/>
    <w:rsid w:val="00460FF9"/>
    <w:rsid w:val="004610AD"/>
    <w:rsid w:val="004610DF"/>
    <w:rsid w:val="0046113F"/>
    <w:rsid w:val="004611CB"/>
    <w:rsid w:val="00461443"/>
    <w:rsid w:val="00461457"/>
    <w:rsid w:val="004615E8"/>
    <w:rsid w:val="00461629"/>
    <w:rsid w:val="00461726"/>
    <w:rsid w:val="00461823"/>
    <w:rsid w:val="0046189E"/>
    <w:rsid w:val="00461A04"/>
    <w:rsid w:val="00461A3C"/>
    <w:rsid w:val="00461ED2"/>
    <w:rsid w:val="00461F9A"/>
    <w:rsid w:val="004623A2"/>
    <w:rsid w:val="004623BF"/>
    <w:rsid w:val="004623EF"/>
    <w:rsid w:val="0046250D"/>
    <w:rsid w:val="004625B3"/>
    <w:rsid w:val="004626E3"/>
    <w:rsid w:val="00462781"/>
    <w:rsid w:val="004628C8"/>
    <w:rsid w:val="004629DA"/>
    <w:rsid w:val="00462A31"/>
    <w:rsid w:val="00462B9B"/>
    <w:rsid w:val="00462BA9"/>
    <w:rsid w:val="00462C45"/>
    <w:rsid w:val="00462D36"/>
    <w:rsid w:val="00462DE2"/>
    <w:rsid w:val="0046309B"/>
    <w:rsid w:val="00463200"/>
    <w:rsid w:val="00463256"/>
    <w:rsid w:val="004632E9"/>
    <w:rsid w:val="004633BF"/>
    <w:rsid w:val="004636BE"/>
    <w:rsid w:val="00463776"/>
    <w:rsid w:val="004638E6"/>
    <w:rsid w:val="0046398C"/>
    <w:rsid w:val="004639EE"/>
    <w:rsid w:val="00463B90"/>
    <w:rsid w:val="00463BA2"/>
    <w:rsid w:val="00463C04"/>
    <w:rsid w:val="00463CF4"/>
    <w:rsid w:val="00463D0D"/>
    <w:rsid w:val="00463E14"/>
    <w:rsid w:val="00463E50"/>
    <w:rsid w:val="00463F73"/>
    <w:rsid w:val="004640EA"/>
    <w:rsid w:val="0046422D"/>
    <w:rsid w:val="0046423C"/>
    <w:rsid w:val="0046429B"/>
    <w:rsid w:val="00464311"/>
    <w:rsid w:val="004643FC"/>
    <w:rsid w:val="00464462"/>
    <w:rsid w:val="00464665"/>
    <w:rsid w:val="0046467F"/>
    <w:rsid w:val="00464691"/>
    <w:rsid w:val="0046475F"/>
    <w:rsid w:val="0046487E"/>
    <w:rsid w:val="004649BE"/>
    <w:rsid w:val="00464A1F"/>
    <w:rsid w:val="00464A7C"/>
    <w:rsid w:val="00464CBC"/>
    <w:rsid w:val="00464CC9"/>
    <w:rsid w:val="00464D0B"/>
    <w:rsid w:val="00464D62"/>
    <w:rsid w:val="00464E7A"/>
    <w:rsid w:val="004652FE"/>
    <w:rsid w:val="004653E3"/>
    <w:rsid w:val="004653ED"/>
    <w:rsid w:val="004654A0"/>
    <w:rsid w:val="004654F6"/>
    <w:rsid w:val="0046550D"/>
    <w:rsid w:val="004655DA"/>
    <w:rsid w:val="004657E0"/>
    <w:rsid w:val="00465827"/>
    <w:rsid w:val="00465885"/>
    <w:rsid w:val="00465899"/>
    <w:rsid w:val="00465977"/>
    <w:rsid w:val="00465A4A"/>
    <w:rsid w:val="00465E99"/>
    <w:rsid w:val="00465F03"/>
    <w:rsid w:val="00465FF0"/>
    <w:rsid w:val="00465FFA"/>
    <w:rsid w:val="004660FC"/>
    <w:rsid w:val="00466237"/>
    <w:rsid w:val="00466270"/>
    <w:rsid w:val="0046636C"/>
    <w:rsid w:val="0046656A"/>
    <w:rsid w:val="0046674D"/>
    <w:rsid w:val="00466814"/>
    <w:rsid w:val="00466850"/>
    <w:rsid w:val="004668A5"/>
    <w:rsid w:val="0046690E"/>
    <w:rsid w:val="004669CC"/>
    <w:rsid w:val="00466A72"/>
    <w:rsid w:val="00466C23"/>
    <w:rsid w:val="00466CC2"/>
    <w:rsid w:val="00466CD8"/>
    <w:rsid w:val="00466E38"/>
    <w:rsid w:val="00466F16"/>
    <w:rsid w:val="00466FE5"/>
    <w:rsid w:val="00467082"/>
    <w:rsid w:val="00467284"/>
    <w:rsid w:val="0046740A"/>
    <w:rsid w:val="0046744C"/>
    <w:rsid w:val="0046744D"/>
    <w:rsid w:val="00467451"/>
    <w:rsid w:val="004675AB"/>
    <w:rsid w:val="004677AE"/>
    <w:rsid w:val="004678A9"/>
    <w:rsid w:val="004678CC"/>
    <w:rsid w:val="004678F3"/>
    <w:rsid w:val="004679A9"/>
    <w:rsid w:val="004679C3"/>
    <w:rsid w:val="004679F7"/>
    <w:rsid w:val="00467A03"/>
    <w:rsid w:val="00467A5D"/>
    <w:rsid w:val="00467A7C"/>
    <w:rsid w:val="00467BFC"/>
    <w:rsid w:val="00467C2F"/>
    <w:rsid w:val="00467CC1"/>
    <w:rsid w:val="00467D2E"/>
    <w:rsid w:val="00467E20"/>
    <w:rsid w:val="00467ECB"/>
    <w:rsid w:val="00467FEC"/>
    <w:rsid w:val="00467FFC"/>
    <w:rsid w:val="0047005C"/>
    <w:rsid w:val="00470195"/>
    <w:rsid w:val="00470256"/>
    <w:rsid w:val="0047026A"/>
    <w:rsid w:val="004702E1"/>
    <w:rsid w:val="0047034C"/>
    <w:rsid w:val="004703BC"/>
    <w:rsid w:val="004703E4"/>
    <w:rsid w:val="0047067A"/>
    <w:rsid w:val="0047077C"/>
    <w:rsid w:val="00470890"/>
    <w:rsid w:val="00470ABC"/>
    <w:rsid w:val="00470C20"/>
    <w:rsid w:val="00470C3F"/>
    <w:rsid w:val="00470C75"/>
    <w:rsid w:val="00470CFE"/>
    <w:rsid w:val="00470D15"/>
    <w:rsid w:val="00470D86"/>
    <w:rsid w:val="00470E99"/>
    <w:rsid w:val="00471012"/>
    <w:rsid w:val="0047107F"/>
    <w:rsid w:val="0047113B"/>
    <w:rsid w:val="00471164"/>
    <w:rsid w:val="004711E3"/>
    <w:rsid w:val="004712E7"/>
    <w:rsid w:val="00471381"/>
    <w:rsid w:val="004713C7"/>
    <w:rsid w:val="00471401"/>
    <w:rsid w:val="00471402"/>
    <w:rsid w:val="004714A9"/>
    <w:rsid w:val="004715B4"/>
    <w:rsid w:val="0047161E"/>
    <w:rsid w:val="00471806"/>
    <w:rsid w:val="004718D9"/>
    <w:rsid w:val="004719A5"/>
    <w:rsid w:val="00471A6F"/>
    <w:rsid w:val="00471B60"/>
    <w:rsid w:val="00471C81"/>
    <w:rsid w:val="00471C9E"/>
    <w:rsid w:val="00471CAC"/>
    <w:rsid w:val="00471CD4"/>
    <w:rsid w:val="00471E40"/>
    <w:rsid w:val="00471E42"/>
    <w:rsid w:val="00471E61"/>
    <w:rsid w:val="00472160"/>
    <w:rsid w:val="00472457"/>
    <w:rsid w:val="004724A7"/>
    <w:rsid w:val="004725BB"/>
    <w:rsid w:val="004725FA"/>
    <w:rsid w:val="00472655"/>
    <w:rsid w:val="00472716"/>
    <w:rsid w:val="00472A70"/>
    <w:rsid w:val="00472AD8"/>
    <w:rsid w:val="00472B1A"/>
    <w:rsid w:val="00472C32"/>
    <w:rsid w:val="00472C53"/>
    <w:rsid w:val="00472D33"/>
    <w:rsid w:val="00472D64"/>
    <w:rsid w:val="00472EB0"/>
    <w:rsid w:val="00472F06"/>
    <w:rsid w:val="00473033"/>
    <w:rsid w:val="0047306E"/>
    <w:rsid w:val="004730D6"/>
    <w:rsid w:val="0047314E"/>
    <w:rsid w:val="00473174"/>
    <w:rsid w:val="00473341"/>
    <w:rsid w:val="00473387"/>
    <w:rsid w:val="004733E4"/>
    <w:rsid w:val="00473418"/>
    <w:rsid w:val="004735D5"/>
    <w:rsid w:val="004735ED"/>
    <w:rsid w:val="00473836"/>
    <w:rsid w:val="00473902"/>
    <w:rsid w:val="004739FD"/>
    <w:rsid w:val="00473A9C"/>
    <w:rsid w:val="00473B65"/>
    <w:rsid w:val="00473BD5"/>
    <w:rsid w:val="00473CD3"/>
    <w:rsid w:val="00473CD6"/>
    <w:rsid w:val="00473D3A"/>
    <w:rsid w:val="00473DFD"/>
    <w:rsid w:val="00473F43"/>
    <w:rsid w:val="00473F96"/>
    <w:rsid w:val="00473FCE"/>
    <w:rsid w:val="0047407F"/>
    <w:rsid w:val="00474087"/>
    <w:rsid w:val="004740B6"/>
    <w:rsid w:val="00474165"/>
    <w:rsid w:val="00474239"/>
    <w:rsid w:val="004743A9"/>
    <w:rsid w:val="00474536"/>
    <w:rsid w:val="00474682"/>
    <w:rsid w:val="00474691"/>
    <w:rsid w:val="004747B6"/>
    <w:rsid w:val="0047491D"/>
    <w:rsid w:val="00474953"/>
    <w:rsid w:val="00474AAF"/>
    <w:rsid w:val="00474AF7"/>
    <w:rsid w:val="00474B6D"/>
    <w:rsid w:val="00474BA4"/>
    <w:rsid w:val="00474C70"/>
    <w:rsid w:val="00474D63"/>
    <w:rsid w:val="00474E6D"/>
    <w:rsid w:val="00474EAF"/>
    <w:rsid w:val="00474F18"/>
    <w:rsid w:val="004751C0"/>
    <w:rsid w:val="00475242"/>
    <w:rsid w:val="00475263"/>
    <w:rsid w:val="00475670"/>
    <w:rsid w:val="0047568E"/>
    <w:rsid w:val="004756E9"/>
    <w:rsid w:val="00475842"/>
    <w:rsid w:val="004758F1"/>
    <w:rsid w:val="004759BB"/>
    <w:rsid w:val="00475CC1"/>
    <w:rsid w:val="00475D3D"/>
    <w:rsid w:val="00475D49"/>
    <w:rsid w:val="00475DE7"/>
    <w:rsid w:val="00475E92"/>
    <w:rsid w:val="00475F08"/>
    <w:rsid w:val="00475F89"/>
    <w:rsid w:val="00476072"/>
    <w:rsid w:val="00476095"/>
    <w:rsid w:val="004760CE"/>
    <w:rsid w:val="00476176"/>
    <w:rsid w:val="004761A4"/>
    <w:rsid w:val="004761F5"/>
    <w:rsid w:val="00476355"/>
    <w:rsid w:val="004763CA"/>
    <w:rsid w:val="004763F1"/>
    <w:rsid w:val="0047646B"/>
    <w:rsid w:val="004764A2"/>
    <w:rsid w:val="004765BF"/>
    <w:rsid w:val="004766DE"/>
    <w:rsid w:val="0047673B"/>
    <w:rsid w:val="0047678D"/>
    <w:rsid w:val="004768B0"/>
    <w:rsid w:val="004768C5"/>
    <w:rsid w:val="00476930"/>
    <w:rsid w:val="00476C1F"/>
    <w:rsid w:val="00476CB2"/>
    <w:rsid w:val="00476DA1"/>
    <w:rsid w:val="00476DD0"/>
    <w:rsid w:val="00476E01"/>
    <w:rsid w:val="00476E5E"/>
    <w:rsid w:val="00476F3D"/>
    <w:rsid w:val="00477092"/>
    <w:rsid w:val="00477117"/>
    <w:rsid w:val="004771C5"/>
    <w:rsid w:val="00477283"/>
    <w:rsid w:val="00477319"/>
    <w:rsid w:val="004773B5"/>
    <w:rsid w:val="00477680"/>
    <w:rsid w:val="00477730"/>
    <w:rsid w:val="0047774E"/>
    <w:rsid w:val="00477768"/>
    <w:rsid w:val="004778B2"/>
    <w:rsid w:val="00477A30"/>
    <w:rsid w:val="00477AA0"/>
    <w:rsid w:val="00477B2A"/>
    <w:rsid w:val="00477B41"/>
    <w:rsid w:val="00477B50"/>
    <w:rsid w:val="00477DC2"/>
    <w:rsid w:val="00477E4E"/>
    <w:rsid w:val="00477EC0"/>
    <w:rsid w:val="00477EE3"/>
    <w:rsid w:val="00480003"/>
    <w:rsid w:val="00480105"/>
    <w:rsid w:val="00480156"/>
    <w:rsid w:val="0048027B"/>
    <w:rsid w:val="004802A2"/>
    <w:rsid w:val="004804B3"/>
    <w:rsid w:val="00480594"/>
    <w:rsid w:val="00480632"/>
    <w:rsid w:val="00480743"/>
    <w:rsid w:val="00480925"/>
    <w:rsid w:val="004809E3"/>
    <w:rsid w:val="00480AAB"/>
    <w:rsid w:val="00480B0E"/>
    <w:rsid w:val="00480E99"/>
    <w:rsid w:val="00480F43"/>
    <w:rsid w:val="0048100D"/>
    <w:rsid w:val="0048104D"/>
    <w:rsid w:val="0048113D"/>
    <w:rsid w:val="004811CB"/>
    <w:rsid w:val="0048126B"/>
    <w:rsid w:val="004812A5"/>
    <w:rsid w:val="004812CA"/>
    <w:rsid w:val="004813B8"/>
    <w:rsid w:val="00481720"/>
    <w:rsid w:val="00481825"/>
    <w:rsid w:val="00481BAA"/>
    <w:rsid w:val="00481C79"/>
    <w:rsid w:val="00481C92"/>
    <w:rsid w:val="00481CD0"/>
    <w:rsid w:val="00481E4B"/>
    <w:rsid w:val="00482065"/>
    <w:rsid w:val="00482110"/>
    <w:rsid w:val="00482256"/>
    <w:rsid w:val="004825C7"/>
    <w:rsid w:val="0048265E"/>
    <w:rsid w:val="004828CD"/>
    <w:rsid w:val="0048297E"/>
    <w:rsid w:val="00482B89"/>
    <w:rsid w:val="00482C96"/>
    <w:rsid w:val="00482F65"/>
    <w:rsid w:val="00482FA2"/>
    <w:rsid w:val="0048314A"/>
    <w:rsid w:val="004831FF"/>
    <w:rsid w:val="00483276"/>
    <w:rsid w:val="004834CB"/>
    <w:rsid w:val="004836C8"/>
    <w:rsid w:val="00483774"/>
    <w:rsid w:val="004837BE"/>
    <w:rsid w:val="00483878"/>
    <w:rsid w:val="004838E6"/>
    <w:rsid w:val="004838F9"/>
    <w:rsid w:val="00483934"/>
    <w:rsid w:val="004839BC"/>
    <w:rsid w:val="004839E8"/>
    <w:rsid w:val="00483BDC"/>
    <w:rsid w:val="00483C8D"/>
    <w:rsid w:val="00483C97"/>
    <w:rsid w:val="00483F0E"/>
    <w:rsid w:val="00483F24"/>
    <w:rsid w:val="00483F5A"/>
    <w:rsid w:val="004840F6"/>
    <w:rsid w:val="00484454"/>
    <w:rsid w:val="00484631"/>
    <w:rsid w:val="00484682"/>
    <w:rsid w:val="0048486E"/>
    <w:rsid w:val="00484A01"/>
    <w:rsid w:val="00484A52"/>
    <w:rsid w:val="00484A90"/>
    <w:rsid w:val="00484AB0"/>
    <w:rsid w:val="00484D08"/>
    <w:rsid w:val="00484DA0"/>
    <w:rsid w:val="00484DA4"/>
    <w:rsid w:val="00484E03"/>
    <w:rsid w:val="00484EB8"/>
    <w:rsid w:val="00484EC0"/>
    <w:rsid w:val="00484F07"/>
    <w:rsid w:val="00484F5F"/>
    <w:rsid w:val="00485010"/>
    <w:rsid w:val="0048505E"/>
    <w:rsid w:val="0048508B"/>
    <w:rsid w:val="0048514F"/>
    <w:rsid w:val="004851D4"/>
    <w:rsid w:val="00485329"/>
    <w:rsid w:val="004853AB"/>
    <w:rsid w:val="0048544A"/>
    <w:rsid w:val="00485600"/>
    <w:rsid w:val="004857AE"/>
    <w:rsid w:val="004857CE"/>
    <w:rsid w:val="00485840"/>
    <w:rsid w:val="00485873"/>
    <w:rsid w:val="00485A62"/>
    <w:rsid w:val="00485AAB"/>
    <w:rsid w:val="00485B26"/>
    <w:rsid w:val="00485B4F"/>
    <w:rsid w:val="00485B9C"/>
    <w:rsid w:val="00485BAD"/>
    <w:rsid w:val="00485BB7"/>
    <w:rsid w:val="00485C64"/>
    <w:rsid w:val="00485C84"/>
    <w:rsid w:val="00485D58"/>
    <w:rsid w:val="00485F93"/>
    <w:rsid w:val="004862A6"/>
    <w:rsid w:val="00486302"/>
    <w:rsid w:val="0048634F"/>
    <w:rsid w:val="00486494"/>
    <w:rsid w:val="00486565"/>
    <w:rsid w:val="00486586"/>
    <w:rsid w:val="0048666A"/>
    <w:rsid w:val="004868C0"/>
    <w:rsid w:val="00486950"/>
    <w:rsid w:val="00486ADB"/>
    <w:rsid w:val="00486B71"/>
    <w:rsid w:val="00486BB1"/>
    <w:rsid w:val="00486C53"/>
    <w:rsid w:val="00486C63"/>
    <w:rsid w:val="00486C64"/>
    <w:rsid w:val="00486D0E"/>
    <w:rsid w:val="00486D14"/>
    <w:rsid w:val="00486E52"/>
    <w:rsid w:val="00486FCD"/>
    <w:rsid w:val="00487023"/>
    <w:rsid w:val="004874BD"/>
    <w:rsid w:val="004875E5"/>
    <w:rsid w:val="004876B7"/>
    <w:rsid w:val="0048777A"/>
    <w:rsid w:val="0048778D"/>
    <w:rsid w:val="0048781F"/>
    <w:rsid w:val="0048784F"/>
    <w:rsid w:val="00487850"/>
    <w:rsid w:val="00487946"/>
    <w:rsid w:val="00487AC5"/>
    <w:rsid w:val="00487C23"/>
    <w:rsid w:val="00487E7B"/>
    <w:rsid w:val="00487FCC"/>
    <w:rsid w:val="00487FE8"/>
    <w:rsid w:val="0049011C"/>
    <w:rsid w:val="00490170"/>
    <w:rsid w:val="00490283"/>
    <w:rsid w:val="004902F4"/>
    <w:rsid w:val="00490330"/>
    <w:rsid w:val="00490458"/>
    <w:rsid w:val="004904A1"/>
    <w:rsid w:val="004905CD"/>
    <w:rsid w:val="0049067C"/>
    <w:rsid w:val="004906A1"/>
    <w:rsid w:val="00490726"/>
    <w:rsid w:val="0049072D"/>
    <w:rsid w:val="00490B7B"/>
    <w:rsid w:val="00490CC5"/>
    <w:rsid w:val="00490D23"/>
    <w:rsid w:val="00490D6B"/>
    <w:rsid w:val="00490E4D"/>
    <w:rsid w:val="00490F00"/>
    <w:rsid w:val="00490FC4"/>
    <w:rsid w:val="00491007"/>
    <w:rsid w:val="004910F0"/>
    <w:rsid w:val="00491150"/>
    <w:rsid w:val="004911D8"/>
    <w:rsid w:val="0049122E"/>
    <w:rsid w:val="00491239"/>
    <w:rsid w:val="00491303"/>
    <w:rsid w:val="00491394"/>
    <w:rsid w:val="0049158F"/>
    <w:rsid w:val="004915A1"/>
    <w:rsid w:val="00491684"/>
    <w:rsid w:val="004918B3"/>
    <w:rsid w:val="00491936"/>
    <w:rsid w:val="00491AAD"/>
    <w:rsid w:val="00491ACA"/>
    <w:rsid w:val="00491B94"/>
    <w:rsid w:val="00491CFE"/>
    <w:rsid w:val="00491D74"/>
    <w:rsid w:val="00491D8B"/>
    <w:rsid w:val="00491E28"/>
    <w:rsid w:val="00492099"/>
    <w:rsid w:val="0049218E"/>
    <w:rsid w:val="004923CC"/>
    <w:rsid w:val="004923E9"/>
    <w:rsid w:val="00492427"/>
    <w:rsid w:val="00492518"/>
    <w:rsid w:val="0049255C"/>
    <w:rsid w:val="00492562"/>
    <w:rsid w:val="004925B7"/>
    <w:rsid w:val="0049260B"/>
    <w:rsid w:val="0049261E"/>
    <w:rsid w:val="0049269B"/>
    <w:rsid w:val="004928D1"/>
    <w:rsid w:val="00492908"/>
    <w:rsid w:val="0049295B"/>
    <w:rsid w:val="00492962"/>
    <w:rsid w:val="00492965"/>
    <w:rsid w:val="00492A29"/>
    <w:rsid w:val="00492BD1"/>
    <w:rsid w:val="00492CCC"/>
    <w:rsid w:val="00492D44"/>
    <w:rsid w:val="00492D48"/>
    <w:rsid w:val="00492E2A"/>
    <w:rsid w:val="00492E78"/>
    <w:rsid w:val="00492ECB"/>
    <w:rsid w:val="00493156"/>
    <w:rsid w:val="0049318A"/>
    <w:rsid w:val="004933C3"/>
    <w:rsid w:val="004933CA"/>
    <w:rsid w:val="004933EB"/>
    <w:rsid w:val="004934CA"/>
    <w:rsid w:val="004936E2"/>
    <w:rsid w:val="004937F0"/>
    <w:rsid w:val="004937F3"/>
    <w:rsid w:val="00493874"/>
    <w:rsid w:val="00493AC3"/>
    <w:rsid w:val="00493B0E"/>
    <w:rsid w:val="00493BAA"/>
    <w:rsid w:val="00493C3E"/>
    <w:rsid w:val="00493D82"/>
    <w:rsid w:val="00493DAA"/>
    <w:rsid w:val="00493E53"/>
    <w:rsid w:val="00493E81"/>
    <w:rsid w:val="00493EBA"/>
    <w:rsid w:val="00493EC2"/>
    <w:rsid w:val="00493F32"/>
    <w:rsid w:val="00494107"/>
    <w:rsid w:val="004941F9"/>
    <w:rsid w:val="00494201"/>
    <w:rsid w:val="0049427E"/>
    <w:rsid w:val="00494393"/>
    <w:rsid w:val="004943D2"/>
    <w:rsid w:val="004944D7"/>
    <w:rsid w:val="00494541"/>
    <w:rsid w:val="0049454B"/>
    <w:rsid w:val="004946C7"/>
    <w:rsid w:val="00494833"/>
    <w:rsid w:val="00494A0D"/>
    <w:rsid w:val="00494B20"/>
    <w:rsid w:val="00494CAC"/>
    <w:rsid w:val="00494D0A"/>
    <w:rsid w:val="00494DAA"/>
    <w:rsid w:val="00494E8C"/>
    <w:rsid w:val="0049516C"/>
    <w:rsid w:val="004951D8"/>
    <w:rsid w:val="0049520C"/>
    <w:rsid w:val="0049550A"/>
    <w:rsid w:val="00495598"/>
    <w:rsid w:val="00495712"/>
    <w:rsid w:val="0049586A"/>
    <w:rsid w:val="00495932"/>
    <w:rsid w:val="00495936"/>
    <w:rsid w:val="004959E2"/>
    <w:rsid w:val="00495A65"/>
    <w:rsid w:val="00495BD4"/>
    <w:rsid w:val="00495C2F"/>
    <w:rsid w:val="00495C68"/>
    <w:rsid w:val="00495C82"/>
    <w:rsid w:val="00495CAE"/>
    <w:rsid w:val="004960FE"/>
    <w:rsid w:val="004961D6"/>
    <w:rsid w:val="0049627A"/>
    <w:rsid w:val="00496371"/>
    <w:rsid w:val="0049655E"/>
    <w:rsid w:val="004965B9"/>
    <w:rsid w:val="00496670"/>
    <w:rsid w:val="00496717"/>
    <w:rsid w:val="004967F0"/>
    <w:rsid w:val="004967F3"/>
    <w:rsid w:val="0049696A"/>
    <w:rsid w:val="00496B97"/>
    <w:rsid w:val="00496C08"/>
    <w:rsid w:val="00496D64"/>
    <w:rsid w:val="00496F71"/>
    <w:rsid w:val="00497038"/>
    <w:rsid w:val="004970C2"/>
    <w:rsid w:val="004971D8"/>
    <w:rsid w:val="00497209"/>
    <w:rsid w:val="0049726A"/>
    <w:rsid w:val="004972A1"/>
    <w:rsid w:val="004973D4"/>
    <w:rsid w:val="004974AE"/>
    <w:rsid w:val="0049753F"/>
    <w:rsid w:val="00497582"/>
    <w:rsid w:val="0049761F"/>
    <w:rsid w:val="00497707"/>
    <w:rsid w:val="00497806"/>
    <w:rsid w:val="00497871"/>
    <w:rsid w:val="004978CE"/>
    <w:rsid w:val="00497A81"/>
    <w:rsid w:val="00497B59"/>
    <w:rsid w:val="00497BE0"/>
    <w:rsid w:val="00497BF5"/>
    <w:rsid w:val="00497C77"/>
    <w:rsid w:val="00497CDC"/>
    <w:rsid w:val="00497D1E"/>
    <w:rsid w:val="00497DC4"/>
    <w:rsid w:val="00497E0D"/>
    <w:rsid w:val="00497E48"/>
    <w:rsid w:val="00497E8D"/>
    <w:rsid w:val="00497F08"/>
    <w:rsid w:val="004A0106"/>
    <w:rsid w:val="004A0269"/>
    <w:rsid w:val="004A02DB"/>
    <w:rsid w:val="004A045B"/>
    <w:rsid w:val="004A0484"/>
    <w:rsid w:val="004A04FE"/>
    <w:rsid w:val="004A05A1"/>
    <w:rsid w:val="004A061D"/>
    <w:rsid w:val="004A06A8"/>
    <w:rsid w:val="004A08D4"/>
    <w:rsid w:val="004A0A4D"/>
    <w:rsid w:val="004A0ADF"/>
    <w:rsid w:val="004A0B7A"/>
    <w:rsid w:val="004A0BF9"/>
    <w:rsid w:val="004A0DFB"/>
    <w:rsid w:val="004A0E42"/>
    <w:rsid w:val="004A0EBF"/>
    <w:rsid w:val="004A0F4D"/>
    <w:rsid w:val="004A0F70"/>
    <w:rsid w:val="004A1023"/>
    <w:rsid w:val="004A10F6"/>
    <w:rsid w:val="004A10F7"/>
    <w:rsid w:val="004A11EE"/>
    <w:rsid w:val="004A1307"/>
    <w:rsid w:val="004A1378"/>
    <w:rsid w:val="004A1394"/>
    <w:rsid w:val="004A13E2"/>
    <w:rsid w:val="004A1662"/>
    <w:rsid w:val="004A1683"/>
    <w:rsid w:val="004A16C2"/>
    <w:rsid w:val="004A16CB"/>
    <w:rsid w:val="004A16DA"/>
    <w:rsid w:val="004A19AE"/>
    <w:rsid w:val="004A1A10"/>
    <w:rsid w:val="004A1A52"/>
    <w:rsid w:val="004A1B76"/>
    <w:rsid w:val="004A1B9C"/>
    <w:rsid w:val="004A1CA5"/>
    <w:rsid w:val="004A1CC6"/>
    <w:rsid w:val="004A1D6B"/>
    <w:rsid w:val="004A1E0E"/>
    <w:rsid w:val="004A1E15"/>
    <w:rsid w:val="004A1F45"/>
    <w:rsid w:val="004A20D5"/>
    <w:rsid w:val="004A2163"/>
    <w:rsid w:val="004A227C"/>
    <w:rsid w:val="004A2408"/>
    <w:rsid w:val="004A2475"/>
    <w:rsid w:val="004A251A"/>
    <w:rsid w:val="004A256C"/>
    <w:rsid w:val="004A2573"/>
    <w:rsid w:val="004A25B9"/>
    <w:rsid w:val="004A26E0"/>
    <w:rsid w:val="004A2733"/>
    <w:rsid w:val="004A280B"/>
    <w:rsid w:val="004A2AEF"/>
    <w:rsid w:val="004A2B1D"/>
    <w:rsid w:val="004A2B5D"/>
    <w:rsid w:val="004A2BC3"/>
    <w:rsid w:val="004A2CE5"/>
    <w:rsid w:val="004A2E03"/>
    <w:rsid w:val="004A2E58"/>
    <w:rsid w:val="004A30F8"/>
    <w:rsid w:val="004A3197"/>
    <w:rsid w:val="004A36E4"/>
    <w:rsid w:val="004A388E"/>
    <w:rsid w:val="004A396A"/>
    <w:rsid w:val="004A3A01"/>
    <w:rsid w:val="004A3A23"/>
    <w:rsid w:val="004A3A47"/>
    <w:rsid w:val="004A3A55"/>
    <w:rsid w:val="004A3D9E"/>
    <w:rsid w:val="004A3DCA"/>
    <w:rsid w:val="004A3E98"/>
    <w:rsid w:val="004A3ECE"/>
    <w:rsid w:val="004A3F24"/>
    <w:rsid w:val="004A4018"/>
    <w:rsid w:val="004A4031"/>
    <w:rsid w:val="004A4109"/>
    <w:rsid w:val="004A419A"/>
    <w:rsid w:val="004A43CD"/>
    <w:rsid w:val="004A43DF"/>
    <w:rsid w:val="004A442D"/>
    <w:rsid w:val="004A44F1"/>
    <w:rsid w:val="004A459A"/>
    <w:rsid w:val="004A45FD"/>
    <w:rsid w:val="004A4683"/>
    <w:rsid w:val="004A4716"/>
    <w:rsid w:val="004A471A"/>
    <w:rsid w:val="004A4766"/>
    <w:rsid w:val="004A48D5"/>
    <w:rsid w:val="004A48E5"/>
    <w:rsid w:val="004A4C8F"/>
    <w:rsid w:val="004A4CC2"/>
    <w:rsid w:val="004A4CE6"/>
    <w:rsid w:val="004A4EF1"/>
    <w:rsid w:val="004A4F26"/>
    <w:rsid w:val="004A5037"/>
    <w:rsid w:val="004A5137"/>
    <w:rsid w:val="004A51A2"/>
    <w:rsid w:val="004A525F"/>
    <w:rsid w:val="004A5330"/>
    <w:rsid w:val="004A54E4"/>
    <w:rsid w:val="004A576D"/>
    <w:rsid w:val="004A5871"/>
    <w:rsid w:val="004A5B01"/>
    <w:rsid w:val="004A5B2F"/>
    <w:rsid w:val="004A5B3A"/>
    <w:rsid w:val="004A5BD1"/>
    <w:rsid w:val="004A5C76"/>
    <w:rsid w:val="004A5D72"/>
    <w:rsid w:val="004A5EAB"/>
    <w:rsid w:val="004A5F71"/>
    <w:rsid w:val="004A5FED"/>
    <w:rsid w:val="004A6030"/>
    <w:rsid w:val="004A6088"/>
    <w:rsid w:val="004A6174"/>
    <w:rsid w:val="004A64CC"/>
    <w:rsid w:val="004A64CF"/>
    <w:rsid w:val="004A6529"/>
    <w:rsid w:val="004A6556"/>
    <w:rsid w:val="004A6930"/>
    <w:rsid w:val="004A6950"/>
    <w:rsid w:val="004A6A15"/>
    <w:rsid w:val="004A6A47"/>
    <w:rsid w:val="004A6C46"/>
    <w:rsid w:val="004A6CC2"/>
    <w:rsid w:val="004A6E70"/>
    <w:rsid w:val="004A6F6C"/>
    <w:rsid w:val="004A6F81"/>
    <w:rsid w:val="004A6F88"/>
    <w:rsid w:val="004A6FCE"/>
    <w:rsid w:val="004A705E"/>
    <w:rsid w:val="004A71A2"/>
    <w:rsid w:val="004A71EC"/>
    <w:rsid w:val="004A7256"/>
    <w:rsid w:val="004A72B7"/>
    <w:rsid w:val="004A750A"/>
    <w:rsid w:val="004A7511"/>
    <w:rsid w:val="004A76D7"/>
    <w:rsid w:val="004A77B4"/>
    <w:rsid w:val="004A7916"/>
    <w:rsid w:val="004A7964"/>
    <w:rsid w:val="004A7A50"/>
    <w:rsid w:val="004A7D4F"/>
    <w:rsid w:val="004A7E1D"/>
    <w:rsid w:val="004A7E5B"/>
    <w:rsid w:val="004A7EED"/>
    <w:rsid w:val="004A7F3F"/>
    <w:rsid w:val="004B0096"/>
    <w:rsid w:val="004B00AD"/>
    <w:rsid w:val="004B00D7"/>
    <w:rsid w:val="004B00FE"/>
    <w:rsid w:val="004B0121"/>
    <w:rsid w:val="004B0181"/>
    <w:rsid w:val="004B051F"/>
    <w:rsid w:val="004B0523"/>
    <w:rsid w:val="004B0630"/>
    <w:rsid w:val="004B07FC"/>
    <w:rsid w:val="004B0802"/>
    <w:rsid w:val="004B08F9"/>
    <w:rsid w:val="004B0930"/>
    <w:rsid w:val="004B09BC"/>
    <w:rsid w:val="004B0B47"/>
    <w:rsid w:val="004B0BC8"/>
    <w:rsid w:val="004B0BE1"/>
    <w:rsid w:val="004B0CA4"/>
    <w:rsid w:val="004B0F40"/>
    <w:rsid w:val="004B101D"/>
    <w:rsid w:val="004B10EA"/>
    <w:rsid w:val="004B129A"/>
    <w:rsid w:val="004B12C9"/>
    <w:rsid w:val="004B12CA"/>
    <w:rsid w:val="004B1348"/>
    <w:rsid w:val="004B1477"/>
    <w:rsid w:val="004B1480"/>
    <w:rsid w:val="004B1585"/>
    <w:rsid w:val="004B15AC"/>
    <w:rsid w:val="004B1704"/>
    <w:rsid w:val="004B1720"/>
    <w:rsid w:val="004B196E"/>
    <w:rsid w:val="004B19C1"/>
    <w:rsid w:val="004B19E9"/>
    <w:rsid w:val="004B1A19"/>
    <w:rsid w:val="004B1C37"/>
    <w:rsid w:val="004B1D0E"/>
    <w:rsid w:val="004B1D94"/>
    <w:rsid w:val="004B1E60"/>
    <w:rsid w:val="004B202A"/>
    <w:rsid w:val="004B20A1"/>
    <w:rsid w:val="004B21B2"/>
    <w:rsid w:val="004B2365"/>
    <w:rsid w:val="004B23AE"/>
    <w:rsid w:val="004B254F"/>
    <w:rsid w:val="004B25A9"/>
    <w:rsid w:val="004B2696"/>
    <w:rsid w:val="004B273C"/>
    <w:rsid w:val="004B27E1"/>
    <w:rsid w:val="004B288E"/>
    <w:rsid w:val="004B28AF"/>
    <w:rsid w:val="004B28D0"/>
    <w:rsid w:val="004B2A0D"/>
    <w:rsid w:val="004B2C3C"/>
    <w:rsid w:val="004B2C51"/>
    <w:rsid w:val="004B2CDB"/>
    <w:rsid w:val="004B2CE0"/>
    <w:rsid w:val="004B31EF"/>
    <w:rsid w:val="004B32AB"/>
    <w:rsid w:val="004B3514"/>
    <w:rsid w:val="004B3517"/>
    <w:rsid w:val="004B37B6"/>
    <w:rsid w:val="004B38D8"/>
    <w:rsid w:val="004B3916"/>
    <w:rsid w:val="004B3AE8"/>
    <w:rsid w:val="004B3B08"/>
    <w:rsid w:val="004B3EBD"/>
    <w:rsid w:val="004B3ECB"/>
    <w:rsid w:val="004B3F0F"/>
    <w:rsid w:val="004B3F6A"/>
    <w:rsid w:val="004B4004"/>
    <w:rsid w:val="004B402A"/>
    <w:rsid w:val="004B4077"/>
    <w:rsid w:val="004B4102"/>
    <w:rsid w:val="004B41A3"/>
    <w:rsid w:val="004B4205"/>
    <w:rsid w:val="004B4245"/>
    <w:rsid w:val="004B424B"/>
    <w:rsid w:val="004B4269"/>
    <w:rsid w:val="004B42E2"/>
    <w:rsid w:val="004B4471"/>
    <w:rsid w:val="004B4574"/>
    <w:rsid w:val="004B459A"/>
    <w:rsid w:val="004B46CA"/>
    <w:rsid w:val="004B4726"/>
    <w:rsid w:val="004B47C3"/>
    <w:rsid w:val="004B4810"/>
    <w:rsid w:val="004B4842"/>
    <w:rsid w:val="004B4957"/>
    <w:rsid w:val="004B4A3A"/>
    <w:rsid w:val="004B4BDD"/>
    <w:rsid w:val="004B4C78"/>
    <w:rsid w:val="004B4D93"/>
    <w:rsid w:val="004B4EC1"/>
    <w:rsid w:val="004B4ED8"/>
    <w:rsid w:val="004B4EFA"/>
    <w:rsid w:val="004B5003"/>
    <w:rsid w:val="004B50E8"/>
    <w:rsid w:val="004B5158"/>
    <w:rsid w:val="004B51B7"/>
    <w:rsid w:val="004B5337"/>
    <w:rsid w:val="004B53B7"/>
    <w:rsid w:val="004B5503"/>
    <w:rsid w:val="004B5511"/>
    <w:rsid w:val="004B55AA"/>
    <w:rsid w:val="004B56AC"/>
    <w:rsid w:val="004B582D"/>
    <w:rsid w:val="004B5853"/>
    <w:rsid w:val="004B587B"/>
    <w:rsid w:val="004B59DD"/>
    <w:rsid w:val="004B59E2"/>
    <w:rsid w:val="004B5A58"/>
    <w:rsid w:val="004B5E06"/>
    <w:rsid w:val="004B5E33"/>
    <w:rsid w:val="004B6159"/>
    <w:rsid w:val="004B61FB"/>
    <w:rsid w:val="004B620B"/>
    <w:rsid w:val="004B6219"/>
    <w:rsid w:val="004B634A"/>
    <w:rsid w:val="004B636A"/>
    <w:rsid w:val="004B63AE"/>
    <w:rsid w:val="004B6449"/>
    <w:rsid w:val="004B6567"/>
    <w:rsid w:val="004B66D1"/>
    <w:rsid w:val="004B6D46"/>
    <w:rsid w:val="004B6D93"/>
    <w:rsid w:val="004B7055"/>
    <w:rsid w:val="004B7222"/>
    <w:rsid w:val="004B7317"/>
    <w:rsid w:val="004B73FC"/>
    <w:rsid w:val="004B7598"/>
    <w:rsid w:val="004B75BE"/>
    <w:rsid w:val="004B762E"/>
    <w:rsid w:val="004B76C3"/>
    <w:rsid w:val="004B76FF"/>
    <w:rsid w:val="004B7797"/>
    <w:rsid w:val="004B792F"/>
    <w:rsid w:val="004B7977"/>
    <w:rsid w:val="004B79EE"/>
    <w:rsid w:val="004B7A3C"/>
    <w:rsid w:val="004B7ABE"/>
    <w:rsid w:val="004B7B47"/>
    <w:rsid w:val="004B7CF6"/>
    <w:rsid w:val="004B7D84"/>
    <w:rsid w:val="004B7EA8"/>
    <w:rsid w:val="004B7F14"/>
    <w:rsid w:val="004C0019"/>
    <w:rsid w:val="004C01BB"/>
    <w:rsid w:val="004C0293"/>
    <w:rsid w:val="004C031F"/>
    <w:rsid w:val="004C039A"/>
    <w:rsid w:val="004C05AC"/>
    <w:rsid w:val="004C0633"/>
    <w:rsid w:val="004C0655"/>
    <w:rsid w:val="004C0723"/>
    <w:rsid w:val="004C0781"/>
    <w:rsid w:val="004C081C"/>
    <w:rsid w:val="004C0987"/>
    <w:rsid w:val="004C09D3"/>
    <w:rsid w:val="004C0B2D"/>
    <w:rsid w:val="004C0B41"/>
    <w:rsid w:val="004C0B8A"/>
    <w:rsid w:val="004C0BC9"/>
    <w:rsid w:val="004C0C61"/>
    <w:rsid w:val="004C0C70"/>
    <w:rsid w:val="004C0DC7"/>
    <w:rsid w:val="004C0DF3"/>
    <w:rsid w:val="004C0E84"/>
    <w:rsid w:val="004C0EE8"/>
    <w:rsid w:val="004C1053"/>
    <w:rsid w:val="004C1158"/>
    <w:rsid w:val="004C1224"/>
    <w:rsid w:val="004C1263"/>
    <w:rsid w:val="004C1275"/>
    <w:rsid w:val="004C12B5"/>
    <w:rsid w:val="004C13D0"/>
    <w:rsid w:val="004C13F3"/>
    <w:rsid w:val="004C1490"/>
    <w:rsid w:val="004C151E"/>
    <w:rsid w:val="004C155F"/>
    <w:rsid w:val="004C1714"/>
    <w:rsid w:val="004C17E9"/>
    <w:rsid w:val="004C184C"/>
    <w:rsid w:val="004C1850"/>
    <w:rsid w:val="004C189B"/>
    <w:rsid w:val="004C18DC"/>
    <w:rsid w:val="004C1E34"/>
    <w:rsid w:val="004C1EA1"/>
    <w:rsid w:val="004C1ED6"/>
    <w:rsid w:val="004C1F08"/>
    <w:rsid w:val="004C1F40"/>
    <w:rsid w:val="004C21D1"/>
    <w:rsid w:val="004C22E1"/>
    <w:rsid w:val="004C22E2"/>
    <w:rsid w:val="004C244E"/>
    <w:rsid w:val="004C2528"/>
    <w:rsid w:val="004C2554"/>
    <w:rsid w:val="004C2565"/>
    <w:rsid w:val="004C258F"/>
    <w:rsid w:val="004C26AA"/>
    <w:rsid w:val="004C2750"/>
    <w:rsid w:val="004C288C"/>
    <w:rsid w:val="004C28D8"/>
    <w:rsid w:val="004C28ED"/>
    <w:rsid w:val="004C2914"/>
    <w:rsid w:val="004C2937"/>
    <w:rsid w:val="004C2993"/>
    <w:rsid w:val="004C2B50"/>
    <w:rsid w:val="004C2C23"/>
    <w:rsid w:val="004C2D53"/>
    <w:rsid w:val="004C2E6F"/>
    <w:rsid w:val="004C3000"/>
    <w:rsid w:val="004C3108"/>
    <w:rsid w:val="004C315C"/>
    <w:rsid w:val="004C31FE"/>
    <w:rsid w:val="004C3217"/>
    <w:rsid w:val="004C3299"/>
    <w:rsid w:val="004C3341"/>
    <w:rsid w:val="004C335A"/>
    <w:rsid w:val="004C3404"/>
    <w:rsid w:val="004C3412"/>
    <w:rsid w:val="004C342B"/>
    <w:rsid w:val="004C34FC"/>
    <w:rsid w:val="004C3720"/>
    <w:rsid w:val="004C383D"/>
    <w:rsid w:val="004C38BA"/>
    <w:rsid w:val="004C3B45"/>
    <w:rsid w:val="004C3C44"/>
    <w:rsid w:val="004C3D62"/>
    <w:rsid w:val="004C409B"/>
    <w:rsid w:val="004C4243"/>
    <w:rsid w:val="004C4360"/>
    <w:rsid w:val="004C4375"/>
    <w:rsid w:val="004C4463"/>
    <w:rsid w:val="004C448A"/>
    <w:rsid w:val="004C44F8"/>
    <w:rsid w:val="004C456C"/>
    <w:rsid w:val="004C4850"/>
    <w:rsid w:val="004C4863"/>
    <w:rsid w:val="004C48CE"/>
    <w:rsid w:val="004C49EF"/>
    <w:rsid w:val="004C4A1D"/>
    <w:rsid w:val="004C4D21"/>
    <w:rsid w:val="004C4F8B"/>
    <w:rsid w:val="004C4FF9"/>
    <w:rsid w:val="004C5006"/>
    <w:rsid w:val="004C505A"/>
    <w:rsid w:val="004C50B0"/>
    <w:rsid w:val="004C50E9"/>
    <w:rsid w:val="004C51ED"/>
    <w:rsid w:val="004C5320"/>
    <w:rsid w:val="004C54B3"/>
    <w:rsid w:val="004C54B9"/>
    <w:rsid w:val="004C54FC"/>
    <w:rsid w:val="004C56A3"/>
    <w:rsid w:val="004C56A9"/>
    <w:rsid w:val="004C58A1"/>
    <w:rsid w:val="004C5B55"/>
    <w:rsid w:val="004C5B78"/>
    <w:rsid w:val="004C5D0C"/>
    <w:rsid w:val="004C5D3A"/>
    <w:rsid w:val="004C5DA1"/>
    <w:rsid w:val="004C5E15"/>
    <w:rsid w:val="004C60D2"/>
    <w:rsid w:val="004C6263"/>
    <w:rsid w:val="004C6309"/>
    <w:rsid w:val="004C634E"/>
    <w:rsid w:val="004C6587"/>
    <w:rsid w:val="004C65A7"/>
    <w:rsid w:val="004C66EB"/>
    <w:rsid w:val="004C6877"/>
    <w:rsid w:val="004C6975"/>
    <w:rsid w:val="004C69BB"/>
    <w:rsid w:val="004C6B1A"/>
    <w:rsid w:val="004C6BB9"/>
    <w:rsid w:val="004C6BC4"/>
    <w:rsid w:val="004C6C37"/>
    <w:rsid w:val="004C6C6A"/>
    <w:rsid w:val="004C6C7E"/>
    <w:rsid w:val="004C6CB1"/>
    <w:rsid w:val="004C6CD0"/>
    <w:rsid w:val="004C6D0C"/>
    <w:rsid w:val="004C6E14"/>
    <w:rsid w:val="004C6E59"/>
    <w:rsid w:val="004C6EA6"/>
    <w:rsid w:val="004C6FA2"/>
    <w:rsid w:val="004C702A"/>
    <w:rsid w:val="004C7063"/>
    <w:rsid w:val="004C7189"/>
    <w:rsid w:val="004C7280"/>
    <w:rsid w:val="004C73B4"/>
    <w:rsid w:val="004C73CC"/>
    <w:rsid w:val="004C74EB"/>
    <w:rsid w:val="004C74FB"/>
    <w:rsid w:val="004C7565"/>
    <w:rsid w:val="004C76D6"/>
    <w:rsid w:val="004C7729"/>
    <w:rsid w:val="004C7733"/>
    <w:rsid w:val="004C7797"/>
    <w:rsid w:val="004C77DA"/>
    <w:rsid w:val="004C78E9"/>
    <w:rsid w:val="004C7A73"/>
    <w:rsid w:val="004C7B14"/>
    <w:rsid w:val="004C7C06"/>
    <w:rsid w:val="004C7C60"/>
    <w:rsid w:val="004C7CB4"/>
    <w:rsid w:val="004C7CCB"/>
    <w:rsid w:val="004C7D4F"/>
    <w:rsid w:val="004C7E30"/>
    <w:rsid w:val="004C7E61"/>
    <w:rsid w:val="004C7FCE"/>
    <w:rsid w:val="004D005A"/>
    <w:rsid w:val="004D0080"/>
    <w:rsid w:val="004D0133"/>
    <w:rsid w:val="004D02BF"/>
    <w:rsid w:val="004D02DF"/>
    <w:rsid w:val="004D0352"/>
    <w:rsid w:val="004D037F"/>
    <w:rsid w:val="004D044C"/>
    <w:rsid w:val="004D04EE"/>
    <w:rsid w:val="004D0555"/>
    <w:rsid w:val="004D0607"/>
    <w:rsid w:val="004D06F0"/>
    <w:rsid w:val="004D095F"/>
    <w:rsid w:val="004D09D2"/>
    <w:rsid w:val="004D0A1E"/>
    <w:rsid w:val="004D0AE6"/>
    <w:rsid w:val="004D0B12"/>
    <w:rsid w:val="004D0B58"/>
    <w:rsid w:val="004D0C35"/>
    <w:rsid w:val="004D0C45"/>
    <w:rsid w:val="004D0FB5"/>
    <w:rsid w:val="004D10AC"/>
    <w:rsid w:val="004D117A"/>
    <w:rsid w:val="004D131C"/>
    <w:rsid w:val="004D16BF"/>
    <w:rsid w:val="004D171F"/>
    <w:rsid w:val="004D1725"/>
    <w:rsid w:val="004D1854"/>
    <w:rsid w:val="004D18FA"/>
    <w:rsid w:val="004D197C"/>
    <w:rsid w:val="004D1A0E"/>
    <w:rsid w:val="004D1B7B"/>
    <w:rsid w:val="004D1BAC"/>
    <w:rsid w:val="004D1D3D"/>
    <w:rsid w:val="004D1E0F"/>
    <w:rsid w:val="004D1E5D"/>
    <w:rsid w:val="004D2063"/>
    <w:rsid w:val="004D21AB"/>
    <w:rsid w:val="004D232B"/>
    <w:rsid w:val="004D243E"/>
    <w:rsid w:val="004D25D4"/>
    <w:rsid w:val="004D2732"/>
    <w:rsid w:val="004D2892"/>
    <w:rsid w:val="004D28BD"/>
    <w:rsid w:val="004D2A0A"/>
    <w:rsid w:val="004D2A51"/>
    <w:rsid w:val="004D2A61"/>
    <w:rsid w:val="004D2A6B"/>
    <w:rsid w:val="004D2AE8"/>
    <w:rsid w:val="004D2DA2"/>
    <w:rsid w:val="004D2ED6"/>
    <w:rsid w:val="004D30B6"/>
    <w:rsid w:val="004D30E1"/>
    <w:rsid w:val="004D33CE"/>
    <w:rsid w:val="004D342C"/>
    <w:rsid w:val="004D35D7"/>
    <w:rsid w:val="004D35DA"/>
    <w:rsid w:val="004D3667"/>
    <w:rsid w:val="004D3684"/>
    <w:rsid w:val="004D3C4F"/>
    <w:rsid w:val="004D3CEB"/>
    <w:rsid w:val="004D3CEE"/>
    <w:rsid w:val="004D3D33"/>
    <w:rsid w:val="004D3D50"/>
    <w:rsid w:val="004D3DB2"/>
    <w:rsid w:val="004D3EFE"/>
    <w:rsid w:val="004D3FA3"/>
    <w:rsid w:val="004D3FFF"/>
    <w:rsid w:val="004D4045"/>
    <w:rsid w:val="004D409A"/>
    <w:rsid w:val="004D41B9"/>
    <w:rsid w:val="004D41ED"/>
    <w:rsid w:val="004D423D"/>
    <w:rsid w:val="004D42AB"/>
    <w:rsid w:val="004D42AF"/>
    <w:rsid w:val="004D431C"/>
    <w:rsid w:val="004D4351"/>
    <w:rsid w:val="004D455D"/>
    <w:rsid w:val="004D4640"/>
    <w:rsid w:val="004D4744"/>
    <w:rsid w:val="004D486C"/>
    <w:rsid w:val="004D4960"/>
    <w:rsid w:val="004D49C4"/>
    <w:rsid w:val="004D4A33"/>
    <w:rsid w:val="004D4B30"/>
    <w:rsid w:val="004D4C82"/>
    <w:rsid w:val="004D4D5C"/>
    <w:rsid w:val="004D4DDC"/>
    <w:rsid w:val="004D5048"/>
    <w:rsid w:val="004D5128"/>
    <w:rsid w:val="004D5273"/>
    <w:rsid w:val="004D53C2"/>
    <w:rsid w:val="004D53F3"/>
    <w:rsid w:val="004D575B"/>
    <w:rsid w:val="004D5795"/>
    <w:rsid w:val="004D5A07"/>
    <w:rsid w:val="004D5A49"/>
    <w:rsid w:val="004D5C2D"/>
    <w:rsid w:val="004D5D44"/>
    <w:rsid w:val="004D5D86"/>
    <w:rsid w:val="004D5ED2"/>
    <w:rsid w:val="004D60F9"/>
    <w:rsid w:val="004D610E"/>
    <w:rsid w:val="004D61AA"/>
    <w:rsid w:val="004D62D5"/>
    <w:rsid w:val="004D630E"/>
    <w:rsid w:val="004D6439"/>
    <w:rsid w:val="004D6493"/>
    <w:rsid w:val="004D6539"/>
    <w:rsid w:val="004D65A7"/>
    <w:rsid w:val="004D679D"/>
    <w:rsid w:val="004D68F5"/>
    <w:rsid w:val="004D695C"/>
    <w:rsid w:val="004D6B0D"/>
    <w:rsid w:val="004D6DD2"/>
    <w:rsid w:val="004D6FF3"/>
    <w:rsid w:val="004D6FFB"/>
    <w:rsid w:val="004D7002"/>
    <w:rsid w:val="004D70F3"/>
    <w:rsid w:val="004D70F4"/>
    <w:rsid w:val="004D7101"/>
    <w:rsid w:val="004D711A"/>
    <w:rsid w:val="004D7200"/>
    <w:rsid w:val="004D73A7"/>
    <w:rsid w:val="004D75D2"/>
    <w:rsid w:val="004D7612"/>
    <w:rsid w:val="004D767C"/>
    <w:rsid w:val="004D7757"/>
    <w:rsid w:val="004D7793"/>
    <w:rsid w:val="004D7815"/>
    <w:rsid w:val="004D790F"/>
    <w:rsid w:val="004D7931"/>
    <w:rsid w:val="004D7965"/>
    <w:rsid w:val="004D79EA"/>
    <w:rsid w:val="004D7B1D"/>
    <w:rsid w:val="004D7BEA"/>
    <w:rsid w:val="004D7DB1"/>
    <w:rsid w:val="004D7DD4"/>
    <w:rsid w:val="004D7F3D"/>
    <w:rsid w:val="004D7F98"/>
    <w:rsid w:val="004E0008"/>
    <w:rsid w:val="004E00CD"/>
    <w:rsid w:val="004E018A"/>
    <w:rsid w:val="004E024E"/>
    <w:rsid w:val="004E03C5"/>
    <w:rsid w:val="004E041D"/>
    <w:rsid w:val="004E0CBF"/>
    <w:rsid w:val="004E0D07"/>
    <w:rsid w:val="004E0F4A"/>
    <w:rsid w:val="004E0F5F"/>
    <w:rsid w:val="004E1055"/>
    <w:rsid w:val="004E10B4"/>
    <w:rsid w:val="004E11FD"/>
    <w:rsid w:val="004E1283"/>
    <w:rsid w:val="004E1319"/>
    <w:rsid w:val="004E144B"/>
    <w:rsid w:val="004E14A5"/>
    <w:rsid w:val="004E14B7"/>
    <w:rsid w:val="004E1560"/>
    <w:rsid w:val="004E15D7"/>
    <w:rsid w:val="004E163B"/>
    <w:rsid w:val="004E17CD"/>
    <w:rsid w:val="004E1927"/>
    <w:rsid w:val="004E1A92"/>
    <w:rsid w:val="004E1D7D"/>
    <w:rsid w:val="004E1DBD"/>
    <w:rsid w:val="004E1DD3"/>
    <w:rsid w:val="004E1EF6"/>
    <w:rsid w:val="004E2003"/>
    <w:rsid w:val="004E2005"/>
    <w:rsid w:val="004E2120"/>
    <w:rsid w:val="004E2227"/>
    <w:rsid w:val="004E2290"/>
    <w:rsid w:val="004E24BE"/>
    <w:rsid w:val="004E25AF"/>
    <w:rsid w:val="004E25FB"/>
    <w:rsid w:val="004E2607"/>
    <w:rsid w:val="004E28F9"/>
    <w:rsid w:val="004E2A03"/>
    <w:rsid w:val="004E2A90"/>
    <w:rsid w:val="004E2C37"/>
    <w:rsid w:val="004E2D10"/>
    <w:rsid w:val="004E2D95"/>
    <w:rsid w:val="004E2DB6"/>
    <w:rsid w:val="004E2E1E"/>
    <w:rsid w:val="004E325C"/>
    <w:rsid w:val="004E32DE"/>
    <w:rsid w:val="004E35A9"/>
    <w:rsid w:val="004E3625"/>
    <w:rsid w:val="004E3677"/>
    <w:rsid w:val="004E395A"/>
    <w:rsid w:val="004E398F"/>
    <w:rsid w:val="004E3A23"/>
    <w:rsid w:val="004E3AF1"/>
    <w:rsid w:val="004E3B29"/>
    <w:rsid w:val="004E3CFC"/>
    <w:rsid w:val="004E3D6E"/>
    <w:rsid w:val="004E3E04"/>
    <w:rsid w:val="004E3F19"/>
    <w:rsid w:val="004E400D"/>
    <w:rsid w:val="004E40DF"/>
    <w:rsid w:val="004E4459"/>
    <w:rsid w:val="004E4553"/>
    <w:rsid w:val="004E4647"/>
    <w:rsid w:val="004E46E5"/>
    <w:rsid w:val="004E4772"/>
    <w:rsid w:val="004E4777"/>
    <w:rsid w:val="004E4B46"/>
    <w:rsid w:val="004E4B8F"/>
    <w:rsid w:val="004E4BC1"/>
    <w:rsid w:val="004E4CB2"/>
    <w:rsid w:val="004E4E59"/>
    <w:rsid w:val="004E4FBC"/>
    <w:rsid w:val="004E5147"/>
    <w:rsid w:val="004E51E5"/>
    <w:rsid w:val="004E51E9"/>
    <w:rsid w:val="004E555F"/>
    <w:rsid w:val="004E568D"/>
    <w:rsid w:val="004E5709"/>
    <w:rsid w:val="004E5731"/>
    <w:rsid w:val="004E57F8"/>
    <w:rsid w:val="004E5A06"/>
    <w:rsid w:val="004E5ADD"/>
    <w:rsid w:val="004E5BD8"/>
    <w:rsid w:val="004E5C59"/>
    <w:rsid w:val="004E5F46"/>
    <w:rsid w:val="004E5F49"/>
    <w:rsid w:val="004E5FB7"/>
    <w:rsid w:val="004E5FF5"/>
    <w:rsid w:val="004E600E"/>
    <w:rsid w:val="004E6065"/>
    <w:rsid w:val="004E610D"/>
    <w:rsid w:val="004E619D"/>
    <w:rsid w:val="004E61F1"/>
    <w:rsid w:val="004E6299"/>
    <w:rsid w:val="004E65BE"/>
    <w:rsid w:val="004E65FC"/>
    <w:rsid w:val="004E6642"/>
    <w:rsid w:val="004E6757"/>
    <w:rsid w:val="004E67EA"/>
    <w:rsid w:val="004E681B"/>
    <w:rsid w:val="004E6895"/>
    <w:rsid w:val="004E6896"/>
    <w:rsid w:val="004E6946"/>
    <w:rsid w:val="004E6979"/>
    <w:rsid w:val="004E69FB"/>
    <w:rsid w:val="004E6AC4"/>
    <w:rsid w:val="004E6AD1"/>
    <w:rsid w:val="004E6AD2"/>
    <w:rsid w:val="004E6B43"/>
    <w:rsid w:val="004E6BAF"/>
    <w:rsid w:val="004E6D22"/>
    <w:rsid w:val="004E6E9E"/>
    <w:rsid w:val="004E70E3"/>
    <w:rsid w:val="004E7195"/>
    <w:rsid w:val="004E7218"/>
    <w:rsid w:val="004E7229"/>
    <w:rsid w:val="004E73CD"/>
    <w:rsid w:val="004E73FA"/>
    <w:rsid w:val="004E74EC"/>
    <w:rsid w:val="004E752C"/>
    <w:rsid w:val="004E76FC"/>
    <w:rsid w:val="004E7743"/>
    <w:rsid w:val="004E77B2"/>
    <w:rsid w:val="004E7821"/>
    <w:rsid w:val="004E78AD"/>
    <w:rsid w:val="004E78E9"/>
    <w:rsid w:val="004E7983"/>
    <w:rsid w:val="004E7A02"/>
    <w:rsid w:val="004E7A34"/>
    <w:rsid w:val="004E7BE1"/>
    <w:rsid w:val="004E7CE6"/>
    <w:rsid w:val="004E7D95"/>
    <w:rsid w:val="004E7DC3"/>
    <w:rsid w:val="004E7F67"/>
    <w:rsid w:val="004E7FA8"/>
    <w:rsid w:val="004F0074"/>
    <w:rsid w:val="004F029F"/>
    <w:rsid w:val="004F02A8"/>
    <w:rsid w:val="004F040C"/>
    <w:rsid w:val="004F0455"/>
    <w:rsid w:val="004F048E"/>
    <w:rsid w:val="004F07CB"/>
    <w:rsid w:val="004F0A2E"/>
    <w:rsid w:val="004F0A99"/>
    <w:rsid w:val="004F0ADE"/>
    <w:rsid w:val="004F0AE9"/>
    <w:rsid w:val="004F0B50"/>
    <w:rsid w:val="004F0D80"/>
    <w:rsid w:val="004F0DE3"/>
    <w:rsid w:val="004F1168"/>
    <w:rsid w:val="004F1200"/>
    <w:rsid w:val="004F14B9"/>
    <w:rsid w:val="004F1614"/>
    <w:rsid w:val="004F1665"/>
    <w:rsid w:val="004F1702"/>
    <w:rsid w:val="004F17F0"/>
    <w:rsid w:val="004F19A0"/>
    <w:rsid w:val="004F19A2"/>
    <w:rsid w:val="004F1A4F"/>
    <w:rsid w:val="004F1A63"/>
    <w:rsid w:val="004F1B4A"/>
    <w:rsid w:val="004F1B4B"/>
    <w:rsid w:val="004F1B52"/>
    <w:rsid w:val="004F1CB1"/>
    <w:rsid w:val="004F1D86"/>
    <w:rsid w:val="004F1E1D"/>
    <w:rsid w:val="004F1E96"/>
    <w:rsid w:val="004F1FDA"/>
    <w:rsid w:val="004F2045"/>
    <w:rsid w:val="004F2098"/>
    <w:rsid w:val="004F21D5"/>
    <w:rsid w:val="004F238D"/>
    <w:rsid w:val="004F24EB"/>
    <w:rsid w:val="004F2518"/>
    <w:rsid w:val="004F2569"/>
    <w:rsid w:val="004F262C"/>
    <w:rsid w:val="004F26A4"/>
    <w:rsid w:val="004F274B"/>
    <w:rsid w:val="004F2ABE"/>
    <w:rsid w:val="004F2B85"/>
    <w:rsid w:val="004F2D3A"/>
    <w:rsid w:val="004F2E48"/>
    <w:rsid w:val="004F2E51"/>
    <w:rsid w:val="004F2EB7"/>
    <w:rsid w:val="004F2F1D"/>
    <w:rsid w:val="004F3252"/>
    <w:rsid w:val="004F3474"/>
    <w:rsid w:val="004F34C6"/>
    <w:rsid w:val="004F3821"/>
    <w:rsid w:val="004F386E"/>
    <w:rsid w:val="004F393B"/>
    <w:rsid w:val="004F39CE"/>
    <w:rsid w:val="004F3A46"/>
    <w:rsid w:val="004F3A79"/>
    <w:rsid w:val="004F3AFD"/>
    <w:rsid w:val="004F3BE5"/>
    <w:rsid w:val="004F3D0D"/>
    <w:rsid w:val="004F4066"/>
    <w:rsid w:val="004F40C9"/>
    <w:rsid w:val="004F4191"/>
    <w:rsid w:val="004F42BA"/>
    <w:rsid w:val="004F42DC"/>
    <w:rsid w:val="004F43D1"/>
    <w:rsid w:val="004F4517"/>
    <w:rsid w:val="004F4561"/>
    <w:rsid w:val="004F4599"/>
    <w:rsid w:val="004F45EF"/>
    <w:rsid w:val="004F47AB"/>
    <w:rsid w:val="004F4A20"/>
    <w:rsid w:val="004F4A6E"/>
    <w:rsid w:val="004F4B20"/>
    <w:rsid w:val="004F4B4B"/>
    <w:rsid w:val="004F4C68"/>
    <w:rsid w:val="004F4D45"/>
    <w:rsid w:val="004F4DB9"/>
    <w:rsid w:val="004F4DCC"/>
    <w:rsid w:val="004F4E5E"/>
    <w:rsid w:val="004F4EA7"/>
    <w:rsid w:val="004F4ECF"/>
    <w:rsid w:val="004F4F29"/>
    <w:rsid w:val="004F50E6"/>
    <w:rsid w:val="004F5102"/>
    <w:rsid w:val="004F5176"/>
    <w:rsid w:val="004F518C"/>
    <w:rsid w:val="004F5217"/>
    <w:rsid w:val="004F5231"/>
    <w:rsid w:val="004F52B4"/>
    <w:rsid w:val="004F53F1"/>
    <w:rsid w:val="004F5447"/>
    <w:rsid w:val="004F55F0"/>
    <w:rsid w:val="004F560C"/>
    <w:rsid w:val="004F58A1"/>
    <w:rsid w:val="004F58A5"/>
    <w:rsid w:val="004F58B7"/>
    <w:rsid w:val="004F59C2"/>
    <w:rsid w:val="004F5B11"/>
    <w:rsid w:val="004F5C5C"/>
    <w:rsid w:val="004F611E"/>
    <w:rsid w:val="004F6131"/>
    <w:rsid w:val="004F6198"/>
    <w:rsid w:val="004F6235"/>
    <w:rsid w:val="004F6340"/>
    <w:rsid w:val="004F634A"/>
    <w:rsid w:val="004F63D5"/>
    <w:rsid w:val="004F64AC"/>
    <w:rsid w:val="004F64F2"/>
    <w:rsid w:val="004F6609"/>
    <w:rsid w:val="004F66E4"/>
    <w:rsid w:val="004F66FD"/>
    <w:rsid w:val="004F6721"/>
    <w:rsid w:val="004F6797"/>
    <w:rsid w:val="004F67DF"/>
    <w:rsid w:val="004F687E"/>
    <w:rsid w:val="004F6881"/>
    <w:rsid w:val="004F688B"/>
    <w:rsid w:val="004F68CB"/>
    <w:rsid w:val="004F69A7"/>
    <w:rsid w:val="004F69B9"/>
    <w:rsid w:val="004F69C3"/>
    <w:rsid w:val="004F6A10"/>
    <w:rsid w:val="004F6A84"/>
    <w:rsid w:val="004F6C21"/>
    <w:rsid w:val="004F6CCC"/>
    <w:rsid w:val="004F6CF5"/>
    <w:rsid w:val="004F6D4A"/>
    <w:rsid w:val="004F6DD2"/>
    <w:rsid w:val="004F6DF9"/>
    <w:rsid w:val="004F6F4E"/>
    <w:rsid w:val="004F7043"/>
    <w:rsid w:val="004F718C"/>
    <w:rsid w:val="004F721F"/>
    <w:rsid w:val="004F72D0"/>
    <w:rsid w:val="004F7390"/>
    <w:rsid w:val="004F7438"/>
    <w:rsid w:val="004F74AE"/>
    <w:rsid w:val="004F74DD"/>
    <w:rsid w:val="004F7515"/>
    <w:rsid w:val="004F756E"/>
    <w:rsid w:val="004F75F1"/>
    <w:rsid w:val="004F7782"/>
    <w:rsid w:val="004F7A02"/>
    <w:rsid w:val="004F7B79"/>
    <w:rsid w:val="004F7C09"/>
    <w:rsid w:val="004F7DF1"/>
    <w:rsid w:val="004F7E2F"/>
    <w:rsid w:val="004F7E7C"/>
    <w:rsid w:val="004F7EB3"/>
    <w:rsid w:val="004F7F8B"/>
    <w:rsid w:val="005000AD"/>
    <w:rsid w:val="005000B9"/>
    <w:rsid w:val="00500164"/>
    <w:rsid w:val="0050021C"/>
    <w:rsid w:val="00500407"/>
    <w:rsid w:val="005005E2"/>
    <w:rsid w:val="00500926"/>
    <w:rsid w:val="005009C5"/>
    <w:rsid w:val="00500BAC"/>
    <w:rsid w:val="00500BBA"/>
    <w:rsid w:val="00500C7A"/>
    <w:rsid w:val="00500C8C"/>
    <w:rsid w:val="00500D57"/>
    <w:rsid w:val="00500D8E"/>
    <w:rsid w:val="00500DF7"/>
    <w:rsid w:val="00500EB7"/>
    <w:rsid w:val="00500ED4"/>
    <w:rsid w:val="00501039"/>
    <w:rsid w:val="0050105E"/>
    <w:rsid w:val="0050109D"/>
    <w:rsid w:val="00501208"/>
    <w:rsid w:val="00501231"/>
    <w:rsid w:val="0050125B"/>
    <w:rsid w:val="0050128D"/>
    <w:rsid w:val="0050132B"/>
    <w:rsid w:val="005013A2"/>
    <w:rsid w:val="005013A7"/>
    <w:rsid w:val="005013B8"/>
    <w:rsid w:val="00501417"/>
    <w:rsid w:val="005014F8"/>
    <w:rsid w:val="005014FF"/>
    <w:rsid w:val="00501666"/>
    <w:rsid w:val="00501A41"/>
    <w:rsid w:val="00501BA5"/>
    <w:rsid w:val="00501BD1"/>
    <w:rsid w:val="00501C06"/>
    <w:rsid w:val="00501C67"/>
    <w:rsid w:val="00501C9E"/>
    <w:rsid w:val="00501D50"/>
    <w:rsid w:val="00501E17"/>
    <w:rsid w:val="00501FB8"/>
    <w:rsid w:val="00501FF8"/>
    <w:rsid w:val="0050207C"/>
    <w:rsid w:val="005020D3"/>
    <w:rsid w:val="005021B7"/>
    <w:rsid w:val="00502290"/>
    <w:rsid w:val="005022D2"/>
    <w:rsid w:val="0050242F"/>
    <w:rsid w:val="005025FD"/>
    <w:rsid w:val="00502684"/>
    <w:rsid w:val="00502697"/>
    <w:rsid w:val="00502AE7"/>
    <w:rsid w:val="00502B3F"/>
    <w:rsid w:val="00502C3E"/>
    <w:rsid w:val="00502DAE"/>
    <w:rsid w:val="00502E26"/>
    <w:rsid w:val="00502E7E"/>
    <w:rsid w:val="00502FEA"/>
    <w:rsid w:val="005030D7"/>
    <w:rsid w:val="005032B6"/>
    <w:rsid w:val="00503322"/>
    <w:rsid w:val="00503334"/>
    <w:rsid w:val="00503401"/>
    <w:rsid w:val="0050355F"/>
    <w:rsid w:val="00503607"/>
    <w:rsid w:val="00503629"/>
    <w:rsid w:val="00503636"/>
    <w:rsid w:val="005036E7"/>
    <w:rsid w:val="0050371A"/>
    <w:rsid w:val="00503783"/>
    <w:rsid w:val="00503862"/>
    <w:rsid w:val="00503916"/>
    <w:rsid w:val="00503ABF"/>
    <w:rsid w:val="00503B71"/>
    <w:rsid w:val="00503BD3"/>
    <w:rsid w:val="00503C6A"/>
    <w:rsid w:val="00503E24"/>
    <w:rsid w:val="00503E78"/>
    <w:rsid w:val="00503F32"/>
    <w:rsid w:val="0050410F"/>
    <w:rsid w:val="005042CA"/>
    <w:rsid w:val="00504408"/>
    <w:rsid w:val="0050440A"/>
    <w:rsid w:val="0050455D"/>
    <w:rsid w:val="00504607"/>
    <w:rsid w:val="00504A5F"/>
    <w:rsid w:val="00504B9B"/>
    <w:rsid w:val="00504D4A"/>
    <w:rsid w:val="00504D70"/>
    <w:rsid w:val="00504D78"/>
    <w:rsid w:val="00504D7B"/>
    <w:rsid w:val="00504D81"/>
    <w:rsid w:val="00504DA2"/>
    <w:rsid w:val="00504E14"/>
    <w:rsid w:val="00504E29"/>
    <w:rsid w:val="00504E38"/>
    <w:rsid w:val="00505040"/>
    <w:rsid w:val="0050510C"/>
    <w:rsid w:val="00505280"/>
    <w:rsid w:val="00505291"/>
    <w:rsid w:val="00505394"/>
    <w:rsid w:val="005054AE"/>
    <w:rsid w:val="00505530"/>
    <w:rsid w:val="0050556C"/>
    <w:rsid w:val="0050556D"/>
    <w:rsid w:val="005056C8"/>
    <w:rsid w:val="00505840"/>
    <w:rsid w:val="0050586F"/>
    <w:rsid w:val="00505909"/>
    <w:rsid w:val="005059F1"/>
    <w:rsid w:val="00505A3E"/>
    <w:rsid w:val="00505B65"/>
    <w:rsid w:val="00505BDF"/>
    <w:rsid w:val="00505BE3"/>
    <w:rsid w:val="00505BEB"/>
    <w:rsid w:val="00505C08"/>
    <w:rsid w:val="00505CFF"/>
    <w:rsid w:val="00505D6A"/>
    <w:rsid w:val="00505E33"/>
    <w:rsid w:val="005062A8"/>
    <w:rsid w:val="00506326"/>
    <w:rsid w:val="005063B6"/>
    <w:rsid w:val="00506465"/>
    <w:rsid w:val="0050656E"/>
    <w:rsid w:val="00506862"/>
    <w:rsid w:val="00506975"/>
    <w:rsid w:val="00506A7A"/>
    <w:rsid w:val="00506ABC"/>
    <w:rsid w:val="00506B36"/>
    <w:rsid w:val="00506BD8"/>
    <w:rsid w:val="00506BD9"/>
    <w:rsid w:val="00506D00"/>
    <w:rsid w:val="00506D62"/>
    <w:rsid w:val="00506DD1"/>
    <w:rsid w:val="00506DE8"/>
    <w:rsid w:val="00506EFB"/>
    <w:rsid w:val="00506F7E"/>
    <w:rsid w:val="00507020"/>
    <w:rsid w:val="005071F5"/>
    <w:rsid w:val="00507371"/>
    <w:rsid w:val="00507381"/>
    <w:rsid w:val="00507412"/>
    <w:rsid w:val="0050755F"/>
    <w:rsid w:val="0050757A"/>
    <w:rsid w:val="00507718"/>
    <w:rsid w:val="005077D4"/>
    <w:rsid w:val="0050788F"/>
    <w:rsid w:val="005078E9"/>
    <w:rsid w:val="00507994"/>
    <w:rsid w:val="005079F4"/>
    <w:rsid w:val="00507AED"/>
    <w:rsid w:val="00507BE1"/>
    <w:rsid w:val="00507F85"/>
    <w:rsid w:val="005101CF"/>
    <w:rsid w:val="00510216"/>
    <w:rsid w:val="005102B7"/>
    <w:rsid w:val="005103C2"/>
    <w:rsid w:val="005104B7"/>
    <w:rsid w:val="00510561"/>
    <w:rsid w:val="0051059D"/>
    <w:rsid w:val="005105B4"/>
    <w:rsid w:val="00510660"/>
    <w:rsid w:val="00510684"/>
    <w:rsid w:val="0051069D"/>
    <w:rsid w:val="0051076A"/>
    <w:rsid w:val="0051082F"/>
    <w:rsid w:val="005108C7"/>
    <w:rsid w:val="005109F8"/>
    <w:rsid w:val="00510A41"/>
    <w:rsid w:val="00510AAA"/>
    <w:rsid w:val="00510BF9"/>
    <w:rsid w:val="00510C3E"/>
    <w:rsid w:val="00510E4B"/>
    <w:rsid w:val="00510E8D"/>
    <w:rsid w:val="0051104B"/>
    <w:rsid w:val="005110AB"/>
    <w:rsid w:val="005110EE"/>
    <w:rsid w:val="005111D4"/>
    <w:rsid w:val="005112CF"/>
    <w:rsid w:val="005114BD"/>
    <w:rsid w:val="005114CB"/>
    <w:rsid w:val="00511811"/>
    <w:rsid w:val="0051188C"/>
    <w:rsid w:val="005118B6"/>
    <w:rsid w:val="005119A7"/>
    <w:rsid w:val="00511A42"/>
    <w:rsid w:val="00511A55"/>
    <w:rsid w:val="00511A56"/>
    <w:rsid w:val="00511ADC"/>
    <w:rsid w:val="00511CB8"/>
    <w:rsid w:val="00511CE8"/>
    <w:rsid w:val="00511DA5"/>
    <w:rsid w:val="00511E1E"/>
    <w:rsid w:val="00511E90"/>
    <w:rsid w:val="00512091"/>
    <w:rsid w:val="00512124"/>
    <w:rsid w:val="0051220A"/>
    <w:rsid w:val="00512210"/>
    <w:rsid w:val="00512219"/>
    <w:rsid w:val="00512564"/>
    <w:rsid w:val="00512585"/>
    <w:rsid w:val="00512600"/>
    <w:rsid w:val="0051263A"/>
    <w:rsid w:val="0051278E"/>
    <w:rsid w:val="005128D4"/>
    <w:rsid w:val="005129F3"/>
    <w:rsid w:val="005129F9"/>
    <w:rsid w:val="00512AE0"/>
    <w:rsid w:val="00512BED"/>
    <w:rsid w:val="00512D03"/>
    <w:rsid w:val="00512D92"/>
    <w:rsid w:val="00512DBD"/>
    <w:rsid w:val="00512ED0"/>
    <w:rsid w:val="00512F75"/>
    <w:rsid w:val="00512FAD"/>
    <w:rsid w:val="00513207"/>
    <w:rsid w:val="00513299"/>
    <w:rsid w:val="005132D6"/>
    <w:rsid w:val="00513685"/>
    <w:rsid w:val="0051374C"/>
    <w:rsid w:val="005137DD"/>
    <w:rsid w:val="00513841"/>
    <w:rsid w:val="00513917"/>
    <w:rsid w:val="00513A0C"/>
    <w:rsid w:val="00513A52"/>
    <w:rsid w:val="00513A8E"/>
    <w:rsid w:val="00513BB0"/>
    <w:rsid w:val="00513BB4"/>
    <w:rsid w:val="00513D0C"/>
    <w:rsid w:val="00513D20"/>
    <w:rsid w:val="00513D72"/>
    <w:rsid w:val="00513DFD"/>
    <w:rsid w:val="00513E59"/>
    <w:rsid w:val="00513E6D"/>
    <w:rsid w:val="00513E8D"/>
    <w:rsid w:val="00513EE2"/>
    <w:rsid w:val="00513EFB"/>
    <w:rsid w:val="00513F44"/>
    <w:rsid w:val="00513F5B"/>
    <w:rsid w:val="00513FC2"/>
    <w:rsid w:val="00513FCB"/>
    <w:rsid w:val="00514068"/>
    <w:rsid w:val="0051407E"/>
    <w:rsid w:val="005140E6"/>
    <w:rsid w:val="005141E9"/>
    <w:rsid w:val="00514290"/>
    <w:rsid w:val="005142D2"/>
    <w:rsid w:val="00514368"/>
    <w:rsid w:val="00514480"/>
    <w:rsid w:val="005145BE"/>
    <w:rsid w:val="00514894"/>
    <w:rsid w:val="00514BEE"/>
    <w:rsid w:val="00514DBA"/>
    <w:rsid w:val="00514E12"/>
    <w:rsid w:val="00514F9D"/>
    <w:rsid w:val="00514FB0"/>
    <w:rsid w:val="005150BD"/>
    <w:rsid w:val="00515122"/>
    <w:rsid w:val="0051513C"/>
    <w:rsid w:val="00515182"/>
    <w:rsid w:val="00515655"/>
    <w:rsid w:val="00515673"/>
    <w:rsid w:val="005156B6"/>
    <w:rsid w:val="00515746"/>
    <w:rsid w:val="005158F7"/>
    <w:rsid w:val="00515945"/>
    <w:rsid w:val="00515998"/>
    <w:rsid w:val="00515A67"/>
    <w:rsid w:val="00515ACB"/>
    <w:rsid w:val="00515ADA"/>
    <w:rsid w:val="00515E4C"/>
    <w:rsid w:val="00515F18"/>
    <w:rsid w:val="00515FCC"/>
    <w:rsid w:val="005160AB"/>
    <w:rsid w:val="00516132"/>
    <w:rsid w:val="005161FD"/>
    <w:rsid w:val="005163C0"/>
    <w:rsid w:val="005163E6"/>
    <w:rsid w:val="005164A6"/>
    <w:rsid w:val="00516529"/>
    <w:rsid w:val="00516596"/>
    <w:rsid w:val="005165F4"/>
    <w:rsid w:val="00516762"/>
    <w:rsid w:val="0051694A"/>
    <w:rsid w:val="00516AE6"/>
    <w:rsid w:val="00516B9F"/>
    <w:rsid w:val="00516C9F"/>
    <w:rsid w:val="00516D7A"/>
    <w:rsid w:val="00516DF7"/>
    <w:rsid w:val="00516DFC"/>
    <w:rsid w:val="00516E72"/>
    <w:rsid w:val="00516E8B"/>
    <w:rsid w:val="00516F54"/>
    <w:rsid w:val="00517209"/>
    <w:rsid w:val="0051722A"/>
    <w:rsid w:val="00517298"/>
    <w:rsid w:val="005172C5"/>
    <w:rsid w:val="00517377"/>
    <w:rsid w:val="005173ED"/>
    <w:rsid w:val="00517698"/>
    <w:rsid w:val="0051776B"/>
    <w:rsid w:val="00517782"/>
    <w:rsid w:val="0051783F"/>
    <w:rsid w:val="0051785F"/>
    <w:rsid w:val="00517A35"/>
    <w:rsid w:val="00517A7A"/>
    <w:rsid w:val="00517AB1"/>
    <w:rsid w:val="00517C30"/>
    <w:rsid w:val="00517C7B"/>
    <w:rsid w:val="00517D90"/>
    <w:rsid w:val="00517EF7"/>
    <w:rsid w:val="00517F0F"/>
    <w:rsid w:val="0052004D"/>
    <w:rsid w:val="005201FA"/>
    <w:rsid w:val="00520365"/>
    <w:rsid w:val="005203A2"/>
    <w:rsid w:val="0052042A"/>
    <w:rsid w:val="005209A5"/>
    <w:rsid w:val="00520A1B"/>
    <w:rsid w:val="00520A3B"/>
    <w:rsid w:val="00520A67"/>
    <w:rsid w:val="00520C11"/>
    <w:rsid w:val="00520D66"/>
    <w:rsid w:val="00520D7F"/>
    <w:rsid w:val="00520DAB"/>
    <w:rsid w:val="00520DCB"/>
    <w:rsid w:val="00520E71"/>
    <w:rsid w:val="00520EF7"/>
    <w:rsid w:val="00520F14"/>
    <w:rsid w:val="00520F4E"/>
    <w:rsid w:val="0052100B"/>
    <w:rsid w:val="0052143E"/>
    <w:rsid w:val="0052182B"/>
    <w:rsid w:val="00521859"/>
    <w:rsid w:val="005218F5"/>
    <w:rsid w:val="005219C6"/>
    <w:rsid w:val="00521B3D"/>
    <w:rsid w:val="00521B83"/>
    <w:rsid w:val="00521B98"/>
    <w:rsid w:val="00521BCA"/>
    <w:rsid w:val="00521E24"/>
    <w:rsid w:val="00521E86"/>
    <w:rsid w:val="00521EA0"/>
    <w:rsid w:val="00521EEA"/>
    <w:rsid w:val="00521F75"/>
    <w:rsid w:val="00521FBE"/>
    <w:rsid w:val="005220F2"/>
    <w:rsid w:val="00522103"/>
    <w:rsid w:val="0052216F"/>
    <w:rsid w:val="005221FC"/>
    <w:rsid w:val="005222F0"/>
    <w:rsid w:val="00522355"/>
    <w:rsid w:val="00522430"/>
    <w:rsid w:val="0052246F"/>
    <w:rsid w:val="00522473"/>
    <w:rsid w:val="00522514"/>
    <w:rsid w:val="005225F1"/>
    <w:rsid w:val="00522601"/>
    <w:rsid w:val="00522719"/>
    <w:rsid w:val="00522797"/>
    <w:rsid w:val="00522828"/>
    <w:rsid w:val="005228C0"/>
    <w:rsid w:val="005228CF"/>
    <w:rsid w:val="005229F5"/>
    <w:rsid w:val="00522A23"/>
    <w:rsid w:val="00522A73"/>
    <w:rsid w:val="00522B81"/>
    <w:rsid w:val="00522C24"/>
    <w:rsid w:val="00522C8B"/>
    <w:rsid w:val="00522ED3"/>
    <w:rsid w:val="00522F45"/>
    <w:rsid w:val="00522FF0"/>
    <w:rsid w:val="005230F6"/>
    <w:rsid w:val="00523261"/>
    <w:rsid w:val="00523296"/>
    <w:rsid w:val="005232F6"/>
    <w:rsid w:val="005234A5"/>
    <w:rsid w:val="005234EA"/>
    <w:rsid w:val="00523527"/>
    <w:rsid w:val="0052363A"/>
    <w:rsid w:val="00523720"/>
    <w:rsid w:val="0052375B"/>
    <w:rsid w:val="0052378D"/>
    <w:rsid w:val="005237DC"/>
    <w:rsid w:val="00523883"/>
    <w:rsid w:val="00523904"/>
    <w:rsid w:val="00523D52"/>
    <w:rsid w:val="00523D64"/>
    <w:rsid w:val="00523E88"/>
    <w:rsid w:val="00523F74"/>
    <w:rsid w:val="0052401E"/>
    <w:rsid w:val="00524020"/>
    <w:rsid w:val="005240BB"/>
    <w:rsid w:val="00524145"/>
    <w:rsid w:val="005241AF"/>
    <w:rsid w:val="00524312"/>
    <w:rsid w:val="00524583"/>
    <w:rsid w:val="005245DD"/>
    <w:rsid w:val="00524704"/>
    <w:rsid w:val="0052470A"/>
    <w:rsid w:val="00524749"/>
    <w:rsid w:val="0052475E"/>
    <w:rsid w:val="005247EF"/>
    <w:rsid w:val="00524885"/>
    <w:rsid w:val="00524924"/>
    <w:rsid w:val="0052497B"/>
    <w:rsid w:val="005249BB"/>
    <w:rsid w:val="00524B78"/>
    <w:rsid w:val="00524CB3"/>
    <w:rsid w:val="00524D56"/>
    <w:rsid w:val="00524EB6"/>
    <w:rsid w:val="00525070"/>
    <w:rsid w:val="005250B4"/>
    <w:rsid w:val="005252AA"/>
    <w:rsid w:val="0052533C"/>
    <w:rsid w:val="0052543D"/>
    <w:rsid w:val="0052563D"/>
    <w:rsid w:val="005256F7"/>
    <w:rsid w:val="00525753"/>
    <w:rsid w:val="00525808"/>
    <w:rsid w:val="00525976"/>
    <w:rsid w:val="00525A90"/>
    <w:rsid w:val="00525B13"/>
    <w:rsid w:val="00525D24"/>
    <w:rsid w:val="00525D30"/>
    <w:rsid w:val="00525DC1"/>
    <w:rsid w:val="00525DE1"/>
    <w:rsid w:val="00525E5C"/>
    <w:rsid w:val="00525FD3"/>
    <w:rsid w:val="0052606B"/>
    <w:rsid w:val="00526411"/>
    <w:rsid w:val="00526470"/>
    <w:rsid w:val="0052651E"/>
    <w:rsid w:val="00526528"/>
    <w:rsid w:val="00526626"/>
    <w:rsid w:val="00526630"/>
    <w:rsid w:val="00526659"/>
    <w:rsid w:val="00526663"/>
    <w:rsid w:val="00526677"/>
    <w:rsid w:val="0052668A"/>
    <w:rsid w:val="00526705"/>
    <w:rsid w:val="005267DC"/>
    <w:rsid w:val="005268FD"/>
    <w:rsid w:val="00526A63"/>
    <w:rsid w:val="00526B97"/>
    <w:rsid w:val="00526C76"/>
    <w:rsid w:val="00526DB2"/>
    <w:rsid w:val="00526ED6"/>
    <w:rsid w:val="00526F4D"/>
    <w:rsid w:val="005270FB"/>
    <w:rsid w:val="00527182"/>
    <w:rsid w:val="00527278"/>
    <w:rsid w:val="005272AE"/>
    <w:rsid w:val="00527398"/>
    <w:rsid w:val="005273AB"/>
    <w:rsid w:val="005273CC"/>
    <w:rsid w:val="00527470"/>
    <w:rsid w:val="00527611"/>
    <w:rsid w:val="0052765D"/>
    <w:rsid w:val="00527930"/>
    <w:rsid w:val="00527C1D"/>
    <w:rsid w:val="00527CD2"/>
    <w:rsid w:val="00527DD8"/>
    <w:rsid w:val="00527E90"/>
    <w:rsid w:val="005305E7"/>
    <w:rsid w:val="005306A5"/>
    <w:rsid w:val="00530859"/>
    <w:rsid w:val="005309C0"/>
    <w:rsid w:val="005309E7"/>
    <w:rsid w:val="00530A6E"/>
    <w:rsid w:val="00530AB1"/>
    <w:rsid w:val="00530B31"/>
    <w:rsid w:val="00530C54"/>
    <w:rsid w:val="00530D35"/>
    <w:rsid w:val="00530DD9"/>
    <w:rsid w:val="00530E1B"/>
    <w:rsid w:val="00530E50"/>
    <w:rsid w:val="00530E58"/>
    <w:rsid w:val="00530EBE"/>
    <w:rsid w:val="0053122B"/>
    <w:rsid w:val="00531341"/>
    <w:rsid w:val="00531620"/>
    <w:rsid w:val="0053165D"/>
    <w:rsid w:val="00531683"/>
    <w:rsid w:val="005316CC"/>
    <w:rsid w:val="005317D9"/>
    <w:rsid w:val="00531858"/>
    <w:rsid w:val="005318B1"/>
    <w:rsid w:val="005319E7"/>
    <w:rsid w:val="00531AC2"/>
    <w:rsid w:val="00531AC8"/>
    <w:rsid w:val="00531B01"/>
    <w:rsid w:val="00531C73"/>
    <w:rsid w:val="00531CB0"/>
    <w:rsid w:val="00531D27"/>
    <w:rsid w:val="00531E47"/>
    <w:rsid w:val="00531EF2"/>
    <w:rsid w:val="00531F5D"/>
    <w:rsid w:val="0053200C"/>
    <w:rsid w:val="00532087"/>
    <w:rsid w:val="005320DA"/>
    <w:rsid w:val="0053214B"/>
    <w:rsid w:val="00532312"/>
    <w:rsid w:val="005323EA"/>
    <w:rsid w:val="00532430"/>
    <w:rsid w:val="0053248C"/>
    <w:rsid w:val="0053249F"/>
    <w:rsid w:val="00532738"/>
    <w:rsid w:val="0053276B"/>
    <w:rsid w:val="0053277A"/>
    <w:rsid w:val="0053293F"/>
    <w:rsid w:val="00532A94"/>
    <w:rsid w:val="00532D2D"/>
    <w:rsid w:val="00532D72"/>
    <w:rsid w:val="00532EA7"/>
    <w:rsid w:val="00532F47"/>
    <w:rsid w:val="00533069"/>
    <w:rsid w:val="0053319B"/>
    <w:rsid w:val="005331CA"/>
    <w:rsid w:val="005331F5"/>
    <w:rsid w:val="005332BA"/>
    <w:rsid w:val="005332CF"/>
    <w:rsid w:val="0053332F"/>
    <w:rsid w:val="0053338D"/>
    <w:rsid w:val="0053347C"/>
    <w:rsid w:val="00533710"/>
    <w:rsid w:val="0053381F"/>
    <w:rsid w:val="005338AF"/>
    <w:rsid w:val="005338CA"/>
    <w:rsid w:val="00533A0F"/>
    <w:rsid w:val="00533C37"/>
    <w:rsid w:val="00533C72"/>
    <w:rsid w:val="00533C9B"/>
    <w:rsid w:val="00533E51"/>
    <w:rsid w:val="00533F3C"/>
    <w:rsid w:val="00533FFA"/>
    <w:rsid w:val="00534075"/>
    <w:rsid w:val="005341E9"/>
    <w:rsid w:val="00534314"/>
    <w:rsid w:val="005343CF"/>
    <w:rsid w:val="005344C0"/>
    <w:rsid w:val="00534526"/>
    <w:rsid w:val="00534760"/>
    <w:rsid w:val="005347F0"/>
    <w:rsid w:val="00534825"/>
    <w:rsid w:val="005348EA"/>
    <w:rsid w:val="00534909"/>
    <w:rsid w:val="0053490C"/>
    <w:rsid w:val="00534B59"/>
    <w:rsid w:val="00535224"/>
    <w:rsid w:val="00535291"/>
    <w:rsid w:val="0053535F"/>
    <w:rsid w:val="005353A7"/>
    <w:rsid w:val="0053551A"/>
    <w:rsid w:val="0053556B"/>
    <w:rsid w:val="005355F4"/>
    <w:rsid w:val="00535622"/>
    <w:rsid w:val="0053565C"/>
    <w:rsid w:val="00535708"/>
    <w:rsid w:val="005357A4"/>
    <w:rsid w:val="005358DD"/>
    <w:rsid w:val="005359A3"/>
    <w:rsid w:val="00535AC6"/>
    <w:rsid w:val="00535B00"/>
    <w:rsid w:val="00535C5E"/>
    <w:rsid w:val="00535D2B"/>
    <w:rsid w:val="00535D4C"/>
    <w:rsid w:val="00535E93"/>
    <w:rsid w:val="00535F6C"/>
    <w:rsid w:val="00535FB4"/>
    <w:rsid w:val="00535FB8"/>
    <w:rsid w:val="00535FE5"/>
    <w:rsid w:val="00536049"/>
    <w:rsid w:val="0053608A"/>
    <w:rsid w:val="0053610C"/>
    <w:rsid w:val="0053619E"/>
    <w:rsid w:val="00536253"/>
    <w:rsid w:val="0053627C"/>
    <w:rsid w:val="0053633D"/>
    <w:rsid w:val="00536455"/>
    <w:rsid w:val="0053665B"/>
    <w:rsid w:val="005368F4"/>
    <w:rsid w:val="00536920"/>
    <w:rsid w:val="005369A3"/>
    <w:rsid w:val="00536A36"/>
    <w:rsid w:val="00536BA2"/>
    <w:rsid w:val="00536BB7"/>
    <w:rsid w:val="00536C75"/>
    <w:rsid w:val="00536CA2"/>
    <w:rsid w:val="00536CED"/>
    <w:rsid w:val="00536D96"/>
    <w:rsid w:val="00536E14"/>
    <w:rsid w:val="00536E3B"/>
    <w:rsid w:val="00536F46"/>
    <w:rsid w:val="005371E1"/>
    <w:rsid w:val="00537313"/>
    <w:rsid w:val="00537371"/>
    <w:rsid w:val="005373AA"/>
    <w:rsid w:val="00537438"/>
    <w:rsid w:val="005374CD"/>
    <w:rsid w:val="00537506"/>
    <w:rsid w:val="00537517"/>
    <w:rsid w:val="00537537"/>
    <w:rsid w:val="005375C2"/>
    <w:rsid w:val="005375CB"/>
    <w:rsid w:val="0053764D"/>
    <w:rsid w:val="00537813"/>
    <w:rsid w:val="00537910"/>
    <w:rsid w:val="00537935"/>
    <w:rsid w:val="00537955"/>
    <w:rsid w:val="0053798E"/>
    <w:rsid w:val="005379DF"/>
    <w:rsid w:val="00537A36"/>
    <w:rsid w:val="00537A62"/>
    <w:rsid w:val="00537ABC"/>
    <w:rsid w:val="00537AE0"/>
    <w:rsid w:val="00537B58"/>
    <w:rsid w:val="00537C15"/>
    <w:rsid w:val="00537DC6"/>
    <w:rsid w:val="00537F53"/>
    <w:rsid w:val="00537F86"/>
    <w:rsid w:val="00540074"/>
    <w:rsid w:val="0054008A"/>
    <w:rsid w:val="005401D8"/>
    <w:rsid w:val="005401EB"/>
    <w:rsid w:val="005402FB"/>
    <w:rsid w:val="00540399"/>
    <w:rsid w:val="0054075A"/>
    <w:rsid w:val="0054084A"/>
    <w:rsid w:val="005408D2"/>
    <w:rsid w:val="00540C92"/>
    <w:rsid w:val="00540CBD"/>
    <w:rsid w:val="00540CC6"/>
    <w:rsid w:val="00540CDE"/>
    <w:rsid w:val="00540D56"/>
    <w:rsid w:val="00540E25"/>
    <w:rsid w:val="00540EAF"/>
    <w:rsid w:val="0054109C"/>
    <w:rsid w:val="005410C3"/>
    <w:rsid w:val="0054111E"/>
    <w:rsid w:val="005412F4"/>
    <w:rsid w:val="0054133F"/>
    <w:rsid w:val="0054140E"/>
    <w:rsid w:val="005414A2"/>
    <w:rsid w:val="005414FA"/>
    <w:rsid w:val="00541595"/>
    <w:rsid w:val="00541627"/>
    <w:rsid w:val="00541690"/>
    <w:rsid w:val="00541708"/>
    <w:rsid w:val="00541836"/>
    <w:rsid w:val="00541B4C"/>
    <w:rsid w:val="00541B7D"/>
    <w:rsid w:val="00541BC2"/>
    <w:rsid w:val="00541BF2"/>
    <w:rsid w:val="00541C8C"/>
    <w:rsid w:val="00541CFD"/>
    <w:rsid w:val="00541D2F"/>
    <w:rsid w:val="00541D78"/>
    <w:rsid w:val="00541DB4"/>
    <w:rsid w:val="00541E45"/>
    <w:rsid w:val="00541E5A"/>
    <w:rsid w:val="00541FD2"/>
    <w:rsid w:val="005421F6"/>
    <w:rsid w:val="00542286"/>
    <w:rsid w:val="00542314"/>
    <w:rsid w:val="00542398"/>
    <w:rsid w:val="0054254C"/>
    <w:rsid w:val="00542635"/>
    <w:rsid w:val="005427D9"/>
    <w:rsid w:val="005428C0"/>
    <w:rsid w:val="005429D2"/>
    <w:rsid w:val="00542A04"/>
    <w:rsid w:val="00542B77"/>
    <w:rsid w:val="00542D84"/>
    <w:rsid w:val="00542DC1"/>
    <w:rsid w:val="00542E87"/>
    <w:rsid w:val="0054307C"/>
    <w:rsid w:val="0054320F"/>
    <w:rsid w:val="00543221"/>
    <w:rsid w:val="00543229"/>
    <w:rsid w:val="0054334D"/>
    <w:rsid w:val="0054340C"/>
    <w:rsid w:val="00543414"/>
    <w:rsid w:val="00543430"/>
    <w:rsid w:val="0054353D"/>
    <w:rsid w:val="00543688"/>
    <w:rsid w:val="00543A46"/>
    <w:rsid w:val="00543B22"/>
    <w:rsid w:val="00543D24"/>
    <w:rsid w:val="00543D44"/>
    <w:rsid w:val="00543E10"/>
    <w:rsid w:val="00543EDB"/>
    <w:rsid w:val="00543F05"/>
    <w:rsid w:val="00543FAA"/>
    <w:rsid w:val="0054400A"/>
    <w:rsid w:val="005440A3"/>
    <w:rsid w:val="0054428B"/>
    <w:rsid w:val="005442A5"/>
    <w:rsid w:val="00544416"/>
    <w:rsid w:val="00544440"/>
    <w:rsid w:val="00544470"/>
    <w:rsid w:val="00544479"/>
    <w:rsid w:val="005444D9"/>
    <w:rsid w:val="005444F7"/>
    <w:rsid w:val="005446AE"/>
    <w:rsid w:val="00544718"/>
    <w:rsid w:val="0054484D"/>
    <w:rsid w:val="00544932"/>
    <w:rsid w:val="005449C3"/>
    <w:rsid w:val="00544AE3"/>
    <w:rsid w:val="00544B8A"/>
    <w:rsid w:val="00544B98"/>
    <w:rsid w:val="00544BA8"/>
    <w:rsid w:val="00544BC4"/>
    <w:rsid w:val="00544CAB"/>
    <w:rsid w:val="00544EA3"/>
    <w:rsid w:val="00545017"/>
    <w:rsid w:val="005451D3"/>
    <w:rsid w:val="005452D6"/>
    <w:rsid w:val="005455D0"/>
    <w:rsid w:val="00545902"/>
    <w:rsid w:val="00545A5B"/>
    <w:rsid w:val="00545BBD"/>
    <w:rsid w:val="00545C74"/>
    <w:rsid w:val="00545CAE"/>
    <w:rsid w:val="00545D4F"/>
    <w:rsid w:val="00545EC0"/>
    <w:rsid w:val="005460DB"/>
    <w:rsid w:val="00546144"/>
    <w:rsid w:val="0054652F"/>
    <w:rsid w:val="005467C0"/>
    <w:rsid w:val="00546A6E"/>
    <w:rsid w:val="00546C2A"/>
    <w:rsid w:val="00546C75"/>
    <w:rsid w:val="00546D4A"/>
    <w:rsid w:val="00546DD6"/>
    <w:rsid w:val="00546EE0"/>
    <w:rsid w:val="00546FA5"/>
    <w:rsid w:val="005470A6"/>
    <w:rsid w:val="005472A7"/>
    <w:rsid w:val="00547316"/>
    <w:rsid w:val="0054732D"/>
    <w:rsid w:val="0054733C"/>
    <w:rsid w:val="0054749A"/>
    <w:rsid w:val="0054759D"/>
    <w:rsid w:val="00547624"/>
    <w:rsid w:val="0054764E"/>
    <w:rsid w:val="005477B5"/>
    <w:rsid w:val="005478CA"/>
    <w:rsid w:val="00547921"/>
    <w:rsid w:val="00547A7A"/>
    <w:rsid w:val="00547AD3"/>
    <w:rsid w:val="00547BA7"/>
    <w:rsid w:val="00547BAC"/>
    <w:rsid w:val="00547BB2"/>
    <w:rsid w:val="00547D53"/>
    <w:rsid w:val="00547E76"/>
    <w:rsid w:val="00547F6A"/>
    <w:rsid w:val="00550081"/>
    <w:rsid w:val="00550103"/>
    <w:rsid w:val="005501B0"/>
    <w:rsid w:val="0055021A"/>
    <w:rsid w:val="00550282"/>
    <w:rsid w:val="0055031C"/>
    <w:rsid w:val="0055049C"/>
    <w:rsid w:val="0055055C"/>
    <w:rsid w:val="00550595"/>
    <w:rsid w:val="00550634"/>
    <w:rsid w:val="005506D1"/>
    <w:rsid w:val="00550793"/>
    <w:rsid w:val="005507C4"/>
    <w:rsid w:val="005507E3"/>
    <w:rsid w:val="00550B76"/>
    <w:rsid w:val="00550BAD"/>
    <w:rsid w:val="00550BF5"/>
    <w:rsid w:val="00550C65"/>
    <w:rsid w:val="00550CCD"/>
    <w:rsid w:val="00550CF9"/>
    <w:rsid w:val="00550D36"/>
    <w:rsid w:val="00550D7D"/>
    <w:rsid w:val="00550F24"/>
    <w:rsid w:val="00550FB9"/>
    <w:rsid w:val="0055113A"/>
    <w:rsid w:val="0055115B"/>
    <w:rsid w:val="0055118C"/>
    <w:rsid w:val="00551229"/>
    <w:rsid w:val="005512C5"/>
    <w:rsid w:val="00551576"/>
    <w:rsid w:val="005515C0"/>
    <w:rsid w:val="005515EB"/>
    <w:rsid w:val="00551630"/>
    <w:rsid w:val="00551722"/>
    <w:rsid w:val="00551A53"/>
    <w:rsid w:val="00551CC1"/>
    <w:rsid w:val="00551ECB"/>
    <w:rsid w:val="00552007"/>
    <w:rsid w:val="00552117"/>
    <w:rsid w:val="0055212B"/>
    <w:rsid w:val="00552133"/>
    <w:rsid w:val="00552168"/>
    <w:rsid w:val="005521C6"/>
    <w:rsid w:val="0055228B"/>
    <w:rsid w:val="00552324"/>
    <w:rsid w:val="00552346"/>
    <w:rsid w:val="005524B3"/>
    <w:rsid w:val="00552698"/>
    <w:rsid w:val="005526A6"/>
    <w:rsid w:val="005526FB"/>
    <w:rsid w:val="00552834"/>
    <w:rsid w:val="0055287E"/>
    <w:rsid w:val="0055295D"/>
    <w:rsid w:val="00552A83"/>
    <w:rsid w:val="00552AA6"/>
    <w:rsid w:val="00552B9E"/>
    <w:rsid w:val="00552E3D"/>
    <w:rsid w:val="00552FB2"/>
    <w:rsid w:val="00553126"/>
    <w:rsid w:val="0055314D"/>
    <w:rsid w:val="0055333D"/>
    <w:rsid w:val="00553582"/>
    <w:rsid w:val="00553801"/>
    <w:rsid w:val="0055383D"/>
    <w:rsid w:val="0055384F"/>
    <w:rsid w:val="0055399A"/>
    <w:rsid w:val="00553A69"/>
    <w:rsid w:val="00553B59"/>
    <w:rsid w:val="00553B88"/>
    <w:rsid w:val="00553D3C"/>
    <w:rsid w:val="00553DF9"/>
    <w:rsid w:val="00553E8D"/>
    <w:rsid w:val="0055408F"/>
    <w:rsid w:val="00554197"/>
    <w:rsid w:val="00554316"/>
    <w:rsid w:val="00554343"/>
    <w:rsid w:val="00554453"/>
    <w:rsid w:val="00554B96"/>
    <w:rsid w:val="00554B98"/>
    <w:rsid w:val="00554D4F"/>
    <w:rsid w:val="00555010"/>
    <w:rsid w:val="0055509F"/>
    <w:rsid w:val="005550D3"/>
    <w:rsid w:val="0055530A"/>
    <w:rsid w:val="00555412"/>
    <w:rsid w:val="00555552"/>
    <w:rsid w:val="005555A5"/>
    <w:rsid w:val="005556D2"/>
    <w:rsid w:val="005556F3"/>
    <w:rsid w:val="005556F5"/>
    <w:rsid w:val="0055582A"/>
    <w:rsid w:val="005558CD"/>
    <w:rsid w:val="0055595C"/>
    <w:rsid w:val="00555BE8"/>
    <w:rsid w:val="00555CAB"/>
    <w:rsid w:val="00555E75"/>
    <w:rsid w:val="00555E7A"/>
    <w:rsid w:val="00555F25"/>
    <w:rsid w:val="00556065"/>
    <w:rsid w:val="00556081"/>
    <w:rsid w:val="005560FD"/>
    <w:rsid w:val="00556100"/>
    <w:rsid w:val="005561FD"/>
    <w:rsid w:val="005563FE"/>
    <w:rsid w:val="005566CE"/>
    <w:rsid w:val="00556757"/>
    <w:rsid w:val="00556A70"/>
    <w:rsid w:val="00556ACA"/>
    <w:rsid w:val="00556DC7"/>
    <w:rsid w:val="00556DE1"/>
    <w:rsid w:val="00556DF5"/>
    <w:rsid w:val="00556EC5"/>
    <w:rsid w:val="00556F76"/>
    <w:rsid w:val="005573F9"/>
    <w:rsid w:val="00557452"/>
    <w:rsid w:val="00557463"/>
    <w:rsid w:val="005575B9"/>
    <w:rsid w:val="0055781A"/>
    <w:rsid w:val="00557884"/>
    <w:rsid w:val="005578A2"/>
    <w:rsid w:val="00557970"/>
    <w:rsid w:val="00557992"/>
    <w:rsid w:val="00557BCF"/>
    <w:rsid w:val="00557BD5"/>
    <w:rsid w:val="00557BF7"/>
    <w:rsid w:val="00557CD7"/>
    <w:rsid w:val="00557CFB"/>
    <w:rsid w:val="00557D4B"/>
    <w:rsid w:val="00557DDA"/>
    <w:rsid w:val="00557F0B"/>
    <w:rsid w:val="00557F58"/>
    <w:rsid w:val="00557F61"/>
    <w:rsid w:val="00557FB4"/>
    <w:rsid w:val="00557FC7"/>
    <w:rsid w:val="0056002D"/>
    <w:rsid w:val="00560116"/>
    <w:rsid w:val="0056020C"/>
    <w:rsid w:val="005602CB"/>
    <w:rsid w:val="00560350"/>
    <w:rsid w:val="00560356"/>
    <w:rsid w:val="005603A8"/>
    <w:rsid w:val="005603C1"/>
    <w:rsid w:val="00560486"/>
    <w:rsid w:val="005604A2"/>
    <w:rsid w:val="005604FD"/>
    <w:rsid w:val="00560782"/>
    <w:rsid w:val="005607C1"/>
    <w:rsid w:val="0056080A"/>
    <w:rsid w:val="00560871"/>
    <w:rsid w:val="0056087E"/>
    <w:rsid w:val="00560A28"/>
    <w:rsid w:val="00560B7B"/>
    <w:rsid w:val="00560C74"/>
    <w:rsid w:val="00560CB4"/>
    <w:rsid w:val="00560E0C"/>
    <w:rsid w:val="00560E43"/>
    <w:rsid w:val="00560F56"/>
    <w:rsid w:val="00561041"/>
    <w:rsid w:val="0056121E"/>
    <w:rsid w:val="00561235"/>
    <w:rsid w:val="00561242"/>
    <w:rsid w:val="00561269"/>
    <w:rsid w:val="00561314"/>
    <w:rsid w:val="005615A5"/>
    <w:rsid w:val="00561695"/>
    <w:rsid w:val="005616E0"/>
    <w:rsid w:val="00561722"/>
    <w:rsid w:val="005617D4"/>
    <w:rsid w:val="00561881"/>
    <w:rsid w:val="0056198A"/>
    <w:rsid w:val="00561B43"/>
    <w:rsid w:val="00561B93"/>
    <w:rsid w:val="00561CCC"/>
    <w:rsid w:val="00561D3A"/>
    <w:rsid w:val="00561E4B"/>
    <w:rsid w:val="00561E96"/>
    <w:rsid w:val="00561EC9"/>
    <w:rsid w:val="00561F72"/>
    <w:rsid w:val="00561FAE"/>
    <w:rsid w:val="00562098"/>
    <w:rsid w:val="005620D8"/>
    <w:rsid w:val="00562170"/>
    <w:rsid w:val="00562238"/>
    <w:rsid w:val="005622CD"/>
    <w:rsid w:val="005622E7"/>
    <w:rsid w:val="0056238E"/>
    <w:rsid w:val="005623CD"/>
    <w:rsid w:val="005624EE"/>
    <w:rsid w:val="005625B5"/>
    <w:rsid w:val="00562670"/>
    <w:rsid w:val="0056268E"/>
    <w:rsid w:val="005627D2"/>
    <w:rsid w:val="005627F9"/>
    <w:rsid w:val="0056292C"/>
    <w:rsid w:val="00562AB0"/>
    <w:rsid w:val="00562B7E"/>
    <w:rsid w:val="00562B86"/>
    <w:rsid w:val="00562B9B"/>
    <w:rsid w:val="00562BC3"/>
    <w:rsid w:val="00562C00"/>
    <w:rsid w:val="00562E82"/>
    <w:rsid w:val="00562F62"/>
    <w:rsid w:val="005631AB"/>
    <w:rsid w:val="005632A5"/>
    <w:rsid w:val="005634F9"/>
    <w:rsid w:val="00563540"/>
    <w:rsid w:val="00563690"/>
    <w:rsid w:val="005636B5"/>
    <w:rsid w:val="005636E6"/>
    <w:rsid w:val="00563770"/>
    <w:rsid w:val="005637F1"/>
    <w:rsid w:val="00563815"/>
    <w:rsid w:val="005638C9"/>
    <w:rsid w:val="00563AC1"/>
    <w:rsid w:val="00563B15"/>
    <w:rsid w:val="00563B4A"/>
    <w:rsid w:val="00563DDE"/>
    <w:rsid w:val="00563FE0"/>
    <w:rsid w:val="0056416C"/>
    <w:rsid w:val="00564204"/>
    <w:rsid w:val="005642EE"/>
    <w:rsid w:val="005643E4"/>
    <w:rsid w:val="00564459"/>
    <w:rsid w:val="00564532"/>
    <w:rsid w:val="0056488D"/>
    <w:rsid w:val="005648D2"/>
    <w:rsid w:val="005649C4"/>
    <w:rsid w:val="00564A44"/>
    <w:rsid w:val="00564A6D"/>
    <w:rsid w:val="00564BA6"/>
    <w:rsid w:val="00564BD8"/>
    <w:rsid w:val="00564BDF"/>
    <w:rsid w:val="00564FAA"/>
    <w:rsid w:val="00564FB6"/>
    <w:rsid w:val="00565089"/>
    <w:rsid w:val="00565191"/>
    <w:rsid w:val="005653AA"/>
    <w:rsid w:val="005653E2"/>
    <w:rsid w:val="0056545F"/>
    <w:rsid w:val="0056552F"/>
    <w:rsid w:val="00565823"/>
    <w:rsid w:val="0056591F"/>
    <w:rsid w:val="00565993"/>
    <w:rsid w:val="00565A80"/>
    <w:rsid w:val="00565B06"/>
    <w:rsid w:val="00565C3D"/>
    <w:rsid w:val="00565C40"/>
    <w:rsid w:val="00565D0F"/>
    <w:rsid w:val="00565E13"/>
    <w:rsid w:val="00565E5E"/>
    <w:rsid w:val="00565EB4"/>
    <w:rsid w:val="00565EF5"/>
    <w:rsid w:val="00565F4B"/>
    <w:rsid w:val="00566061"/>
    <w:rsid w:val="00566146"/>
    <w:rsid w:val="0056620F"/>
    <w:rsid w:val="0056629B"/>
    <w:rsid w:val="005663AA"/>
    <w:rsid w:val="0056650B"/>
    <w:rsid w:val="00566545"/>
    <w:rsid w:val="00566581"/>
    <w:rsid w:val="00566717"/>
    <w:rsid w:val="00566883"/>
    <w:rsid w:val="005669D6"/>
    <w:rsid w:val="00566E2A"/>
    <w:rsid w:val="00566F45"/>
    <w:rsid w:val="00566F47"/>
    <w:rsid w:val="00566FE0"/>
    <w:rsid w:val="00567057"/>
    <w:rsid w:val="005670B0"/>
    <w:rsid w:val="00567131"/>
    <w:rsid w:val="0056715E"/>
    <w:rsid w:val="0056718E"/>
    <w:rsid w:val="005671BA"/>
    <w:rsid w:val="00567209"/>
    <w:rsid w:val="0056739E"/>
    <w:rsid w:val="00567476"/>
    <w:rsid w:val="00567515"/>
    <w:rsid w:val="00567537"/>
    <w:rsid w:val="0056769F"/>
    <w:rsid w:val="005676E1"/>
    <w:rsid w:val="005676F8"/>
    <w:rsid w:val="0056771B"/>
    <w:rsid w:val="00567931"/>
    <w:rsid w:val="00567B91"/>
    <w:rsid w:val="00567CA3"/>
    <w:rsid w:val="00567FBF"/>
    <w:rsid w:val="00567FC1"/>
    <w:rsid w:val="005700D9"/>
    <w:rsid w:val="0057013E"/>
    <w:rsid w:val="0057015E"/>
    <w:rsid w:val="00570370"/>
    <w:rsid w:val="0057043B"/>
    <w:rsid w:val="005705FE"/>
    <w:rsid w:val="0057068E"/>
    <w:rsid w:val="00570786"/>
    <w:rsid w:val="0057087B"/>
    <w:rsid w:val="0057090B"/>
    <w:rsid w:val="00570B45"/>
    <w:rsid w:val="00570C48"/>
    <w:rsid w:val="00570D27"/>
    <w:rsid w:val="00570D42"/>
    <w:rsid w:val="00570D64"/>
    <w:rsid w:val="00570E15"/>
    <w:rsid w:val="00570ECC"/>
    <w:rsid w:val="00570F79"/>
    <w:rsid w:val="00571302"/>
    <w:rsid w:val="0057139A"/>
    <w:rsid w:val="00571473"/>
    <w:rsid w:val="0057151F"/>
    <w:rsid w:val="005715DF"/>
    <w:rsid w:val="00571645"/>
    <w:rsid w:val="00571664"/>
    <w:rsid w:val="00571A98"/>
    <w:rsid w:val="00571BFA"/>
    <w:rsid w:val="00571DFD"/>
    <w:rsid w:val="00571ED7"/>
    <w:rsid w:val="00572251"/>
    <w:rsid w:val="00572404"/>
    <w:rsid w:val="00572492"/>
    <w:rsid w:val="005724C0"/>
    <w:rsid w:val="005724E8"/>
    <w:rsid w:val="00572589"/>
    <w:rsid w:val="0057264D"/>
    <w:rsid w:val="00572877"/>
    <w:rsid w:val="005729E2"/>
    <w:rsid w:val="005729FA"/>
    <w:rsid w:val="00572A07"/>
    <w:rsid w:val="00572BB1"/>
    <w:rsid w:val="00572BD3"/>
    <w:rsid w:val="00572C5D"/>
    <w:rsid w:val="00572D25"/>
    <w:rsid w:val="00572DCB"/>
    <w:rsid w:val="00572FA6"/>
    <w:rsid w:val="00573084"/>
    <w:rsid w:val="0057325E"/>
    <w:rsid w:val="005732E4"/>
    <w:rsid w:val="00573341"/>
    <w:rsid w:val="005733AA"/>
    <w:rsid w:val="005734FD"/>
    <w:rsid w:val="00573542"/>
    <w:rsid w:val="005736B9"/>
    <w:rsid w:val="00573708"/>
    <w:rsid w:val="005737FB"/>
    <w:rsid w:val="00573884"/>
    <w:rsid w:val="00573995"/>
    <w:rsid w:val="00573A57"/>
    <w:rsid w:val="00573ADE"/>
    <w:rsid w:val="00573AEB"/>
    <w:rsid w:val="00573AEF"/>
    <w:rsid w:val="00573B59"/>
    <w:rsid w:val="00573C12"/>
    <w:rsid w:val="00573C6A"/>
    <w:rsid w:val="00573DCF"/>
    <w:rsid w:val="00573DDF"/>
    <w:rsid w:val="00573EEE"/>
    <w:rsid w:val="00573F7B"/>
    <w:rsid w:val="00574175"/>
    <w:rsid w:val="005741E4"/>
    <w:rsid w:val="0057425E"/>
    <w:rsid w:val="0057426C"/>
    <w:rsid w:val="005742F5"/>
    <w:rsid w:val="00574473"/>
    <w:rsid w:val="00574566"/>
    <w:rsid w:val="0057464A"/>
    <w:rsid w:val="00574661"/>
    <w:rsid w:val="00574B5D"/>
    <w:rsid w:val="00574BC0"/>
    <w:rsid w:val="00574BDB"/>
    <w:rsid w:val="00574C4C"/>
    <w:rsid w:val="00574E38"/>
    <w:rsid w:val="00574E80"/>
    <w:rsid w:val="00574FE5"/>
    <w:rsid w:val="00575048"/>
    <w:rsid w:val="00575139"/>
    <w:rsid w:val="00575143"/>
    <w:rsid w:val="00575429"/>
    <w:rsid w:val="00575505"/>
    <w:rsid w:val="0057557B"/>
    <w:rsid w:val="00575732"/>
    <w:rsid w:val="00575947"/>
    <w:rsid w:val="00575ABC"/>
    <w:rsid w:val="00575B88"/>
    <w:rsid w:val="00575BEB"/>
    <w:rsid w:val="00575CB8"/>
    <w:rsid w:val="00575CD1"/>
    <w:rsid w:val="00575CEF"/>
    <w:rsid w:val="00575DDB"/>
    <w:rsid w:val="00575F73"/>
    <w:rsid w:val="00575FD0"/>
    <w:rsid w:val="0057602D"/>
    <w:rsid w:val="0057608E"/>
    <w:rsid w:val="005762DF"/>
    <w:rsid w:val="005763FA"/>
    <w:rsid w:val="0057645D"/>
    <w:rsid w:val="00576519"/>
    <w:rsid w:val="0057659E"/>
    <w:rsid w:val="005765E0"/>
    <w:rsid w:val="005768E6"/>
    <w:rsid w:val="005769E1"/>
    <w:rsid w:val="00576A5A"/>
    <w:rsid w:val="00576A5D"/>
    <w:rsid w:val="00576D1A"/>
    <w:rsid w:val="00576D81"/>
    <w:rsid w:val="00576E02"/>
    <w:rsid w:val="00576EE6"/>
    <w:rsid w:val="00576EE8"/>
    <w:rsid w:val="00576F06"/>
    <w:rsid w:val="005772AE"/>
    <w:rsid w:val="005772C6"/>
    <w:rsid w:val="00577333"/>
    <w:rsid w:val="005773B1"/>
    <w:rsid w:val="00577412"/>
    <w:rsid w:val="005775C8"/>
    <w:rsid w:val="005778F8"/>
    <w:rsid w:val="005779CD"/>
    <w:rsid w:val="005779EE"/>
    <w:rsid w:val="00577A93"/>
    <w:rsid w:val="00577AA8"/>
    <w:rsid w:val="00577AE2"/>
    <w:rsid w:val="00577AF6"/>
    <w:rsid w:val="00577B59"/>
    <w:rsid w:val="00577BC0"/>
    <w:rsid w:val="00577CB3"/>
    <w:rsid w:val="00577E42"/>
    <w:rsid w:val="00577FB4"/>
    <w:rsid w:val="00580100"/>
    <w:rsid w:val="0058013E"/>
    <w:rsid w:val="00580299"/>
    <w:rsid w:val="005802A3"/>
    <w:rsid w:val="005804DB"/>
    <w:rsid w:val="005804DF"/>
    <w:rsid w:val="00580757"/>
    <w:rsid w:val="005807F1"/>
    <w:rsid w:val="0058089F"/>
    <w:rsid w:val="005808B0"/>
    <w:rsid w:val="00580B20"/>
    <w:rsid w:val="00580BC5"/>
    <w:rsid w:val="00580F0B"/>
    <w:rsid w:val="00580F4F"/>
    <w:rsid w:val="00580FC5"/>
    <w:rsid w:val="00580FD3"/>
    <w:rsid w:val="005810D6"/>
    <w:rsid w:val="005811B8"/>
    <w:rsid w:val="005811F0"/>
    <w:rsid w:val="0058124A"/>
    <w:rsid w:val="0058146D"/>
    <w:rsid w:val="0058153B"/>
    <w:rsid w:val="00581560"/>
    <w:rsid w:val="00581618"/>
    <w:rsid w:val="00581AC3"/>
    <w:rsid w:val="00581B97"/>
    <w:rsid w:val="00581BE6"/>
    <w:rsid w:val="00581E10"/>
    <w:rsid w:val="00581E78"/>
    <w:rsid w:val="00581F06"/>
    <w:rsid w:val="00581FB2"/>
    <w:rsid w:val="0058202D"/>
    <w:rsid w:val="00582392"/>
    <w:rsid w:val="005823FC"/>
    <w:rsid w:val="00582401"/>
    <w:rsid w:val="0058245D"/>
    <w:rsid w:val="00582548"/>
    <w:rsid w:val="005825A3"/>
    <w:rsid w:val="0058271B"/>
    <w:rsid w:val="005827DA"/>
    <w:rsid w:val="005828B7"/>
    <w:rsid w:val="005828F7"/>
    <w:rsid w:val="0058296D"/>
    <w:rsid w:val="00582A82"/>
    <w:rsid w:val="00582C50"/>
    <w:rsid w:val="00582DA9"/>
    <w:rsid w:val="00582E3C"/>
    <w:rsid w:val="00582EF4"/>
    <w:rsid w:val="00583013"/>
    <w:rsid w:val="00583019"/>
    <w:rsid w:val="00583234"/>
    <w:rsid w:val="005832CD"/>
    <w:rsid w:val="0058330A"/>
    <w:rsid w:val="00583354"/>
    <w:rsid w:val="0058337A"/>
    <w:rsid w:val="005833C1"/>
    <w:rsid w:val="00583476"/>
    <w:rsid w:val="005834EF"/>
    <w:rsid w:val="005835BE"/>
    <w:rsid w:val="005835EA"/>
    <w:rsid w:val="0058361A"/>
    <w:rsid w:val="00583679"/>
    <w:rsid w:val="00583686"/>
    <w:rsid w:val="00583688"/>
    <w:rsid w:val="0058368B"/>
    <w:rsid w:val="00583712"/>
    <w:rsid w:val="0058378A"/>
    <w:rsid w:val="0058378D"/>
    <w:rsid w:val="00583804"/>
    <w:rsid w:val="0058385A"/>
    <w:rsid w:val="00583915"/>
    <w:rsid w:val="00583937"/>
    <w:rsid w:val="00583ADE"/>
    <w:rsid w:val="00583BD2"/>
    <w:rsid w:val="00583DE6"/>
    <w:rsid w:val="00583E67"/>
    <w:rsid w:val="00583E81"/>
    <w:rsid w:val="00583E93"/>
    <w:rsid w:val="00583F8C"/>
    <w:rsid w:val="00584094"/>
    <w:rsid w:val="005840BE"/>
    <w:rsid w:val="00584194"/>
    <w:rsid w:val="005841B3"/>
    <w:rsid w:val="0058444B"/>
    <w:rsid w:val="00584636"/>
    <w:rsid w:val="0058479F"/>
    <w:rsid w:val="00584A1B"/>
    <w:rsid w:val="00584A46"/>
    <w:rsid w:val="00584A9E"/>
    <w:rsid w:val="00584B31"/>
    <w:rsid w:val="00584B36"/>
    <w:rsid w:val="00584CF7"/>
    <w:rsid w:val="00584D61"/>
    <w:rsid w:val="00584D9A"/>
    <w:rsid w:val="00584F95"/>
    <w:rsid w:val="00585111"/>
    <w:rsid w:val="00585181"/>
    <w:rsid w:val="005851FC"/>
    <w:rsid w:val="005852CF"/>
    <w:rsid w:val="005852FB"/>
    <w:rsid w:val="00585529"/>
    <w:rsid w:val="00585659"/>
    <w:rsid w:val="005857A9"/>
    <w:rsid w:val="0058596E"/>
    <w:rsid w:val="00585AE0"/>
    <w:rsid w:val="00585B02"/>
    <w:rsid w:val="00585BA7"/>
    <w:rsid w:val="00585C85"/>
    <w:rsid w:val="00585FFF"/>
    <w:rsid w:val="005860A8"/>
    <w:rsid w:val="005861E3"/>
    <w:rsid w:val="0058657B"/>
    <w:rsid w:val="00586626"/>
    <w:rsid w:val="005866FC"/>
    <w:rsid w:val="00586710"/>
    <w:rsid w:val="00586713"/>
    <w:rsid w:val="00586741"/>
    <w:rsid w:val="00586776"/>
    <w:rsid w:val="0058678B"/>
    <w:rsid w:val="0058689B"/>
    <w:rsid w:val="005869BD"/>
    <w:rsid w:val="00586C30"/>
    <w:rsid w:val="00586CE4"/>
    <w:rsid w:val="00586DCC"/>
    <w:rsid w:val="00586EA3"/>
    <w:rsid w:val="0058718A"/>
    <w:rsid w:val="0058728E"/>
    <w:rsid w:val="005872CB"/>
    <w:rsid w:val="005872D2"/>
    <w:rsid w:val="0058739B"/>
    <w:rsid w:val="00587443"/>
    <w:rsid w:val="00587515"/>
    <w:rsid w:val="005875BD"/>
    <w:rsid w:val="005875C1"/>
    <w:rsid w:val="005875E7"/>
    <w:rsid w:val="00587633"/>
    <w:rsid w:val="005876ED"/>
    <w:rsid w:val="00587719"/>
    <w:rsid w:val="0058778E"/>
    <w:rsid w:val="0058778F"/>
    <w:rsid w:val="005877AF"/>
    <w:rsid w:val="005877BD"/>
    <w:rsid w:val="005877D4"/>
    <w:rsid w:val="00587939"/>
    <w:rsid w:val="00587AC7"/>
    <w:rsid w:val="00587C67"/>
    <w:rsid w:val="00587D14"/>
    <w:rsid w:val="00587DA5"/>
    <w:rsid w:val="00587DE3"/>
    <w:rsid w:val="00590059"/>
    <w:rsid w:val="005901EF"/>
    <w:rsid w:val="0059020D"/>
    <w:rsid w:val="00590457"/>
    <w:rsid w:val="005905F8"/>
    <w:rsid w:val="00590647"/>
    <w:rsid w:val="0059064C"/>
    <w:rsid w:val="005906DF"/>
    <w:rsid w:val="005907F3"/>
    <w:rsid w:val="00590834"/>
    <w:rsid w:val="00590894"/>
    <w:rsid w:val="00590C36"/>
    <w:rsid w:val="00590D38"/>
    <w:rsid w:val="00590D63"/>
    <w:rsid w:val="00590D7E"/>
    <w:rsid w:val="00590DF5"/>
    <w:rsid w:val="00590DFC"/>
    <w:rsid w:val="00590E67"/>
    <w:rsid w:val="00590F57"/>
    <w:rsid w:val="00590FA9"/>
    <w:rsid w:val="005910C4"/>
    <w:rsid w:val="00591184"/>
    <w:rsid w:val="0059122C"/>
    <w:rsid w:val="00591247"/>
    <w:rsid w:val="0059128E"/>
    <w:rsid w:val="005912B1"/>
    <w:rsid w:val="005913D8"/>
    <w:rsid w:val="0059141E"/>
    <w:rsid w:val="0059172D"/>
    <w:rsid w:val="00591798"/>
    <w:rsid w:val="005917CB"/>
    <w:rsid w:val="005917EB"/>
    <w:rsid w:val="0059192C"/>
    <w:rsid w:val="00591A12"/>
    <w:rsid w:val="00591A5B"/>
    <w:rsid w:val="00591AA1"/>
    <w:rsid w:val="00591B6D"/>
    <w:rsid w:val="00591B78"/>
    <w:rsid w:val="00591BB8"/>
    <w:rsid w:val="00591C71"/>
    <w:rsid w:val="00591C92"/>
    <w:rsid w:val="00591C9E"/>
    <w:rsid w:val="00591CE0"/>
    <w:rsid w:val="00591DBF"/>
    <w:rsid w:val="00591DC8"/>
    <w:rsid w:val="00591DFC"/>
    <w:rsid w:val="00591E8E"/>
    <w:rsid w:val="005921D4"/>
    <w:rsid w:val="00592370"/>
    <w:rsid w:val="005923F6"/>
    <w:rsid w:val="005925CA"/>
    <w:rsid w:val="00592638"/>
    <w:rsid w:val="0059290B"/>
    <w:rsid w:val="00592974"/>
    <w:rsid w:val="005929B5"/>
    <w:rsid w:val="005929C8"/>
    <w:rsid w:val="005929DA"/>
    <w:rsid w:val="00592AF6"/>
    <w:rsid w:val="00592B70"/>
    <w:rsid w:val="00592C0D"/>
    <w:rsid w:val="00592CED"/>
    <w:rsid w:val="00592DB9"/>
    <w:rsid w:val="00592DFC"/>
    <w:rsid w:val="00592E5B"/>
    <w:rsid w:val="00592E7E"/>
    <w:rsid w:val="00592E81"/>
    <w:rsid w:val="00592FD6"/>
    <w:rsid w:val="0059303E"/>
    <w:rsid w:val="00593070"/>
    <w:rsid w:val="005930A0"/>
    <w:rsid w:val="00593425"/>
    <w:rsid w:val="00593470"/>
    <w:rsid w:val="0059355F"/>
    <w:rsid w:val="00593720"/>
    <w:rsid w:val="00593796"/>
    <w:rsid w:val="0059379C"/>
    <w:rsid w:val="0059389B"/>
    <w:rsid w:val="00593904"/>
    <w:rsid w:val="005939BB"/>
    <w:rsid w:val="00593A1E"/>
    <w:rsid w:val="00593B61"/>
    <w:rsid w:val="00593B6D"/>
    <w:rsid w:val="00593B99"/>
    <w:rsid w:val="00593BA3"/>
    <w:rsid w:val="00593BEB"/>
    <w:rsid w:val="00593DEF"/>
    <w:rsid w:val="00593E8A"/>
    <w:rsid w:val="00593EE6"/>
    <w:rsid w:val="00593F9A"/>
    <w:rsid w:val="0059411A"/>
    <w:rsid w:val="00594264"/>
    <w:rsid w:val="0059431F"/>
    <w:rsid w:val="0059438E"/>
    <w:rsid w:val="00594450"/>
    <w:rsid w:val="0059448E"/>
    <w:rsid w:val="00594609"/>
    <w:rsid w:val="00594659"/>
    <w:rsid w:val="005947B7"/>
    <w:rsid w:val="0059480D"/>
    <w:rsid w:val="00594861"/>
    <w:rsid w:val="00594AB6"/>
    <w:rsid w:val="00594ABE"/>
    <w:rsid w:val="00594C94"/>
    <w:rsid w:val="00594FA2"/>
    <w:rsid w:val="0059511F"/>
    <w:rsid w:val="005951E6"/>
    <w:rsid w:val="00595437"/>
    <w:rsid w:val="005955FC"/>
    <w:rsid w:val="00595772"/>
    <w:rsid w:val="00595A13"/>
    <w:rsid w:val="00595E26"/>
    <w:rsid w:val="00595E68"/>
    <w:rsid w:val="00595E79"/>
    <w:rsid w:val="005960F6"/>
    <w:rsid w:val="00596145"/>
    <w:rsid w:val="005961F4"/>
    <w:rsid w:val="005961FF"/>
    <w:rsid w:val="00596209"/>
    <w:rsid w:val="0059627B"/>
    <w:rsid w:val="0059627F"/>
    <w:rsid w:val="005963DC"/>
    <w:rsid w:val="005965D6"/>
    <w:rsid w:val="00596748"/>
    <w:rsid w:val="005967AD"/>
    <w:rsid w:val="005968D6"/>
    <w:rsid w:val="00596A10"/>
    <w:rsid w:val="00596EBA"/>
    <w:rsid w:val="0059733F"/>
    <w:rsid w:val="00597348"/>
    <w:rsid w:val="00597491"/>
    <w:rsid w:val="0059753F"/>
    <w:rsid w:val="00597557"/>
    <w:rsid w:val="005975F6"/>
    <w:rsid w:val="0059761E"/>
    <w:rsid w:val="005976D0"/>
    <w:rsid w:val="00597858"/>
    <w:rsid w:val="00597933"/>
    <w:rsid w:val="00597A87"/>
    <w:rsid w:val="00597B62"/>
    <w:rsid w:val="00597B7F"/>
    <w:rsid w:val="00597BE3"/>
    <w:rsid w:val="00597C10"/>
    <w:rsid w:val="00597CED"/>
    <w:rsid w:val="00597D16"/>
    <w:rsid w:val="00597D41"/>
    <w:rsid w:val="00597DA6"/>
    <w:rsid w:val="00597E42"/>
    <w:rsid w:val="00597F6A"/>
    <w:rsid w:val="00597FD6"/>
    <w:rsid w:val="005A02AD"/>
    <w:rsid w:val="005A0407"/>
    <w:rsid w:val="005A0539"/>
    <w:rsid w:val="005A0819"/>
    <w:rsid w:val="005A0857"/>
    <w:rsid w:val="005A098D"/>
    <w:rsid w:val="005A09DB"/>
    <w:rsid w:val="005A0A44"/>
    <w:rsid w:val="005A0AA7"/>
    <w:rsid w:val="005A0B2D"/>
    <w:rsid w:val="005A0B69"/>
    <w:rsid w:val="005A0D04"/>
    <w:rsid w:val="005A0DD2"/>
    <w:rsid w:val="005A0E81"/>
    <w:rsid w:val="005A0EAD"/>
    <w:rsid w:val="005A1036"/>
    <w:rsid w:val="005A1058"/>
    <w:rsid w:val="005A11F8"/>
    <w:rsid w:val="005A1284"/>
    <w:rsid w:val="005A1384"/>
    <w:rsid w:val="005A146E"/>
    <w:rsid w:val="005A1825"/>
    <w:rsid w:val="005A18D6"/>
    <w:rsid w:val="005A18EE"/>
    <w:rsid w:val="005A1D18"/>
    <w:rsid w:val="005A1E0E"/>
    <w:rsid w:val="005A1F96"/>
    <w:rsid w:val="005A2197"/>
    <w:rsid w:val="005A2214"/>
    <w:rsid w:val="005A2320"/>
    <w:rsid w:val="005A24A2"/>
    <w:rsid w:val="005A2540"/>
    <w:rsid w:val="005A265A"/>
    <w:rsid w:val="005A26BC"/>
    <w:rsid w:val="005A26C6"/>
    <w:rsid w:val="005A26DE"/>
    <w:rsid w:val="005A2716"/>
    <w:rsid w:val="005A275E"/>
    <w:rsid w:val="005A27F4"/>
    <w:rsid w:val="005A2A83"/>
    <w:rsid w:val="005A2B25"/>
    <w:rsid w:val="005A2E69"/>
    <w:rsid w:val="005A30CB"/>
    <w:rsid w:val="005A3208"/>
    <w:rsid w:val="005A325C"/>
    <w:rsid w:val="005A32C2"/>
    <w:rsid w:val="005A3410"/>
    <w:rsid w:val="005A34FF"/>
    <w:rsid w:val="005A374E"/>
    <w:rsid w:val="005A376B"/>
    <w:rsid w:val="005A3859"/>
    <w:rsid w:val="005A3887"/>
    <w:rsid w:val="005A3954"/>
    <w:rsid w:val="005A399C"/>
    <w:rsid w:val="005A39EE"/>
    <w:rsid w:val="005A3A36"/>
    <w:rsid w:val="005A3DA1"/>
    <w:rsid w:val="005A3FAC"/>
    <w:rsid w:val="005A3FE6"/>
    <w:rsid w:val="005A4092"/>
    <w:rsid w:val="005A40E5"/>
    <w:rsid w:val="005A4141"/>
    <w:rsid w:val="005A41F8"/>
    <w:rsid w:val="005A422E"/>
    <w:rsid w:val="005A45B5"/>
    <w:rsid w:val="005A4731"/>
    <w:rsid w:val="005A4928"/>
    <w:rsid w:val="005A4AB1"/>
    <w:rsid w:val="005A4ADC"/>
    <w:rsid w:val="005A4C47"/>
    <w:rsid w:val="005A4DA2"/>
    <w:rsid w:val="005A4E7C"/>
    <w:rsid w:val="005A4E7F"/>
    <w:rsid w:val="005A4F8F"/>
    <w:rsid w:val="005A4F9C"/>
    <w:rsid w:val="005A5089"/>
    <w:rsid w:val="005A50A9"/>
    <w:rsid w:val="005A557C"/>
    <w:rsid w:val="005A55D7"/>
    <w:rsid w:val="005A55EF"/>
    <w:rsid w:val="005A5601"/>
    <w:rsid w:val="005A57FF"/>
    <w:rsid w:val="005A5993"/>
    <w:rsid w:val="005A5B7C"/>
    <w:rsid w:val="005A5B93"/>
    <w:rsid w:val="005A5EB0"/>
    <w:rsid w:val="005A5ED4"/>
    <w:rsid w:val="005A5F41"/>
    <w:rsid w:val="005A5F74"/>
    <w:rsid w:val="005A6055"/>
    <w:rsid w:val="005A60B0"/>
    <w:rsid w:val="005A6171"/>
    <w:rsid w:val="005A625C"/>
    <w:rsid w:val="005A6350"/>
    <w:rsid w:val="005A6421"/>
    <w:rsid w:val="005A647C"/>
    <w:rsid w:val="005A64A7"/>
    <w:rsid w:val="005A65C6"/>
    <w:rsid w:val="005A6610"/>
    <w:rsid w:val="005A66EF"/>
    <w:rsid w:val="005A687A"/>
    <w:rsid w:val="005A6E09"/>
    <w:rsid w:val="005A713D"/>
    <w:rsid w:val="005A720D"/>
    <w:rsid w:val="005A73E2"/>
    <w:rsid w:val="005A75BF"/>
    <w:rsid w:val="005A7760"/>
    <w:rsid w:val="005A79AD"/>
    <w:rsid w:val="005A7AD9"/>
    <w:rsid w:val="005A7AF5"/>
    <w:rsid w:val="005A7C1C"/>
    <w:rsid w:val="005A7E80"/>
    <w:rsid w:val="005A7F96"/>
    <w:rsid w:val="005B002C"/>
    <w:rsid w:val="005B0168"/>
    <w:rsid w:val="005B017C"/>
    <w:rsid w:val="005B0348"/>
    <w:rsid w:val="005B03A6"/>
    <w:rsid w:val="005B0456"/>
    <w:rsid w:val="005B05BF"/>
    <w:rsid w:val="005B065D"/>
    <w:rsid w:val="005B0772"/>
    <w:rsid w:val="005B08CD"/>
    <w:rsid w:val="005B0A32"/>
    <w:rsid w:val="005B0A33"/>
    <w:rsid w:val="005B0A8D"/>
    <w:rsid w:val="005B0AFC"/>
    <w:rsid w:val="005B0BA7"/>
    <w:rsid w:val="005B0D54"/>
    <w:rsid w:val="005B0D7B"/>
    <w:rsid w:val="005B0DFF"/>
    <w:rsid w:val="005B0FAD"/>
    <w:rsid w:val="005B10C7"/>
    <w:rsid w:val="005B1139"/>
    <w:rsid w:val="005B1203"/>
    <w:rsid w:val="005B1487"/>
    <w:rsid w:val="005B155F"/>
    <w:rsid w:val="005B15E1"/>
    <w:rsid w:val="005B16AD"/>
    <w:rsid w:val="005B1709"/>
    <w:rsid w:val="005B170F"/>
    <w:rsid w:val="005B1861"/>
    <w:rsid w:val="005B1885"/>
    <w:rsid w:val="005B189C"/>
    <w:rsid w:val="005B194B"/>
    <w:rsid w:val="005B19CC"/>
    <w:rsid w:val="005B19EA"/>
    <w:rsid w:val="005B19F9"/>
    <w:rsid w:val="005B1A52"/>
    <w:rsid w:val="005B1BF9"/>
    <w:rsid w:val="005B1C1F"/>
    <w:rsid w:val="005B1CDE"/>
    <w:rsid w:val="005B1D82"/>
    <w:rsid w:val="005B1E6D"/>
    <w:rsid w:val="005B1F2E"/>
    <w:rsid w:val="005B1F6E"/>
    <w:rsid w:val="005B1F86"/>
    <w:rsid w:val="005B203E"/>
    <w:rsid w:val="005B209F"/>
    <w:rsid w:val="005B2126"/>
    <w:rsid w:val="005B21AB"/>
    <w:rsid w:val="005B21DD"/>
    <w:rsid w:val="005B2259"/>
    <w:rsid w:val="005B229A"/>
    <w:rsid w:val="005B236D"/>
    <w:rsid w:val="005B25A8"/>
    <w:rsid w:val="005B271D"/>
    <w:rsid w:val="005B2B41"/>
    <w:rsid w:val="005B2B8F"/>
    <w:rsid w:val="005B2C64"/>
    <w:rsid w:val="005B2E65"/>
    <w:rsid w:val="005B2F1E"/>
    <w:rsid w:val="005B2F6B"/>
    <w:rsid w:val="005B2FE4"/>
    <w:rsid w:val="005B30D5"/>
    <w:rsid w:val="005B30DF"/>
    <w:rsid w:val="005B30E0"/>
    <w:rsid w:val="005B31EA"/>
    <w:rsid w:val="005B32D3"/>
    <w:rsid w:val="005B32F5"/>
    <w:rsid w:val="005B333E"/>
    <w:rsid w:val="005B3341"/>
    <w:rsid w:val="005B34A7"/>
    <w:rsid w:val="005B352C"/>
    <w:rsid w:val="005B3531"/>
    <w:rsid w:val="005B3635"/>
    <w:rsid w:val="005B3662"/>
    <w:rsid w:val="005B38BB"/>
    <w:rsid w:val="005B3974"/>
    <w:rsid w:val="005B3996"/>
    <w:rsid w:val="005B39A9"/>
    <w:rsid w:val="005B3A17"/>
    <w:rsid w:val="005B3ACE"/>
    <w:rsid w:val="005B3EAE"/>
    <w:rsid w:val="005B4072"/>
    <w:rsid w:val="005B419E"/>
    <w:rsid w:val="005B42C9"/>
    <w:rsid w:val="005B456E"/>
    <w:rsid w:val="005B4645"/>
    <w:rsid w:val="005B4654"/>
    <w:rsid w:val="005B465D"/>
    <w:rsid w:val="005B4666"/>
    <w:rsid w:val="005B46C7"/>
    <w:rsid w:val="005B4734"/>
    <w:rsid w:val="005B4786"/>
    <w:rsid w:val="005B47F4"/>
    <w:rsid w:val="005B485D"/>
    <w:rsid w:val="005B4949"/>
    <w:rsid w:val="005B4A26"/>
    <w:rsid w:val="005B4A46"/>
    <w:rsid w:val="005B4A63"/>
    <w:rsid w:val="005B4C86"/>
    <w:rsid w:val="005B4C8C"/>
    <w:rsid w:val="005B4DB4"/>
    <w:rsid w:val="005B4F2F"/>
    <w:rsid w:val="005B4F5E"/>
    <w:rsid w:val="005B4FEC"/>
    <w:rsid w:val="005B5024"/>
    <w:rsid w:val="005B50F9"/>
    <w:rsid w:val="005B51C1"/>
    <w:rsid w:val="005B53B2"/>
    <w:rsid w:val="005B53EB"/>
    <w:rsid w:val="005B5552"/>
    <w:rsid w:val="005B556E"/>
    <w:rsid w:val="005B55FB"/>
    <w:rsid w:val="005B5614"/>
    <w:rsid w:val="005B564A"/>
    <w:rsid w:val="005B589F"/>
    <w:rsid w:val="005B58C8"/>
    <w:rsid w:val="005B5970"/>
    <w:rsid w:val="005B5BDD"/>
    <w:rsid w:val="005B5BEE"/>
    <w:rsid w:val="005B5C4A"/>
    <w:rsid w:val="005B5CB0"/>
    <w:rsid w:val="005B5D42"/>
    <w:rsid w:val="005B5D72"/>
    <w:rsid w:val="005B5D86"/>
    <w:rsid w:val="005B5DE3"/>
    <w:rsid w:val="005B5E4E"/>
    <w:rsid w:val="005B5FD4"/>
    <w:rsid w:val="005B5FD8"/>
    <w:rsid w:val="005B5FFA"/>
    <w:rsid w:val="005B6032"/>
    <w:rsid w:val="005B6033"/>
    <w:rsid w:val="005B6152"/>
    <w:rsid w:val="005B626D"/>
    <w:rsid w:val="005B6513"/>
    <w:rsid w:val="005B6521"/>
    <w:rsid w:val="005B662B"/>
    <w:rsid w:val="005B6704"/>
    <w:rsid w:val="005B6754"/>
    <w:rsid w:val="005B6762"/>
    <w:rsid w:val="005B67AD"/>
    <w:rsid w:val="005B67D2"/>
    <w:rsid w:val="005B6885"/>
    <w:rsid w:val="005B69F3"/>
    <w:rsid w:val="005B6C32"/>
    <w:rsid w:val="005B6C76"/>
    <w:rsid w:val="005B6E46"/>
    <w:rsid w:val="005B6E93"/>
    <w:rsid w:val="005B6FDD"/>
    <w:rsid w:val="005B7073"/>
    <w:rsid w:val="005B70B3"/>
    <w:rsid w:val="005B71CE"/>
    <w:rsid w:val="005B728C"/>
    <w:rsid w:val="005B73C1"/>
    <w:rsid w:val="005B7409"/>
    <w:rsid w:val="005B756A"/>
    <w:rsid w:val="005B757A"/>
    <w:rsid w:val="005B78AB"/>
    <w:rsid w:val="005B78C0"/>
    <w:rsid w:val="005B793D"/>
    <w:rsid w:val="005B7953"/>
    <w:rsid w:val="005B7C86"/>
    <w:rsid w:val="005B7CFC"/>
    <w:rsid w:val="005B7CFF"/>
    <w:rsid w:val="005B7FD7"/>
    <w:rsid w:val="005C0000"/>
    <w:rsid w:val="005C001A"/>
    <w:rsid w:val="005C01A9"/>
    <w:rsid w:val="005C01D7"/>
    <w:rsid w:val="005C02BA"/>
    <w:rsid w:val="005C0340"/>
    <w:rsid w:val="005C04ED"/>
    <w:rsid w:val="005C056E"/>
    <w:rsid w:val="005C0647"/>
    <w:rsid w:val="005C079B"/>
    <w:rsid w:val="005C07AA"/>
    <w:rsid w:val="005C07C5"/>
    <w:rsid w:val="005C07F6"/>
    <w:rsid w:val="005C094D"/>
    <w:rsid w:val="005C0AA4"/>
    <w:rsid w:val="005C0D22"/>
    <w:rsid w:val="005C0D6E"/>
    <w:rsid w:val="005C0DFB"/>
    <w:rsid w:val="005C0E06"/>
    <w:rsid w:val="005C0E84"/>
    <w:rsid w:val="005C0E9F"/>
    <w:rsid w:val="005C1144"/>
    <w:rsid w:val="005C115D"/>
    <w:rsid w:val="005C11E9"/>
    <w:rsid w:val="005C11F1"/>
    <w:rsid w:val="005C1285"/>
    <w:rsid w:val="005C1354"/>
    <w:rsid w:val="005C1664"/>
    <w:rsid w:val="005C17AB"/>
    <w:rsid w:val="005C18E0"/>
    <w:rsid w:val="005C1910"/>
    <w:rsid w:val="005C19CE"/>
    <w:rsid w:val="005C1ABF"/>
    <w:rsid w:val="005C1B0C"/>
    <w:rsid w:val="005C1D1D"/>
    <w:rsid w:val="005C1DEE"/>
    <w:rsid w:val="005C1F4C"/>
    <w:rsid w:val="005C2017"/>
    <w:rsid w:val="005C21A3"/>
    <w:rsid w:val="005C2398"/>
    <w:rsid w:val="005C2466"/>
    <w:rsid w:val="005C266B"/>
    <w:rsid w:val="005C2763"/>
    <w:rsid w:val="005C2841"/>
    <w:rsid w:val="005C28E7"/>
    <w:rsid w:val="005C29B8"/>
    <w:rsid w:val="005C2D8F"/>
    <w:rsid w:val="005C2E1A"/>
    <w:rsid w:val="005C2E27"/>
    <w:rsid w:val="005C2E3C"/>
    <w:rsid w:val="005C2E72"/>
    <w:rsid w:val="005C2EEE"/>
    <w:rsid w:val="005C2F39"/>
    <w:rsid w:val="005C2F6A"/>
    <w:rsid w:val="005C305B"/>
    <w:rsid w:val="005C3102"/>
    <w:rsid w:val="005C31C5"/>
    <w:rsid w:val="005C31CB"/>
    <w:rsid w:val="005C31DB"/>
    <w:rsid w:val="005C3321"/>
    <w:rsid w:val="005C33FB"/>
    <w:rsid w:val="005C349B"/>
    <w:rsid w:val="005C365C"/>
    <w:rsid w:val="005C38AA"/>
    <w:rsid w:val="005C3932"/>
    <w:rsid w:val="005C3A10"/>
    <w:rsid w:val="005C3CD9"/>
    <w:rsid w:val="005C3E6F"/>
    <w:rsid w:val="005C3E7D"/>
    <w:rsid w:val="005C3E96"/>
    <w:rsid w:val="005C401C"/>
    <w:rsid w:val="005C42A2"/>
    <w:rsid w:val="005C4397"/>
    <w:rsid w:val="005C44BD"/>
    <w:rsid w:val="005C450D"/>
    <w:rsid w:val="005C4528"/>
    <w:rsid w:val="005C4549"/>
    <w:rsid w:val="005C4575"/>
    <w:rsid w:val="005C4597"/>
    <w:rsid w:val="005C4899"/>
    <w:rsid w:val="005C4926"/>
    <w:rsid w:val="005C4986"/>
    <w:rsid w:val="005C4A2C"/>
    <w:rsid w:val="005C4A4C"/>
    <w:rsid w:val="005C4DBF"/>
    <w:rsid w:val="005C5190"/>
    <w:rsid w:val="005C53F5"/>
    <w:rsid w:val="005C545D"/>
    <w:rsid w:val="005C5472"/>
    <w:rsid w:val="005C54E1"/>
    <w:rsid w:val="005C5648"/>
    <w:rsid w:val="005C570F"/>
    <w:rsid w:val="005C5890"/>
    <w:rsid w:val="005C5978"/>
    <w:rsid w:val="005C5989"/>
    <w:rsid w:val="005C5A60"/>
    <w:rsid w:val="005C5C19"/>
    <w:rsid w:val="005C5C59"/>
    <w:rsid w:val="005C5C61"/>
    <w:rsid w:val="005C5C65"/>
    <w:rsid w:val="005C5D97"/>
    <w:rsid w:val="005C5E84"/>
    <w:rsid w:val="005C6063"/>
    <w:rsid w:val="005C61BB"/>
    <w:rsid w:val="005C63ED"/>
    <w:rsid w:val="005C649C"/>
    <w:rsid w:val="005C65EB"/>
    <w:rsid w:val="005C65F2"/>
    <w:rsid w:val="005C6681"/>
    <w:rsid w:val="005C66AD"/>
    <w:rsid w:val="005C66C7"/>
    <w:rsid w:val="005C66F5"/>
    <w:rsid w:val="005C6769"/>
    <w:rsid w:val="005C694E"/>
    <w:rsid w:val="005C6B0E"/>
    <w:rsid w:val="005C6B38"/>
    <w:rsid w:val="005C6BD4"/>
    <w:rsid w:val="005C6C22"/>
    <w:rsid w:val="005C6CAD"/>
    <w:rsid w:val="005C6D0B"/>
    <w:rsid w:val="005C6D72"/>
    <w:rsid w:val="005C6DE4"/>
    <w:rsid w:val="005C6E0D"/>
    <w:rsid w:val="005C6E24"/>
    <w:rsid w:val="005C6F3C"/>
    <w:rsid w:val="005C7054"/>
    <w:rsid w:val="005C7174"/>
    <w:rsid w:val="005C719A"/>
    <w:rsid w:val="005C7210"/>
    <w:rsid w:val="005C7282"/>
    <w:rsid w:val="005C72B5"/>
    <w:rsid w:val="005C7323"/>
    <w:rsid w:val="005C73BC"/>
    <w:rsid w:val="005C7417"/>
    <w:rsid w:val="005C75AC"/>
    <w:rsid w:val="005C75F7"/>
    <w:rsid w:val="005C7701"/>
    <w:rsid w:val="005C7702"/>
    <w:rsid w:val="005C7A2C"/>
    <w:rsid w:val="005C7B0C"/>
    <w:rsid w:val="005C7B42"/>
    <w:rsid w:val="005C7BB4"/>
    <w:rsid w:val="005C7C6E"/>
    <w:rsid w:val="005C7CF5"/>
    <w:rsid w:val="005C7F8B"/>
    <w:rsid w:val="005D0036"/>
    <w:rsid w:val="005D007D"/>
    <w:rsid w:val="005D012D"/>
    <w:rsid w:val="005D015D"/>
    <w:rsid w:val="005D01A5"/>
    <w:rsid w:val="005D0247"/>
    <w:rsid w:val="005D0263"/>
    <w:rsid w:val="005D036E"/>
    <w:rsid w:val="005D075D"/>
    <w:rsid w:val="005D07F1"/>
    <w:rsid w:val="005D085E"/>
    <w:rsid w:val="005D089A"/>
    <w:rsid w:val="005D08B6"/>
    <w:rsid w:val="005D09CF"/>
    <w:rsid w:val="005D0B99"/>
    <w:rsid w:val="005D0BD6"/>
    <w:rsid w:val="005D0C14"/>
    <w:rsid w:val="005D0DA2"/>
    <w:rsid w:val="005D0DEB"/>
    <w:rsid w:val="005D119E"/>
    <w:rsid w:val="005D1316"/>
    <w:rsid w:val="005D146C"/>
    <w:rsid w:val="005D149A"/>
    <w:rsid w:val="005D14A8"/>
    <w:rsid w:val="005D1503"/>
    <w:rsid w:val="005D155E"/>
    <w:rsid w:val="005D15A7"/>
    <w:rsid w:val="005D1686"/>
    <w:rsid w:val="005D16F0"/>
    <w:rsid w:val="005D183E"/>
    <w:rsid w:val="005D1843"/>
    <w:rsid w:val="005D196A"/>
    <w:rsid w:val="005D1997"/>
    <w:rsid w:val="005D1A1C"/>
    <w:rsid w:val="005D1B82"/>
    <w:rsid w:val="005D1CAA"/>
    <w:rsid w:val="005D1CD0"/>
    <w:rsid w:val="005D1ED2"/>
    <w:rsid w:val="005D1EF0"/>
    <w:rsid w:val="005D1FD8"/>
    <w:rsid w:val="005D2024"/>
    <w:rsid w:val="005D22BA"/>
    <w:rsid w:val="005D2314"/>
    <w:rsid w:val="005D2529"/>
    <w:rsid w:val="005D2767"/>
    <w:rsid w:val="005D2C5B"/>
    <w:rsid w:val="005D2C8F"/>
    <w:rsid w:val="005D2CA4"/>
    <w:rsid w:val="005D2D84"/>
    <w:rsid w:val="005D3361"/>
    <w:rsid w:val="005D3440"/>
    <w:rsid w:val="005D35F0"/>
    <w:rsid w:val="005D361E"/>
    <w:rsid w:val="005D385C"/>
    <w:rsid w:val="005D3B22"/>
    <w:rsid w:val="005D3B57"/>
    <w:rsid w:val="005D3BE8"/>
    <w:rsid w:val="005D3C00"/>
    <w:rsid w:val="005D3C49"/>
    <w:rsid w:val="005D3C7C"/>
    <w:rsid w:val="005D3EFB"/>
    <w:rsid w:val="005D3FC3"/>
    <w:rsid w:val="005D4426"/>
    <w:rsid w:val="005D4430"/>
    <w:rsid w:val="005D44AB"/>
    <w:rsid w:val="005D454C"/>
    <w:rsid w:val="005D4609"/>
    <w:rsid w:val="005D4651"/>
    <w:rsid w:val="005D46C3"/>
    <w:rsid w:val="005D47B9"/>
    <w:rsid w:val="005D48B7"/>
    <w:rsid w:val="005D4A06"/>
    <w:rsid w:val="005D4A4C"/>
    <w:rsid w:val="005D4A79"/>
    <w:rsid w:val="005D4B27"/>
    <w:rsid w:val="005D4C30"/>
    <w:rsid w:val="005D4C81"/>
    <w:rsid w:val="005D4CEB"/>
    <w:rsid w:val="005D503D"/>
    <w:rsid w:val="005D51C9"/>
    <w:rsid w:val="005D51CF"/>
    <w:rsid w:val="005D52DF"/>
    <w:rsid w:val="005D5385"/>
    <w:rsid w:val="005D54A5"/>
    <w:rsid w:val="005D54AD"/>
    <w:rsid w:val="005D5739"/>
    <w:rsid w:val="005D576A"/>
    <w:rsid w:val="005D5791"/>
    <w:rsid w:val="005D59F8"/>
    <w:rsid w:val="005D5A4E"/>
    <w:rsid w:val="005D5BA9"/>
    <w:rsid w:val="005D5C75"/>
    <w:rsid w:val="005D5C9C"/>
    <w:rsid w:val="005D5DBD"/>
    <w:rsid w:val="005D5EA5"/>
    <w:rsid w:val="005D5EB2"/>
    <w:rsid w:val="005D602E"/>
    <w:rsid w:val="005D607B"/>
    <w:rsid w:val="005D60D5"/>
    <w:rsid w:val="005D6120"/>
    <w:rsid w:val="005D6191"/>
    <w:rsid w:val="005D6199"/>
    <w:rsid w:val="005D61EF"/>
    <w:rsid w:val="005D636A"/>
    <w:rsid w:val="005D63B1"/>
    <w:rsid w:val="005D63BE"/>
    <w:rsid w:val="005D648B"/>
    <w:rsid w:val="005D6616"/>
    <w:rsid w:val="005D664D"/>
    <w:rsid w:val="005D670F"/>
    <w:rsid w:val="005D672B"/>
    <w:rsid w:val="005D6851"/>
    <w:rsid w:val="005D6A9A"/>
    <w:rsid w:val="005D6AC9"/>
    <w:rsid w:val="005D6B80"/>
    <w:rsid w:val="005D6D60"/>
    <w:rsid w:val="005D6DCE"/>
    <w:rsid w:val="005D6E39"/>
    <w:rsid w:val="005D70E4"/>
    <w:rsid w:val="005D7191"/>
    <w:rsid w:val="005D71DD"/>
    <w:rsid w:val="005D7309"/>
    <w:rsid w:val="005D73D8"/>
    <w:rsid w:val="005D7505"/>
    <w:rsid w:val="005D75B5"/>
    <w:rsid w:val="005D76C6"/>
    <w:rsid w:val="005D7705"/>
    <w:rsid w:val="005D77A7"/>
    <w:rsid w:val="005D77ED"/>
    <w:rsid w:val="005D77FA"/>
    <w:rsid w:val="005D7931"/>
    <w:rsid w:val="005D7A36"/>
    <w:rsid w:val="005D7A66"/>
    <w:rsid w:val="005D7A80"/>
    <w:rsid w:val="005D7ACC"/>
    <w:rsid w:val="005D7B1F"/>
    <w:rsid w:val="005D7C83"/>
    <w:rsid w:val="005D7CB7"/>
    <w:rsid w:val="005D7CE5"/>
    <w:rsid w:val="005D7D6B"/>
    <w:rsid w:val="005D7E15"/>
    <w:rsid w:val="005E009A"/>
    <w:rsid w:val="005E00DA"/>
    <w:rsid w:val="005E021F"/>
    <w:rsid w:val="005E0251"/>
    <w:rsid w:val="005E02E0"/>
    <w:rsid w:val="005E033D"/>
    <w:rsid w:val="005E059C"/>
    <w:rsid w:val="005E0604"/>
    <w:rsid w:val="005E06BE"/>
    <w:rsid w:val="005E073A"/>
    <w:rsid w:val="005E07CA"/>
    <w:rsid w:val="005E07D8"/>
    <w:rsid w:val="005E08AF"/>
    <w:rsid w:val="005E08D5"/>
    <w:rsid w:val="005E0930"/>
    <w:rsid w:val="005E0991"/>
    <w:rsid w:val="005E09F1"/>
    <w:rsid w:val="005E0A14"/>
    <w:rsid w:val="005E0B21"/>
    <w:rsid w:val="005E0B4D"/>
    <w:rsid w:val="005E0D4D"/>
    <w:rsid w:val="005E0D63"/>
    <w:rsid w:val="005E0EE6"/>
    <w:rsid w:val="005E0FB1"/>
    <w:rsid w:val="005E1184"/>
    <w:rsid w:val="005E11AD"/>
    <w:rsid w:val="005E1227"/>
    <w:rsid w:val="005E1295"/>
    <w:rsid w:val="005E13EF"/>
    <w:rsid w:val="005E1421"/>
    <w:rsid w:val="005E14CE"/>
    <w:rsid w:val="005E1824"/>
    <w:rsid w:val="005E18B3"/>
    <w:rsid w:val="005E1995"/>
    <w:rsid w:val="005E19CD"/>
    <w:rsid w:val="005E1B6E"/>
    <w:rsid w:val="005E1B77"/>
    <w:rsid w:val="005E1CD8"/>
    <w:rsid w:val="005E1CE2"/>
    <w:rsid w:val="005E1D90"/>
    <w:rsid w:val="005E1DA9"/>
    <w:rsid w:val="005E1E1E"/>
    <w:rsid w:val="005E1F08"/>
    <w:rsid w:val="005E1F36"/>
    <w:rsid w:val="005E1F38"/>
    <w:rsid w:val="005E206F"/>
    <w:rsid w:val="005E209E"/>
    <w:rsid w:val="005E219F"/>
    <w:rsid w:val="005E21DB"/>
    <w:rsid w:val="005E2319"/>
    <w:rsid w:val="005E24E6"/>
    <w:rsid w:val="005E2604"/>
    <w:rsid w:val="005E262B"/>
    <w:rsid w:val="005E2632"/>
    <w:rsid w:val="005E2638"/>
    <w:rsid w:val="005E27EB"/>
    <w:rsid w:val="005E2881"/>
    <w:rsid w:val="005E2887"/>
    <w:rsid w:val="005E28E8"/>
    <w:rsid w:val="005E2948"/>
    <w:rsid w:val="005E29F2"/>
    <w:rsid w:val="005E2AF3"/>
    <w:rsid w:val="005E2AFB"/>
    <w:rsid w:val="005E2C91"/>
    <w:rsid w:val="005E2C9F"/>
    <w:rsid w:val="005E2CC5"/>
    <w:rsid w:val="005E2E37"/>
    <w:rsid w:val="005E2E57"/>
    <w:rsid w:val="005E2F74"/>
    <w:rsid w:val="005E32C0"/>
    <w:rsid w:val="005E32F3"/>
    <w:rsid w:val="005E3447"/>
    <w:rsid w:val="005E3541"/>
    <w:rsid w:val="005E3624"/>
    <w:rsid w:val="005E36D0"/>
    <w:rsid w:val="005E37D9"/>
    <w:rsid w:val="005E3822"/>
    <w:rsid w:val="005E38E1"/>
    <w:rsid w:val="005E39A0"/>
    <w:rsid w:val="005E39DD"/>
    <w:rsid w:val="005E3B40"/>
    <w:rsid w:val="005E3BA4"/>
    <w:rsid w:val="005E3BDB"/>
    <w:rsid w:val="005E3CC0"/>
    <w:rsid w:val="005E3CC2"/>
    <w:rsid w:val="005E3EDE"/>
    <w:rsid w:val="005E3EE2"/>
    <w:rsid w:val="005E3F9D"/>
    <w:rsid w:val="005E3FBD"/>
    <w:rsid w:val="005E400C"/>
    <w:rsid w:val="005E401A"/>
    <w:rsid w:val="005E412E"/>
    <w:rsid w:val="005E418F"/>
    <w:rsid w:val="005E41E7"/>
    <w:rsid w:val="005E4246"/>
    <w:rsid w:val="005E4283"/>
    <w:rsid w:val="005E428A"/>
    <w:rsid w:val="005E4328"/>
    <w:rsid w:val="005E4400"/>
    <w:rsid w:val="005E464F"/>
    <w:rsid w:val="005E4685"/>
    <w:rsid w:val="005E46CA"/>
    <w:rsid w:val="005E4833"/>
    <w:rsid w:val="005E48A5"/>
    <w:rsid w:val="005E4A00"/>
    <w:rsid w:val="005E4BC5"/>
    <w:rsid w:val="005E4C2F"/>
    <w:rsid w:val="005E4CDF"/>
    <w:rsid w:val="005E4DF0"/>
    <w:rsid w:val="005E51BB"/>
    <w:rsid w:val="005E5254"/>
    <w:rsid w:val="005E5278"/>
    <w:rsid w:val="005E52D3"/>
    <w:rsid w:val="005E52E2"/>
    <w:rsid w:val="005E553C"/>
    <w:rsid w:val="005E554B"/>
    <w:rsid w:val="005E5640"/>
    <w:rsid w:val="005E5654"/>
    <w:rsid w:val="005E566E"/>
    <w:rsid w:val="005E56FB"/>
    <w:rsid w:val="005E58B9"/>
    <w:rsid w:val="005E5A71"/>
    <w:rsid w:val="005E5A89"/>
    <w:rsid w:val="005E5DA5"/>
    <w:rsid w:val="005E5E8E"/>
    <w:rsid w:val="005E5EAF"/>
    <w:rsid w:val="005E5EB1"/>
    <w:rsid w:val="005E5F75"/>
    <w:rsid w:val="005E5FEB"/>
    <w:rsid w:val="005E603F"/>
    <w:rsid w:val="005E61D9"/>
    <w:rsid w:val="005E6276"/>
    <w:rsid w:val="005E6288"/>
    <w:rsid w:val="005E6451"/>
    <w:rsid w:val="005E64CC"/>
    <w:rsid w:val="005E6540"/>
    <w:rsid w:val="005E6589"/>
    <w:rsid w:val="005E6611"/>
    <w:rsid w:val="005E6665"/>
    <w:rsid w:val="005E676D"/>
    <w:rsid w:val="005E680E"/>
    <w:rsid w:val="005E68C5"/>
    <w:rsid w:val="005E6A38"/>
    <w:rsid w:val="005E6A41"/>
    <w:rsid w:val="005E6A80"/>
    <w:rsid w:val="005E6B2F"/>
    <w:rsid w:val="005E6BA6"/>
    <w:rsid w:val="005E6C06"/>
    <w:rsid w:val="005E6C66"/>
    <w:rsid w:val="005E6CC6"/>
    <w:rsid w:val="005E6CDA"/>
    <w:rsid w:val="005E6F36"/>
    <w:rsid w:val="005E70C3"/>
    <w:rsid w:val="005E717F"/>
    <w:rsid w:val="005E72E9"/>
    <w:rsid w:val="005E7460"/>
    <w:rsid w:val="005E76C8"/>
    <w:rsid w:val="005E78AB"/>
    <w:rsid w:val="005E7948"/>
    <w:rsid w:val="005E7993"/>
    <w:rsid w:val="005E7D51"/>
    <w:rsid w:val="005E7DEC"/>
    <w:rsid w:val="005E7F4E"/>
    <w:rsid w:val="005E7F62"/>
    <w:rsid w:val="005F00CE"/>
    <w:rsid w:val="005F0145"/>
    <w:rsid w:val="005F019E"/>
    <w:rsid w:val="005F02D9"/>
    <w:rsid w:val="005F0381"/>
    <w:rsid w:val="005F04B5"/>
    <w:rsid w:val="005F05BF"/>
    <w:rsid w:val="005F0772"/>
    <w:rsid w:val="005F082E"/>
    <w:rsid w:val="005F0899"/>
    <w:rsid w:val="005F08B2"/>
    <w:rsid w:val="005F08D0"/>
    <w:rsid w:val="005F093C"/>
    <w:rsid w:val="005F09EF"/>
    <w:rsid w:val="005F0AC9"/>
    <w:rsid w:val="005F0B27"/>
    <w:rsid w:val="005F0C45"/>
    <w:rsid w:val="005F0D10"/>
    <w:rsid w:val="005F0E4C"/>
    <w:rsid w:val="005F0FB4"/>
    <w:rsid w:val="005F1056"/>
    <w:rsid w:val="005F10B2"/>
    <w:rsid w:val="005F10ED"/>
    <w:rsid w:val="005F111C"/>
    <w:rsid w:val="005F11BA"/>
    <w:rsid w:val="005F11D2"/>
    <w:rsid w:val="005F13E6"/>
    <w:rsid w:val="005F13E9"/>
    <w:rsid w:val="005F162E"/>
    <w:rsid w:val="005F17CE"/>
    <w:rsid w:val="005F1AF1"/>
    <w:rsid w:val="005F1B25"/>
    <w:rsid w:val="005F1B36"/>
    <w:rsid w:val="005F1B9F"/>
    <w:rsid w:val="005F1C33"/>
    <w:rsid w:val="005F1DC4"/>
    <w:rsid w:val="005F1DFA"/>
    <w:rsid w:val="005F1ED2"/>
    <w:rsid w:val="005F22BF"/>
    <w:rsid w:val="005F2353"/>
    <w:rsid w:val="005F2367"/>
    <w:rsid w:val="005F24C6"/>
    <w:rsid w:val="005F24E5"/>
    <w:rsid w:val="005F2574"/>
    <w:rsid w:val="005F2595"/>
    <w:rsid w:val="005F26AE"/>
    <w:rsid w:val="005F2822"/>
    <w:rsid w:val="005F285C"/>
    <w:rsid w:val="005F295D"/>
    <w:rsid w:val="005F2993"/>
    <w:rsid w:val="005F2A1E"/>
    <w:rsid w:val="005F2B6A"/>
    <w:rsid w:val="005F2CF7"/>
    <w:rsid w:val="005F2EB4"/>
    <w:rsid w:val="005F2F5C"/>
    <w:rsid w:val="005F2FE4"/>
    <w:rsid w:val="005F3000"/>
    <w:rsid w:val="005F304D"/>
    <w:rsid w:val="005F3278"/>
    <w:rsid w:val="005F358D"/>
    <w:rsid w:val="005F3696"/>
    <w:rsid w:val="005F36D5"/>
    <w:rsid w:val="005F3809"/>
    <w:rsid w:val="005F3945"/>
    <w:rsid w:val="005F397D"/>
    <w:rsid w:val="005F3D26"/>
    <w:rsid w:val="005F3D36"/>
    <w:rsid w:val="005F3DFB"/>
    <w:rsid w:val="005F3EB4"/>
    <w:rsid w:val="005F3F20"/>
    <w:rsid w:val="005F422C"/>
    <w:rsid w:val="005F4248"/>
    <w:rsid w:val="005F4273"/>
    <w:rsid w:val="005F4297"/>
    <w:rsid w:val="005F4342"/>
    <w:rsid w:val="005F440D"/>
    <w:rsid w:val="005F4468"/>
    <w:rsid w:val="005F464F"/>
    <w:rsid w:val="005F46AC"/>
    <w:rsid w:val="005F46FC"/>
    <w:rsid w:val="005F472B"/>
    <w:rsid w:val="005F4936"/>
    <w:rsid w:val="005F4975"/>
    <w:rsid w:val="005F4B82"/>
    <w:rsid w:val="005F4BBB"/>
    <w:rsid w:val="005F4E5A"/>
    <w:rsid w:val="005F4F26"/>
    <w:rsid w:val="005F4F41"/>
    <w:rsid w:val="005F4FB1"/>
    <w:rsid w:val="005F4FC8"/>
    <w:rsid w:val="005F500B"/>
    <w:rsid w:val="005F5049"/>
    <w:rsid w:val="005F5075"/>
    <w:rsid w:val="005F50D7"/>
    <w:rsid w:val="005F50E8"/>
    <w:rsid w:val="005F513C"/>
    <w:rsid w:val="005F51F3"/>
    <w:rsid w:val="005F5201"/>
    <w:rsid w:val="005F52C7"/>
    <w:rsid w:val="005F5358"/>
    <w:rsid w:val="005F536C"/>
    <w:rsid w:val="005F546B"/>
    <w:rsid w:val="005F547A"/>
    <w:rsid w:val="005F5528"/>
    <w:rsid w:val="005F5589"/>
    <w:rsid w:val="005F563D"/>
    <w:rsid w:val="005F56FA"/>
    <w:rsid w:val="005F57C6"/>
    <w:rsid w:val="005F589C"/>
    <w:rsid w:val="005F5ADA"/>
    <w:rsid w:val="005F5CF9"/>
    <w:rsid w:val="005F5DF1"/>
    <w:rsid w:val="005F5E85"/>
    <w:rsid w:val="005F5F81"/>
    <w:rsid w:val="005F6062"/>
    <w:rsid w:val="005F6189"/>
    <w:rsid w:val="005F61A6"/>
    <w:rsid w:val="005F61C0"/>
    <w:rsid w:val="005F6350"/>
    <w:rsid w:val="005F6444"/>
    <w:rsid w:val="005F64C0"/>
    <w:rsid w:val="005F6579"/>
    <w:rsid w:val="005F6604"/>
    <w:rsid w:val="005F6608"/>
    <w:rsid w:val="005F66D1"/>
    <w:rsid w:val="005F67F1"/>
    <w:rsid w:val="005F69B8"/>
    <w:rsid w:val="005F6A78"/>
    <w:rsid w:val="005F6EBF"/>
    <w:rsid w:val="005F7103"/>
    <w:rsid w:val="005F71A5"/>
    <w:rsid w:val="005F7324"/>
    <w:rsid w:val="005F7396"/>
    <w:rsid w:val="005F73B9"/>
    <w:rsid w:val="005F73EC"/>
    <w:rsid w:val="005F772F"/>
    <w:rsid w:val="005F77E0"/>
    <w:rsid w:val="005F78AA"/>
    <w:rsid w:val="005F78E3"/>
    <w:rsid w:val="005F78EF"/>
    <w:rsid w:val="005F7A4D"/>
    <w:rsid w:val="005F7A78"/>
    <w:rsid w:val="005F7AA6"/>
    <w:rsid w:val="005F7B74"/>
    <w:rsid w:val="0060004A"/>
    <w:rsid w:val="0060005B"/>
    <w:rsid w:val="00600127"/>
    <w:rsid w:val="0060022F"/>
    <w:rsid w:val="006002D8"/>
    <w:rsid w:val="0060035C"/>
    <w:rsid w:val="006003BF"/>
    <w:rsid w:val="006003C2"/>
    <w:rsid w:val="00600454"/>
    <w:rsid w:val="00600461"/>
    <w:rsid w:val="0060046F"/>
    <w:rsid w:val="006004CA"/>
    <w:rsid w:val="0060053E"/>
    <w:rsid w:val="00600587"/>
    <w:rsid w:val="00600602"/>
    <w:rsid w:val="0060075D"/>
    <w:rsid w:val="00600790"/>
    <w:rsid w:val="00600968"/>
    <w:rsid w:val="0060097C"/>
    <w:rsid w:val="00600A12"/>
    <w:rsid w:val="00600C5A"/>
    <w:rsid w:val="00600D39"/>
    <w:rsid w:val="00600E84"/>
    <w:rsid w:val="00600EAC"/>
    <w:rsid w:val="00600F3B"/>
    <w:rsid w:val="00600F43"/>
    <w:rsid w:val="00600F6C"/>
    <w:rsid w:val="00601045"/>
    <w:rsid w:val="006010CE"/>
    <w:rsid w:val="006010FD"/>
    <w:rsid w:val="0060113C"/>
    <w:rsid w:val="00601251"/>
    <w:rsid w:val="00601294"/>
    <w:rsid w:val="006012D3"/>
    <w:rsid w:val="006013F1"/>
    <w:rsid w:val="006013F3"/>
    <w:rsid w:val="0060145F"/>
    <w:rsid w:val="00601534"/>
    <w:rsid w:val="0060161C"/>
    <w:rsid w:val="006016E8"/>
    <w:rsid w:val="006016EA"/>
    <w:rsid w:val="00601734"/>
    <w:rsid w:val="006017A8"/>
    <w:rsid w:val="0060199A"/>
    <w:rsid w:val="006019A6"/>
    <w:rsid w:val="00601AD2"/>
    <w:rsid w:val="00601ADE"/>
    <w:rsid w:val="00601B9E"/>
    <w:rsid w:val="00601BB7"/>
    <w:rsid w:val="00601C8C"/>
    <w:rsid w:val="00601FEB"/>
    <w:rsid w:val="00602038"/>
    <w:rsid w:val="0060217B"/>
    <w:rsid w:val="00602238"/>
    <w:rsid w:val="0060226E"/>
    <w:rsid w:val="006022DD"/>
    <w:rsid w:val="00602430"/>
    <w:rsid w:val="00602432"/>
    <w:rsid w:val="00602593"/>
    <w:rsid w:val="00602713"/>
    <w:rsid w:val="006027C4"/>
    <w:rsid w:val="00602960"/>
    <w:rsid w:val="0060297F"/>
    <w:rsid w:val="00602BC2"/>
    <w:rsid w:val="00602C39"/>
    <w:rsid w:val="00602C58"/>
    <w:rsid w:val="00602D6A"/>
    <w:rsid w:val="00602F0D"/>
    <w:rsid w:val="00602F4E"/>
    <w:rsid w:val="0060306F"/>
    <w:rsid w:val="0060315D"/>
    <w:rsid w:val="00603203"/>
    <w:rsid w:val="00603248"/>
    <w:rsid w:val="00603275"/>
    <w:rsid w:val="00603380"/>
    <w:rsid w:val="006033AD"/>
    <w:rsid w:val="006033E2"/>
    <w:rsid w:val="006034BB"/>
    <w:rsid w:val="00603503"/>
    <w:rsid w:val="0060353E"/>
    <w:rsid w:val="006036AD"/>
    <w:rsid w:val="006038C6"/>
    <w:rsid w:val="00603912"/>
    <w:rsid w:val="0060392F"/>
    <w:rsid w:val="00603951"/>
    <w:rsid w:val="00603968"/>
    <w:rsid w:val="00603AAB"/>
    <w:rsid w:val="00603C41"/>
    <w:rsid w:val="00603C8A"/>
    <w:rsid w:val="00603CB8"/>
    <w:rsid w:val="00603D4C"/>
    <w:rsid w:val="00603E19"/>
    <w:rsid w:val="00603F49"/>
    <w:rsid w:val="00604404"/>
    <w:rsid w:val="0060446D"/>
    <w:rsid w:val="0060448F"/>
    <w:rsid w:val="0060451B"/>
    <w:rsid w:val="0060451E"/>
    <w:rsid w:val="00604A01"/>
    <w:rsid w:val="00604A0D"/>
    <w:rsid w:val="00604BC0"/>
    <w:rsid w:val="00604C0A"/>
    <w:rsid w:val="00604CAE"/>
    <w:rsid w:val="00604F75"/>
    <w:rsid w:val="006050A0"/>
    <w:rsid w:val="00605340"/>
    <w:rsid w:val="006055E1"/>
    <w:rsid w:val="00605721"/>
    <w:rsid w:val="00605750"/>
    <w:rsid w:val="0060577A"/>
    <w:rsid w:val="0060599C"/>
    <w:rsid w:val="00605C01"/>
    <w:rsid w:val="00605D69"/>
    <w:rsid w:val="00605F49"/>
    <w:rsid w:val="00606041"/>
    <w:rsid w:val="0060609F"/>
    <w:rsid w:val="00606149"/>
    <w:rsid w:val="0060618C"/>
    <w:rsid w:val="006061F8"/>
    <w:rsid w:val="006064CD"/>
    <w:rsid w:val="0060655A"/>
    <w:rsid w:val="00606567"/>
    <w:rsid w:val="00606663"/>
    <w:rsid w:val="006066FC"/>
    <w:rsid w:val="00606951"/>
    <w:rsid w:val="006069C0"/>
    <w:rsid w:val="00606A36"/>
    <w:rsid w:val="00606B7C"/>
    <w:rsid w:val="00606BB7"/>
    <w:rsid w:val="00606C81"/>
    <w:rsid w:val="00606DFE"/>
    <w:rsid w:val="00606E41"/>
    <w:rsid w:val="00606E8A"/>
    <w:rsid w:val="00606F8C"/>
    <w:rsid w:val="00607043"/>
    <w:rsid w:val="006070A5"/>
    <w:rsid w:val="006070B6"/>
    <w:rsid w:val="00607176"/>
    <w:rsid w:val="00607219"/>
    <w:rsid w:val="0060742E"/>
    <w:rsid w:val="006075A3"/>
    <w:rsid w:val="006075A9"/>
    <w:rsid w:val="006076DB"/>
    <w:rsid w:val="00607844"/>
    <w:rsid w:val="006078CB"/>
    <w:rsid w:val="006079F6"/>
    <w:rsid w:val="00607A54"/>
    <w:rsid w:val="00607AEF"/>
    <w:rsid w:val="00607AFB"/>
    <w:rsid w:val="00607B29"/>
    <w:rsid w:val="00607BBC"/>
    <w:rsid w:val="00607C1D"/>
    <w:rsid w:val="00607CA9"/>
    <w:rsid w:val="00607D2E"/>
    <w:rsid w:val="00607E13"/>
    <w:rsid w:val="00607EA8"/>
    <w:rsid w:val="00607F08"/>
    <w:rsid w:val="00607F63"/>
    <w:rsid w:val="00607F74"/>
    <w:rsid w:val="00607FA2"/>
    <w:rsid w:val="0061023E"/>
    <w:rsid w:val="00610305"/>
    <w:rsid w:val="006103A4"/>
    <w:rsid w:val="00610448"/>
    <w:rsid w:val="00610461"/>
    <w:rsid w:val="0061046D"/>
    <w:rsid w:val="006104DD"/>
    <w:rsid w:val="006105E8"/>
    <w:rsid w:val="00610669"/>
    <w:rsid w:val="006107A8"/>
    <w:rsid w:val="00610B54"/>
    <w:rsid w:val="00610B73"/>
    <w:rsid w:val="00610C8A"/>
    <w:rsid w:val="00610D87"/>
    <w:rsid w:val="00610FE2"/>
    <w:rsid w:val="00611064"/>
    <w:rsid w:val="0061125F"/>
    <w:rsid w:val="006112DB"/>
    <w:rsid w:val="006115C6"/>
    <w:rsid w:val="00611745"/>
    <w:rsid w:val="006118CC"/>
    <w:rsid w:val="00611981"/>
    <w:rsid w:val="00611A5C"/>
    <w:rsid w:val="00611A70"/>
    <w:rsid w:val="00611BA1"/>
    <w:rsid w:val="00611C18"/>
    <w:rsid w:val="00611D87"/>
    <w:rsid w:val="00611F92"/>
    <w:rsid w:val="00611F96"/>
    <w:rsid w:val="00611FC7"/>
    <w:rsid w:val="00612031"/>
    <w:rsid w:val="00612051"/>
    <w:rsid w:val="006120EE"/>
    <w:rsid w:val="006121FB"/>
    <w:rsid w:val="00612209"/>
    <w:rsid w:val="00612521"/>
    <w:rsid w:val="0061258B"/>
    <w:rsid w:val="0061259F"/>
    <w:rsid w:val="0061278F"/>
    <w:rsid w:val="0061294E"/>
    <w:rsid w:val="00612C1B"/>
    <w:rsid w:val="00612D31"/>
    <w:rsid w:val="00612D5E"/>
    <w:rsid w:val="00612F1D"/>
    <w:rsid w:val="00612F3C"/>
    <w:rsid w:val="00613016"/>
    <w:rsid w:val="00613152"/>
    <w:rsid w:val="006131CA"/>
    <w:rsid w:val="0061326F"/>
    <w:rsid w:val="006132F0"/>
    <w:rsid w:val="00613332"/>
    <w:rsid w:val="006133B2"/>
    <w:rsid w:val="00613511"/>
    <w:rsid w:val="006135A6"/>
    <w:rsid w:val="006136C8"/>
    <w:rsid w:val="006136F6"/>
    <w:rsid w:val="006137F9"/>
    <w:rsid w:val="00613837"/>
    <w:rsid w:val="006138CE"/>
    <w:rsid w:val="00613AB0"/>
    <w:rsid w:val="00613BB6"/>
    <w:rsid w:val="00613DA3"/>
    <w:rsid w:val="00613FB2"/>
    <w:rsid w:val="00614050"/>
    <w:rsid w:val="006140BA"/>
    <w:rsid w:val="0061410F"/>
    <w:rsid w:val="00614228"/>
    <w:rsid w:val="00614250"/>
    <w:rsid w:val="0061437A"/>
    <w:rsid w:val="006143D4"/>
    <w:rsid w:val="006143EB"/>
    <w:rsid w:val="006145CB"/>
    <w:rsid w:val="0061486F"/>
    <w:rsid w:val="0061491F"/>
    <w:rsid w:val="006149B7"/>
    <w:rsid w:val="00614ACE"/>
    <w:rsid w:val="00614AFD"/>
    <w:rsid w:val="00614DC7"/>
    <w:rsid w:val="00614E79"/>
    <w:rsid w:val="00614F8E"/>
    <w:rsid w:val="00614FDC"/>
    <w:rsid w:val="00615075"/>
    <w:rsid w:val="0061509C"/>
    <w:rsid w:val="006152F7"/>
    <w:rsid w:val="006153CC"/>
    <w:rsid w:val="006154B1"/>
    <w:rsid w:val="00615515"/>
    <w:rsid w:val="0061555F"/>
    <w:rsid w:val="006158FA"/>
    <w:rsid w:val="0061595D"/>
    <w:rsid w:val="00615A6A"/>
    <w:rsid w:val="00615AB3"/>
    <w:rsid w:val="00615B30"/>
    <w:rsid w:val="00615BB7"/>
    <w:rsid w:val="00615D16"/>
    <w:rsid w:val="00615D87"/>
    <w:rsid w:val="00615E59"/>
    <w:rsid w:val="00615F24"/>
    <w:rsid w:val="00616203"/>
    <w:rsid w:val="006162FA"/>
    <w:rsid w:val="00616672"/>
    <w:rsid w:val="00616774"/>
    <w:rsid w:val="00616AC3"/>
    <w:rsid w:val="00616B1B"/>
    <w:rsid w:val="00616B56"/>
    <w:rsid w:val="00616C2D"/>
    <w:rsid w:val="00616CEF"/>
    <w:rsid w:val="00616F06"/>
    <w:rsid w:val="00616F76"/>
    <w:rsid w:val="00617071"/>
    <w:rsid w:val="006171BE"/>
    <w:rsid w:val="00617213"/>
    <w:rsid w:val="00617253"/>
    <w:rsid w:val="00617386"/>
    <w:rsid w:val="0061738A"/>
    <w:rsid w:val="0061744B"/>
    <w:rsid w:val="0061749E"/>
    <w:rsid w:val="00617578"/>
    <w:rsid w:val="006179F4"/>
    <w:rsid w:val="00617ADB"/>
    <w:rsid w:val="00617B76"/>
    <w:rsid w:val="00617C02"/>
    <w:rsid w:val="00617C57"/>
    <w:rsid w:val="00617D3E"/>
    <w:rsid w:val="00617DA1"/>
    <w:rsid w:val="00617DAB"/>
    <w:rsid w:val="00617ED6"/>
    <w:rsid w:val="00617F02"/>
    <w:rsid w:val="00617FDD"/>
    <w:rsid w:val="00620024"/>
    <w:rsid w:val="006200C4"/>
    <w:rsid w:val="006200C6"/>
    <w:rsid w:val="0062026A"/>
    <w:rsid w:val="006202CE"/>
    <w:rsid w:val="00620333"/>
    <w:rsid w:val="00620399"/>
    <w:rsid w:val="00620502"/>
    <w:rsid w:val="006205B3"/>
    <w:rsid w:val="006207EF"/>
    <w:rsid w:val="006208C6"/>
    <w:rsid w:val="006208E5"/>
    <w:rsid w:val="00620B4F"/>
    <w:rsid w:val="00620B54"/>
    <w:rsid w:val="00620C58"/>
    <w:rsid w:val="00620C8F"/>
    <w:rsid w:val="00620D41"/>
    <w:rsid w:val="00620DE1"/>
    <w:rsid w:val="00620E96"/>
    <w:rsid w:val="00620EAE"/>
    <w:rsid w:val="006211BA"/>
    <w:rsid w:val="006211F0"/>
    <w:rsid w:val="006213CB"/>
    <w:rsid w:val="006214A8"/>
    <w:rsid w:val="0062158A"/>
    <w:rsid w:val="0062158C"/>
    <w:rsid w:val="00621783"/>
    <w:rsid w:val="0062180F"/>
    <w:rsid w:val="006218D8"/>
    <w:rsid w:val="006218FC"/>
    <w:rsid w:val="00621941"/>
    <w:rsid w:val="00621A0F"/>
    <w:rsid w:val="00621C2D"/>
    <w:rsid w:val="00621E63"/>
    <w:rsid w:val="00621EC1"/>
    <w:rsid w:val="00621ED7"/>
    <w:rsid w:val="00621EF0"/>
    <w:rsid w:val="00621FDE"/>
    <w:rsid w:val="00622000"/>
    <w:rsid w:val="00622031"/>
    <w:rsid w:val="006221A0"/>
    <w:rsid w:val="006221AB"/>
    <w:rsid w:val="006221BB"/>
    <w:rsid w:val="006221F4"/>
    <w:rsid w:val="006222DA"/>
    <w:rsid w:val="006223E6"/>
    <w:rsid w:val="00622401"/>
    <w:rsid w:val="00622516"/>
    <w:rsid w:val="00622699"/>
    <w:rsid w:val="006226E4"/>
    <w:rsid w:val="00622AF0"/>
    <w:rsid w:val="00622B6D"/>
    <w:rsid w:val="00622B6F"/>
    <w:rsid w:val="00622BA5"/>
    <w:rsid w:val="00622E77"/>
    <w:rsid w:val="0062310A"/>
    <w:rsid w:val="00623197"/>
    <w:rsid w:val="006231A7"/>
    <w:rsid w:val="0062322B"/>
    <w:rsid w:val="00623485"/>
    <w:rsid w:val="006234B2"/>
    <w:rsid w:val="006235C2"/>
    <w:rsid w:val="0062391C"/>
    <w:rsid w:val="006239A8"/>
    <w:rsid w:val="006239B6"/>
    <w:rsid w:val="006239DD"/>
    <w:rsid w:val="00623A12"/>
    <w:rsid w:val="00623AE0"/>
    <w:rsid w:val="00623C28"/>
    <w:rsid w:val="00623F06"/>
    <w:rsid w:val="00623F0D"/>
    <w:rsid w:val="0062405E"/>
    <w:rsid w:val="006240B8"/>
    <w:rsid w:val="006240C7"/>
    <w:rsid w:val="006241C1"/>
    <w:rsid w:val="0062439E"/>
    <w:rsid w:val="0062445F"/>
    <w:rsid w:val="0062467A"/>
    <w:rsid w:val="0062469A"/>
    <w:rsid w:val="00624750"/>
    <w:rsid w:val="00624811"/>
    <w:rsid w:val="00624A41"/>
    <w:rsid w:val="00624B88"/>
    <w:rsid w:val="00624BE7"/>
    <w:rsid w:val="00624C75"/>
    <w:rsid w:val="00624E30"/>
    <w:rsid w:val="00624E3A"/>
    <w:rsid w:val="00624F0D"/>
    <w:rsid w:val="0062506D"/>
    <w:rsid w:val="00625159"/>
    <w:rsid w:val="00625180"/>
    <w:rsid w:val="006251E6"/>
    <w:rsid w:val="006251EE"/>
    <w:rsid w:val="006252A4"/>
    <w:rsid w:val="0062553A"/>
    <w:rsid w:val="006256AD"/>
    <w:rsid w:val="00625726"/>
    <w:rsid w:val="006257BE"/>
    <w:rsid w:val="0062599C"/>
    <w:rsid w:val="00625A04"/>
    <w:rsid w:val="00625C11"/>
    <w:rsid w:val="00625C17"/>
    <w:rsid w:val="00625C95"/>
    <w:rsid w:val="00625D87"/>
    <w:rsid w:val="00625FA9"/>
    <w:rsid w:val="00625FBD"/>
    <w:rsid w:val="00626124"/>
    <w:rsid w:val="006261A3"/>
    <w:rsid w:val="006261B1"/>
    <w:rsid w:val="00626206"/>
    <w:rsid w:val="006262DF"/>
    <w:rsid w:val="0062635D"/>
    <w:rsid w:val="00626419"/>
    <w:rsid w:val="006264D2"/>
    <w:rsid w:val="006265D1"/>
    <w:rsid w:val="0062668D"/>
    <w:rsid w:val="006266A0"/>
    <w:rsid w:val="006266CF"/>
    <w:rsid w:val="0062674F"/>
    <w:rsid w:val="006268F2"/>
    <w:rsid w:val="006268FC"/>
    <w:rsid w:val="00626935"/>
    <w:rsid w:val="00626AF3"/>
    <w:rsid w:val="00626B26"/>
    <w:rsid w:val="00626C27"/>
    <w:rsid w:val="00626DC2"/>
    <w:rsid w:val="00626EE3"/>
    <w:rsid w:val="00626F23"/>
    <w:rsid w:val="00626FB4"/>
    <w:rsid w:val="006270B4"/>
    <w:rsid w:val="006270E2"/>
    <w:rsid w:val="00627295"/>
    <w:rsid w:val="00627638"/>
    <w:rsid w:val="00627847"/>
    <w:rsid w:val="006278B8"/>
    <w:rsid w:val="00627B15"/>
    <w:rsid w:val="00627CA1"/>
    <w:rsid w:val="00627D31"/>
    <w:rsid w:val="00627E1C"/>
    <w:rsid w:val="00627F8D"/>
    <w:rsid w:val="00630088"/>
    <w:rsid w:val="006300E9"/>
    <w:rsid w:val="0063010B"/>
    <w:rsid w:val="00630167"/>
    <w:rsid w:val="006302E9"/>
    <w:rsid w:val="00630384"/>
    <w:rsid w:val="006304AD"/>
    <w:rsid w:val="0063061C"/>
    <w:rsid w:val="006306DB"/>
    <w:rsid w:val="00630C13"/>
    <w:rsid w:val="00630C62"/>
    <w:rsid w:val="00630D37"/>
    <w:rsid w:val="00630E96"/>
    <w:rsid w:val="00630EA1"/>
    <w:rsid w:val="00630EDA"/>
    <w:rsid w:val="00630F4B"/>
    <w:rsid w:val="006310C9"/>
    <w:rsid w:val="006315F7"/>
    <w:rsid w:val="00631658"/>
    <w:rsid w:val="00631668"/>
    <w:rsid w:val="00631797"/>
    <w:rsid w:val="00631807"/>
    <w:rsid w:val="00631C98"/>
    <w:rsid w:val="00631FC0"/>
    <w:rsid w:val="00631FC6"/>
    <w:rsid w:val="006323C8"/>
    <w:rsid w:val="00632527"/>
    <w:rsid w:val="006325DD"/>
    <w:rsid w:val="00632693"/>
    <w:rsid w:val="006326B5"/>
    <w:rsid w:val="006326DC"/>
    <w:rsid w:val="006327B9"/>
    <w:rsid w:val="006328D6"/>
    <w:rsid w:val="006328EE"/>
    <w:rsid w:val="0063292B"/>
    <w:rsid w:val="0063294C"/>
    <w:rsid w:val="00632B0C"/>
    <w:rsid w:val="00632C73"/>
    <w:rsid w:val="00632D0A"/>
    <w:rsid w:val="00632D14"/>
    <w:rsid w:val="00632D70"/>
    <w:rsid w:val="00632D7E"/>
    <w:rsid w:val="00632D8D"/>
    <w:rsid w:val="00632E07"/>
    <w:rsid w:val="00632F9B"/>
    <w:rsid w:val="006331F2"/>
    <w:rsid w:val="006332B5"/>
    <w:rsid w:val="006332FC"/>
    <w:rsid w:val="00633383"/>
    <w:rsid w:val="006334F2"/>
    <w:rsid w:val="0063350F"/>
    <w:rsid w:val="0063353A"/>
    <w:rsid w:val="0063354F"/>
    <w:rsid w:val="0063360D"/>
    <w:rsid w:val="0063362D"/>
    <w:rsid w:val="006337B7"/>
    <w:rsid w:val="006337FF"/>
    <w:rsid w:val="006338A5"/>
    <w:rsid w:val="00633AA3"/>
    <w:rsid w:val="00633AFC"/>
    <w:rsid w:val="00633C68"/>
    <w:rsid w:val="00633CCC"/>
    <w:rsid w:val="00633DD0"/>
    <w:rsid w:val="00633E90"/>
    <w:rsid w:val="00633ED9"/>
    <w:rsid w:val="0063404F"/>
    <w:rsid w:val="00634080"/>
    <w:rsid w:val="006342C6"/>
    <w:rsid w:val="00634397"/>
    <w:rsid w:val="0063443F"/>
    <w:rsid w:val="006344C0"/>
    <w:rsid w:val="0063456C"/>
    <w:rsid w:val="0063473C"/>
    <w:rsid w:val="0063496D"/>
    <w:rsid w:val="00634B02"/>
    <w:rsid w:val="00634B32"/>
    <w:rsid w:val="00634C6B"/>
    <w:rsid w:val="00634CD8"/>
    <w:rsid w:val="00634D38"/>
    <w:rsid w:val="00634D52"/>
    <w:rsid w:val="00634DEA"/>
    <w:rsid w:val="00634F92"/>
    <w:rsid w:val="00635049"/>
    <w:rsid w:val="00635293"/>
    <w:rsid w:val="0063529E"/>
    <w:rsid w:val="00635352"/>
    <w:rsid w:val="0063537E"/>
    <w:rsid w:val="00635399"/>
    <w:rsid w:val="0063543F"/>
    <w:rsid w:val="0063558F"/>
    <w:rsid w:val="006356FE"/>
    <w:rsid w:val="006359A8"/>
    <w:rsid w:val="006359F1"/>
    <w:rsid w:val="00635A46"/>
    <w:rsid w:val="00635AE3"/>
    <w:rsid w:val="00635B0B"/>
    <w:rsid w:val="00635B60"/>
    <w:rsid w:val="00635C1F"/>
    <w:rsid w:val="00635DD0"/>
    <w:rsid w:val="00635DDC"/>
    <w:rsid w:val="00635F4C"/>
    <w:rsid w:val="00635F57"/>
    <w:rsid w:val="00636010"/>
    <w:rsid w:val="006361D8"/>
    <w:rsid w:val="006361D9"/>
    <w:rsid w:val="0063624D"/>
    <w:rsid w:val="0063627E"/>
    <w:rsid w:val="006362F5"/>
    <w:rsid w:val="006362F8"/>
    <w:rsid w:val="006363C7"/>
    <w:rsid w:val="00636537"/>
    <w:rsid w:val="006365FE"/>
    <w:rsid w:val="0063681A"/>
    <w:rsid w:val="00636A85"/>
    <w:rsid w:val="00636B12"/>
    <w:rsid w:val="00636C26"/>
    <w:rsid w:val="00636CA2"/>
    <w:rsid w:val="00636E9D"/>
    <w:rsid w:val="00636EA3"/>
    <w:rsid w:val="00636F22"/>
    <w:rsid w:val="00636FB3"/>
    <w:rsid w:val="00637080"/>
    <w:rsid w:val="006370A5"/>
    <w:rsid w:val="00637110"/>
    <w:rsid w:val="0063734E"/>
    <w:rsid w:val="00637484"/>
    <w:rsid w:val="00637627"/>
    <w:rsid w:val="00637715"/>
    <w:rsid w:val="006377BD"/>
    <w:rsid w:val="00637A58"/>
    <w:rsid w:val="00637BF1"/>
    <w:rsid w:val="00637C03"/>
    <w:rsid w:val="00637C5A"/>
    <w:rsid w:val="00637C90"/>
    <w:rsid w:val="00637CE6"/>
    <w:rsid w:val="00637D3F"/>
    <w:rsid w:val="00637DDF"/>
    <w:rsid w:val="00637DE1"/>
    <w:rsid w:val="00637E10"/>
    <w:rsid w:val="00637F45"/>
    <w:rsid w:val="0064003D"/>
    <w:rsid w:val="00640050"/>
    <w:rsid w:val="006400B2"/>
    <w:rsid w:val="0064012E"/>
    <w:rsid w:val="00640133"/>
    <w:rsid w:val="00640270"/>
    <w:rsid w:val="006402F2"/>
    <w:rsid w:val="00640356"/>
    <w:rsid w:val="006403BF"/>
    <w:rsid w:val="006403C4"/>
    <w:rsid w:val="006403E4"/>
    <w:rsid w:val="00640472"/>
    <w:rsid w:val="00640496"/>
    <w:rsid w:val="006404D9"/>
    <w:rsid w:val="00640560"/>
    <w:rsid w:val="00640607"/>
    <w:rsid w:val="0064065E"/>
    <w:rsid w:val="00640704"/>
    <w:rsid w:val="006407AA"/>
    <w:rsid w:val="006407E3"/>
    <w:rsid w:val="00640960"/>
    <w:rsid w:val="00640AFD"/>
    <w:rsid w:val="00640CF5"/>
    <w:rsid w:val="00640D56"/>
    <w:rsid w:val="00640E8B"/>
    <w:rsid w:val="00640F7D"/>
    <w:rsid w:val="00640FA8"/>
    <w:rsid w:val="0064109E"/>
    <w:rsid w:val="00641153"/>
    <w:rsid w:val="0064118B"/>
    <w:rsid w:val="006412AB"/>
    <w:rsid w:val="006413DE"/>
    <w:rsid w:val="006415BE"/>
    <w:rsid w:val="006415D6"/>
    <w:rsid w:val="006416DA"/>
    <w:rsid w:val="0064188E"/>
    <w:rsid w:val="006419F9"/>
    <w:rsid w:val="00641A24"/>
    <w:rsid w:val="00641AFE"/>
    <w:rsid w:val="00641BB3"/>
    <w:rsid w:val="00641CB6"/>
    <w:rsid w:val="00641D0C"/>
    <w:rsid w:val="00641E3B"/>
    <w:rsid w:val="00641F23"/>
    <w:rsid w:val="00641F32"/>
    <w:rsid w:val="00642039"/>
    <w:rsid w:val="00642202"/>
    <w:rsid w:val="0064223A"/>
    <w:rsid w:val="00642248"/>
    <w:rsid w:val="00642366"/>
    <w:rsid w:val="00642455"/>
    <w:rsid w:val="006426C7"/>
    <w:rsid w:val="0064285D"/>
    <w:rsid w:val="006429BD"/>
    <w:rsid w:val="006429F8"/>
    <w:rsid w:val="00642A33"/>
    <w:rsid w:val="00642A3D"/>
    <w:rsid w:val="00642A82"/>
    <w:rsid w:val="00642B12"/>
    <w:rsid w:val="00642BF2"/>
    <w:rsid w:val="00642D40"/>
    <w:rsid w:val="00642E3A"/>
    <w:rsid w:val="00642FF0"/>
    <w:rsid w:val="00643023"/>
    <w:rsid w:val="0064306E"/>
    <w:rsid w:val="006430DC"/>
    <w:rsid w:val="00643143"/>
    <w:rsid w:val="00643163"/>
    <w:rsid w:val="006431EA"/>
    <w:rsid w:val="0064336A"/>
    <w:rsid w:val="00643577"/>
    <w:rsid w:val="0064357B"/>
    <w:rsid w:val="006435D1"/>
    <w:rsid w:val="006435E7"/>
    <w:rsid w:val="00643650"/>
    <w:rsid w:val="0064367B"/>
    <w:rsid w:val="00643719"/>
    <w:rsid w:val="00643A47"/>
    <w:rsid w:val="00643A90"/>
    <w:rsid w:val="00643B5D"/>
    <w:rsid w:val="00643B6A"/>
    <w:rsid w:val="00643B81"/>
    <w:rsid w:val="00643BA4"/>
    <w:rsid w:val="00643C0B"/>
    <w:rsid w:val="00643D42"/>
    <w:rsid w:val="00643E4B"/>
    <w:rsid w:val="00643E69"/>
    <w:rsid w:val="00643EAC"/>
    <w:rsid w:val="00643ECE"/>
    <w:rsid w:val="00643F04"/>
    <w:rsid w:val="00643F6E"/>
    <w:rsid w:val="00643FC1"/>
    <w:rsid w:val="006440BE"/>
    <w:rsid w:val="0064411E"/>
    <w:rsid w:val="006441D6"/>
    <w:rsid w:val="00644242"/>
    <w:rsid w:val="00644243"/>
    <w:rsid w:val="00644282"/>
    <w:rsid w:val="006443AC"/>
    <w:rsid w:val="0064467A"/>
    <w:rsid w:val="006447C0"/>
    <w:rsid w:val="00644897"/>
    <w:rsid w:val="00644A5F"/>
    <w:rsid w:val="00644A86"/>
    <w:rsid w:val="00644C84"/>
    <w:rsid w:val="00644CEB"/>
    <w:rsid w:val="00644E65"/>
    <w:rsid w:val="00644F12"/>
    <w:rsid w:val="006450C2"/>
    <w:rsid w:val="00645170"/>
    <w:rsid w:val="00645244"/>
    <w:rsid w:val="00645265"/>
    <w:rsid w:val="006452EC"/>
    <w:rsid w:val="006453D1"/>
    <w:rsid w:val="0064553D"/>
    <w:rsid w:val="00645720"/>
    <w:rsid w:val="00645728"/>
    <w:rsid w:val="006457DE"/>
    <w:rsid w:val="0064584D"/>
    <w:rsid w:val="00645A46"/>
    <w:rsid w:val="00645BB3"/>
    <w:rsid w:val="00645BE2"/>
    <w:rsid w:val="00645E03"/>
    <w:rsid w:val="00646049"/>
    <w:rsid w:val="006460C0"/>
    <w:rsid w:val="00646228"/>
    <w:rsid w:val="00646247"/>
    <w:rsid w:val="0064634E"/>
    <w:rsid w:val="006463C8"/>
    <w:rsid w:val="0064650E"/>
    <w:rsid w:val="00646663"/>
    <w:rsid w:val="006467B3"/>
    <w:rsid w:val="00646866"/>
    <w:rsid w:val="00646980"/>
    <w:rsid w:val="00646B0A"/>
    <w:rsid w:val="00646B3A"/>
    <w:rsid w:val="00646CE6"/>
    <w:rsid w:val="00646E08"/>
    <w:rsid w:val="00647027"/>
    <w:rsid w:val="006470C0"/>
    <w:rsid w:val="006470ED"/>
    <w:rsid w:val="00647180"/>
    <w:rsid w:val="00647201"/>
    <w:rsid w:val="0064727E"/>
    <w:rsid w:val="00647329"/>
    <w:rsid w:val="0064736B"/>
    <w:rsid w:val="0064745F"/>
    <w:rsid w:val="006474A8"/>
    <w:rsid w:val="00647507"/>
    <w:rsid w:val="00647658"/>
    <w:rsid w:val="0064767A"/>
    <w:rsid w:val="00647768"/>
    <w:rsid w:val="006477A3"/>
    <w:rsid w:val="006477B9"/>
    <w:rsid w:val="0064780B"/>
    <w:rsid w:val="00647820"/>
    <w:rsid w:val="006478D4"/>
    <w:rsid w:val="00647976"/>
    <w:rsid w:val="00647A8C"/>
    <w:rsid w:val="00647A9E"/>
    <w:rsid w:val="00647AB8"/>
    <w:rsid w:val="00647BBD"/>
    <w:rsid w:val="00647BF9"/>
    <w:rsid w:val="00647BFB"/>
    <w:rsid w:val="00647CBA"/>
    <w:rsid w:val="00647CC6"/>
    <w:rsid w:val="00647D15"/>
    <w:rsid w:val="00647EAF"/>
    <w:rsid w:val="00647FC7"/>
    <w:rsid w:val="00650101"/>
    <w:rsid w:val="00650369"/>
    <w:rsid w:val="006503FB"/>
    <w:rsid w:val="00650488"/>
    <w:rsid w:val="006504A7"/>
    <w:rsid w:val="00650540"/>
    <w:rsid w:val="006505B7"/>
    <w:rsid w:val="0065073D"/>
    <w:rsid w:val="00650781"/>
    <w:rsid w:val="0065083E"/>
    <w:rsid w:val="00650AA4"/>
    <w:rsid w:val="00650AC9"/>
    <w:rsid w:val="00650BB6"/>
    <w:rsid w:val="00650C5B"/>
    <w:rsid w:val="00650C98"/>
    <w:rsid w:val="00650D95"/>
    <w:rsid w:val="00650E58"/>
    <w:rsid w:val="0065101B"/>
    <w:rsid w:val="0065110B"/>
    <w:rsid w:val="0065115E"/>
    <w:rsid w:val="0065118B"/>
    <w:rsid w:val="006512D7"/>
    <w:rsid w:val="0065132D"/>
    <w:rsid w:val="00651478"/>
    <w:rsid w:val="00651499"/>
    <w:rsid w:val="0065149C"/>
    <w:rsid w:val="006514D6"/>
    <w:rsid w:val="00651575"/>
    <w:rsid w:val="0065178F"/>
    <w:rsid w:val="0065184E"/>
    <w:rsid w:val="006519A8"/>
    <w:rsid w:val="006519FD"/>
    <w:rsid w:val="00651BA8"/>
    <w:rsid w:val="00651BB3"/>
    <w:rsid w:val="00651D89"/>
    <w:rsid w:val="00651DEF"/>
    <w:rsid w:val="00651E31"/>
    <w:rsid w:val="00651E96"/>
    <w:rsid w:val="00651F13"/>
    <w:rsid w:val="00651FF6"/>
    <w:rsid w:val="0065210B"/>
    <w:rsid w:val="00652149"/>
    <w:rsid w:val="006522EB"/>
    <w:rsid w:val="00652458"/>
    <w:rsid w:val="00652497"/>
    <w:rsid w:val="006524B1"/>
    <w:rsid w:val="006526EC"/>
    <w:rsid w:val="006526F3"/>
    <w:rsid w:val="00652744"/>
    <w:rsid w:val="0065277A"/>
    <w:rsid w:val="0065281A"/>
    <w:rsid w:val="00652882"/>
    <w:rsid w:val="006528C5"/>
    <w:rsid w:val="006528DB"/>
    <w:rsid w:val="00652950"/>
    <w:rsid w:val="00652981"/>
    <w:rsid w:val="006529BE"/>
    <w:rsid w:val="006529E7"/>
    <w:rsid w:val="00652A33"/>
    <w:rsid w:val="00652ABA"/>
    <w:rsid w:val="00652D61"/>
    <w:rsid w:val="00652E02"/>
    <w:rsid w:val="00652F6C"/>
    <w:rsid w:val="00652F96"/>
    <w:rsid w:val="00653169"/>
    <w:rsid w:val="006531F5"/>
    <w:rsid w:val="0065320B"/>
    <w:rsid w:val="00653355"/>
    <w:rsid w:val="0065344F"/>
    <w:rsid w:val="0065358C"/>
    <w:rsid w:val="006535FE"/>
    <w:rsid w:val="0065360A"/>
    <w:rsid w:val="006536BA"/>
    <w:rsid w:val="00653715"/>
    <w:rsid w:val="006537B8"/>
    <w:rsid w:val="00653818"/>
    <w:rsid w:val="00653827"/>
    <w:rsid w:val="00653848"/>
    <w:rsid w:val="0065390B"/>
    <w:rsid w:val="0065393C"/>
    <w:rsid w:val="0065393F"/>
    <w:rsid w:val="00653AB3"/>
    <w:rsid w:val="00653C4E"/>
    <w:rsid w:val="00653C9E"/>
    <w:rsid w:val="00653D0A"/>
    <w:rsid w:val="00653F5E"/>
    <w:rsid w:val="006542B2"/>
    <w:rsid w:val="0065430A"/>
    <w:rsid w:val="006546CF"/>
    <w:rsid w:val="00654812"/>
    <w:rsid w:val="006548A8"/>
    <w:rsid w:val="006549B8"/>
    <w:rsid w:val="00654B4C"/>
    <w:rsid w:val="00654B8E"/>
    <w:rsid w:val="00654C76"/>
    <w:rsid w:val="00654CEE"/>
    <w:rsid w:val="00654D6F"/>
    <w:rsid w:val="00654DAC"/>
    <w:rsid w:val="00654F5C"/>
    <w:rsid w:val="00654FA7"/>
    <w:rsid w:val="0065506E"/>
    <w:rsid w:val="00655257"/>
    <w:rsid w:val="0065527C"/>
    <w:rsid w:val="0065539D"/>
    <w:rsid w:val="00655433"/>
    <w:rsid w:val="006554B4"/>
    <w:rsid w:val="0065551C"/>
    <w:rsid w:val="0065553F"/>
    <w:rsid w:val="00655553"/>
    <w:rsid w:val="006555CA"/>
    <w:rsid w:val="00655660"/>
    <w:rsid w:val="006556B2"/>
    <w:rsid w:val="006557EC"/>
    <w:rsid w:val="00655848"/>
    <w:rsid w:val="006558E4"/>
    <w:rsid w:val="0065597D"/>
    <w:rsid w:val="00655999"/>
    <w:rsid w:val="006559A4"/>
    <w:rsid w:val="00655E5E"/>
    <w:rsid w:val="00655E61"/>
    <w:rsid w:val="00655EF8"/>
    <w:rsid w:val="00655F17"/>
    <w:rsid w:val="00655F1B"/>
    <w:rsid w:val="00655F4E"/>
    <w:rsid w:val="00655FDD"/>
    <w:rsid w:val="006560AF"/>
    <w:rsid w:val="00656269"/>
    <w:rsid w:val="006562E8"/>
    <w:rsid w:val="006563A8"/>
    <w:rsid w:val="00656487"/>
    <w:rsid w:val="006564CD"/>
    <w:rsid w:val="006565A0"/>
    <w:rsid w:val="00656665"/>
    <w:rsid w:val="00656914"/>
    <w:rsid w:val="00656A75"/>
    <w:rsid w:val="00656AAD"/>
    <w:rsid w:val="00656C6C"/>
    <w:rsid w:val="00656C7B"/>
    <w:rsid w:val="00656C80"/>
    <w:rsid w:val="00656C90"/>
    <w:rsid w:val="00656D6A"/>
    <w:rsid w:val="00656DF0"/>
    <w:rsid w:val="00656EA5"/>
    <w:rsid w:val="00656FC2"/>
    <w:rsid w:val="00657207"/>
    <w:rsid w:val="0065730E"/>
    <w:rsid w:val="00657360"/>
    <w:rsid w:val="006573BB"/>
    <w:rsid w:val="006576D7"/>
    <w:rsid w:val="00657775"/>
    <w:rsid w:val="006577CD"/>
    <w:rsid w:val="00657812"/>
    <w:rsid w:val="006578AB"/>
    <w:rsid w:val="006579CF"/>
    <w:rsid w:val="00657DA6"/>
    <w:rsid w:val="00657DE3"/>
    <w:rsid w:val="00657DEB"/>
    <w:rsid w:val="00657DF4"/>
    <w:rsid w:val="00657EC6"/>
    <w:rsid w:val="00657F6F"/>
    <w:rsid w:val="006600E8"/>
    <w:rsid w:val="00660268"/>
    <w:rsid w:val="006602EB"/>
    <w:rsid w:val="0066031A"/>
    <w:rsid w:val="0066041A"/>
    <w:rsid w:val="00660515"/>
    <w:rsid w:val="006606A6"/>
    <w:rsid w:val="00660719"/>
    <w:rsid w:val="00660851"/>
    <w:rsid w:val="006609A2"/>
    <w:rsid w:val="00660A7D"/>
    <w:rsid w:val="00660AB6"/>
    <w:rsid w:val="00660B25"/>
    <w:rsid w:val="00660BF4"/>
    <w:rsid w:val="00660C83"/>
    <w:rsid w:val="00660CFA"/>
    <w:rsid w:val="00660E37"/>
    <w:rsid w:val="006612B5"/>
    <w:rsid w:val="006612EF"/>
    <w:rsid w:val="0066136C"/>
    <w:rsid w:val="006613CC"/>
    <w:rsid w:val="00661450"/>
    <w:rsid w:val="006614C5"/>
    <w:rsid w:val="006614D6"/>
    <w:rsid w:val="006614F3"/>
    <w:rsid w:val="00661599"/>
    <w:rsid w:val="00661782"/>
    <w:rsid w:val="006617E5"/>
    <w:rsid w:val="0066194F"/>
    <w:rsid w:val="00661A3B"/>
    <w:rsid w:val="00661B9F"/>
    <w:rsid w:val="00661F95"/>
    <w:rsid w:val="006621CA"/>
    <w:rsid w:val="0066231C"/>
    <w:rsid w:val="00662330"/>
    <w:rsid w:val="00662370"/>
    <w:rsid w:val="006623E8"/>
    <w:rsid w:val="0066258C"/>
    <w:rsid w:val="006625FF"/>
    <w:rsid w:val="00662697"/>
    <w:rsid w:val="006626C6"/>
    <w:rsid w:val="0066270B"/>
    <w:rsid w:val="00662726"/>
    <w:rsid w:val="00662888"/>
    <w:rsid w:val="00662897"/>
    <w:rsid w:val="006629BF"/>
    <w:rsid w:val="00662A89"/>
    <w:rsid w:val="00662C9A"/>
    <w:rsid w:val="00662DC4"/>
    <w:rsid w:val="00662E32"/>
    <w:rsid w:val="006630A4"/>
    <w:rsid w:val="00663242"/>
    <w:rsid w:val="00663617"/>
    <w:rsid w:val="0066379B"/>
    <w:rsid w:val="006639DB"/>
    <w:rsid w:val="00663A65"/>
    <w:rsid w:val="00663ACE"/>
    <w:rsid w:val="00663BB6"/>
    <w:rsid w:val="00663BCD"/>
    <w:rsid w:val="00663C73"/>
    <w:rsid w:val="00663D26"/>
    <w:rsid w:val="00663D31"/>
    <w:rsid w:val="00663E35"/>
    <w:rsid w:val="00663E4F"/>
    <w:rsid w:val="00663E76"/>
    <w:rsid w:val="00663EFF"/>
    <w:rsid w:val="006640A5"/>
    <w:rsid w:val="00664481"/>
    <w:rsid w:val="0066451E"/>
    <w:rsid w:val="006649B7"/>
    <w:rsid w:val="00664B03"/>
    <w:rsid w:val="00664BB6"/>
    <w:rsid w:val="00664C42"/>
    <w:rsid w:val="00664CCE"/>
    <w:rsid w:val="00664D6B"/>
    <w:rsid w:val="00664DF9"/>
    <w:rsid w:val="00664E25"/>
    <w:rsid w:val="0066504B"/>
    <w:rsid w:val="00665055"/>
    <w:rsid w:val="00665062"/>
    <w:rsid w:val="006650B9"/>
    <w:rsid w:val="0066523A"/>
    <w:rsid w:val="00665287"/>
    <w:rsid w:val="00665289"/>
    <w:rsid w:val="00665333"/>
    <w:rsid w:val="006653A9"/>
    <w:rsid w:val="00665449"/>
    <w:rsid w:val="0066552E"/>
    <w:rsid w:val="006656C6"/>
    <w:rsid w:val="006656CA"/>
    <w:rsid w:val="0066579B"/>
    <w:rsid w:val="006657E9"/>
    <w:rsid w:val="006657F5"/>
    <w:rsid w:val="006657FC"/>
    <w:rsid w:val="006659CA"/>
    <w:rsid w:val="00665A18"/>
    <w:rsid w:val="00665A85"/>
    <w:rsid w:val="00665C6F"/>
    <w:rsid w:val="00665C71"/>
    <w:rsid w:val="00665CD6"/>
    <w:rsid w:val="00665DF0"/>
    <w:rsid w:val="00665FD3"/>
    <w:rsid w:val="0066602D"/>
    <w:rsid w:val="00666039"/>
    <w:rsid w:val="006660EC"/>
    <w:rsid w:val="006661AA"/>
    <w:rsid w:val="00666253"/>
    <w:rsid w:val="00666340"/>
    <w:rsid w:val="006664C5"/>
    <w:rsid w:val="0066657F"/>
    <w:rsid w:val="0066658B"/>
    <w:rsid w:val="00666618"/>
    <w:rsid w:val="0066668C"/>
    <w:rsid w:val="0066669D"/>
    <w:rsid w:val="006666DA"/>
    <w:rsid w:val="00666713"/>
    <w:rsid w:val="006667C6"/>
    <w:rsid w:val="00666811"/>
    <w:rsid w:val="00666921"/>
    <w:rsid w:val="00666A56"/>
    <w:rsid w:val="00666C61"/>
    <w:rsid w:val="00666EB7"/>
    <w:rsid w:val="00666EF0"/>
    <w:rsid w:val="00666F58"/>
    <w:rsid w:val="00667041"/>
    <w:rsid w:val="006670D1"/>
    <w:rsid w:val="00667132"/>
    <w:rsid w:val="00667198"/>
    <w:rsid w:val="00667243"/>
    <w:rsid w:val="006672D7"/>
    <w:rsid w:val="006672EC"/>
    <w:rsid w:val="0066750B"/>
    <w:rsid w:val="006675DC"/>
    <w:rsid w:val="006676A5"/>
    <w:rsid w:val="006677DA"/>
    <w:rsid w:val="00667858"/>
    <w:rsid w:val="00667932"/>
    <w:rsid w:val="00667AD1"/>
    <w:rsid w:val="00667BB1"/>
    <w:rsid w:val="00667BD6"/>
    <w:rsid w:val="00667C03"/>
    <w:rsid w:val="00667D4E"/>
    <w:rsid w:val="00667DD4"/>
    <w:rsid w:val="00667DEC"/>
    <w:rsid w:val="00667E78"/>
    <w:rsid w:val="00667FB3"/>
    <w:rsid w:val="00670020"/>
    <w:rsid w:val="00670030"/>
    <w:rsid w:val="006702F5"/>
    <w:rsid w:val="006703A6"/>
    <w:rsid w:val="00670423"/>
    <w:rsid w:val="006705BA"/>
    <w:rsid w:val="0067063B"/>
    <w:rsid w:val="006706EE"/>
    <w:rsid w:val="006706EF"/>
    <w:rsid w:val="00670838"/>
    <w:rsid w:val="00670850"/>
    <w:rsid w:val="00670860"/>
    <w:rsid w:val="00670940"/>
    <w:rsid w:val="0067094B"/>
    <w:rsid w:val="00670ADE"/>
    <w:rsid w:val="00670AE4"/>
    <w:rsid w:val="00670B11"/>
    <w:rsid w:val="00670B52"/>
    <w:rsid w:val="00670C52"/>
    <w:rsid w:val="00670C61"/>
    <w:rsid w:val="00670DCB"/>
    <w:rsid w:val="00670EF9"/>
    <w:rsid w:val="00670F33"/>
    <w:rsid w:val="00670F5C"/>
    <w:rsid w:val="00671055"/>
    <w:rsid w:val="0067106F"/>
    <w:rsid w:val="006710DA"/>
    <w:rsid w:val="00671158"/>
    <w:rsid w:val="00671240"/>
    <w:rsid w:val="006712B4"/>
    <w:rsid w:val="00671461"/>
    <w:rsid w:val="006715C9"/>
    <w:rsid w:val="00671648"/>
    <w:rsid w:val="006716CB"/>
    <w:rsid w:val="00671A42"/>
    <w:rsid w:val="00671ABF"/>
    <w:rsid w:val="00671CEA"/>
    <w:rsid w:val="00671DFB"/>
    <w:rsid w:val="00671E25"/>
    <w:rsid w:val="00671E28"/>
    <w:rsid w:val="00671EA5"/>
    <w:rsid w:val="00671EDE"/>
    <w:rsid w:val="00671FE3"/>
    <w:rsid w:val="00671FFC"/>
    <w:rsid w:val="006720E5"/>
    <w:rsid w:val="0067218F"/>
    <w:rsid w:val="00672317"/>
    <w:rsid w:val="00672330"/>
    <w:rsid w:val="00672462"/>
    <w:rsid w:val="00672464"/>
    <w:rsid w:val="006728C0"/>
    <w:rsid w:val="00672D0C"/>
    <w:rsid w:val="00672E3C"/>
    <w:rsid w:val="00672E40"/>
    <w:rsid w:val="00672E65"/>
    <w:rsid w:val="00672F55"/>
    <w:rsid w:val="00672F84"/>
    <w:rsid w:val="00672FBC"/>
    <w:rsid w:val="0067318E"/>
    <w:rsid w:val="00673219"/>
    <w:rsid w:val="006732EC"/>
    <w:rsid w:val="006732F9"/>
    <w:rsid w:val="00673362"/>
    <w:rsid w:val="00673430"/>
    <w:rsid w:val="0067354D"/>
    <w:rsid w:val="006735B9"/>
    <w:rsid w:val="00673641"/>
    <w:rsid w:val="00673649"/>
    <w:rsid w:val="006737DA"/>
    <w:rsid w:val="00673803"/>
    <w:rsid w:val="006738A4"/>
    <w:rsid w:val="0067391F"/>
    <w:rsid w:val="00673962"/>
    <w:rsid w:val="00673B02"/>
    <w:rsid w:val="00673B64"/>
    <w:rsid w:val="00673C60"/>
    <w:rsid w:val="00673DCE"/>
    <w:rsid w:val="00673EDA"/>
    <w:rsid w:val="00673EEC"/>
    <w:rsid w:val="00673FEE"/>
    <w:rsid w:val="0067403A"/>
    <w:rsid w:val="0067404D"/>
    <w:rsid w:val="006740CE"/>
    <w:rsid w:val="006742A1"/>
    <w:rsid w:val="00674317"/>
    <w:rsid w:val="0067432A"/>
    <w:rsid w:val="00674535"/>
    <w:rsid w:val="006745EE"/>
    <w:rsid w:val="00674679"/>
    <w:rsid w:val="00674746"/>
    <w:rsid w:val="00674749"/>
    <w:rsid w:val="006748DE"/>
    <w:rsid w:val="00674906"/>
    <w:rsid w:val="00674A72"/>
    <w:rsid w:val="00674B91"/>
    <w:rsid w:val="00674BAA"/>
    <w:rsid w:val="00674BD7"/>
    <w:rsid w:val="00674C01"/>
    <w:rsid w:val="00674D2F"/>
    <w:rsid w:val="00674E90"/>
    <w:rsid w:val="00674EE4"/>
    <w:rsid w:val="00674FEA"/>
    <w:rsid w:val="00674FFE"/>
    <w:rsid w:val="0067505D"/>
    <w:rsid w:val="006751EA"/>
    <w:rsid w:val="00675253"/>
    <w:rsid w:val="0067534F"/>
    <w:rsid w:val="006753DE"/>
    <w:rsid w:val="00675598"/>
    <w:rsid w:val="0067567A"/>
    <w:rsid w:val="006756DE"/>
    <w:rsid w:val="006757B2"/>
    <w:rsid w:val="00675875"/>
    <w:rsid w:val="00675885"/>
    <w:rsid w:val="00675919"/>
    <w:rsid w:val="0067594C"/>
    <w:rsid w:val="00675A97"/>
    <w:rsid w:val="00675CB6"/>
    <w:rsid w:val="00675E0F"/>
    <w:rsid w:val="00675F52"/>
    <w:rsid w:val="006760C9"/>
    <w:rsid w:val="006761C8"/>
    <w:rsid w:val="00676364"/>
    <w:rsid w:val="00676373"/>
    <w:rsid w:val="006763C9"/>
    <w:rsid w:val="006764A9"/>
    <w:rsid w:val="0067658C"/>
    <w:rsid w:val="006765BF"/>
    <w:rsid w:val="0067662E"/>
    <w:rsid w:val="0067665F"/>
    <w:rsid w:val="0067668E"/>
    <w:rsid w:val="006766C8"/>
    <w:rsid w:val="006766CF"/>
    <w:rsid w:val="006766ED"/>
    <w:rsid w:val="00676B09"/>
    <w:rsid w:val="00676B94"/>
    <w:rsid w:val="00676BF1"/>
    <w:rsid w:val="00676E5A"/>
    <w:rsid w:val="00676EA4"/>
    <w:rsid w:val="00676EAD"/>
    <w:rsid w:val="00676EB7"/>
    <w:rsid w:val="00676FDB"/>
    <w:rsid w:val="00677190"/>
    <w:rsid w:val="00677273"/>
    <w:rsid w:val="0067727F"/>
    <w:rsid w:val="006772ED"/>
    <w:rsid w:val="0067751A"/>
    <w:rsid w:val="00677595"/>
    <w:rsid w:val="006775C6"/>
    <w:rsid w:val="0067778E"/>
    <w:rsid w:val="006777C6"/>
    <w:rsid w:val="00677801"/>
    <w:rsid w:val="006778BD"/>
    <w:rsid w:val="00677980"/>
    <w:rsid w:val="006779BC"/>
    <w:rsid w:val="006779D0"/>
    <w:rsid w:val="00677A2C"/>
    <w:rsid w:val="00677A87"/>
    <w:rsid w:val="00677B2F"/>
    <w:rsid w:val="00677B46"/>
    <w:rsid w:val="00677B60"/>
    <w:rsid w:val="00677B89"/>
    <w:rsid w:val="00677CD2"/>
    <w:rsid w:val="00677CDC"/>
    <w:rsid w:val="00677D0E"/>
    <w:rsid w:val="00677D8E"/>
    <w:rsid w:val="00677EB0"/>
    <w:rsid w:val="00677F62"/>
    <w:rsid w:val="00677F9D"/>
    <w:rsid w:val="00677FF3"/>
    <w:rsid w:val="00680016"/>
    <w:rsid w:val="006800E4"/>
    <w:rsid w:val="00680102"/>
    <w:rsid w:val="00680149"/>
    <w:rsid w:val="006802AD"/>
    <w:rsid w:val="0068046C"/>
    <w:rsid w:val="00680546"/>
    <w:rsid w:val="00680553"/>
    <w:rsid w:val="006805E3"/>
    <w:rsid w:val="006807AD"/>
    <w:rsid w:val="006809AC"/>
    <w:rsid w:val="00680A4D"/>
    <w:rsid w:val="00680B4E"/>
    <w:rsid w:val="00680B79"/>
    <w:rsid w:val="00680B84"/>
    <w:rsid w:val="00680C53"/>
    <w:rsid w:val="00680ECC"/>
    <w:rsid w:val="00680EE0"/>
    <w:rsid w:val="0068102F"/>
    <w:rsid w:val="006810A8"/>
    <w:rsid w:val="006810F8"/>
    <w:rsid w:val="0068123A"/>
    <w:rsid w:val="0068126A"/>
    <w:rsid w:val="00681299"/>
    <w:rsid w:val="00681335"/>
    <w:rsid w:val="00681430"/>
    <w:rsid w:val="006815AE"/>
    <w:rsid w:val="00681708"/>
    <w:rsid w:val="00681709"/>
    <w:rsid w:val="00681839"/>
    <w:rsid w:val="00681A65"/>
    <w:rsid w:val="00681BA0"/>
    <w:rsid w:val="00681BCC"/>
    <w:rsid w:val="00681D09"/>
    <w:rsid w:val="00681DC7"/>
    <w:rsid w:val="00681E3D"/>
    <w:rsid w:val="00681EA8"/>
    <w:rsid w:val="00681F24"/>
    <w:rsid w:val="006820C8"/>
    <w:rsid w:val="0068214D"/>
    <w:rsid w:val="00682160"/>
    <w:rsid w:val="0068228B"/>
    <w:rsid w:val="0068246E"/>
    <w:rsid w:val="0068259A"/>
    <w:rsid w:val="006825CE"/>
    <w:rsid w:val="006825D0"/>
    <w:rsid w:val="00682601"/>
    <w:rsid w:val="00682638"/>
    <w:rsid w:val="00682714"/>
    <w:rsid w:val="006828BC"/>
    <w:rsid w:val="006828DE"/>
    <w:rsid w:val="00682A09"/>
    <w:rsid w:val="00682A61"/>
    <w:rsid w:val="00682AA0"/>
    <w:rsid w:val="00682B52"/>
    <w:rsid w:val="00682BDF"/>
    <w:rsid w:val="00682CD2"/>
    <w:rsid w:val="00682CF7"/>
    <w:rsid w:val="00682EB3"/>
    <w:rsid w:val="00682F66"/>
    <w:rsid w:val="00683041"/>
    <w:rsid w:val="006830E5"/>
    <w:rsid w:val="00683262"/>
    <w:rsid w:val="00683277"/>
    <w:rsid w:val="006832C0"/>
    <w:rsid w:val="006835AF"/>
    <w:rsid w:val="00683698"/>
    <w:rsid w:val="006836E0"/>
    <w:rsid w:val="00683890"/>
    <w:rsid w:val="00683944"/>
    <w:rsid w:val="00683C34"/>
    <w:rsid w:val="00683D86"/>
    <w:rsid w:val="00683DE2"/>
    <w:rsid w:val="00683E70"/>
    <w:rsid w:val="00683E9C"/>
    <w:rsid w:val="00683EBE"/>
    <w:rsid w:val="00683ED8"/>
    <w:rsid w:val="00683F22"/>
    <w:rsid w:val="00683FB8"/>
    <w:rsid w:val="00684064"/>
    <w:rsid w:val="006841F9"/>
    <w:rsid w:val="0068425F"/>
    <w:rsid w:val="006843DB"/>
    <w:rsid w:val="0068445D"/>
    <w:rsid w:val="006844F4"/>
    <w:rsid w:val="006845C2"/>
    <w:rsid w:val="006845E1"/>
    <w:rsid w:val="006845E4"/>
    <w:rsid w:val="0068461C"/>
    <w:rsid w:val="0068463C"/>
    <w:rsid w:val="006846CB"/>
    <w:rsid w:val="00684711"/>
    <w:rsid w:val="00684927"/>
    <w:rsid w:val="00684B2F"/>
    <w:rsid w:val="00684C82"/>
    <w:rsid w:val="00684CD2"/>
    <w:rsid w:val="00684DDB"/>
    <w:rsid w:val="00684EF9"/>
    <w:rsid w:val="00684FC3"/>
    <w:rsid w:val="00685179"/>
    <w:rsid w:val="0068517B"/>
    <w:rsid w:val="006851A1"/>
    <w:rsid w:val="006851D3"/>
    <w:rsid w:val="006852AA"/>
    <w:rsid w:val="006854E3"/>
    <w:rsid w:val="0068558C"/>
    <w:rsid w:val="006855B0"/>
    <w:rsid w:val="0068572B"/>
    <w:rsid w:val="006857F7"/>
    <w:rsid w:val="00685814"/>
    <w:rsid w:val="00685820"/>
    <w:rsid w:val="006859A5"/>
    <w:rsid w:val="00685C29"/>
    <w:rsid w:val="00685D45"/>
    <w:rsid w:val="00685EE3"/>
    <w:rsid w:val="0068600E"/>
    <w:rsid w:val="0068605A"/>
    <w:rsid w:val="006860AE"/>
    <w:rsid w:val="006860E2"/>
    <w:rsid w:val="006860E3"/>
    <w:rsid w:val="006861C0"/>
    <w:rsid w:val="006861E3"/>
    <w:rsid w:val="0068634D"/>
    <w:rsid w:val="00686376"/>
    <w:rsid w:val="0068645B"/>
    <w:rsid w:val="0068650A"/>
    <w:rsid w:val="0068652E"/>
    <w:rsid w:val="006865BC"/>
    <w:rsid w:val="00686618"/>
    <w:rsid w:val="0068669D"/>
    <w:rsid w:val="006866DC"/>
    <w:rsid w:val="00686729"/>
    <w:rsid w:val="006867AE"/>
    <w:rsid w:val="006867F7"/>
    <w:rsid w:val="0068683C"/>
    <w:rsid w:val="0068687F"/>
    <w:rsid w:val="006868A3"/>
    <w:rsid w:val="006869D8"/>
    <w:rsid w:val="006869FD"/>
    <w:rsid w:val="00686A12"/>
    <w:rsid w:val="00686A6E"/>
    <w:rsid w:val="00686A9C"/>
    <w:rsid w:val="00686C88"/>
    <w:rsid w:val="00686D50"/>
    <w:rsid w:val="00686DF9"/>
    <w:rsid w:val="006872A4"/>
    <w:rsid w:val="006872C8"/>
    <w:rsid w:val="006873BC"/>
    <w:rsid w:val="006874C6"/>
    <w:rsid w:val="006877E2"/>
    <w:rsid w:val="00687A8E"/>
    <w:rsid w:val="00687CB3"/>
    <w:rsid w:val="00687CBB"/>
    <w:rsid w:val="00687DBC"/>
    <w:rsid w:val="00687FA1"/>
    <w:rsid w:val="00687FE3"/>
    <w:rsid w:val="0069017E"/>
    <w:rsid w:val="006903F2"/>
    <w:rsid w:val="006904AB"/>
    <w:rsid w:val="006904F0"/>
    <w:rsid w:val="00690566"/>
    <w:rsid w:val="00690569"/>
    <w:rsid w:val="00690598"/>
    <w:rsid w:val="006905B3"/>
    <w:rsid w:val="006906DC"/>
    <w:rsid w:val="00690799"/>
    <w:rsid w:val="00690938"/>
    <w:rsid w:val="0069098A"/>
    <w:rsid w:val="00690C11"/>
    <w:rsid w:val="00690D01"/>
    <w:rsid w:val="00690DC1"/>
    <w:rsid w:val="006910CD"/>
    <w:rsid w:val="00691338"/>
    <w:rsid w:val="00691446"/>
    <w:rsid w:val="0069144C"/>
    <w:rsid w:val="00691459"/>
    <w:rsid w:val="00691479"/>
    <w:rsid w:val="006914A2"/>
    <w:rsid w:val="006914AB"/>
    <w:rsid w:val="006914DD"/>
    <w:rsid w:val="006915BE"/>
    <w:rsid w:val="0069190B"/>
    <w:rsid w:val="0069192B"/>
    <w:rsid w:val="0069194D"/>
    <w:rsid w:val="00691BCB"/>
    <w:rsid w:val="00691BD6"/>
    <w:rsid w:val="00691D1F"/>
    <w:rsid w:val="00691D54"/>
    <w:rsid w:val="00691DB4"/>
    <w:rsid w:val="00691F19"/>
    <w:rsid w:val="0069211C"/>
    <w:rsid w:val="00692164"/>
    <w:rsid w:val="006921A0"/>
    <w:rsid w:val="0069220F"/>
    <w:rsid w:val="0069221C"/>
    <w:rsid w:val="00692425"/>
    <w:rsid w:val="0069245F"/>
    <w:rsid w:val="0069260D"/>
    <w:rsid w:val="00692649"/>
    <w:rsid w:val="006926A5"/>
    <w:rsid w:val="006927F2"/>
    <w:rsid w:val="00692A09"/>
    <w:rsid w:val="00692A2F"/>
    <w:rsid w:val="00692AC0"/>
    <w:rsid w:val="00692C1F"/>
    <w:rsid w:val="00692C3C"/>
    <w:rsid w:val="00692C9A"/>
    <w:rsid w:val="00692D53"/>
    <w:rsid w:val="00692D8B"/>
    <w:rsid w:val="00692DE3"/>
    <w:rsid w:val="00692F80"/>
    <w:rsid w:val="00692F8E"/>
    <w:rsid w:val="00692F9A"/>
    <w:rsid w:val="0069319E"/>
    <w:rsid w:val="006931CA"/>
    <w:rsid w:val="00693427"/>
    <w:rsid w:val="0069351D"/>
    <w:rsid w:val="00693555"/>
    <w:rsid w:val="006935A1"/>
    <w:rsid w:val="00693686"/>
    <w:rsid w:val="0069380B"/>
    <w:rsid w:val="00693819"/>
    <w:rsid w:val="00693A26"/>
    <w:rsid w:val="00693A9A"/>
    <w:rsid w:val="00693B1E"/>
    <w:rsid w:val="00693D07"/>
    <w:rsid w:val="00693DB3"/>
    <w:rsid w:val="00693E2C"/>
    <w:rsid w:val="00693E83"/>
    <w:rsid w:val="00693FD8"/>
    <w:rsid w:val="0069402B"/>
    <w:rsid w:val="00694230"/>
    <w:rsid w:val="00694246"/>
    <w:rsid w:val="00694260"/>
    <w:rsid w:val="006942BB"/>
    <w:rsid w:val="00694379"/>
    <w:rsid w:val="006944A2"/>
    <w:rsid w:val="006944F3"/>
    <w:rsid w:val="00694510"/>
    <w:rsid w:val="00694623"/>
    <w:rsid w:val="0069469D"/>
    <w:rsid w:val="0069477D"/>
    <w:rsid w:val="006948FB"/>
    <w:rsid w:val="0069490F"/>
    <w:rsid w:val="00694A68"/>
    <w:rsid w:val="00694BD5"/>
    <w:rsid w:val="00694C19"/>
    <w:rsid w:val="00694D14"/>
    <w:rsid w:val="00694F71"/>
    <w:rsid w:val="00694FDE"/>
    <w:rsid w:val="00694FFC"/>
    <w:rsid w:val="006950EC"/>
    <w:rsid w:val="006950EE"/>
    <w:rsid w:val="00695279"/>
    <w:rsid w:val="00695421"/>
    <w:rsid w:val="006956B9"/>
    <w:rsid w:val="006957B7"/>
    <w:rsid w:val="006957CE"/>
    <w:rsid w:val="00695809"/>
    <w:rsid w:val="006958AE"/>
    <w:rsid w:val="006958B5"/>
    <w:rsid w:val="006958F8"/>
    <w:rsid w:val="00695966"/>
    <w:rsid w:val="00695A50"/>
    <w:rsid w:val="00695B11"/>
    <w:rsid w:val="00695CE7"/>
    <w:rsid w:val="00695CEE"/>
    <w:rsid w:val="00695D24"/>
    <w:rsid w:val="00695D6A"/>
    <w:rsid w:val="00695DF0"/>
    <w:rsid w:val="00695E4E"/>
    <w:rsid w:val="00696114"/>
    <w:rsid w:val="0069615B"/>
    <w:rsid w:val="00696290"/>
    <w:rsid w:val="006962F3"/>
    <w:rsid w:val="00696355"/>
    <w:rsid w:val="00696496"/>
    <w:rsid w:val="0069670B"/>
    <w:rsid w:val="006968F6"/>
    <w:rsid w:val="00696A0C"/>
    <w:rsid w:val="00696A1C"/>
    <w:rsid w:val="00696B95"/>
    <w:rsid w:val="00696CF8"/>
    <w:rsid w:val="00696D41"/>
    <w:rsid w:val="00696D4E"/>
    <w:rsid w:val="00696D60"/>
    <w:rsid w:val="00696DB2"/>
    <w:rsid w:val="00696EB4"/>
    <w:rsid w:val="00696F3A"/>
    <w:rsid w:val="006970C0"/>
    <w:rsid w:val="006970E8"/>
    <w:rsid w:val="0069718D"/>
    <w:rsid w:val="00697350"/>
    <w:rsid w:val="0069752A"/>
    <w:rsid w:val="00697580"/>
    <w:rsid w:val="00697704"/>
    <w:rsid w:val="006977B9"/>
    <w:rsid w:val="00697A5E"/>
    <w:rsid w:val="00697B6A"/>
    <w:rsid w:val="00697B83"/>
    <w:rsid w:val="00697B9B"/>
    <w:rsid w:val="00697D19"/>
    <w:rsid w:val="00697D6F"/>
    <w:rsid w:val="00697DE5"/>
    <w:rsid w:val="006A00CD"/>
    <w:rsid w:val="006A00DD"/>
    <w:rsid w:val="006A0231"/>
    <w:rsid w:val="006A04D8"/>
    <w:rsid w:val="006A04DB"/>
    <w:rsid w:val="006A0525"/>
    <w:rsid w:val="006A0537"/>
    <w:rsid w:val="006A059B"/>
    <w:rsid w:val="006A06EB"/>
    <w:rsid w:val="006A0826"/>
    <w:rsid w:val="006A0956"/>
    <w:rsid w:val="006A0C40"/>
    <w:rsid w:val="006A0F57"/>
    <w:rsid w:val="006A0FCB"/>
    <w:rsid w:val="006A1040"/>
    <w:rsid w:val="006A1059"/>
    <w:rsid w:val="006A1072"/>
    <w:rsid w:val="006A109B"/>
    <w:rsid w:val="006A113C"/>
    <w:rsid w:val="006A115C"/>
    <w:rsid w:val="006A1169"/>
    <w:rsid w:val="006A116E"/>
    <w:rsid w:val="006A128F"/>
    <w:rsid w:val="006A12B2"/>
    <w:rsid w:val="006A12C8"/>
    <w:rsid w:val="006A130A"/>
    <w:rsid w:val="006A1599"/>
    <w:rsid w:val="006A16F6"/>
    <w:rsid w:val="006A17CF"/>
    <w:rsid w:val="006A1913"/>
    <w:rsid w:val="006A197D"/>
    <w:rsid w:val="006A1981"/>
    <w:rsid w:val="006A198E"/>
    <w:rsid w:val="006A1A66"/>
    <w:rsid w:val="006A1B0D"/>
    <w:rsid w:val="006A1C05"/>
    <w:rsid w:val="006A1CD4"/>
    <w:rsid w:val="006A1D0A"/>
    <w:rsid w:val="006A1D5F"/>
    <w:rsid w:val="006A1EFF"/>
    <w:rsid w:val="006A2090"/>
    <w:rsid w:val="006A20C4"/>
    <w:rsid w:val="006A216E"/>
    <w:rsid w:val="006A2178"/>
    <w:rsid w:val="006A223A"/>
    <w:rsid w:val="006A250E"/>
    <w:rsid w:val="006A25CD"/>
    <w:rsid w:val="006A262A"/>
    <w:rsid w:val="006A2633"/>
    <w:rsid w:val="006A26B9"/>
    <w:rsid w:val="006A274B"/>
    <w:rsid w:val="006A27BE"/>
    <w:rsid w:val="006A2892"/>
    <w:rsid w:val="006A2A1E"/>
    <w:rsid w:val="006A2B14"/>
    <w:rsid w:val="006A2C3F"/>
    <w:rsid w:val="006A2CB9"/>
    <w:rsid w:val="006A2FFA"/>
    <w:rsid w:val="006A307B"/>
    <w:rsid w:val="006A312F"/>
    <w:rsid w:val="006A3278"/>
    <w:rsid w:val="006A34C9"/>
    <w:rsid w:val="006A35FE"/>
    <w:rsid w:val="006A366E"/>
    <w:rsid w:val="006A3737"/>
    <w:rsid w:val="006A394A"/>
    <w:rsid w:val="006A39EA"/>
    <w:rsid w:val="006A3A28"/>
    <w:rsid w:val="006A3B04"/>
    <w:rsid w:val="006A3D57"/>
    <w:rsid w:val="006A3D81"/>
    <w:rsid w:val="006A3DCD"/>
    <w:rsid w:val="006A3E37"/>
    <w:rsid w:val="006A3F46"/>
    <w:rsid w:val="006A4150"/>
    <w:rsid w:val="006A43BD"/>
    <w:rsid w:val="006A4438"/>
    <w:rsid w:val="006A454B"/>
    <w:rsid w:val="006A4642"/>
    <w:rsid w:val="006A4791"/>
    <w:rsid w:val="006A48BC"/>
    <w:rsid w:val="006A4969"/>
    <w:rsid w:val="006A49FC"/>
    <w:rsid w:val="006A4A01"/>
    <w:rsid w:val="006A4A6C"/>
    <w:rsid w:val="006A4AE3"/>
    <w:rsid w:val="006A4B2D"/>
    <w:rsid w:val="006A4CF5"/>
    <w:rsid w:val="006A4D13"/>
    <w:rsid w:val="006A4D7F"/>
    <w:rsid w:val="006A4DD2"/>
    <w:rsid w:val="006A4FE9"/>
    <w:rsid w:val="006A502C"/>
    <w:rsid w:val="006A50B7"/>
    <w:rsid w:val="006A51DF"/>
    <w:rsid w:val="006A51E7"/>
    <w:rsid w:val="006A525E"/>
    <w:rsid w:val="006A52C1"/>
    <w:rsid w:val="006A5476"/>
    <w:rsid w:val="006A54CE"/>
    <w:rsid w:val="006A570C"/>
    <w:rsid w:val="006A57DA"/>
    <w:rsid w:val="006A592B"/>
    <w:rsid w:val="006A5AE4"/>
    <w:rsid w:val="006A5B5A"/>
    <w:rsid w:val="006A5B93"/>
    <w:rsid w:val="006A5C61"/>
    <w:rsid w:val="006A5D00"/>
    <w:rsid w:val="006A5D4B"/>
    <w:rsid w:val="006A5DD8"/>
    <w:rsid w:val="006A5E79"/>
    <w:rsid w:val="006A5EFF"/>
    <w:rsid w:val="006A5F49"/>
    <w:rsid w:val="006A5F96"/>
    <w:rsid w:val="006A6118"/>
    <w:rsid w:val="006A61B9"/>
    <w:rsid w:val="006A6355"/>
    <w:rsid w:val="006A63C2"/>
    <w:rsid w:val="006A63D4"/>
    <w:rsid w:val="006A640B"/>
    <w:rsid w:val="006A6415"/>
    <w:rsid w:val="006A64E5"/>
    <w:rsid w:val="006A6550"/>
    <w:rsid w:val="006A670D"/>
    <w:rsid w:val="006A6B6A"/>
    <w:rsid w:val="006A6BF9"/>
    <w:rsid w:val="006A6D90"/>
    <w:rsid w:val="006A6E01"/>
    <w:rsid w:val="006A6E32"/>
    <w:rsid w:val="006A6E51"/>
    <w:rsid w:val="006A70A7"/>
    <w:rsid w:val="006A70B0"/>
    <w:rsid w:val="006A717E"/>
    <w:rsid w:val="006A7198"/>
    <w:rsid w:val="006A72FC"/>
    <w:rsid w:val="006A75A9"/>
    <w:rsid w:val="006A76F1"/>
    <w:rsid w:val="006A7769"/>
    <w:rsid w:val="006A7825"/>
    <w:rsid w:val="006A79A0"/>
    <w:rsid w:val="006A79CF"/>
    <w:rsid w:val="006A79FE"/>
    <w:rsid w:val="006A7A8E"/>
    <w:rsid w:val="006A7AEE"/>
    <w:rsid w:val="006A7CA8"/>
    <w:rsid w:val="006A7D21"/>
    <w:rsid w:val="006A7E64"/>
    <w:rsid w:val="006A7F50"/>
    <w:rsid w:val="006A7FE2"/>
    <w:rsid w:val="006B013C"/>
    <w:rsid w:val="006B022E"/>
    <w:rsid w:val="006B04B4"/>
    <w:rsid w:val="006B0504"/>
    <w:rsid w:val="006B06A3"/>
    <w:rsid w:val="006B06DA"/>
    <w:rsid w:val="006B073F"/>
    <w:rsid w:val="006B08D7"/>
    <w:rsid w:val="006B090B"/>
    <w:rsid w:val="006B0A6F"/>
    <w:rsid w:val="006B0AFA"/>
    <w:rsid w:val="006B0B75"/>
    <w:rsid w:val="006B0CEE"/>
    <w:rsid w:val="006B0DC7"/>
    <w:rsid w:val="006B0E23"/>
    <w:rsid w:val="006B0F9B"/>
    <w:rsid w:val="006B0FE0"/>
    <w:rsid w:val="006B0FE3"/>
    <w:rsid w:val="006B11F7"/>
    <w:rsid w:val="006B12B6"/>
    <w:rsid w:val="006B13DC"/>
    <w:rsid w:val="006B177C"/>
    <w:rsid w:val="006B18DA"/>
    <w:rsid w:val="006B19D0"/>
    <w:rsid w:val="006B1BF0"/>
    <w:rsid w:val="006B1D86"/>
    <w:rsid w:val="006B1E8D"/>
    <w:rsid w:val="006B20F2"/>
    <w:rsid w:val="006B20F9"/>
    <w:rsid w:val="006B217E"/>
    <w:rsid w:val="006B22B6"/>
    <w:rsid w:val="006B22D4"/>
    <w:rsid w:val="006B24B1"/>
    <w:rsid w:val="006B24D8"/>
    <w:rsid w:val="006B259A"/>
    <w:rsid w:val="006B26A4"/>
    <w:rsid w:val="006B2904"/>
    <w:rsid w:val="006B2906"/>
    <w:rsid w:val="006B2AB8"/>
    <w:rsid w:val="006B2B0B"/>
    <w:rsid w:val="006B2B92"/>
    <w:rsid w:val="006B2BF1"/>
    <w:rsid w:val="006B2C35"/>
    <w:rsid w:val="006B2DED"/>
    <w:rsid w:val="006B2FFD"/>
    <w:rsid w:val="006B30FE"/>
    <w:rsid w:val="006B3172"/>
    <w:rsid w:val="006B3229"/>
    <w:rsid w:val="006B333E"/>
    <w:rsid w:val="006B34F7"/>
    <w:rsid w:val="006B37EF"/>
    <w:rsid w:val="006B386A"/>
    <w:rsid w:val="006B39BB"/>
    <w:rsid w:val="006B3AF8"/>
    <w:rsid w:val="006B3F14"/>
    <w:rsid w:val="006B406D"/>
    <w:rsid w:val="006B40FB"/>
    <w:rsid w:val="006B4184"/>
    <w:rsid w:val="006B41F1"/>
    <w:rsid w:val="006B4258"/>
    <w:rsid w:val="006B42C9"/>
    <w:rsid w:val="006B42D4"/>
    <w:rsid w:val="006B438E"/>
    <w:rsid w:val="006B4407"/>
    <w:rsid w:val="006B4447"/>
    <w:rsid w:val="006B44A5"/>
    <w:rsid w:val="006B44E7"/>
    <w:rsid w:val="006B4798"/>
    <w:rsid w:val="006B47DA"/>
    <w:rsid w:val="006B48F4"/>
    <w:rsid w:val="006B499A"/>
    <w:rsid w:val="006B49CB"/>
    <w:rsid w:val="006B4A24"/>
    <w:rsid w:val="006B4A3C"/>
    <w:rsid w:val="006B4B0F"/>
    <w:rsid w:val="006B4B85"/>
    <w:rsid w:val="006B4B95"/>
    <w:rsid w:val="006B4C3C"/>
    <w:rsid w:val="006B4C7A"/>
    <w:rsid w:val="006B4DBB"/>
    <w:rsid w:val="006B4ED7"/>
    <w:rsid w:val="006B4F86"/>
    <w:rsid w:val="006B5097"/>
    <w:rsid w:val="006B521B"/>
    <w:rsid w:val="006B5313"/>
    <w:rsid w:val="006B549B"/>
    <w:rsid w:val="006B5567"/>
    <w:rsid w:val="006B56F0"/>
    <w:rsid w:val="006B56F3"/>
    <w:rsid w:val="006B5781"/>
    <w:rsid w:val="006B57E0"/>
    <w:rsid w:val="006B5A3C"/>
    <w:rsid w:val="006B5AB1"/>
    <w:rsid w:val="006B5C75"/>
    <w:rsid w:val="006B5D88"/>
    <w:rsid w:val="006B5D91"/>
    <w:rsid w:val="006B5D9B"/>
    <w:rsid w:val="006B5FAC"/>
    <w:rsid w:val="006B6095"/>
    <w:rsid w:val="006B61D4"/>
    <w:rsid w:val="006B6398"/>
    <w:rsid w:val="006B63E7"/>
    <w:rsid w:val="006B6493"/>
    <w:rsid w:val="006B64A1"/>
    <w:rsid w:val="006B64A8"/>
    <w:rsid w:val="006B674B"/>
    <w:rsid w:val="006B6767"/>
    <w:rsid w:val="006B678A"/>
    <w:rsid w:val="006B697A"/>
    <w:rsid w:val="006B6A17"/>
    <w:rsid w:val="006B6A4B"/>
    <w:rsid w:val="006B6A87"/>
    <w:rsid w:val="006B6CB5"/>
    <w:rsid w:val="006B6CB7"/>
    <w:rsid w:val="006B6DC0"/>
    <w:rsid w:val="006B6DCD"/>
    <w:rsid w:val="006B6E22"/>
    <w:rsid w:val="006B6F2D"/>
    <w:rsid w:val="006B6F8D"/>
    <w:rsid w:val="006B6FD0"/>
    <w:rsid w:val="006B7192"/>
    <w:rsid w:val="006B7237"/>
    <w:rsid w:val="006B7549"/>
    <w:rsid w:val="006B75A1"/>
    <w:rsid w:val="006B75F7"/>
    <w:rsid w:val="006B769C"/>
    <w:rsid w:val="006B7770"/>
    <w:rsid w:val="006B78D8"/>
    <w:rsid w:val="006B7A4B"/>
    <w:rsid w:val="006B7ADE"/>
    <w:rsid w:val="006B7BDD"/>
    <w:rsid w:val="006B7C57"/>
    <w:rsid w:val="006B7C74"/>
    <w:rsid w:val="006B7CF4"/>
    <w:rsid w:val="006B7E35"/>
    <w:rsid w:val="006B7EE1"/>
    <w:rsid w:val="006B7F60"/>
    <w:rsid w:val="006C00E5"/>
    <w:rsid w:val="006C0141"/>
    <w:rsid w:val="006C022E"/>
    <w:rsid w:val="006C028C"/>
    <w:rsid w:val="006C02A4"/>
    <w:rsid w:val="006C039E"/>
    <w:rsid w:val="006C04E1"/>
    <w:rsid w:val="006C0597"/>
    <w:rsid w:val="006C05BE"/>
    <w:rsid w:val="006C073E"/>
    <w:rsid w:val="006C0772"/>
    <w:rsid w:val="006C0813"/>
    <w:rsid w:val="006C099C"/>
    <w:rsid w:val="006C0AB0"/>
    <w:rsid w:val="006C0C8E"/>
    <w:rsid w:val="006C0CE5"/>
    <w:rsid w:val="006C0CEE"/>
    <w:rsid w:val="006C0F4B"/>
    <w:rsid w:val="006C10BA"/>
    <w:rsid w:val="006C10CE"/>
    <w:rsid w:val="006C1173"/>
    <w:rsid w:val="006C1198"/>
    <w:rsid w:val="006C11E0"/>
    <w:rsid w:val="006C125F"/>
    <w:rsid w:val="006C12BA"/>
    <w:rsid w:val="006C12F7"/>
    <w:rsid w:val="006C13ED"/>
    <w:rsid w:val="006C1443"/>
    <w:rsid w:val="006C1538"/>
    <w:rsid w:val="006C15E8"/>
    <w:rsid w:val="006C1643"/>
    <w:rsid w:val="006C1645"/>
    <w:rsid w:val="006C1767"/>
    <w:rsid w:val="006C176B"/>
    <w:rsid w:val="006C178D"/>
    <w:rsid w:val="006C1856"/>
    <w:rsid w:val="006C18EF"/>
    <w:rsid w:val="006C1B02"/>
    <w:rsid w:val="006C1C26"/>
    <w:rsid w:val="006C1DDA"/>
    <w:rsid w:val="006C1DFA"/>
    <w:rsid w:val="006C1E1A"/>
    <w:rsid w:val="006C1E2F"/>
    <w:rsid w:val="006C1E46"/>
    <w:rsid w:val="006C1E78"/>
    <w:rsid w:val="006C2032"/>
    <w:rsid w:val="006C2052"/>
    <w:rsid w:val="006C230B"/>
    <w:rsid w:val="006C250E"/>
    <w:rsid w:val="006C2517"/>
    <w:rsid w:val="006C25BF"/>
    <w:rsid w:val="006C25FD"/>
    <w:rsid w:val="006C262C"/>
    <w:rsid w:val="006C2635"/>
    <w:rsid w:val="006C26B4"/>
    <w:rsid w:val="006C2823"/>
    <w:rsid w:val="006C28DA"/>
    <w:rsid w:val="006C28FA"/>
    <w:rsid w:val="006C294D"/>
    <w:rsid w:val="006C2AC5"/>
    <w:rsid w:val="006C2AF9"/>
    <w:rsid w:val="006C2B94"/>
    <w:rsid w:val="006C2EFA"/>
    <w:rsid w:val="006C2FEE"/>
    <w:rsid w:val="006C3166"/>
    <w:rsid w:val="006C3185"/>
    <w:rsid w:val="006C31AE"/>
    <w:rsid w:val="006C320B"/>
    <w:rsid w:val="006C3268"/>
    <w:rsid w:val="006C32CC"/>
    <w:rsid w:val="006C334A"/>
    <w:rsid w:val="006C33EC"/>
    <w:rsid w:val="006C352C"/>
    <w:rsid w:val="006C3583"/>
    <w:rsid w:val="006C35EB"/>
    <w:rsid w:val="006C36A2"/>
    <w:rsid w:val="006C3710"/>
    <w:rsid w:val="006C3733"/>
    <w:rsid w:val="006C3791"/>
    <w:rsid w:val="006C39B8"/>
    <w:rsid w:val="006C3A21"/>
    <w:rsid w:val="006C3AC0"/>
    <w:rsid w:val="006C3CEA"/>
    <w:rsid w:val="006C3E17"/>
    <w:rsid w:val="006C4088"/>
    <w:rsid w:val="006C4102"/>
    <w:rsid w:val="006C417A"/>
    <w:rsid w:val="006C4211"/>
    <w:rsid w:val="006C4255"/>
    <w:rsid w:val="006C4331"/>
    <w:rsid w:val="006C4501"/>
    <w:rsid w:val="006C451C"/>
    <w:rsid w:val="006C46A2"/>
    <w:rsid w:val="006C4967"/>
    <w:rsid w:val="006C4993"/>
    <w:rsid w:val="006C4A93"/>
    <w:rsid w:val="006C4ABE"/>
    <w:rsid w:val="006C4AED"/>
    <w:rsid w:val="006C4AF6"/>
    <w:rsid w:val="006C4B5E"/>
    <w:rsid w:val="006C4DF2"/>
    <w:rsid w:val="006C4F57"/>
    <w:rsid w:val="006C50FA"/>
    <w:rsid w:val="006C5222"/>
    <w:rsid w:val="006C54AF"/>
    <w:rsid w:val="006C574A"/>
    <w:rsid w:val="006C57C3"/>
    <w:rsid w:val="006C5879"/>
    <w:rsid w:val="006C590C"/>
    <w:rsid w:val="006C5989"/>
    <w:rsid w:val="006C5998"/>
    <w:rsid w:val="006C59AA"/>
    <w:rsid w:val="006C5A55"/>
    <w:rsid w:val="006C5AA7"/>
    <w:rsid w:val="006C5BE7"/>
    <w:rsid w:val="006C5CDE"/>
    <w:rsid w:val="006C5D54"/>
    <w:rsid w:val="006C5E35"/>
    <w:rsid w:val="006C6092"/>
    <w:rsid w:val="006C61C9"/>
    <w:rsid w:val="006C6213"/>
    <w:rsid w:val="006C63BC"/>
    <w:rsid w:val="006C64D5"/>
    <w:rsid w:val="006C65B3"/>
    <w:rsid w:val="006C660E"/>
    <w:rsid w:val="006C66CB"/>
    <w:rsid w:val="006C6733"/>
    <w:rsid w:val="006C6819"/>
    <w:rsid w:val="006C68AA"/>
    <w:rsid w:val="006C69E0"/>
    <w:rsid w:val="006C6ADA"/>
    <w:rsid w:val="006C6AFF"/>
    <w:rsid w:val="006C6B2A"/>
    <w:rsid w:val="006C6B30"/>
    <w:rsid w:val="006C6CAB"/>
    <w:rsid w:val="006C6FA6"/>
    <w:rsid w:val="006C7051"/>
    <w:rsid w:val="006C7062"/>
    <w:rsid w:val="006C71DE"/>
    <w:rsid w:val="006C734F"/>
    <w:rsid w:val="006C741F"/>
    <w:rsid w:val="006C7748"/>
    <w:rsid w:val="006C77A7"/>
    <w:rsid w:val="006C7940"/>
    <w:rsid w:val="006C7A12"/>
    <w:rsid w:val="006C7BA1"/>
    <w:rsid w:val="006C7C08"/>
    <w:rsid w:val="006C7E0E"/>
    <w:rsid w:val="006C7FE6"/>
    <w:rsid w:val="006C7FF5"/>
    <w:rsid w:val="006D01F1"/>
    <w:rsid w:val="006D022A"/>
    <w:rsid w:val="006D033B"/>
    <w:rsid w:val="006D0348"/>
    <w:rsid w:val="006D0443"/>
    <w:rsid w:val="006D04C0"/>
    <w:rsid w:val="006D055A"/>
    <w:rsid w:val="006D0577"/>
    <w:rsid w:val="006D0640"/>
    <w:rsid w:val="006D068F"/>
    <w:rsid w:val="006D0743"/>
    <w:rsid w:val="006D0770"/>
    <w:rsid w:val="006D0811"/>
    <w:rsid w:val="006D089D"/>
    <w:rsid w:val="006D08D9"/>
    <w:rsid w:val="006D09BE"/>
    <w:rsid w:val="006D09EE"/>
    <w:rsid w:val="006D0A7B"/>
    <w:rsid w:val="006D0AFE"/>
    <w:rsid w:val="006D0BB8"/>
    <w:rsid w:val="006D0C32"/>
    <w:rsid w:val="006D0C33"/>
    <w:rsid w:val="006D0E67"/>
    <w:rsid w:val="006D0F7E"/>
    <w:rsid w:val="006D1016"/>
    <w:rsid w:val="006D12D0"/>
    <w:rsid w:val="006D1358"/>
    <w:rsid w:val="006D13E1"/>
    <w:rsid w:val="006D13F3"/>
    <w:rsid w:val="006D14E8"/>
    <w:rsid w:val="006D151F"/>
    <w:rsid w:val="006D17E3"/>
    <w:rsid w:val="006D1955"/>
    <w:rsid w:val="006D1A33"/>
    <w:rsid w:val="006D1C40"/>
    <w:rsid w:val="006D1D56"/>
    <w:rsid w:val="006D1DC4"/>
    <w:rsid w:val="006D2033"/>
    <w:rsid w:val="006D20AD"/>
    <w:rsid w:val="006D2171"/>
    <w:rsid w:val="006D21FD"/>
    <w:rsid w:val="006D2237"/>
    <w:rsid w:val="006D2317"/>
    <w:rsid w:val="006D23FB"/>
    <w:rsid w:val="006D24AD"/>
    <w:rsid w:val="006D252B"/>
    <w:rsid w:val="006D2894"/>
    <w:rsid w:val="006D28FE"/>
    <w:rsid w:val="006D290A"/>
    <w:rsid w:val="006D2930"/>
    <w:rsid w:val="006D2AAE"/>
    <w:rsid w:val="006D2B74"/>
    <w:rsid w:val="006D2B86"/>
    <w:rsid w:val="006D2BAE"/>
    <w:rsid w:val="006D2DAB"/>
    <w:rsid w:val="006D2F0E"/>
    <w:rsid w:val="006D2F7A"/>
    <w:rsid w:val="006D3030"/>
    <w:rsid w:val="006D3034"/>
    <w:rsid w:val="006D310A"/>
    <w:rsid w:val="006D313B"/>
    <w:rsid w:val="006D3165"/>
    <w:rsid w:val="006D3210"/>
    <w:rsid w:val="006D350A"/>
    <w:rsid w:val="006D352F"/>
    <w:rsid w:val="006D3795"/>
    <w:rsid w:val="006D3815"/>
    <w:rsid w:val="006D3909"/>
    <w:rsid w:val="006D39ED"/>
    <w:rsid w:val="006D3B53"/>
    <w:rsid w:val="006D3B86"/>
    <w:rsid w:val="006D3BF8"/>
    <w:rsid w:val="006D3C78"/>
    <w:rsid w:val="006D3CC5"/>
    <w:rsid w:val="006D3D40"/>
    <w:rsid w:val="006D3E46"/>
    <w:rsid w:val="006D3F1D"/>
    <w:rsid w:val="006D3FB1"/>
    <w:rsid w:val="006D40A9"/>
    <w:rsid w:val="006D419E"/>
    <w:rsid w:val="006D42AA"/>
    <w:rsid w:val="006D431C"/>
    <w:rsid w:val="006D4351"/>
    <w:rsid w:val="006D445F"/>
    <w:rsid w:val="006D44CC"/>
    <w:rsid w:val="006D45DD"/>
    <w:rsid w:val="006D4699"/>
    <w:rsid w:val="006D4716"/>
    <w:rsid w:val="006D4847"/>
    <w:rsid w:val="006D4A11"/>
    <w:rsid w:val="006D4A7D"/>
    <w:rsid w:val="006D4AA8"/>
    <w:rsid w:val="006D4AF4"/>
    <w:rsid w:val="006D4C85"/>
    <w:rsid w:val="006D4D69"/>
    <w:rsid w:val="006D4D76"/>
    <w:rsid w:val="006D4DEF"/>
    <w:rsid w:val="006D4E1B"/>
    <w:rsid w:val="006D4E73"/>
    <w:rsid w:val="006D4F16"/>
    <w:rsid w:val="006D4FDC"/>
    <w:rsid w:val="006D5086"/>
    <w:rsid w:val="006D51BA"/>
    <w:rsid w:val="006D52A3"/>
    <w:rsid w:val="006D531A"/>
    <w:rsid w:val="006D5329"/>
    <w:rsid w:val="006D5433"/>
    <w:rsid w:val="006D5621"/>
    <w:rsid w:val="006D5654"/>
    <w:rsid w:val="006D573A"/>
    <w:rsid w:val="006D57D1"/>
    <w:rsid w:val="006D5929"/>
    <w:rsid w:val="006D594E"/>
    <w:rsid w:val="006D5956"/>
    <w:rsid w:val="006D5957"/>
    <w:rsid w:val="006D59D4"/>
    <w:rsid w:val="006D59E8"/>
    <w:rsid w:val="006D5A80"/>
    <w:rsid w:val="006D5A8F"/>
    <w:rsid w:val="006D5B41"/>
    <w:rsid w:val="006D5B45"/>
    <w:rsid w:val="006D5D3A"/>
    <w:rsid w:val="006D5E59"/>
    <w:rsid w:val="006D5ECB"/>
    <w:rsid w:val="006D5F10"/>
    <w:rsid w:val="006D5FD0"/>
    <w:rsid w:val="006D611D"/>
    <w:rsid w:val="006D6146"/>
    <w:rsid w:val="006D61E3"/>
    <w:rsid w:val="006D62AA"/>
    <w:rsid w:val="006D6319"/>
    <w:rsid w:val="006D6723"/>
    <w:rsid w:val="006D672C"/>
    <w:rsid w:val="006D6751"/>
    <w:rsid w:val="006D6861"/>
    <w:rsid w:val="006D6862"/>
    <w:rsid w:val="006D6A56"/>
    <w:rsid w:val="006D6B97"/>
    <w:rsid w:val="006D6BB8"/>
    <w:rsid w:val="006D6BF4"/>
    <w:rsid w:val="006D6C0C"/>
    <w:rsid w:val="006D6C43"/>
    <w:rsid w:val="006D6C6B"/>
    <w:rsid w:val="006D6CF1"/>
    <w:rsid w:val="006D7030"/>
    <w:rsid w:val="006D7196"/>
    <w:rsid w:val="006D7228"/>
    <w:rsid w:val="006D7331"/>
    <w:rsid w:val="006D73B2"/>
    <w:rsid w:val="006D73C7"/>
    <w:rsid w:val="006D73E0"/>
    <w:rsid w:val="006D7585"/>
    <w:rsid w:val="006D75DB"/>
    <w:rsid w:val="006D7767"/>
    <w:rsid w:val="006D77D9"/>
    <w:rsid w:val="006D77E1"/>
    <w:rsid w:val="006D77EE"/>
    <w:rsid w:val="006D782D"/>
    <w:rsid w:val="006D7848"/>
    <w:rsid w:val="006D786E"/>
    <w:rsid w:val="006D7881"/>
    <w:rsid w:val="006D78B1"/>
    <w:rsid w:val="006D78B8"/>
    <w:rsid w:val="006D791D"/>
    <w:rsid w:val="006D7936"/>
    <w:rsid w:val="006D7A54"/>
    <w:rsid w:val="006D7AFF"/>
    <w:rsid w:val="006D7B7C"/>
    <w:rsid w:val="006D7C7F"/>
    <w:rsid w:val="006D7D6C"/>
    <w:rsid w:val="006D7E59"/>
    <w:rsid w:val="006D7F59"/>
    <w:rsid w:val="006D7F5C"/>
    <w:rsid w:val="006E00DD"/>
    <w:rsid w:val="006E01D6"/>
    <w:rsid w:val="006E021F"/>
    <w:rsid w:val="006E02A3"/>
    <w:rsid w:val="006E02BB"/>
    <w:rsid w:val="006E0325"/>
    <w:rsid w:val="006E0392"/>
    <w:rsid w:val="006E03DE"/>
    <w:rsid w:val="006E04D6"/>
    <w:rsid w:val="006E0511"/>
    <w:rsid w:val="006E0528"/>
    <w:rsid w:val="006E06E8"/>
    <w:rsid w:val="006E0823"/>
    <w:rsid w:val="006E085E"/>
    <w:rsid w:val="006E0A9E"/>
    <w:rsid w:val="006E0AD0"/>
    <w:rsid w:val="006E0ADF"/>
    <w:rsid w:val="006E0BBE"/>
    <w:rsid w:val="006E0BD9"/>
    <w:rsid w:val="006E0D72"/>
    <w:rsid w:val="006E0E56"/>
    <w:rsid w:val="006E0F0C"/>
    <w:rsid w:val="006E119E"/>
    <w:rsid w:val="006E11D2"/>
    <w:rsid w:val="006E11F0"/>
    <w:rsid w:val="006E125A"/>
    <w:rsid w:val="006E12A6"/>
    <w:rsid w:val="006E1305"/>
    <w:rsid w:val="006E14D8"/>
    <w:rsid w:val="006E15F9"/>
    <w:rsid w:val="006E165D"/>
    <w:rsid w:val="006E16F2"/>
    <w:rsid w:val="006E17A6"/>
    <w:rsid w:val="006E1857"/>
    <w:rsid w:val="006E1948"/>
    <w:rsid w:val="006E19C2"/>
    <w:rsid w:val="006E1B12"/>
    <w:rsid w:val="006E1B22"/>
    <w:rsid w:val="006E1DB3"/>
    <w:rsid w:val="006E1DC4"/>
    <w:rsid w:val="006E1E37"/>
    <w:rsid w:val="006E1FC5"/>
    <w:rsid w:val="006E2237"/>
    <w:rsid w:val="006E2332"/>
    <w:rsid w:val="006E2354"/>
    <w:rsid w:val="006E238E"/>
    <w:rsid w:val="006E23A9"/>
    <w:rsid w:val="006E24EA"/>
    <w:rsid w:val="006E2694"/>
    <w:rsid w:val="006E277B"/>
    <w:rsid w:val="006E2866"/>
    <w:rsid w:val="006E29C1"/>
    <w:rsid w:val="006E2B67"/>
    <w:rsid w:val="006E2B90"/>
    <w:rsid w:val="006E2DD7"/>
    <w:rsid w:val="006E2F81"/>
    <w:rsid w:val="006E2FAE"/>
    <w:rsid w:val="006E303A"/>
    <w:rsid w:val="006E3092"/>
    <w:rsid w:val="006E3093"/>
    <w:rsid w:val="006E3137"/>
    <w:rsid w:val="006E3200"/>
    <w:rsid w:val="006E3314"/>
    <w:rsid w:val="006E3319"/>
    <w:rsid w:val="006E3424"/>
    <w:rsid w:val="006E3433"/>
    <w:rsid w:val="006E347A"/>
    <w:rsid w:val="006E35DE"/>
    <w:rsid w:val="006E36FA"/>
    <w:rsid w:val="006E389F"/>
    <w:rsid w:val="006E38A2"/>
    <w:rsid w:val="006E394F"/>
    <w:rsid w:val="006E395F"/>
    <w:rsid w:val="006E3B37"/>
    <w:rsid w:val="006E3B4C"/>
    <w:rsid w:val="006E3C0C"/>
    <w:rsid w:val="006E3C37"/>
    <w:rsid w:val="006E3CE0"/>
    <w:rsid w:val="006E3D20"/>
    <w:rsid w:val="006E3DA0"/>
    <w:rsid w:val="006E3DA8"/>
    <w:rsid w:val="006E4032"/>
    <w:rsid w:val="006E40A1"/>
    <w:rsid w:val="006E41C2"/>
    <w:rsid w:val="006E4272"/>
    <w:rsid w:val="006E44EA"/>
    <w:rsid w:val="006E46CA"/>
    <w:rsid w:val="006E479A"/>
    <w:rsid w:val="006E47D0"/>
    <w:rsid w:val="006E481A"/>
    <w:rsid w:val="006E48CE"/>
    <w:rsid w:val="006E4B22"/>
    <w:rsid w:val="006E4B6A"/>
    <w:rsid w:val="006E4BB9"/>
    <w:rsid w:val="006E4BF8"/>
    <w:rsid w:val="006E4C26"/>
    <w:rsid w:val="006E4C31"/>
    <w:rsid w:val="006E4CAE"/>
    <w:rsid w:val="006E4E1A"/>
    <w:rsid w:val="006E4E69"/>
    <w:rsid w:val="006E4F26"/>
    <w:rsid w:val="006E504A"/>
    <w:rsid w:val="006E50B9"/>
    <w:rsid w:val="006E5158"/>
    <w:rsid w:val="006E5180"/>
    <w:rsid w:val="006E51BA"/>
    <w:rsid w:val="006E5373"/>
    <w:rsid w:val="006E5378"/>
    <w:rsid w:val="006E537F"/>
    <w:rsid w:val="006E5429"/>
    <w:rsid w:val="006E552C"/>
    <w:rsid w:val="006E554B"/>
    <w:rsid w:val="006E5632"/>
    <w:rsid w:val="006E5729"/>
    <w:rsid w:val="006E5881"/>
    <w:rsid w:val="006E597E"/>
    <w:rsid w:val="006E59C0"/>
    <w:rsid w:val="006E5B09"/>
    <w:rsid w:val="006E5B6A"/>
    <w:rsid w:val="006E5E4E"/>
    <w:rsid w:val="006E5EAC"/>
    <w:rsid w:val="006E5FA6"/>
    <w:rsid w:val="006E600E"/>
    <w:rsid w:val="006E6029"/>
    <w:rsid w:val="006E60AC"/>
    <w:rsid w:val="006E60AF"/>
    <w:rsid w:val="006E6232"/>
    <w:rsid w:val="006E6235"/>
    <w:rsid w:val="006E6409"/>
    <w:rsid w:val="006E65D0"/>
    <w:rsid w:val="006E6A1C"/>
    <w:rsid w:val="006E6A9D"/>
    <w:rsid w:val="006E6BA9"/>
    <w:rsid w:val="006E6C5D"/>
    <w:rsid w:val="006E6E1A"/>
    <w:rsid w:val="006E704F"/>
    <w:rsid w:val="006E7053"/>
    <w:rsid w:val="006E7215"/>
    <w:rsid w:val="006E733E"/>
    <w:rsid w:val="006E73F4"/>
    <w:rsid w:val="006E7408"/>
    <w:rsid w:val="006E74B5"/>
    <w:rsid w:val="006E74C2"/>
    <w:rsid w:val="006E750A"/>
    <w:rsid w:val="006E7577"/>
    <w:rsid w:val="006E77A5"/>
    <w:rsid w:val="006E785A"/>
    <w:rsid w:val="006E7862"/>
    <w:rsid w:val="006E796B"/>
    <w:rsid w:val="006E79B4"/>
    <w:rsid w:val="006E7A18"/>
    <w:rsid w:val="006E7CC4"/>
    <w:rsid w:val="006E7EA1"/>
    <w:rsid w:val="006E7EC6"/>
    <w:rsid w:val="006E7EFD"/>
    <w:rsid w:val="006F0115"/>
    <w:rsid w:val="006F012B"/>
    <w:rsid w:val="006F0624"/>
    <w:rsid w:val="006F06F1"/>
    <w:rsid w:val="006F0758"/>
    <w:rsid w:val="006F07CA"/>
    <w:rsid w:val="006F0841"/>
    <w:rsid w:val="006F0900"/>
    <w:rsid w:val="006F09B2"/>
    <w:rsid w:val="006F09E9"/>
    <w:rsid w:val="006F09EB"/>
    <w:rsid w:val="006F0AAE"/>
    <w:rsid w:val="006F0B38"/>
    <w:rsid w:val="006F0BBF"/>
    <w:rsid w:val="006F0C2F"/>
    <w:rsid w:val="006F0D06"/>
    <w:rsid w:val="006F0D7A"/>
    <w:rsid w:val="006F0E9A"/>
    <w:rsid w:val="006F0F01"/>
    <w:rsid w:val="006F0F60"/>
    <w:rsid w:val="006F0FD1"/>
    <w:rsid w:val="006F1022"/>
    <w:rsid w:val="006F1023"/>
    <w:rsid w:val="006F1085"/>
    <w:rsid w:val="006F10D4"/>
    <w:rsid w:val="006F112E"/>
    <w:rsid w:val="006F11A2"/>
    <w:rsid w:val="006F11B9"/>
    <w:rsid w:val="006F1256"/>
    <w:rsid w:val="006F1400"/>
    <w:rsid w:val="006F1487"/>
    <w:rsid w:val="006F15BC"/>
    <w:rsid w:val="006F15EC"/>
    <w:rsid w:val="006F169A"/>
    <w:rsid w:val="006F1714"/>
    <w:rsid w:val="006F1790"/>
    <w:rsid w:val="006F1AB3"/>
    <w:rsid w:val="006F1AC0"/>
    <w:rsid w:val="006F1CC8"/>
    <w:rsid w:val="006F1D04"/>
    <w:rsid w:val="006F1DBF"/>
    <w:rsid w:val="006F1E0F"/>
    <w:rsid w:val="006F1EA1"/>
    <w:rsid w:val="006F1F10"/>
    <w:rsid w:val="006F1F1D"/>
    <w:rsid w:val="006F201C"/>
    <w:rsid w:val="006F21A8"/>
    <w:rsid w:val="006F224F"/>
    <w:rsid w:val="006F24A7"/>
    <w:rsid w:val="006F2572"/>
    <w:rsid w:val="006F269F"/>
    <w:rsid w:val="006F277C"/>
    <w:rsid w:val="006F29E7"/>
    <w:rsid w:val="006F2AA6"/>
    <w:rsid w:val="006F2ADF"/>
    <w:rsid w:val="006F2C11"/>
    <w:rsid w:val="006F2CAC"/>
    <w:rsid w:val="006F2EB1"/>
    <w:rsid w:val="006F2EB9"/>
    <w:rsid w:val="006F2EF4"/>
    <w:rsid w:val="006F2F3A"/>
    <w:rsid w:val="006F30B5"/>
    <w:rsid w:val="006F313E"/>
    <w:rsid w:val="006F3169"/>
    <w:rsid w:val="006F3202"/>
    <w:rsid w:val="006F3217"/>
    <w:rsid w:val="006F3240"/>
    <w:rsid w:val="006F3373"/>
    <w:rsid w:val="006F339E"/>
    <w:rsid w:val="006F33CD"/>
    <w:rsid w:val="006F35B2"/>
    <w:rsid w:val="006F35D6"/>
    <w:rsid w:val="006F35F0"/>
    <w:rsid w:val="006F37B9"/>
    <w:rsid w:val="006F37D6"/>
    <w:rsid w:val="006F37DC"/>
    <w:rsid w:val="006F3A3E"/>
    <w:rsid w:val="006F3A46"/>
    <w:rsid w:val="006F3C32"/>
    <w:rsid w:val="006F3C39"/>
    <w:rsid w:val="006F3C43"/>
    <w:rsid w:val="006F3C72"/>
    <w:rsid w:val="006F3DCF"/>
    <w:rsid w:val="006F3E82"/>
    <w:rsid w:val="006F3EB9"/>
    <w:rsid w:val="006F3FF5"/>
    <w:rsid w:val="006F4042"/>
    <w:rsid w:val="006F4211"/>
    <w:rsid w:val="006F4283"/>
    <w:rsid w:val="006F430E"/>
    <w:rsid w:val="006F432E"/>
    <w:rsid w:val="006F4446"/>
    <w:rsid w:val="006F4674"/>
    <w:rsid w:val="006F46BC"/>
    <w:rsid w:val="006F46F8"/>
    <w:rsid w:val="006F47B8"/>
    <w:rsid w:val="006F47CB"/>
    <w:rsid w:val="006F48F8"/>
    <w:rsid w:val="006F4B61"/>
    <w:rsid w:val="006F4B6E"/>
    <w:rsid w:val="006F4D51"/>
    <w:rsid w:val="006F4DA5"/>
    <w:rsid w:val="006F4E98"/>
    <w:rsid w:val="006F4F42"/>
    <w:rsid w:val="006F4F63"/>
    <w:rsid w:val="006F4FAC"/>
    <w:rsid w:val="006F5005"/>
    <w:rsid w:val="006F52BC"/>
    <w:rsid w:val="006F54F5"/>
    <w:rsid w:val="006F5832"/>
    <w:rsid w:val="006F5870"/>
    <w:rsid w:val="006F58DA"/>
    <w:rsid w:val="006F58DE"/>
    <w:rsid w:val="006F59DA"/>
    <w:rsid w:val="006F5A9B"/>
    <w:rsid w:val="006F5EC1"/>
    <w:rsid w:val="006F5ED2"/>
    <w:rsid w:val="006F5F7C"/>
    <w:rsid w:val="006F608A"/>
    <w:rsid w:val="006F64A1"/>
    <w:rsid w:val="006F662F"/>
    <w:rsid w:val="006F66C4"/>
    <w:rsid w:val="006F6757"/>
    <w:rsid w:val="006F67CB"/>
    <w:rsid w:val="006F6817"/>
    <w:rsid w:val="006F6837"/>
    <w:rsid w:val="006F698B"/>
    <w:rsid w:val="006F6A18"/>
    <w:rsid w:val="006F6BA4"/>
    <w:rsid w:val="006F6BD1"/>
    <w:rsid w:val="006F6C2A"/>
    <w:rsid w:val="006F6C53"/>
    <w:rsid w:val="006F6C8B"/>
    <w:rsid w:val="006F6CFA"/>
    <w:rsid w:val="006F6D69"/>
    <w:rsid w:val="006F6DB8"/>
    <w:rsid w:val="006F6F47"/>
    <w:rsid w:val="006F6FE0"/>
    <w:rsid w:val="006F7231"/>
    <w:rsid w:val="006F723A"/>
    <w:rsid w:val="006F725E"/>
    <w:rsid w:val="006F72C7"/>
    <w:rsid w:val="006F72CA"/>
    <w:rsid w:val="006F74BE"/>
    <w:rsid w:val="006F7516"/>
    <w:rsid w:val="006F7524"/>
    <w:rsid w:val="006F75B2"/>
    <w:rsid w:val="006F7609"/>
    <w:rsid w:val="006F769A"/>
    <w:rsid w:val="006F76D0"/>
    <w:rsid w:val="006F76E6"/>
    <w:rsid w:val="006F77C6"/>
    <w:rsid w:val="006F79F8"/>
    <w:rsid w:val="006F7A31"/>
    <w:rsid w:val="006F7AC2"/>
    <w:rsid w:val="006F7C2B"/>
    <w:rsid w:val="006F7C37"/>
    <w:rsid w:val="006F7DBF"/>
    <w:rsid w:val="006F7DC0"/>
    <w:rsid w:val="006F7E18"/>
    <w:rsid w:val="006F7F1C"/>
    <w:rsid w:val="006F7F1F"/>
    <w:rsid w:val="00700051"/>
    <w:rsid w:val="00700135"/>
    <w:rsid w:val="00700162"/>
    <w:rsid w:val="00700291"/>
    <w:rsid w:val="00700361"/>
    <w:rsid w:val="007006E4"/>
    <w:rsid w:val="0070074C"/>
    <w:rsid w:val="0070083A"/>
    <w:rsid w:val="00700849"/>
    <w:rsid w:val="00700995"/>
    <w:rsid w:val="00700B1F"/>
    <w:rsid w:val="00700C56"/>
    <w:rsid w:val="0070101E"/>
    <w:rsid w:val="007012A7"/>
    <w:rsid w:val="00701395"/>
    <w:rsid w:val="007015DF"/>
    <w:rsid w:val="0070169B"/>
    <w:rsid w:val="0070178A"/>
    <w:rsid w:val="007017A5"/>
    <w:rsid w:val="007018E5"/>
    <w:rsid w:val="0070197C"/>
    <w:rsid w:val="00701A7D"/>
    <w:rsid w:val="00701AFB"/>
    <w:rsid w:val="00701B0A"/>
    <w:rsid w:val="00701BE6"/>
    <w:rsid w:val="00701ECE"/>
    <w:rsid w:val="0070201B"/>
    <w:rsid w:val="0070204A"/>
    <w:rsid w:val="0070211A"/>
    <w:rsid w:val="00702176"/>
    <w:rsid w:val="007021DA"/>
    <w:rsid w:val="00702328"/>
    <w:rsid w:val="007024A1"/>
    <w:rsid w:val="007024A4"/>
    <w:rsid w:val="007028B5"/>
    <w:rsid w:val="00702943"/>
    <w:rsid w:val="0070295B"/>
    <w:rsid w:val="00702D42"/>
    <w:rsid w:val="00702D96"/>
    <w:rsid w:val="00702DDA"/>
    <w:rsid w:val="00702E58"/>
    <w:rsid w:val="00702EF7"/>
    <w:rsid w:val="00702F3B"/>
    <w:rsid w:val="00702F95"/>
    <w:rsid w:val="0070305B"/>
    <w:rsid w:val="00703118"/>
    <w:rsid w:val="00703151"/>
    <w:rsid w:val="007033C5"/>
    <w:rsid w:val="00703459"/>
    <w:rsid w:val="007034FE"/>
    <w:rsid w:val="007037E3"/>
    <w:rsid w:val="00703A9E"/>
    <w:rsid w:val="00703AA6"/>
    <w:rsid w:val="00703E75"/>
    <w:rsid w:val="00703E98"/>
    <w:rsid w:val="00703F71"/>
    <w:rsid w:val="00704108"/>
    <w:rsid w:val="007042AD"/>
    <w:rsid w:val="007043D6"/>
    <w:rsid w:val="007045E6"/>
    <w:rsid w:val="007045EB"/>
    <w:rsid w:val="007047B3"/>
    <w:rsid w:val="007047C5"/>
    <w:rsid w:val="00704809"/>
    <w:rsid w:val="00704909"/>
    <w:rsid w:val="00704B94"/>
    <w:rsid w:val="00704CD8"/>
    <w:rsid w:val="00704D37"/>
    <w:rsid w:val="00704E3A"/>
    <w:rsid w:val="00704E4D"/>
    <w:rsid w:val="00704EA7"/>
    <w:rsid w:val="00704FFD"/>
    <w:rsid w:val="0070506C"/>
    <w:rsid w:val="00705153"/>
    <w:rsid w:val="007051DF"/>
    <w:rsid w:val="00705327"/>
    <w:rsid w:val="0070535D"/>
    <w:rsid w:val="007053AE"/>
    <w:rsid w:val="0070540C"/>
    <w:rsid w:val="007054C1"/>
    <w:rsid w:val="00705579"/>
    <w:rsid w:val="007056C1"/>
    <w:rsid w:val="00705737"/>
    <w:rsid w:val="0070587A"/>
    <w:rsid w:val="0070590E"/>
    <w:rsid w:val="007059A9"/>
    <w:rsid w:val="00705AB0"/>
    <w:rsid w:val="00705AE4"/>
    <w:rsid w:val="00705CA3"/>
    <w:rsid w:val="00705D32"/>
    <w:rsid w:val="00705D4D"/>
    <w:rsid w:val="00705ECB"/>
    <w:rsid w:val="00706006"/>
    <w:rsid w:val="0070602E"/>
    <w:rsid w:val="0070648A"/>
    <w:rsid w:val="007064A7"/>
    <w:rsid w:val="007064CF"/>
    <w:rsid w:val="00706555"/>
    <w:rsid w:val="00706560"/>
    <w:rsid w:val="00706578"/>
    <w:rsid w:val="0070661D"/>
    <w:rsid w:val="00706626"/>
    <w:rsid w:val="00706679"/>
    <w:rsid w:val="00706791"/>
    <w:rsid w:val="0070681A"/>
    <w:rsid w:val="00706900"/>
    <w:rsid w:val="007069E5"/>
    <w:rsid w:val="00706B4A"/>
    <w:rsid w:val="00706C3F"/>
    <w:rsid w:val="00706D60"/>
    <w:rsid w:val="00706D65"/>
    <w:rsid w:val="00706E30"/>
    <w:rsid w:val="00706F6E"/>
    <w:rsid w:val="00706FA5"/>
    <w:rsid w:val="007070E9"/>
    <w:rsid w:val="007072A6"/>
    <w:rsid w:val="007072C6"/>
    <w:rsid w:val="00707500"/>
    <w:rsid w:val="007076F8"/>
    <w:rsid w:val="00707792"/>
    <w:rsid w:val="007078D5"/>
    <w:rsid w:val="00707905"/>
    <w:rsid w:val="00707954"/>
    <w:rsid w:val="00707C29"/>
    <w:rsid w:val="00707CF1"/>
    <w:rsid w:val="00707F96"/>
    <w:rsid w:val="00710125"/>
    <w:rsid w:val="007101E2"/>
    <w:rsid w:val="00710223"/>
    <w:rsid w:val="00710273"/>
    <w:rsid w:val="007102A2"/>
    <w:rsid w:val="007102A6"/>
    <w:rsid w:val="00710452"/>
    <w:rsid w:val="0071084F"/>
    <w:rsid w:val="00710AAA"/>
    <w:rsid w:val="00710BAB"/>
    <w:rsid w:val="00710D0A"/>
    <w:rsid w:val="00710D9F"/>
    <w:rsid w:val="00710ED3"/>
    <w:rsid w:val="00710F0F"/>
    <w:rsid w:val="00711093"/>
    <w:rsid w:val="00711107"/>
    <w:rsid w:val="00711110"/>
    <w:rsid w:val="007111CE"/>
    <w:rsid w:val="00711231"/>
    <w:rsid w:val="0071128D"/>
    <w:rsid w:val="007113B8"/>
    <w:rsid w:val="007113CB"/>
    <w:rsid w:val="00711576"/>
    <w:rsid w:val="007115FC"/>
    <w:rsid w:val="00711640"/>
    <w:rsid w:val="00711767"/>
    <w:rsid w:val="0071179B"/>
    <w:rsid w:val="00711888"/>
    <w:rsid w:val="007118D4"/>
    <w:rsid w:val="00711CD3"/>
    <w:rsid w:val="00711D32"/>
    <w:rsid w:val="00711D85"/>
    <w:rsid w:val="00711EB0"/>
    <w:rsid w:val="00711FC8"/>
    <w:rsid w:val="007120A6"/>
    <w:rsid w:val="007122CC"/>
    <w:rsid w:val="007122E0"/>
    <w:rsid w:val="007122F0"/>
    <w:rsid w:val="00712312"/>
    <w:rsid w:val="00712494"/>
    <w:rsid w:val="007124B0"/>
    <w:rsid w:val="0071254D"/>
    <w:rsid w:val="007125CC"/>
    <w:rsid w:val="00712601"/>
    <w:rsid w:val="0071276C"/>
    <w:rsid w:val="0071280A"/>
    <w:rsid w:val="0071281B"/>
    <w:rsid w:val="007128EA"/>
    <w:rsid w:val="007129BA"/>
    <w:rsid w:val="00712AB7"/>
    <w:rsid w:val="00712B14"/>
    <w:rsid w:val="00712B2C"/>
    <w:rsid w:val="00712B68"/>
    <w:rsid w:val="00712C0A"/>
    <w:rsid w:val="00712C19"/>
    <w:rsid w:val="00712C5D"/>
    <w:rsid w:val="00712CAF"/>
    <w:rsid w:val="00712D0C"/>
    <w:rsid w:val="00712D2B"/>
    <w:rsid w:val="00712D98"/>
    <w:rsid w:val="00712DD5"/>
    <w:rsid w:val="00712E16"/>
    <w:rsid w:val="00712E64"/>
    <w:rsid w:val="0071320A"/>
    <w:rsid w:val="00713485"/>
    <w:rsid w:val="0071356C"/>
    <w:rsid w:val="00713595"/>
    <w:rsid w:val="00713643"/>
    <w:rsid w:val="00713675"/>
    <w:rsid w:val="0071370C"/>
    <w:rsid w:val="00713940"/>
    <w:rsid w:val="00713A1F"/>
    <w:rsid w:val="00713A50"/>
    <w:rsid w:val="00713AF9"/>
    <w:rsid w:val="00713BC8"/>
    <w:rsid w:val="00713BFA"/>
    <w:rsid w:val="00713D73"/>
    <w:rsid w:val="00713D8C"/>
    <w:rsid w:val="00713DEB"/>
    <w:rsid w:val="007140A2"/>
    <w:rsid w:val="007140F1"/>
    <w:rsid w:val="00714120"/>
    <w:rsid w:val="00714151"/>
    <w:rsid w:val="007142B4"/>
    <w:rsid w:val="00714471"/>
    <w:rsid w:val="007145F4"/>
    <w:rsid w:val="00714691"/>
    <w:rsid w:val="007146F3"/>
    <w:rsid w:val="007147AD"/>
    <w:rsid w:val="0071483F"/>
    <w:rsid w:val="007148BA"/>
    <w:rsid w:val="00714921"/>
    <w:rsid w:val="00714A8C"/>
    <w:rsid w:val="00714AFC"/>
    <w:rsid w:val="00714B28"/>
    <w:rsid w:val="00714CCA"/>
    <w:rsid w:val="00714D38"/>
    <w:rsid w:val="00714F99"/>
    <w:rsid w:val="00715004"/>
    <w:rsid w:val="007150BD"/>
    <w:rsid w:val="00715143"/>
    <w:rsid w:val="00715234"/>
    <w:rsid w:val="00715238"/>
    <w:rsid w:val="0071563C"/>
    <w:rsid w:val="0071563E"/>
    <w:rsid w:val="007157E9"/>
    <w:rsid w:val="007159A2"/>
    <w:rsid w:val="00715A59"/>
    <w:rsid w:val="00715AF5"/>
    <w:rsid w:val="00715B87"/>
    <w:rsid w:val="00715BBE"/>
    <w:rsid w:val="00715C21"/>
    <w:rsid w:val="00715EF9"/>
    <w:rsid w:val="00715F4E"/>
    <w:rsid w:val="00715F6E"/>
    <w:rsid w:val="00715FA8"/>
    <w:rsid w:val="0071602A"/>
    <w:rsid w:val="007160FB"/>
    <w:rsid w:val="00716228"/>
    <w:rsid w:val="0071628E"/>
    <w:rsid w:val="00716488"/>
    <w:rsid w:val="00716540"/>
    <w:rsid w:val="007165BF"/>
    <w:rsid w:val="007167B3"/>
    <w:rsid w:val="007167F0"/>
    <w:rsid w:val="007168F9"/>
    <w:rsid w:val="007169B1"/>
    <w:rsid w:val="00716A27"/>
    <w:rsid w:val="00716A65"/>
    <w:rsid w:val="00716AB6"/>
    <w:rsid w:val="00716C99"/>
    <w:rsid w:val="00716E1C"/>
    <w:rsid w:val="00716E43"/>
    <w:rsid w:val="00716EA1"/>
    <w:rsid w:val="00716F99"/>
    <w:rsid w:val="00716FC2"/>
    <w:rsid w:val="007171AC"/>
    <w:rsid w:val="0071721A"/>
    <w:rsid w:val="0071748D"/>
    <w:rsid w:val="007175D7"/>
    <w:rsid w:val="0071770F"/>
    <w:rsid w:val="007177E6"/>
    <w:rsid w:val="00717876"/>
    <w:rsid w:val="007178C3"/>
    <w:rsid w:val="00717973"/>
    <w:rsid w:val="00717976"/>
    <w:rsid w:val="00717A3D"/>
    <w:rsid w:val="00717AA5"/>
    <w:rsid w:val="00717BC1"/>
    <w:rsid w:val="00717E30"/>
    <w:rsid w:val="00717E83"/>
    <w:rsid w:val="00717FB2"/>
    <w:rsid w:val="00720141"/>
    <w:rsid w:val="0072022E"/>
    <w:rsid w:val="007202D3"/>
    <w:rsid w:val="0072033F"/>
    <w:rsid w:val="00720406"/>
    <w:rsid w:val="00720557"/>
    <w:rsid w:val="00720595"/>
    <w:rsid w:val="0072060B"/>
    <w:rsid w:val="007206F5"/>
    <w:rsid w:val="0072074A"/>
    <w:rsid w:val="0072084C"/>
    <w:rsid w:val="00720870"/>
    <w:rsid w:val="0072090C"/>
    <w:rsid w:val="00720A21"/>
    <w:rsid w:val="00720A45"/>
    <w:rsid w:val="00720A74"/>
    <w:rsid w:val="00720A98"/>
    <w:rsid w:val="00720AED"/>
    <w:rsid w:val="00720AF9"/>
    <w:rsid w:val="00720B4B"/>
    <w:rsid w:val="00720D66"/>
    <w:rsid w:val="00720E08"/>
    <w:rsid w:val="00720E9B"/>
    <w:rsid w:val="00720F58"/>
    <w:rsid w:val="00721092"/>
    <w:rsid w:val="007210DE"/>
    <w:rsid w:val="0072110A"/>
    <w:rsid w:val="007211F7"/>
    <w:rsid w:val="0072142A"/>
    <w:rsid w:val="00721442"/>
    <w:rsid w:val="0072149D"/>
    <w:rsid w:val="00721572"/>
    <w:rsid w:val="00721596"/>
    <w:rsid w:val="007215A7"/>
    <w:rsid w:val="007215D9"/>
    <w:rsid w:val="0072160F"/>
    <w:rsid w:val="00721656"/>
    <w:rsid w:val="00721707"/>
    <w:rsid w:val="007217B6"/>
    <w:rsid w:val="007217BB"/>
    <w:rsid w:val="00721958"/>
    <w:rsid w:val="00721C26"/>
    <w:rsid w:val="00721DEF"/>
    <w:rsid w:val="00721E0E"/>
    <w:rsid w:val="00721E4C"/>
    <w:rsid w:val="0072211B"/>
    <w:rsid w:val="00722135"/>
    <w:rsid w:val="00722142"/>
    <w:rsid w:val="0072216A"/>
    <w:rsid w:val="0072222E"/>
    <w:rsid w:val="0072231B"/>
    <w:rsid w:val="00722337"/>
    <w:rsid w:val="0072233E"/>
    <w:rsid w:val="007223AC"/>
    <w:rsid w:val="00722401"/>
    <w:rsid w:val="00722466"/>
    <w:rsid w:val="007224B8"/>
    <w:rsid w:val="007224F0"/>
    <w:rsid w:val="00722623"/>
    <w:rsid w:val="007226DE"/>
    <w:rsid w:val="007226E2"/>
    <w:rsid w:val="00722791"/>
    <w:rsid w:val="0072282E"/>
    <w:rsid w:val="007228F9"/>
    <w:rsid w:val="0072294F"/>
    <w:rsid w:val="007229C6"/>
    <w:rsid w:val="007229F5"/>
    <w:rsid w:val="007229FC"/>
    <w:rsid w:val="00722AE5"/>
    <w:rsid w:val="00722AF1"/>
    <w:rsid w:val="00722B3F"/>
    <w:rsid w:val="00722B51"/>
    <w:rsid w:val="00722B65"/>
    <w:rsid w:val="00722BA1"/>
    <w:rsid w:val="00722C3F"/>
    <w:rsid w:val="00722D9B"/>
    <w:rsid w:val="00722DD5"/>
    <w:rsid w:val="00722E0B"/>
    <w:rsid w:val="00722E48"/>
    <w:rsid w:val="00722E68"/>
    <w:rsid w:val="00722F25"/>
    <w:rsid w:val="00723054"/>
    <w:rsid w:val="0072312D"/>
    <w:rsid w:val="007232C7"/>
    <w:rsid w:val="007232E1"/>
    <w:rsid w:val="0072332C"/>
    <w:rsid w:val="0072334D"/>
    <w:rsid w:val="0072340E"/>
    <w:rsid w:val="00723573"/>
    <w:rsid w:val="0072376A"/>
    <w:rsid w:val="007237B5"/>
    <w:rsid w:val="007237BA"/>
    <w:rsid w:val="00723999"/>
    <w:rsid w:val="007239C7"/>
    <w:rsid w:val="00723B58"/>
    <w:rsid w:val="00723B83"/>
    <w:rsid w:val="00723C08"/>
    <w:rsid w:val="00723CC2"/>
    <w:rsid w:val="00723D54"/>
    <w:rsid w:val="00723E75"/>
    <w:rsid w:val="00723F1F"/>
    <w:rsid w:val="00723F36"/>
    <w:rsid w:val="00723F40"/>
    <w:rsid w:val="007240BB"/>
    <w:rsid w:val="007240FC"/>
    <w:rsid w:val="007241A1"/>
    <w:rsid w:val="00724436"/>
    <w:rsid w:val="007244AE"/>
    <w:rsid w:val="007245A1"/>
    <w:rsid w:val="00724626"/>
    <w:rsid w:val="007249B8"/>
    <w:rsid w:val="00724AFD"/>
    <w:rsid w:val="00724B14"/>
    <w:rsid w:val="00724E86"/>
    <w:rsid w:val="00724EA0"/>
    <w:rsid w:val="00724ED9"/>
    <w:rsid w:val="0072500B"/>
    <w:rsid w:val="007250A3"/>
    <w:rsid w:val="00725122"/>
    <w:rsid w:val="00725255"/>
    <w:rsid w:val="00725269"/>
    <w:rsid w:val="0072548C"/>
    <w:rsid w:val="007254C2"/>
    <w:rsid w:val="00725826"/>
    <w:rsid w:val="00725B7E"/>
    <w:rsid w:val="00725D2A"/>
    <w:rsid w:val="00725DFC"/>
    <w:rsid w:val="00725EBA"/>
    <w:rsid w:val="00725EF2"/>
    <w:rsid w:val="00725F46"/>
    <w:rsid w:val="00725F4D"/>
    <w:rsid w:val="00726007"/>
    <w:rsid w:val="0072605B"/>
    <w:rsid w:val="007260A6"/>
    <w:rsid w:val="00726180"/>
    <w:rsid w:val="00726183"/>
    <w:rsid w:val="00726201"/>
    <w:rsid w:val="007263DB"/>
    <w:rsid w:val="00726401"/>
    <w:rsid w:val="007264ED"/>
    <w:rsid w:val="00726646"/>
    <w:rsid w:val="0072689B"/>
    <w:rsid w:val="00726B56"/>
    <w:rsid w:val="00726BEB"/>
    <w:rsid w:val="00726C0B"/>
    <w:rsid w:val="00726C50"/>
    <w:rsid w:val="00726C86"/>
    <w:rsid w:val="00726DE8"/>
    <w:rsid w:val="00726FC5"/>
    <w:rsid w:val="00727006"/>
    <w:rsid w:val="0072706B"/>
    <w:rsid w:val="00727080"/>
    <w:rsid w:val="007270B0"/>
    <w:rsid w:val="007271DA"/>
    <w:rsid w:val="00727494"/>
    <w:rsid w:val="007274C5"/>
    <w:rsid w:val="007275D2"/>
    <w:rsid w:val="007277D1"/>
    <w:rsid w:val="0072781B"/>
    <w:rsid w:val="00727B1C"/>
    <w:rsid w:val="00727B2B"/>
    <w:rsid w:val="00727B62"/>
    <w:rsid w:val="00727CEB"/>
    <w:rsid w:val="00727F05"/>
    <w:rsid w:val="00730186"/>
    <w:rsid w:val="0073032A"/>
    <w:rsid w:val="0073041A"/>
    <w:rsid w:val="00730527"/>
    <w:rsid w:val="00730593"/>
    <w:rsid w:val="007305CE"/>
    <w:rsid w:val="0073070B"/>
    <w:rsid w:val="00730755"/>
    <w:rsid w:val="007307CA"/>
    <w:rsid w:val="00730992"/>
    <w:rsid w:val="007309DC"/>
    <w:rsid w:val="007309FF"/>
    <w:rsid w:val="00730AFC"/>
    <w:rsid w:val="00730E08"/>
    <w:rsid w:val="00730E5C"/>
    <w:rsid w:val="00730EF4"/>
    <w:rsid w:val="00730F59"/>
    <w:rsid w:val="007313BE"/>
    <w:rsid w:val="00731405"/>
    <w:rsid w:val="0073154A"/>
    <w:rsid w:val="007315B6"/>
    <w:rsid w:val="0073162D"/>
    <w:rsid w:val="007317D2"/>
    <w:rsid w:val="007318AA"/>
    <w:rsid w:val="007318F4"/>
    <w:rsid w:val="00731B51"/>
    <w:rsid w:val="00731C5C"/>
    <w:rsid w:val="00732293"/>
    <w:rsid w:val="007322AB"/>
    <w:rsid w:val="007325DF"/>
    <w:rsid w:val="00732780"/>
    <w:rsid w:val="007327A3"/>
    <w:rsid w:val="00732859"/>
    <w:rsid w:val="007329BA"/>
    <w:rsid w:val="007329F7"/>
    <w:rsid w:val="00732A36"/>
    <w:rsid w:val="00732B51"/>
    <w:rsid w:val="00732B5E"/>
    <w:rsid w:val="00732BA5"/>
    <w:rsid w:val="00732CC4"/>
    <w:rsid w:val="00732E18"/>
    <w:rsid w:val="00732E48"/>
    <w:rsid w:val="00732E86"/>
    <w:rsid w:val="00732FEF"/>
    <w:rsid w:val="007330F7"/>
    <w:rsid w:val="007332F4"/>
    <w:rsid w:val="00733384"/>
    <w:rsid w:val="0073361B"/>
    <w:rsid w:val="007336BC"/>
    <w:rsid w:val="0073384A"/>
    <w:rsid w:val="007338DF"/>
    <w:rsid w:val="0073393C"/>
    <w:rsid w:val="00733ADF"/>
    <w:rsid w:val="00733BA0"/>
    <w:rsid w:val="00733D2E"/>
    <w:rsid w:val="00733E0A"/>
    <w:rsid w:val="00733EC3"/>
    <w:rsid w:val="00733F3B"/>
    <w:rsid w:val="00733F5C"/>
    <w:rsid w:val="00734008"/>
    <w:rsid w:val="0073400B"/>
    <w:rsid w:val="00734055"/>
    <w:rsid w:val="00734096"/>
    <w:rsid w:val="0073413B"/>
    <w:rsid w:val="007341A3"/>
    <w:rsid w:val="00734220"/>
    <w:rsid w:val="007342A0"/>
    <w:rsid w:val="00734320"/>
    <w:rsid w:val="0073433F"/>
    <w:rsid w:val="00734462"/>
    <w:rsid w:val="0073448A"/>
    <w:rsid w:val="007344FF"/>
    <w:rsid w:val="007348E8"/>
    <w:rsid w:val="00734924"/>
    <w:rsid w:val="00734A07"/>
    <w:rsid w:val="00734A69"/>
    <w:rsid w:val="00734AA1"/>
    <w:rsid w:val="00734AB0"/>
    <w:rsid w:val="00734C16"/>
    <w:rsid w:val="00734C23"/>
    <w:rsid w:val="00734C6B"/>
    <w:rsid w:val="00734F7A"/>
    <w:rsid w:val="0073509B"/>
    <w:rsid w:val="00735140"/>
    <w:rsid w:val="007351B1"/>
    <w:rsid w:val="007351D6"/>
    <w:rsid w:val="0073520A"/>
    <w:rsid w:val="00735248"/>
    <w:rsid w:val="0073527D"/>
    <w:rsid w:val="007352A6"/>
    <w:rsid w:val="00735424"/>
    <w:rsid w:val="0073543C"/>
    <w:rsid w:val="00735490"/>
    <w:rsid w:val="00735526"/>
    <w:rsid w:val="007357AB"/>
    <w:rsid w:val="007358A2"/>
    <w:rsid w:val="00735909"/>
    <w:rsid w:val="00735913"/>
    <w:rsid w:val="0073592E"/>
    <w:rsid w:val="00735A9F"/>
    <w:rsid w:val="00735ABE"/>
    <w:rsid w:val="00735AC8"/>
    <w:rsid w:val="00735C3A"/>
    <w:rsid w:val="00735E67"/>
    <w:rsid w:val="00735F52"/>
    <w:rsid w:val="00735F5F"/>
    <w:rsid w:val="00735F8E"/>
    <w:rsid w:val="00735F98"/>
    <w:rsid w:val="0073603D"/>
    <w:rsid w:val="007360B4"/>
    <w:rsid w:val="007361BE"/>
    <w:rsid w:val="0073624C"/>
    <w:rsid w:val="0073676E"/>
    <w:rsid w:val="00736819"/>
    <w:rsid w:val="007368BA"/>
    <w:rsid w:val="007369B7"/>
    <w:rsid w:val="00736A72"/>
    <w:rsid w:val="00736BA5"/>
    <w:rsid w:val="00736DFF"/>
    <w:rsid w:val="00736E1E"/>
    <w:rsid w:val="00736EDC"/>
    <w:rsid w:val="00736EFA"/>
    <w:rsid w:val="007370A3"/>
    <w:rsid w:val="007370A4"/>
    <w:rsid w:val="007370EA"/>
    <w:rsid w:val="0073714D"/>
    <w:rsid w:val="00737167"/>
    <w:rsid w:val="00737349"/>
    <w:rsid w:val="00737411"/>
    <w:rsid w:val="00737655"/>
    <w:rsid w:val="00737689"/>
    <w:rsid w:val="0073781A"/>
    <w:rsid w:val="0073789B"/>
    <w:rsid w:val="0073799B"/>
    <w:rsid w:val="00737B86"/>
    <w:rsid w:val="00737BF7"/>
    <w:rsid w:val="00737C60"/>
    <w:rsid w:val="00737E84"/>
    <w:rsid w:val="00737EB7"/>
    <w:rsid w:val="00737F1C"/>
    <w:rsid w:val="00737FA7"/>
    <w:rsid w:val="0074018D"/>
    <w:rsid w:val="00740197"/>
    <w:rsid w:val="00740587"/>
    <w:rsid w:val="0074066A"/>
    <w:rsid w:val="00740809"/>
    <w:rsid w:val="0074093E"/>
    <w:rsid w:val="0074097E"/>
    <w:rsid w:val="00740AE5"/>
    <w:rsid w:val="00740D53"/>
    <w:rsid w:val="00740ED5"/>
    <w:rsid w:val="00741054"/>
    <w:rsid w:val="00741087"/>
    <w:rsid w:val="007410F8"/>
    <w:rsid w:val="00741170"/>
    <w:rsid w:val="0074134B"/>
    <w:rsid w:val="007413C5"/>
    <w:rsid w:val="00741655"/>
    <w:rsid w:val="0074167E"/>
    <w:rsid w:val="00741710"/>
    <w:rsid w:val="007418C8"/>
    <w:rsid w:val="007418F1"/>
    <w:rsid w:val="007419CB"/>
    <w:rsid w:val="00741D8B"/>
    <w:rsid w:val="00742000"/>
    <w:rsid w:val="00742010"/>
    <w:rsid w:val="00742035"/>
    <w:rsid w:val="0074239F"/>
    <w:rsid w:val="00742483"/>
    <w:rsid w:val="007424F9"/>
    <w:rsid w:val="007425C0"/>
    <w:rsid w:val="007425D0"/>
    <w:rsid w:val="00742776"/>
    <w:rsid w:val="00742809"/>
    <w:rsid w:val="00742846"/>
    <w:rsid w:val="0074286C"/>
    <w:rsid w:val="0074287E"/>
    <w:rsid w:val="00742AAC"/>
    <w:rsid w:val="00742ADE"/>
    <w:rsid w:val="00742C11"/>
    <w:rsid w:val="00742C29"/>
    <w:rsid w:val="00742E5A"/>
    <w:rsid w:val="007430B6"/>
    <w:rsid w:val="00743191"/>
    <w:rsid w:val="00743275"/>
    <w:rsid w:val="0074327B"/>
    <w:rsid w:val="00743394"/>
    <w:rsid w:val="007433BA"/>
    <w:rsid w:val="0074349D"/>
    <w:rsid w:val="00743535"/>
    <w:rsid w:val="0074360E"/>
    <w:rsid w:val="00743789"/>
    <w:rsid w:val="0074387F"/>
    <w:rsid w:val="007438E6"/>
    <w:rsid w:val="00743AFE"/>
    <w:rsid w:val="00743C75"/>
    <w:rsid w:val="00743D21"/>
    <w:rsid w:val="00743DCD"/>
    <w:rsid w:val="00743E3D"/>
    <w:rsid w:val="00743E88"/>
    <w:rsid w:val="007440F1"/>
    <w:rsid w:val="00744151"/>
    <w:rsid w:val="0074424B"/>
    <w:rsid w:val="007442FD"/>
    <w:rsid w:val="00744357"/>
    <w:rsid w:val="00744463"/>
    <w:rsid w:val="007444A4"/>
    <w:rsid w:val="0074455A"/>
    <w:rsid w:val="007446CC"/>
    <w:rsid w:val="007447D8"/>
    <w:rsid w:val="00744807"/>
    <w:rsid w:val="007449DF"/>
    <w:rsid w:val="00744B7F"/>
    <w:rsid w:val="00744C4D"/>
    <w:rsid w:val="00744D51"/>
    <w:rsid w:val="00744DE9"/>
    <w:rsid w:val="00744E96"/>
    <w:rsid w:val="00745060"/>
    <w:rsid w:val="0074514A"/>
    <w:rsid w:val="00745186"/>
    <w:rsid w:val="00745233"/>
    <w:rsid w:val="007453A4"/>
    <w:rsid w:val="007453D5"/>
    <w:rsid w:val="00745512"/>
    <w:rsid w:val="00745581"/>
    <w:rsid w:val="007455A8"/>
    <w:rsid w:val="00745670"/>
    <w:rsid w:val="007456B7"/>
    <w:rsid w:val="0074584E"/>
    <w:rsid w:val="007459D8"/>
    <w:rsid w:val="00745BB4"/>
    <w:rsid w:val="00745BBE"/>
    <w:rsid w:val="00745C61"/>
    <w:rsid w:val="00745C90"/>
    <w:rsid w:val="00745DA7"/>
    <w:rsid w:val="00745E15"/>
    <w:rsid w:val="00745E75"/>
    <w:rsid w:val="00745EAA"/>
    <w:rsid w:val="00745EF0"/>
    <w:rsid w:val="00745F21"/>
    <w:rsid w:val="007460F8"/>
    <w:rsid w:val="00746147"/>
    <w:rsid w:val="00746159"/>
    <w:rsid w:val="0074621E"/>
    <w:rsid w:val="0074625E"/>
    <w:rsid w:val="0074632B"/>
    <w:rsid w:val="0074636B"/>
    <w:rsid w:val="007463E4"/>
    <w:rsid w:val="00746548"/>
    <w:rsid w:val="0074663E"/>
    <w:rsid w:val="007466CF"/>
    <w:rsid w:val="007466E2"/>
    <w:rsid w:val="0074672A"/>
    <w:rsid w:val="007467B9"/>
    <w:rsid w:val="00746A28"/>
    <w:rsid w:val="00746B42"/>
    <w:rsid w:val="00746B4D"/>
    <w:rsid w:val="00746B7F"/>
    <w:rsid w:val="00746C49"/>
    <w:rsid w:val="00746C4E"/>
    <w:rsid w:val="00746CBE"/>
    <w:rsid w:val="00746CD3"/>
    <w:rsid w:val="00746DA9"/>
    <w:rsid w:val="00746DCE"/>
    <w:rsid w:val="00746E4A"/>
    <w:rsid w:val="00746EF9"/>
    <w:rsid w:val="00746F5A"/>
    <w:rsid w:val="00746F65"/>
    <w:rsid w:val="007470D0"/>
    <w:rsid w:val="0074714C"/>
    <w:rsid w:val="00747589"/>
    <w:rsid w:val="00747738"/>
    <w:rsid w:val="00747744"/>
    <w:rsid w:val="0074778E"/>
    <w:rsid w:val="00747854"/>
    <w:rsid w:val="00747A96"/>
    <w:rsid w:val="00747B6D"/>
    <w:rsid w:val="00747B7C"/>
    <w:rsid w:val="00747C34"/>
    <w:rsid w:val="0075007E"/>
    <w:rsid w:val="00750110"/>
    <w:rsid w:val="00750150"/>
    <w:rsid w:val="00750235"/>
    <w:rsid w:val="0075023F"/>
    <w:rsid w:val="00750246"/>
    <w:rsid w:val="00750388"/>
    <w:rsid w:val="007503C2"/>
    <w:rsid w:val="0075046C"/>
    <w:rsid w:val="00750569"/>
    <w:rsid w:val="0075074B"/>
    <w:rsid w:val="00750894"/>
    <w:rsid w:val="00750906"/>
    <w:rsid w:val="00750970"/>
    <w:rsid w:val="00750AE0"/>
    <w:rsid w:val="00750D26"/>
    <w:rsid w:val="00750EA9"/>
    <w:rsid w:val="00750ECA"/>
    <w:rsid w:val="00751037"/>
    <w:rsid w:val="0075107A"/>
    <w:rsid w:val="0075113A"/>
    <w:rsid w:val="00751189"/>
    <w:rsid w:val="007511F6"/>
    <w:rsid w:val="0075125E"/>
    <w:rsid w:val="0075129F"/>
    <w:rsid w:val="0075136D"/>
    <w:rsid w:val="00751566"/>
    <w:rsid w:val="007515E7"/>
    <w:rsid w:val="007516CB"/>
    <w:rsid w:val="0075175D"/>
    <w:rsid w:val="007518F0"/>
    <w:rsid w:val="00751C32"/>
    <w:rsid w:val="00751C68"/>
    <w:rsid w:val="00751C87"/>
    <w:rsid w:val="00751E94"/>
    <w:rsid w:val="00751F7B"/>
    <w:rsid w:val="00751FE2"/>
    <w:rsid w:val="00751FED"/>
    <w:rsid w:val="00751FF4"/>
    <w:rsid w:val="00752004"/>
    <w:rsid w:val="00752064"/>
    <w:rsid w:val="007520F5"/>
    <w:rsid w:val="0075228A"/>
    <w:rsid w:val="007522F9"/>
    <w:rsid w:val="007523D8"/>
    <w:rsid w:val="00752473"/>
    <w:rsid w:val="00752618"/>
    <w:rsid w:val="00752693"/>
    <w:rsid w:val="0075270F"/>
    <w:rsid w:val="00752777"/>
    <w:rsid w:val="007527B4"/>
    <w:rsid w:val="007528E8"/>
    <w:rsid w:val="00752911"/>
    <w:rsid w:val="00752913"/>
    <w:rsid w:val="007529E1"/>
    <w:rsid w:val="00752A0E"/>
    <w:rsid w:val="00752B00"/>
    <w:rsid w:val="00752B59"/>
    <w:rsid w:val="00752C97"/>
    <w:rsid w:val="00752CA5"/>
    <w:rsid w:val="00752CB9"/>
    <w:rsid w:val="00752CC0"/>
    <w:rsid w:val="00752D46"/>
    <w:rsid w:val="00752D97"/>
    <w:rsid w:val="00752E05"/>
    <w:rsid w:val="00752E3F"/>
    <w:rsid w:val="00753057"/>
    <w:rsid w:val="00753169"/>
    <w:rsid w:val="00753237"/>
    <w:rsid w:val="00753353"/>
    <w:rsid w:val="0075338C"/>
    <w:rsid w:val="0075338D"/>
    <w:rsid w:val="0075343E"/>
    <w:rsid w:val="0075377B"/>
    <w:rsid w:val="00753889"/>
    <w:rsid w:val="00753A68"/>
    <w:rsid w:val="00753ADD"/>
    <w:rsid w:val="00753B63"/>
    <w:rsid w:val="00753BCC"/>
    <w:rsid w:val="00753C7A"/>
    <w:rsid w:val="00753D39"/>
    <w:rsid w:val="00753D88"/>
    <w:rsid w:val="00753DBB"/>
    <w:rsid w:val="00753F02"/>
    <w:rsid w:val="00754015"/>
    <w:rsid w:val="007541CF"/>
    <w:rsid w:val="00754270"/>
    <w:rsid w:val="0075433C"/>
    <w:rsid w:val="007543B9"/>
    <w:rsid w:val="0075454A"/>
    <w:rsid w:val="0075480F"/>
    <w:rsid w:val="007549DA"/>
    <w:rsid w:val="00754AD1"/>
    <w:rsid w:val="00754C6B"/>
    <w:rsid w:val="00754C8E"/>
    <w:rsid w:val="00754CD1"/>
    <w:rsid w:val="00754E9F"/>
    <w:rsid w:val="00754F36"/>
    <w:rsid w:val="007551DC"/>
    <w:rsid w:val="007553E1"/>
    <w:rsid w:val="007553FB"/>
    <w:rsid w:val="0075577D"/>
    <w:rsid w:val="0075580A"/>
    <w:rsid w:val="0075587C"/>
    <w:rsid w:val="0075591D"/>
    <w:rsid w:val="00755975"/>
    <w:rsid w:val="00755B70"/>
    <w:rsid w:val="00755DCF"/>
    <w:rsid w:val="00755DE5"/>
    <w:rsid w:val="00755F2B"/>
    <w:rsid w:val="00756249"/>
    <w:rsid w:val="007562BD"/>
    <w:rsid w:val="00756329"/>
    <w:rsid w:val="00756383"/>
    <w:rsid w:val="007563BA"/>
    <w:rsid w:val="007564A8"/>
    <w:rsid w:val="00756666"/>
    <w:rsid w:val="00756781"/>
    <w:rsid w:val="0075683E"/>
    <w:rsid w:val="00756886"/>
    <w:rsid w:val="007568FC"/>
    <w:rsid w:val="00756901"/>
    <w:rsid w:val="00756912"/>
    <w:rsid w:val="007569DE"/>
    <w:rsid w:val="00756A90"/>
    <w:rsid w:val="00756A98"/>
    <w:rsid w:val="00756B95"/>
    <w:rsid w:val="00756BF2"/>
    <w:rsid w:val="00756C9A"/>
    <w:rsid w:val="00756CC4"/>
    <w:rsid w:val="00756D36"/>
    <w:rsid w:val="00756F45"/>
    <w:rsid w:val="00756FFA"/>
    <w:rsid w:val="0075713F"/>
    <w:rsid w:val="0075715F"/>
    <w:rsid w:val="00757184"/>
    <w:rsid w:val="00757307"/>
    <w:rsid w:val="007573FD"/>
    <w:rsid w:val="00757743"/>
    <w:rsid w:val="00757854"/>
    <w:rsid w:val="00757A23"/>
    <w:rsid w:val="00757ABD"/>
    <w:rsid w:val="00757B0C"/>
    <w:rsid w:val="00757BD2"/>
    <w:rsid w:val="00757D0F"/>
    <w:rsid w:val="00757D65"/>
    <w:rsid w:val="00757EAE"/>
    <w:rsid w:val="00757F48"/>
    <w:rsid w:val="00760036"/>
    <w:rsid w:val="007600F2"/>
    <w:rsid w:val="007601DC"/>
    <w:rsid w:val="007602B1"/>
    <w:rsid w:val="007603A4"/>
    <w:rsid w:val="00760425"/>
    <w:rsid w:val="0076047C"/>
    <w:rsid w:val="007604AE"/>
    <w:rsid w:val="00760546"/>
    <w:rsid w:val="007605E5"/>
    <w:rsid w:val="007605EE"/>
    <w:rsid w:val="007605F5"/>
    <w:rsid w:val="00760694"/>
    <w:rsid w:val="007606E2"/>
    <w:rsid w:val="00760726"/>
    <w:rsid w:val="007608BB"/>
    <w:rsid w:val="00760962"/>
    <w:rsid w:val="007609A0"/>
    <w:rsid w:val="007609F2"/>
    <w:rsid w:val="00760C02"/>
    <w:rsid w:val="00760C03"/>
    <w:rsid w:val="00760C36"/>
    <w:rsid w:val="00760CE8"/>
    <w:rsid w:val="00760D9C"/>
    <w:rsid w:val="00760E48"/>
    <w:rsid w:val="00760E5D"/>
    <w:rsid w:val="00760EDC"/>
    <w:rsid w:val="00760FA1"/>
    <w:rsid w:val="00760FC7"/>
    <w:rsid w:val="00761031"/>
    <w:rsid w:val="0076103B"/>
    <w:rsid w:val="007610AC"/>
    <w:rsid w:val="007611C3"/>
    <w:rsid w:val="007612CA"/>
    <w:rsid w:val="007613F6"/>
    <w:rsid w:val="00761455"/>
    <w:rsid w:val="00761481"/>
    <w:rsid w:val="007615D5"/>
    <w:rsid w:val="007615DF"/>
    <w:rsid w:val="0076164B"/>
    <w:rsid w:val="0076165C"/>
    <w:rsid w:val="0076169D"/>
    <w:rsid w:val="007616F4"/>
    <w:rsid w:val="00761791"/>
    <w:rsid w:val="0076193D"/>
    <w:rsid w:val="007619C7"/>
    <w:rsid w:val="00761AD3"/>
    <w:rsid w:val="00761B68"/>
    <w:rsid w:val="00761C18"/>
    <w:rsid w:val="007624CC"/>
    <w:rsid w:val="0076251D"/>
    <w:rsid w:val="00762639"/>
    <w:rsid w:val="0076268A"/>
    <w:rsid w:val="007627A4"/>
    <w:rsid w:val="00762836"/>
    <w:rsid w:val="00762A34"/>
    <w:rsid w:val="00762A58"/>
    <w:rsid w:val="00762A7F"/>
    <w:rsid w:val="00762B8D"/>
    <w:rsid w:val="00762CC7"/>
    <w:rsid w:val="00762E3A"/>
    <w:rsid w:val="00762EC4"/>
    <w:rsid w:val="00762F13"/>
    <w:rsid w:val="00762F1D"/>
    <w:rsid w:val="00763020"/>
    <w:rsid w:val="0076312E"/>
    <w:rsid w:val="007631FF"/>
    <w:rsid w:val="0076334A"/>
    <w:rsid w:val="007634F0"/>
    <w:rsid w:val="007635D5"/>
    <w:rsid w:val="0076368B"/>
    <w:rsid w:val="007636DC"/>
    <w:rsid w:val="00763787"/>
    <w:rsid w:val="00763911"/>
    <w:rsid w:val="0076392E"/>
    <w:rsid w:val="00763A9C"/>
    <w:rsid w:val="00763AC4"/>
    <w:rsid w:val="00763B13"/>
    <w:rsid w:val="00763BCA"/>
    <w:rsid w:val="00763C98"/>
    <w:rsid w:val="00763CB7"/>
    <w:rsid w:val="00763D20"/>
    <w:rsid w:val="00763D44"/>
    <w:rsid w:val="00763DA1"/>
    <w:rsid w:val="00763EB0"/>
    <w:rsid w:val="00763F3A"/>
    <w:rsid w:val="007640AA"/>
    <w:rsid w:val="0076426E"/>
    <w:rsid w:val="00764278"/>
    <w:rsid w:val="0076435D"/>
    <w:rsid w:val="007643CA"/>
    <w:rsid w:val="00764414"/>
    <w:rsid w:val="00764576"/>
    <w:rsid w:val="00764664"/>
    <w:rsid w:val="007647F5"/>
    <w:rsid w:val="00764841"/>
    <w:rsid w:val="00764848"/>
    <w:rsid w:val="00764A32"/>
    <w:rsid w:val="00764A54"/>
    <w:rsid w:val="00764A5D"/>
    <w:rsid w:val="00764B1A"/>
    <w:rsid w:val="00764C01"/>
    <w:rsid w:val="00764D47"/>
    <w:rsid w:val="00764D8A"/>
    <w:rsid w:val="00764DC3"/>
    <w:rsid w:val="00764E75"/>
    <w:rsid w:val="00764F25"/>
    <w:rsid w:val="00765242"/>
    <w:rsid w:val="007652BB"/>
    <w:rsid w:val="007652F0"/>
    <w:rsid w:val="007653A6"/>
    <w:rsid w:val="007653F3"/>
    <w:rsid w:val="00765499"/>
    <w:rsid w:val="007655FB"/>
    <w:rsid w:val="00765611"/>
    <w:rsid w:val="00765711"/>
    <w:rsid w:val="007657CF"/>
    <w:rsid w:val="00765821"/>
    <w:rsid w:val="00765A46"/>
    <w:rsid w:val="00765AB0"/>
    <w:rsid w:val="00765B59"/>
    <w:rsid w:val="00765BD8"/>
    <w:rsid w:val="00765C4D"/>
    <w:rsid w:val="00765CA0"/>
    <w:rsid w:val="00765D74"/>
    <w:rsid w:val="00765DAF"/>
    <w:rsid w:val="00765E80"/>
    <w:rsid w:val="00766048"/>
    <w:rsid w:val="00766061"/>
    <w:rsid w:val="007660BC"/>
    <w:rsid w:val="007661A7"/>
    <w:rsid w:val="00766526"/>
    <w:rsid w:val="007665A3"/>
    <w:rsid w:val="007665EE"/>
    <w:rsid w:val="00766628"/>
    <w:rsid w:val="00766645"/>
    <w:rsid w:val="00766658"/>
    <w:rsid w:val="00766682"/>
    <w:rsid w:val="00766721"/>
    <w:rsid w:val="0076673F"/>
    <w:rsid w:val="00766785"/>
    <w:rsid w:val="007668DF"/>
    <w:rsid w:val="00766904"/>
    <w:rsid w:val="0076695F"/>
    <w:rsid w:val="007669B4"/>
    <w:rsid w:val="007669C6"/>
    <w:rsid w:val="007669FF"/>
    <w:rsid w:val="00766B25"/>
    <w:rsid w:val="00766CEE"/>
    <w:rsid w:val="00766E0A"/>
    <w:rsid w:val="00767001"/>
    <w:rsid w:val="007671C1"/>
    <w:rsid w:val="007672A2"/>
    <w:rsid w:val="007672B4"/>
    <w:rsid w:val="007673C5"/>
    <w:rsid w:val="00767411"/>
    <w:rsid w:val="0076758A"/>
    <w:rsid w:val="007675D1"/>
    <w:rsid w:val="007676C8"/>
    <w:rsid w:val="007679CA"/>
    <w:rsid w:val="00767A99"/>
    <w:rsid w:val="00767AF0"/>
    <w:rsid w:val="00767C29"/>
    <w:rsid w:val="00767D21"/>
    <w:rsid w:val="00767E36"/>
    <w:rsid w:val="00767F0D"/>
    <w:rsid w:val="00767F30"/>
    <w:rsid w:val="0077007F"/>
    <w:rsid w:val="007701B9"/>
    <w:rsid w:val="00770247"/>
    <w:rsid w:val="007703EB"/>
    <w:rsid w:val="00770406"/>
    <w:rsid w:val="0077040E"/>
    <w:rsid w:val="007705BE"/>
    <w:rsid w:val="007706E7"/>
    <w:rsid w:val="0077072C"/>
    <w:rsid w:val="00770775"/>
    <w:rsid w:val="00770884"/>
    <w:rsid w:val="00770966"/>
    <w:rsid w:val="00770B08"/>
    <w:rsid w:val="00770D78"/>
    <w:rsid w:val="00770DB8"/>
    <w:rsid w:val="00770DCB"/>
    <w:rsid w:val="00770F67"/>
    <w:rsid w:val="00770FF7"/>
    <w:rsid w:val="00770FFA"/>
    <w:rsid w:val="0077104F"/>
    <w:rsid w:val="0077113C"/>
    <w:rsid w:val="00771178"/>
    <w:rsid w:val="00771223"/>
    <w:rsid w:val="007712C6"/>
    <w:rsid w:val="007712F2"/>
    <w:rsid w:val="0077132D"/>
    <w:rsid w:val="007713F4"/>
    <w:rsid w:val="00771546"/>
    <w:rsid w:val="0077154F"/>
    <w:rsid w:val="007715FB"/>
    <w:rsid w:val="0077168D"/>
    <w:rsid w:val="007716DA"/>
    <w:rsid w:val="007716F2"/>
    <w:rsid w:val="007717A4"/>
    <w:rsid w:val="00771970"/>
    <w:rsid w:val="00771A23"/>
    <w:rsid w:val="00771A99"/>
    <w:rsid w:val="00771C4F"/>
    <w:rsid w:val="00771C7A"/>
    <w:rsid w:val="00771C7E"/>
    <w:rsid w:val="00771CF9"/>
    <w:rsid w:val="00771D8F"/>
    <w:rsid w:val="00771EC7"/>
    <w:rsid w:val="00771F15"/>
    <w:rsid w:val="00771F4D"/>
    <w:rsid w:val="0077211C"/>
    <w:rsid w:val="0077226D"/>
    <w:rsid w:val="0077228C"/>
    <w:rsid w:val="00772370"/>
    <w:rsid w:val="007724A8"/>
    <w:rsid w:val="00772584"/>
    <w:rsid w:val="007725D2"/>
    <w:rsid w:val="00772794"/>
    <w:rsid w:val="007728C6"/>
    <w:rsid w:val="007728D6"/>
    <w:rsid w:val="0077296B"/>
    <w:rsid w:val="0077299E"/>
    <w:rsid w:val="007729CA"/>
    <w:rsid w:val="00772BBB"/>
    <w:rsid w:val="00772E4F"/>
    <w:rsid w:val="00772E9D"/>
    <w:rsid w:val="00772ECB"/>
    <w:rsid w:val="00772F2F"/>
    <w:rsid w:val="0077303B"/>
    <w:rsid w:val="0077312C"/>
    <w:rsid w:val="0077316F"/>
    <w:rsid w:val="00773191"/>
    <w:rsid w:val="00773307"/>
    <w:rsid w:val="00773318"/>
    <w:rsid w:val="00773437"/>
    <w:rsid w:val="0077344A"/>
    <w:rsid w:val="00773512"/>
    <w:rsid w:val="0077351B"/>
    <w:rsid w:val="007737A6"/>
    <w:rsid w:val="00773CE5"/>
    <w:rsid w:val="00773CEF"/>
    <w:rsid w:val="00773E2C"/>
    <w:rsid w:val="00773E55"/>
    <w:rsid w:val="00773EF9"/>
    <w:rsid w:val="00773FE0"/>
    <w:rsid w:val="00773FFB"/>
    <w:rsid w:val="007740E1"/>
    <w:rsid w:val="0077424C"/>
    <w:rsid w:val="007742B6"/>
    <w:rsid w:val="00774359"/>
    <w:rsid w:val="00774369"/>
    <w:rsid w:val="0077443E"/>
    <w:rsid w:val="0077448D"/>
    <w:rsid w:val="007744D1"/>
    <w:rsid w:val="00774547"/>
    <w:rsid w:val="00774571"/>
    <w:rsid w:val="00774624"/>
    <w:rsid w:val="00774658"/>
    <w:rsid w:val="0077465E"/>
    <w:rsid w:val="007746AF"/>
    <w:rsid w:val="00774700"/>
    <w:rsid w:val="00774705"/>
    <w:rsid w:val="00774765"/>
    <w:rsid w:val="0077487A"/>
    <w:rsid w:val="00774A75"/>
    <w:rsid w:val="00774AD8"/>
    <w:rsid w:val="00774B25"/>
    <w:rsid w:val="00774B32"/>
    <w:rsid w:val="00774DFD"/>
    <w:rsid w:val="00775056"/>
    <w:rsid w:val="0077515F"/>
    <w:rsid w:val="0077523B"/>
    <w:rsid w:val="00775280"/>
    <w:rsid w:val="007753A3"/>
    <w:rsid w:val="007754C7"/>
    <w:rsid w:val="0077550A"/>
    <w:rsid w:val="00775674"/>
    <w:rsid w:val="00775713"/>
    <w:rsid w:val="00775836"/>
    <w:rsid w:val="00775928"/>
    <w:rsid w:val="007759BF"/>
    <w:rsid w:val="00775BC0"/>
    <w:rsid w:val="00775C0C"/>
    <w:rsid w:val="00775F5F"/>
    <w:rsid w:val="00775FB9"/>
    <w:rsid w:val="00776089"/>
    <w:rsid w:val="00776297"/>
    <w:rsid w:val="0077646D"/>
    <w:rsid w:val="00776489"/>
    <w:rsid w:val="0077650C"/>
    <w:rsid w:val="007766AB"/>
    <w:rsid w:val="007767EA"/>
    <w:rsid w:val="0077697E"/>
    <w:rsid w:val="00776C42"/>
    <w:rsid w:val="00776D0C"/>
    <w:rsid w:val="00776DC4"/>
    <w:rsid w:val="00776DC9"/>
    <w:rsid w:val="00776E17"/>
    <w:rsid w:val="00776E4D"/>
    <w:rsid w:val="007770AA"/>
    <w:rsid w:val="007770F2"/>
    <w:rsid w:val="007770F3"/>
    <w:rsid w:val="00777338"/>
    <w:rsid w:val="0077736C"/>
    <w:rsid w:val="007773F0"/>
    <w:rsid w:val="0077740E"/>
    <w:rsid w:val="007774D3"/>
    <w:rsid w:val="0077755A"/>
    <w:rsid w:val="00777670"/>
    <w:rsid w:val="0077771C"/>
    <w:rsid w:val="00777731"/>
    <w:rsid w:val="007777AC"/>
    <w:rsid w:val="00777834"/>
    <w:rsid w:val="00777A32"/>
    <w:rsid w:val="00777B3F"/>
    <w:rsid w:val="00777DC4"/>
    <w:rsid w:val="00777E3A"/>
    <w:rsid w:val="00777ED1"/>
    <w:rsid w:val="00777EE0"/>
    <w:rsid w:val="00780014"/>
    <w:rsid w:val="0078025D"/>
    <w:rsid w:val="00780305"/>
    <w:rsid w:val="0078032A"/>
    <w:rsid w:val="00780362"/>
    <w:rsid w:val="007803C9"/>
    <w:rsid w:val="007803CC"/>
    <w:rsid w:val="00780460"/>
    <w:rsid w:val="0078069F"/>
    <w:rsid w:val="00780735"/>
    <w:rsid w:val="007808A3"/>
    <w:rsid w:val="0078096A"/>
    <w:rsid w:val="0078099F"/>
    <w:rsid w:val="00780A7D"/>
    <w:rsid w:val="00780B67"/>
    <w:rsid w:val="00780B74"/>
    <w:rsid w:val="00780BC6"/>
    <w:rsid w:val="00780C55"/>
    <w:rsid w:val="00780CE5"/>
    <w:rsid w:val="00780D20"/>
    <w:rsid w:val="00780E56"/>
    <w:rsid w:val="00780EA9"/>
    <w:rsid w:val="00780EB3"/>
    <w:rsid w:val="00780EC0"/>
    <w:rsid w:val="00780F50"/>
    <w:rsid w:val="00780FDD"/>
    <w:rsid w:val="00781054"/>
    <w:rsid w:val="00781217"/>
    <w:rsid w:val="00781221"/>
    <w:rsid w:val="007812B1"/>
    <w:rsid w:val="007812DA"/>
    <w:rsid w:val="0078138B"/>
    <w:rsid w:val="007813F3"/>
    <w:rsid w:val="007814C0"/>
    <w:rsid w:val="007814F6"/>
    <w:rsid w:val="00781624"/>
    <w:rsid w:val="00781657"/>
    <w:rsid w:val="007817BF"/>
    <w:rsid w:val="007817EB"/>
    <w:rsid w:val="0078186E"/>
    <w:rsid w:val="007818C4"/>
    <w:rsid w:val="0078193F"/>
    <w:rsid w:val="00781966"/>
    <w:rsid w:val="00781978"/>
    <w:rsid w:val="00781984"/>
    <w:rsid w:val="00781985"/>
    <w:rsid w:val="007819FD"/>
    <w:rsid w:val="00781A45"/>
    <w:rsid w:val="00781A8C"/>
    <w:rsid w:val="00781ACA"/>
    <w:rsid w:val="00781C96"/>
    <w:rsid w:val="00781DC5"/>
    <w:rsid w:val="00781F33"/>
    <w:rsid w:val="00781F50"/>
    <w:rsid w:val="00781FA6"/>
    <w:rsid w:val="0078204D"/>
    <w:rsid w:val="0078223F"/>
    <w:rsid w:val="007825A1"/>
    <w:rsid w:val="00782796"/>
    <w:rsid w:val="007827D2"/>
    <w:rsid w:val="0078290D"/>
    <w:rsid w:val="00782930"/>
    <w:rsid w:val="00782962"/>
    <w:rsid w:val="00782A03"/>
    <w:rsid w:val="00782A11"/>
    <w:rsid w:val="00782B70"/>
    <w:rsid w:val="00782B87"/>
    <w:rsid w:val="00782CAA"/>
    <w:rsid w:val="00782EAA"/>
    <w:rsid w:val="0078301A"/>
    <w:rsid w:val="0078312F"/>
    <w:rsid w:val="007831DB"/>
    <w:rsid w:val="0078326A"/>
    <w:rsid w:val="0078349E"/>
    <w:rsid w:val="00783503"/>
    <w:rsid w:val="0078356A"/>
    <w:rsid w:val="0078360E"/>
    <w:rsid w:val="007836A9"/>
    <w:rsid w:val="0078378C"/>
    <w:rsid w:val="0078387E"/>
    <w:rsid w:val="007838AA"/>
    <w:rsid w:val="007839AF"/>
    <w:rsid w:val="00783A68"/>
    <w:rsid w:val="00783AB0"/>
    <w:rsid w:val="00783ADD"/>
    <w:rsid w:val="00783BB1"/>
    <w:rsid w:val="00783BCB"/>
    <w:rsid w:val="00783BFB"/>
    <w:rsid w:val="00783C23"/>
    <w:rsid w:val="00783DD7"/>
    <w:rsid w:val="00783F9C"/>
    <w:rsid w:val="00784028"/>
    <w:rsid w:val="00784030"/>
    <w:rsid w:val="007841D9"/>
    <w:rsid w:val="00784214"/>
    <w:rsid w:val="00784219"/>
    <w:rsid w:val="00784250"/>
    <w:rsid w:val="00784317"/>
    <w:rsid w:val="00784350"/>
    <w:rsid w:val="00784356"/>
    <w:rsid w:val="007844EE"/>
    <w:rsid w:val="00784516"/>
    <w:rsid w:val="0078456C"/>
    <w:rsid w:val="007845E6"/>
    <w:rsid w:val="00784670"/>
    <w:rsid w:val="007846B2"/>
    <w:rsid w:val="007846B3"/>
    <w:rsid w:val="0078479E"/>
    <w:rsid w:val="007848EC"/>
    <w:rsid w:val="00784AF9"/>
    <w:rsid w:val="00784B32"/>
    <w:rsid w:val="00784BD9"/>
    <w:rsid w:val="00784C80"/>
    <w:rsid w:val="00784CD0"/>
    <w:rsid w:val="00784D17"/>
    <w:rsid w:val="00784F99"/>
    <w:rsid w:val="0078500D"/>
    <w:rsid w:val="007850C9"/>
    <w:rsid w:val="007850FF"/>
    <w:rsid w:val="0078517A"/>
    <w:rsid w:val="007854BC"/>
    <w:rsid w:val="00785760"/>
    <w:rsid w:val="00785793"/>
    <w:rsid w:val="007858DE"/>
    <w:rsid w:val="007858F4"/>
    <w:rsid w:val="00785A38"/>
    <w:rsid w:val="00785A90"/>
    <w:rsid w:val="00785BE0"/>
    <w:rsid w:val="00785C22"/>
    <w:rsid w:val="00785C42"/>
    <w:rsid w:val="00785CCC"/>
    <w:rsid w:val="00785D69"/>
    <w:rsid w:val="00785D9A"/>
    <w:rsid w:val="00785DBF"/>
    <w:rsid w:val="0078606C"/>
    <w:rsid w:val="007861E4"/>
    <w:rsid w:val="00786214"/>
    <w:rsid w:val="00786315"/>
    <w:rsid w:val="00786410"/>
    <w:rsid w:val="0078642B"/>
    <w:rsid w:val="00786559"/>
    <w:rsid w:val="007865C6"/>
    <w:rsid w:val="00786654"/>
    <w:rsid w:val="007866B7"/>
    <w:rsid w:val="00786724"/>
    <w:rsid w:val="0078682F"/>
    <w:rsid w:val="00786848"/>
    <w:rsid w:val="007868A0"/>
    <w:rsid w:val="007868CC"/>
    <w:rsid w:val="00786B97"/>
    <w:rsid w:val="00786C70"/>
    <w:rsid w:val="00786CCA"/>
    <w:rsid w:val="00786CF3"/>
    <w:rsid w:val="00786D15"/>
    <w:rsid w:val="00786EA0"/>
    <w:rsid w:val="00787062"/>
    <w:rsid w:val="00787075"/>
    <w:rsid w:val="0078713B"/>
    <w:rsid w:val="0078713F"/>
    <w:rsid w:val="00787157"/>
    <w:rsid w:val="0078730A"/>
    <w:rsid w:val="00787340"/>
    <w:rsid w:val="00787366"/>
    <w:rsid w:val="007873AD"/>
    <w:rsid w:val="007873E4"/>
    <w:rsid w:val="00787414"/>
    <w:rsid w:val="0078746D"/>
    <w:rsid w:val="00787472"/>
    <w:rsid w:val="0078765B"/>
    <w:rsid w:val="00787765"/>
    <w:rsid w:val="0078785D"/>
    <w:rsid w:val="0078789C"/>
    <w:rsid w:val="007878CF"/>
    <w:rsid w:val="00787980"/>
    <w:rsid w:val="007879BA"/>
    <w:rsid w:val="007879BC"/>
    <w:rsid w:val="00787A1D"/>
    <w:rsid w:val="00787A2A"/>
    <w:rsid w:val="00787B15"/>
    <w:rsid w:val="00787D8E"/>
    <w:rsid w:val="00787E1A"/>
    <w:rsid w:val="00787E70"/>
    <w:rsid w:val="00787E83"/>
    <w:rsid w:val="00787EAE"/>
    <w:rsid w:val="0079020D"/>
    <w:rsid w:val="00790330"/>
    <w:rsid w:val="00790332"/>
    <w:rsid w:val="00790339"/>
    <w:rsid w:val="00790367"/>
    <w:rsid w:val="00790391"/>
    <w:rsid w:val="00790514"/>
    <w:rsid w:val="0079055B"/>
    <w:rsid w:val="007905E1"/>
    <w:rsid w:val="0079069F"/>
    <w:rsid w:val="007906C8"/>
    <w:rsid w:val="00790720"/>
    <w:rsid w:val="0079075C"/>
    <w:rsid w:val="00790799"/>
    <w:rsid w:val="00790821"/>
    <w:rsid w:val="007908AD"/>
    <w:rsid w:val="00790961"/>
    <w:rsid w:val="0079097C"/>
    <w:rsid w:val="0079097E"/>
    <w:rsid w:val="00790996"/>
    <w:rsid w:val="00790A51"/>
    <w:rsid w:val="00790A73"/>
    <w:rsid w:val="00790B1E"/>
    <w:rsid w:val="00790BDD"/>
    <w:rsid w:val="00790CC6"/>
    <w:rsid w:val="00790D21"/>
    <w:rsid w:val="00790D23"/>
    <w:rsid w:val="00790DC7"/>
    <w:rsid w:val="00790F87"/>
    <w:rsid w:val="007910F5"/>
    <w:rsid w:val="00791114"/>
    <w:rsid w:val="007912CA"/>
    <w:rsid w:val="00791308"/>
    <w:rsid w:val="0079134C"/>
    <w:rsid w:val="00791466"/>
    <w:rsid w:val="00791508"/>
    <w:rsid w:val="0079152C"/>
    <w:rsid w:val="0079170D"/>
    <w:rsid w:val="0079198E"/>
    <w:rsid w:val="00791B53"/>
    <w:rsid w:val="00791BC2"/>
    <w:rsid w:val="00791C07"/>
    <w:rsid w:val="00791C44"/>
    <w:rsid w:val="00791C90"/>
    <w:rsid w:val="00791CBE"/>
    <w:rsid w:val="00791D8A"/>
    <w:rsid w:val="00791D9A"/>
    <w:rsid w:val="00791E4A"/>
    <w:rsid w:val="00791F6A"/>
    <w:rsid w:val="00791FA3"/>
    <w:rsid w:val="0079201B"/>
    <w:rsid w:val="00792098"/>
    <w:rsid w:val="00792532"/>
    <w:rsid w:val="007925F2"/>
    <w:rsid w:val="00792658"/>
    <w:rsid w:val="00792696"/>
    <w:rsid w:val="00792AEB"/>
    <w:rsid w:val="00792B12"/>
    <w:rsid w:val="00792DBE"/>
    <w:rsid w:val="00793052"/>
    <w:rsid w:val="00793086"/>
    <w:rsid w:val="00793113"/>
    <w:rsid w:val="007931B2"/>
    <w:rsid w:val="00793467"/>
    <w:rsid w:val="00793492"/>
    <w:rsid w:val="007935AB"/>
    <w:rsid w:val="007935B8"/>
    <w:rsid w:val="00793771"/>
    <w:rsid w:val="00793805"/>
    <w:rsid w:val="00793821"/>
    <w:rsid w:val="00793886"/>
    <w:rsid w:val="00793D3A"/>
    <w:rsid w:val="00793D67"/>
    <w:rsid w:val="00793E2D"/>
    <w:rsid w:val="00793FEA"/>
    <w:rsid w:val="00794106"/>
    <w:rsid w:val="00794154"/>
    <w:rsid w:val="0079415F"/>
    <w:rsid w:val="0079418C"/>
    <w:rsid w:val="00794247"/>
    <w:rsid w:val="00794312"/>
    <w:rsid w:val="007943A1"/>
    <w:rsid w:val="0079448D"/>
    <w:rsid w:val="007944DE"/>
    <w:rsid w:val="0079455C"/>
    <w:rsid w:val="0079461B"/>
    <w:rsid w:val="00794703"/>
    <w:rsid w:val="007947FE"/>
    <w:rsid w:val="00794CA4"/>
    <w:rsid w:val="00794DEF"/>
    <w:rsid w:val="00794F54"/>
    <w:rsid w:val="00794F98"/>
    <w:rsid w:val="00795082"/>
    <w:rsid w:val="00795238"/>
    <w:rsid w:val="00795279"/>
    <w:rsid w:val="007952DA"/>
    <w:rsid w:val="00795414"/>
    <w:rsid w:val="0079546E"/>
    <w:rsid w:val="00795572"/>
    <w:rsid w:val="0079565E"/>
    <w:rsid w:val="00795812"/>
    <w:rsid w:val="00795B2E"/>
    <w:rsid w:val="00795B4B"/>
    <w:rsid w:val="00795B67"/>
    <w:rsid w:val="00795CF0"/>
    <w:rsid w:val="00795D23"/>
    <w:rsid w:val="00795D49"/>
    <w:rsid w:val="00795D5F"/>
    <w:rsid w:val="00795E1A"/>
    <w:rsid w:val="00795E2F"/>
    <w:rsid w:val="00795EBE"/>
    <w:rsid w:val="007960BC"/>
    <w:rsid w:val="007961DA"/>
    <w:rsid w:val="00796291"/>
    <w:rsid w:val="00796355"/>
    <w:rsid w:val="007966D1"/>
    <w:rsid w:val="00796851"/>
    <w:rsid w:val="00796876"/>
    <w:rsid w:val="007968DF"/>
    <w:rsid w:val="00796A68"/>
    <w:rsid w:val="00796B3D"/>
    <w:rsid w:val="00796D77"/>
    <w:rsid w:val="00796DC5"/>
    <w:rsid w:val="00796E27"/>
    <w:rsid w:val="00796EF9"/>
    <w:rsid w:val="00796F89"/>
    <w:rsid w:val="0079722B"/>
    <w:rsid w:val="00797284"/>
    <w:rsid w:val="00797306"/>
    <w:rsid w:val="0079740A"/>
    <w:rsid w:val="0079745D"/>
    <w:rsid w:val="00797485"/>
    <w:rsid w:val="0079748E"/>
    <w:rsid w:val="0079748F"/>
    <w:rsid w:val="007974C7"/>
    <w:rsid w:val="007975B5"/>
    <w:rsid w:val="0079773F"/>
    <w:rsid w:val="007977F0"/>
    <w:rsid w:val="0079792E"/>
    <w:rsid w:val="00797939"/>
    <w:rsid w:val="00797958"/>
    <w:rsid w:val="007979D8"/>
    <w:rsid w:val="00797A09"/>
    <w:rsid w:val="00797A27"/>
    <w:rsid w:val="00797A50"/>
    <w:rsid w:val="00797C1A"/>
    <w:rsid w:val="00797CA4"/>
    <w:rsid w:val="00797D1E"/>
    <w:rsid w:val="00797D93"/>
    <w:rsid w:val="00797E27"/>
    <w:rsid w:val="00797E7C"/>
    <w:rsid w:val="00797EE7"/>
    <w:rsid w:val="007A00C4"/>
    <w:rsid w:val="007A01B7"/>
    <w:rsid w:val="007A01DB"/>
    <w:rsid w:val="007A0210"/>
    <w:rsid w:val="007A024E"/>
    <w:rsid w:val="007A0271"/>
    <w:rsid w:val="007A035D"/>
    <w:rsid w:val="007A03D2"/>
    <w:rsid w:val="007A03F9"/>
    <w:rsid w:val="007A0408"/>
    <w:rsid w:val="007A0421"/>
    <w:rsid w:val="007A0684"/>
    <w:rsid w:val="007A06A2"/>
    <w:rsid w:val="007A0777"/>
    <w:rsid w:val="007A08F6"/>
    <w:rsid w:val="007A09ED"/>
    <w:rsid w:val="007A0AD3"/>
    <w:rsid w:val="007A0AF4"/>
    <w:rsid w:val="007A0B4F"/>
    <w:rsid w:val="007A0B5A"/>
    <w:rsid w:val="007A0C81"/>
    <w:rsid w:val="007A0CA5"/>
    <w:rsid w:val="007A0E76"/>
    <w:rsid w:val="007A103C"/>
    <w:rsid w:val="007A1145"/>
    <w:rsid w:val="007A13BA"/>
    <w:rsid w:val="007A1434"/>
    <w:rsid w:val="007A1542"/>
    <w:rsid w:val="007A1671"/>
    <w:rsid w:val="007A16BD"/>
    <w:rsid w:val="007A1798"/>
    <w:rsid w:val="007A1AB6"/>
    <w:rsid w:val="007A1C8F"/>
    <w:rsid w:val="007A1DAE"/>
    <w:rsid w:val="007A1F41"/>
    <w:rsid w:val="007A1F9D"/>
    <w:rsid w:val="007A20D0"/>
    <w:rsid w:val="007A216D"/>
    <w:rsid w:val="007A21BB"/>
    <w:rsid w:val="007A237E"/>
    <w:rsid w:val="007A2643"/>
    <w:rsid w:val="007A265C"/>
    <w:rsid w:val="007A26DF"/>
    <w:rsid w:val="007A272A"/>
    <w:rsid w:val="007A2765"/>
    <w:rsid w:val="007A2773"/>
    <w:rsid w:val="007A278B"/>
    <w:rsid w:val="007A2BB0"/>
    <w:rsid w:val="007A2C0E"/>
    <w:rsid w:val="007A2C2D"/>
    <w:rsid w:val="007A2CB3"/>
    <w:rsid w:val="007A2CBF"/>
    <w:rsid w:val="007A2EFD"/>
    <w:rsid w:val="007A3091"/>
    <w:rsid w:val="007A30C5"/>
    <w:rsid w:val="007A3117"/>
    <w:rsid w:val="007A3130"/>
    <w:rsid w:val="007A31B9"/>
    <w:rsid w:val="007A32AD"/>
    <w:rsid w:val="007A3333"/>
    <w:rsid w:val="007A3335"/>
    <w:rsid w:val="007A339E"/>
    <w:rsid w:val="007A33A6"/>
    <w:rsid w:val="007A33EF"/>
    <w:rsid w:val="007A34C2"/>
    <w:rsid w:val="007A34E1"/>
    <w:rsid w:val="007A35C0"/>
    <w:rsid w:val="007A368E"/>
    <w:rsid w:val="007A3747"/>
    <w:rsid w:val="007A3825"/>
    <w:rsid w:val="007A396E"/>
    <w:rsid w:val="007A3C53"/>
    <w:rsid w:val="007A3C5A"/>
    <w:rsid w:val="007A3CD8"/>
    <w:rsid w:val="007A3DC7"/>
    <w:rsid w:val="007A4006"/>
    <w:rsid w:val="007A4068"/>
    <w:rsid w:val="007A41CE"/>
    <w:rsid w:val="007A4224"/>
    <w:rsid w:val="007A4265"/>
    <w:rsid w:val="007A429F"/>
    <w:rsid w:val="007A43E3"/>
    <w:rsid w:val="007A4706"/>
    <w:rsid w:val="007A47A2"/>
    <w:rsid w:val="007A47C6"/>
    <w:rsid w:val="007A4898"/>
    <w:rsid w:val="007A4948"/>
    <w:rsid w:val="007A4BB0"/>
    <w:rsid w:val="007A4C0F"/>
    <w:rsid w:val="007A4E77"/>
    <w:rsid w:val="007A4F25"/>
    <w:rsid w:val="007A4F94"/>
    <w:rsid w:val="007A4FB5"/>
    <w:rsid w:val="007A4FC3"/>
    <w:rsid w:val="007A508F"/>
    <w:rsid w:val="007A50D5"/>
    <w:rsid w:val="007A5136"/>
    <w:rsid w:val="007A5250"/>
    <w:rsid w:val="007A525A"/>
    <w:rsid w:val="007A53DD"/>
    <w:rsid w:val="007A53FA"/>
    <w:rsid w:val="007A54EE"/>
    <w:rsid w:val="007A581C"/>
    <w:rsid w:val="007A59D2"/>
    <w:rsid w:val="007A5A02"/>
    <w:rsid w:val="007A5A25"/>
    <w:rsid w:val="007A5A33"/>
    <w:rsid w:val="007A5ABB"/>
    <w:rsid w:val="007A5C7C"/>
    <w:rsid w:val="007A5CF0"/>
    <w:rsid w:val="007A5D0F"/>
    <w:rsid w:val="007A5DE0"/>
    <w:rsid w:val="007A5F54"/>
    <w:rsid w:val="007A5F65"/>
    <w:rsid w:val="007A5FBD"/>
    <w:rsid w:val="007A5FFF"/>
    <w:rsid w:val="007A60D5"/>
    <w:rsid w:val="007A6146"/>
    <w:rsid w:val="007A6148"/>
    <w:rsid w:val="007A618E"/>
    <w:rsid w:val="007A6225"/>
    <w:rsid w:val="007A62BE"/>
    <w:rsid w:val="007A6383"/>
    <w:rsid w:val="007A6509"/>
    <w:rsid w:val="007A65E0"/>
    <w:rsid w:val="007A66F1"/>
    <w:rsid w:val="007A6826"/>
    <w:rsid w:val="007A6866"/>
    <w:rsid w:val="007A6BB9"/>
    <w:rsid w:val="007A6E1C"/>
    <w:rsid w:val="007A6EBE"/>
    <w:rsid w:val="007A6F59"/>
    <w:rsid w:val="007A738C"/>
    <w:rsid w:val="007A7411"/>
    <w:rsid w:val="007A7413"/>
    <w:rsid w:val="007A744B"/>
    <w:rsid w:val="007A75D1"/>
    <w:rsid w:val="007A76BC"/>
    <w:rsid w:val="007A76E7"/>
    <w:rsid w:val="007A77E9"/>
    <w:rsid w:val="007A77EA"/>
    <w:rsid w:val="007A7875"/>
    <w:rsid w:val="007A7A42"/>
    <w:rsid w:val="007A7AE9"/>
    <w:rsid w:val="007A7B1E"/>
    <w:rsid w:val="007A7B47"/>
    <w:rsid w:val="007A7BEB"/>
    <w:rsid w:val="007A7BEE"/>
    <w:rsid w:val="007A7C3E"/>
    <w:rsid w:val="007A7C69"/>
    <w:rsid w:val="007A7CAB"/>
    <w:rsid w:val="007A7CDE"/>
    <w:rsid w:val="007A7DD0"/>
    <w:rsid w:val="007A7E84"/>
    <w:rsid w:val="007B0097"/>
    <w:rsid w:val="007B00AC"/>
    <w:rsid w:val="007B010E"/>
    <w:rsid w:val="007B01DE"/>
    <w:rsid w:val="007B01E0"/>
    <w:rsid w:val="007B021E"/>
    <w:rsid w:val="007B021F"/>
    <w:rsid w:val="007B02E3"/>
    <w:rsid w:val="007B03ED"/>
    <w:rsid w:val="007B04A3"/>
    <w:rsid w:val="007B05AE"/>
    <w:rsid w:val="007B0790"/>
    <w:rsid w:val="007B07D9"/>
    <w:rsid w:val="007B07F2"/>
    <w:rsid w:val="007B0A28"/>
    <w:rsid w:val="007B0B18"/>
    <w:rsid w:val="007B0D17"/>
    <w:rsid w:val="007B0D81"/>
    <w:rsid w:val="007B0EF2"/>
    <w:rsid w:val="007B101E"/>
    <w:rsid w:val="007B10B9"/>
    <w:rsid w:val="007B117A"/>
    <w:rsid w:val="007B11CF"/>
    <w:rsid w:val="007B128E"/>
    <w:rsid w:val="007B12C0"/>
    <w:rsid w:val="007B12DF"/>
    <w:rsid w:val="007B13DF"/>
    <w:rsid w:val="007B1512"/>
    <w:rsid w:val="007B152E"/>
    <w:rsid w:val="007B1547"/>
    <w:rsid w:val="007B17E1"/>
    <w:rsid w:val="007B19A9"/>
    <w:rsid w:val="007B19F3"/>
    <w:rsid w:val="007B1AAC"/>
    <w:rsid w:val="007B1ABF"/>
    <w:rsid w:val="007B1B24"/>
    <w:rsid w:val="007B1B54"/>
    <w:rsid w:val="007B1BA3"/>
    <w:rsid w:val="007B1BEC"/>
    <w:rsid w:val="007B1C45"/>
    <w:rsid w:val="007B1CB1"/>
    <w:rsid w:val="007B1E3E"/>
    <w:rsid w:val="007B200D"/>
    <w:rsid w:val="007B20D9"/>
    <w:rsid w:val="007B212B"/>
    <w:rsid w:val="007B215F"/>
    <w:rsid w:val="007B2271"/>
    <w:rsid w:val="007B22DC"/>
    <w:rsid w:val="007B24F2"/>
    <w:rsid w:val="007B24F8"/>
    <w:rsid w:val="007B2804"/>
    <w:rsid w:val="007B2808"/>
    <w:rsid w:val="007B296D"/>
    <w:rsid w:val="007B2978"/>
    <w:rsid w:val="007B2A5A"/>
    <w:rsid w:val="007B2B5D"/>
    <w:rsid w:val="007B2C48"/>
    <w:rsid w:val="007B2C6F"/>
    <w:rsid w:val="007B2DBC"/>
    <w:rsid w:val="007B2E0E"/>
    <w:rsid w:val="007B2E78"/>
    <w:rsid w:val="007B30A1"/>
    <w:rsid w:val="007B320F"/>
    <w:rsid w:val="007B32D5"/>
    <w:rsid w:val="007B344C"/>
    <w:rsid w:val="007B368D"/>
    <w:rsid w:val="007B377A"/>
    <w:rsid w:val="007B395F"/>
    <w:rsid w:val="007B3B5A"/>
    <w:rsid w:val="007B3E17"/>
    <w:rsid w:val="007B3E1E"/>
    <w:rsid w:val="007B4184"/>
    <w:rsid w:val="007B42D4"/>
    <w:rsid w:val="007B45F4"/>
    <w:rsid w:val="007B475C"/>
    <w:rsid w:val="007B479E"/>
    <w:rsid w:val="007B47F2"/>
    <w:rsid w:val="007B4896"/>
    <w:rsid w:val="007B48CE"/>
    <w:rsid w:val="007B49BF"/>
    <w:rsid w:val="007B4A89"/>
    <w:rsid w:val="007B4B40"/>
    <w:rsid w:val="007B4B8D"/>
    <w:rsid w:val="007B4BDA"/>
    <w:rsid w:val="007B4CD2"/>
    <w:rsid w:val="007B4CD3"/>
    <w:rsid w:val="007B4FBA"/>
    <w:rsid w:val="007B539D"/>
    <w:rsid w:val="007B5401"/>
    <w:rsid w:val="007B5421"/>
    <w:rsid w:val="007B5478"/>
    <w:rsid w:val="007B54B9"/>
    <w:rsid w:val="007B550F"/>
    <w:rsid w:val="007B5551"/>
    <w:rsid w:val="007B5565"/>
    <w:rsid w:val="007B5577"/>
    <w:rsid w:val="007B5636"/>
    <w:rsid w:val="007B57E4"/>
    <w:rsid w:val="007B581C"/>
    <w:rsid w:val="007B5860"/>
    <w:rsid w:val="007B5AF5"/>
    <w:rsid w:val="007B5B5B"/>
    <w:rsid w:val="007B5B7D"/>
    <w:rsid w:val="007B5BDC"/>
    <w:rsid w:val="007B5BEE"/>
    <w:rsid w:val="007B5C56"/>
    <w:rsid w:val="007B5DE5"/>
    <w:rsid w:val="007B6082"/>
    <w:rsid w:val="007B6120"/>
    <w:rsid w:val="007B6139"/>
    <w:rsid w:val="007B61E6"/>
    <w:rsid w:val="007B6247"/>
    <w:rsid w:val="007B63A8"/>
    <w:rsid w:val="007B641E"/>
    <w:rsid w:val="007B65F2"/>
    <w:rsid w:val="007B6696"/>
    <w:rsid w:val="007B66CB"/>
    <w:rsid w:val="007B66F9"/>
    <w:rsid w:val="007B671D"/>
    <w:rsid w:val="007B6830"/>
    <w:rsid w:val="007B6858"/>
    <w:rsid w:val="007B68A0"/>
    <w:rsid w:val="007B6A7D"/>
    <w:rsid w:val="007B6A97"/>
    <w:rsid w:val="007B6ACD"/>
    <w:rsid w:val="007B6BAE"/>
    <w:rsid w:val="007B6D04"/>
    <w:rsid w:val="007B6FF1"/>
    <w:rsid w:val="007B70B1"/>
    <w:rsid w:val="007B70B7"/>
    <w:rsid w:val="007B712D"/>
    <w:rsid w:val="007B7151"/>
    <w:rsid w:val="007B71CF"/>
    <w:rsid w:val="007B71FB"/>
    <w:rsid w:val="007B7266"/>
    <w:rsid w:val="007B728C"/>
    <w:rsid w:val="007B728E"/>
    <w:rsid w:val="007B72AC"/>
    <w:rsid w:val="007B732E"/>
    <w:rsid w:val="007B7408"/>
    <w:rsid w:val="007B7423"/>
    <w:rsid w:val="007B742B"/>
    <w:rsid w:val="007B74B4"/>
    <w:rsid w:val="007B7504"/>
    <w:rsid w:val="007B7613"/>
    <w:rsid w:val="007B7722"/>
    <w:rsid w:val="007B7937"/>
    <w:rsid w:val="007B7946"/>
    <w:rsid w:val="007B7992"/>
    <w:rsid w:val="007B799C"/>
    <w:rsid w:val="007B7B9F"/>
    <w:rsid w:val="007B7BE8"/>
    <w:rsid w:val="007B7CBE"/>
    <w:rsid w:val="007B7D6D"/>
    <w:rsid w:val="007B7ED6"/>
    <w:rsid w:val="007C00A2"/>
    <w:rsid w:val="007C027A"/>
    <w:rsid w:val="007C039E"/>
    <w:rsid w:val="007C0507"/>
    <w:rsid w:val="007C0513"/>
    <w:rsid w:val="007C0515"/>
    <w:rsid w:val="007C0550"/>
    <w:rsid w:val="007C0564"/>
    <w:rsid w:val="007C0587"/>
    <w:rsid w:val="007C0735"/>
    <w:rsid w:val="007C080B"/>
    <w:rsid w:val="007C08A8"/>
    <w:rsid w:val="007C0911"/>
    <w:rsid w:val="007C09C7"/>
    <w:rsid w:val="007C0A40"/>
    <w:rsid w:val="007C0C2E"/>
    <w:rsid w:val="007C0CF5"/>
    <w:rsid w:val="007C0CF7"/>
    <w:rsid w:val="007C0EAC"/>
    <w:rsid w:val="007C1077"/>
    <w:rsid w:val="007C10B8"/>
    <w:rsid w:val="007C1173"/>
    <w:rsid w:val="007C1194"/>
    <w:rsid w:val="007C14CC"/>
    <w:rsid w:val="007C15A9"/>
    <w:rsid w:val="007C16B4"/>
    <w:rsid w:val="007C176C"/>
    <w:rsid w:val="007C18A6"/>
    <w:rsid w:val="007C1935"/>
    <w:rsid w:val="007C1B3C"/>
    <w:rsid w:val="007C1B6B"/>
    <w:rsid w:val="007C1BF7"/>
    <w:rsid w:val="007C1C1E"/>
    <w:rsid w:val="007C1D4B"/>
    <w:rsid w:val="007C1D93"/>
    <w:rsid w:val="007C1DA4"/>
    <w:rsid w:val="007C1F16"/>
    <w:rsid w:val="007C1F32"/>
    <w:rsid w:val="007C1F7F"/>
    <w:rsid w:val="007C1FEE"/>
    <w:rsid w:val="007C2037"/>
    <w:rsid w:val="007C2048"/>
    <w:rsid w:val="007C21EA"/>
    <w:rsid w:val="007C22D3"/>
    <w:rsid w:val="007C2307"/>
    <w:rsid w:val="007C24A3"/>
    <w:rsid w:val="007C24AA"/>
    <w:rsid w:val="007C25A5"/>
    <w:rsid w:val="007C27D3"/>
    <w:rsid w:val="007C28D9"/>
    <w:rsid w:val="007C29E5"/>
    <w:rsid w:val="007C2A4A"/>
    <w:rsid w:val="007C2B60"/>
    <w:rsid w:val="007C2BDB"/>
    <w:rsid w:val="007C2BE4"/>
    <w:rsid w:val="007C2D55"/>
    <w:rsid w:val="007C2F8A"/>
    <w:rsid w:val="007C2FAB"/>
    <w:rsid w:val="007C303F"/>
    <w:rsid w:val="007C3054"/>
    <w:rsid w:val="007C310A"/>
    <w:rsid w:val="007C315E"/>
    <w:rsid w:val="007C3190"/>
    <w:rsid w:val="007C31C5"/>
    <w:rsid w:val="007C32D6"/>
    <w:rsid w:val="007C33B1"/>
    <w:rsid w:val="007C3593"/>
    <w:rsid w:val="007C367F"/>
    <w:rsid w:val="007C37C9"/>
    <w:rsid w:val="007C37E1"/>
    <w:rsid w:val="007C39EE"/>
    <w:rsid w:val="007C3CB0"/>
    <w:rsid w:val="007C3D5F"/>
    <w:rsid w:val="007C3DB8"/>
    <w:rsid w:val="007C3E81"/>
    <w:rsid w:val="007C3F26"/>
    <w:rsid w:val="007C3FCD"/>
    <w:rsid w:val="007C4031"/>
    <w:rsid w:val="007C40F4"/>
    <w:rsid w:val="007C40F8"/>
    <w:rsid w:val="007C4275"/>
    <w:rsid w:val="007C42E0"/>
    <w:rsid w:val="007C43CD"/>
    <w:rsid w:val="007C4423"/>
    <w:rsid w:val="007C454E"/>
    <w:rsid w:val="007C4744"/>
    <w:rsid w:val="007C4899"/>
    <w:rsid w:val="007C4931"/>
    <w:rsid w:val="007C497F"/>
    <w:rsid w:val="007C49F6"/>
    <w:rsid w:val="007C4A57"/>
    <w:rsid w:val="007C4A5B"/>
    <w:rsid w:val="007C4A83"/>
    <w:rsid w:val="007C4A84"/>
    <w:rsid w:val="007C4BAC"/>
    <w:rsid w:val="007C4C8D"/>
    <w:rsid w:val="007C4E0B"/>
    <w:rsid w:val="007C4FE4"/>
    <w:rsid w:val="007C523B"/>
    <w:rsid w:val="007C53AA"/>
    <w:rsid w:val="007C53C9"/>
    <w:rsid w:val="007C53CC"/>
    <w:rsid w:val="007C5456"/>
    <w:rsid w:val="007C56EE"/>
    <w:rsid w:val="007C582E"/>
    <w:rsid w:val="007C5869"/>
    <w:rsid w:val="007C58CD"/>
    <w:rsid w:val="007C596C"/>
    <w:rsid w:val="007C5A2C"/>
    <w:rsid w:val="007C5A47"/>
    <w:rsid w:val="007C5A77"/>
    <w:rsid w:val="007C5B4E"/>
    <w:rsid w:val="007C5D7D"/>
    <w:rsid w:val="007C5D9C"/>
    <w:rsid w:val="007C5E0C"/>
    <w:rsid w:val="007C5E48"/>
    <w:rsid w:val="007C5EF2"/>
    <w:rsid w:val="007C5F49"/>
    <w:rsid w:val="007C61B8"/>
    <w:rsid w:val="007C6452"/>
    <w:rsid w:val="007C64B6"/>
    <w:rsid w:val="007C64F0"/>
    <w:rsid w:val="007C6506"/>
    <w:rsid w:val="007C6541"/>
    <w:rsid w:val="007C660A"/>
    <w:rsid w:val="007C673D"/>
    <w:rsid w:val="007C6893"/>
    <w:rsid w:val="007C68D6"/>
    <w:rsid w:val="007C691D"/>
    <w:rsid w:val="007C6B13"/>
    <w:rsid w:val="007C6B3B"/>
    <w:rsid w:val="007C6B51"/>
    <w:rsid w:val="007C6CCE"/>
    <w:rsid w:val="007C6D77"/>
    <w:rsid w:val="007C6E5B"/>
    <w:rsid w:val="007C6E7F"/>
    <w:rsid w:val="007C6ED6"/>
    <w:rsid w:val="007C6FCD"/>
    <w:rsid w:val="007C70A6"/>
    <w:rsid w:val="007C70B3"/>
    <w:rsid w:val="007C715E"/>
    <w:rsid w:val="007C7200"/>
    <w:rsid w:val="007C72EC"/>
    <w:rsid w:val="007C737F"/>
    <w:rsid w:val="007C753C"/>
    <w:rsid w:val="007C754E"/>
    <w:rsid w:val="007C7759"/>
    <w:rsid w:val="007C7851"/>
    <w:rsid w:val="007C794C"/>
    <w:rsid w:val="007C7AA8"/>
    <w:rsid w:val="007C7B3F"/>
    <w:rsid w:val="007C7BF0"/>
    <w:rsid w:val="007C7C2D"/>
    <w:rsid w:val="007C7C52"/>
    <w:rsid w:val="007C7E78"/>
    <w:rsid w:val="007C7F6B"/>
    <w:rsid w:val="007C7FB4"/>
    <w:rsid w:val="007D0006"/>
    <w:rsid w:val="007D00D5"/>
    <w:rsid w:val="007D0110"/>
    <w:rsid w:val="007D01A7"/>
    <w:rsid w:val="007D0210"/>
    <w:rsid w:val="007D0319"/>
    <w:rsid w:val="007D04B5"/>
    <w:rsid w:val="007D07A9"/>
    <w:rsid w:val="007D07D2"/>
    <w:rsid w:val="007D0816"/>
    <w:rsid w:val="007D08CD"/>
    <w:rsid w:val="007D0937"/>
    <w:rsid w:val="007D09B5"/>
    <w:rsid w:val="007D09FE"/>
    <w:rsid w:val="007D0B1A"/>
    <w:rsid w:val="007D0B8A"/>
    <w:rsid w:val="007D0BA7"/>
    <w:rsid w:val="007D0C66"/>
    <w:rsid w:val="007D0D0E"/>
    <w:rsid w:val="007D0D1F"/>
    <w:rsid w:val="007D0D94"/>
    <w:rsid w:val="007D0DB9"/>
    <w:rsid w:val="007D0E1C"/>
    <w:rsid w:val="007D0E6C"/>
    <w:rsid w:val="007D0EA8"/>
    <w:rsid w:val="007D0F5C"/>
    <w:rsid w:val="007D0FAF"/>
    <w:rsid w:val="007D1040"/>
    <w:rsid w:val="007D10A5"/>
    <w:rsid w:val="007D10BA"/>
    <w:rsid w:val="007D185B"/>
    <w:rsid w:val="007D19C1"/>
    <w:rsid w:val="007D1C66"/>
    <w:rsid w:val="007D1DE0"/>
    <w:rsid w:val="007D1ED6"/>
    <w:rsid w:val="007D1FCB"/>
    <w:rsid w:val="007D21ED"/>
    <w:rsid w:val="007D2451"/>
    <w:rsid w:val="007D24C4"/>
    <w:rsid w:val="007D25D3"/>
    <w:rsid w:val="007D2620"/>
    <w:rsid w:val="007D2630"/>
    <w:rsid w:val="007D282A"/>
    <w:rsid w:val="007D28E1"/>
    <w:rsid w:val="007D292C"/>
    <w:rsid w:val="007D299A"/>
    <w:rsid w:val="007D29E2"/>
    <w:rsid w:val="007D2A19"/>
    <w:rsid w:val="007D2ABC"/>
    <w:rsid w:val="007D2BA4"/>
    <w:rsid w:val="007D2D68"/>
    <w:rsid w:val="007D2F02"/>
    <w:rsid w:val="007D2F5A"/>
    <w:rsid w:val="007D2FC1"/>
    <w:rsid w:val="007D30C4"/>
    <w:rsid w:val="007D3147"/>
    <w:rsid w:val="007D31DA"/>
    <w:rsid w:val="007D326F"/>
    <w:rsid w:val="007D3305"/>
    <w:rsid w:val="007D341F"/>
    <w:rsid w:val="007D35CF"/>
    <w:rsid w:val="007D362C"/>
    <w:rsid w:val="007D36BA"/>
    <w:rsid w:val="007D380E"/>
    <w:rsid w:val="007D382E"/>
    <w:rsid w:val="007D3837"/>
    <w:rsid w:val="007D38EF"/>
    <w:rsid w:val="007D393F"/>
    <w:rsid w:val="007D3944"/>
    <w:rsid w:val="007D3951"/>
    <w:rsid w:val="007D3A09"/>
    <w:rsid w:val="007D3B18"/>
    <w:rsid w:val="007D3B56"/>
    <w:rsid w:val="007D3C24"/>
    <w:rsid w:val="007D3CB9"/>
    <w:rsid w:val="007D3FE5"/>
    <w:rsid w:val="007D40A9"/>
    <w:rsid w:val="007D4171"/>
    <w:rsid w:val="007D4191"/>
    <w:rsid w:val="007D4213"/>
    <w:rsid w:val="007D4272"/>
    <w:rsid w:val="007D4288"/>
    <w:rsid w:val="007D42F4"/>
    <w:rsid w:val="007D431C"/>
    <w:rsid w:val="007D459B"/>
    <w:rsid w:val="007D45DF"/>
    <w:rsid w:val="007D49C8"/>
    <w:rsid w:val="007D4AB3"/>
    <w:rsid w:val="007D4B7F"/>
    <w:rsid w:val="007D4BF4"/>
    <w:rsid w:val="007D4E3F"/>
    <w:rsid w:val="007D4ED9"/>
    <w:rsid w:val="007D517E"/>
    <w:rsid w:val="007D519A"/>
    <w:rsid w:val="007D51FC"/>
    <w:rsid w:val="007D5291"/>
    <w:rsid w:val="007D5388"/>
    <w:rsid w:val="007D55B8"/>
    <w:rsid w:val="007D55CF"/>
    <w:rsid w:val="007D5707"/>
    <w:rsid w:val="007D5752"/>
    <w:rsid w:val="007D5987"/>
    <w:rsid w:val="007D59F6"/>
    <w:rsid w:val="007D5B3F"/>
    <w:rsid w:val="007D5BA8"/>
    <w:rsid w:val="007D5CA1"/>
    <w:rsid w:val="007D5FC2"/>
    <w:rsid w:val="007D6063"/>
    <w:rsid w:val="007D6077"/>
    <w:rsid w:val="007D6097"/>
    <w:rsid w:val="007D63D4"/>
    <w:rsid w:val="007D645E"/>
    <w:rsid w:val="007D65BD"/>
    <w:rsid w:val="007D6680"/>
    <w:rsid w:val="007D6696"/>
    <w:rsid w:val="007D6737"/>
    <w:rsid w:val="007D673F"/>
    <w:rsid w:val="007D676E"/>
    <w:rsid w:val="007D6780"/>
    <w:rsid w:val="007D67B4"/>
    <w:rsid w:val="007D6841"/>
    <w:rsid w:val="007D69B4"/>
    <w:rsid w:val="007D6ACF"/>
    <w:rsid w:val="007D6B88"/>
    <w:rsid w:val="007D6BD0"/>
    <w:rsid w:val="007D6DA0"/>
    <w:rsid w:val="007D6DC6"/>
    <w:rsid w:val="007D6E29"/>
    <w:rsid w:val="007D6FA8"/>
    <w:rsid w:val="007D7079"/>
    <w:rsid w:val="007D71F0"/>
    <w:rsid w:val="007D7265"/>
    <w:rsid w:val="007D7296"/>
    <w:rsid w:val="007D7469"/>
    <w:rsid w:val="007D748B"/>
    <w:rsid w:val="007D74FF"/>
    <w:rsid w:val="007D76F3"/>
    <w:rsid w:val="007D7710"/>
    <w:rsid w:val="007D7795"/>
    <w:rsid w:val="007D7821"/>
    <w:rsid w:val="007D7906"/>
    <w:rsid w:val="007D79B5"/>
    <w:rsid w:val="007D7A6D"/>
    <w:rsid w:val="007D7AA9"/>
    <w:rsid w:val="007D7BC4"/>
    <w:rsid w:val="007D7C59"/>
    <w:rsid w:val="007D7CF2"/>
    <w:rsid w:val="007D7CFE"/>
    <w:rsid w:val="007D7DE2"/>
    <w:rsid w:val="007E0068"/>
    <w:rsid w:val="007E0103"/>
    <w:rsid w:val="007E0249"/>
    <w:rsid w:val="007E0252"/>
    <w:rsid w:val="007E03A7"/>
    <w:rsid w:val="007E03E4"/>
    <w:rsid w:val="007E0495"/>
    <w:rsid w:val="007E04B6"/>
    <w:rsid w:val="007E0530"/>
    <w:rsid w:val="007E0787"/>
    <w:rsid w:val="007E07E9"/>
    <w:rsid w:val="007E0815"/>
    <w:rsid w:val="007E091C"/>
    <w:rsid w:val="007E095F"/>
    <w:rsid w:val="007E0A02"/>
    <w:rsid w:val="007E0A9C"/>
    <w:rsid w:val="007E0B06"/>
    <w:rsid w:val="007E0C66"/>
    <w:rsid w:val="007E0CA0"/>
    <w:rsid w:val="007E0D18"/>
    <w:rsid w:val="007E0D3E"/>
    <w:rsid w:val="007E0D6C"/>
    <w:rsid w:val="007E0D8B"/>
    <w:rsid w:val="007E0ECD"/>
    <w:rsid w:val="007E0EE1"/>
    <w:rsid w:val="007E116C"/>
    <w:rsid w:val="007E1205"/>
    <w:rsid w:val="007E1391"/>
    <w:rsid w:val="007E13D3"/>
    <w:rsid w:val="007E1413"/>
    <w:rsid w:val="007E15A9"/>
    <w:rsid w:val="007E15CE"/>
    <w:rsid w:val="007E15F1"/>
    <w:rsid w:val="007E184E"/>
    <w:rsid w:val="007E1853"/>
    <w:rsid w:val="007E18F6"/>
    <w:rsid w:val="007E18FB"/>
    <w:rsid w:val="007E196D"/>
    <w:rsid w:val="007E19A9"/>
    <w:rsid w:val="007E1A09"/>
    <w:rsid w:val="007E1A38"/>
    <w:rsid w:val="007E1AD8"/>
    <w:rsid w:val="007E1B33"/>
    <w:rsid w:val="007E1BD3"/>
    <w:rsid w:val="007E1C38"/>
    <w:rsid w:val="007E1D9B"/>
    <w:rsid w:val="007E1E23"/>
    <w:rsid w:val="007E2061"/>
    <w:rsid w:val="007E20EB"/>
    <w:rsid w:val="007E2109"/>
    <w:rsid w:val="007E231C"/>
    <w:rsid w:val="007E241A"/>
    <w:rsid w:val="007E24CB"/>
    <w:rsid w:val="007E2592"/>
    <w:rsid w:val="007E26FC"/>
    <w:rsid w:val="007E29A1"/>
    <w:rsid w:val="007E29BD"/>
    <w:rsid w:val="007E2AB1"/>
    <w:rsid w:val="007E2C7E"/>
    <w:rsid w:val="007E2E73"/>
    <w:rsid w:val="007E2E82"/>
    <w:rsid w:val="007E2F7E"/>
    <w:rsid w:val="007E30DC"/>
    <w:rsid w:val="007E31F7"/>
    <w:rsid w:val="007E32EF"/>
    <w:rsid w:val="007E3405"/>
    <w:rsid w:val="007E3589"/>
    <w:rsid w:val="007E35FD"/>
    <w:rsid w:val="007E36FD"/>
    <w:rsid w:val="007E3895"/>
    <w:rsid w:val="007E38AD"/>
    <w:rsid w:val="007E38D4"/>
    <w:rsid w:val="007E3C80"/>
    <w:rsid w:val="007E3CE5"/>
    <w:rsid w:val="007E3D72"/>
    <w:rsid w:val="007E3DB7"/>
    <w:rsid w:val="007E3EA1"/>
    <w:rsid w:val="007E4133"/>
    <w:rsid w:val="007E4172"/>
    <w:rsid w:val="007E419E"/>
    <w:rsid w:val="007E4218"/>
    <w:rsid w:val="007E42F5"/>
    <w:rsid w:val="007E4421"/>
    <w:rsid w:val="007E4489"/>
    <w:rsid w:val="007E44C1"/>
    <w:rsid w:val="007E4A4D"/>
    <w:rsid w:val="007E4AD6"/>
    <w:rsid w:val="007E4AF2"/>
    <w:rsid w:val="007E4B5F"/>
    <w:rsid w:val="007E4DD9"/>
    <w:rsid w:val="007E4DE9"/>
    <w:rsid w:val="007E4E16"/>
    <w:rsid w:val="007E4E36"/>
    <w:rsid w:val="007E4F31"/>
    <w:rsid w:val="007E4F73"/>
    <w:rsid w:val="007E505B"/>
    <w:rsid w:val="007E5061"/>
    <w:rsid w:val="007E509C"/>
    <w:rsid w:val="007E5290"/>
    <w:rsid w:val="007E53D5"/>
    <w:rsid w:val="007E5475"/>
    <w:rsid w:val="007E5574"/>
    <w:rsid w:val="007E5736"/>
    <w:rsid w:val="007E5845"/>
    <w:rsid w:val="007E58A4"/>
    <w:rsid w:val="007E58F5"/>
    <w:rsid w:val="007E590F"/>
    <w:rsid w:val="007E5B60"/>
    <w:rsid w:val="007E5BD6"/>
    <w:rsid w:val="007E5CA8"/>
    <w:rsid w:val="007E5E50"/>
    <w:rsid w:val="007E5F77"/>
    <w:rsid w:val="007E5F7A"/>
    <w:rsid w:val="007E5FF2"/>
    <w:rsid w:val="007E6363"/>
    <w:rsid w:val="007E645A"/>
    <w:rsid w:val="007E64E5"/>
    <w:rsid w:val="007E65D0"/>
    <w:rsid w:val="007E65D9"/>
    <w:rsid w:val="007E6678"/>
    <w:rsid w:val="007E6819"/>
    <w:rsid w:val="007E6850"/>
    <w:rsid w:val="007E689C"/>
    <w:rsid w:val="007E69DC"/>
    <w:rsid w:val="007E6A27"/>
    <w:rsid w:val="007E6A3D"/>
    <w:rsid w:val="007E6AE5"/>
    <w:rsid w:val="007E6C15"/>
    <w:rsid w:val="007E6D9B"/>
    <w:rsid w:val="007E6DE6"/>
    <w:rsid w:val="007E6E47"/>
    <w:rsid w:val="007E6EC5"/>
    <w:rsid w:val="007E70F3"/>
    <w:rsid w:val="007E7177"/>
    <w:rsid w:val="007E7209"/>
    <w:rsid w:val="007E7215"/>
    <w:rsid w:val="007E72F4"/>
    <w:rsid w:val="007E747E"/>
    <w:rsid w:val="007E764C"/>
    <w:rsid w:val="007E768D"/>
    <w:rsid w:val="007E7824"/>
    <w:rsid w:val="007E7830"/>
    <w:rsid w:val="007E784A"/>
    <w:rsid w:val="007E7BAE"/>
    <w:rsid w:val="007E7C43"/>
    <w:rsid w:val="007E7D09"/>
    <w:rsid w:val="007E7D0A"/>
    <w:rsid w:val="007E7D28"/>
    <w:rsid w:val="007E7D5A"/>
    <w:rsid w:val="007E7FDF"/>
    <w:rsid w:val="007F018F"/>
    <w:rsid w:val="007F020A"/>
    <w:rsid w:val="007F02E4"/>
    <w:rsid w:val="007F0336"/>
    <w:rsid w:val="007F0737"/>
    <w:rsid w:val="007F081F"/>
    <w:rsid w:val="007F083D"/>
    <w:rsid w:val="007F08E8"/>
    <w:rsid w:val="007F0967"/>
    <w:rsid w:val="007F0A57"/>
    <w:rsid w:val="007F0BBC"/>
    <w:rsid w:val="007F0C1C"/>
    <w:rsid w:val="007F0CA1"/>
    <w:rsid w:val="007F0F3E"/>
    <w:rsid w:val="007F1230"/>
    <w:rsid w:val="007F1289"/>
    <w:rsid w:val="007F1347"/>
    <w:rsid w:val="007F15E8"/>
    <w:rsid w:val="007F169F"/>
    <w:rsid w:val="007F1779"/>
    <w:rsid w:val="007F17A7"/>
    <w:rsid w:val="007F180A"/>
    <w:rsid w:val="007F18FD"/>
    <w:rsid w:val="007F1958"/>
    <w:rsid w:val="007F1AB0"/>
    <w:rsid w:val="007F1C5F"/>
    <w:rsid w:val="007F1EC2"/>
    <w:rsid w:val="007F21BD"/>
    <w:rsid w:val="007F232C"/>
    <w:rsid w:val="007F2547"/>
    <w:rsid w:val="007F2680"/>
    <w:rsid w:val="007F269D"/>
    <w:rsid w:val="007F26F3"/>
    <w:rsid w:val="007F27BA"/>
    <w:rsid w:val="007F27CB"/>
    <w:rsid w:val="007F28EA"/>
    <w:rsid w:val="007F2A3E"/>
    <w:rsid w:val="007F2ADA"/>
    <w:rsid w:val="007F2B86"/>
    <w:rsid w:val="007F2BDB"/>
    <w:rsid w:val="007F2C8A"/>
    <w:rsid w:val="007F2C98"/>
    <w:rsid w:val="007F2D52"/>
    <w:rsid w:val="007F2DAE"/>
    <w:rsid w:val="007F2DCA"/>
    <w:rsid w:val="007F2E30"/>
    <w:rsid w:val="007F2F4A"/>
    <w:rsid w:val="007F2F62"/>
    <w:rsid w:val="007F30A2"/>
    <w:rsid w:val="007F3135"/>
    <w:rsid w:val="007F31C4"/>
    <w:rsid w:val="007F31E0"/>
    <w:rsid w:val="007F3268"/>
    <w:rsid w:val="007F33AB"/>
    <w:rsid w:val="007F33FF"/>
    <w:rsid w:val="007F3444"/>
    <w:rsid w:val="007F352D"/>
    <w:rsid w:val="007F358B"/>
    <w:rsid w:val="007F35F4"/>
    <w:rsid w:val="007F3658"/>
    <w:rsid w:val="007F3668"/>
    <w:rsid w:val="007F36E3"/>
    <w:rsid w:val="007F372A"/>
    <w:rsid w:val="007F3879"/>
    <w:rsid w:val="007F38FF"/>
    <w:rsid w:val="007F395D"/>
    <w:rsid w:val="007F397D"/>
    <w:rsid w:val="007F3988"/>
    <w:rsid w:val="007F3A7C"/>
    <w:rsid w:val="007F3A88"/>
    <w:rsid w:val="007F3ACD"/>
    <w:rsid w:val="007F3C2E"/>
    <w:rsid w:val="007F3D8C"/>
    <w:rsid w:val="007F3DC7"/>
    <w:rsid w:val="007F3E56"/>
    <w:rsid w:val="007F3EC7"/>
    <w:rsid w:val="007F3F15"/>
    <w:rsid w:val="007F4083"/>
    <w:rsid w:val="007F42EA"/>
    <w:rsid w:val="007F4419"/>
    <w:rsid w:val="007F446E"/>
    <w:rsid w:val="007F4514"/>
    <w:rsid w:val="007F46B4"/>
    <w:rsid w:val="007F474C"/>
    <w:rsid w:val="007F4943"/>
    <w:rsid w:val="007F49B9"/>
    <w:rsid w:val="007F4B58"/>
    <w:rsid w:val="007F4BC1"/>
    <w:rsid w:val="007F4BE5"/>
    <w:rsid w:val="007F4E7C"/>
    <w:rsid w:val="007F4EFD"/>
    <w:rsid w:val="007F4F6B"/>
    <w:rsid w:val="007F4FF3"/>
    <w:rsid w:val="007F50B3"/>
    <w:rsid w:val="007F51A0"/>
    <w:rsid w:val="007F539D"/>
    <w:rsid w:val="007F55D6"/>
    <w:rsid w:val="007F5617"/>
    <w:rsid w:val="007F569D"/>
    <w:rsid w:val="007F57FE"/>
    <w:rsid w:val="007F5A3C"/>
    <w:rsid w:val="007F5A65"/>
    <w:rsid w:val="007F5A6C"/>
    <w:rsid w:val="007F5C20"/>
    <w:rsid w:val="007F5C65"/>
    <w:rsid w:val="007F5E22"/>
    <w:rsid w:val="007F5E7D"/>
    <w:rsid w:val="007F6076"/>
    <w:rsid w:val="007F608E"/>
    <w:rsid w:val="007F6104"/>
    <w:rsid w:val="007F6144"/>
    <w:rsid w:val="007F62B2"/>
    <w:rsid w:val="007F63B3"/>
    <w:rsid w:val="007F6403"/>
    <w:rsid w:val="007F6405"/>
    <w:rsid w:val="007F6443"/>
    <w:rsid w:val="007F647A"/>
    <w:rsid w:val="007F64B3"/>
    <w:rsid w:val="007F65A4"/>
    <w:rsid w:val="007F6654"/>
    <w:rsid w:val="007F66B0"/>
    <w:rsid w:val="007F67CC"/>
    <w:rsid w:val="007F69DA"/>
    <w:rsid w:val="007F6A34"/>
    <w:rsid w:val="007F6BB4"/>
    <w:rsid w:val="007F6D00"/>
    <w:rsid w:val="007F6D0E"/>
    <w:rsid w:val="007F6D76"/>
    <w:rsid w:val="007F6E48"/>
    <w:rsid w:val="007F6FA6"/>
    <w:rsid w:val="007F7081"/>
    <w:rsid w:val="007F716E"/>
    <w:rsid w:val="007F717F"/>
    <w:rsid w:val="007F7401"/>
    <w:rsid w:val="007F7632"/>
    <w:rsid w:val="007F7858"/>
    <w:rsid w:val="007F793D"/>
    <w:rsid w:val="007F798B"/>
    <w:rsid w:val="007F7A28"/>
    <w:rsid w:val="007F7A5C"/>
    <w:rsid w:val="007F7AA8"/>
    <w:rsid w:val="007F7ABD"/>
    <w:rsid w:val="007F7AEE"/>
    <w:rsid w:val="007F7B27"/>
    <w:rsid w:val="007F7BE1"/>
    <w:rsid w:val="007F7C2C"/>
    <w:rsid w:val="007F7D4B"/>
    <w:rsid w:val="007F7F11"/>
    <w:rsid w:val="007F7F44"/>
    <w:rsid w:val="007F7FB3"/>
    <w:rsid w:val="008000A1"/>
    <w:rsid w:val="00800133"/>
    <w:rsid w:val="008001C2"/>
    <w:rsid w:val="0080030D"/>
    <w:rsid w:val="008003A8"/>
    <w:rsid w:val="00800472"/>
    <w:rsid w:val="0080048A"/>
    <w:rsid w:val="0080053B"/>
    <w:rsid w:val="0080074F"/>
    <w:rsid w:val="0080076A"/>
    <w:rsid w:val="008007BD"/>
    <w:rsid w:val="00800875"/>
    <w:rsid w:val="0080087E"/>
    <w:rsid w:val="00800957"/>
    <w:rsid w:val="00800A78"/>
    <w:rsid w:val="00800ADB"/>
    <w:rsid w:val="00800C9B"/>
    <w:rsid w:val="00800CA4"/>
    <w:rsid w:val="00800D00"/>
    <w:rsid w:val="00800E30"/>
    <w:rsid w:val="00800E90"/>
    <w:rsid w:val="00800EC0"/>
    <w:rsid w:val="00800EDB"/>
    <w:rsid w:val="00800F6D"/>
    <w:rsid w:val="00800FB6"/>
    <w:rsid w:val="00800FD0"/>
    <w:rsid w:val="008010B4"/>
    <w:rsid w:val="00801317"/>
    <w:rsid w:val="00801360"/>
    <w:rsid w:val="0080153B"/>
    <w:rsid w:val="0080161F"/>
    <w:rsid w:val="0080162F"/>
    <w:rsid w:val="008016B8"/>
    <w:rsid w:val="00801742"/>
    <w:rsid w:val="00801890"/>
    <w:rsid w:val="008019B2"/>
    <w:rsid w:val="00801A42"/>
    <w:rsid w:val="00801C54"/>
    <w:rsid w:val="00801D17"/>
    <w:rsid w:val="00801F17"/>
    <w:rsid w:val="00802079"/>
    <w:rsid w:val="0080216A"/>
    <w:rsid w:val="008021A4"/>
    <w:rsid w:val="008022B7"/>
    <w:rsid w:val="008023F4"/>
    <w:rsid w:val="0080248C"/>
    <w:rsid w:val="008025DE"/>
    <w:rsid w:val="008026C0"/>
    <w:rsid w:val="00802784"/>
    <w:rsid w:val="00802880"/>
    <w:rsid w:val="008029B2"/>
    <w:rsid w:val="008029EE"/>
    <w:rsid w:val="00802B51"/>
    <w:rsid w:val="00802BB0"/>
    <w:rsid w:val="00802C68"/>
    <w:rsid w:val="00802CC9"/>
    <w:rsid w:val="00802DA1"/>
    <w:rsid w:val="00802FBF"/>
    <w:rsid w:val="00803130"/>
    <w:rsid w:val="00803370"/>
    <w:rsid w:val="008034FC"/>
    <w:rsid w:val="008035DD"/>
    <w:rsid w:val="00803678"/>
    <w:rsid w:val="00803B46"/>
    <w:rsid w:val="00803C23"/>
    <w:rsid w:val="00803DDF"/>
    <w:rsid w:val="00803EAE"/>
    <w:rsid w:val="00803F28"/>
    <w:rsid w:val="0080400B"/>
    <w:rsid w:val="0080400F"/>
    <w:rsid w:val="00804014"/>
    <w:rsid w:val="008040A2"/>
    <w:rsid w:val="0080412A"/>
    <w:rsid w:val="00804162"/>
    <w:rsid w:val="008042F1"/>
    <w:rsid w:val="008042FC"/>
    <w:rsid w:val="00804303"/>
    <w:rsid w:val="00804307"/>
    <w:rsid w:val="00804462"/>
    <w:rsid w:val="0080448A"/>
    <w:rsid w:val="00804500"/>
    <w:rsid w:val="00804695"/>
    <w:rsid w:val="00804705"/>
    <w:rsid w:val="00804AF3"/>
    <w:rsid w:val="00804B4F"/>
    <w:rsid w:val="00804BAF"/>
    <w:rsid w:val="00804DC7"/>
    <w:rsid w:val="00804F13"/>
    <w:rsid w:val="00804FA0"/>
    <w:rsid w:val="00805053"/>
    <w:rsid w:val="0080521F"/>
    <w:rsid w:val="00805277"/>
    <w:rsid w:val="00805316"/>
    <w:rsid w:val="0080532D"/>
    <w:rsid w:val="00805411"/>
    <w:rsid w:val="00805413"/>
    <w:rsid w:val="00805450"/>
    <w:rsid w:val="00805547"/>
    <w:rsid w:val="0080568D"/>
    <w:rsid w:val="008056DC"/>
    <w:rsid w:val="00805819"/>
    <w:rsid w:val="00805956"/>
    <w:rsid w:val="00805AE2"/>
    <w:rsid w:val="00805BF7"/>
    <w:rsid w:val="00805D09"/>
    <w:rsid w:val="00805E79"/>
    <w:rsid w:val="00805EA4"/>
    <w:rsid w:val="00805F35"/>
    <w:rsid w:val="00806370"/>
    <w:rsid w:val="00806453"/>
    <w:rsid w:val="00806664"/>
    <w:rsid w:val="00806687"/>
    <w:rsid w:val="0080672B"/>
    <w:rsid w:val="00806854"/>
    <w:rsid w:val="00806AE8"/>
    <w:rsid w:val="00806B7A"/>
    <w:rsid w:val="00806B96"/>
    <w:rsid w:val="00806BB7"/>
    <w:rsid w:val="00806CF3"/>
    <w:rsid w:val="00806EC5"/>
    <w:rsid w:val="00806EFF"/>
    <w:rsid w:val="00806FE9"/>
    <w:rsid w:val="00806FEB"/>
    <w:rsid w:val="00807074"/>
    <w:rsid w:val="0080707F"/>
    <w:rsid w:val="008070DB"/>
    <w:rsid w:val="008070EF"/>
    <w:rsid w:val="008071C3"/>
    <w:rsid w:val="0080739D"/>
    <w:rsid w:val="008073AA"/>
    <w:rsid w:val="0080765B"/>
    <w:rsid w:val="00807687"/>
    <w:rsid w:val="00807695"/>
    <w:rsid w:val="008076FE"/>
    <w:rsid w:val="00807803"/>
    <w:rsid w:val="00807833"/>
    <w:rsid w:val="008078B7"/>
    <w:rsid w:val="008078D0"/>
    <w:rsid w:val="00807A22"/>
    <w:rsid w:val="00807B6B"/>
    <w:rsid w:val="00807BAE"/>
    <w:rsid w:val="00807C14"/>
    <w:rsid w:val="00807F59"/>
    <w:rsid w:val="00810008"/>
    <w:rsid w:val="008100B7"/>
    <w:rsid w:val="00810379"/>
    <w:rsid w:val="0081039D"/>
    <w:rsid w:val="008103B8"/>
    <w:rsid w:val="008105CF"/>
    <w:rsid w:val="008106C6"/>
    <w:rsid w:val="008106F6"/>
    <w:rsid w:val="00810755"/>
    <w:rsid w:val="0081090F"/>
    <w:rsid w:val="00810B4D"/>
    <w:rsid w:val="00810EBC"/>
    <w:rsid w:val="00810EE2"/>
    <w:rsid w:val="00810F66"/>
    <w:rsid w:val="00811059"/>
    <w:rsid w:val="0081118A"/>
    <w:rsid w:val="008113D8"/>
    <w:rsid w:val="008115FD"/>
    <w:rsid w:val="0081163D"/>
    <w:rsid w:val="008117E7"/>
    <w:rsid w:val="008117F8"/>
    <w:rsid w:val="008119D2"/>
    <w:rsid w:val="00811BDB"/>
    <w:rsid w:val="00811CED"/>
    <w:rsid w:val="00811D31"/>
    <w:rsid w:val="00811D5C"/>
    <w:rsid w:val="00811DE2"/>
    <w:rsid w:val="00811F07"/>
    <w:rsid w:val="00812019"/>
    <w:rsid w:val="008120FA"/>
    <w:rsid w:val="00812173"/>
    <w:rsid w:val="008124B6"/>
    <w:rsid w:val="008124F6"/>
    <w:rsid w:val="008126FE"/>
    <w:rsid w:val="00812709"/>
    <w:rsid w:val="008127AC"/>
    <w:rsid w:val="00812927"/>
    <w:rsid w:val="008129E6"/>
    <w:rsid w:val="00812BA8"/>
    <w:rsid w:val="00812BC7"/>
    <w:rsid w:val="00812BE6"/>
    <w:rsid w:val="00812BFD"/>
    <w:rsid w:val="00812BFF"/>
    <w:rsid w:val="00812C47"/>
    <w:rsid w:val="00812D18"/>
    <w:rsid w:val="00812D6F"/>
    <w:rsid w:val="00812EC8"/>
    <w:rsid w:val="00812F97"/>
    <w:rsid w:val="008130AD"/>
    <w:rsid w:val="00813223"/>
    <w:rsid w:val="008134FC"/>
    <w:rsid w:val="00813534"/>
    <w:rsid w:val="008138BC"/>
    <w:rsid w:val="0081391F"/>
    <w:rsid w:val="00813994"/>
    <w:rsid w:val="008139F2"/>
    <w:rsid w:val="00813A23"/>
    <w:rsid w:val="00813AD3"/>
    <w:rsid w:val="00813B90"/>
    <w:rsid w:val="00813C51"/>
    <w:rsid w:val="00813C95"/>
    <w:rsid w:val="00813CF1"/>
    <w:rsid w:val="00813DD8"/>
    <w:rsid w:val="00813E47"/>
    <w:rsid w:val="00813F50"/>
    <w:rsid w:val="0081414F"/>
    <w:rsid w:val="00814161"/>
    <w:rsid w:val="008141C3"/>
    <w:rsid w:val="008141DD"/>
    <w:rsid w:val="008142AE"/>
    <w:rsid w:val="008143DE"/>
    <w:rsid w:val="008144E9"/>
    <w:rsid w:val="008144EA"/>
    <w:rsid w:val="008145C8"/>
    <w:rsid w:val="00814662"/>
    <w:rsid w:val="008146C2"/>
    <w:rsid w:val="008146D7"/>
    <w:rsid w:val="008146F9"/>
    <w:rsid w:val="0081491C"/>
    <w:rsid w:val="00814994"/>
    <w:rsid w:val="008149B8"/>
    <w:rsid w:val="00814BF0"/>
    <w:rsid w:val="00814C1D"/>
    <w:rsid w:val="00814CE2"/>
    <w:rsid w:val="00814D56"/>
    <w:rsid w:val="00814EC9"/>
    <w:rsid w:val="00815214"/>
    <w:rsid w:val="00815318"/>
    <w:rsid w:val="00815386"/>
    <w:rsid w:val="008153A9"/>
    <w:rsid w:val="00815421"/>
    <w:rsid w:val="008154C4"/>
    <w:rsid w:val="008154CA"/>
    <w:rsid w:val="00815549"/>
    <w:rsid w:val="0081577E"/>
    <w:rsid w:val="008157A9"/>
    <w:rsid w:val="00815814"/>
    <w:rsid w:val="0081584C"/>
    <w:rsid w:val="00815A12"/>
    <w:rsid w:val="00815A1B"/>
    <w:rsid w:val="00815A1F"/>
    <w:rsid w:val="00815A34"/>
    <w:rsid w:val="00815A62"/>
    <w:rsid w:val="00815A99"/>
    <w:rsid w:val="00815C52"/>
    <w:rsid w:val="00815CFB"/>
    <w:rsid w:val="00815E49"/>
    <w:rsid w:val="00815F35"/>
    <w:rsid w:val="00816063"/>
    <w:rsid w:val="008160FB"/>
    <w:rsid w:val="0081612B"/>
    <w:rsid w:val="008162AC"/>
    <w:rsid w:val="0081630D"/>
    <w:rsid w:val="0081631C"/>
    <w:rsid w:val="00816462"/>
    <w:rsid w:val="00816477"/>
    <w:rsid w:val="00816565"/>
    <w:rsid w:val="008166FB"/>
    <w:rsid w:val="008168F4"/>
    <w:rsid w:val="00816969"/>
    <w:rsid w:val="00816AB2"/>
    <w:rsid w:val="00816AD0"/>
    <w:rsid w:val="00816BB9"/>
    <w:rsid w:val="00816C69"/>
    <w:rsid w:val="00816DEC"/>
    <w:rsid w:val="00816DFC"/>
    <w:rsid w:val="00816E1A"/>
    <w:rsid w:val="00816F13"/>
    <w:rsid w:val="00816FAA"/>
    <w:rsid w:val="008170EE"/>
    <w:rsid w:val="00817195"/>
    <w:rsid w:val="008171A1"/>
    <w:rsid w:val="008171D6"/>
    <w:rsid w:val="008172C5"/>
    <w:rsid w:val="008172FF"/>
    <w:rsid w:val="00817330"/>
    <w:rsid w:val="00817377"/>
    <w:rsid w:val="00817456"/>
    <w:rsid w:val="00817457"/>
    <w:rsid w:val="00817813"/>
    <w:rsid w:val="008178AC"/>
    <w:rsid w:val="008178D9"/>
    <w:rsid w:val="008179CC"/>
    <w:rsid w:val="008179F8"/>
    <w:rsid w:val="00817ACA"/>
    <w:rsid w:val="00817B09"/>
    <w:rsid w:val="00817BF2"/>
    <w:rsid w:val="00817C2A"/>
    <w:rsid w:val="00817C95"/>
    <w:rsid w:val="00817CD6"/>
    <w:rsid w:val="00817D45"/>
    <w:rsid w:val="00817DE8"/>
    <w:rsid w:val="00817EB1"/>
    <w:rsid w:val="00817ED8"/>
    <w:rsid w:val="00817F13"/>
    <w:rsid w:val="00820137"/>
    <w:rsid w:val="008202BF"/>
    <w:rsid w:val="0082037D"/>
    <w:rsid w:val="008203F9"/>
    <w:rsid w:val="00820480"/>
    <w:rsid w:val="008204D4"/>
    <w:rsid w:val="008205EA"/>
    <w:rsid w:val="00820626"/>
    <w:rsid w:val="008207C9"/>
    <w:rsid w:val="008208A1"/>
    <w:rsid w:val="008208FC"/>
    <w:rsid w:val="008209D3"/>
    <w:rsid w:val="00820A93"/>
    <w:rsid w:val="00820AA3"/>
    <w:rsid w:val="00820AD4"/>
    <w:rsid w:val="00820BE4"/>
    <w:rsid w:val="00820C02"/>
    <w:rsid w:val="00820DB0"/>
    <w:rsid w:val="00820E07"/>
    <w:rsid w:val="00820F25"/>
    <w:rsid w:val="00820FA1"/>
    <w:rsid w:val="00821232"/>
    <w:rsid w:val="00821373"/>
    <w:rsid w:val="00821394"/>
    <w:rsid w:val="00821587"/>
    <w:rsid w:val="008215DC"/>
    <w:rsid w:val="0082186E"/>
    <w:rsid w:val="008218FC"/>
    <w:rsid w:val="00821909"/>
    <w:rsid w:val="0082198D"/>
    <w:rsid w:val="008219FB"/>
    <w:rsid w:val="00821A96"/>
    <w:rsid w:val="00821C2C"/>
    <w:rsid w:val="00821DCD"/>
    <w:rsid w:val="00821E4C"/>
    <w:rsid w:val="00821F18"/>
    <w:rsid w:val="00821F4B"/>
    <w:rsid w:val="00821F92"/>
    <w:rsid w:val="00821F94"/>
    <w:rsid w:val="008221D3"/>
    <w:rsid w:val="00822321"/>
    <w:rsid w:val="00822422"/>
    <w:rsid w:val="00822530"/>
    <w:rsid w:val="008225D9"/>
    <w:rsid w:val="008226E8"/>
    <w:rsid w:val="00822721"/>
    <w:rsid w:val="00822758"/>
    <w:rsid w:val="00822789"/>
    <w:rsid w:val="008227ED"/>
    <w:rsid w:val="00822BE9"/>
    <w:rsid w:val="00822CDD"/>
    <w:rsid w:val="00822D8B"/>
    <w:rsid w:val="00822E0A"/>
    <w:rsid w:val="00822EB3"/>
    <w:rsid w:val="00822F19"/>
    <w:rsid w:val="00822FCC"/>
    <w:rsid w:val="00823064"/>
    <w:rsid w:val="0082308E"/>
    <w:rsid w:val="00823126"/>
    <w:rsid w:val="008233FF"/>
    <w:rsid w:val="00823448"/>
    <w:rsid w:val="00823763"/>
    <w:rsid w:val="008237A0"/>
    <w:rsid w:val="008239F3"/>
    <w:rsid w:val="00823A9C"/>
    <w:rsid w:val="00823B23"/>
    <w:rsid w:val="00823BF6"/>
    <w:rsid w:val="00823CD1"/>
    <w:rsid w:val="00823EC7"/>
    <w:rsid w:val="00823F73"/>
    <w:rsid w:val="00823F96"/>
    <w:rsid w:val="00823FB0"/>
    <w:rsid w:val="008241CE"/>
    <w:rsid w:val="008242CD"/>
    <w:rsid w:val="00824371"/>
    <w:rsid w:val="00824477"/>
    <w:rsid w:val="0082449D"/>
    <w:rsid w:val="00824575"/>
    <w:rsid w:val="00824657"/>
    <w:rsid w:val="0082475F"/>
    <w:rsid w:val="0082481D"/>
    <w:rsid w:val="00824895"/>
    <w:rsid w:val="00824905"/>
    <w:rsid w:val="00824938"/>
    <w:rsid w:val="0082494A"/>
    <w:rsid w:val="0082499C"/>
    <w:rsid w:val="00824A39"/>
    <w:rsid w:val="00824BD9"/>
    <w:rsid w:val="00824EC9"/>
    <w:rsid w:val="0082503B"/>
    <w:rsid w:val="00825057"/>
    <w:rsid w:val="00825070"/>
    <w:rsid w:val="008250AC"/>
    <w:rsid w:val="0082510F"/>
    <w:rsid w:val="0082515B"/>
    <w:rsid w:val="00825183"/>
    <w:rsid w:val="0082519D"/>
    <w:rsid w:val="0082528F"/>
    <w:rsid w:val="008252A6"/>
    <w:rsid w:val="008252F3"/>
    <w:rsid w:val="0082533D"/>
    <w:rsid w:val="0082546F"/>
    <w:rsid w:val="008254F8"/>
    <w:rsid w:val="00825576"/>
    <w:rsid w:val="008255D3"/>
    <w:rsid w:val="00825773"/>
    <w:rsid w:val="00825804"/>
    <w:rsid w:val="008258D2"/>
    <w:rsid w:val="008258E2"/>
    <w:rsid w:val="00825B57"/>
    <w:rsid w:val="00825CF2"/>
    <w:rsid w:val="008260AD"/>
    <w:rsid w:val="008261B5"/>
    <w:rsid w:val="00826486"/>
    <w:rsid w:val="008265AD"/>
    <w:rsid w:val="0082662B"/>
    <w:rsid w:val="00826677"/>
    <w:rsid w:val="0082667A"/>
    <w:rsid w:val="0082670A"/>
    <w:rsid w:val="0082679B"/>
    <w:rsid w:val="008267D0"/>
    <w:rsid w:val="008267EF"/>
    <w:rsid w:val="00826962"/>
    <w:rsid w:val="00826A52"/>
    <w:rsid w:val="00826B1A"/>
    <w:rsid w:val="00826B6B"/>
    <w:rsid w:val="00826B95"/>
    <w:rsid w:val="00827013"/>
    <w:rsid w:val="00827072"/>
    <w:rsid w:val="0082710D"/>
    <w:rsid w:val="0082717E"/>
    <w:rsid w:val="008271F5"/>
    <w:rsid w:val="008272BD"/>
    <w:rsid w:val="008272FE"/>
    <w:rsid w:val="0082732C"/>
    <w:rsid w:val="00827416"/>
    <w:rsid w:val="00827423"/>
    <w:rsid w:val="00827454"/>
    <w:rsid w:val="0082772A"/>
    <w:rsid w:val="00827758"/>
    <w:rsid w:val="008277E1"/>
    <w:rsid w:val="0082797E"/>
    <w:rsid w:val="008279CF"/>
    <w:rsid w:val="00827AFD"/>
    <w:rsid w:val="00827B24"/>
    <w:rsid w:val="00827BBF"/>
    <w:rsid w:val="00827CBE"/>
    <w:rsid w:val="00827DE4"/>
    <w:rsid w:val="00827E2F"/>
    <w:rsid w:val="00827E36"/>
    <w:rsid w:val="00827FBB"/>
    <w:rsid w:val="0083000E"/>
    <w:rsid w:val="008301D3"/>
    <w:rsid w:val="008302DE"/>
    <w:rsid w:val="0083034A"/>
    <w:rsid w:val="00830358"/>
    <w:rsid w:val="00830382"/>
    <w:rsid w:val="008305B0"/>
    <w:rsid w:val="00830663"/>
    <w:rsid w:val="00830765"/>
    <w:rsid w:val="00830847"/>
    <w:rsid w:val="00830BAC"/>
    <w:rsid w:val="00830C27"/>
    <w:rsid w:val="00830D1E"/>
    <w:rsid w:val="00830D8F"/>
    <w:rsid w:val="00830E8E"/>
    <w:rsid w:val="00830EE1"/>
    <w:rsid w:val="00830F50"/>
    <w:rsid w:val="00830F75"/>
    <w:rsid w:val="008315D4"/>
    <w:rsid w:val="00831607"/>
    <w:rsid w:val="00831785"/>
    <w:rsid w:val="00831794"/>
    <w:rsid w:val="00831B04"/>
    <w:rsid w:val="00831D8A"/>
    <w:rsid w:val="00831D98"/>
    <w:rsid w:val="00831E90"/>
    <w:rsid w:val="00832035"/>
    <w:rsid w:val="0083215C"/>
    <w:rsid w:val="0083217B"/>
    <w:rsid w:val="008322AC"/>
    <w:rsid w:val="008322E5"/>
    <w:rsid w:val="008324EB"/>
    <w:rsid w:val="008325AF"/>
    <w:rsid w:val="0083262E"/>
    <w:rsid w:val="0083265C"/>
    <w:rsid w:val="0083266B"/>
    <w:rsid w:val="0083267B"/>
    <w:rsid w:val="008326DD"/>
    <w:rsid w:val="008326E5"/>
    <w:rsid w:val="0083286B"/>
    <w:rsid w:val="00832A61"/>
    <w:rsid w:val="00832B04"/>
    <w:rsid w:val="00832BB9"/>
    <w:rsid w:val="00832C18"/>
    <w:rsid w:val="00832D23"/>
    <w:rsid w:val="00832D2F"/>
    <w:rsid w:val="00832D6A"/>
    <w:rsid w:val="00832E6A"/>
    <w:rsid w:val="0083334C"/>
    <w:rsid w:val="0083336F"/>
    <w:rsid w:val="008333B2"/>
    <w:rsid w:val="008334D4"/>
    <w:rsid w:val="008335C4"/>
    <w:rsid w:val="008335ED"/>
    <w:rsid w:val="00833686"/>
    <w:rsid w:val="0083371C"/>
    <w:rsid w:val="0083375B"/>
    <w:rsid w:val="008337F7"/>
    <w:rsid w:val="00833831"/>
    <w:rsid w:val="00833966"/>
    <w:rsid w:val="00833A5F"/>
    <w:rsid w:val="00833A62"/>
    <w:rsid w:val="00833AD1"/>
    <w:rsid w:val="00833C3C"/>
    <w:rsid w:val="00833CDE"/>
    <w:rsid w:val="00833DE2"/>
    <w:rsid w:val="00833E87"/>
    <w:rsid w:val="00833F1A"/>
    <w:rsid w:val="0083406B"/>
    <w:rsid w:val="008342B1"/>
    <w:rsid w:val="008343CB"/>
    <w:rsid w:val="008343E3"/>
    <w:rsid w:val="00834403"/>
    <w:rsid w:val="0083448A"/>
    <w:rsid w:val="00834702"/>
    <w:rsid w:val="00834745"/>
    <w:rsid w:val="00834748"/>
    <w:rsid w:val="00834846"/>
    <w:rsid w:val="008348D3"/>
    <w:rsid w:val="00834904"/>
    <w:rsid w:val="00834A7C"/>
    <w:rsid w:val="00834B60"/>
    <w:rsid w:val="00834BA2"/>
    <w:rsid w:val="00834DFF"/>
    <w:rsid w:val="00834F15"/>
    <w:rsid w:val="00834F4F"/>
    <w:rsid w:val="0083506E"/>
    <w:rsid w:val="00835126"/>
    <w:rsid w:val="008351D5"/>
    <w:rsid w:val="0083521A"/>
    <w:rsid w:val="008352D2"/>
    <w:rsid w:val="008354BE"/>
    <w:rsid w:val="0083551E"/>
    <w:rsid w:val="008356E3"/>
    <w:rsid w:val="008357AC"/>
    <w:rsid w:val="008357CF"/>
    <w:rsid w:val="0083582F"/>
    <w:rsid w:val="00835869"/>
    <w:rsid w:val="00835885"/>
    <w:rsid w:val="0083597A"/>
    <w:rsid w:val="008359BA"/>
    <w:rsid w:val="008359C3"/>
    <w:rsid w:val="00835A2E"/>
    <w:rsid w:val="00835EF8"/>
    <w:rsid w:val="00835F99"/>
    <w:rsid w:val="00835FB9"/>
    <w:rsid w:val="00835FC4"/>
    <w:rsid w:val="008362A4"/>
    <w:rsid w:val="008364BF"/>
    <w:rsid w:val="008364EF"/>
    <w:rsid w:val="00836600"/>
    <w:rsid w:val="00836639"/>
    <w:rsid w:val="008366B1"/>
    <w:rsid w:val="00836796"/>
    <w:rsid w:val="008367DD"/>
    <w:rsid w:val="00836919"/>
    <w:rsid w:val="008369FB"/>
    <w:rsid w:val="00836A04"/>
    <w:rsid w:val="00836C8A"/>
    <w:rsid w:val="00836C90"/>
    <w:rsid w:val="00836D93"/>
    <w:rsid w:val="00836F6E"/>
    <w:rsid w:val="00836F6F"/>
    <w:rsid w:val="00836F86"/>
    <w:rsid w:val="00836FF9"/>
    <w:rsid w:val="0083705D"/>
    <w:rsid w:val="00837168"/>
    <w:rsid w:val="008371BA"/>
    <w:rsid w:val="008371C6"/>
    <w:rsid w:val="008371FA"/>
    <w:rsid w:val="008372FE"/>
    <w:rsid w:val="00837560"/>
    <w:rsid w:val="008375B1"/>
    <w:rsid w:val="00837612"/>
    <w:rsid w:val="00837675"/>
    <w:rsid w:val="00837693"/>
    <w:rsid w:val="008376E1"/>
    <w:rsid w:val="00837787"/>
    <w:rsid w:val="0083781A"/>
    <w:rsid w:val="008378F4"/>
    <w:rsid w:val="0083791A"/>
    <w:rsid w:val="00837948"/>
    <w:rsid w:val="00837ECB"/>
    <w:rsid w:val="00840194"/>
    <w:rsid w:val="00840230"/>
    <w:rsid w:val="008402B0"/>
    <w:rsid w:val="008402F0"/>
    <w:rsid w:val="00840363"/>
    <w:rsid w:val="00840392"/>
    <w:rsid w:val="0084063D"/>
    <w:rsid w:val="0084075E"/>
    <w:rsid w:val="0084076C"/>
    <w:rsid w:val="008407DE"/>
    <w:rsid w:val="008409FB"/>
    <w:rsid w:val="008409FD"/>
    <w:rsid w:val="00840B0C"/>
    <w:rsid w:val="00840C58"/>
    <w:rsid w:val="00840D4E"/>
    <w:rsid w:val="00840D64"/>
    <w:rsid w:val="00840F11"/>
    <w:rsid w:val="00840F41"/>
    <w:rsid w:val="00840FB6"/>
    <w:rsid w:val="00840FE5"/>
    <w:rsid w:val="00841031"/>
    <w:rsid w:val="00841122"/>
    <w:rsid w:val="008411B9"/>
    <w:rsid w:val="008411F0"/>
    <w:rsid w:val="0084128E"/>
    <w:rsid w:val="0084139F"/>
    <w:rsid w:val="008413DC"/>
    <w:rsid w:val="00841406"/>
    <w:rsid w:val="0084140B"/>
    <w:rsid w:val="00841734"/>
    <w:rsid w:val="0084188D"/>
    <w:rsid w:val="008418D9"/>
    <w:rsid w:val="0084190A"/>
    <w:rsid w:val="0084194B"/>
    <w:rsid w:val="008419C4"/>
    <w:rsid w:val="008419EF"/>
    <w:rsid w:val="00841B94"/>
    <w:rsid w:val="00841DDA"/>
    <w:rsid w:val="00841E95"/>
    <w:rsid w:val="00841F04"/>
    <w:rsid w:val="008420FC"/>
    <w:rsid w:val="0084215E"/>
    <w:rsid w:val="00842208"/>
    <w:rsid w:val="00842266"/>
    <w:rsid w:val="0084228E"/>
    <w:rsid w:val="008425C9"/>
    <w:rsid w:val="008425E9"/>
    <w:rsid w:val="00842615"/>
    <w:rsid w:val="008426FD"/>
    <w:rsid w:val="008427DC"/>
    <w:rsid w:val="00842948"/>
    <w:rsid w:val="0084299F"/>
    <w:rsid w:val="00842ACF"/>
    <w:rsid w:val="00842C4C"/>
    <w:rsid w:val="00842E0A"/>
    <w:rsid w:val="00842E3B"/>
    <w:rsid w:val="00842EB9"/>
    <w:rsid w:val="00842F0C"/>
    <w:rsid w:val="00843051"/>
    <w:rsid w:val="00843063"/>
    <w:rsid w:val="00843127"/>
    <w:rsid w:val="00843388"/>
    <w:rsid w:val="0084351E"/>
    <w:rsid w:val="00843534"/>
    <w:rsid w:val="0084357D"/>
    <w:rsid w:val="00843588"/>
    <w:rsid w:val="008435A3"/>
    <w:rsid w:val="00843623"/>
    <w:rsid w:val="0084377F"/>
    <w:rsid w:val="008437E5"/>
    <w:rsid w:val="00843998"/>
    <w:rsid w:val="00843A6E"/>
    <w:rsid w:val="00843B15"/>
    <w:rsid w:val="00843D63"/>
    <w:rsid w:val="00843EC6"/>
    <w:rsid w:val="00843EF1"/>
    <w:rsid w:val="0084412F"/>
    <w:rsid w:val="00844145"/>
    <w:rsid w:val="0084414A"/>
    <w:rsid w:val="0084414D"/>
    <w:rsid w:val="008442DA"/>
    <w:rsid w:val="0084443C"/>
    <w:rsid w:val="00844448"/>
    <w:rsid w:val="0084447B"/>
    <w:rsid w:val="00844647"/>
    <w:rsid w:val="0084464F"/>
    <w:rsid w:val="0084470F"/>
    <w:rsid w:val="00844B71"/>
    <w:rsid w:val="00844B92"/>
    <w:rsid w:val="00844CC0"/>
    <w:rsid w:val="00844EAE"/>
    <w:rsid w:val="00844F2F"/>
    <w:rsid w:val="00844FA3"/>
    <w:rsid w:val="008450DC"/>
    <w:rsid w:val="0084510C"/>
    <w:rsid w:val="008454B0"/>
    <w:rsid w:val="008454D2"/>
    <w:rsid w:val="00845894"/>
    <w:rsid w:val="008458E5"/>
    <w:rsid w:val="00845945"/>
    <w:rsid w:val="0084594A"/>
    <w:rsid w:val="0084596F"/>
    <w:rsid w:val="00845A25"/>
    <w:rsid w:val="00845AB3"/>
    <w:rsid w:val="00845C96"/>
    <w:rsid w:val="00845E4B"/>
    <w:rsid w:val="0084608A"/>
    <w:rsid w:val="00846451"/>
    <w:rsid w:val="008464A6"/>
    <w:rsid w:val="008465DC"/>
    <w:rsid w:val="008466FA"/>
    <w:rsid w:val="008468A6"/>
    <w:rsid w:val="00846958"/>
    <w:rsid w:val="008469BF"/>
    <w:rsid w:val="00846A13"/>
    <w:rsid w:val="00846A80"/>
    <w:rsid w:val="00846B7A"/>
    <w:rsid w:val="00846B8A"/>
    <w:rsid w:val="00846BFF"/>
    <w:rsid w:val="00846EC1"/>
    <w:rsid w:val="00846F66"/>
    <w:rsid w:val="0084704A"/>
    <w:rsid w:val="00847118"/>
    <w:rsid w:val="00847126"/>
    <w:rsid w:val="0084715F"/>
    <w:rsid w:val="00847202"/>
    <w:rsid w:val="00847426"/>
    <w:rsid w:val="008474C2"/>
    <w:rsid w:val="008474E5"/>
    <w:rsid w:val="00847500"/>
    <w:rsid w:val="008475A5"/>
    <w:rsid w:val="00847627"/>
    <w:rsid w:val="00847806"/>
    <w:rsid w:val="00847809"/>
    <w:rsid w:val="008479A1"/>
    <w:rsid w:val="00847A02"/>
    <w:rsid w:val="00847A4B"/>
    <w:rsid w:val="00847AB9"/>
    <w:rsid w:val="00847BED"/>
    <w:rsid w:val="00847C3E"/>
    <w:rsid w:val="00847D6F"/>
    <w:rsid w:val="00847DB8"/>
    <w:rsid w:val="00847E6F"/>
    <w:rsid w:val="00847F75"/>
    <w:rsid w:val="0085021E"/>
    <w:rsid w:val="008502DF"/>
    <w:rsid w:val="00850323"/>
    <w:rsid w:val="008503E5"/>
    <w:rsid w:val="00850501"/>
    <w:rsid w:val="00850544"/>
    <w:rsid w:val="00850618"/>
    <w:rsid w:val="008506D1"/>
    <w:rsid w:val="0085071D"/>
    <w:rsid w:val="0085074F"/>
    <w:rsid w:val="008507C7"/>
    <w:rsid w:val="00850802"/>
    <w:rsid w:val="00850829"/>
    <w:rsid w:val="00850853"/>
    <w:rsid w:val="00850876"/>
    <w:rsid w:val="008508F4"/>
    <w:rsid w:val="008509DF"/>
    <w:rsid w:val="00850A5D"/>
    <w:rsid w:val="00850AD4"/>
    <w:rsid w:val="00850B28"/>
    <w:rsid w:val="00850E42"/>
    <w:rsid w:val="00850EF8"/>
    <w:rsid w:val="00850F13"/>
    <w:rsid w:val="0085119A"/>
    <w:rsid w:val="008513A1"/>
    <w:rsid w:val="008513AD"/>
    <w:rsid w:val="00851428"/>
    <w:rsid w:val="0085151A"/>
    <w:rsid w:val="00851587"/>
    <w:rsid w:val="008515C4"/>
    <w:rsid w:val="0085166A"/>
    <w:rsid w:val="0085169A"/>
    <w:rsid w:val="00851787"/>
    <w:rsid w:val="008518C6"/>
    <w:rsid w:val="00851A8A"/>
    <w:rsid w:val="00851C93"/>
    <w:rsid w:val="00851DC8"/>
    <w:rsid w:val="00851E3E"/>
    <w:rsid w:val="00851E94"/>
    <w:rsid w:val="00851F35"/>
    <w:rsid w:val="00851F4C"/>
    <w:rsid w:val="00851FEA"/>
    <w:rsid w:val="008520A7"/>
    <w:rsid w:val="008520CB"/>
    <w:rsid w:val="00852274"/>
    <w:rsid w:val="008522CC"/>
    <w:rsid w:val="008523F1"/>
    <w:rsid w:val="00852406"/>
    <w:rsid w:val="008524D4"/>
    <w:rsid w:val="008525E1"/>
    <w:rsid w:val="008527C4"/>
    <w:rsid w:val="00852A21"/>
    <w:rsid w:val="00852B64"/>
    <w:rsid w:val="00852D1D"/>
    <w:rsid w:val="00852DFC"/>
    <w:rsid w:val="00852E56"/>
    <w:rsid w:val="00852E75"/>
    <w:rsid w:val="00852F50"/>
    <w:rsid w:val="00852F52"/>
    <w:rsid w:val="00853025"/>
    <w:rsid w:val="00853066"/>
    <w:rsid w:val="008530BC"/>
    <w:rsid w:val="00853197"/>
    <w:rsid w:val="0085320F"/>
    <w:rsid w:val="00853332"/>
    <w:rsid w:val="0085333D"/>
    <w:rsid w:val="00853457"/>
    <w:rsid w:val="00853587"/>
    <w:rsid w:val="00853667"/>
    <w:rsid w:val="00853753"/>
    <w:rsid w:val="00853769"/>
    <w:rsid w:val="00853850"/>
    <w:rsid w:val="008538D7"/>
    <w:rsid w:val="00853AC3"/>
    <w:rsid w:val="00853B48"/>
    <w:rsid w:val="00853C57"/>
    <w:rsid w:val="00853EFF"/>
    <w:rsid w:val="00853F08"/>
    <w:rsid w:val="00853F0B"/>
    <w:rsid w:val="00853F79"/>
    <w:rsid w:val="00854026"/>
    <w:rsid w:val="00854044"/>
    <w:rsid w:val="008544C6"/>
    <w:rsid w:val="008544FF"/>
    <w:rsid w:val="0085461D"/>
    <w:rsid w:val="00854A06"/>
    <w:rsid w:val="00854A49"/>
    <w:rsid w:val="00854A92"/>
    <w:rsid w:val="00854C51"/>
    <w:rsid w:val="00854D03"/>
    <w:rsid w:val="00854D11"/>
    <w:rsid w:val="00854DB9"/>
    <w:rsid w:val="00854F37"/>
    <w:rsid w:val="0085537D"/>
    <w:rsid w:val="008553B4"/>
    <w:rsid w:val="0085551E"/>
    <w:rsid w:val="00855531"/>
    <w:rsid w:val="00855710"/>
    <w:rsid w:val="00855778"/>
    <w:rsid w:val="0085578E"/>
    <w:rsid w:val="00855B52"/>
    <w:rsid w:val="00855C35"/>
    <w:rsid w:val="00855CAB"/>
    <w:rsid w:val="00855DED"/>
    <w:rsid w:val="00855E16"/>
    <w:rsid w:val="00855EB6"/>
    <w:rsid w:val="00855F00"/>
    <w:rsid w:val="00855F21"/>
    <w:rsid w:val="00855F61"/>
    <w:rsid w:val="00855F7F"/>
    <w:rsid w:val="00855FDF"/>
    <w:rsid w:val="00855FEF"/>
    <w:rsid w:val="00856001"/>
    <w:rsid w:val="00856014"/>
    <w:rsid w:val="0085602C"/>
    <w:rsid w:val="00856089"/>
    <w:rsid w:val="008560B5"/>
    <w:rsid w:val="008560C5"/>
    <w:rsid w:val="00856121"/>
    <w:rsid w:val="008561EB"/>
    <w:rsid w:val="008562B1"/>
    <w:rsid w:val="00856333"/>
    <w:rsid w:val="00856388"/>
    <w:rsid w:val="0085640C"/>
    <w:rsid w:val="0085643A"/>
    <w:rsid w:val="0085652B"/>
    <w:rsid w:val="0085654D"/>
    <w:rsid w:val="00856821"/>
    <w:rsid w:val="008568B9"/>
    <w:rsid w:val="00856A74"/>
    <w:rsid w:val="00856A9C"/>
    <w:rsid w:val="00856B1D"/>
    <w:rsid w:val="00856C03"/>
    <w:rsid w:val="00856C58"/>
    <w:rsid w:val="00856F0C"/>
    <w:rsid w:val="008570C2"/>
    <w:rsid w:val="00857336"/>
    <w:rsid w:val="008573AA"/>
    <w:rsid w:val="008573C6"/>
    <w:rsid w:val="00857493"/>
    <w:rsid w:val="00857738"/>
    <w:rsid w:val="00857797"/>
    <w:rsid w:val="008577A7"/>
    <w:rsid w:val="008579D0"/>
    <w:rsid w:val="00857AF0"/>
    <w:rsid w:val="00857E05"/>
    <w:rsid w:val="00857F59"/>
    <w:rsid w:val="00857F7D"/>
    <w:rsid w:val="00860066"/>
    <w:rsid w:val="00860164"/>
    <w:rsid w:val="00860183"/>
    <w:rsid w:val="0086020F"/>
    <w:rsid w:val="008602D4"/>
    <w:rsid w:val="00860329"/>
    <w:rsid w:val="00860365"/>
    <w:rsid w:val="00860466"/>
    <w:rsid w:val="008605AC"/>
    <w:rsid w:val="008605AF"/>
    <w:rsid w:val="008606E0"/>
    <w:rsid w:val="0086073A"/>
    <w:rsid w:val="0086082B"/>
    <w:rsid w:val="008609F8"/>
    <w:rsid w:val="00860B33"/>
    <w:rsid w:val="00860BA9"/>
    <w:rsid w:val="00860C22"/>
    <w:rsid w:val="00860CA7"/>
    <w:rsid w:val="00860CE5"/>
    <w:rsid w:val="00860D70"/>
    <w:rsid w:val="00860D83"/>
    <w:rsid w:val="00860E7D"/>
    <w:rsid w:val="00860EE3"/>
    <w:rsid w:val="00860F4E"/>
    <w:rsid w:val="00861002"/>
    <w:rsid w:val="008610B9"/>
    <w:rsid w:val="008610FF"/>
    <w:rsid w:val="0086116B"/>
    <w:rsid w:val="00861207"/>
    <w:rsid w:val="0086124E"/>
    <w:rsid w:val="0086132D"/>
    <w:rsid w:val="00861490"/>
    <w:rsid w:val="00861554"/>
    <w:rsid w:val="00861601"/>
    <w:rsid w:val="008616C6"/>
    <w:rsid w:val="00861765"/>
    <w:rsid w:val="00861797"/>
    <w:rsid w:val="0086188C"/>
    <w:rsid w:val="008618C1"/>
    <w:rsid w:val="0086190E"/>
    <w:rsid w:val="00861A3F"/>
    <w:rsid w:val="00861BA2"/>
    <w:rsid w:val="00861BE0"/>
    <w:rsid w:val="00861BEA"/>
    <w:rsid w:val="00861C52"/>
    <w:rsid w:val="00861C91"/>
    <w:rsid w:val="00861CA0"/>
    <w:rsid w:val="00861CD6"/>
    <w:rsid w:val="00861F85"/>
    <w:rsid w:val="00861FF7"/>
    <w:rsid w:val="00862061"/>
    <w:rsid w:val="008621CB"/>
    <w:rsid w:val="008621CD"/>
    <w:rsid w:val="00862266"/>
    <w:rsid w:val="008622C2"/>
    <w:rsid w:val="008622E2"/>
    <w:rsid w:val="0086237F"/>
    <w:rsid w:val="00862385"/>
    <w:rsid w:val="008623FA"/>
    <w:rsid w:val="0086245E"/>
    <w:rsid w:val="008624E9"/>
    <w:rsid w:val="0086257D"/>
    <w:rsid w:val="008625A1"/>
    <w:rsid w:val="00862633"/>
    <w:rsid w:val="008629C6"/>
    <w:rsid w:val="008629C9"/>
    <w:rsid w:val="00862C70"/>
    <w:rsid w:val="00862EF1"/>
    <w:rsid w:val="00862F09"/>
    <w:rsid w:val="00863037"/>
    <w:rsid w:val="008630E3"/>
    <w:rsid w:val="00863154"/>
    <w:rsid w:val="008631AE"/>
    <w:rsid w:val="00863242"/>
    <w:rsid w:val="0086330D"/>
    <w:rsid w:val="0086356A"/>
    <w:rsid w:val="008635A8"/>
    <w:rsid w:val="0086366A"/>
    <w:rsid w:val="0086370B"/>
    <w:rsid w:val="00863723"/>
    <w:rsid w:val="00863766"/>
    <w:rsid w:val="0086391E"/>
    <w:rsid w:val="00863994"/>
    <w:rsid w:val="00863A0E"/>
    <w:rsid w:val="00863A16"/>
    <w:rsid w:val="00863A86"/>
    <w:rsid w:val="00863AF8"/>
    <w:rsid w:val="00863B69"/>
    <w:rsid w:val="00863B7A"/>
    <w:rsid w:val="00863B81"/>
    <w:rsid w:val="00863D25"/>
    <w:rsid w:val="00863DC3"/>
    <w:rsid w:val="00863E34"/>
    <w:rsid w:val="00863E74"/>
    <w:rsid w:val="00863FFE"/>
    <w:rsid w:val="008640C8"/>
    <w:rsid w:val="00864133"/>
    <w:rsid w:val="008641D4"/>
    <w:rsid w:val="008641DF"/>
    <w:rsid w:val="008641E2"/>
    <w:rsid w:val="00864525"/>
    <w:rsid w:val="00864566"/>
    <w:rsid w:val="008645C3"/>
    <w:rsid w:val="008646FD"/>
    <w:rsid w:val="00864966"/>
    <w:rsid w:val="008649FD"/>
    <w:rsid w:val="00864B80"/>
    <w:rsid w:val="00864BDC"/>
    <w:rsid w:val="00864C11"/>
    <w:rsid w:val="00864CC1"/>
    <w:rsid w:val="00864CCA"/>
    <w:rsid w:val="00864E53"/>
    <w:rsid w:val="00864ECF"/>
    <w:rsid w:val="0086500D"/>
    <w:rsid w:val="0086503B"/>
    <w:rsid w:val="008650BE"/>
    <w:rsid w:val="008650F5"/>
    <w:rsid w:val="00865201"/>
    <w:rsid w:val="00865341"/>
    <w:rsid w:val="0086536C"/>
    <w:rsid w:val="008654E2"/>
    <w:rsid w:val="00865657"/>
    <w:rsid w:val="00865768"/>
    <w:rsid w:val="00865871"/>
    <w:rsid w:val="008658CD"/>
    <w:rsid w:val="008659E4"/>
    <w:rsid w:val="00865BD0"/>
    <w:rsid w:val="00865C17"/>
    <w:rsid w:val="00865C19"/>
    <w:rsid w:val="00865C6E"/>
    <w:rsid w:val="00865D0C"/>
    <w:rsid w:val="00865D36"/>
    <w:rsid w:val="00865E4D"/>
    <w:rsid w:val="00865F25"/>
    <w:rsid w:val="00865FCB"/>
    <w:rsid w:val="008660A0"/>
    <w:rsid w:val="008662AB"/>
    <w:rsid w:val="008662B1"/>
    <w:rsid w:val="00866437"/>
    <w:rsid w:val="00866512"/>
    <w:rsid w:val="0086668C"/>
    <w:rsid w:val="008666F4"/>
    <w:rsid w:val="00866734"/>
    <w:rsid w:val="0086680A"/>
    <w:rsid w:val="00866BBC"/>
    <w:rsid w:val="00866C34"/>
    <w:rsid w:val="00866C6D"/>
    <w:rsid w:val="00866D1E"/>
    <w:rsid w:val="00866D79"/>
    <w:rsid w:val="00866E39"/>
    <w:rsid w:val="00866F02"/>
    <w:rsid w:val="008670CA"/>
    <w:rsid w:val="0086722C"/>
    <w:rsid w:val="00867290"/>
    <w:rsid w:val="00867300"/>
    <w:rsid w:val="00867360"/>
    <w:rsid w:val="00867376"/>
    <w:rsid w:val="008673D3"/>
    <w:rsid w:val="0086748E"/>
    <w:rsid w:val="00867632"/>
    <w:rsid w:val="0086773F"/>
    <w:rsid w:val="00867744"/>
    <w:rsid w:val="00867854"/>
    <w:rsid w:val="008679C8"/>
    <w:rsid w:val="00867A0A"/>
    <w:rsid w:val="00867B03"/>
    <w:rsid w:val="00867B19"/>
    <w:rsid w:val="00867BD8"/>
    <w:rsid w:val="00867E7E"/>
    <w:rsid w:val="00867EB4"/>
    <w:rsid w:val="00867ECB"/>
    <w:rsid w:val="00867F2B"/>
    <w:rsid w:val="0087024C"/>
    <w:rsid w:val="0087028C"/>
    <w:rsid w:val="008702D8"/>
    <w:rsid w:val="00870324"/>
    <w:rsid w:val="0087041A"/>
    <w:rsid w:val="008705E2"/>
    <w:rsid w:val="00870609"/>
    <w:rsid w:val="0087066C"/>
    <w:rsid w:val="00870792"/>
    <w:rsid w:val="0087082B"/>
    <w:rsid w:val="008709A1"/>
    <w:rsid w:val="008709ED"/>
    <w:rsid w:val="00870AFD"/>
    <w:rsid w:val="00870B96"/>
    <w:rsid w:val="00870C66"/>
    <w:rsid w:val="00870DDD"/>
    <w:rsid w:val="00870ED2"/>
    <w:rsid w:val="00870F47"/>
    <w:rsid w:val="00870FC2"/>
    <w:rsid w:val="0087105C"/>
    <w:rsid w:val="00871112"/>
    <w:rsid w:val="008711F9"/>
    <w:rsid w:val="00871240"/>
    <w:rsid w:val="00871261"/>
    <w:rsid w:val="0087128B"/>
    <w:rsid w:val="008712B3"/>
    <w:rsid w:val="008712BF"/>
    <w:rsid w:val="0087138B"/>
    <w:rsid w:val="00871434"/>
    <w:rsid w:val="00871495"/>
    <w:rsid w:val="00871551"/>
    <w:rsid w:val="00871654"/>
    <w:rsid w:val="00871775"/>
    <w:rsid w:val="008717DA"/>
    <w:rsid w:val="00871804"/>
    <w:rsid w:val="00871843"/>
    <w:rsid w:val="008718B2"/>
    <w:rsid w:val="008718C8"/>
    <w:rsid w:val="008718DD"/>
    <w:rsid w:val="00871928"/>
    <w:rsid w:val="00871987"/>
    <w:rsid w:val="00871AD6"/>
    <w:rsid w:val="00871B83"/>
    <w:rsid w:val="00871C0A"/>
    <w:rsid w:val="00871C91"/>
    <w:rsid w:val="00871F91"/>
    <w:rsid w:val="00871FAE"/>
    <w:rsid w:val="00871FE7"/>
    <w:rsid w:val="008720B6"/>
    <w:rsid w:val="00872133"/>
    <w:rsid w:val="00872147"/>
    <w:rsid w:val="0087221A"/>
    <w:rsid w:val="00872271"/>
    <w:rsid w:val="00872379"/>
    <w:rsid w:val="008726B2"/>
    <w:rsid w:val="00872716"/>
    <w:rsid w:val="008728B2"/>
    <w:rsid w:val="008728E9"/>
    <w:rsid w:val="0087299D"/>
    <w:rsid w:val="008729C1"/>
    <w:rsid w:val="008729CA"/>
    <w:rsid w:val="00872C17"/>
    <w:rsid w:val="00872C6A"/>
    <w:rsid w:val="00872CDB"/>
    <w:rsid w:val="00872D84"/>
    <w:rsid w:val="00872D9E"/>
    <w:rsid w:val="00872E21"/>
    <w:rsid w:val="00872F14"/>
    <w:rsid w:val="00873021"/>
    <w:rsid w:val="0087302C"/>
    <w:rsid w:val="008730AA"/>
    <w:rsid w:val="0087314B"/>
    <w:rsid w:val="00873235"/>
    <w:rsid w:val="00873258"/>
    <w:rsid w:val="008733E8"/>
    <w:rsid w:val="008733F6"/>
    <w:rsid w:val="00873826"/>
    <w:rsid w:val="008739FD"/>
    <w:rsid w:val="00873A3C"/>
    <w:rsid w:val="00873BF2"/>
    <w:rsid w:val="00873C0A"/>
    <w:rsid w:val="00873D17"/>
    <w:rsid w:val="00873D66"/>
    <w:rsid w:val="00873DAA"/>
    <w:rsid w:val="00873DCA"/>
    <w:rsid w:val="00873E6C"/>
    <w:rsid w:val="00873E7C"/>
    <w:rsid w:val="00873E95"/>
    <w:rsid w:val="00873EE6"/>
    <w:rsid w:val="00873F8B"/>
    <w:rsid w:val="00873FBF"/>
    <w:rsid w:val="00874066"/>
    <w:rsid w:val="008741E6"/>
    <w:rsid w:val="00874214"/>
    <w:rsid w:val="00874363"/>
    <w:rsid w:val="0087439F"/>
    <w:rsid w:val="008743F9"/>
    <w:rsid w:val="0087446A"/>
    <w:rsid w:val="00874641"/>
    <w:rsid w:val="00874761"/>
    <w:rsid w:val="00874828"/>
    <w:rsid w:val="008748AE"/>
    <w:rsid w:val="008748DE"/>
    <w:rsid w:val="00874C80"/>
    <w:rsid w:val="00874D22"/>
    <w:rsid w:val="00874E07"/>
    <w:rsid w:val="00874E41"/>
    <w:rsid w:val="00874E89"/>
    <w:rsid w:val="00874F66"/>
    <w:rsid w:val="00875046"/>
    <w:rsid w:val="00875109"/>
    <w:rsid w:val="0087510D"/>
    <w:rsid w:val="00875135"/>
    <w:rsid w:val="008751DC"/>
    <w:rsid w:val="008752D5"/>
    <w:rsid w:val="00875353"/>
    <w:rsid w:val="008754D2"/>
    <w:rsid w:val="008754D5"/>
    <w:rsid w:val="00875821"/>
    <w:rsid w:val="0087586C"/>
    <w:rsid w:val="0087587D"/>
    <w:rsid w:val="00875882"/>
    <w:rsid w:val="008759C8"/>
    <w:rsid w:val="00875A28"/>
    <w:rsid w:val="00875A41"/>
    <w:rsid w:val="00875B18"/>
    <w:rsid w:val="00875B3A"/>
    <w:rsid w:val="00875B3E"/>
    <w:rsid w:val="00875B5B"/>
    <w:rsid w:val="00875B5C"/>
    <w:rsid w:val="00875BC6"/>
    <w:rsid w:val="00875C31"/>
    <w:rsid w:val="00875C51"/>
    <w:rsid w:val="00875DAF"/>
    <w:rsid w:val="00875DBE"/>
    <w:rsid w:val="00875EAE"/>
    <w:rsid w:val="00875F2E"/>
    <w:rsid w:val="00875F32"/>
    <w:rsid w:val="00875F96"/>
    <w:rsid w:val="00876068"/>
    <w:rsid w:val="008761F3"/>
    <w:rsid w:val="0087624B"/>
    <w:rsid w:val="0087627C"/>
    <w:rsid w:val="00876348"/>
    <w:rsid w:val="00876465"/>
    <w:rsid w:val="008764F9"/>
    <w:rsid w:val="00876501"/>
    <w:rsid w:val="00876542"/>
    <w:rsid w:val="00876606"/>
    <w:rsid w:val="00876663"/>
    <w:rsid w:val="008767AA"/>
    <w:rsid w:val="0087681C"/>
    <w:rsid w:val="00876AE0"/>
    <w:rsid w:val="00876AE6"/>
    <w:rsid w:val="00876C13"/>
    <w:rsid w:val="00876D19"/>
    <w:rsid w:val="00876ECC"/>
    <w:rsid w:val="00877103"/>
    <w:rsid w:val="00877106"/>
    <w:rsid w:val="00877299"/>
    <w:rsid w:val="0087736B"/>
    <w:rsid w:val="0087738D"/>
    <w:rsid w:val="008774A1"/>
    <w:rsid w:val="00877652"/>
    <w:rsid w:val="008776A8"/>
    <w:rsid w:val="0087780F"/>
    <w:rsid w:val="00877822"/>
    <w:rsid w:val="0087782D"/>
    <w:rsid w:val="008778E9"/>
    <w:rsid w:val="00877A00"/>
    <w:rsid w:val="00877BF2"/>
    <w:rsid w:val="00877CAA"/>
    <w:rsid w:val="00877EF9"/>
    <w:rsid w:val="0088000E"/>
    <w:rsid w:val="00880043"/>
    <w:rsid w:val="00880114"/>
    <w:rsid w:val="00880269"/>
    <w:rsid w:val="008802D6"/>
    <w:rsid w:val="0088036D"/>
    <w:rsid w:val="008803D0"/>
    <w:rsid w:val="00880439"/>
    <w:rsid w:val="008806E3"/>
    <w:rsid w:val="0088076D"/>
    <w:rsid w:val="00880833"/>
    <w:rsid w:val="00880891"/>
    <w:rsid w:val="0088089D"/>
    <w:rsid w:val="00880961"/>
    <w:rsid w:val="00880A65"/>
    <w:rsid w:val="00880ACE"/>
    <w:rsid w:val="00880AEA"/>
    <w:rsid w:val="00880BE7"/>
    <w:rsid w:val="00880D0C"/>
    <w:rsid w:val="00880D27"/>
    <w:rsid w:val="00880DF8"/>
    <w:rsid w:val="00880EB8"/>
    <w:rsid w:val="00880FF7"/>
    <w:rsid w:val="00881088"/>
    <w:rsid w:val="00881188"/>
    <w:rsid w:val="0088133B"/>
    <w:rsid w:val="0088140A"/>
    <w:rsid w:val="008815C4"/>
    <w:rsid w:val="00881809"/>
    <w:rsid w:val="0088183F"/>
    <w:rsid w:val="00881A98"/>
    <w:rsid w:val="00881AD9"/>
    <w:rsid w:val="00881C82"/>
    <w:rsid w:val="00881CE2"/>
    <w:rsid w:val="00882076"/>
    <w:rsid w:val="0088228E"/>
    <w:rsid w:val="008823B8"/>
    <w:rsid w:val="00882429"/>
    <w:rsid w:val="008826F9"/>
    <w:rsid w:val="00882716"/>
    <w:rsid w:val="0088275F"/>
    <w:rsid w:val="00882775"/>
    <w:rsid w:val="008827DF"/>
    <w:rsid w:val="008828E1"/>
    <w:rsid w:val="0088297F"/>
    <w:rsid w:val="00882AA3"/>
    <w:rsid w:val="00882ABD"/>
    <w:rsid w:val="00882C49"/>
    <w:rsid w:val="00882D78"/>
    <w:rsid w:val="00882EF4"/>
    <w:rsid w:val="00882F45"/>
    <w:rsid w:val="00882F9A"/>
    <w:rsid w:val="0088313F"/>
    <w:rsid w:val="0088317F"/>
    <w:rsid w:val="00883531"/>
    <w:rsid w:val="008835AA"/>
    <w:rsid w:val="0088394E"/>
    <w:rsid w:val="00883A6B"/>
    <w:rsid w:val="00883AC5"/>
    <w:rsid w:val="00883C64"/>
    <w:rsid w:val="00883C82"/>
    <w:rsid w:val="00883CE6"/>
    <w:rsid w:val="00883E0A"/>
    <w:rsid w:val="00883ED4"/>
    <w:rsid w:val="00883F34"/>
    <w:rsid w:val="00884320"/>
    <w:rsid w:val="008843C3"/>
    <w:rsid w:val="0088440F"/>
    <w:rsid w:val="008844B4"/>
    <w:rsid w:val="00884560"/>
    <w:rsid w:val="0088457A"/>
    <w:rsid w:val="00884825"/>
    <w:rsid w:val="0088483E"/>
    <w:rsid w:val="00884876"/>
    <w:rsid w:val="008848CC"/>
    <w:rsid w:val="00884906"/>
    <w:rsid w:val="008849F0"/>
    <w:rsid w:val="00884A55"/>
    <w:rsid w:val="00884ADF"/>
    <w:rsid w:val="00884DBD"/>
    <w:rsid w:val="00884EA2"/>
    <w:rsid w:val="00885092"/>
    <w:rsid w:val="008850B1"/>
    <w:rsid w:val="008856E0"/>
    <w:rsid w:val="0088589C"/>
    <w:rsid w:val="00885931"/>
    <w:rsid w:val="00885A8A"/>
    <w:rsid w:val="00885B89"/>
    <w:rsid w:val="00885BAB"/>
    <w:rsid w:val="00885D71"/>
    <w:rsid w:val="00885F79"/>
    <w:rsid w:val="00885FF7"/>
    <w:rsid w:val="00886171"/>
    <w:rsid w:val="00886181"/>
    <w:rsid w:val="00886574"/>
    <w:rsid w:val="008866E3"/>
    <w:rsid w:val="00886734"/>
    <w:rsid w:val="00886757"/>
    <w:rsid w:val="00886777"/>
    <w:rsid w:val="008867A7"/>
    <w:rsid w:val="008867DF"/>
    <w:rsid w:val="008867F1"/>
    <w:rsid w:val="00886AE3"/>
    <w:rsid w:val="00886C94"/>
    <w:rsid w:val="00886DAA"/>
    <w:rsid w:val="00886E60"/>
    <w:rsid w:val="00886F51"/>
    <w:rsid w:val="00886FC5"/>
    <w:rsid w:val="00887087"/>
    <w:rsid w:val="00887102"/>
    <w:rsid w:val="0088712F"/>
    <w:rsid w:val="008871C8"/>
    <w:rsid w:val="00887268"/>
    <w:rsid w:val="00887332"/>
    <w:rsid w:val="0088735D"/>
    <w:rsid w:val="0088736A"/>
    <w:rsid w:val="008874EC"/>
    <w:rsid w:val="0088750D"/>
    <w:rsid w:val="00887550"/>
    <w:rsid w:val="00887555"/>
    <w:rsid w:val="0088775D"/>
    <w:rsid w:val="00887859"/>
    <w:rsid w:val="008878D3"/>
    <w:rsid w:val="0088796D"/>
    <w:rsid w:val="00887B23"/>
    <w:rsid w:val="00887BDC"/>
    <w:rsid w:val="00887C02"/>
    <w:rsid w:val="00887C41"/>
    <w:rsid w:val="00887CC5"/>
    <w:rsid w:val="00887CEB"/>
    <w:rsid w:val="00887D5F"/>
    <w:rsid w:val="00887E26"/>
    <w:rsid w:val="00887E41"/>
    <w:rsid w:val="00887E60"/>
    <w:rsid w:val="00887F94"/>
    <w:rsid w:val="0089030D"/>
    <w:rsid w:val="0089035C"/>
    <w:rsid w:val="0089039A"/>
    <w:rsid w:val="008904F2"/>
    <w:rsid w:val="00890561"/>
    <w:rsid w:val="008905C6"/>
    <w:rsid w:val="00890676"/>
    <w:rsid w:val="008906EE"/>
    <w:rsid w:val="008907D3"/>
    <w:rsid w:val="008907E3"/>
    <w:rsid w:val="0089080F"/>
    <w:rsid w:val="008908F8"/>
    <w:rsid w:val="0089098B"/>
    <w:rsid w:val="008909D0"/>
    <w:rsid w:val="00890A60"/>
    <w:rsid w:val="00890AD0"/>
    <w:rsid w:val="00890B72"/>
    <w:rsid w:val="00890B97"/>
    <w:rsid w:val="00890C05"/>
    <w:rsid w:val="00890C12"/>
    <w:rsid w:val="00890DC1"/>
    <w:rsid w:val="00890E5A"/>
    <w:rsid w:val="00890F1D"/>
    <w:rsid w:val="00890F5A"/>
    <w:rsid w:val="008910B4"/>
    <w:rsid w:val="00891100"/>
    <w:rsid w:val="008911D1"/>
    <w:rsid w:val="008911F8"/>
    <w:rsid w:val="008913A7"/>
    <w:rsid w:val="008913B6"/>
    <w:rsid w:val="008913F1"/>
    <w:rsid w:val="008914BA"/>
    <w:rsid w:val="0089163C"/>
    <w:rsid w:val="0089175F"/>
    <w:rsid w:val="00891899"/>
    <w:rsid w:val="008918DF"/>
    <w:rsid w:val="00891A09"/>
    <w:rsid w:val="00891DB3"/>
    <w:rsid w:val="00891F34"/>
    <w:rsid w:val="0089212D"/>
    <w:rsid w:val="00892269"/>
    <w:rsid w:val="008922C8"/>
    <w:rsid w:val="008923AB"/>
    <w:rsid w:val="0089247F"/>
    <w:rsid w:val="008925BA"/>
    <w:rsid w:val="008925FC"/>
    <w:rsid w:val="008926F3"/>
    <w:rsid w:val="0089284F"/>
    <w:rsid w:val="008928E0"/>
    <w:rsid w:val="0089293E"/>
    <w:rsid w:val="0089297C"/>
    <w:rsid w:val="00892A38"/>
    <w:rsid w:val="00892C31"/>
    <w:rsid w:val="00892C47"/>
    <w:rsid w:val="00892C95"/>
    <w:rsid w:val="00892DCC"/>
    <w:rsid w:val="00892E58"/>
    <w:rsid w:val="00892EFF"/>
    <w:rsid w:val="00892F27"/>
    <w:rsid w:val="00892F6A"/>
    <w:rsid w:val="00892F6F"/>
    <w:rsid w:val="00893237"/>
    <w:rsid w:val="0089332C"/>
    <w:rsid w:val="0089341A"/>
    <w:rsid w:val="0089352C"/>
    <w:rsid w:val="008935C5"/>
    <w:rsid w:val="008935F9"/>
    <w:rsid w:val="00893798"/>
    <w:rsid w:val="0089384D"/>
    <w:rsid w:val="0089386E"/>
    <w:rsid w:val="00893938"/>
    <w:rsid w:val="00893A0B"/>
    <w:rsid w:val="00893A0E"/>
    <w:rsid w:val="00893AA9"/>
    <w:rsid w:val="00893B0E"/>
    <w:rsid w:val="00893B27"/>
    <w:rsid w:val="00893BD5"/>
    <w:rsid w:val="00893BFF"/>
    <w:rsid w:val="00893EA5"/>
    <w:rsid w:val="0089407E"/>
    <w:rsid w:val="0089411D"/>
    <w:rsid w:val="00894392"/>
    <w:rsid w:val="00894515"/>
    <w:rsid w:val="00894532"/>
    <w:rsid w:val="00894570"/>
    <w:rsid w:val="008946D6"/>
    <w:rsid w:val="008947D7"/>
    <w:rsid w:val="00894DA1"/>
    <w:rsid w:val="00894E7E"/>
    <w:rsid w:val="0089506A"/>
    <w:rsid w:val="00895104"/>
    <w:rsid w:val="008951A7"/>
    <w:rsid w:val="0089528C"/>
    <w:rsid w:val="00895307"/>
    <w:rsid w:val="0089534F"/>
    <w:rsid w:val="0089535D"/>
    <w:rsid w:val="0089536B"/>
    <w:rsid w:val="008953D9"/>
    <w:rsid w:val="00895517"/>
    <w:rsid w:val="0089575E"/>
    <w:rsid w:val="008957C4"/>
    <w:rsid w:val="00895856"/>
    <w:rsid w:val="0089592F"/>
    <w:rsid w:val="00895AC9"/>
    <w:rsid w:val="00895AEA"/>
    <w:rsid w:val="00895B27"/>
    <w:rsid w:val="00895B58"/>
    <w:rsid w:val="00895B74"/>
    <w:rsid w:val="00895F25"/>
    <w:rsid w:val="00896023"/>
    <w:rsid w:val="0089620B"/>
    <w:rsid w:val="008962E6"/>
    <w:rsid w:val="008963C8"/>
    <w:rsid w:val="008963F3"/>
    <w:rsid w:val="00896422"/>
    <w:rsid w:val="008964C7"/>
    <w:rsid w:val="008967CA"/>
    <w:rsid w:val="00896ABA"/>
    <w:rsid w:val="00896BE8"/>
    <w:rsid w:val="00896C4F"/>
    <w:rsid w:val="00896DDC"/>
    <w:rsid w:val="00896E2D"/>
    <w:rsid w:val="00896F69"/>
    <w:rsid w:val="00897069"/>
    <w:rsid w:val="0089706C"/>
    <w:rsid w:val="00897079"/>
    <w:rsid w:val="008970D6"/>
    <w:rsid w:val="0089720B"/>
    <w:rsid w:val="008972F7"/>
    <w:rsid w:val="008973AE"/>
    <w:rsid w:val="0089764D"/>
    <w:rsid w:val="0089766B"/>
    <w:rsid w:val="00897701"/>
    <w:rsid w:val="008979D9"/>
    <w:rsid w:val="00897ACF"/>
    <w:rsid w:val="00897B3C"/>
    <w:rsid w:val="00897B95"/>
    <w:rsid w:val="00897CAC"/>
    <w:rsid w:val="00897CE8"/>
    <w:rsid w:val="00897D77"/>
    <w:rsid w:val="00897E1E"/>
    <w:rsid w:val="008A00A5"/>
    <w:rsid w:val="008A019A"/>
    <w:rsid w:val="008A0226"/>
    <w:rsid w:val="008A03AF"/>
    <w:rsid w:val="008A047B"/>
    <w:rsid w:val="008A0566"/>
    <w:rsid w:val="008A05C5"/>
    <w:rsid w:val="008A05F9"/>
    <w:rsid w:val="008A06A2"/>
    <w:rsid w:val="008A0766"/>
    <w:rsid w:val="008A07BD"/>
    <w:rsid w:val="008A0825"/>
    <w:rsid w:val="008A0897"/>
    <w:rsid w:val="008A08A3"/>
    <w:rsid w:val="008A0945"/>
    <w:rsid w:val="008A0B65"/>
    <w:rsid w:val="008A0CEF"/>
    <w:rsid w:val="008A0EF8"/>
    <w:rsid w:val="008A1061"/>
    <w:rsid w:val="008A10BF"/>
    <w:rsid w:val="008A11E6"/>
    <w:rsid w:val="008A1257"/>
    <w:rsid w:val="008A1332"/>
    <w:rsid w:val="008A1412"/>
    <w:rsid w:val="008A1522"/>
    <w:rsid w:val="008A16EC"/>
    <w:rsid w:val="008A18B3"/>
    <w:rsid w:val="008A1A37"/>
    <w:rsid w:val="008A1AED"/>
    <w:rsid w:val="008A1B47"/>
    <w:rsid w:val="008A1BA4"/>
    <w:rsid w:val="008A1BD9"/>
    <w:rsid w:val="008A1BE0"/>
    <w:rsid w:val="008A1C47"/>
    <w:rsid w:val="008A1DCB"/>
    <w:rsid w:val="008A1EFB"/>
    <w:rsid w:val="008A2129"/>
    <w:rsid w:val="008A2174"/>
    <w:rsid w:val="008A2240"/>
    <w:rsid w:val="008A232E"/>
    <w:rsid w:val="008A260E"/>
    <w:rsid w:val="008A2772"/>
    <w:rsid w:val="008A281A"/>
    <w:rsid w:val="008A2845"/>
    <w:rsid w:val="008A2874"/>
    <w:rsid w:val="008A2898"/>
    <w:rsid w:val="008A28CF"/>
    <w:rsid w:val="008A2A42"/>
    <w:rsid w:val="008A2BC1"/>
    <w:rsid w:val="008A2D54"/>
    <w:rsid w:val="008A2E0E"/>
    <w:rsid w:val="008A2E5E"/>
    <w:rsid w:val="008A2F7D"/>
    <w:rsid w:val="008A2FA5"/>
    <w:rsid w:val="008A2FEC"/>
    <w:rsid w:val="008A310B"/>
    <w:rsid w:val="008A31DF"/>
    <w:rsid w:val="008A3300"/>
    <w:rsid w:val="008A3319"/>
    <w:rsid w:val="008A33F3"/>
    <w:rsid w:val="008A3412"/>
    <w:rsid w:val="008A34D8"/>
    <w:rsid w:val="008A35D7"/>
    <w:rsid w:val="008A362A"/>
    <w:rsid w:val="008A362F"/>
    <w:rsid w:val="008A36AB"/>
    <w:rsid w:val="008A36B1"/>
    <w:rsid w:val="008A37D9"/>
    <w:rsid w:val="008A3977"/>
    <w:rsid w:val="008A39E9"/>
    <w:rsid w:val="008A3D88"/>
    <w:rsid w:val="008A3E73"/>
    <w:rsid w:val="008A3E88"/>
    <w:rsid w:val="008A4120"/>
    <w:rsid w:val="008A4210"/>
    <w:rsid w:val="008A4475"/>
    <w:rsid w:val="008A4591"/>
    <w:rsid w:val="008A4618"/>
    <w:rsid w:val="008A47FE"/>
    <w:rsid w:val="008A4853"/>
    <w:rsid w:val="008A485B"/>
    <w:rsid w:val="008A487E"/>
    <w:rsid w:val="008A4A00"/>
    <w:rsid w:val="008A4A57"/>
    <w:rsid w:val="008A4AF3"/>
    <w:rsid w:val="008A4BDE"/>
    <w:rsid w:val="008A4C35"/>
    <w:rsid w:val="008A4C6D"/>
    <w:rsid w:val="008A4CF4"/>
    <w:rsid w:val="008A4D20"/>
    <w:rsid w:val="008A4FB0"/>
    <w:rsid w:val="008A4FF8"/>
    <w:rsid w:val="008A5763"/>
    <w:rsid w:val="008A5879"/>
    <w:rsid w:val="008A5893"/>
    <w:rsid w:val="008A59AF"/>
    <w:rsid w:val="008A5A52"/>
    <w:rsid w:val="008A5B35"/>
    <w:rsid w:val="008A5B69"/>
    <w:rsid w:val="008A5D52"/>
    <w:rsid w:val="008A5E22"/>
    <w:rsid w:val="008A5E95"/>
    <w:rsid w:val="008A5F37"/>
    <w:rsid w:val="008A605F"/>
    <w:rsid w:val="008A611C"/>
    <w:rsid w:val="008A615C"/>
    <w:rsid w:val="008A6191"/>
    <w:rsid w:val="008A619A"/>
    <w:rsid w:val="008A6279"/>
    <w:rsid w:val="008A62AC"/>
    <w:rsid w:val="008A6309"/>
    <w:rsid w:val="008A6341"/>
    <w:rsid w:val="008A6378"/>
    <w:rsid w:val="008A63DC"/>
    <w:rsid w:val="008A644C"/>
    <w:rsid w:val="008A65E7"/>
    <w:rsid w:val="008A674E"/>
    <w:rsid w:val="008A685E"/>
    <w:rsid w:val="008A688F"/>
    <w:rsid w:val="008A6DB0"/>
    <w:rsid w:val="008A6FD7"/>
    <w:rsid w:val="008A70D8"/>
    <w:rsid w:val="008A7256"/>
    <w:rsid w:val="008A72DA"/>
    <w:rsid w:val="008A7314"/>
    <w:rsid w:val="008A73B7"/>
    <w:rsid w:val="008A7431"/>
    <w:rsid w:val="008A74CC"/>
    <w:rsid w:val="008A75D3"/>
    <w:rsid w:val="008A7622"/>
    <w:rsid w:val="008A76EE"/>
    <w:rsid w:val="008A7742"/>
    <w:rsid w:val="008A77AD"/>
    <w:rsid w:val="008A77BA"/>
    <w:rsid w:val="008A789B"/>
    <w:rsid w:val="008A7AC2"/>
    <w:rsid w:val="008A7AEB"/>
    <w:rsid w:val="008A7B3B"/>
    <w:rsid w:val="008A7BEF"/>
    <w:rsid w:val="008A7C2D"/>
    <w:rsid w:val="008A7CAA"/>
    <w:rsid w:val="008A7CE0"/>
    <w:rsid w:val="008A7D08"/>
    <w:rsid w:val="008A7DBE"/>
    <w:rsid w:val="008A7E70"/>
    <w:rsid w:val="008A7FB6"/>
    <w:rsid w:val="008A7FF0"/>
    <w:rsid w:val="008B0020"/>
    <w:rsid w:val="008B00C6"/>
    <w:rsid w:val="008B0111"/>
    <w:rsid w:val="008B016C"/>
    <w:rsid w:val="008B039F"/>
    <w:rsid w:val="008B03C4"/>
    <w:rsid w:val="008B0401"/>
    <w:rsid w:val="008B0414"/>
    <w:rsid w:val="008B042A"/>
    <w:rsid w:val="008B049C"/>
    <w:rsid w:val="008B0586"/>
    <w:rsid w:val="008B0635"/>
    <w:rsid w:val="008B0642"/>
    <w:rsid w:val="008B08DC"/>
    <w:rsid w:val="008B090F"/>
    <w:rsid w:val="008B09B3"/>
    <w:rsid w:val="008B0C0C"/>
    <w:rsid w:val="008B0C79"/>
    <w:rsid w:val="008B0CA1"/>
    <w:rsid w:val="008B0CB7"/>
    <w:rsid w:val="008B0E6E"/>
    <w:rsid w:val="008B11D8"/>
    <w:rsid w:val="008B142B"/>
    <w:rsid w:val="008B1498"/>
    <w:rsid w:val="008B155C"/>
    <w:rsid w:val="008B15C3"/>
    <w:rsid w:val="008B1612"/>
    <w:rsid w:val="008B1760"/>
    <w:rsid w:val="008B17FC"/>
    <w:rsid w:val="008B1988"/>
    <w:rsid w:val="008B1AF4"/>
    <w:rsid w:val="008B1D08"/>
    <w:rsid w:val="008B1DDC"/>
    <w:rsid w:val="008B1E06"/>
    <w:rsid w:val="008B1FB7"/>
    <w:rsid w:val="008B2126"/>
    <w:rsid w:val="008B21E8"/>
    <w:rsid w:val="008B228B"/>
    <w:rsid w:val="008B2404"/>
    <w:rsid w:val="008B2451"/>
    <w:rsid w:val="008B2499"/>
    <w:rsid w:val="008B254F"/>
    <w:rsid w:val="008B2574"/>
    <w:rsid w:val="008B2687"/>
    <w:rsid w:val="008B26AA"/>
    <w:rsid w:val="008B27C2"/>
    <w:rsid w:val="008B282D"/>
    <w:rsid w:val="008B283E"/>
    <w:rsid w:val="008B288E"/>
    <w:rsid w:val="008B2AB4"/>
    <w:rsid w:val="008B2B69"/>
    <w:rsid w:val="008B2B75"/>
    <w:rsid w:val="008B2C64"/>
    <w:rsid w:val="008B2DA4"/>
    <w:rsid w:val="008B2FEE"/>
    <w:rsid w:val="008B3028"/>
    <w:rsid w:val="008B3074"/>
    <w:rsid w:val="008B31AB"/>
    <w:rsid w:val="008B31D5"/>
    <w:rsid w:val="008B3307"/>
    <w:rsid w:val="008B3532"/>
    <w:rsid w:val="008B3591"/>
    <w:rsid w:val="008B3714"/>
    <w:rsid w:val="008B397F"/>
    <w:rsid w:val="008B39F8"/>
    <w:rsid w:val="008B3ACE"/>
    <w:rsid w:val="008B3AE1"/>
    <w:rsid w:val="008B3BA6"/>
    <w:rsid w:val="008B3CEC"/>
    <w:rsid w:val="008B3D2A"/>
    <w:rsid w:val="008B3F1B"/>
    <w:rsid w:val="008B3FC7"/>
    <w:rsid w:val="008B42EE"/>
    <w:rsid w:val="008B4350"/>
    <w:rsid w:val="008B4600"/>
    <w:rsid w:val="008B463B"/>
    <w:rsid w:val="008B4829"/>
    <w:rsid w:val="008B4856"/>
    <w:rsid w:val="008B490A"/>
    <w:rsid w:val="008B498D"/>
    <w:rsid w:val="008B49C6"/>
    <w:rsid w:val="008B49EC"/>
    <w:rsid w:val="008B49F0"/>
    <w:rsid w:val="008B49FF"/>
    <w:rsid w:val="008B4AD9"/>
    <w:rsid w:val="008B4BBB"/>
    <w:rsid w:val="008B4CB5"/>
    <w:rsid w:val="008B4D16"/>
    <w:rsid w:val="008B4D6A"/>
    <w:rsid w:val="008B4DD3"/>
    <w:rsid w:val="008B50C4"/>
    <w:rsid w:val="008B522B"/>
    <w:rsid w:val="008B525F"/>
    <w:rsid w:val="008B53CF"/>
    <w:rsid w:val="008B54D2"/>
    <w:rsid w:val="008B5505"/>
    <w:rsid w:val="008B552C"/>
    <w:rsid w:val="008B5543"/>
    <w:rsid w:val="008B5769"/>
    <w:rsid w:val="008B58D8"/>
    <w:rsid w:val="008B5932"/>
    <w:rsid w:val="008B599F"/>
    <w:rsid w:val="008B5A63"/>
    <w:rsid w:val="008B5AA2"/>
    <w:rsid w:val="008B5B3A"/>
    <w:rsid w:val="008B5D0A"/>
    <w:rsid w:val="008B5D93"/>
    <w:rsid w:val="008B5E97"/>
    <w:rsid w:val="008B60E6"/>
    <w:rsid w:val="008B6172"/>
    <w:rsid w:val="008B6207"/>
    <w:rsid w:val="008B6644"/>
    <w:rsid w:val="008B67C1"/>
    <w:rsid w:val="008B6A0F"/>
    <w:rsid w:val="008B6A19"/>
    <w:rsid w:val="008B6A3D"/>
    <w:rsid w:val="008B6BA5"/>
    <w:rsid w:val="008B6CA8"/>
    <w:rsid w:val="008B6D4B"/>
    <w:rsid w:val="008B6D50"/>
    <w:rsid w:val="008B6E3D"/>
    <w:rsid w:val="008B6E4A"/>
    <w:rsid w:val="008B6EBD"/>
    <w:rsid w:val="008B702E"/>
    <w:rsid w:val="008B728E"/>
    <w:rsid w:val="008B72E3"/>
    <w:rsid w:val="008B73D8"/>
    <w:rsid w:val="008B7423"/>
    <w:rsid w:val="008B747D"/>
    <w:rsid w:val="008B75E5"/>
    <w:rsid w:val="008B75EF"/>
    <w:rsid w:val="008B768A"/>
    <w:rsid w:val="008B76C5"/>
    <w:rsid w:val="008B77EE"/>
    <w:rsid w:val="008B7BAD"/>
    <w:rsid w:val="008B7D7E"/>
    <w:rsid w:val="008B7DA6"/>
    <w:rsid w:val="008B7DD5"/>
    <w:rsid w:val="008B7E39"/>
    <w:rsid w:val="008B7E8E"/>
    <w:rsid w:val="008B7EB9"/>
    <w:rsid w:val="008B7EEA"/>
    <w:rsid w:val="008C0035"/>
    <w:rsid w:val="008C00E8"/>
    <w:rsid w:val="008C00F5"/>
    <w:rsid w:val="008C0165"/>
    <w:rsid w:val="008C0271"/>
    <w:rsid w:val="008C02A7"/>
    <w:rsid w:val="008C02DF"/>
    <w:rsid w:val="008C04BA"/>
    <w:rsid w:val="008C0586"/>
    <w:rsid w:val="008C07E7"/>
    <w:rsid w:val="008C08B5"/>
    <w:rsid w:val="008C08C9"/>
    <w:rsid w:val="008C095A"/>
    <w:rsid w:val="008C09F2"/>
    <w:rsid w:val="008C0AB5"/>
    <w:rsid w:val="008C0AE1"/>
    <w:rsid w:val="008C0B2A"/>
    <w:rsid w:val="008C0BA0"/>
    <w:rsid w:val="008C0CFE"/>
    <w:rsid w:val="008C0D06"/>
    <w:rsid w:val="008C0E0B"/>
    <w:rsid w:val="008C0E37"/>
    <w:rsid w:val="008C0EE7"/>
    <w:rsid w:val="008C10C2"/>
    <w:rsid w:val="008C11BD"/>
    <w:rsid w:val="008C12E9"/>
    <w:rsid w:val="008C18A0"/>
    <w:rsid w:val="008C1A1C"/>
    <w:rsid w:val="008C1C00"/>
    <w:rsid w:val="008C1C7A"/>
    <w:rsid w:val="008C1DA5"/>
    <w:rsid w:val="008C20B1"/>
    <w:rsid w:val="008C2357"/>
    <w:rsid w:val="008C2390"/>
    <w:rsid w:val="008C2438"/>
    <w:rsid w:val="008C2572"/>
    <w:rsid w:val="008C264E"/>
    <w:rsid w:val="008C267B"/>
    <w:rsid w:val="008C26BF"/>
    <w:rsid w:val="008C2825"/>
    <w:rsid w:val="008C28AC"/>
    <w:rsid w:val="008C28E7"/>
    <w:rsid w:val="008C2A27"/>
    <w:rsid w:val="008C2AE9"/>
    <w:rsid w:val="008C2B32"/>
    <w:rsid w:val="008C2BF4"/>
    <w:rsid w:val="008C2C17"/>
    <w:rsid w:val="008C2D52"/>
    <w:rsid w:val="008C2DDD"/>
    <w:rsid w:val="008C2F8C"/>
    <w:rsid w:val="008C2F94"/>
    <w:rsid w:val="008C3096"/>
    <w:rsid w:val="008C31F0"/>
    <w:rsid w:val="008C32B9"/>
    <w:rsid w:val="008C332E"/>
    <w:rsid w:val="008C3388"/>
    <w:rsid w:val="008C3429"/>
    <w:rsid w:val="008C3510"/>
    <w:rsid w:val="008C35EF"/>
    <w:rsid w:val="008C3859"/>
    <w:rsid w:val="008C396F"/>
    <w:rsid w:val="008C3AA9"/>
    <w:rsid w:val="008C3B82"/>
    <w:rsid w:val="008C3E44"/>
    <w:rsid w:val="008C3FD1"/>
    <w:rsid w:val="008C3FDD"/>
    <w:rsid w:val="008C3FDF"/>
    <w:rsid w:val="008C42A1"/>
    <w:rsid w:val="008C42C6"/>
    <w:rsid w:val="008C43B6"/>
    <w:rsid w:val="008C43DB"/>
    <w:rsid w:val="008C4401"/>
    <w:rsid w:val="008C463A"/>
    <w:rsid w:val="008C4658"/>
    <w:rsid w:val="008C478C"/>
    <w:rsid w:val="008C4821"/>
    <w:rsid w:val="008C4C6B"/>
    <w:rsid w:val="008C4E57"/>
    <w:rsid w:val="008C5106"/>
    <w:rsid w:val="008C52B3"/>
    <w:rsid w:val="008C5335"/>
    <w:rsid w:val="008C547C"/>
    <w:rsid w:val="008C54E1"/>
    <w:rsid w:val="008C54FC"/>
    <w:rsid w:val="008C562B"/>
    <w:rsid w:val="008C564E"/>
    <w:rsid w:val="008C57A6"/>
    <w:rsid w:val="008C5890"/>
    <w:rsid w:val="008C589B"/>
    <w:rsid w:val="008C5988"/>
    <w:rsid w:val="008C5DEC"/>
    <w:rsid w:val="008C5EE0"/>
    <w:rsid w:val="008C6105"/>
    <w:rsid w:val="008C612C"/>
    <w:rsid w:val="008C6269"/>
    <w:rsid w:val="008C6532"/>
    <w:rsid w:val="008C6533"/>
    <w:rsid w:val="008C6724"/>
    <w:rsid w:val="008C67E1"/>
    <w:rsid w:val="008C69D8"/>
    <w:rsid w:val="008C69DB"/>
    <w:rsid w:val="008C69FD"/>
    <w:rsid w:val="008C6B3D"/>
    <w:rsid w:val="008C6DC3"/>
    <w:rsid w:val="008C6E23"/>
    <w:rsid w:val="008C6E3D"/>
    <w:rsid w:val="008C7455"/>
    <w:rsid w:val="008C7480"/>
    <w:rsid w:val="008C75AD"/>
    <w:rsid w:val="008C75EC"/>
    <w:rsid w:val="008C767C"/>
    <w:rsid w:val="008C76B5"/>
    <w:rsid w:val="008C770B"/>
    <w:rsid w:val="008C7876"/>
    <w:rsid w:val="008C78A6"/>
    <w:rsid w:val="008C78D3"/>
    <w:rsid w:val="008C7A47"/>
    <w:rsid w:val="008C7AFB"/>
    <w:rsid w:val="008C7C1B"/>
    <w:rsid w:val="008C7C2F"/>
    <w:rsid w:val="008C7DEF"/>
    <w:rsid w:val="008C7E38"/>
    <w:rsid w:val="008C7EB3"/>
    <w:rsid w:val="008C7EB4"/>
    <w:rsid w:val="008C7FD8"/>
    <w:rsid w:val="008D009C"/>
    <w:rsid w:val="008D00CF"/>
    <w:rsid w:val="008D01C3"/>
    <w:rsid w:val="008D01F0"/>
    <w:rsid w:val="008D027A"/>
    <w:rsid w:val="008D0295"/>
    <w:rsid w:val="008D0315"/>
    <w:rsid w:val="008D048A"/>
    <w:rsid w:val="008D0631"/>
    <w:rsid w:val="008D0814"/>
    <w:rsid w:val="008D08DD"/>
    <w:rsid w:val="008D0956"/>
    <w:rsid w:val="008D09AD"/>
    <w:rsid w:val="008D09F4"/>
    <w:rsid w:val="008D0A21"/>
    <w:rsid w:val="008D0A7A"/>
    <w:rsid w:val="008D0C45"/>
    <w:rsid w:val="008D0C56"/>
    <w:rsid w:val="008D0E75"/>
    <w:rsid w:val="008D11DD"/>
    <w:rsid w:val="008D13A9"/>
    <w:rsid w:val="008D1416"/>
    <w:rsid w:val="008D1528"/>
    <w:rsid w:val="008D1755"/>
    <w:rsid w:val="008D18AC"/>
    <w:rsid w:val="008D193D"/>
    <w:rsid w:val="008D1B44"/>
    <w:rsid w:val="008D1B45"/>
    <w:rsid w:val="008D1B6E"/>
    <w:rsid w:val="008D1C25"/>
    <w:rsid w:val="008D1CE3"/>
    <w:rsid w:val="008D1D7C"/>
    <w:rsid w:val="008D1F0F"/>
    <w:rsid w:val="008D202D"/>
    <w:rsid w:val="008D203E"/>
    <w:rsid w:val="008D20F1"/>
    <w:rsid w:val="008D21E3"/>
    <w:rsid w:val="008D22B5"/>
    <w:rsid w:val="008D2332"/>
    <w:rsid w:val="008D258D"/>
    <w:rsid w:val="008D26DA"/>
    <w:rsid w:val="008D2A88"/>
    <w:rsid w:val="008D2AF3"/>
    <w:rsid w:val="008D2B7D"/>
    <w:rsid w:val="008D2CC7"/>
    <w:rsid w:val="008D2D77"/>
    <w:rsid w:val="008D2DC0"/>
    <w:rsid w:val="008D2E08"/>
    <w:rsid w:val="008D3029"/>
    <w:rsid w:val="008D3276"/>
    <w:rsid w:val="008D327F"/>
    <w:rsid w:val="008D3280"/>
    <w:rsid w:val="008D3314"/>
    <w:rsid w:val="008D33C7"/>
    <w:rsid w:val="008D3652"/>
    <w:rsid w:val="008D3660"/>
    <w:rsid w:val="008D36A5"/>
    <w:rsid w:val="008D385C"/>
    <w:rsid w:val="008D38AB"/>
    <w:rsid w:val="008D3943"/>
    <w:rsid w:val="008D3BD4"/>
    <w:rsid w:val="008D3D32"/>
    <w:rsid w:val="008D3E96"/>
    <w:rsid w:val="008D3EAA"/>
    <w:rsid w:val="008D40BE"/>
    <w:rsid w:val="008D426D"/>
    <w:rsid w:val="008D42BC"/>
    <w:rsid w:val="008D4321"/>
    <w:rsid w:val="008D4512"/>
    <w:rsid w:val="008D4767"/>
    <w:rsid w:val="008D47C7"/>
    <w:rsid w:val="008D4836"/>
    <w:rsid w:val="008D498D"/>
    <w:rsid w:val="008D49A0"/>
    <w:rsid w:val="008D49FC"/>
    <w:rsid w:val="008D4B12"/>
    <w:rsid w:val="008D4BE8"/>
    <w:rsid w:val="008D4C91"/>
    <w:rsid w:val="008D4D9A"/>
    <w:rsid w:val="008D4DC1"/>
    <w:rsid w:val="008D4E13"/>
    <w:rsid w:val="008D4E89"/>
    <w:rsid w:val="008D5035"/>
    <w:rsid w:val="008D5048"/>
    <w:rsid w:val="008D50BB"/>
    <w:rsid w:val="008D5537"/>
    <w:rsid w:val="008D5770"/>
    <w:rsid w:val="008D5795"/>
    <w:rsid w:val="008D57AA"/>
    <w:rsid w:val="008D5881"/>
    <w:rsid w:val="008D58E2"/>
    <w:rsid w:val="008D5A07"/>
    <w:rsid w:val="008D5A29"/>
    <w:rsid w:val="008D5AF2"/>
    <w:rsid w:val="008D5C1B"/>
    <w:rsid w:val="008D5F7D"/>
    <w:rsid w:val="008D60D4"/>
    <w:rsid w:val="008D60FC"/>
    <w:rsid w:val="008D630F"/>
    <w:rsid w:val="008D6405"/>
    <w:rsid w:val="008D64E3"/>
    <w:rsid w:val="008D65CF"/>
    <w:rsid w:val="008D665A"/>
    <w:rsid w:val="008D67A1"/>
    <w:rsid w:val="008D686E"/>
    <w:rsid w:val="008D693E"/>
    <w:rsid w:val="008D69A2"/>
    <w:rsid w:val="008D69D6"/>
    <w:rsid w:val="008D6A21"/>
    <w:rsid w:val="008D6A31"/>
    <w:rsid w:val="008D6E7D"/>
    <w:rsid w:val="008D6F44"/>
    <w:rsid w:val="008D6F68"/>
    <w:rsid w:val="008D6F8B"/>
    <w:rsid w:val="008D7078"/>
    <w:rsid w:val="008D70B8"/>
    <w:rsid w:val="008D70CD"/>
    <w:rsid w:val="008D70EA"/>
    <w:rsid w:val="008D7138"/>
    <w:rsid w:val="008D71AA"/>
    <w:rsid w:val="008D7267"/>
    <w:rsid w:val="008D7302"/>
    <w:rsid w:val="008D74DB"/>
    <w:rsid w:val="008D757F"/>
    <w:rsid w:val="008D75F2"/>
    <w:rsid w:val="008D7688"/>
    <w:rsid w:val="008D776B"/>
    <w:rsid w:val="008D77BD"/>
    <w:rsid w:val="008D77FA"/>
    <w:rsid w:val="008D7A17"/>
    <w:rsid w:val="008D7AD5"/>
    <w:rsid w:val="008D7B4A"/>
    <w:rsid w:val="008D7BD8"/>
    <w:rsid w:val="008D7BE2"/>
    <w:rsid w:val="008D7DC4"/>
    <w:rsid w:val="008D7EF4"/>
    <w:rsid w:val="008D7FFE"/>
    <w:rsid w:val="008E005F"/>
    <w:rsid w:val="008E0084"/>
    <w:rsid w:val="008E0234"/>
    <w:rsid w:val="008E03A0"/>
    <w:rsid w:val="008E04B4"/>
    <w:rsid w:val="008E0518"/>
    <w:rsid w:val="008E0541"/>
    <w:rsid w:val="008E0636"/>
    <w:rsid w:val="008E0677"/>
    <w:rsid w:val="008E0712"/>
    <w:rsid w:val="008E07E7"/>
    <w:rsid w:val="008E080F"/>
    <w:rsid w:val="008E08C7"/>
    <w:rsid w:val="008E093C"/>
    <w:rsid w:val="008E0A47"/>
    <w:rsid w:val="008E0B19"/>
    <w:rsid w:val="008E0C26"/>
    <w:rsid w:val="008E0C95"/>
    <w:rsid w:val="008E0D90"/>
    <w:rsid w:val="008E0DA2"/>
    <w:rsid w:val="008E0E1D"/>
    <w:rsid w:val="008E0F9C"/>
    <w:rsid w:val="008E12D4"/>
    <w:rsid w:val="008E1335"/>
    <w:rsid w:val="008E1341"/>
    <w:rsid w:val="008E138B"/>
    <w:rsid w:val="008E15DD"/>
    <w:rsid w:val="008E16EF"/>
    <w:rsid w:val="008E17AD"/>
    <w:rsid w:val="008E17C0"/>
    <w:rsid w:val="008E18C3"/>
    <w:rsid w:val="008E18D1"/>
    <w:rsid w:val="008E1948"/>
    <w:rsid w:val="008E1B0D"/>
    <w:rsid w:val="008E1B55"/>
    <w:rsid w:val="008E1C90"/>
    <w:rsid w:val="008E1CA3"/>
    <w:rsid w:val="008E1E1E"/>
    <w:rsid w:val="008E20EF"/>
    <w:rsid w:val="008E21D9"/>
    <w:rsid w:val="008E259A"/>
    <w:rsid w:val="008E25AF"/>
    <w:rsid w:val="008E25D5"/>
    <w:rsid w:val="008E26EB"/>
    <w:rsid w:val="008E276E"/>
    <w:rsid w:val="008E28F9"/>
    <w:rsid w:val="008E2A29"/>
    <w:rsid w:val="008E2AF8"/>
    <w:rsid w:val="008E2D07"/>
    <w:rsid w:val="008E2D4E"/>
    <w:rsid w:val="008E2E90"/>
    <w:rsid w:val="008E2EE4"/>
    <w:rsid w:val="008E2F43"/>
    <w:rsid w:val="008E3101"/>
    <w:rsid w:val="008E31ED"/>
    <w:rsid w:val="008E32E1"/>
    <w:rsid w:val="008E32E2"/>
    <w:rsid w:val="008E3340"/>
    <w:rsid w:val="008E337A"/>
    <w:rsid w:val="008E34E5"/>
    <w:rsid w:val="008E3534"/>
    <w:rsid w:val="008E3780"/>
    <w:rsid w:val="008E37EE"/>
    <w:rsid w:val="008E387F"/>
    <w:rsid w:val="008E39F0"/>
    <w:rsid w:val="008E3B8F"/>
    <w:rsid w:val="008E3D4D"/>
    <w:rsid w:val="008E3D8F"/>
    <w:rsid w:val="008E3D92"/>
    <w:rsid w:val="008E3FD2"/>
    <w:rsid w:val="008E3FD7"/>
    <w:rsid w:val="008E4169"/>
    <w:rsid w:val="008E41AE"/>
    <w:rsid w:val="008E42B0"/>
    <w:rsid w:val="008E4371"/>
    <w:rsid w:val="008E4374"/>
    <w:rsid w:val="008E4408"/>
    <w:rsid w:val="008E4409"/>
    <w:rsid w:val="008E45FD"/>
    <w:rsid w:val="008E460F"/>
    <w:rsid w:val="008E4712"/>
    <w:rsid w:val="008E4717"/>
    <w:rsid w:val="008E4876"/>
    <w:rsid w:val="008E490C"/>
    <w:rsid w:val="008E491C"/>
    <w:rsid w:val="008E4955"/>
    <w:rsid w:val="008E4B46"/>
    <w:rsid w:val="008E4C12"/>
    <w:rsid w:val="008E4C3E"/>
    <w:rsid w:val="008E4C6D"/>
    <w:rsid w:val="008E4C75"/>
    <w:rsid w:val="008E4C9D"/>
    <w:rsid w:val="008E4D6E"/>
    <w:rsid w:val="008E4D8D"/>
    <w:rsid w:val="008E4FD6"/>
    <w:rsid w:val="008E502A"/>
    <w:rsid w:val="008E50A5"/>
    <w:rsid w:val="008E50AE"/>
    <w:rsid w:val="008E50CF"/>
    <w:rsid w:val="008E5383"/>
    <w:rsid w:val="008E550D"/>
    <w:rsid w:val="008E573F"/>
    <w:rsid w:val="008E5834"/>
    <w:rsid w:val="008E5AC9"/>
    <w:rsid w:val="008E5BFB"/>
    <w:rsid w:val="008E5C02"/>
    <w:rsid w:val="008E5C12"/>
    <w:rsid w:val="008E5C62"/>
    <w:rsid w:val="008E5C63"/>
    <w:rsid w:val="008E5DE7"/>
    <w:rsid w:val="008E5F09"/>
    <w:rsid w:val="008E5F99"/>
    <w:rsid w:val="008E6017"/>
    <w:rsid w:val="008E6048"/>
    <w:rsid w:val="008E604C"/>
    <w:rsid w:val="008E6054"/>
    <w:rsid w:val="008E62BC"/>
    <w:rsid w:val="008E6358"/>
    <w:rsid w:val="008E63D6"/>
    <w:rsid w:val="008E6416"/>
    <w:rsid w:val="008E6554"/>
    <w:rsid w:val="008E694C"/>
    <w:rsid w:val="008E6971"/>
    <w:rsid w:val="008E6995"/>
    <w:rsid w:val="008E6B30"/>
    <w:rsid w:val="008E6B68"/>
    <w:rsid w:val="008E6BC0"/>
    <w:rsid w:val="008E6E96"/>
    <w:rsid w:val="008E6FFE"/>
    <w:rsid w:val="008E7057"/>
    <w:rsid w:val="008E70FE"/>
    <w:rsid w:val="008E71B2"/>
    <w:rsid w:val="008E71CD"/>
    <w:rsid w:val="008E7320"/>
    <w:rsid w:val="008E73EB"/>
    <w:rsid w:val="008E75A9"/>
    <w:rsid w:val="008E7619"/>
    <w:rsid w:val="008E767B"/>
    <w:rsid w:val="008E7951"/>
    <w:rsid w:val="008E79CA"/>
    <w:rsid w:val="008E79D8"/>
    <w:rsid w:val="008E7A6D"/>
    <w:rsid w:val="008E7ADF"/>
    <w:rsid w:val="008E7B13"/>
    <w:rsid w:val="008E7B5B"/>
    <w:rsid w:val="008E7B68"/>
    <w:rsid w:val="008E7BCF"/>
    <w:rsid w:val="008E7C55"/>
    <w:rsid w:val="008E7E83"/>
    <w:rsid w:val="008E7F8E"/>
    <w:rsid w:val="008E7FCF"/>
    <w:rsid w:val="008F003B"/>
    <w:rsid w:val="008F0147"/>
    <w:rsid w:val="008F0348"/>
    <w:rsid w:val="008F037F"/>
    <w:rsid w:val="008F0402"/>
    <w:rsid w:val="008F05DD"/>
    <w:rsid w:val="008F096B"/>
    <w:rsid w:val="008F0989"/>
    <w:rsid w:val="008F0AB1"/>
    <w:rsid w:val="008F0B86"/>
    <w:rsid w:val="008F0BE3"/>
    <w:rsid w:val="008F0C50"/>
    <w:rsid w:val="008F0C6F"/>
    <w:rsid w:val="008F0CC0"/>
    <w:rsid w:val="008F0DC3"/>
    <w:rsid w:val="008F0DD6"/>
    <w:rsid w:val="008F0E6C"/>
    <w:rsid w:val="008F0EB3"/>
    <w:rsid w:val="008F1020"/>
    <w:rsid w:val="008F11E8"/>
    <w:rsid w:val="008F157F"/>
    <w:rsid w:val="008F196B"/>
    <w:rsid w:val="008F19D2"/>
    <w:rsid w:val="008F1CD3"/>
    <w:rsid w:val="008F20A8"/>
    <w:rsid w:val="008F2124"/>
    <w:rsid w:val="008F21E4"/>
    <w:rsid w:val="008F2229"/>
    <w:rsid w:val="008F2345"/>
    <w:rsid w:val="008F2536"/>
    <w:rsid w:val="008F277E"/>
    <w:rsid w:val="008F2821"/>
    <w:rsid w:val="008F28E2"/>
    <w:rsid w:val="008F2A10"/>
    <w:rsid w:val="008F2C7A"/>
    <w:rsid w:val="008F2CF9"/>
    <w:rsid w:val="008F2EFC"/>
    <w:rsid w:val="008F2FF0"/>
    <w:rsid w:val="008F3100"/>
    <w:rsid w:val="008F31B8"/>
    <w:rsid w:val="008F3240"/>
    <w:rsid w:val="008F32FF"/>
    <w:rsid w:val="008F3300"/>
    <w:rsid w:val="008F33C2"/>
    <w:rsid w:val="008F3463"/>
    <w:rsid w:val="008F353C"/>
    <w:rsid w:val="008F355A"/>
    <w:rsid w:val="008F3624"/>
    <w:rsid w:val="008F3702"/>
    <w:rsid w:val="008F3786"/>
    <w:rsid w:val="008F3A57"/>
    <w:rsid w:val="008F3AD0"/>
    <w:rsid w:val="008F3E29"/>
    <w:rsid w:val="008F3E62"/>
    <w:rsid w:val="008F3ECF"/>
    <w:rsid w:val="008F4037"/>
    <w:rsid w:val="008F4414"/>
    <w:rsid w:val="008F445E"/>
    <w:rsid w:val="008F44DD"/>
    <w:rsid w:val="008F4539"/>
    <w:rsid w:val="008F4674"/>
    <w:rsid w:val="008F48A0"/>
    <w:rsid w:val="008F48AA"/>
    <w:rsid w:val="008F48E5"/>
    <w:rsid w:val="008F4A0C"/>
    <w:rsid w:val="008F4A27"/>
    <w:rsid w:val="008F4C07"/>
    <w:rsid w:val="008F4C93"/>
    <w:rsid w:val="008F4CD0"/>
    <w:rsid w:val="008F4CEF"/>
    <w:rsid w:val="008F50DC"/>
    <w:rsid w:val="008F5407"/>
    <w:rsid w:val="008F558E"/>
    <w:rsid w:val="008F560F"/>
    <w:rsid w:val="008F5722"/>
    <w:rsid w:val="008F5781"/>
    <w:rsid w:val="008F585F"/>
    <w:rsid w:val="008F59AB"/>
    <w:rsid w:val="008F59FA"/>
    <w:rsid w:val="008F5A28"/>
    <w:rsid w:val="008F5B24"/>
    <w:rsid w:val="008F5B5B"/>
    <w:rsid w:val="008F5C3C"/>
    <w:rsid w:val="008F5CF8"/>
    <w:rsid w:val="008F5D30"/>
    <w:rsid w:val="008F5DC9"/>
    <w:rsid w:val="008F5E38"/>
    <w:rsid w:val="008F5F63"/>
    <w:rsid w:val="008F5FD3"/>
    <w:rsid w:val="008F605C"/>
    <w:rsid w:val="008F60A5"/>
    <w:rsid w:val="008F6234"/>
    <w:rsid w:val="008F642F"/>
    <w:rsid w:val="008F66A3"/>
    <w:rsid w:val="008F66CD"/>
    <w:rsid w:val="008F6718"/>
    <w:rsid w:val="008F6754"/>
    <w:rsid w:val="008F677A"/>
    <w:rsid w:val="008F6A27"/>
    <w:rsid w:val="008F6B64"/>
    <w:rsid w:val="008F6BDC"/>
    <w:rsid w:val="008F6C67"/>
    <w:rsid w:val="008F6C76"/>
    <w:rsid w:val="008F6C91"/>
    <w:rsid w:val="008F6EB1"/>
    <w:rsid w:val="008F6EB3"/>
    <w:rsid w:val="008F6FC5"/>
    <w:rsid w:val="008F71E4"/>
    <w:rsid w:val="008F7216"/>
    <w:rsid w:val="008F73D7"/>
    <w:rsid w:val="008F7469"/>
    <w:rsid w:val="008F746B"/>
    <w:rsid w:val="008F7507"/>
    <w:rsid w:val="008F7765"/>
    <w:rsid w:val="008F7871"/>
    <w:rsid w:val="008F799C"/>
    <w:rsid w:val="008F7ACA"/>
    <w:rsid w:val="008F7C28"/>
    <w:rsid w:val="008F7CFF"/>
    <w:rsid w:val="008F7D29"/>
    <w:rsid w:val="008F7D2F"/>
    <w:rsid w:val="008F7D78"/>
    <w:rsid w:val="008F7E11"/>
    <w:rsid w:val="008F7ED1"/>
    <w:rsid w:val="008F7F93"/>
    <w:rsid w:val="008F7FFA"/>
    <w:rsid w:val="00900082"/>
    <w:rsid w:val="0090008A"/>
    <w:rsid w:val="009000DD"/>
    <w:rsid w:val="00900296"/>
    <w:rsid w:val="009002E0"/>
    <w:rsid w:val="0090030C"/>
    <w:rsid w:val="0090037A"/>
    <w:rsid w:val="0090042B"/>
    <w:rsid w:val="0090069D"/>
    <w:rsid w:val="00900743"/>
    <w:rsid w:val="0090079D"/>
    <w:rsid w:val="009007A5"/>
    <w:rsid w:val="009008B2"/>
    <w:rsid w:val="00900927"/>
    <w:rsid w:val="00900A43"/>
    <w:rsid w:val="00900CC4"/>
    <w:rsid w:val="00900D18"/>
    <w:rsid w:val="00900E38"/>
    <w:rsid w:val="00900F0A"/>
    <w:rsid w:val="00900F19"/>
    <w:rsid w:val="00900FCD"/>
    <w:rsid w:val="00901182"/>
    <w:rsid w:val="009011AF"/>
    <w:rsid w:val="009011D5"/>
    <w:rsid w:val="00901229"/>
    <w:rsid w:val="009013A3"/>
    <w:rsid w:val="00901465"/>
    <w:rsid w:val="009015F5"/>
    <w:rsid w:val="00901726"/>
    <w:rsid w:val="00901795"/>
    <w:rsid w:val="009017C9"/>
    <w:rsid w:val="0090197D"/>
    <w:rsid w:val="00901AE8"/>
    <w:rsid w:val="00901C67"/>
    <w:rsid w:val="00901D56"/>
    <w:rsid w:val="00901DBF"/>
    <w:rsid w:val="00901FA7"/>
    <w:rsid w:val="0090208B"/>
    <w:rsid w:val="009021D8"/>
    <w:rsid w:val="00902235"/>
    <w:rsid w:val="009022E7"/>
    <w:rsid w:val="0090240D"/>
    <w:rsid w:val="00902446"/>
    <w:rsid w:val="009024D5"/>
    <w:rsid w:val="0090259A"/>
    <w:rsid w:val="00902813"/>
    <w:rsid w:val="009028A0"/>
    <w:rsid w:val="00902957"/>
    <w:rsid w:val="0090297B"/>
    <w:rsid w:val="009029A5"/>
    <w:rsid w:val="009029C3"/>
    <w:rsid w:val="00902A88"/>
    <w:rsid w:val="00902AC7"/>
    <w:rsid w:val="00902C05"/>
    <w:rsid w:val="00902DC0"/>
    <w:rsid w:val="00902DDB"/>
    <w:rsid w:val="00902E61"/>
    <w:rsid w:val="00902F29"/>
    <w:rsid w:val="00902F44"/>
    <w:rsid w:val="00902FB4"/>
    <w:rsid w:val="00903057"/>
    <w:rsid w:val="0090321C"/>
    <w:rsid w:val="00903226"/>
    <w:rsid w:val="0090323B"/>
    <w:rsid w:val="0090327B"/>
    <w:rsid w:val="009032C2"/>
    <w:rsid w:val="00903363"/>
    <w:rsid w:val="009034BC"/>
    <w:rsid w:val="0090353F"/>
    <w:rsid w:val="00903656"/>
    <w:rsid w:val="0090379D"/>
    <w:rsid w:val="009037F8"/>
    <w:rsid w:val="00903951"/>
    <w:rsid w:val="009039FA"/>
    <w:rsid w:val="00903A0F"/>
    <w:rsid w:val="00903B86"/>
    <w:rsid w:val="00903C91"/>
    <w:rsid w:val="00903E1A"/>
    <w:rsid w:val="00903E6C"/>
    <w:rsid w:val="0090404B"/>
    <w:rsid w:val="0090406C"/>
    <w:rsid w:val="009040AB"/>
    <w:rsid w:val="009041C3"/>
    <w:rsid w:val="009041F1"/>
    <w:rsid w:val="009042D5"/>
    <w:rsid w:val="0090430F"/>
    <w:rsid w:val="00904450"/>
    <w:rsid w:val="00904454"/>
    <w:rsid w:val="009045A9"/>
    <w:rsid w:val="00904635"/>
    <w:rsid w:val="0090476B"/>
    <w:rsid w:val="0090478B"/>
    <w:rsid w:val="009049E1"/>
    <w:rsid w:val="00904A22"/>
    <w:rsid w:val="00904A87"/>
    <w:rsid w:val="00904B1B"/>
    <w:rsid w:val="00904BD9"/>
    <w:rsid w:val="00904BDA"/>
    <w:rsid w:val="00904CFA"/>
    <w:rsid w:val="00904D8E"/>
    <w:rsid w:val="00904E08"/>
    <w:rsid w:val="00904E0F"/>
    <w:rsid w:val="00905004"/>
    <w:rsid w:val="009050BE"/>
    <w:rsid w:val="009050E2"/>
    <w:rsid w:val="0090518B"/>
    <w:rsid w:val="009052BB"/>
    <w:rsid w:val="009053BF"/>
    <w:rsid w:val="009054A3"/>
    <w:rsid w:val="009054D3"/>
    <w:rsid w:val="00905541"/>
    <w:rsid w:val="009056D1"/>
    <w:rsid w:val="009058FA"/>
    <w:rsid w:val="00905A02"/>
    <w:rsid w:val="00905A35"/>
    <w:rsid w:val="00905A6F"/>
    <w:rsid w:val="00905B8E"/>
    <w:rsid w:val="00905F1A"/>
    <w:rsid w:val="0090602D"/>
    <w:rsid w:val="00906064"/>
    <w:rsid w:val="009060DE"/>
    <w:rsid w:val="009061CD"/>
    <w:rsid w:val="00906245"/>
    <w:rsid w:val="0090632C"/>
    <w:rsid w:val="00906380"/>
    <w:rsid w:val="009063EA"/>
    <w:rsid w:val="00906402"/>
    <w:rsid w:val="00906414"/>
    <w:rsid w:val="0090643A"/>
    <w:rsid w:val="009065CB"/>
    <w:rsid w:val="00906643"/>
    <w:rsid w:val="0090665C"/>
    <w:rsid w:val="00906663"/>
    <w:rsid w:val="009066B8"/>
    <w:rsid w:val="00906F58"/>
    <w:rsid w:val="00906FC6"/>
    <w:rsid w:val="00906FDA"/>
    <w:rsid w:val="009070EF"/>
    <w:rsid w:val="0090715C"/>
    <w:rsid w:val="00907179"/>
    <w:rsid w:val="0090729D"/>
    <w:rsid w:val="009073E2"/>
    <w:rsid w:val="0090768D"/>
    <w:rsid w:val="00907869"/>
    <w:rsid w:val="009078A1"/>
    <w:rsid w:val="009078C3"/>
    <w:rsid w:val="0090795C"/>
    <w:rsid w:val="00907AA0"/>
    <w:rsid w:val="00907B01"/>
    <w:rsid w:val="00907B6F"/>
    <w:rsid w:val="00907CDF"/>
    <w:rsid w:val="00907D66"/>
    <w:rsid w:val="00907D84"/>
    <w:rsid w:val="00907DD3"/>
    <w:rsid w:val="00907E37"/>
    <w:rsid w:val="009103D7"/>
    <w:rsid w:val="009105F0"/>
    <w:rsid w:val="0091060B"/>
    <w:rsid w:val="009106AC"/>
    <w:rsid w:val="00910808"/>
    <w:rsid w:val="00910863"/>
    <w:rsid w:val="009108F1"/>
    <w:rsid w:val="0091090F"/>
    <w:rsid w:val="0091091F"/>
    <w:rsid w:val="0091098C"/>
    <w:rsid w:val="00910AB4"/>
    <w:rsid w:val="00910ABF"/>
    <w:rsid w:val="00910B52"/>
    <w:rsid w:val="00910B95"/>
    <w:rsid w:val="00910C8F"/>
    <w:rsid w:val="00910CA1"/>
    <w:rsid w:val="00910D6F"/>
    <w:rsid w:val="00910DFA"/>
    <w:rsid w:val="00910E20"/>
    <w:rsid w:val="00911180"/>
    <w:rsid w:val="009111E2"/>
    <w:rsid w:val="00911417"/>
    <w:rsid w:val="009114B1"/>
    <w:rsid w:val="009114BB"/>
    <w:rsid w:val="00911542"/>
    <w:rsid w:val="0091162D"/>
    <w:rsid w:val="009116D2"/>
    <w:rsid w:val="009116E4"/>
    <w:rsid w:val="0091179F"/>
    <w:rsid w:val="009117D3"/>
    <w:rsid w:val="009117F7"/>
    <w:rsid w:val="0091192D"/>
    <w:rsid w:val="009119A7"/>
    <w:rsid w:val="00911A9F"/>
    <w:rsid w:val="00911AC3"/>
    <w:rsid w:val="00911B33"/>
    <w:rsid w:val="00911D0E"/>
    <w:rsid w:val="00911D2D"/>
    <w:rsid w:val="00911D6E"/>
    <w:rsid w:val="00911F5C"/>
    <w:rsid w:val="00912009"/>
    <w:rsid w:val="00912033"/>
    <w:rsid w:val="009123CA"/>
    <w:rsid w:val="009123DB"/>
    <w:rsid w:val="0091248D"/>
    <w:rsid w:val="00912783"/>
    <w:rsid w:val="009127A6"/>
    <w:rsid w:val="0091286D"/>
    <w:rsid w:val="009128AA"/>
    <w:rsid w:val="00912AEA"/>
    <w:rsid w:val="00912BF8"/>
    <w:rsid w:val="00912C35"/>
    <w:rsid w:val="00912C38"/>
    <w:rsid w:val="00912C3D"/>
    <w:rsid w:val="00912C88"/>
    <w:rsid w:val="00912CC5"/>
    <w:rsid w:val="00912D5D"/>
    <w:rsid w:val="0091305F"/>
    <w:rsid w:val="00913103"/>
    <w:rsid w:val="0091341E"/>
    <w:rsid w:val="009134EF"/>
    <w:rsid w:val="009136C0"/>
    <w:rsid w:val="00913963"/>
    <w:rsid w:val="00913C24"/>
    <w:rsid w:val="00913C94"/>
    <w:rsid w:val="00913D8A"/>
    <w:rsid w:val="00913E1D"/>
    <w:rsid w:val="00913E88"/>
    <w:rsid w:val="00913EE7"/>
    <w:rsid w:val="00914005"/>
    <w:rsid w:val="0091414D"/>
    <w:rsid w:val="009141CC"/>
    <w:rsid w:val="009142FB"/>
    <w:rsid w:val="009143CA"/>
    <w:rsid w:val="00914525"/>
    <w:rsid w:val="009145AD"/>
    <w:rsid w:val="00914808"/>
    <w:rsid w:val="0091487E"/>
    <w:rsid w:val="0091489C"/>
    <w:rsid w:val="009148B4"/>
    <w:rsid w:val="009148D4"/>
    <w:rsid w:val="009148F9"/>
    <w:rsid w:val="00914A7E"/>
    <w:rsid w:val="00914B98"/>
    <w:rsid w:val="00914BEF"/>
    <w:rsid w:val="00914CBD"/>
    <w:rsid w:val="00914D8D"/>
    <w:rsid w:val="00914E0D"/>
    <w:rsid w:val="00914E32"/>
    <w:rsid w:val="00914EEE"/>
    <w:rsid w:val="00914F19"/>
    <w:rsid w:val="009152E8"/>
    <w:rsid w:val="009152F6"/>
    <w:rsid w:val="0091539D"/>
    <w:rsid w:val="009153B0"/>
    <w:rsid w:val="009153F9"/>
    <w:rsid w:val="009154DA"/>
    <w:rsid w:val="009155BA"/>
    <w:rsid w:val="009156C0"/>
    <w:rsid w:val="00915945"/>
    <w:rsid w:val="00915AAF"/>
    <w:rsid w:val="00915BE2"/>
    <w:rsid w:val="00915C02"/>
    <w:rsid w:val="00915D40"/>
    <w:rsid w:val="00915DBC"/>
    <w:rsid w:val="00915E1D"/>
    <w:rsid w:val="00915E37"/>
    <w:rsid w:val="00915EA2"/>
    <w:rsid w:val="00915EDE"/>
    <w:rsid w:val="0091602E"/>
    <w:rsid w:val="0091603C"/>
    <w:rsid w:val="00916047"/>
    <w:rsid w:val="00916168"/>
    <w:rsid w:val="00916223"/>
    <w:rsid w:val="00916228"/>
    <w:rsid w:val="00916251"/>
    <w:rsid w:val="009162C5"/>
    <w:rsid w:val="009163A9"/>
    <w:rsid w:val="00916431"/>
    <w:rsid w:val="00916456"/>
    <w:rsid w:val="009164C9"/>
    <w:rsid w:val="009164F9"/>
    <w:rsid w:val="009164FC"/>
    <w:rsid w:val="00916823"/>
    <w:rsid w:val="00916895"/>
    <w:rsid w:val="0091691F"/>
    <w:rsid w:val="00916ABA"/>
    <w:rsid w:val="00916B32"/>
    <w:rsid w:val="00916C22"/>
    <w:rsid w:val="00916C42"/>
    <w:rsid w:val="00916D26"/>
    <w:rsid w:val="00916E2B"/>
    <w:rsid w:val="0091709E"/>
    <w:rsid w:val="00917166"/>
    <w:rsid w:val="009171EB"/>
    <w:rsid w:val="009172EF"/>
    <w:rsid w:val="00917365"/>
    <w:rsid w:val="00917484"/>
    <w:rsid w:val="0091751A"/>
    <w:rsid w:val="009175C6"/>
    <w:rsid w:val="009176B9"/>
    <w:rsid w:val="00917ABD"/>
    <w:rsid w:val="00917B22"/>
    <w:rsid w:val="00917BE2"/>
    <w:rsid w:val="00917E92"/>
    <w:rsid w:val="00920177"/>
    <w:rsid w:val="009201C4"/>
    <w:rsid w:val="00920227"/>
    <w:rsid w:val="0092023F"/>
    <w:rsid w:val="00920354"/>
    <w:rsid w:val="0092035C"/>
    <w:rsid w:val="00920438"/>
    <w:rsid w:val="00920452"/>
    <w:rsid w:val="0092049E"/>
    <w:rsid w:val="009204CA"/>
    <w:rsid w:val="009205A0"/>
    <w:rsid w:val="00920787"/>
    <w:rsid w:val="009208C2"/>
    <w:rsid w:val="00920944"/>
    <w:rsid w:val="00920BFA"/>
    <w:rsid w:val="00920C1E"/>
    <w:rsid w:val="00920D57"/>
    <w:rsid w:val="00920E5C"/>
    <w:rsid w:val="00921021"/>
    <w:rsid w:val="00921062"/>
    <w:rsid w:val="009210C0"/>
    <w:rsid w:val="00921148"/>
    <w:rsid w:val="0092138C"/>
    <w:rsid w:val="009215AC"/>
    <w:rsid w:val="00921860"/>
    <w:rsid w:val="00921894"/>
    <w:rsid w:val="009218F6"/>
    <w:rsid w:val="00921ABC"/>
    <w:rsid w:val="00921BCC"/>
    <w:rsid w:val="00921C97"/>
    <w:rsid w:val="00921CEE"/>
    <w:rsid w:val="00921DC9"/>
    <w:rsid w:val="00921E7B"/>
    <w:rsid w:val="00922040"/>
    <w:rsid w:val="00922175"/>
    <w:rsid w:val="009221F7"/>
    <w:rsid w:val="0092222D"/>
    <w:rsid w:val="00922251"/>
    <w:rsid w:val="00922260"/>
    <w:rsid w:val="00922344"/>
    <w:rsid w:val="0092234C"/>
    <w:rsid w:val="009223EA"/>
    <w:rsid w:val="00922501"/>
    <w:rsid w:val="009226C6"/>
    <w:rsid w:val="009226D0"/>
    <w:rsid w:val="009226EB"/>
    <w:rsid w:val="0092273F"/>
    <w:rsid w:val="0092283A"/>
    <w:rsid w:val="00922A2A"/>
    <w:rsid w:val="00922B59"/>
    <w:rsid w:val="00922CD6"/>
    <w:rsid w:val="00922CEA"/>
    <w:rsid w:val="00922D24"/>
    <w:rsid w:val="00922D28"/>
    <w:rsid w:val="00922D3A"/>
    <w:rsid w:val="00922DF3"/>
    <w:rsid w:val="00922EA8"/>
    <w:rsid w:val="00923021"/>
    <w:rsid w:val="00923163"/>
    <w:rsid w:val="0092326E"/>
    <w:rsid w:val="009232C9"/>
    <w:rsid w:val="009232E8"/>
    <w:rsid w:val="0092341D"/>
    <w:rsid w:val="00923444"/>
    <w:rsid w:val="0092353E"/>
    <w:rsid w:val="0092363F"/>
    <w:rsid w:val="00923835"/>
    <w:rsid w:val="00923838"/>
    <w:rsid w:val="009238BE"/>
    <w:rsid w:val="00923953"/>
    <w:rsid w:val="009239F0"/>
    <w:rsid w:val="009239F9"/>
    <w:rsid w:val="00923B0C"/>
    <w:rsid w:val="00923B4F"/>
    <w:rsid w:val="00923E63"/>
    <w:rsid w:val="00923E8E"/>
    <w:rsid w:val="0092404C"/>
    <w:rsid w:val="009240DE"/>
    <w:rsid w:val="0092417E"/>
    <w:rsid w:val="009241D7"/>
    <w:rsid w:val="00924206"/>
    <w:rsid w:val="0092425A"/>
    <w:rsid w:val="00924274"/>
    <w:rsid w:val="009242CE"/>
    <w:rsid w:val="00924346"/>
    <w:rsid w:val="009243E1"/>
    <w:rsid w:val="00924402"/>
    <w:rsid w:val="009245F0"/>
    <w:rsid w:val="009246AE"/>
    <w:rsid w:val="009246E1"/>
    <w:rsid w:val="009246E3"/>
    <w:rsid w:val="009248DC"/>
    <w:rsid w:val="00924A13"/>
    <w:rsid w:val="00924A55"/>
    <w:rsid w:val="00924A7B"/>
    <w:rsid w:val="00924B58"/>
    <w:rsid w:val="00924B61"/>
    <w:rsid w:val="00924D47"/>
    <w:rsid w:val="00924DE8"/>
    <w:rsid w:val="00924F84"/>
    <w:rsid w:val="00924FC6"/>
    <w:rsid w:val="00924FCA"/>
    <w:rsid w:val="0092503A"/>
    <w:rsid w:val="0092503E"/>
    <w:rsid w:val="0092508E"/>
    <w:rsid w:val="009250B9"/>
    <w:rsid w:val="0092514F"/>
    <w:rsid w:val="0092519B"/>
    <w:rsid w:val="009251CA"/>
    <w:rsid w:val="00925268"/>
    <w:rsid w:val="00925293"/>
    <w:rsid w:val="009253D4"/>
    <w:rsid w:val="0092556B"/>
    <w:rsid w:val="009255FB"/>
    <w:rsid w:val="0092561C"/>
    <w:rsid w:val="00925842"/>
    <w:rsid w:val="00925AB6"/>
    <w:rsid w:val="00925B4A"/>
    <w:rsid w:val="00925B71"/>
    <w:rsid w:val="00925C57"/>
    <w:rsid w:val="00925CDB"/>
    <w:rsid w:val="00925D78"/>
    <w:rsid w:val="00925EA4"/>
    <w:rsid w:val="00925EA7"/>
    <w:rsid w:val="009260CA"/>
    <w:rsid w:val="0092621A"/>
    <w:rsid w:val="0092628B"/>
    <w:rsid w:val="0092633E"/>
    <w:rsid w:val="009263E1"/>
    <w:rsid w:val="00926457"/>
    <w:rsid w:val="00926657"/>
    <w:rsid w:val="009266FF"/>
    <w:rsid w:val="00926738"/>
    <w:rsid w:val="00926761"/>
    <w:rsid w:val="00926888"/>
    <w:rsid w:val="00926A13"/>
    <w:rsid w:val="00926BD4"/>
    <w:rsid w:val="00926CA2"/>
    <w:rsid w:val="00926E3F"/>
    <w:rsid w:val="00926E9F"/>
    <w:rsid w:val="00926F7C"/>
    <w:rsid w:val="0092704C"/>
    <w:rsid w:val="009270E2"/>
    <w:rsid w:val="009271D2"/>
    <w:rsid w:val="009273BF"/>
    <w:rsid w:val="009273CB"/>
    <w:rsid w:val="009273EF"/>
    <w:rsid w:val="00927476"/>
    <w:rsid w:val="009274BD"/>
    <w:rsid w:val="009275CC"/>
    <w:rsid w:val="00927701"/>
    <w:rsid w:val="0092776D"/>
    <w:rsid w:val="0092777F"/>
    <w:rsid w:val="00927962"/>
    <w:rsid w:val="00927AFE"/>
    <w:rsid w:val="00927D99"/>
    <w:rsid w:val="00927DE5"/>
    <w:rsid w:val="00927E11"/>
    <w:rsid w:val="00927F1F"/>
    <w:rsid w:val="00927FC0"/>
    <w:rsid w:val="00930008"/>
    <w:rsid w:val="009301C8"/>
    <w:rsid w:val="0093032E"/>
    <w:rsid w:val="0093036B"/>
    <w:rsid w:val="00930510"/>
    <w:rsid w:val="00930539"/>
    <w:rsid w:val="0093057E"/>
    <w:rsid w:val="009306FF"/>
    <w:rsid w:val="00930A09"/>
    <w:rsid w:val="00930BDA"/>
    <w:rsid w:val="00930E94"/>
    <w:rsid w:val="00930ED6"/>
    <w:rsid w:val="0093102B"/>
    <w:rsid w:val="00931213"/>
    <w:rsid w:val="0093125A"/>
    <w:rsid w:val="00931507"/>
    <w:rsid w:val="009316A1"/>
    <w:rsid w:val="00931844"/>
    <w:rsid w:val="00931912"/>
    <w:rsid w:val="009319EB"/>
    <w:rsid w:val="00931C4C"/>
    <w:rsid w:val="00931CD7"/>
    <w:rsid w:val="00931D15"/>
    <w:rsid w:val="00931DCF"/>
    <w:rsid w:val="00931E2C"/>
    <w:rsid w:val="00931EC8"/>
    <w:rsid w:val="00931F19"/>
    <w:rsid w:val="00931F73"/>
    <w:rsid w:val="00931F85"/>
    <w:rsid w:val="00931F89"/>
    <w:rsid w:val="0093207E"/>
    <w:rsid w:val="009321EF"/>
    <w:rsid w:val="009322EA"/>
    <w:rsid w:val="00932342"/>
    <w:rsid w:val="00932393"/>
    <w:rsid w:val="009323B5"/>
    <w:rsid w:val="009323B9"/>
    <w:rsid w:val="0093251B"/>
    <w:rsid w:val="00932551"/>
    <w:rsid w:val="00932810"/>
    <w:rsid w:val="0093283A"/>
    <w:rsid w:val="00932890"/>
    <w:rsid w:val="00932920"/>
    <w:rsid w:val="00932992"/>
    <w:rsid w:val="00932C79"/>
    <w:rsid w:val="00932DA1"/>
    <w:rsid w:val="00932E4D"/>
    <w:rsid w:val="00932EE4"/>
    <w:rsid w:val="00932F69"/>
    <w:rsid w:val="00932FF1"/>
    <w:rsid w:val="00933027"/>
    <w:rsid w:val="009331DB"/>
    <w:rsid w:val="0093321D"/>
    <w:rsid w:val="009332F4"/>
    <w:rsid w:val="00933385"/>
    <w:rsid w:val="009333A6"/>
    <w:rsid w:val="009333F1"/>
    <w:rsid w:val="00933407"/>
    <w:rsid w:val="00933412"/>
    <w:rsid w:val="0093344B"/>
    <w:rsid w:val="0093348B"/>
    <w:rsid w:val="00933591"/>
    <w:rsid w:val="009337C3"/>
    <w:rsid w:val="009337CF"/>
    <w:rsid w:val="00933929"/>
    <w:rsid w:val="0093397E"/>
    <w:rsid w:val="00933B65"/>
    <w:rsid w:val="00933D62"/>
    <w:rsid w:val="00933E90"/>
    <w:rsid w:val="00933E9F"/>
    <w:rsid w:val="00933F25"/>
    <w:rsid w:val="00933FC7"/>
    <w:rsid w:val="00933FF3"/>
    <w:rsid w:val="00934021"/>
    <w:rsid w:val="00934060"/>
    <w:rsid w:val="00934116"/>
    <w:rsid w:val="009342B2"/>
    <w:rsid w:val="009343C8"/>
    <w:rsid w:val="009343E1"/>
    <w:rsid w:val="0093442F"/>
    <w:rsid w:val="009347E5"/>
    <w:rsid w:val="00934832"/>
    <w:rsid w:val="0093486D"/>
    <w:rsid w:val="009348F3"/>
    <w:rsid w:val="00934B4C"/>
    <w:rsid w:val="00934B72"/>
    <w:rsid w:val="00934EED"/>
    <w:rsid w:val="00934F15"/>
    <w:rsid w:val="00934F88"/>
    <w:rsid w:val="0093500C"/>
    <w:rsid w:val="00935069"/>
    <w:rsid w:val="009350E7"/>
    <w:rsid w:val="009350ED"/>
    <w:rsid w:val="00935169"/>
    <w:rsid w:val="00935201"/>
    <w:rsid w:val="0093522C"/>
    <w:rsid w:val="00935240"/>
    <w:rsid w:val="0093524B"/>
    <w:rsid w:val="00935273"/>
    <w:rsid w:val="009352AF"/>
    <w:rsid w:val="00935360"/>
    <w:rsid w:val="00935399"/>
    <w:rsid w:val="009356AB"/>
    <w:rsid w:val="0093570A"/>
    <w:rsid w:val="00935734"/>
    <w:rsid w:val="009357B0"/>
    <w:rsid w:val="009357E4"/>
    <w:rsid w:val="0093580C"/>
    <w:rsid w:val="00935A64"/>
    <w:rsid w:val="00935B08"/>
    <w:rsid w:val="00935B56"/>
    <w:rsid w:val="00935C55"/>
    <w:rsid w:val="00935DBC"/>
    <w:rsid w:val="00935EA9"/>
    <w:rsid w:val="00935EB0"/>
    <w:rsid w:val="00935EB3"/>
    <w:rsid w:val="00935F95"/>
    <w:rsid w:val="009360FD"/>
    <w:rsid w:val="0093612A"/>
    <w:rsid w:val="00936162"/>
    <w:rsid w:val="00936180"/>
    <w:rsid w:val="009361AA"/>
    <w:rsid w:val="0093622F"/>
    <w:rsid w:val="00936298"/>
    <w:rsid w:val="009362F7"/>
    <w:rsid w:val="0093631B"/>
    <w:rsid w:val="00936342"/>
    <w:rsid w:val="00936347"/>
    <w:rsid w:val="00936498"/>
    <w:rsid w:val="009365F4"/>
    <w:rsid w:val="00936611"/>
    <w:rsid w:val="00936754"/>
    <w:rsid w:val="00936B3A"/>
    <w:rsid w:val="00936CD0"/>
    <w:rsid w:val="00936DD5"/>
    <w:rsid w:val="00936DE8"/>
    <w:rsid w:val="00936E98"/>
    <w:rsid w:val="00937153"/>
    <w:rsid w:val="0093718C"/>
    <w:rsid w:val="009372D8"/>
    <w:rsid w:val="0093737C"/>
    <w:rsid w:val="009373A5"/>
    <w:rsid w:val="00937449"/>
    <w:rsid w:val="0093745D"/>
    <w:rsid w:val="00937482"/>
    <w:rsid w:val="009375C6"/>
    <w:rsid w:val="009377A7"/>
    <w:rsid w:val="009378DA"/>
    <w:rsid w:val="009378FA"/>
    <w:rsid w:val="00937978"/>
    <w:rsid w:val="00937C33"/>
    <w:rsid w:val="00937D1C"/>
    <w:rsid w:val="00937D5F"/>
    <w:rsid w:val="00937F98"/>
    <w:rsid w:val="00937FA5"/>
    <w:rsid w:val="00937FC2"/>
    <w:rsid w:val="00937FE9"/>
    <w:rsid w:val="0094001A"/>
    <w:rsid w:val="00940114"/>
    <w:rsid w:val="0094014F"/>
    <w:rsid w:val="009402FF"/>
    <w:rsid w:val="00940334"/>
    <w:rsid w:val="00940353"/>
    <w:rsid w:val="009404AC"/>
    <w:rsid w:val="009405BB"/>
    <w:rsid w:val="009405EB"/>
    <w:rsid w:val="00940658"/>
    <w:rsid w:val="0094067C"/>
    <w:rsid w:val="00940933"/>
    <w:rsid w:val="009409D0"/>
    <w:rsid w:val="00940A0B"/>
    <w:rsid w:val="00940A18"/>
    <w:rsid w:val="00940A9C"/>
    <w:rsid w:val="00940AAB"/>
    <w:rsid w:val="00940B74"/>
    <w:rsid w:val="00940C28"/>
    <w:rsid w:val="00940C41"/>
    <w:rsid w:val="00940D71"/>
    <w:rsid w:val="00940DDA"/>
    <w:rsid w:val="00940FDD"/>
    <w:rsid w:val="0094116E"/>
    <w:rsid w:val="00941227"/>
    <w:rsid w:val="00941266"/>
    <w:rsid w:val="00941274"/>
    <w:rsid w:val="00941304"/>
    <w:rsid w:val="009413D1"/>
    <w:rsid w:val="0094142C"/>
    <w:rsid w:val="009414E1"/>
    <w:rsid w:val="009415DB"/>
    <w:rsid w:val="00941601"/>
    <w:rsid w:val="009417F0"/>
    <w:rsid w:val="00941847"/>
    <w:rsid w:val="009419B2"/>
    <w:rsid w:val="00941AE3"/>
    <w:rsid w:val="00941B31"/>
    <w:rsid w:val="00941B46"/>
    <w:rsid w:val="00941BA9"/>
    <w:rsid w:val="00941C4A"/>
    <w:rsid w:val="00941CF6"/>
    <w:rsid w:val="00941D57"/>
    <w:rsid w:val="00941D9C"/>
    <w:rsid w:val="00941F92"/>
    <w:rsid w:val="00941FDF"/>
    <w:rsid w:val="0094216D"/>
    <w:rsid w:val="009421B5"/>
    <w:rsid w:val="009422AB"/>
    <w:rsid w:val="009422C4"/>
    <w:rsid w:val="00942483"/>
    <w:rsid w:val="009424CE"/>
    <w:rsid w:val="009424FE"/>
    <w:rsid w:val="0094257E"/>
    <w:rsid w:val="0094259C"/>
    <w:rsid w:val="009425B2"/>
    <w:rsid w:val="0094266B"/>
    <w:rsid w:val="009426B5"/>
    <w:rsid w:val="0094271E"/>
    <w:rsid w:val="0094281E"/>
    <w:rsid w:val="00942A80"/>
    <w:rsid w:val="00942AF5"/>
    <w:rsid w:val="00942BC3"/>
    <w:rsid w:val="00942CD8"/>
    <w:rsid w:val="00942D0B"/>
    <w:rsid w:val="00942DB2"/>
    <w:rsid w:val="00942E5A"/>
    <w:rsid w:val="00942ECB"/>
    <w:rsid w:val="00942EE0"/>
    <w:rsid w:val="00943035"/>
    <w:rsid w:val="0094323D"/>
    <w:rsid w:val="009432C4"/>
    <w:rsid w:val="009433E4"/>
    <w:rsid w:val="009433E8"/>
    <w:rsid w:val="009434CE"/>
    <w:rsid w:val="0094369E"/>
    <w:rsid w:val="00943906"/>
    <w:rsid w:val="0094396A"/>
    <w:rsid w:val="009439F0"/>
    <w:rsid w:val="00943AB9"/>
    <w:rsid w:val="00943ADB"/>
    <w:rsid w:val="00943B6D"/>
    <w:rsid w:val="00943BBD"/>
    <w:rsid w:val="00943CE8"/>
    <w:rsid w:val="00943DEA"/>
    <w:rsid w:val="00943F38"/>
    <w:rsid w:val="0094408E"/>
    <w:rsid w:val="0094419C"/>
    <w:rsid w:val="0094428B"/>
    <w:rsid w:val="009442A8"/>
    <w:rsid w:val="009443D0"/>
    <w:rsid w:val="0094446F"/>
    <w:rsid w:val="00944508"/>
    <w:rsid w:val="00944538"/>
    <w:rsid w:val="00944796"/>
    <w:rsid w:val="00944798"/>
    <w:rsid w:val="0094487F"/>
    <w:rsid w:val="00944A89"/>
    <w:rsid w:val="00944B9D"/>
    <w:rsid w:val="00944B9E"/>
    <w:rsid w:val="00944CBE"/>
    <w:rsid w:val="00944DA5"/>
    <w:rsid w:val="00944E78"/>
    <w:rsid w:val="00944FA1"/>
    <w:rsid w:val="0094502F"/>
    <w:rsid w:val="00945057"/>
    <w:rsid w:val="009450D3"/>
    <w:rsid w:val="009451A4"/>
    <w:rsid w:val="00945229"/>
    <w:rsid w:val="00945277"/>
    <w:rsid w:val="0094531A"/>
    <w:rsid w:val="00945469"/>
    <w:rsid w:val="00945697"/>
    <w:rsid w:val="0094576A"/>
    <w:rsid w:val="009459BA"/>
    <w:rsid w:val="00945DF2"/>
    <w:rsid w:val="00945E5D"/>
    <w:rsid w:val="00945EDD"/>
    <w:rsid w:val="0094600C"/>
    <w:rsid w:val="00946012"/>
    <w:rsid w:val="00946022"/>
    <w:rsid w:val="00946061"/>
    <w:rsid w:val="0094609F"/>
    <w:rsid w:val="009461D3"/>
    <w:rsid w:val="009461F8"/>
    <w:rsid w:val="009462D4"/>
    <w:rsid w:val="00946505"/>
    <w:rsid w:val="00946514"/>
    <w:rsid w:val="00946571"/>
    <w:rsid w:val="00946580"/>
    <w:rsid w:val="009465D8"/>
    <w:rsid w:val="00946645"/>
    <w:rsid w:val="009467ED"/>
    <w:rsid w:val="009468C0"/>
    <w:rsid w:val="00946A1E"/>
    <w:rsid w:val="00946A5D"/>
    <w:rsid w:val="00946ABF"/>
    <w:rsid w:val="00946AFC"/>
    <w:rsid w:val="00946B5E"/>
    <w:rsid w:val="00946B99"/>
    <w:rsid w:val="00946C7C"/>
    <w:rsid w:val="00946CDC"/>
    <w:rsid w:val="00946E55"/>
    <w:rsid w:val="0094710B"/>
    <w:rsid w:val="00947145"/>
    <w:rsid w:val="009471FC"/>
    <w:rsid w:val="00947321"/>
    <w:rsid w:val="00947376"/>
    <w:rsid w:val="009474C7"/>
    <w:rsid w:val="0094750B"/>
    <w:rsid w:val="0094752B"/>
    <w:rsid w:val="009475C5"/>
    <w:rsid w:val="0094787D"/>
    <w:rsid w:val="009479A4"/>
    <w:rsid w:val="00947A57"/>
    <w:rsid w:val="00947AF1"/>
    <w:rsid w:val="00947BF1"/>
    <w:rsid w:val="00947C77"/>
    <w:rsid w:val="00947D2E"/>
    <w:rsid w:val="00947D99"/>
    <w:rsid w:val="00947E6A"/>
    <w:rsid w:val="00947E6B"/>
    <w:rsid w:val="00947FBA"/>
    <w:rsid w:val="0095004C"/>
    <w:rsid w:val="009500A8"/>
    <w:rsid w:val="009501E7"/>
    <w:rsid w:val="009503B9"/>
    <w:rsid w:val="009505AC"/>
    <w:rsid w:val="009505E6"/>
    <w:rsid w:val="0095072B"/>
    <w:rsid w:val="00950736"/>
    <w:rsid w:val="00950940"/>
    <w:rsid w:val="009509C9"/>
    <w:rsid w:val="00950A25"/>
    <w:rsid w:val="00950B4D"/>
    <w:rsid w:val="00950B6B"/>
    <w:rsid w:val="00950C2C"/>
    <w:rsid w:val="00951047"/>
    <w:rsid w:val="009511A4"/>
    <w:rsid w:val="009511AC"/>
    <w:rsid w:val="009514DA"/>
    <w:rsid w:val="00951553"/>
    <w:rsid w:val="009516DE"/>
    <w:rsid w:val="00951706"/>
    <w:rsid w:val="009517C6"/>
    <w:rsid w:val="009517E2"/>
    <w:rsid w:val="00951878"/>
    <w:rsid w:val="00951999"/>
    <w:rsid w:val="009519B4"/>
    <w:rsid w:val="00951A93"/>
    <w:rsid w:val="00951BAA"/>
    <w:rsid w:val="00951CD6"/>
    <w:rsid w:val="00951D86"/>
    <w:rsid w:val="00951E72"/>
    <w:rsid w:val="00951F09"/>
    <w:rsid w:val="0095202C"/>
    <w:rsid w:val="0095206D"/>
    <w:rsid w:val="00952089"/>
    <w:rsid w:val="009522DF"/>
    <w:rsid w:val="00952351"/>
    <w:rsid w:val="0095235C"/>
    <w:rsid w:val="00952578"/>
    <w:rsid w:val="00952AFB"/>
    <w:rsid w:val="00952B16"/>
    <w:rsid w:val="00952BF7"/>
    <w:rsid w:val="00952C67"/>
    <w:rsid w:val="00952C72"/>
    <w:rsid w:val="00952EB4"/>
    <w:rsid w:val="00952FAE"/>
    <w:rsid w:val="009533B1"/>
    <w:rsid w:val="009536BE"/>
    <w:rsid w:val="0095380D"/>
    <w:rsid w:val="00953814"/>
    <w:rsid w:val="00953AFD"/>
    <w:rsid w:val="00953BE4"/>
    <w:rsid w:val="00953D25"/>
    <w:rsid w:val="00953D3C"/>
    <w:rsid w:val="00953DAA"/>
    <w:rsid w:val="00953FA4"/>
    <w:rsid w:val="0095400B"/>
    <w:rsid w:val="009540A3"/>
    <w:rsid w:val="009540DB"/>
    <w:rsid w:val="009540E2"/>
    <w:rsid w:val="00954116"/>
    <w:rsid w:val="0095416E"/>
    <w:rsid w:val="009541A3"/>
    <w:rsid w:val="00954210"/>
    <w:rsid w:val="0095423F"/>
    <w:rsid w:val="009543DF"/>
    <w:rsid w:val="00954549"/>
    <w:rsid w:val="009545CE"/>
    <w:rsid w:val="00954771"/>
    <w:rsid w:val="00954805"/>
    <w:rsid w:val="00954816"/>
    <w:rsid w:val="00954A29"/>
    <w:rsid w:val="00954D3F"/>
    <w:rsid w:val="00954EF2"/>
    <w:rsid w:val="00954FEB"/>
    <w:rsid w:val="00955011"/>
    <w:rsid w:val="00955092"/>
    <w:rsid w:val="009551A6"/>
    <w:rsid w:val="0095532B"/>
    <w:rsid w:val="0095535C"/>
    <w:rsid w:val="009553E5"/>
    <w:rsid w:val="00955768"/>
    <w:rsid w:val="009557D1"/>
    <w:rsid w:val="009557EF"/>
    <w:rsid w:val="0095582B"/>
    <w:rsid w:val="00955A1A"/>
    <w:rsid w:val="00955AE1"/>
    <w:rsid w:val="00955B8E"/>
    <w:rsid w:val="00955CE2"/>
    <w:rsid w:val="00955D52"/>
    <w:rsid w:val="00955D89"/>
    <w:rsid w:val="00955DEF"/>
    <w:rsid w:val="00955E7E"/>
    <w:rsid w:val="00955F35"/>
    <w:rsid w:val="00955F7F"/>
    <w:rsid w:val="00955FFC"/>
    <w:rsid w:val="009560FE"/>
    <w:rsid w:val="0095630E"/>
    <w:rsid w:val="00956539"/>
    <w:rsid w:val="00956568"/>
    <w:rsid w:val="0095658F"/>
    <w:rsid w:val="00956702"/>
    <w:rsid w:val="00956A94"/>
    <w:rsid w:val="00956B80"/>
    <w:rsid w:val="00956C43"/>
    <w:rsid w:val="00956C81"/>
    <w:rsid w:val="00956D18"/>
    <w:rsid w:val="00956EBF"/>
    <w:rsid w:val="00957055"/>
    <w:rsid w:val="0095711C"/>
    <w:rsid w:val="009571F0"/>
    <w:rsid w:val="00957263"/>
    <w:rsid w:val="009572DA"/>
    <w:rsid w:val="009574DB"/>
    <w:rsid w:val="0095752B"/>
    <w:rsid w:val="00957531"/>
    <w:rsid w:val="009575A2"/>
    <w:rsid w:val="009575F2"/>
    <w:rsid w:val="00957637"/>
    <w:rsid w:val="00957657"/>
    <w:rsid w:val="00957776"/>
    <w:rsid w:val="0095777C"/>
    <w:rsid w:val="00957991"/>
    <w:rsid w:val="00957B33"/>
    <w:rsid w:val="00957DEC"/>
    <w:rsid w:val="00957E3C"/>
    <w:rsid w:val="00957EAE"/>
    <w:rsid w:val="00957FA5"/>
    <w:rsid w:val="00960020"/>
    <w:rsid w:val="009601C7"/>
    <w:rsid w:val="009602CB"/>
    <w:rsid w:val="009602E6"/>
    <w:rsid w:val="00960381"/>
    <w:rsid w:val="009603A6"/>
    <w:rsid w:val="009603CD"/>
    <w:rsid w:val="0096051C"/>
    <w:rsid w:val="009605BE"/>
    <w:rsid w:val="009605CF"/>
    <w:rsid w:val="00960696"/>
    <w:rsid w:val="00960A4A"/>
    <w:rsid w:val="00960ABB"/>
    <w:rsid w:val="00960AFA"/>
    <w:rsid w:val="00960B17"/>
    <w:rsid w:val="00960E18"/>
    <w:rsid w:val="00960E2B"/>
    <w:rsid w:val="00960E6B"/>
    <w:rsid w:val="00960E9D"/>
    <w:rsid w:val="00960F19"/>
    <w:rsid w:val="00960F51"/>
    <w:rsid w:val="00961049"/>
    <w:rsid w:val="00961069"/>
    <w:rsid w:val="00961102"/>
    <w:rsid w:val="009611A6"/>
    <w:rsid w:val="00961301"/>
    <w:rsid w:val="00961369"/>
    <w:rsid w:val="009613D3"/>
    <w:rsid w:val="009613E2"/>
    <w:rsid w:val="0096150E"/>
    <w:rsid w:val="0096154A"/>
    <w:rsid w:val="009616CC"/>
    <w:rsid w:val="0096179F"/>
    <w:rsid w:val="0096182F"/>
    <w:rsid w:val="009618E7"/>
    <w:rsid w:val="00961A22"/>
    <w:rsid w:val="00961AFF"/>
    <w:rsid w:val="00961B46"/>
    <w:rsid w:val="00961BAB"/>
    <w:rsid w:val="00961BAF"/>
    <w:rsid w:val="00961C08"/>
    <w:rsid w:val="00961C5F"/>
    <w:rsid w:val="00961C63"/>
    <w:rsid w:val="00961DC1"/>
    <w:rsid w:val="00961E62"/>
    <w:rsid w:val="00962085"/>
    <w:rsid w:val="00962104"/>
    <w:rsid w:val="00962180"/>
    <w:rsid w:val="00962197"/>
    <w:rsid w:val="0096219A"/>
    <w:rsid w:val="0096250E"/>
    <w:rsid w:val="009625C0"/>
    <w:rsid w:val="009626A0"/>
    <w:rsid w:val="009627E5"/>
    <w:rsid w:val="00962979"/>
    <w:rsid w:val="00962CE1"/>
    <w:rsid w:val="00962D1D"/>
    <w:rsid w:val="00962DD5"/>
    <w:rsid w:val="00962E0A"/>
    <w:rsid w:val="00962E16"/>
    <w:rsid w:val="00962EDF"/>
    <w:rsid w:val="00962FF1"/>
    <w:rsid w:val="00963143"/>
    <w:rsid w:val="00963213"/>
    <w:rsid w:val="009633B7"/>
    <w:rsid w:val="009634AD"/>
    <w:rsid w:val="009636E9"/>
    <w:rsid w:val="009639C6"/>
    <w:rsid w:val="00963A26"/>
    <w:rsid w:val="00963B17"/>
    <w:rsid w:val="00963B60"/>
    <w:rsid w:val="00963B89"/>
    <w:rsid w:val="00963BFE"/>
    <w:rsid w:val="00963C27"/>
    <w:rsid w:val="00963CA3"/>
    <w:rsid w:val="00963D49"/>
    <w:rsid w:val="00963E51"/>
    <w:rsid w:val="00964151"/>
    <w:rsid w:val="009641C3"/>
    <w:rsid w:val="00964273"/>
    <w:rsid w:val="00964278"/>
    <w:rsid w:val="009642B4"/>
    <w:rsid w:val="009642F0"/>
    <w:rsid w:val="0096438D"/>
    <w:rsid w:val="00964406"/>
    <w:rsid w:val="00964420"/>
    <w:rsid w:val="0096457E"/>
    <w:rsid w:val="009645D4"/>
    <w:rsid w:val="009645EB"/>
    <w:rsid w:val="00964655"/>
    <w:rsid w:val="009646B7"/>
    <w:rsid w:val="009646DD"/>
    <w:rsid w:val="00964734"/>
    <w:rsid w:val="0096482B"/>
    <w:rsid w:val="009648A8"/>
    <w:rsid w:val="00964C10"/>
    <w:rsid w:val="00964C67"/>
    <w:rsid w:val="00964EBD"/>
    <w:rsid w:val="00964F0E"/>
    <w:rsid w:val="00964F35"/>
    <w:rsid w:val="00964F9C"/>
    <w:rsid w:val="00965023"/>
    <w:rsid w:val="009650C2"/>
    <w:rsid w:val="009652B5"/>
    <w:rsid w:val="009652D7"/>
    <w:rsid w:val="00965367"/>
    <w:rsid w:val="00965426"/>
    <w:rsid w:val="0096542B"/>
    <w:rsid w:val="009654FA"/>
    <w:rsid w:val="00965627"/>
    <w:rsid w:val="0096579C"/>
    <w:rsid w:val="009657A9"/>
    <w:rsid w:val="0096585A"/>
    <w:rsid w:val="009658C6"/>
    <w:rsid w:val="009659C6"/>
    <w:rsid w:val="00965A24"/>
    <w:rsid w:val="00965FA3"/>
    <w:rsid w:val="00966025"/>
    <w:rsid w:val="00966260"/>
    <w:rsid w:val="009662A0"/>
    <w:rsid w:val="00966354"/>
    <w:rsid w:val="00966397"/>
    <w:rsid w:val="00966441"/>
    <w:rsid w:val="009665B3"/>
    <w:rsid w:val="0096670D"/>
    <w:rsid w:val="0096677E"/>
    <w:rsid w:val="00966933"/>
    <w:rsid w:val="00966985"/>
    <w:rsid w:val="00966988"/>
    <w:rsid w:val="00966A41"/>
    <w:rsid w:val="00966AA2"/>
    <w:rsid w:val="00966B3A"/>
    <w:rsid w:val="00966F11"/>
    <w:rsid w:val="00966F1C"/>
    <w:rsid w:val="00966F9C"/>
    <w:rsid w:val="00966FB4"/>
    <w:rsid w:val="00967000"/>
    <w:rsid w:val="00967168"/>
    <w:rsid w:val="00967189"/>
    <w:rsid w:val="009671C9"/>
    <w:rsid w:val="00967246"/>
    <w:rsid w:val="00967347"/>
    <w:rsid w:val="00967355"/>
    <w:rsid w:val="0096736D"/>
    <w:rsid w:val="0096757D"/>
    <w:rsid w:val="009676AC"/>
    <w:rsid w:val="0096775F"/>
    <w:rsid w:val="009678C6"/>
    <w:rsid w:val="00967960"/>
    <w:rsid w:val="00967967"/>
    <w:rsid w:val="0096799C"/>
    <w:rsid w:val="00967AA6"/>
    <w:rsid w:val="00967B8D"/>
    <w:rsid w:val="00967C3D"/>
    <w:rsid w:val="00967E5D"/>
    <w:rsid w:val="00967E83"/>
    <w:rsid w:val="00967EEA"/>
    <w:rsid w:val="00967F33"/>
    <w:rsid w:val="0097028F"/>
    <w:rsid w:val="009702A6"/>
    <w:rsid w:val="00970302"/>
    <w:rsid w:val="0097031D"/>
    <w:rsid w:val="00970351"/>
    <w:rsid w:val="00970395"/>
    <w:rsid w:val="009704EA"/>
    <w:rsid w:val="009707D4"/>
    <w:rsid w:val="009707EC"/>
    <w:rsid w:val="009708FF"/>
    <w:rsid w:val="00970BB0"/>
    <w:rsid w:val="00970CFF"/>
    <w:rsid w:val="00970DC1"/>
    <w:rsid w:val="00970DD8"/>
    <w:rsid w:val="00970E0B"/>
    <w:rsid w:val="00970FC5"/>
    <w:rsid w:val="009711DF"/>
    <w:rsid w:val="009711FF"/>
    <w:rsid w:val="0097129A"/>
    <w:rsid w:val="009712C7"/>
    <w:rsid w:val="0097136C"/>
    <w:rsid w:val="00971459"/>
    <w:rsid w:val="00971575"/>
    <w:rsid w:val="00971625"/>
    <w:rsid w:val="00971676"/>
    <w:rsid w:val="009716C0"/>
    <w:rsid w:val="009716CD"/>
    <w:rsid w:val="00971753"/>
    <w:rsid w:val="0097184B"/>
    <w:rsid w:val="00971E25"/>
    <w:rsid w:val="00971E45"/>
    <w:rsid w:val="00971F15"/>
    <w:rsid w:val="00971F1D"/>
    <w:rsid w:val="00972079"/>
    <w:rsid w:val="00972352"/>
    <w:rsid w:val="0097236D"/>
    <w:rsid w:val="009723B9"/>
    <w:rsid w:val="009723ED"/>
    <w:rsid w:val="0097245C"/>
    <w:rsid w:val="009725CD"/>
    <w:rsid w:val="0097281A"/>
    <w:rsid w:val="00972845"/>
    <w:rsid w:val="009728B9"/>
    <w:rsid w:val="009728FC"/>
    <w:rsid w:val="009729F0"/>
    <w:rsid w:val="00972A6A"/>
    <w:rsid w:val="00972AAD"/>
    <w:rsid w:val="00972B3F"/>
    <w:rsid w:val="00972C6F"/>
    <w:rsid w:val="00972CA9"/>
    <w:rsid w:val="00972D03"/>
    <w:rsid w:val="00972DC4"/>
    <w:rsid w:val="00972F00"/>
    <w:rsid w:val="00972FEB"/>
    <w:rsid w:val="009730EF"/>
    <w:rsid w:val="0097315C"/>
    <w:rsid w:val="009731A2"/>
    <w:rsid w:val="009732C6"/>
    <w:rsid w:val="0097335C"/>
    <w:rsid w:val="0097340C"/>
    <w:rsid w:val="0097349A"/>
    <w:rsid w:val="0097360F"/>
    <w:rsid w:val="00973638"/>
    <w:rsid w:val="0097368D"/>
    <w:rsid w:val="009737D9"/>
    <w:rsid w:val="00973BBC"/>
    <w:rsid w:val="00973C95"/>
    <w:rsid w:val="00973D1C"/>
    <w:rsid w:val="00973FCD"/>
    <w:rsid w:val="0097409F"/>
    <w:rsid w:val="00974101"/>
    <w:rsid w:val="009741ED"/>
    <w:rsid w:val="00974408"/>
    <w:rsid w:val="00974593"/>
    <w:rsid w:val="00974764"/>
    <w:rsid w:val="00974B36"/>
    <w:rsid w:val="00974C7A"/>
    <w:rsid w:val="00974C8F"/>
    <w:rsid w:val="00974CB1"/>
    <w:rsid w:val="00974DC3"/>
    <w:rsid w:val="00974E38"/>
    <w:rsid w:val="009752FB"/>
    <w:rsid w:val="009755DD"/>
    <w:rsid w:val="00975685"/>
    <w:rsid w:val="00975729"/>
    <w:rsid w:val="0097579C"/>
    <w:rsid w:val="00975891"/>
    <w:rsid w:val="009758A8"/>
    <w:rsid w:val="009759B1"/>
    <w:rsid w:val="00975A31"/>
    <w:rsid w:val="00975B65"/>
    <w:rsid w:val="00975D02"/>
    <w:rsid w:val="00975D6F"/>
    <w:rsid w:val="00975DD4"/>
    <w:rsid w:val="00975DDE"/>
    <w:rsid w:val="00975F9D"/>
    <w:rsid w:val="00975FFA"/>
    <w:rsid w:val="00976056"/>
    <w:rsid w:val="00976090"/>
    <w:rsid w:val="0097612E"/>
    <w:rsid w:val="0097615F"/>
    <w:rsid w:val="0097626F"/>
    <w:rsid w:val="009762C0"/>
    <w:rsid w:val="0097634F"/>
    <w:rsid w:val="009763D7"/>
    <w:rsid w:val="0097662B"/>
    <w:rsid w:val="00976910"/>
    <w:rsid w:val="009769FD"/>
    <w:rsid w:val="00976A10"/>
    <w:rsid w:val="00976ACA"/>
    <w:rsid w:val="00976B41"/>
    <w:rsid w:val="00976CF1"/>
    <w:rsid w:val="00976D88"/>
    <w:rsid w:val="00976E79"/>
    <w:rsid w:val="00976F5C"/>
    <w:rsid w:val="009772A8"/>
    <w:rsid w:val="00977324"/>
    <w:rsid w:val="0097742A"/>
    <w:rsid w:val="00977478"/>
    <w:rsid w:val="009775D2"/>
    <w:rsid w:val="00977614"/>
    <w:rsid w:val="00977947"/>
    <w:rsid w:val="009779E1"/>
    <w:rsid w:val="00977AC7"/>
    <w:rsid w:val="00977B78"/>
    <w:rsid w:val="00977CB1"/>
    <w:rsid w:val="00977CBF"/>
    <w:rsid w:val="00980031"/>
    <w:rsid w:val="0098005D"/>
    <w:rsid w:val="00980079"/>
    <w:rsid w:val="00980193"/>
    <w:rsid w:val="009801F3"/>
    <w:rsid w:val="009802FD"/>
    <w:rsid w:val="00980393"/>
    <w:rsid w:val="009803FE"/>
    <w:rsid w:val="00980430"/>
    <w:rsid w:val="0098044C"/>
    <w:rsid w:val="009805C8"/>
    <w:rsid w:val="00980765"/>
    <w:rsid w:val="00980776"/>
    <w:rsid w:val="009808CD"/>
    <w:rsid w:val="00980973"/>
    <w:rsid w:val="00980998"/>
    <w:rsid w:val="009809B6"/>
    <w:rsid w:val="00980A42"/>
    <w:rsid w:val="00980A75"/>
    <w:rsid w:val="00980ACD"/>
    <w:rsid w:val="00980B46"/>
    <w:rsid w:val="00980BCA"/>
    <w:rsid w:val="00980C49"/>
    <w:rsid w:val="00980DD3"/>
    <w:rsid w:val="00981053"/>
    <w:rsid w:val="009810BF"/>
    <w:rsid w:val="00981126"/>
    <w:rsid w:val="00981220"/>
    <w:rsid w:val="00981527"/>
    <w:rsid w:val="009815D9"/>
    <w:rsid w:val="009816B8"/>
    <w:rsid w:val="0098172F"/>
    <w:rsid w:val="00981749"/>
    <w:rsid w:val="009817FF"/>
    <w:rsid w:val="0098198C"/>
    <w:rsid w:val="00981B6D"/>
    <w:rsid w:val="00981C19"/>
    <w:rsid w:val="00981D43"/>
    <w:rsid w:val="00981F14"/>
    <w:rsid w:val="009820A5"/>
    <w:rsid w:val="009820C0"/>
    <w:rsid w:val="00982107"/>
    <w:rsid w:val="0098222F"/>
    <w:rsid w:val="009823D9"/>
    <w:rsid w:val="00982402"/>
    <w:rsid w:val="009825FD"/>
    <w:rsid w:val="009826BA"/>
    <w:rsid w:val="009828F6"/>
    <w:rsid w:val="00982922"/>
    <w:rsid w:val="00982A25"/>
    <w:rsid w:val="00982B9E"/>
    <w:rsid w:val="00982BA4"/>
    <w:rsid w:val="00982D67"/>
    <w:rsid w:val="00982DA0"/>
    <w:rsid w:val="00982E24"/>
    <w:rsid w:val="00982ED9"/>
    <w:rsid w:val="00982EDF"/>
    <w:rsid w:val="00983011"/>
    <w:rsid w:val="00983137"/>
    <w:rsid w:val="00983257"/>
    <w:rsid w:val="009833D0"/>
    <w:rsid w:val="0098348E"/>
    <w:rsid w:val="0098368B"/>
    <w:rsid w:val="0098373B"/>
    <w:rsid w:val="009837A3"/>
    <w:rsid w:val="00983838"/>
    <w:rsid w:val="00983958"/>
    <w:rsid w:val="00983C7A"/>
    <w:rsid w:val="00983CAB"/>
    <w:rsid w:val="00983DAD"/>
    <w:rsid w:val="00983DF5"/>
    <w:rsid w:val="00983E99"/>
    <w:rsid w:val="00983F12"/>
    <w:rsid w:val="009840D8"/>
    <w:rsid w:val="00984149"/>
    <w:rsid w:val="0098415E"/>
    <w:rsid w:val="009841E4"/>
    <w:rsid w:val="009842E3"/>
    <w:rsid w:val="009842F2"/>
    <w:rsid w:val="009844C4"/>
    <w:rsid w:val="00984522"/>
    <w:rsid w:val="009845F9"/>
    <w:rsid w:val="00984699"/>
    <w:rsid w:val="0098496F"/>
    <w:rsid w:val="009849C3"/>
    <w:rsid w:val="00984B5B"/>
    <w:rsid w:val="00984B76"/>
    <w:rsid w:val="00984C3B"/>
    <w:rsid w:val="00984C69"/>
    <w:rsid w:val="00984CA1"/>
    <w:rsid w:val="00984D0F"/>
    <w:rsid w:val="00984E04"/>
    <w:rsid w:val="0098503C"/>
    <w:rsid w:val="00985051"/>
    <w:rsid w:val="009850E6"/>
    <w:rsid w:val="00985175"/>
    <w:rsid w:val="009851D4"/>
    <w:rsid w:val="00985225"/>
    <w:rsid w:val="00985241"/>
    <w:rsid w:val="009853C5"/>
    <w:rsid w:val="0098540A"/>
    <w:rsid w:val="00985436"/>
    <w:rsid w:val="0098546D"/>
    <w:rsid w:val="009854DC"/>
    <w:rsid w:val="0098551E"/>
    <w:rsid w:val="009856B9"/>
    <w:rsid w:val="009857E6"/>
    <w:rsid w:val="00985805"/>
    <w:rsid w:val="0098582F"/>
    <w:rsid w:val="0098583B"/>
    <w:rsid w:val="00985875"/>
    <w:rsid w:val="009858FA"/>
    <w:rsid w:val="009859CE"/>
    <w:rsid w:val="00985A30"/>
    <w:rsid w:val="00985BFC"/>
    <w:rsid w:val="00985C65"/>
    <w:rsid w:val="00985C76"/>
    <w:rsid w:val="00985CE6"/>
    <w:rsid w:val="00985D00"/>
    <w:rsid w:val="00985D2D"/>
    <w:rsid w:val="00985D2E"/>
    <w:rsid w:val="00986297"/>
    <w:rsid w:val="009862DF"/>
    <w:rsid w:val="0098630B"/>
    <w:rsid w:val="0098635B"/>
    <w:rsid w:val="0098637E"/>
    <w:rsid w:val="009863C0"/>
    <w:rsid w:val="009865F7"/>
    <w:rsid w:val="00986855"/>
    <w:rsid w:val="00986A37"/>
    <w:rsid w:val="00986AC0"/>
    <w:rsid w:val="00986B3E"/>
    <w:rsid w:val="00986DB1"/>
    <w:rsid w:val="00986DED"/>
    <w:rsid w:val="00986F7D"/>
    <w:rsid w:val="009870A5"/>
    <w:rsid w:val="0098715B"/>
    <w:rsid w:val="00987169"/>
    <w:rsid w:val="00987198"/>
    <w:rsid w:val="009872AA"/>
    <w:rsid w:val="00987308"/>
    <w:rsid w:val="00987371"/>
    <w:rsid w:val="009873B0"/>
    <w:rsid w:val="009874CC"/>
    <w:rsid w:val="009874D4"/>
    <w:rsid w:val="009875E6"/>
    <w:rsid w:val="009877A8"/>
    <w:rsid w:val="00987957"/>
    <w:rsid w:val="00987968"/>
    <w:rsid w:val="009879EA"/>
    <w:rsid w:val="00987AED"/>
    <w:rsid w:val="00987B85"/>
    <w:rsid w:val="00987BF1"/>
    <w:rsid w:val="00987D4E"/>
    <w:rsid w:val="00990344"/>
    <w:rsid w:val="0099038A"/>
    <w:rsid w:val="009904FA"/>
    <w:rsid w:val="00990561"/>
    <w:rsid w:val="00990683"/>
    <w:rsid w:val="009908B8"/>
    <w:rsid w:val="009909E5"/>
    <w:rsid w:val="009909F2"/>
    <w:rsid w:val="00990DCC"/>
    <w:rsid w:val="00990E93"/>
    <w:rsid w:val="00990E9A"/>
    <w:rsid w:val="00991048"/>
    <w:rsid w:val="009911A6"/>
    <w:rsid w:val="009911B0"/>
    <w:rsid w:val="00991252"/>
    <w:rsid w:val="00991343"/>
    <w:rsid w:val="0099136B"/>
    <w:rsid w:val="00991435"/>
    <w:rsid w:val="009915E8"/>
    <w:rsid w:val="0099171A"/>
    <w:rsid w:val="009917CF"/>
    <w:rsid w:val="0099180A"/>
    <w:rsid w:val="0099185F"/>
    <w:rsid w:val="00991865"/>
    <w:rsid w:val="009918C2"/>
    <w:rsid w:val="00991980"/>
    <w:rsid w:val="00991984"/>
    <w:rsid w:val="009919CA"/>
    <w:rsid w:val="00991A85"/>
    <w:rsid w:val="00991CF9"/>
    <w:rsid w:val="00991DD8"/>
    <w:rsid w:val="00991F31"/>
    <w:rsid w:val="0099200B"/>
    <w:rsid w:val="0099213D"/>
    <w:rsid w:val="0099228C"/>
    <w:rsid w:val="009923B1"/>
    <w:rsid w:val="009924F7"/>
    <w:rsid w:val="00992622"/>
    <w:rsid w:val="00992684"/>
    <w:rsid w:val="00992697"/>
    <w:rsid w:val="009926C7"/>
    <w:rsid w:val="0099271F"/>
    <w:rsid w:val="00992752"/>
    <w:rsid w:val="009929B4"/>
    <w:rsid w:val="00992AA2"/>
    <w:rsid w:val="00992B09"/>
    <w:rsid w:val="00992B1D"/>
    <w:rsid w:val="00992CBE"/>
    <w:rsid w:val="00992D34"/>
    <w:rsid w:val="00992E9E"/>
    <w:rsid w:val="00992EBC"/>
    <w:rsid w:val="00992EF2"/>
    <w:rsid w:val="00992F27"/>
    <w:rsid w:val="00992FF3"/>
    <w:rsid w:val="00993006"/>
    <w:rsid w:val="0099307E"/>
    <w:rsid w:val="00993138"/>
    <w:rsid w:val="0099313A"/>
    <w:rsid w:val="00993183"/>
    <w:rsid w:val="0099329D"/>
    <w:rsid w:val="009932AB"/>
    <w:rsid w:val="009932C0"/>
    <w:rsid w:val="009933DC"/>
    <w:rsid w:val="009933EB"/>
    <w:rsid w:val="00993433"/>
    <w:rsid w:val="00993478"/>
    <w:rsid w:val="00993678"/>
    <w:rsid w:val="00993708"/>
    <w:rsid w:val="00993A1A"/>
    <w:rsid w:val="00993C36"/>
    <w:rsid w:val="009942CB"/>
    <w:rsid w:val="009942F1"/>
    <w:rsid w:val="0099440B"/>
    <w:rsid w:val="00994491"/>
    <w:rsid w:val="0099449C"/>
    <w:rsid w:val="009944A0"/>
    <w:rsid w:val="009944BC"/>
    <w:rsid w:val="0099450A"/>
    <w:rsid w:val="00994558"/>
    <w:rsid w:val="00994562"/>
    <w:rsid w:val="00994767"/>
    <w:rsid w:val="0099486A"/>
    <w:rsid w:val="009949B1"/>
    <w:rsid w:val="009949C9"/>
    <w:rsid w:val="00994B74"/>
    <w:rsid w:val="00994B97"/>
    <w:rsid w:val="00994C66"/>
    <w:rsid w:val="00994C7A"/>
    <w:rsid w:val="00994E7D"/>
    <w:rsid w:val="00995091"/>
    <w:rsid w:val="0099509C"/>
    <w:rsid w:val="009951E9"/>
    <w:rsid w:val="0099529E"/>
    <w:rsid w:val="00995388"/>
    <w:rsid w:val="009953DF"/>
    <w:rsid w:val="009953E7"/>
    <w:rsid w:val="00995435"/>
    <w:rsid w:val="00995459"/>
    <w:rsid w:val="00995508"/>
    <w:rsid w:val="00995534"/>
    <w:rsid w:val="00995594"/>
    <w:rsid w:val="0099564D"/>
    <w:rsid w:val="009957B5"/>
    <w:rsid w:val="00995948"/>
    <w:rsid w:val="00995971"/>
    <w:rsid w:val="00995A37"/>
    <w:rsid w:val="00995C7F"/>
    <w:rsid w:val="00995CD9"/>
    <w:rsid w:val="00995D53"/>
    <w:rsid w:val="00995D66"/>
    <w:rsid w:val="00995DE8"/>
    <w:rsid w:val="00995E4D"/>
    <w:rsid w:val="00995ECD"/>
    <w:rsid w:val="00995EED"/>
    <w:rsid w:val="00995FDF"/>
    <w:rsid w:val="00996188"/>
    <w:rsid w:val="0099620A"/>
    <w:rsid w:val="009962C5"/>
    <w:rsid w:val="0099638F"/>
    <w:rsid w:val="009964A7"/>
    <w:rsid w:val="00996548"/>
    <w:rsid w:val="009966D1"/>
    <w:rsid w:val="009967C5"/>
    <w:rsid w:val="0099692D"/>
    <w:rsid w:val="00996937"/>
    <w:rsid w:val="00996A74"/>
    <w:rsid w:val="00996B99"/>
    <w:rsid w:val="00996CFD"/>
    <w:rsid w:val="00996DE5"/>
    <w:rsid w:val="00996EDB"/>
    <w:rsid w:val="0099704D"/>
    <w:rsid w:val="00997071"/>
    <w:rsid w:val="0099708F"/>
    <w:rsid w:val="009970DC"/>
    <w:rsid w:val="009971AA"/>
    <w:rsid w:val="009971B7"/>
    <w:rsid w:val="00997220"/>
    <w:rsid w:val="009972A5"/>
    <w:rsid w:val="009973C6"/>
    <w:rsid w:val="00997456"/>
    <w:rsid w:val="00997490"/>
    <w:rsid w:val="009975DF"/>
    <w:rsid w:val="00997677"/>
    <w:rsid w:val="00997732"/>
    <w:rsid w:val="00997758"/>
    <w:rsid w:val="00997775"/>
    <w:rsid w:val="0099778C"/>
    <w:rsid w:val="009977F5"/>
    <w:rsid w:val="00997B35"/>
    <w:rsid w:val="00997DBA"/>
    <w:rsid w:val="00997ED7"/>
    <w:rsid w:val="00997F82"/>
    <w:rsid w:val="00997FB2"/>
    <w:rsid w:val="00997FBF"/>
    <w:rsid w:val="009A00F7"/>
    <w:rsid w:val="009A025F"/>
    <w:rsid w:val="009A0328"/>
    <w:rsid w:val="009A0352"/>
    <w:rsid w:val="009A0357"/>
    <w:rsid w:val="009A03FC"/>
    <w:rsid w:val="009A04E2"/>
    <w:rsid w:val="009A0512"/>
    <w:rsid w:val="009A0556"/>
    <w:rsid w:val="009A069B"/>
    <w:rsid w:val="009A0789"/>
    <w:rsid w:val="009A07A3"/>
    <w:rsid w:val="009A0879"/>
    <w:rsid w:val="009A087D"/>
    <w:rsid w:val="009A0A4C"/>
    <w:rsid w:val="009A0A78"/>
    <w:rsid w:val="009A0AD7"/>
    <w:rsid w:val="009A0ADB"/>
    <w:rsid w:val="009A0B0A"/>
    <w:rsid w:val="009A0BD9"/>
    <w:rsid w:val="009A0FA0"/>
    <w:rsid w:val="009A0FCC"/>
    <w:rsid w:val="009A100C"/>
    <w:rsid w:val="009A10BF"/>
    <w:rsid w:val="009A12DB"/>
    <w:rsid w:val="009A13C1"/>
    <w:rsid w:val="009A141A"/>
    <w:rsid w:val="009A153A"/>
    <w:rsid w:val="009A15E2"/>
    <w:rsid w:val="009A17A8"/>
    <w:rsid w:val="009A17EC"/>
    <w:rsid w:val="009A1872"/>
    <w:rsid w:val="009A18E5"/>
    <w:rsid w:val="009A197F"/>
    <w:rsid w:val="009A1997"/>
    <w:rsid w:val="009A1A2F"/>
    <w:rsid w:val="009A1B92"/>
    <w:rsid w:val="009A1B97"/>
    <w:rsid w:val="009A1C88"/>
    <w:rsid w:val="009A1CF5"/>
    <w:rsid w:val="009A1E6F"/>
    <w:rsid w:val="009A1F30"/>
    <w:rsid w:val="009A20AE"/>
    <w:rsid w:val="009A2222"/>
    <w:rsid w:val="009A2430"/>
    <w:rsid w:val="009A25C4"/>
    <w:rsid w:val="009A264D"/>
    <w:rsid w:val="009A2764"/>
    <w:rsid w:val="009A27A4"/>
    <w:rsid w:val="009A27AC"/>
    <w:rsid w:val="009A284B"/>
    <w:rsid w:val="009A29B4"/>
    <w:rsid w:val="009A29C0"/>
    <w:rsid w:val="009A2BD3"/>
    <w:rsid w:val="009A2CBC"/>
    <w:rsid w:val="009A2DCF"/>
    <w:rsid w:val="009A3030"/>
    <w:rsid w:val="009A31A7"/>
    <w:rsid w:val="009A32F1"/>
    <w:rsid w:val="009A3351"/>
    <w:rsid w:val="009A3396"/>
    <w:rsid w:val="009A33B6"/>
    <w:rsid w:val="009A33F7"/>
    <w:rsid w:val="009A36A0"/>
    <w:rsid w:val="009A36AA"/>
    <w:rsid w:val="009A3774"/>
    <w:rsid w:val="009A37E5"/>
    <w:rsid w:val="009A3817"/>
    <w:rsid w:val="009A392C"/>
    <w:rsid w:val="009A39A2"/>
    <w:rsid w:val="009A3A12"/>
    <w:rsid w:val="009A3A4B"/>
    <w:rsid w:val="009A3AC7"/>
    <w:rsid w:val="009A3ADC"/>
    <w:rsid w:val="009A3BD7"/>
    <w:rsid w:val="009A3D7A"/>
    <w:rsid w:val="009A3D90"/>
    <w:rsid w:val="009A43EF"/>
    <w:rsid w:val="009A4564"/>
    <w:rsid w:val="009A45D6"/>
    <w:rsid w:val="009A45EA"/>
    <w:rsid w:val="009A466F"/>
    <w:rsid w:val="009A46E2"/>
    <w:rsid w:val="009A4739"/>
    <w:rsid w:val="009A4748"/>
    <w:rsid w:val="009A4752"/>
    <w:rsid w:val="009A47CF"/>
    <w:rsid w:val="009A488B"/>
    <w:rsid w:val="009A4AEF"/>
    <w:rsid w:val="009A4B6E"/>
    <w:rsid w:val="009A4BE2"/>
    <w:rsid w:val="009A4CC7"/>
    <w:rsid w:val="009A4CFF"/>
    <w:rsid w:val="009A4E2C"/>
    <w:rsid w:val="009A4EA0"/>
    <w:rsid w:val="009A4F8C"/>
    <w:rsid w:val="009A4FFC"/>
    <w:rsid w:val="009A514A"/>
    <w:rsid w:val="009A52A6"/>
    <w:rsid w:val="009A52E3"/>
    <w:rsid w:val="009A53AC"/>
    <w:rsid w:val="009A55CB"/>
    <w:rsid w:val="009A568C"/>
    <w:rsid w:val="009A56CB"/>
    <w:rsid w:val="009A5857"/>
    <w:rsid w:val="009A5AF4"/>
    <w:rsid w:val="009A5B57"/>
    <w:rsid w:val="009A5D19"/>
    <w:rsid w:val="009A5D56"/>
    <w:rsid w:val="009A5DFE"/>
    <w:rsid w:val="009A5EE4"/>
    <w:rsid w:val="009A5F9C"/>
    <w:rsid w:val="009A616E"/>
    <w:rsid w:val="009A61FA"/>
    <w:rsid w:val="009A63AA"/>
    <w:rsid w:val="009A6414"/>
    <w:rsid w:val="009A661D"/>
    <w:rsid w:val="009A6642"/>
    <w:rsid w:val="009A66E5"/>
    <w:rsid w:val="009A6714"/>
    <w:rsid w:val="009A676D"/>
    <w:rsid w:val="009A6792"/>
    <w:rsid w:val="009A67A9"/>
    <w:rsid w:val="009A6979"/>
    <w:rsid w:val="009A6B44"/>
    <w:rsid w:val="009A6C7C"/>
    <w:rsid w:val="009A6D4F"/>
    <w:rsid w:val="009A6F3F"/>
    <w:rsid w:val="009A6F7C"/>
    <w:rsid w:val="009A6FCA"/>
    <w:rsid w:val="009A708D"/>
    <w:rsid w:val="009A70DD"/>
    <w:rsid w:val="009A7100"/>
    <w:rsid w:val="009A7124"/>
    <w:rsid w:val="009A7193"/>
    <w:rsid w:val="009A71BD"/>
    <w:rsid w:val="009A7431"/>
    <w:rsid w:val="009A7542"/>
    <w:rsid w:val="009A7663"/>
    <w:rsid w:val="009A77A7"/>
    <w:rsid w:val="009A77FA"/>
    <w:rsid w:val="009A783E"/>
    <w:rsid w:val="009A78CE"/>
    <w:rsid w:val="009A79B1"/>
    <w:rsid w:val="009A7AD2"/>
    <w:rsid w:val="009A7AE3"/>
    <w:rsid w:val="009A7B20"/>
    <w:rsid w:val="009A7B32"/>
    <w:rsid w:val="009A7BC6"/>
    <w:rsid w:val="009A7C99"/>
    <w:rsid w:val="009A7D19"/>
    <w:rsid w:val="009A7D3F"/>
    <w:rsid w:val="009A7E5C"/>
    <w:rsid w:val="009A7F1E"/>
    <w:rsid w:val="009A7FC2"/>
    <w:rsid w:val="009A7FD9"/>
    <w:rsid w:val="009B003B"/>
    <w:rsid w:val="009B0177"/>
    <w:rsid w:val="009B0180"/>
    <w:rsid w:val="009B0272"/>
    <w:rsid w:val="009B02E0"/>
    <w:rsid w:val="009B0467"/>
    <w:rsid w:val="009B0532"/>
    <w:rsid w:val="009B064A"/>
    <w:rsid w:val="009B0740"/>
    <w:rsid w:val="009B076D"/>
    <w:rsid w:val="009B0784"/>
    <w:rsid w:val="009B07BB"/>
    <w:rsid w:val="009B0AE6"/>
    <w:rsid w:val="009B0B3F"/>
    <w:rsid w:val="009B0BDC"/>
    <w:rsid w:val="009B0D63"/>
    <w:rsid w:val="009B0D8F"/>
    <w:rsid w:val="009B0D9F"/>
    <w:rsid w:val="009B0E1C"/>
    <w:rsid w:val="009B0E2E"/>
    <w:rsid w:val="009B0E5B"/>
    <w:rsid w:val="009B0E63"/>
    <w:rsid w:val="009B0F0A"/>
    <w:rsid w:val="009B0FA0"/>
    <w:rsid w:val="009B0FE9"/>
    <w:rsid w:val="009B10C3"/>
    <w:rsid w:val="009B1200"/>
    <w:rsid w:val="009B1246"/>
    <w:rsid w:val="009B125C"/>
    <w:rsid w:val="009B177F"/>
    <w:rsid w:val="009B17AC"/>
    <w:rsid w:val="009B18C3"/>
    <w:rsid w:val="009B1904"/>
    <w:rsid w:val="009B19FF"/>
    <w:rsid w:val="009B1B2A"/>
    <w:rsid w:val="009B1BEE"/>
    <w:rsid w:val="009B1BF1"/>
    <w:rsid w:val="009B1C0D"/>
    <w:rsid w:val="009B2263"/>
    <w:rsid w:val="009B22AB"/>
    <w:rsid w:val="009B22FE"/>
    <w:rsid w:val="009B2328"/>
    <w:rsid w:val="009B2333"/>
    <w:rsid w:val="009B2400"/>
    <w:rsid w:val="009B2454"/>
    <w:rsid w:val="009B24DC"/>
    <w:rsid w:val="009B251E"/>
    <w:rsid w:val="009B2577"/>
    <w:rsid w:val="009B2686"/>
    <w:rsid w:val="009B271B"/>
    <w:rsid w:val="009B278C"/>
    <w:rsid w:val="009B2AE3"/>
    <w:rsid w:val="009B2BB4"/>
    <w:rsid w:val="009B2C7B"/>
    <w:rsid w:val="009B2CE9"/>
    <w:rsid w:val="009B2D28"/>
    <w:rsid w:val="009B2DD7"/>
    <w:rsid w:val="009B2EBF"/>
    <w:rsid w:val="009B2F35"/>
    <w:rsid w:val="009B30FD"/>
    <w:rsid w:val="009B31A3"/>
    <w:rsid w:val="009B3550"/>
    <w:rsid w:val="009B355D"/>
    <w:rsid w:val="009B378D"/>
    <w:rsid w:val="009B3A4C"/>
    <w:rsid w:val="009B3C5A"/>
    <w:rsid w:val="009B3D1C"/>
    <w:rsid w:val="009B3D36"/>
    <w:rsid w:val="009B3DA0"/>
    <w:rsid w:val="009B3E03"/>
    <w:rsid w:val="009B3EF0"/>
    <w:rsid w:val="009B3F2B"/>
    <w:rsid w:val="009B41ED"/>
    <w:rsid w:val="009B4246"/>
    <w:rsid w:val="009B42B9"/>
    <w:rsid w:val="009B4364"/>
    <w:rsid w:val="009B43B4"/>
    <w:rsid w:val="009B4416"/>
    <w:rsid w:val="009B4757"/>
    <w:rsid w:val="009B4800"/>
    <w:rsid w:val="009B48D5"/>
    <w:rsid w:val="009B4962"/>
    <w:rsid w:val="009B4B69"/>
    <w:rsid w:val="009B4B77"/>
    <w:rsid w:val="009B4DB0"/>
    <w:rsid w:val="009B4DD2"/>
    <w:rsid w:val="009B4F02"/>
    <w:rsid w:val="009B4FF1"/>
    <w:rsid w:val="009B5468"/>
    <w:rsid w:val="009B54ED"/>
    <w:rsid w:val="009B550F"/>
    <w:rsid w:val="009B56EF"/>
    <w:rsid w:val="009B57DD"/>
    <w:rsid w:val="009B5909"/>
    <w:rsid w:val="009B5954"/>
    <w:rsid w:val="009B59B3"/>
    <w:rsid w:val="009B5AC5"/>
    <w:rsid w:val="009B5B1D"/>
    <w:rsid w:val="009B5B6D"/>
    <w:rsid w:val="009B5C4E"/>
    <w:rsid w:val="009B5CE3"/>
    <w:rsid w:val="009B5D74"/>
    <w:rsid w:val="009B5E08"/>
    <w:rsid w:val="009B5E67"/>
    <w:rsid w:val="009B602C"/>
    <w:rsid w:val="009B60C8"/>
    <w:rsid w:val="009B636D"/>
    <w:rsid w:val="009B6431"/>
    <w:rsid w:val="009B651B"/>
    <w:rsid w:val="009B67E0"/>
    <w:rsid w:val="009B68A1"/>
    <w:rsid w:val="009B6923"/>
    <w:rsid w:val="009B6B66"/>
    <w:rsid w:val="009B6BE7"/>
    <w:rsid w:val="009B6C0B"/>
    <w:rsid w:val="009B6C61"/>
    <w:rsid w:val="009B6DA8"/>
    <w:rsid w:val="009B6DD5"/>
    <w:rsid w:val="009B6F39"/>
    <w:rsid w:val="009B6F75"/>
    <w:rsid w:val="009B718F"/>
    <w:rsid w:val="009B7197"/>
    <w:rsid w:val="009B719B"/>
    <w:rsid w:val="009B730A"/>
    <w:rsid w:val="009B74F5"/>
    <w:rsid w:val="009B7548"/>
    <w:rsid w:val="009B7666"/>
    <w:rsid w:val="009B777C"/>
    <w:rsid w:val="009B797B"/>
    <w:rsid w:val="009B7A8A"/>
    <w:rsid w:val="009B7BC0"/>
    <w:rsid w:val="009B7F34"/>
    <w:rsid w:val="009B7F6D"/>
    <w:rsid w:val="009C0002"/>
    <w:rsid w:val="009C00A2"/>
    <w:rsid w:val="009C0108"/>
    <w:rsid w:val="009C0156"/>
    <w:rsid w:val="009C018C"/>
    <w:rsid w:val="009C01AA"/>
    <w:rsid w:val="009C0429"/>
    <w:rsid w:val="009C0496"/>
    <w:rsid w:val="009C04EA"/>
    <w:rsid w:val="009C0538"/>
    <w:rsid w:val="009C0554"/>
    <w:rsid w:val="009C0736"/>
    <w:rsid w:val="009C0812"/>
    <w:rsid w:val="009C08A9"/>
    <w:rsid w:val="009C09A0"/>
    <w:rsid w:val="009C09EC"/>
    <w:rsid w:val="009C0ACA"/>
    <w:rsid w:val="009C0D6B"/>
    <w:rsid w:val="009C0E29"/>
    <w:rsid w:val="009C0F8A"/>
    <w:rsid w:val="009C1068"/>
    <w:rsid w:val="009C1276"/>
    <w:rsid w:val="009C12C8"/>
    <w:rsid w:val="009C1318"/>
    <w:rsid w:val="009C1400"/>
    <w:rsid w:val="009C140B"/>
    <w:rsid w:val="009C14EF"/>
    <w:rsid w:val="009C156A"/>
    <w:rsid w:val="009C15F3"/>
    <w:rsid w:val="009C1775"/>
    <w:rsid w:val="009C1923"/>
    <w:rsid w:val="009C192B"/>
    <w:rsid w:val="009C197A"/>
    <w:rsid w:val="009C199C"/>
    <w:rsid w:val="009C1BA7"/>
    <w:rsid w:val="009C1BFE"/>
    <w:rsid w:val="009C1CBF"/>
    <w:rsid w:val="009C1D04"/>
    <w:rsid w:val="009C1D73"/>
    <w:rsid w:val="009C1DEA"/>
    <w:rsid w:val="009C1EE7"/>
    <w:rsid w:val="009C2003"/>
    <w:rsid w:val="009C21A3"/>
    <w:rsid w:val="009C2331"/>
    <w:rsid w:val="009C24B8"/>
    <w:rsid w:val="009C2575"/>
    <w:rsid w:val="009C2624"/>
    <w:rsid w:val="009C26A0"/>
    <w:rsid w:val="009C26F4"/>
    <w:rsid w:val="009C28B3"/>
    <w:rsid w:val="009C29FE"/>
    <w:rsid w:val="009C2E27"/>
    <w:rsid w:val="009C2E85"/>
    <w:rsid w:val="009C2EE9"/>
    <w:rsid w:val="009C3003"/>
    <w:rsid w:val="009C30D3"/>
    <w:rsid w:val="009C3231"/>
    <w:rsid w:val="009C3264"/>
    <w:rsid w:val="009C331B"/>
    <w:rsid w:val="009C335A"/>
    <w:rsid w:val="009C35B4"/>
    <w:rsid w:val="009C3794"/>
    <w:rsid w:val="009C3798"/>
    <w:rsid w:val="009C37CA"/>
    <w:rsid w:val="009C38A3"/>
    <w:rsid w:val="009C38F6"/>
    <w:rsid w:val="009C3A51"/>
    <w:rsid w:val="009C3C60"/>
    <w:rsid w:val="009C3DE4"/>
    <w:rsid w:val="009C3E0E"/>
    <w:rsid w:val="009C3E29"/>
    <w:rsid w:val="009C3E8E"/>
    <w:rsid w:val="009C410B"/>
    <w:rsid w:val="009C41AA"/>
    <w:rsid w:val="009C42EE"/>
    <w:rsid w:val="009C432F"/>
    <w:rsid w:val="009C4474"/>
    <w:rsid w:val="009C4536"/>
    <w:rsid w:val="009C46BB"/>
    <w:rsid w:val="009C46ED"/>
    <w:rsid w:val="009C46EE"/>
    <w:rsid w:val="009C4831"/>
    <w:rsid w:val="009C4835"/>
    <w:rsid w:val="009C48EF"/>
    <w:rsid w:val="009C48F6"/>
    <w:rsid w:val="009C4A39"/>
    <w:rsid w:val="009C4A90"/>
    <w:rsid w:val="009C4B00"/>
    <w:rsid w:val="009C4BA4"/>
    <w:rsid w:val="009C4C2F"/>
    <w:rsid w:val="009C4D07"/>
    <w:rsid w:val="009C4D57"/>
    <w:rsid w:val="009C4DF8"/>
    <w:rsid w:val="009C4EA2"/>
    <w:rsid w:val="009C4FD4"/>
    <w:rsid w:val="009C51C5"/>
    <w:rsid w:val="009C5234"/>
    <w:rsid w:val="009C52F3"/>
    <w:rsid w:val="009C54C2"/>
    <w:rsid w:val="009C55A5"/>
    <w:rsid w:val="009C568B"/>
    <w:rsid w:val="009C576F"/>
    <w:rsid w:val="009C58E7"/>
    <w:rsid w:val="009C5AFF"/>
    <w:rsid w:val="009C5BEA"/>
    <w:rsid w:val="009C5C99"/>
    <w:rsid w:val="009C5C9D"/>
    <w:rsid w:val="009C5D4D"/>
    <w:rsid w:val="009C5D8A"/>
    <w:rsid w:val="009C5E54"/>
    <w:rsid w:val="009C5EE4"/>
    <w:rsid w:val="009C60E8"/>
    <w:rsid w:val="009C63DC"/>
    <w:rsid w:val="009C6445"/>
    <w:rsid w:val="009C6500"/>
    <w:rsid w:val="009C6595"/>
    <w:rsid w:val="009C660D"/>
    <w:rsid w:val="009C663B"/>
    <w:rsid w:val="009C66C4"/>
    <w:rsid w:val="009C6757"/>
    <w:rsid w:val="009C6795"/>
    <w:rsid w:val="009C67C9"/>
    <w:rsid w:val="009C696A"/>
    <w:rsid w:val="009C6992"/>
    <w:rsid w:val="009C6A31"/>
    <w:rsid w:val="009C6B6D"/>
    <w:rsid w:val="009C6C10"/>
    <w:rsid w:val="009C6DED"/>
    <w:rsid w:val="009C6E13"/>
    <w:rsid w:val="009C6EB7"/>
    <w:rsid w:val="009C6EF0"/>
    <w:rsid w:val="009C70A4"/>
    <w:rsid w:val="009C70F8"/>
    <w:rsid w:val="009C71E2"/>
    <w:rsid w:val="009C7283"/>
    <w:rsid w:val="009C732A"/>
    <w:rsid w:val="009C74A6"/>
    <w:rsid w:val="009C756D"/>
    <w:rsid w:val="009C7624"/>
    <w:rsid w:val="009C7774"/>
    <w:rsid w:val="009C77B1"/>
    <w:rsid w:val="009C77B8"/>
    <w:rsid w:val="009C790B"/>
    <w:rsid w:val="009C7CF2"/>
    <w:rsid w:val="009C7E93"/>
    <w:rsid w:val="009C7ED3"/>
    <w:rsid w:val="009D0022"/>
    <w:rsid w:val="009D0040"/>
    <w:rsid w:val="009D00AD"/>
    <w:rsid w:val="009D00D7"/>
    <w:rsid w:val="009D018E"/>
    <w:rsid w:val="009D01FF"/>
    <w:rsid w:val="009D020E"/>
    <w:rsid w:val="009D027B"/>
    <w:rsid w:val="009D038B"/>
    <w:rsid w:val="009D03AE"/>
    <w:rsid w:val="009D0450"/>
    <w:rsid w:val="009D0470"/>
    <w:rsid w:val="009D0596"/>
    <w:rsid w:val="009D0601"/>
    <w:rsid w:val="009D0762"/>
    <w:rsid w:val="009D0959"/>
    <w:rsid w:val="009D0B7D"/>
    <w:rsid w:val="009D0E5E"/>
    <w:rsid w:val="009D0EE5"/>
    <w:rsid w:val="009D10B1"/>
    <w:rsid w:val="009D110D"/>
    <w:rsid w:val="009D11F0"/>
    <w:rsid w:val="009D1263"/>
    <w:rsid w:val="009D1348"/>
    <w:rsid w:val="009D1409"/>
    <w:rsid w:val="009D14D2"/>
    <w:rsid w:val="009D153E"/>
    <w:rsid w:val="009D15F6"/>
    <w:rsid w:val="009D160B"/>
    <w:rsid w:val="009D16FD"/>
    <w:rsid w:val="009D1710"/>
    <w:rsid w:val="009D1735"/>
    <w:rsid w:val="009D18A8"/>
    <w:rsid w:val="009D191E"/>
    <w:rsid w:val="009D19E0"/>
    <w:rsid w:val="009D1A16"/>
    <w:rsid w:val="009D1A60"/>
    <w:rsid w:val="009D1BCC"/>
    <w:rsid w:val="009D1BCD"/>
    <w:rsid w:val="009D1CB6"/>
    <w:rsid w:val="009D1DCF"/>
    <w:rsid w:val="009D1DFD"/>
    <w:rsid w:val="009D1EAE"/>
    <w:rsid w:val="009D1EBB"/>
    <w:rsid w:val="009D201A"/>
    <w:rsid w:val="009D2104"/>
    <w:rsid w:val="009D21AC"/>
    <w:rsid w:val="009D224F"/>
    <w:rsid w:val="009D2278"/>
    <w:rsid w:val="009D23B7"/>
    <w:rsid w:val="009D2411"/>
    <w:rsid w:val="009D24A3"/>
    <w:rsid w:val="009D2532"/>
    <w:rsid w:val="009D26C5"/>
    <w:rsid w:val="009D27F0"/>
    <w:rsid w:val="009D2849"/>
    <w:rsid w:val="009D28FC"/>
    <w:rsid w:val="009D2ADE"/>
    <w:rsid w:val="009D2B2C"/>
    <w:rsid w:val="009D2D02"/>
    <w:rsid w:val="009D2EB6"/>
    <w:rsid w:val="009D321A"/>
    <w:rsid w:val="009D32E7"/>
    <w:rsid w:val="009D3320"/>
    <w:rsid w:val="009D3322"/>
    <w:rsid w:val="009D34D8"/>
    <w:rsid w:val="009D3521"/>
    <w:rsid w:val="009D356B"/>
    <w:rsid w:val="009D35E6"/>
    <w:rsid w:val="009D360E"/>
    <w:rsid w:val="009D363D"/>
    <w:rsid w:val="009D3646"/>
    <w:rsid w:val="009D37FD"/>
    <w:rsid w:val="009D3822"/>
    <w:rsid w:val="009D38C3"/>
    <w:rsid w:val="009D3964"/>
    <w:rsid w:val="009D3A48"/>
    <w:rsid w:val="009D3C1E"/>
    <w:rsid w:val="009D3C3E"/>
    <w:rsid w:val="009D3C95"/>
    <w:rsid w:val="009D3CA9"/>
    <w:rsid w:val="009D3CE1"/>
    <w:rsid w:val="009D3EBA"/>
    <w:rsid w:val="009D3F96"/>
    <w:rsid w:val="009D407D"/>
    <w:rsid w:val="009D427F"/>
    <w:rsid w:val="009D43C4"/>
    <w:rsid w:val="009D440E"/>
    <w:rsid w:val="009D448E"/>
    <w:rsid w:val="009D454E"/>
    <w:rsid w:val="009D4687"/>
    <w:rsid w:val="009D468A"/>
    <w:rsid w:val="009D4866"/>
    <w:rsid w:val="009D495A"/>
    <w:rsid w:val="009D4B4F"/>
    <w:rsid w:val="009D4B99"/>
    <w:rsid w:val="009D4D19"/>
    <w:rsid w:val="009D4E8C"/>
    <w:rsid w:val="009D4EB3"/>
    <w:rsid w:val="009D4EF7"/>
    <w:rsid w:val="009D4EFF"/>
    <w:rsid w:val="009D4F31"/>
    <w:rsid w:val="009D50CC"/>
    <w:rsid w:val="009D51DB"/>
    <w:rsid w:val="009D5234"/>
    <w:rsid w:val="009D5314"/>
    <w:rsid w:val="009D544F"/>
    <w:rsid w:val="009D54BC"/>
    <w:rsid w:val="009D54E2"/>
    <w:rsid w:val="009D5532"/>
    <w:rsid w:val="009D5753"/>
    <w:rsid w:val="009D576D"/>
    <w:rsid w:val="009D578A"/>
    <w:rsid w:val="009D57A3"/>
    <w:rsid w:val="009D57B6"/>
    <w:rsid w:val="009D5902"/>
    <w:rsid w:val="009D5A26"/>
    <w:rsid w:val="009D5AEC"/>
    <w:rsid w:val="009D5C34"/>
    <w:rsid w:val="009D5C7A"/>
    <w:rsid w:val="009D5CAF"/>
    <w:rsid w:val="009D5D75"/>
    <w:rsid w:val="009D5EE1"/>
    <w:rsid w:val="009D6011"/>
    <w:rsid w:val="009D6153"/>
    <w:rsid w:val="009D6179"/>
    <w:rsid w:val="009D61E5"/>
    <w:rsid w:val="009D62DB"/>
    <w:rsid w:val="009D6482"/>
    <w:rsid w:val="009D64F0"/>
    <w:rsid w:val="009D6559"/>
    <w:rsid w:val="009D659F"/>
    <w:rsid w:val="009D67B3"/>
    <w:rsid w:val="009D6825"/>
    <w:rsid w:val="009D688D"/>
    <w:rsid w:val="009D68F7"/>
    <w:rsid w:val="009D6908"/>
    <w:rsid w:val="009D6A37"/>
    <w:rsid w:val="009D6B98"/>
    <w:rsid w:val="009D6BDE"/>
    <w:rsid w:val="009D6C33"/>
    <w:rsid w:val="009D6D1E"/>
    <w:rsid w:val="009D6D34"/>
    <w:rsid w:val="009D6D40"/>
    <w:rsid w:val="009D6D6A"/>
    <w:rsid w:val="009D6FE2"/>
    <w:rsid w:val="009D7156"/>
    <w:rsid w:val="009D71E0"/>
    <w:rsid w:val="009D7275"/>
    <w:rsid w:val="009D73E8"/>
    <w:rsid w:val="009D73F7"/>
    <w:rsid w:val="009D7634"/>
    <w:rsid w:val="009D764A"/>
    <w:rsid w:val="009D76D1"/>
    <w:rsid w:val="009D77C8"/>
    <w:rsid w:val="009D79F8"/>
    <w:rsid w:val="009D7B94"/>
    <w:rsid w:val="009D7E31"/>
    <w:rsid w:val="009E01A2"/>
    <w:rsid w:val="009E02A5"/>
    <w:rsid w:val="009E0444"/>
    <w:rsid w:val="009E0684"/>
    <w:rsid w:val="009E07D9"/>
    <w:rsid w:val="009E07EC"/>
    <w:rsid w:val="009E08B6"/>
    <w:rsid w:val="009E0A0C"/>
    <w:rsid w:val="009E0B1C"/>
    <w:rsid w:val="009E0CBA"/>
    <w:rsid w:val="009E0CC0"/>
    <w:rsid w:val="009E0D29"/>
    <w:rsid w:val="009E0D6F"/>
    <w:rsid w:val="009E0D95"/>
    <w:rsid w:val="009E0FB0"/>
    <w:rsid w:val="009E1009"/>
    <w:rsid w:val="009E12E0"/>
    <w:rsid w:val="009E130C"/>
    <w:rsid w:val="009E1328"/>
    <w:rsid w:val="009E13EB"/>
    <w:rsid w:val="009E14C2"/>
    <w:rsid w:val="009E14F9"/>
    <w:rsid w:val="009E16A5"/>
    <w:rsid w:val="009E1848"/>
    <w:rsid w:val="009E189E"/>
    <w:rsid w:val="009E18BE"/>
    <w:rsid w:val="009E1A7B"/>
    <w:rsid w:val="009E1B13"/>
    <w:rsid w:val="009E1B96"/>
    <w:rsid w:val="009E1C63"/>
    <w:rsid w:val="009E1C7F"/>
    <w:rsid w:val="009E1D53"/>
    <w:rsid w:val="009E1EBE"/>
    <w:rsid w:val="009E1EFC"/>
    <w:rsid w:val="009E1F1D"/>
    <w:rsid w:val="009E1F7B"/>
    <w:rsid w:val="009E1FAD"/>
    <w:rsid w:val="009E204A"/>
    <w:rsid w:val="009E2053"/>
    <w:rsid w:val="009E20BC"/>
    <w:rsid w:val="009E2105"/>
    <w:rsid w:val="009E2516"/>
    <w:rsid w:val="009E282D"/>
    <w:rsid w:val="009E28C2"/>
    <w:rsid w:val="009E2B02"/>
    <w:rsid w:val="009E2E8A"/>
    <w:rsid w:val="009E2ED6"/>
    <w:rsid w:val="009E2F1B"/>
    <w:rsid w:val="009E2F3F"/>
    <w:rsid w:val="009E3039"/>
    <w:rsid w:val="009E318A"/>
    <w:rsid w:val="009E329F"/>
    <w:rsid w:val="009E3355"/>
    <w:rsid w:val="009E343B"/>
    <w:rsid w:val="009E3552"/>
    <w:rsid w:val="009E389E"/>
    <w:rsid w:val="009E390B"/>
    <w:rsid w:val="009E3A1A"/>
    <w:rsid w:val="009E3AB1"/>
    <w:rsid w:val="009E3B80"/>
    <w:rsid w:val="009E3B84"/>
    <w:rsid w:val="009E3BD9"/>
    <w:rsid w:val="009E3C94"/>
    <w:rsid w:val="009E3DB8"/>
    <w:rsid w:val="009E3EBD"/>
    <w:rsid w:val="009E3EDB"/>
    <w:rsid w:val="009E40BE"/>
    <w:rsid w:val="009E438E"/>
    <w:rsid w:val="009E43F2"/>
    <w:rsid w:val="009E4417"/>
    <w:rsid w:val="009E44C2"/>
    <w:rsid w:val="009E45D3"/>
    <w:rsid w:val="009E466A"/>
    <w:rsid w:val="009E468D"/>
    <w:rsid w:val="009E46D9"/>
    <w:rsid w:val="009E470B"/>
    <w:rsid w:val="009E47F3"/>
    <w:rsid w:val="009E4871"/>
    <w:rsid w:val="009E48D6"/>
    <w:rsid w:val="009E4947"/>
    <w:rsid w:val="009E49B6"/>
    <w:rsid w:val="009E49E9"/>
    <w:rsid w:val="009E49F9"/>
    <w:rsid w:val="009E4C07"/>
    <w:rsid w:val="009E4C1F"/>
    <w:rsid w:val="009E4C29"/>
    <w:rsid w:val="009E4C46"/>
    <w:rsid w:val="009E4D23"/>
    <w:rsid w:val="009E4D70"/>
    <w:rsid w:val="009E4DA4"/>
    <w:rsid w:val="009E4F1E"/>
    <w:rsid w:val="009E515A"/>
    <w:rsid w:val="009E5270"/>
    <w:rsid w:val="009E52D6"/>
    <w:rsid w:val="009E54D5"/>
    <w:rsid w:val="009E56E6"/>
    <w:rsid w:val="009E577E"/>
    <w:rsid w:val="009E5795"/>
    <w:rsid w:val="009E586C"/>
    <w:rsid w:val="009E5948"/>
    <w:rsid w:val="009E59DC"/>
    <w:rsid w:val="009E59DE"/>
    <w:rsid w:val="009E59E7"/>
    <w:rsid w:val="009E59E8"/>
    <w:rsid w:val="009E5DBB"/>
    <w:rsid w:val="009E5E24"/>
    <w:rsid w:val="009E5EC0"/>
    <w:rsid w:val="009E5EDB"/>
    <w:rsid w:val="009E5FE1"/>
    <w:rsid w:val="009E603E"/>
    <w:rsid w:val="009E622D"/>
    <w:rsid w:val="009E6407"/>
    <w:rsid w:val="009E6471"/>
    <w:rsid w:val="009E6488"/>
    <w:rsid w:val="009E649B"/>
    <w:rsid w:val="009E665E"/>
    <w:rsid w:val="009E6738"/>
    <w:rsid w:val="009E6838"/>
    <w:rsid w:val="009E6879"/>
    <w:rsid w:val="009E696D"/>
    <w:rsid w:val="009E69DB"/>
    <w:rsid w:val="009E69DF"/>
    <w:rsid w:val="009E6A38"/>
    <w:rsid w:val="009E6B30"/>
    <w:rsid w:val="009E6D73"/>
    <w:rsid w:val="009E6D7F"/>
    <w:rsid w:val="009E6D88"/>
    <w:rsid w:val="009E70A1"/>
    <w:rsid w:val="009E71BC"/>
    <w:rsid w:val="009E732C"/>
    <w:rsid w:val="009E7466"/>
    <w:rsid w:val="009E74EE"/>
    <w:rsid w:val="009E7592"/>
    <w:rsid w:val="009E75A2"/>
    <w:rsid w:val="009E766B"/>
    <w:rsid w:val="009E78A2"/>
    <w:rsid w:val="009E7A31"/>
    <w:rsid w:val="009E7B75"/>
    <w:rsid w:val="009E7BC6"/>
    <w:rsid w:val="009E7D76"/>
    <w:rsid w:val="009E7E57"/>
    <w:rsid w:val="009E7F7C"/>
    <w:rsid w:val="009E7FE4"/>
    <w:rsid w:val="009F001E"/>
    <w:rsid w:val="009F0328"/>
    <w:rsid w:val="009F06FF"/>
    <w:rsid w:val="009F07A0"/>
    <w:rsid w:val="009F0932"/>
    <w:rsid w:val="009F09A7"/>
    <w:rsid w:val="009F09D3"/>
    <w:rsid w:val="009F0A4C"/>
    <w:rsid w:val="009F0ACD"/>
    <w:rsid w:val="009F0C08"/>
    <w:rsid w:val="009F0D42"/>
    <w:rsid w:val="009F0F0A"/>
    <w:rsid w:val="009F1023"/>
    <w:rsid w:val="009F104D"/>
    <w:rsid w:val="009F116A"/>
    <w:rsid w:val="009F131F"/>
    <w:rsid w:val="009F13AF"/>
    <w:rsid w:val="009F13CF"/>
    <w:rsid w:val="009F1455"/>
    <w:rsid w:val="009F1533"/>
    <w:rsid w:val="009F1555"/>
    <w:rsid w:val="009F15BA"/>
    <w:rsid w:val="009F15E9"/>
    <w:rsid w:val="009F1835"/>
    <w:rsid w:val="009F1851"/>
    <w:rsid w:val="009F18C6"/>
    <w:rsid w:val="009F18D4"/>
    <w:rsid w:val="009F1A5A"/>
    <w:rsid w:val="009F1C72"/>
    <w:rsid w:val="009F1DE8"/>
    <w:rsid w:val="009F1DFD"/>
    <w:rsid w:val="009F1EF0"/>
    <w:rsid w:val="009F2030"/>
    <w:rsid w:val="009F203D"/>
    <w:rsid w:val="009F20A0"/>
    <w:rsid w:val="009F227D"/>
    <w:rsid w:val="009F2346"/>
    <w:rsid w:val="009F2554"/>
    <w:rsid w:val="009F2624"/>
    <w:rsid w:val="009F27E8"/>
    <w:rsid w:val="009F2941"/>
    <w:rsid w:val="009F2A6E"/>
    <w:rsid w:val="009F2A93"/>
    <w:rsid w:val="009F2B31"/>
    <w:rsid w:val="009F2BD0"/>
    <w:rsid w:val="009F2C40"/>
    <w:rsid w:val="009F2D4B"/>
    <w:rsid w:val="009F2E7E"/>
    <w:rsid w:val="009F3165"/>
    <w:rsid w:val="009F31BE"/>
    <w:rsid w:val="009F3344"/>
    <w:rsid w:val="009F3559"/>
    <w:rsid w:val="009F3595"/>
    <w:rsid w:val="009F3606"/>
    <w:rsid w:val="009F3657"/>
    <w:rsid w:val="009F3800"/>
    <w:rsid w:val="009F3826"/>
    <w:rsid w:val="009F3891"/>
    <w:rsid w:val="009F3924"/>
    <w:rsid w:val="009F3940"/>
    <w:rsid w:val="009F39C8"/>
    <w:rsid w:val="009F3A1E"/>
    <w:rsid w:val="009F3C54"/>
    <w:rsid w:val="009F3C8C"/>
    <w:rsid w:val="009F3D5C"/>
    <w:rsid w:val="009F3D83"/>
    <w:rsid w:val="009F3DEF"/>
    <w:rsid w:val="009F3E31"/>
    <w:rsid w:val="009F3E94"/>
    <w:rsid w:val="009F3F0E"/>
    <w:rsid w:val="009F3FDE"/>
    <w:rsid w:val="009F415E"/>
    <w:rsid w:val="009F4240"/>
    <w:rsid w:val="009F43D6"/>
    <w:rsid w:val="009F44E8"/>
    <w:rsid w:val="009F44E9"/>
    <w:rsid w:val="009F4621"/>
    <w:rsid w:val="009F46C0"/>
    <w:rsid w:val="009F46C6"/>
    <w:rsid w:val="009F4B26"/>
    <w:rsid w:val="009F4B80"/>
    <w:rsid w:val="009F4BEE"/>
    <w:rsid w:val="009F5013"/>
    <w:rsid w:val="009F50D1"/>
    <w:rsid w:val="009F5176"/>
    <w:rsid w:val="009F51AB"/>
    <w:rsid w:val="009F51E5"/>
    <w:rsid w:val="009F520C"/>
    <w:rsid w:val="009F520E"/>
    <w:rsid w:val="009F5426"/>
    <w:rsid w:val="009F5475"/>
    <w:rsid w:val="009F54C1"/>
    <w:rsid w:val="009F565A"/>
    <w:rsid w:val="009F56A4"/>
    <w:rsid w:val="009F573D"/>
    <w:rsid w:val="009F577C"/>
    <w:rsid w:val="009F57A1"/>
    <w:rsid w:val="009F585F"/>
    <w:rsid w:val="009F5871"/>
    <w:rsid w:val="009F5A60"/>
    <w:rsid w:val="009F5A69"/>
    <w:rsid w:val="009F5BC6"/>
    <w:rsid w:val="009F5C12"/>
    <w:rsid w:val="009F5D1A"/>
    <w:rsid w:val="009F5D78"/>
    <w:rsid w:val="009F5E3E"/>
    <w:rsid w:val="009F5FB1"/>
    <w:rsid w:val="009F60D0"/>
    <w:rsid w:val="009F6271"/>
    <w:rsid w:val="009F633E"/>
    <w:rsid w:val="009F64F2"/>
    <w:rsid w:val="009F653F"/>
    <w:rsid w:val="009F6577"/>
    <w:rsid w:val="009F65AD"/>
    <w:rsid w:val="009F67CF"/>
    <w:rsid w:val="009F699A"/>
    <w:rsid w:val="009F6A4E"/>
    <w:rsid w:val="009F6A80"/>
    <w:rsid w:val="009F6AA3"/>
    <w:rsid w:val="009F6B56"/>
    <w:rsid w:val="009F6BFE"/>
    <w:rsid w:val="009F6C04"/>
    <w:rsid w:val="009F6CDA"/>
    <w:rsid w:val="009F6F53"/>
    <w:rsid w:val="009F7009"/>
    <w:rsid w:val="009F7159"/>
    <w:rsid w:val="009F72D1"/>
    <w:rsid w:val="009F73F8"/>
    <w:rsid w:val="009F74EF"/>
    <w:rsid w:val="009F754B"/>
    <w:rsid w:val="009F76F1"/>
    <w:rsid w:val="009F7749"/>
    <w:rsid w:val="009F77B0"/>
    <w:rsid w:val="009F785A"/>
    <w:rsid w:val="009F79E1"/>
    <w:rsid w:val="009F7AF1"/>
    <w:rsid w:val="009F7AF5"/>
    <w:rsid w:val="009F7B73"/>
    <w:rsid w:val="009F7BA4"/>
    <w:rsid w:val="009F7C48"/>
    <w:rsid w:val="009F7D73"/>
    <w:rsid w:val="00A0002F"/>
    <w:rsid w:val="00A00092"/>
    <w:rsid w:val="00A000A3"/>
    <w:rsid w:val="00A001BA"/>
    <w:rsid w:val="00A0031A"/>
    <w:rsid w:val="00A00324"/>
    <w:rsid w:val="00A003DF"/>
    <w:rsid w:val="00A00425"/>
    <w:rsid w:val="00A00450"/>
    <w:rsid w:val="00A004DF"/>
    <w:rsid w:val="00A006A4"/>
    <w:rsid w:val="00A00BB5"/>
    <w:rsid w:val="00A00BBB"/>
    <w:rsid w:val="00A00C32"/>
    <w:rsid w:val="00A00CC1"/>
    <w:rsid w:val="00A00D8F"/>
    <w:rsid w:val="00A00D98"/>
    <w:rsid w:val="00A00E20"/>
    <w:rsid w:val="00A00EC9"/>
    <w:rsid w:val="00A00F7A"/>
    <w:rsid w:val="00A010C4"/>
    <w:rsid w:val="00A0110B"/>
    <w:rsid w:val="00A01194"/>
    <w:rsid w:val="00A011BF"/>
    <w:rsid w:val="00A011FE"/>
    <w:rsid w:val="00A012D1"/>
    <w:rsid w:val="00A014CC"/>
    <w:rsid w:val="00A01536"/>
    <w:rsid w:val="00A015ED"/>
    <w:rsid w:val="00A015EE"/>
    <w:rsid w:val="00A01730"/>
    <w:rsid w:val="00A01760"/>
    <w:rsid w:val="00A01926"/>
    <w:rsid w:val="00A01C54"/>
    <w:rsid w:val="00A01CF0"/>
    <w:rsid w:val="00A01D47"/>
    <w:rsid w:val="00A01E0D"/>
    <w:rsid w:val="00A01E1F"/>
    <w:rsid w:val="00A01E71"/>
    <w:rsid w:val="00A01ED3"/>
    <w:rsid w:val="00A01F91"/>
    <w:rsid w:val="00A01FF3"/>
    <w:rsid w:val="00A0211C"/>
    <w:rsid w:val="00A0212F"/>
    <w:rsid w:val="00A02214"/>
    <w:rsid w:val="00A0230E"/>
    <w:rsid w:val="00A023AC"/>
    <w:rsid w:val="00A02654"/>
    <w:rsid w:val="00A02731"/>
    <w:rsid w:val="00A02739"/>
    <w:rsid w:val="00A027CF"/>
    <w:rsid w:val="00A028BB"/>
    <w:rsid w:val="00A02A14"/>
    <w:rsid w:val="00A02A54"/>
    <w:rsid w:val="00A02B2F"/>
    <w:rsid w:val="00A02B31"/>
    <w:rsid w:val="00A02BDF"/>
    <w:rsid w:val="00A02C00"/>
    <w:rsid w:val="00A02D7D"/>
    <w:rsid w:val="00A02E65"/>
    <w:rsid w:val="00A02FBF"/>
    <w:rsid w:val="00A03111"/>
    <w:rsid w:val="00A03121"/>
    <w:rsid w:val="00A032A8"/>
    <w:rsid w:val="00A033BE"/>
    <w:rsid w:val="00A03421"/>
    <w:rsid w:val="00A036A1"/>
    <w:rsid w:val="00A03746"/>
    <w:rsid w:val="00A0397B"/>
    <w:rsid w:val="00A03BBF"/>
    <w:rsid w:val="00A03D15"/>
    <w:rsid w:val="00A03D18"/>
    <w:rsid w:val="00A03D61"/>
    <w:rsid w:val="00A03E0C"/>
    <w:rsid w:val="00A03E3E"/>
    <w:rsid w:val="00A0420A"/>
    <w:rsid w:val="00A04309"/>
    <w:rsid w:val="00A043E4"/>
    <w:rsid w:val="00A0441D"/>
    <w:rsid w:val="00A04486"/>
    <w:rsid w:val="00A045D0"/>
    <w:rsid w:val="00A04753"/>
    <w:rsid w:val="00A04768"/>
    <w:rsid w:val="00A047D9"/>
    <w:rsid w:val="00A04822"/>
    <w:rsid w:val="00A04844"/>
    <w:rsid w:val="00A04901"/>
    <w:rsid w:val="00A04D4C"/>
    <w:rsid w:val="00A04F6D"/>
    <w:rsid w:val="00A0502D"/>
    <w:rsid w:val="00A05034"/>
    <w:rsid w:val="00A05200"/>
    <w:rsid w:val="00A05201"/>
    <w:rsid w:val="00A05249"/>
    <w:rsid w:val="00A052E7"/>
    <w:rsid w:val="00A05407"/>
    <w:rsid w:val="00A054E9"/>
    <w:rsid w:val="00A05608"/>
    <w:rsid w:val="00A0573E"/>
    <w:rsid w:val="00A057EC"/>
    <w:rsid w:val="00A0596A"/>
    <w:rsid w:val="00A0598C"/>
    <w:rsid w:val="00A05A1B"/>
    <w:rsid w:val="00A05A26"/>
    <w:rsid w:val="00A05ABD"/>
    <w:rsid w:val="00A05B9B"/>
    <w:rsid w:val="00A05BE4"/>
    <w:rsid w:val="00A05D84"/>
    <w:rsid w:val="00A05FC9"/>
    <w:rsid w:val="00A0613C"/>
    <w:rsid w:val="00A06328"/>
    <w:rsid w:val="00A063C4"/>
    <w:rsid w:val="00A063D9"/>
    <w:rsid w:val="00A0640D"/>
    <w:rsid w:val="00A06493"/>
    <w:rsid w:val="00A064E0"/>
    <w:rsid w:val="00A06509"/>
    <w:rsid w:val="00A065C9"/>
    <w:rsid w:val="00A06826"/>
    <w:rsid w:val="00A06830"/>
    <w:rsid w:val="00A06847"/>
    <w:rsid w:val="00A06893"/>
    <w:rsid w:val="00A06A75"/>
    <w:rsid w:val="00A06A8C"/>
    <w:rsid w:val="00A06AA9"/>
    <w:rsid w:val="00A06C45"/>
    <w:rsid w:val="00A06C50"/>
    <w:rsid w:val="00A06C5A"/>
    <w:rsid w:val="00A06CCF"/>
    <w:rsid w:val="00A06D1F"/>
    <w:rsid w:val="00A06E4A"/>
    <w:rsid w:val="00A06FC9"/>
    <w:rsid w:val="00A06FE2"/>
    <w:rsid w:val="00A070A3"/>
    <w:rsid w:val="00A070B3"/>
    <w:rsid w:val="00A072D1"/>
    <w:rsid w:val="00A0732E"/>
    <w:rsid w:val="00A07449"/>
    <w:rsid w:val="00A074B9"/>
    <w:rsid w:val="00A075C9"/>
    <w:rsid w:val="00A076FF"/>
    <w:rsid w:val="00A077ED"/>
    <w:rsid w:val="00A078EB"/>
    <w:rsid w:val="00A07C69"/>
    <w:rsid w:val="00A07C6A"/>
    <w:rsid w:val="00A07F09"/>
    <w:rsid w:val="00A10089"/>
    <w:rsid w:val="00A102A3"/>
    <w:rsid w:val="00A10391"/>
    <w:rsid w:val="00A103AC"/>
    <w:rsid w:val="00A10543"/>
    <w:rsid w:val="00A10551"/>
    <w:rsid w:val="00A10668"/>
    <w:rsid w:val="00A10796"/>
    <w:rsid w:val="00A107B1"/>
    <w:rsid w:val="00A10982"/>
    <w:rsid w:val="00A109DF"/>
    <w:rsid w:val="00A109F6"/>
    <w:rsid w:val="00A10A2C"/>
    <w:rsid w:val="00A10AD8"/>
    <w:rsid w:val="00A10C72"/>
    <w:rsid w:val="00A10DB9"/>
    <w:rsid w:val="00A10DBF"/>
    <w:rsid w:val="00A10DF3"/>
    <w:rsid w:val="00A10E1C"/>
    <w:rsid w:val="00A10EB5"/>
    <w:rsid w:val="00A10FB8"/>
    <w:rsid w:val="00A110E9"/>
    <w:rsid w:val="00A11156"/>
    <w:rsid w:val="00A11166"/>
    <w:rsid w:val="00A11232"/>
    <w:rsid w:val="00A11345"/>
    <w:rsid w:val="00A11346"/>
    <w:rsid w:val="00A1157C"/>
    <w:rsid w:val="00A117BC"/>
    <w:rsid w:val="00A118F2"/>
    <w:rsid w:val="00A1195C"/>
    <w:rsid w:val="00A11990"/>
    <w:rsid w:val="00A119AD"/>
    <w:rsid w:val="00A11A5B"/>
    <w:rsid w:val="00A11B68"/>
    <w:rsid w:val="00A11C08"/>
    <w:rsid w:val="00A11C7C"/>
    <w:rsid w:val="00A11D06"/>
    <w:rsid w:val="00A11F2F"/>
    <w:rsid w:val="00A11F64"/>
    <w:rsid w:val="00A11FAB"/>
    <w:rsid w:val="00A12161"/>
    <w:rsid w:val="00A123CA"/>
    <w:rsid w:val="00A12409"/>
    <w:rsid w:val="00A12423"/>
    <w:rsid w:val="00A12437"/>
    <w:rsid w:val="00A1249E"/>
    <w:rsid w:val="00A1259E"/>
    <w:rsid w:val="00A12667"/>
    <w:rsid w:val="00A1286A"/>
    <w:rsid w:val="00A128BF"/>
    <w:rsid w:val="00A1295D"/>
    <w:rsid w:val="00A12964"/>
    <w:rsid w:val="00A129A6"/>
    <w:rsid w:val="00A12AB6"/>
    <w:rsid w:val="00A12B64"/>
    <w:rsid w:val="00A12BE4"/>
    <w:rsid w:val="00A12CB8"/>
    <w:rsid w:val="00A12D6D"/>
    <w:rsid w:val="00A12E2D"/>
    <w:rsid w:val="00A12EF6"/>
    <w:rsid w:val="00A12F8D"/>
    <w:rsid w:val="00A13100"/>
    <w:rsid w:val="00A131B6"/>
    <w:rsid w:val="00A132DE"/>
    <w:rsid w:val="00A1333B"/>
    <w:rsid w:val="00A134D4"/>
    <w:rsid w:val="00A1353F"/>
    <w:rsid w:val="00A13548"/>
    <w:rsid w:val="00A1355E"/>
    <w:rsid w:val="00A1358B"/>
    <w:rsid w:val="00A135AD"/>
    <w:rsid w:val="00A13850"/>
    <w:rsid w:val="00A138BA"/>
    <w:rsid w:val="00A13924"/>
    <w:rsid w:val="00A139F4"/>
    <w:rsid w:val="00A13A37"/>
    <w:rsid w:val="00A13CE4"/>
    <w:rsid w:val="00A13D6B"/>
    <w:rsid w:val="00A13D97"/>
    <w:rsid w:val="00A13E36"/>
    <w:rsid w:val="00A13E91"/>
    <w:rsid w:val="00A13EDF"/>
    <w:rsid w:val="00A143D9"/>
    <w:rsid w:val="00A143F9"/>
    <w:rsid w:val="00A1452A"/>
    <w:rsid w:val="00A146AE"/>
    <w:rsid w:val="00A147B1"/>
    <w:rsid w:val="00A14838"/>
    <w:rsid w:val="00A148AA"/>
    <w:rsid w:val="00A148DB"/>
    <w:rsid w:val="00A1493D"/>
    <w:rsid w:val="00A14C25"/>
    <w:rsid w:val="00A14F82"/>
    <w:rsid w:val="00A14F88"/>
    <w:rsid w:val="00A14F8F"/>
    <w:rsid w:val="00A14FA5"/>
    <w:rsid w:val="00A14FA7"/>
    <w:rsid w:val="00A1509D"/>
    <w:rsid w:val="00A150F6"/>
    <w:rsid w:val="00A151BA"/>
    <w:rsid w:val="00A15318"/>
    <w:rsid w:val="00A1557E"/>
    <w:rsid w:val="00A15651"/>
    <w:rsid w:val="00A156E7"/>
    <w:rsid w:val="00A15737"/>
    <w:rsid w:val="00A158CF"/>
    <w:rsid w:val="00A15959"/>
    <w:rsid w:val="00A15A0A"/>
    <w:rsid w:val="00A15A50"/>
    <w:rsid w:val="00A15E83"/>
    <w:rsid w:val="00A160A4"/>
    <w:rsid w:val="00A16264"/>
    <w:rsid w:val="00A162B6"/>
    <w:rsid w:val="00A1630B"/>
    <w:rsid w:val="00A163D7"/>
    <w:rsid w:val="00A1644A"/>
    <w:rsid w:val="00A16477"/>
    <w:rsid w:val="00A164F1"/>
    <w:rsid w:val="00A16510"/>
    <w:rsid w:val="00A1653A"/>
    <w:rsid w:val="00A16604"/>
    <w:rsid w:val="00A16785"/>
    <w:rsid w:val="00A16842"/>
    <w:rsid w:val="00A168C3"/>
    <w:rsid w:val="00A1693A"/>
    <w:rsid w:val="00A16A2C"/>
    <w:rsid w:val="00A16A7B"/>
    <w:rsid w:val="00A16ADF"/>
    <w:rsid w:val="00A16B30"/>
    <w:rsid w:val="00A16BC7"/>
    <w:rsid w:val="00A16DED"/>
    <w:rsid w:val="00A16E70"/>
    <w:rsid w:val="00A170C6"/>
    <w:rsid w:val="00A1739A"/>
    <w:rsid w:val="00A174D7"/>
    <w:rsid w:val="00A17527"/>
    <w:rsid w:val="00A175D2"/>
    <w:rsid w:val="00A17807"/>
    <w:rsid w:val="00A17867"/>
    <w:rsid w:val="00A17934"/>
    <w:rsid w:val="00A17A10"/>
    <w:rsid w:val="00A17A35"/>
    <w:rsid w:val="00A17A66"/>
    <w:rsid w:val="00A17B7D"/>
    <w:rsid w:val="00A17BF4"/>
    <w:rsid w:val="00A17C0E"/>
    <w:rsid w:val="00A17E97"/>
    <w:rsid w:val="00A200CB"/>
    <w:rsid w:val="00A2012F"/>
    <w:rsid w:val="00A20135"/>
    <w:rsid w:val="00A2016E"/>
    <w:rsid w:val="00A201F1"/>
    <w:rsid w:val="00A20208"/>
    <w:rsid w:val="00A20282"/>
    <w:rsid w:val="00A2032C"/>
    <w:rsid w:val="00A205A8"/>
    <w:rsid w:val="00A2064F"/>
    <w:rsid w:val="00A20650"/>
    <w:rsid w:val="00A208E7"/>
    <w:rsid w:val="00A20957"/>
    <w:rsid w:val="00A20A90"/>
    <w:rsid w:val="00A20B25"/>
    <w:rsid w:val="00A21135"/>
    <w:rsid w:val="00A2114A"/>
    <w:rsid w:val="00A211A0"/>
    <w:rsid w:val="00A211CB"/>
    <w:rsid w:val="00A21270"/>
    <w:rsid w:val="00A212AB"/>
    <w:rsid w:val="00A212C0"/>
    <w:rsid w:val="00A21326"/>
    <w:rsid w:val="00A21533"/>
    <w:rsid w:val="00A21562"/>
    <w:rsid w:val="00A216BA"/>
    <w:rsid w:val="00A21981"/>
    <w:rsid w:val="00A21ACB"/>
    <w:rsid w:val="00A21AD3"/>
    <w:rsid w:val="00A21B8D"/>
    <w:rsid w:val="00A21C44"/>
    <w:rsid w:val="00A21E58"/>
    <w:rsid w:val="00A21ED5"/>
    <w:rsid w:val="00A21F46"/>
    <w:rsid w:val="00A2200E"/>
    <w:rsid w:val="00A2213C"/>
    <w:rsid w:val="00A22151"/>
    <w:rsid w:val="00A222D5"/>
    <w:rsid w:val="00A223B0"/>
    <w:rsid w:val="00A223B9"/>
    <w:rsid w:val="00A225C3"/>
    <w:rsid w:val="00A228F5"/>
    <w:rsid w:val="00A229C6"/>
    <w:rsid w:val="00A22A79"/>
    <w:rsid w:val="00A22AB8"/>
    <w:rsid w:val="00A22AEE"/>
    <w:rsid w:val="00A22B25"/>
    <w:rsid w:val="00A22B39"/>
    <w:rsid w:val="00A22B77"/>
    <w:rsid w:val="00A22C5D"/>
    <w:rsid w:val="00A22CA7"/>
    <w:rsid w:val="00A22CDC"/>
    <w:rsid w:val="00A22D4C"/>
    <w:rsid w:val="00A22D9C"/>
    <w:rsid w:val="00A22DD0"/>
    <w:rsid w:val="00A22DDD"/>
    <w:rsid w:val="00A23024"/>
    <w:rsid w:val="00A2309A"/>
    <w:rsid w:val="00A2314A"/>
    <w:rsid w:val="00A23216"/>
    <w:rsid w:val="00A23324"/>
    <w:rsid w:val="00A2332B"/>
    <w:rsid w:val="00A23369"/>
    <w:rsid w:val="00A234D0"/>
    <w:rsid w:val="00A234F0"/>
    <w:rsid w:val="00A2354D"/>
    <w:rsid w:val="00A236AB"/>
    <w:rsid w:val="00A236F5"/>
    <w:rsid w:val="00A2380F"/>
    <w:rsid w:val="00A238D1"/>
    <w:rsid w:val="00A2397F"/>
    <w:rsid w:val="00A23984"/>
    <w:rsid w:val="00A239A7"/>
    <w:rsid w:val="00A23A72"/>
    <w:rsid w:val="00A23BE5"/>
    <w:rsid w:val="00A23D39"/>
    <w:rsid w:val="00A23D89"/>
    <w:rsid w:val="00A23DD4"/>
    <w:rsid w:val="00A23FFF"/>
    <w:rsid w:val="00A24000"/>
    <w:rsid w:val="00A2423A"/>
    <w:rsid w:val="00A24244"/>
    <w:rsid w:val="00A24273"/>
    <w:rsid w:val="00A24280"/>
    <w:rsid w:val="00A24359"/>
    <w:rsid w:val="00A24389"/>
    <w:rsid w:val="00A244F7"/>
    <w:rsid w:val="00A2457A"/>
    <w:rsid w:val="00A24611"/>
    <w:rsid w:val="00A2488C"/>
    <w:rsid w:val="00A249A9"/>
    <w:rsid w:val="00A24B6D"/>
    <w:rsid w:val="00A2502E"/>
    <w:rsid w:val="00A25030"/>
    <w:rsid w:val="00A25411"/>
    <w:rsid w:val="00A25435"/>
    <w:rsid w:val="00A2585C"/>
    <w:rsid w:val="00A25B38"/>
    <w:rsid w:val="00A25B9A"/>
    <w:rsid w:val="00A25C4A"/>
    <w:rsid w:val="00A25D30"/>
    <w:rsid w:val="00A25E19"/>
    <w:rsid w:val="00A25E71"/>
    <w:rsid w:val="00A25EB2"/>
    <w:rsid w:val="00A25FAB"/>
    <w:rsid w:val="00A26027"/>
    <w:rsid w:val="00A2608A"/>
    <w:rsid w:val="00A2616B"/>
    <w:rsid w:val="00A2616C"/>
    <w:rsid w:val="00A2617E"/>
    <w:rsid w:val="00A26376"/>
    <w:rsid w:val="00A263BF"/>
    <w:rsid w:val="00A263C7"/>
    <w:rsid w:val="00A264F7"/>
    <w:rsid w:val="00A26926"/>
    <w:rsid w:val="00A26B6B"/>
    <w:rsid w:val="00A26B9E"/>
    <w:rsid w:val="00A26BD4"/>
    <w:rsid w:val="00A26C54"/>
    <w:rsid w:val="00A26D45"/>
    <w:rsid w:val="00A26D9B"/>
    <w:rsid w:val="00A27028"/>
    <w:rsid w:val="00A271EE"/>
    <w:rsid w:val="00A272D1"/>
    <w:rsid w:val="00A2734F"/>
    <w:rsid w:val="00A273B2"/>
    <w:rsid w:val="00A274E6"/>
    <w:rsid w:val="00A27500"/>
    <w:rsid w:val="00A275DF"/>
    <w:rsid w:val="00A2760E"/>
    <w:rsid w:val="00A27657"/>
    <w:rsid w:val="00A2794D"/>
    <w:rsid w:val="00A2797C"/>
    <w:rsid w:val="00A27B93"/>
    <w:rsid w:val="00A27C2B"/>
    <w:rsid w:val="00A27CB6"/>
    <w:rsid w:val="00A27D57"/>
    <w:rsid w:val="00A27E75"/>
    <w:rsid w:val="00A27EF7"/>
    <w:rsid w:val="00A27FA7"/>
    <w:rsid w:val="00A300EB"/>
    <w:rsid w:val="00A30121"/>
    <w:rsid w:val="00A30168"/>
    <w:rsid w:val="00A301AF"/>
    <w:rsid w:val="00A30254"/>
    <w:rsid w:val="00A30257"/>
    <w:rsid w:val="00A302EF"/>
    <w:rsid w:val="00A3052E"/>
    <w:rsid w:val="00A305F5"/>
    <w:rsid w:val="00A305F7"/>
    <w:rsid w:val="00A309B0"/>
    <w:rsid w:val="00A30A6D"/>
    <w:rsid w:val="00A30AD1"/>
    <w:rsid w:val="00A30B25"/>
    <w:rsid w:val="00A30BDB"/>
    <w:rsid w:val="00A30CBE"/>
    <w:rsid w:val="00A30D72"/>
    <w:rsid w:val="00A30DE2"/>
    <w:rsid w:val="00A30E5A"/>
    <w:rsid w:val="00A30E92"/>
    <w:rsid w:val="00A30F14"/>
    <w:rsid w:val="00A30FA6"/>
    <w:rsid w:val="00A31051"/>
    <w:rsid w:val="00A31071"/>
    <w:rsid w:val="00A31095"/>
    <w:rsid w:val="00A310AE"/>
    <w:rsid w:val="00A310C2"/>
    <w:rsid w:val="00A310C5"/>
    <w:rsid w:val="00A3115D"/>
    <w:rsid w:val="00A31179"/>
    <w:rsid w:val="00A311DE"/>
    <w:rsid w:val="00A31219"/>
    <w:rsid w:val="00A3129E"/>
    <w:rsid w:val="00A312BA"/>
    <w:rsid w:val="00A312C9"/>
    <w:rsid w:val="00A3131F"/>
    <w:rsid w:val="00A31477"/>
    <w:rsid w:val="00A3153F"/>
    <w:rsid w:val="00A315A6"/>
    <w:rsid w:val="00A316C3"/>
    <w:rsid w:val="00A31713"/>
    <w:rsid w:val="00A31737"/>
    <w:rsid w:val="00A317C3"/>
    <w:rsid w:val="00A317DC"/>
    <w:rsid w:val="00A31845"/>
    <w:rsid w:val="00A318FA"/>
    <w:rsid w:val="00A31C49"/>
    <w:rsid w:val="00A31CD7"/>
    <w:rsid w:val="00A31D45"/>
    <w:rsid w:val="00A31DAA"/>
    <w:rsid w:val="00A31EBF"/>
    <w:rsid w:val="00A31EC4"/>
    <w:rsid w:val="00A31EE4"/>
    <w:rsid w:val="00A31FAD"/>
    <w:rsid w:val="00A32182"/>
    <w:rsid w:val="00A321D3"/>
    <w:rsid w:val="00A3225C"/>
    <w:rsid w:val="00A32473"/>
    <w:rsid w:val="00A326E4"/>
    <w:rsid w:val="00A32769"/>
    <w:rsid w:val="00A32A7D"/>
    <w:rsid w:val="00A32B62"/>
    <w:rsid w:val="00A32DA4"/>
    <w:rsid w:val="00A32DCF"/>
    <w:rsid w:val="00A32FAA"/>
    <w:rsid w:val="00A3302E"/>
    <w:rsid w:val="00A331AE"/>
    <w:rsid w:val="00A33347"/>
    <w:rsid w:val="00A333A5"/>
    <w:rsid w:val="00A33439"/>
    <w:rsid w:val="00A3348E"/>
    <w:rsid w:val="00A334C0"/>
    <w:rsid w:val="00A3365A"/>
    <w:rsid w:val="00A33755"/>
    <w:rsid w:val="00A338AF"/>
    <w:rsid w:val="00A33ABE"/>
    <w:rsid w:val="00A33AF2"/>
    <w:rsid w:val="00A33C1E"/>
    <w:rsid w:val="00A33CC3"/>
    <w:rsid w:val="00A33E49"/>
    <w:rsid w:val="00A33EDE"/>
    <w:rsid w:val="00A33F01"/>
    <w:rsid w:val="00A33F4F"/>
    <w:rsid w:val="00A33FDE"/>
    <w:rsid w:val="00A3401E"/>
    <w:rsid w:val="00A34095"/>
    <w:rsid w:val="00A341AC"/>
    <w:rsid w:val="00A34284"/>
    <w:rsid w:val="00A34292"/>
    <w:rsid w:val="00A342D2"/>
    <w:rsid w:val="00A34333"/>
    <w:rsid w:val="00A343DC"/>
    <w:rsid w:val="00A34409"/>
    <w:rsid w:val="00A3442D"/>
    <w:rsid w:val="00A3446A"/>
    <w:rsid w:val="00A34497"/>
    <w:rsid w:val="00A345B1"/>
    <w:rsid w:val="00A3463F"/>
    <w:rsid w:val="00A34643"/>
    <w:rsid w:val="00A3476E"/>
    <w:rsid w:val="00A347B5"/>
    <w:rsid w:val="00A3482C"/>
    <w:rsid w:val="00A34A32"/>
    <w:rsid w:val="00A34AC6"/>
    <w:rsid w:val="00A34ADA"/>
    <w:rsid w:val="00A34AFC"/>
    <w:rsid w:val="00A34C13"/>
    <w:rsid w:val="00A34C2C"/>
    <w:rsid w:val="00A34C63"/>
    <w:rsid w:val="00A34CFA"/>
    <w:rsid w:val="00A34D17"/>
    <w:rsid w:val="00A35099"/>
    <w:rsid w:val="00A35197"/>
    <w:rsid w:val="00A35298"/>
    <w:rsid w:val="00A353CD"/>
    <w:rsid w:val="00A353DB"/>
    <w:rsid w:val="00A3545A"/>
    <w:rsid w:val="00A354E6"/>
    <w:rsid w:val="00A355F1"/>
    <w:rsid w:val="00A356B8"/>
    <w:rsid w:val="00A35837"/>
    <w:rsid w:val="00A3595E"/>
    <w:rsid w:val="00A35A9B"/>
    <w:rsid w:val="00A35B14"/>
    <w:rsid w:val="00A35B50"/>
    <w:rsid w:val="00A35C46"/>
    <w:rsid w:val="00A36028"/>
    <w:rsid w:val="00A363EE"/>
    <w:rsid w:val="00A364B1"/>
    <w:rsid w:val="00A36515"/>
    <w:rsid w:val="00A3653C"/>
    <w:rsid w:val="00A365E9"/>
    <w:rsid w:val="00A366E0"/>
    <w:rsid w:val="00A367DF"/>
    <w:rsid w:val="00A368B3"/>
    <w:rsid w:val="00A368C8"/>
    <w:rsid w:val="00A368F7"/>
    <w:rsid w:val="00A36A74"/>
    <w:rsid w:val="00A36B8D"/>
    <w:rsid w:val="00A36BAE"/>
    <w:rsid w:val="00A36BCF"/>
    <w:rsid w:val="00A36BE5"/>
    <w:rsid w:val="00A36DD4"/>
    <w:rsid w:val="00A36E26"/>
    <w:rsid w:val="00A36F44"/>
    <w:rsid w:val="00A36FB0"/>
    <w:rsid w:val="00A37039"/>
    <w:rsid w:val="00A370B2"/>
    <w:rsid w:val="00A37190"/>
    <w:rsid w:val="00A3726E"/>
    <w:rsid w:val="00A372AC"/>
    <w:rsid w:val="00A372D3"/>
    <w:rsid w:val="00A37358"/>
    <w:rsid w:val="00A375A9"/>
    <w:rsid w:val="00A37867"/>
    <w:rsid w:val="00A378B0"/>
    <w:rsid w:val="00A3793D"/>
    <w:rsid w:val="00A379E3"/>
    <w:rsid w:val="00A37A18"/>
    <w:rsid w:val="00A37A1E"/>
    <w:rsid w:val="00A37A47"/>
    <w:rsid w:val="00A37CB4"/>
    <w:rsid w:val="00A37D4C"/>
    <w:rsid w:val="00A37E81"/>
    <w:rsid w:val="00A37FC3"/>
    <w:rsid w:val="00A40069"/>
    <w:rsid w:val="00A401AF"/>
    <w:rsid w:val="00A40214"/>
    <w:rsid w:val="00A403A0"/>
    <w:rsid w:val="00A403E3"/>
    <w:rsid w:val="00A403F8"/>
    <w:rsid w:val="00A404A7"/>
    <w:rsid w:val="00A40614"/>
    <w:rsid w:val="00A407D5"/>
    <w:rsid w:val="00A4093D"/>
    <w:rsid w:val="00A40986"/>
    <w:rsid w:val="00A40A26"/>
    <w:rsid w:val="00A40A8C"/>
    <w:rsid w:val="00A40C6B"/>
    <w:rsid w:val="00A40C8D"/>
    <w:rsid w:val="00A40CBC"/>
    <w:rsid w:val="00A40E1E"/>
    <w:rsid w:val="00A40F70"/>
    <w:rsid w:val="00A40FB7"/>
    <w:rsid w:val="00A41135"/>
    <w:rsid w:val="00A4147D"/>
    <w:rsid w:val="00A4149C"/>
    <w:rsid w:val="00A414C8"/>
    <w:rsid w:val="00A414CA"/>
    <w:rsid w:val="00A414CE"/>
    <w:rsid w:val="00A4164E"/>
    <w:rsid w:val="00A41888"/>
    <w:rsid w:val="00A41891"/>
    <w:rsid w:val="00A418BF"/>
    <w:rsid w:val="00A41949"/>
    <w:rsid w:val="00A41A30"/>
    <w:rsid w:val="00A41A34"/>
    <w:rsid w:val="00A41C2C"/>
    <w:rsid w:val="00A41C4C"/>
    <w:rsid w:val="00A41D50"/>
    <w:rsid w:val="00A420CF"/>
    <w:rsid w:val="00A42248"/>
    <w:rsid w:val="00A424C3"/>
    <w:rsid w:val="00A424D8"/>
    <w:rsid w:val="00A42568"/>
    <w:rsid w:val="00A42628"/>
    <w:rsid w:val="00A42697"/>
    <w:rsid w:val="00A426DD"/>
    <w:rsid w:val="00A42757"/>
    <w:rsid w:val="00A42B67"/>
    <w:rsid w:val="00A42C45"/>
    <w:rsid w:val="00A42CC5"/>
    <w:rsid w:val="00A42D22"/>
    <w:rsid w:val="00A42D7A"/>
    <w:rsid w:val="00A42D84"/>
    <w:rsid w:val="00A42E87"/>
    <w:rsid w:val="00A42EB9"/>
    <w:rsid w:val="00A42FEB"/>
    <w:rsid w:val="00A43098"/>
    <w:rsid w:val="00A430A8"/>
    <w:rsid w:val="00A43195"/>
    <w:rsid w:val="00A432D3"/>
    <w:rsid w:val="00A432E0"/>
    <w:rsid w:val="00A434FB"/>
    <w:rsid w:val="00A43530"/>
    <w:rsid w:val="00A43698"/>
    <w:rsid w:val="00A43724"/>
    <w:rsid w:val="00A437A4"/>
    <w:rsid w:val="00A43859"/>
    <w:rsid w:val="00A439D3"/>
    <w:rsid w:val="00A43B22"/>
    <w:rsid w:val="00A43B67"/>
    <w:rsid w:val="00A43BBD"/>
    <w:rsid w:val="00A43C0D"/>
    <w:rsid w:val="00A43D9C"/>
    <w:rsid w:val="00A43E3D"/>
    <w:rsid w:val="00A43EDD"/>
    <w:rsid w:val="00A44057"/>
    <w:rsid w:val="00A4405E"/>
    <w:rsid w:val="00A4411B"/>
    <w:rsid w:val="00A4415D"/>
    <w:rsid w:val="00A44189"/>
    <w:rsid w:val="00A44222"/>
    <w:rsid w:val="00A4427C"/>
    <w:rsid w:val="00A44335"/>
    <w:rsid w:val="00A4449D"/>
    <w:rsid w:val="00A44575"/>
    <w:rsid w:val="00A445BF"/>
    <w:rsid w:val="00A445EE"/>
    <w:rsid w:val="00A44627"/>
    <w:rsid w:val="00A44884"/>
    <w:rsid w:val="00A449AD"/>
    <w:rsid w:val="00A449E2"/>
    <w:rsid w:val="00A44BB6"/>
    <w:rsid w:val="00A44C6A"/>
    <w:rsid w:val="00A44D2A"/>
    <w:rsid w:val="00A44EB5"/>
    <w:rsid w:val="00A44FD5"/>
    <w:rsid w:val="00A45161"/>
    <w:rsid w:val="00A451E0"/>
    <w:rsid w:val="00A453A3"/>
    <w:rsid w:val="00A45799"/>
    <w:rsid w:val="00A457A0"/>
    <w:rsid w:val="00A457A7"/>
    <w:rsid w:val="00A457EB"/>
    <w:rsid w:val="00A4591F"/>
    <w:rsid w:val="00A45922"/>
    <w:rsid w:val="00A45A9F"/>
    <w:rsid w:val="00A45C8E"/>
    <w:rsid w:val="00A45CDA"/>
    <w:rsid w:val="00A45CDE"/>
    <w:rsid w:val="00A45CFC"/>
    <w:rsid w:val="00A46038"/>
    <w:rsid w:val="00A46052"/>
    <w:rsid w:val="00A460F6"/>
    <w:rsid w:val="00A4616B"/>
    <w:rsid w:val="00A46288"/>
    <w:rsid w:val="00A463F8"/>
    <w:rsid w:val="00A4646A"/>
    <w:rsid w:val="00A46477"/>
    <w:rsid w:val="00A464D6"/>
    <w:rsid w:val="00A465A7"/>
    <w:rsid w:val="00A466CD"/>
    <w:rsid w:val="00A46836"/>
    <w:rsid w:val="00A46C14"/>
    <w:rsid w:val="00A46DBE"/>
    <w:rsid w:val="00A46F6B"/>
    <w:rsid w:val="00A46FF1"/>
    <w:rsid w:val="00A47022"/>
    <w:rsid w:val="00A47236"/>
    <w:rsid w:val="00A472ED"/>
    <w:rsid w:val="00A4734A"/>
    <w:rsid w:val="00A47361"/>
    <w:rsid w:val="00A4736E"/>
    <w:rsid w:val="00A4738F"/>
    <w:rsid w:val="00A474E4"/>
    <w:rsid w:val="00A47569"/>
    <w:rsid w:val="00A475FC"/>
    <w:rsid w:val="00A476BC"/>
    <w:rsid w:val="00A4779E"/>
    <w:rsid w:val="00A477F6"/>
    <w:rsid w:val="00A4781D"/>
    <w:rsid w:val="00A47891"/>
    <w:rsid w:val="00A478B2"/>
    <w:rsid w:val="00A4794E"/>
    <w:rsid w:val="00A47985"/>
    <w:rsid w:val="00A479F0"/>
    <w:rsid w:val="00A47A7F"/>
    <w:rsid w:val="00A47A84"/>
    <w:rsid w:val="00A47BCE"/>
    <w:rsid w:val="00A47C0E"/>
    <w:rsid w:val="00A47C65"/>
    <w:rsid w:val="00A47FCD"/>
    <w:rsid w:val="00A50031"/>
    <w:rsid w:val="00A50231"/>
    <w:rsid w:val="00A5029E"/>
    <w:rsid w:val="00A503AA"/>
    <w:rsid w:val="00A5043D"/>
    <w:rsid w:val="00A505E3"/>
    <w:rsid w:val="00A5061B"/>
    <w:rsid w:val="00A5072A"/>
    <w:rsid w:val="00A508C3"/>
    <w:rsid w:val="00A508E1"/>
    <w:rsid w:val="00A509D6"/>
    <w:rsid w:val="00A50B46"/>
    <w:rsid w:val="00A50CF3"/>
    <w:rsid w:val="00A50D16"/>
    <w:rsid w:val="00A50D56"/>
    <w:rsid w:val="00A50D69"/>
    <w:rsid w:val="00A50F7F"/>
    <w:rsid w:val="00A5114D"/>
    <w:rsid w:val="00A51297"/>
    <w:rsid w:val="00A5141B"/>
    <w:rsid w:val="00A5147F"/>
    <w:rsid w:val="00A514D1"/>
    <w:rsid w:val="00A51664"/>
    <w:rsid w:val="00A51779"/>
    <w:rsid w:val="00A518F8"/>
    <w:rsid w:val="00A519AC"/>
    <w:rsid w:val="00A51AB1"/>
    <w:rsid w:val="00A51AF3"/>
    <w:rsid w:val="00A51B08"/>
    <w:rsid w:val="00A51BEB"/>
    <w:rsid w:val="00A51C0B"/>
    <w:rsid w:val="00A51C2F"/>
    <w:rsid w:val="00A51C58"/>
    <w:rsid w:val="00A51DBA"/>
    <w:rsid w:val="00A51E41"/>
    <w:rsid w:val="00A51EA8"/>
    <w:rsid w:val="00A51F25"/>
    <w:rsid w:val="00A51F46"/>
    <w:rsid w:val="00A52012"/>
    <w:rsid w:val="00A5228B"/>
    <w:rsid w:val="00A52386"/>
    <w:rsid w:val="00A524C1"/>
    <w:rsid w:val="00A524DE"/>
    <w:rsid w:val="00A52502"/>
    <w:rsid w:val="00A525FD"/>
    <w:rsid w:val="00A52642"/>
    <w:rsid w:val="00A52784"/>
    <w:rsid w:val="00A52865"/>
    <w:rsid w:val="00A52B03"/>
    <w:rsid w:val="00A52B18"/>
    <w:rsid w:val="00A52BA9"/>
    <w:rsid w:val="00A53073"/>
    <w:rsid w:val="00A5309E"/>
    <w:rsid w:val="00A531EF"/>
    <w:rsid w:val="00A531F9"/>
    <w:rsid w:val="00A53376"/>
    <w:rsid w:val="00A533CC"/>
    <w:rsid w:val="00A53429"/>
    <w:rsid w:val="00A5344F"/>
    <w:rsid w:val="00A534C4"/>
    <w:rsid w:val="00A53579"/>
    <w:rsid w:val="00A536EC"/>
    <w:rsid w:val="00A53704"/>
    <w:rsid w:val="00A5378D"/>
    <w:rsid w:val="00A5389B"/>
    <w:rsid w:val="00A538C6"/>
    <w:rsid w:val="00A539EC"/>
    <w:rsid w:val="00A53B2B"/>
    <w:rsid w:val="00A53BC5"/>
    <w:rsid w:val="00A53CCD"/>
    <w:rsid w:val="00A53DF2"/>
    <w:rsid w:val="00A53E4F"/>
    <w:rsid w:val="00A53E85"/>
    <w:rsid w:val="00A53F22"/>
    <w:rsid w:val="00A53FC0"/>
    <w:rsid w:val="00A53FCF"/>
    <w:rsid w:val="00A5405C"/>
    <w:rsid w:val="00A540AB"/>
    <w:rsid w:val="00A540DB"/>
    <w:rsid w:val="00A54107"/>
    <w:rsid w:val="00A5419B"/>
    <w:rsid w:val="00A541FC"/>
    <w:rsid w:val="00A54267"/>
    <w:rsid w:val="00A54281"/>
    <w:rsid w:val="00A5428E"/>
    <w:rsid w:val="00A542EF"/>
    <w:rsid w:val="00A543C5"/>
    <w:rsid w:val="00A54429"/>
    <w:rsid w:val="00A544FD"/>
    <w:rsid w:val="00A54522"/>
    <w:rsid w:val="00A546CE"/>
    <w:rsid w:val="00A54812"/>
    <w:rsid w:val="00A549EB"/>
    <w:rsid w:val="00A54B4B"/>
    <w:rsid w:val="00A54D42"/>
    <w:rsid w:val="00A54F9E"/>
    <w:rsid w:val="00A54FDD"/>
    <w:rsid w:val="00A5518F"/>
    <w:rsid w:val="00A551C8"/>
    <w:rsid w:val="00A55299"/>
    <w:rsid w:val="00A55342"/>
    <w:rsid w:val="00A55350"/>
    <w:rsid w:val="00A55450"/>
    <w:rsid w:val="00A55487"/>
    <w:rsid w:val="00A5574F"/>
    <w:rsid w:val="00A55864"/>
    <w:rsid w:val="00A558F2"/>
    <w:rsid w:val="00A5596C"/>
    <w:rsid w:val="00A55991"/>
    <w:rsid w:val="00A55A77"/>
    <w:rsid w:val="00A55A84"/>
    <w:rsid w:val="00A55D82"/>
    <w:rsid w:val="00A55F0F"/>
    <w:rsid w:val="00A55FCC"/>
    <w:rsid w:val="00A56056"/>
    <w:rsid w:val="00A560EA"/>
    <w:rsid w:val="00A56273"/>
    <w:rsid w:val="00A562DF"/>
    <w:rsid w:val="00A563AD"/>
    <w:rsid w:val="00A563E7"/>
    <w:rsid w:val="00A5658A"/>
    <w:rsid w:val="00A565F3"/>
    <w:rsid w:val="00A565FB"/>
    <w:rsid w:val="00A566FB"/>
    <w:rsid w:val="00A567A6"/>
    <w:rsid w:val="00A5684C"/>
    <w:rsid w:val="00A5686B"/>
    <w:rsid w:val="00A5695C"/>
    <w:rsid w:val="00A5696D"/>
    <w:rsid w:val="00A56A3F"/>
    <w:rsid w:val="00A56B26"/>
    <w:rsid w:val="00A56B4C"/>
    <w:rsid w:val="00A56C14"/>
    <w:rsid w:val="00A56D7E"/>
    <w:rsid w:val="00A56DAE"/>
    <w:rsid w:val="00A5705A"/>
    <w:rsid w:val="00A57074"/>
    <w:rsid w:val="00A570F9"/>
    <w:rsid w:val="00A57212"/>
    <w:rsid w:val="00A572BC"/>
    <w:rsid w:val="00A57563"/>
    <w:rsid w:val="00A575A8"/>
    <w:rsid w:val="00A57609"/>
    <w:rsid w:val="00A5763E"/>
    <w:rsid w:val="00A57814"/>
    <w:rsid w:val="00A57A2B"/>
    <w:rsid w:val="00A57CA0"/>
    <w:rsid w:val="00A57CA5"/>
    <w:rsid w:val="00A57D80"/>
    <w:rsid w:val="00A57FDC"/>
    <w:rsid w:val="00A57FE2"/>
    <w:rsid w:val="00A60066"/>
    <w:rsid w:val="00A601FF"/>
    <w:rsid w:val="00A60243"/>
    <w:rsid w:val="00A60335"/>
    <w:rsid w:val="00A6037A"/>
    <w:rsid w:val="00A6041F"/>
    <w:rsid w:val="00A6044D"/>
    <w:rsid w:val="00A606BF"/>
    <w:rsid w:val="00A6073D"/>
    <w:rsid w:val="00A608E4"/>
    <w:rsid w:val="00A60940"/>
    <w:rsid w:val="00A60ACD"/>
    <w:rsid w:val="00A60E2B"/>
    <w:rsid w:val="00A60E45"/>
    <w:rsid w:val="00A60F99"/>
    <w:rsid w:val="00A61326"/>
    <w:rsid w:val="00A61330"/>
    <w:rsid w:val="00A61451"/>
    <w:rsid w:val="00A61453"/>
    <w:rsid w:val="00A614F9"/>
    <w:rsid w:val="00A6156E"/>
    <w:rsid w:val="00A616BA"/>
    <w:rsid w:val="00A617A9"/>
    <w:rsid w:val="00A61988"/>
    <w:rsid w:val="00A61A57"/>
    <w:rsid w:val="00A61C09"/>
    <w:rsid w:val="00A61E40"/>
    <w:rsid w:val="00A620D1"/>
    <w:rsid w:val="00A62406"/>
    <w:rsid w:val="00A624F9"/>
    <w:rsid w:val="00A62602"/>
    <w:rsid w:val="00A62657"/>
    <w:rsid w:val="00A62745"/>
    <w:rsid w:val="00A62778"/>
    <w:rsid w:val="00A62784"/>
    <w:rsid w:val="00A62B9B"/>
    <w:rsid w:val="00A62C36"/>
    <w:rsid w:val="00A62CE0"/>
    <w:rsid w:val="00A62CFB"/>
    <w:rsid w:val="00A62D3E"/>
    <w:rsid w:val="00A62ED4"/>
    <w:rsid w:val="00A62F47"/>
    <w:rsid w:val="00A62F84"/>
    <w:rsid w:val="00A63158"/>
    <w:rsid w:val="00A6316D"/>
    <w:rsid w:val="00A6318E"/>
    <w:rsid w:val="00A63265"/>
    <w:rsid w:val="00A632CD"/>
    <w:rsid w:val="00A6331D"/>
    <w:rsid w:val="00A6339F"/>
    <w:rsid w:val="00A633F7"/>
    <w:rsid w:val="00A6340F"/>
    <w:rsid w:val="00A634CB"/>
    <w:rsid w:val="00A636AB"/>
    <w:rsid w:val="00A636D7"/>
    <w:rsid w:val="00A637B1"/>
    <w:rsid w:val="00A63825"/>
    <w:rsid w:val="00A639AD"/>
    <w:rsid w:val="00A63A79"/>
    <w:rsid w:val="00A63B73"/>
    <w:rsid w:val="00A63CCE"/>
    <w:rsid w:val="00A63DD3"/>
    <w:rsid w:val="00A63E35"/>
    <w:rsid w:val="00A63F93"/>
    <w:rsid w:val="00A63FCB"/>
    <w:rsid w:val="00A6401F"/>
    <w:rsid w:val="00A642A0"/>
    <w:rsid w:val="00A6438B"/>
    <w:rsid w:val="00A6443E"/>
    <w:rsid w:val="00A644C5"/>
    <w:rsid w:val="00A64538"/>
    <w:rsid w:val="00A64626"/>
    <w:rsid w:val="00A64639"/>
    <w:rsid w:val="00A64776"/>
    <w:rsid w:val="00A647B3"/>
    <w:rsid w:val="00A648A8"/>
    <w:rsid w:val="00A648FE"/>
    <w:rsid w:val="00A64921"/>
    <w:rsid w:val="00A64A18"/>
    <w:rsid w:val="00A64B67"/>
    <w:rsid w:val="00A64C5A"/>
    <w:rsid w:val="00A64DDF"/>
    <w:rsid w:val="00A64E34"/>
    <w:rsid w:val="00A64E78"/>
    <w:rsid w:val="00A64F8A"/>
    <w:rsid w:val="00A650AE"/>
    <w:rsid w:val="00A650FF"/>
    <w:rsid w:val="00A65142"/>
    <w:rsid w:val="00A65319"/>
    <w:rsid w:val="00A65360"/>
    <w:rsid w:val="00A6540A"/>
    <w:rsid w:val="00A6540D"/>
    <w:rsid w:val="00A65498"/>
    <w:rsid w:val="00A65626"/>
    <w:rsid w:val="00A656B6"/>
    <w:rsid w:val="00A65708"/>
    <w:rsid w:val="00A6571B"/>
    <w:rsid w:val="00A657CC"/>
    <w:rsid w:val="00A6580F"/>
    <w:rsid w:val="00A658C3"/>
    <w:rsid w:val="00A65BA3"/>
    <w:rsid w:val="00A65DEE"/>
    <w:rsid w:val="00A66040"/>
    <w:rsid w:val="00A660B3"/>
    <w:rsid w:val="00A660D0"/>
    <w:rsid w:val="00A6615E"/>
    <w:rsid w:val="00A66244"/>
    <w:rsid w:val="00A662B7"/>
    <w:rsid w:val="00A66325"/>
    <w:rsid w:val="00A663E1"/>
    <w:rsid w:val="00A664F9"/>
    <w:rsid w:val="00A665B8"/>
    <w:rsid w:val="00A6666D"/>
    <w:rsid w:val="00A66844"/>
    <w:rsid w:val="00A6694F"/>
    <w:rsid w:val="00A66979"/>
    <w:rsid w:val="00A66A84"/>
    <w:rsid w:val="00A66A8A"/>
    <w:rsid w:val="00A66B9E"/>
    <w:rsid w:val="00A66C05"/>
    <w:rsid w:val="00A66C0B"/>
    <w:rsid w:val="00A66C72"/>
    <w:rsid w:val="00A66DE7"/>
    <w:rsid w:val="00A66EE7"/>
    <w:rsid w:val="00A66FE2"/>
    <w:rsid w:val="00A66FED"/>
    <w:rsid w:val="00A670BF"/>
    <w:rsid w:val="00A6712C"/>
    <w:rsid w:val="00A67240"/>
    <w:rsid w:val="00A673AE"/>
    <w:rsid w:val="00A674FD"/>
    <w:rsid w:val="00A675B4"/>
    <w:rsid w:val="00A676EB"/>
    <w:rsid w:val="00A678B0"/>
    <w:rsid w:val="00A678F7"/>
    <w:rsid w:val="00A67C47"/>
    <w:rsid w:val="00A67E36"/>
    <w:rsid w:val="00A67E73"/>
    <w:rsid w:val="00A67EA8"/>
    <w:rsid w:val="00A67FDD"/>
    <w:rsid w:val="00A7026C"/>
    <w:rsid w:val="00A70285"/>
    <w:rsid w:val="00A7041D"/>
    <w:rsid w:val="00A70488"/>
    <w:rsid w:val="00A70593"/>
    <w:rsid w:val="00A70680"/>
    <w:rsid w:val="00A706AD"/>
    <w:rsid w:val="00A7076C"/>
    <w:rsid w:val="00A707F2"/>
    <w:rsid w:val="00A70894"/>
    <w:rsid w:val="00A70A3B"/>
    <w:rsid w:val="00A70A50"/>
    <w:rsid w:val="00A70B80"/>
    <w:rsid w:val="00A70C21"/>
    <w:rsid w:val="00A70D5D"/>
    <w:rsid w:val="00A70D7B"/>
    <w:rsid w:val="00A70EA2"/>
    <w:rsid w:val="00A70EAE"/>
    <w:rsid w:val="00A70EDD"/>
    <w:rsid w:val="00A711BD"/>
    <w:rsid w:val="00A71242"/>
    <w:rsid w:val="00A7124A"/>
    <w:rsid w:val="00A71449"/>
    <w:rsid w:val="00A714C6"/>
    <w:rsid w:val="00A7159E"/>
    <w:rsid w:val="00A71624"/>
    <w:rsid w:val="00A717C2"/>
    <w:rsid w:val="00A71819"/>
    <w:rsid w:val="00A7188E"/>
    <w:rsid w:val="00A718B8"/>
    <w:rsid w:val="00A71A2B"/>
    <w:rsid w:val="00A71CFA"/>
    <w:rsid w:val="00A71D12"/>
    <w:rsid w:val="00A71D18"/>
    <w:rsid w:val="00A71D2E"/>
    <w:rsid w:val="00A71F89"/>
    <w:rsid w:val="00A71F8B"/>
    <w:rsid w:val="00A72129"/>
    <w:rsid w:val="00A722CB"/>
    <w:rsid w:val="00A7254D"/>
    <w:rsid w:val="00A726F6"/>
    <w:rsid w:val="00A72759"/>
    <w:rsid w:val="00A7293D"/>
    <w:rsid w:val="00A72A28"/>
    <w:rsid w:val="00A72B8A"/>
    <w:rsid w:val="00A72C5D"/>
    <w:rsid w:val="00A72C8E"/>
    <w:rsid w:val="00A72CEE"/>
    <w:rsid w:val="00A72E38"/>
    <w:rsid w:val="00A72E52"/>
    <w:rsid w:val="00A73132"/>
    <w:rsid w:val="00A7318B"/>
    <w:rsid w:val="00A7345B"/>
    <w:rsid w:val="00A73561"/>
    <w:rsid w:val="00A73848"/>
    <w:rsid w:val="00A738A9"/>
    <w:rsid w:val="00A738DA"/>
    <w:rsid w:val="00A7398A"/>
    <w:rsid w:val="00A739A3"/>
    <w:rsid w:val="00A73A8C"/>
    <w:rsid w:val="00A73AB4"/>
    <w:rsid w:val="00A73AD2"/>
    <w:rsid w:val="00A73B9E"/>
    <w:rsid w:val="00A73CA1"/>
    <w:rsid w:val="00A73CC6"/>
    <w:rsid w:val="00A73D15"/>
    <w:rsid w:val="00A73D69"/>
    <w:rsid w:val="00A73DE2"/>
    <w:rsid w:val="00A73E8B"/>
    <w:rsid w:val="00A73EB6"/>
    <w:rsid w:val="00A73EB9"/>
    <w:rsid w:val="00A73EBC"/>
    <w:rsid w:val="00A742B2"/>
    <w:rsid w:val="00A7434E"/>
    <w:rsid w:val="00A743C4"/>
    <w:rsid w:val="00A7440C"/>
    <w:rsid w:val="00A744BF"/>
    <w:rsid w:val="00A74551"/>
    <w:rsid w:val="00A74ACD"/>
    <w:rsid w:val="00A74B47"/>
    <w:rsid w:val="00A74B98"/>
    <w:rsid w:val="00A74BE7"/>
    <w:rsid w:val="00A74BF4"/>
    <w:rsid w:val="00A74EB7"/>
    <w:rsid w:val="00A75066"/>
    <w:rsid w:val="00A7523C"/>
    <w:rsid w:val="00A753C6"/>
    <w:rsid w:val="00A756D1"/>
    <w:rsid w:val="00A7580E"/>
    <w:rsid w:val="00A75A76"/>
    <w:rsid w:val="00A75A84"/>
    <w:rsid w:val="00A75A8A"/>
    <w:rsid w:val="00A75C88"/>
    <w:rsid w:val="00A75D21"/>
    <w:rsid w:val="00A75D47"/>
    <w:rsid w:val="00A75E35"/>
    <w:rsid w:val="00A75F33"/>
    <w:rsid w:val="00A75FFB"/>
    <w:rsid w:val="00A76025"/>
    <w:rsid w:val="00A760FB"/>
    <w:rsid w:val="00A7613C"/>
    <w:rsid w:val="00A76167"/>
    <w:rsid w:val="00A7619C"/>
    <w:rsid w:val="00A761F6"/>
    <w:rsid w:val="00A765C8"/>
    <w:rsid w:val="00A767E3"/>
    <w:rsid w:val="00A7682B"/>
    <w:rsid w:val="00A76955"/>
    <w:rsid w:val="00A76962"/>
    <w:rsid w:val="00A76964"/>
    <w:rsid w:val="00A7698F"/>
    <w:rsid w:val="00A76AD6"/>
    <w:rsid w:val="00A76AF8"/>
    <w:rsid w:val="00A76B38"/>
    <w:rsid w:val="00A76CAF"/>
    <w:rsid w:val="00A76F55"/>
    <w:rsid w:val="00A77003"/>
    <w:rsid w:val="00A771C2"/>
    <w:rsid w:val="00A7721B"/>
    <w:rsid w:val="00A774E5"/>
    <w:rsid w:val="00A77558"/>
    <w:rsid w:val="00A775F9"/>
    <w:rsid w:val="00A77623"/>
    <w:rsid w:val="00A776A7"/>
    <w:rsid w:val="00A77729"/>
    <w:rsid w:val="00A777FC"/>
    <w:rsid w:val="00A77823"/>
    <w:rsid w:val="00A77860"/>
    <w:rsid w:val="00A7793F"/>
    <w:rsid w:val="00A77996"/>
    <w:rsid w:val="00A77A6E"/>
    <w:rsid w:val="00A77AF2"/>
    <w:rsid w:val="00A77B8A"/>
    <w:rsid w:val="00A77C3C"/>
    <w:rsid w:val="00A77C86"/>
    <w:rsid w:val="00A77CC7"/>
    <w:rsid w:val="00A77D9A"/>
    <w:rsid w:val="00A77E53"/>
    <w:rsid w:val="00A77F4B"/>
    <w:rsid w:val="00A77F6C"/>
    <w:rsid w:val="00A80156"/>
    <w:rsid w:val="00A801AA"/>
    <w:rsid w:val="00A803E5"/>
    <w:rsid w:val="00A80486"/>
    <w:rsid w:val="00A80614"/>
    <w:rsid w:val="00A8066E"/>
    <w:rsid w:val="00A8071A"/>
    <w:rsid w:val="00A80793"/>
    <w:rsid w:val="00A80A11"/>
    <w:rsid w:val="00A80A7F"/>
    <w:rsid w:val="00A80B81"/>
    <w:rsid w:val="00A80C69"/>
    <w:rsid w:val="00A80C73"/>
    <w:rsid w:val="00A80C9F"/>
    <w:rsid w:val="00A80D09"/>
    <w:rsid w:val="00A80D4A"/>
    <w:rsid w:val="00A80D5A"/>
    <w:rsid w:val="00A80ED8"/>
    <w:rsid w:val="00A8102D"/>
    <w:rsid w:val="00A810E5"/>
    <w:rsid w:val="00A8120A"/>
    <w:rsid w:val="00A812D5"/>
    <w:rsid w:val="00A8134D"/>
    <w:rsid w:val="00A813BC"/>
    <w:rsid w:val="00A815D1"/>
    <w:rsid w:val="00A81792"/>
    <w:rsid w:val="00A81816"/>
    <w:rsid w:val="00A81901"/>
    <w:rsid w:val="00A819AA"/>
    <w:rsid w:val="00A81A24"/>
    <w:rsid w:val="00A81A85"/>
    <w:rsid w:val="00A81ABB"/>
    <w:rsid w:val="00A81ADA"/>
    <w:rsid w:val="00A81D16"/>
    <w:rsid w:val="00A81D1F"/>
    <w:rsid w:val="00A81D88"/>
    <w:rsid w:val="00A81E6B"/>
    <w:rsid w:val="00A820F0"/>
    <w:rsid w:val="00A82375"/>
    <w:rsid w:val="00A823BD"/>
    <w:rsid w:val="00A82490"/>
    <w:rsid w:val="00A82827"/>
    <w:rsid w:val="00A828D4"/>
    <w:rsid w:val="00A82909"/>
    <w:rsid w:val="00A8290C"/>
    <w:rsid w:val="00A82933"/>
    <w:rsid w:val="00A82939"/>
    <w:rsid w:val="00A829B6"/>
    <w:rsid w:val="00A82A8B"/>
    <w:rsid w:val="00A82B4F"/>
    <w:rsid w:val="00A82BA6"/>
    <w:rsid w:val="00A82CD1"/>
    <w:rsid w:val="00A82DD6"/>
    <w:rsid w:val="00A82E85"/>
    <w:rsid w:val="00A82E91"/>
    <w:rsid w:val="00A82F5A"/>
    <w:rsid w:val="00A83061"/>
    <w:rsid w:val="00A830AC"/>
    <w:rsid w:val="00A8311C"/>
    <w:rsid w:val="00A831AA"/>
    <w:rsid w:val="00A837BF"/>
    <w:rsid w:val="00A837D7"/>
    <w:rsid w:val="00A8396C"/>
    <w:rsid w:val="00A83A5B"/>
    <w:rsid w:val="00A83ABB"/>
    <w:rsid w:val="00A83AF3"/>
    <w:rsid w:val="00A83B14"/>
    <w:rsid w:val="00A83C19"/>
    <w:rsid w:val="00A83C8E"/>
    <w:rsid w:val="00A83CC7"/>
    <w:rsid w:val="00A83CD2"/>
    <w:rsid w:val="00A84016"/>
    <w:rsid w:val="00A840EC"/>
    <w:rsid w:val="00A8411A"/>
    <w:rsid w:val="00A84394"/>
    <w:rsid w:val="00A843CF"/>
    <w:rsid w:val="00A8448C"/>
    <w:rsid w:val="00A8450E"/>
    <w:rsid w:val="00A84658"/>
    <w:rsid w:val="00A84679"/>
    <w:rsid w:val="00A846E9"/>
    <w:rsid w:val="00A84727"/>
    <w:rsid w:val="00A847F5"/>
    <w:rsid w:val="00A848AA"/>
    <w:rsid w:val="00A84937"/>
    <w:rsid w:val="00A84A0A"/>
    <w:rsid w:val="00A84B6B"/>
    <w:rsid w:val="00A84B75"/>
    <w:rsid w:val="00A84C2C"/>
    <w:rsid w:val="00A84CA5"/>
    <w:rsid w:val="00A84EB0"/>
    <w:rsid w:val="00A84EED"/>
    <w:rsid w:val="00A85258"/>
    <w:rsid w:val="00A85321"/>
    <w:rsid w:val="00A85334"/>
    <w:rsid w:val="00A85388"/>
    <w:rsid w:val="00A85396"/>
    <w:rsid w:val="00A85417"/>
    <w:rsid w:val="00A85435"/>
    <w:rsid w:val="00A8556B"/>
    <w:rsid w:val="00A855C1"/>
    <w:rsid w:val="00A855FD"/>
    <w:rsid w:val="00A856A0"/>
    <w:rsid w:val="00A856F3"/>
    <w:rsid w:val="00A857AA"/>
    <w:rsid w:val="00A85814"/>
    <w:rsid w:val="00A8597E"/>
    <w:rsid w:val="00A8598B"/>
    <w:rsid w:val="00A85A90"/>
    <w:rsid w:val="00A85CAC"/>
    <w:rsid w:val="00A85CED"/>
    <w:rsid w:val="00A85DC2"/>
    <w:rsid w:val="00A85EAA"/>
    <w:rsid w:val="00A85ED0"/>
    <w:rsid w:val="00A8610F"/>
    <w:rsid w:val="00A86127"/>
    <w:rsid w:val="00A862EF"/>
    <w:rsid w:val="00A863E6"/>
    <w:rsid w:val="00A86531"/>
    <w:rsid w:val="00A8656C"/>
    <w:rsid w:val="00A865AB"/>
    <w:rsid w:val="00A865E1"/>
    <w:rsid w:val="00A8661E"/>
    <w:rsid w:val="00A866B0"/>
    <w:rsid w:val="00A866D4"/>
    <w:rsid w:val="00A866E2"/>
    <w:rsid w:val="00A86859"/>
    <w:rsid w:val="00A8686E"/>
    <w:rsid w:val="00A868F7"/>
    <w:rsid w:val="00A8690F"/>
    <w:rsid w:val="00A86B13"/>
    <w:rsid w:val="00A86E3F"/>
    <w:rsid w:val="00A86FEF"/>
    <w:rsid w:val="00A87112"/>
    <w:rsid w:val="00A87128"/>
    <w:rsid w:val="00A8719B"/>
    <w:rsid w:val="00A8731A"/>
    <w:rsid w:val="00A87410"/>
    <w:rsid w:val="00A876D1"/>
    <w:rsid w:val="00A876E1"/>
    <w:rsid w:val="00A8770A"/>
    <w:rsid w:val="00A87872"/>
    <w:rsid w:val="00A878E8"/>
    <w:rsid w:val="00A87A87"/>
    <w:rsid w:val="00A87C54"/>
    <w:rsid w:val="00A87C7B"/>
    <w:rsid w:val="00A87D11"/>
    <w:rsid w:val="00A87E3E"/>
    <w:rsid w:val="00A87FB2"/>
    <w:rsid w:val="00A87FDE"/>
    <w:rsid w:val="00A90013"/>
    <w:rsid w:val="00A9019F"/>
    <w:rsid w:val="00A90235"/>
    <w:rsid w:val="00A9029B"/>
    <w:rsid w:val="00A902DD"/>
    <w:rsid w:val="00A9032D"/>
    <w:rsid w:val="00A9037B"/>
    <w:rsid w:val="00A903B9"/>
    <w:rsid w:val="00A90538"/>
    <w:rsid w:val="00A9076D"/>
    <w:rsid w:val="00A907D2"/>
    <w:rsid w:val="00A9083A"/>
    <w:rsid w:val="00A90848"/>
    <w:rsid w:val="00A90865"/>
    <w:rsid w:val="00A9095A"/>
    <w:rsid w:val="00A909B6"/>
    <w:rsid w:val="00A909C3"/>
    <w:rsid w:val="00A90B28"/>
    <w:rsid w:val="00A90B3C"/>
    <w:rsid w:val="00A90BEB"/>
    <w:rsid w:val="00A90C71"/>
    <w:rsid w:val="00A90D32"/>
    <w:rsid w:val="00A90E45"/>
    <w:rsid w:val="00A90F2C"/>
    <w:rsid w:val="00A90FA5"/>
    <w:rsid w:val="00A911EA"/>
    <w:rsid w:val="00A912D2"/>
    <w:rsid w:val="00A914C7"/>
    <w:rsid w:val="00A91516"/>
    <w:rsid w:val="00A91553"/>
    <w:rsid w:val="00A916A5"/>
    <w:rsid w:val="00A916B0"/>
    <w:rsid w:val="00A91785"/>
    <w:rsid w:val="00A91A05"/>
    <w:rsid w:val="00A91A39"/>
    <w:rsid w:val="00A91AA3"/>
    <w:rsid w:val="00A91D00"/>
    <w:rsid w:val="00A91DE6"/>
    <w:rsid w:val="00A91E40"/>
    <w:rsid w:val="00A91ED8"/>
    <w:rsid w:val="00A91F13"/>
    <w:rsid w:val="00A91F71"/>
    <w:rsid w:val="00A91F9F"/>
    <w:rsid w:val="00A9203C"/>
    <w:rsid w:val="00A9205B"/>
    <w:rsid w:val="00A920F3"/>
    <w:rsid w:val="00A92112"/>
    <w:rsid w:val="00A92123"/>
    <w:rsid w:val="00A921B1"/>
    <w:rsid w:val="00A921F3"/>
    <w:rsid w:val="00A92515"/>
    <w:rsid w:val="00A92626"/>
    <w:rsid w:val="00A92706"/>
    <w:rsid w:val="00A927BD"/>
    <w:rsid w:val="00A927C3"/>
    <w:rsid w:val="00A92811"/>
    <w:rsid w:val="00A928B9"/>
    <w:rsid w:val="00A928C9"/>
    <w:rsid w:val="00A928D2"/>
    <w:rsid w:val="00A92A16"/>
    <w:rsid w:val="00A92A51"/>
    <w:rsid w:val="00A92B20"/>
    <w:rsid w:val="00A92B9D"/>
    <w:rsid w:val="00A92C52"/>
    <w:rsid w:val="00A92D54"/>
    <w:rsid w:val="00A92DB4"/>
    <w:rsid w:val="00A92E15"/>
    <w:rsid w:val="00A92E4F"/>
    <w:rsid w:val="00A92EB7"/>
    <w:rsid w:val="00A92FE5"/>
    <w:rsid w:val="00A93062"/>
    <w:rsid w:val="00A93104"/>
    <w:rsid w:val="00A9314B"/>
    <w:rsid w:val="00A9346A"/>
    <w:rsid w:val="00A934EE"/>
    <w:rsid w:val="00A93578"/>
    <w:rsid w:val="00A9357B"/>
    <w:rsid w:val="00A93626"/>
    <w:rsid w:val="00A9363F"/>
    <w:rsid w:val="00A93694"/>
    <w:rsid w:val="00A9373D"/>
    <w:rsid w:val="00A9379D"/>
    <w:rsid w:val="00A93A8E"/>
    <w:rsid w:val="00A93B1A"/>
    <w:rsid w:val="00A93B24"/>
    <w:rsid w:val="00A93BB6"/>
    <w:rsid w:val="00A93BDC"/>
    <w:rsid w:val="00A93C95"/>
    <w:rsid w:val="00A93CB7"/>
    <w:rsid w:val="00A93E8C"/>
    <w:rsid w:val="00A93FDC"/>
    <w:rsid w:val="00A9417B"/>
    <w:rsid w:val="00A942C9"/>
    <w:rsid w:val="00A942FB"/>
    <w:rsid w:val="00A9435F"/>
    <w:rsid w:val="00A9448A"/>
    <w:rsid w:val="00A944B7"/>
    <w:rsid w:val="00A94580"/>
    <w:rsid w:val="00A94804"/>
    <w:rsid w:val="00A948A2"/>
    <w:rsid w:val="00A948B4"/>
    <w:rsid w:val="00A948BD"/>
    <w:rsid w:val="00A9493D"/>
    <w:rsid w:val="00A9494E"/>
    <w:rsid w:val="00A94961"/>
    <w:rsid w:val="00A94A27"/>
    <w:rsid w:val="00A94B67"/>
    <w:rsid w:val="00A94C1E"/>
    <w:rsid w:val="00A94D20"/>
    <w:rsid w:val="00A94E11"/>
    <w:rsid w:val="00A94EE3"/>
    <w:rsid w:val="00A94F38"/>
    <w:rsid w:val="00A94FA2"/>
    <w:rsid w:val="00A9503B"/>
    <w:rsid w:val="00A950A3"/>
    <w:rsid w:val="00A950EE"/>
    <w:rsid w:val="00A95136"/>
    <w:rsid w:val="00A951AB"/>
    <w:rsid w:val="00A95377"/>
    <w:rsid w:val="00A95391"/>
    <w:rsid w:val="00A953B8"/>
    <w:rsid w:val="00A95401"/>
    <w:rsid w:val="00A9540C"/>
    <w:rsid w:val="00A954AA"/>
    <w:rsid w:val="00A95619"/>
    <w:rsid w:val="00A9588A"/>
    <w:rsid w:val="00A95940"/>
    <w:rsid w:val="00A95974"/>
    <w:rsid w:val="00A95998"/>
    <w:rsid w:val="00A95A01"/>
    <w:rsid w:val="00A95AAC"/>
    <w:rsid w:val="00A95BE1"/>
    <w:rsid w:val="00A95D7F"/>
    <w:rsid w:val="00A95F72"/>
    <w:rsid w:val="00A9607A"/>
    <w:rsid w:val="00A96108"/>
    <w:rsid w:val="00A961F4"/>
    <w:rsid w:val="00A96219"/>
    <w:rsid w:val="00A9626B"/>
    <w:rsid w:val="00A96285"/>
    <w:rsid w:val="00A96367"/>
    <w:rsid w:val="00A963D7"/>
    <w:rsid w:val="00A965F2"/>
    <w:rsid w:val="00A96783"/>
    <w:rsid w:val="00A967A0"/>
    <w:rsid w:val="00A967DF"/>
    <w:rsid w:val="00A968F3"/>
    <w:rsid w:val="00A96AA3"/>
    <w:rsid w:val="00A96AB5"/>
    <w:rsid w:val="00A96B47"/>
    <w:rsid w:val="00A96C11"/>
    <w:rsid w:val="00A96EAF"/>
    <w:rsid w:val="00A96F49"/>
    <w:rsid w:val="00A96FD4"/>
    <w:rsid w:val="00A9700B"/>
    <w:rsid w:val="00A97198"/>
    <w:rsid w:val="00A971C5"/>
    <w:rsid w:val="00A9727C"/>
    <w:rsid w:val="00A9739A"/>
    <w:rsid w:val="00A97447"/>
    <w:rsid w:val="00A97519"/>
    <w:rsid w:val="00A97637"/>
    <w:rsid w:val="00A97733"/>
    <w:rsid w:val="00A977DF"/>
    <w:rsid w:val="00A9798D"/>
    <w:rsid w:val="00A979C3"/>
    <w:rsid w:val="00A97A65"/>
    <w:rsid w:val="00A97A90"/>
    <w:rsid w:val="00A97A9A"/>
    <w:rsid w:val="00A97AFC"/>
    <w:rsid w:val="00A97B66"/>
    <w:rsid w:val="00A97C1E"/>
    <w:rsid w:val="00A97CCD"/>
    <w:rsid w:val="00A97D87"/>
    <w:rsid w:val="00A97F92"/>
    <w:rsid w:val="00A97F9B"/>
    <w:rsid w:val="00AA00B6"/>
    <w:rsid w:val="00AA00C3"/>
    <w:rsid w:val="00AA028A"/>
    <w:rsid w:val="00AA0295"/>
    <w:rsid w:val="00AA02BC"/>
    <w:rsid w:val="00AA02C4"/>
    <w:rsid w:val="00AA031D"/>
    <w:rsid w:val="00AA036D"/>
    <w:rsid w:val="00AA04D1"/>
    <w:rsid w:val="00AA050E"/>
    <w:rsid w:val="00AA05EB"/>
    <w:rsid w:val="00AA06CA"/>
    <w:rsid w:val="00AA07CC"/>
    <w:rsid w:val="00AA07E9"/>
    <w:rsid w:val="00AA0A67"/>
    <w:rsid w:val="00AA0AFA"/>
    <w:rsid w:val="00AA0B2D"/>
    <w:rsid w:val="00AA0B7E"/>
    <w:rsid w:val="00AA0B83"/>
    <w:rsid w:val="00AA0BBD"/>
    <w:rsid w:val="00AA0C03"/>
    <w:rsid w:val="00AA0DE3"/>
    <w:rsid w:val="00AA0EF3"/>
    <w:rsid w:val="00AA0FC0"/>
    <w:rsid w:val="00AA1061"/>
    <w:rsid w:val="00AA10A6"/>
    <w:rsid w:val="00AA1140"/>
    <w:rsid w:val="00AA11F6"/>
    <w:rsid w:val="00AA1259"/>
    <w:rsid w:val="00AA1435"/>
    <w:rsid w:val="00AA1631"/>
    <w:rsid w:val="00AA1666"/>
    <w:rsid w:val="00AA16D4"/>
    <w:rsid w:val="00AA16E7"/>
    <w:rsid w:val="00AA1725"/>
    <w:rsid w:val="00AA180C"/>
    <w:rsid w:val="00AA183C"/>
    <w:rsid w:val="00AA1BC2"/>
    <w:rsid w:val="00AA1BD9"/>
    <w:rsid w:val="00AA1C14"/>
    <w:rsid w:val="00AA1C40"/>
    <w:rsid w:val="00AA1C8C"/>
    <w:rsid w:val="00AA1CB7"/>
    <w:rsid w:val="00AA1CD1"/>
    <w:rsid w:val="00AA1E5A"/>
    <w:rsid w:val="00AA1ED0"/>
    <w:rsid w:val="00AA1FF0"/>
    <w:rsid w:val="00AA211C"/>
    <w:rsid w:val="00AA221C"/>
    <w:rsid w:val="00AA24EC"/>
    <w:rsid w:val="00AA25DF"/>
    <w:rsid w:val="00AA270E"/>
    <w:rsid w:val="00AA2B1B"/>
    <w:rsid w:val="00AA2C65"/>
    <w:rsid w:val="00AA2CCB"/>
    <w:rsid w:val="00AA2F94"/>
    <w:rsid w:val="00AA3125"/>
    <w:rsid w:val="00AA3197"/>
    <w:rsid w:val="00AA3236"/>
    <w:rsid w:val="00AA325D"/>
    <w:rsid w:val="00AA328F"/>
    <w:rsid w:val="00AA32A6"/>
    <w:rsid w:val="00AA34C6"/>
    <w:rsid w:val="00AA351E"/>
    <w:rsid w:val="00AA3535"/>
    <w:rsid w:val="00AA3606"/>
    <w:rsid w:val="00AA362C"/>
    <w:rsid w:val="00AA37EF"/>
    <w:rsid w:val="00AA392C"/>
    <w:rsid w:val="00AA3A09"/>
    <w:rsid w:val="00AA3B1B"/>
    <w:rsid w:val="00AA3E58"/>
    <w:rsid w:val="00AA3FFC"/>
    <w:rsid w:val="00AA40CC"/>
    <w:rsid w:val="00AA412C"/>
    <w:rsid w:val="00AA4224"/>
    <w:rsid w:val="00AA4318"/>
    <w:rsid w:val="00AA431F"/>
    <w:rsid w:val="00AA4374"/>
    <w:rsid w:val="00AA49F9"/>
    <w:rsid w:val="00AA4B8D"/>
    <w:rsid w:val="00AA4BA3"/>
    <w:rsid w:val="00AA4C44"/>
    <w:rsid w:val="00AA4C48"/>
    <w:rsid w:val="00AA4C8E"/>
    <w:rsid w:val="00AA4E59"/>
    <w:rsid w:val="00AA4EAC"/>
    <w:rsid w:val="00AA500F"/>
    <w:rsid w:val="00AA512F"/>
    <w:rsid w:val="00AA5196"/>
    <w:rsid w:val="00AA53F8"/>
    <w:rsid w:val="00AA549D"/>
    <w:rsid w:val="00AA5580"/>
    <w:rsid w:val="00AA56BC"/>
    <w:rsid w:val="00AA590D"/>
    <w:rsid w:val="00AA5A79"/>
    <w:rsid w:val="00AA5BF8"/>
    <w:rsid w:val="00AA5C73"/>
    <w:rsid w:val="00AA5D49"/>
    <w:rsid w:val="00AA5D98"/>
    <w:rsid w:val="00AA5EAA"/>
    <w:rsid w:val="00AA60EE"/>
    <w:rsid w:val="00AA6138"/>
    <w:rsid w:val="00AA62D8"/>
    <w:rsid w:val="00AA636C"/>
    <w:rsid w:val="00AA6387"/>
    <w:rsid w:val="00AA644B"/>
    <w:rsid w:val="00AA653F"/>
    <w:rsid w:val="00AA655B"/>
    <w:rsid w:val="00AA65E4"/>
    <w:rsid w:val="00AA6640"/>
    <w:rsid w:val="00AA67F7"/>
    <w:rsid w:val="00AA68E3"/>
    <w:rsid w:val="00AA69A2"/>
    <w:rsid w:val="00AA6B33"/>
    <w:rsid w:val="00AA6BD1"/>
    <w:rsid w:val="00AA6C03"/>
    <w:rsid w:val="00AA6CDF"/>
    <w:rsid w:val="00AA6D24"/>
    <w:rsid w:val="00AA6D80"/>
    <w:rsid w:val="00AA6D86"/>
    <w:rsid w:val="00AA6DE6"/>
    <w:rsid w:val="00AA6E4A"/>
    <w:rsid w:val="00AA7106"/>
    <w:rsid w:val="00AA71DB"/>
    <w:rsid w:val="00AA724E"/>
    <w:rsid w:val="00AA727F"/>
    <w:rsid w:val="00AA7316"/>
    <w:rsid w:val="00AA737A"/>
    <w:rsid w:val="00AA7389"/>
    <w:rsid w:val="00AA73E0"/>
    <w:rsid w:val="00AA74F8"/>
    <w:rsid w:val="00AA7714"/>
    <w:rsid w:val="00AA77D0"/>
    <w:rsid w:val="00AA7921"/>
    <w:rsid w:val="00AA7A78"/>
    <w:rsid w:val="00AA7B5D"/>
    <w:rsid w:val="00AA7B98"/>
    <w:rsid w:val="00AA7D5B"/>
    <w:rsid w:val="00AA7E70"/>
    <w:rsid w:val="00AA7ED8"/>
    <w:rsid w:val="00AA7F8E"/>
    <w:rsid w:val="00AA7FD1"/>
    <w:rsid w:val="00AA7FDE"/>
    <w:rsid w:val="00AB001E"/>
    <w:rsid w:val="00AB00FB"/>
    <w:rsid w:val="00AB01D5"/>
    <w:rsid w:val="00AB01E5"/>
    <w:rsid w:val="00AB0279"/>
    <w:rsid w:val="00AB049C"/>
    <w:rsid w:val="00AB0515"/>
    <w:rsid w:val="00AB0589"/>
    <w:rsid w:val="00AB065A"/>
    <w:rsid w:val="00AB07A0"/>
    <w:rsid w:val="00AB0966"/>
    <w:rsid w:val="00AB09FD"/>
    <w:rsid w:val="00AB0B11"/>
    <w:rsid w:val="00AB0B34"/>
    <w:rsid w:val="00AB0B9F"/>
    <w:rsid w:val="00AB0BB4"/>
    <w:rsid w:val="00AB0C1D"/>
    <w:rsid w:val="00AB0C9C"/>
    <w:rsid w:val="00AB0CA1"/>
    <w:rsid w:val="00AB0CD0"/>
    <w:rsid w:val="00AB0CED"/>
    <w:rsid w:val="00AB0D6A"/>
    <w:rsid w:val="00AB0E25"/>
    <w:rsid w:val="00AB0E48"/>
    <w:rsid w:val="00AB0ED3"/>
    <w:rsid w:val="00AB1033"/>
    <w:rsid w:val="00AB113B"/>
    <w:rsid w:val="00AB11FC"/>
    <w:rsid w:val="00AB1381"/>
    <w:rsid w:val="00AB1432"/>
    <w:rsid w:val="00AB1434"/>
    <w:rsid w:val="00AB196A"/>
    <w:rsid w:val="00AB1B1D"/>
    <w:rsid w:val="00AB1D17"/>
    <w:rsid w:val="00AB1E27"/>
    <w:rsid w:val="00AB1E9E"/>
    <w:rsid w:val="00AB208F"/>
    <w:rsid w:val="00AB20C5"/>
    <w:rsid w:val="00AB2278"/>
    <w:rsid w:val="00AB22AB"/>
    <w:rsid w:val="00AB22B5"/>
    <w:rsid w:val="00AB2557"/>
    <w:rsid w:val="00AB2599"/>
    <w:rsid w:val="00AB260E"/>
    <w:rsid w:val="00AB2688"/>
    <w:rsid w:val="00AB2881"/>
    <w:rsid w:val="00AB2B11"/>
    <w:rsid w:val="00AB2B63"/>
    <w:rsid w:val="00AB2B7C"/>
    <w:rsid w:val="00AB2BA1"/>
    <w:rsid w:val="00AB3071"/>
    <w:rsid w:val="00AB30D5"/>
    <w:rsid w:val="00AB3124"/>
    <w:rsid w:val="00AB3139"/>
    <w:rsid w:val="00AB346B"/>
    <w:rsid w:val="00AB3476"/>
    <w:rsid w:val="00AB3633"/>
    <w:rsid w:val="00AB3727"/>
    <w:rsid w:val="00AB391F"/>
    <w:rsid w:val="00AB3B3C"/>
    <w:rsid w:val="00AB3B4C"/>
    <w:rsid w:val="00AB3BB4"/>
    <w:rsid w:val="00AB3D52"/>
    <w:rsid w:val="00AB3E69"/>
    <w:rsid w:val="00AB3FCE"/>
    <w:rsid w:val="00AB407F"/>
    <w:rsid w:val="00AB41AD"/>
    <w:rsid w:val="00AB42D2"/>
    <w:rsid w:val="00AB431B"/>
    <w:rsid w:val="00AB445B"/>
    <w:rsid w:val="00AB44D7"/>
    <w:rsid w:val="00AB4556"/>
    <w:rsid w:val="00AB455C"/>
    <w:rsid w:val="00AB4653"/>
    <w:rsid w:val="00AB4704"/>
    <w:rsid w:val="00AB47A6"/>
    <w:rsid w:val="00AB480B"/>
    <w:rsid w:val="00AB48AA"/>
    <w:rsid w:val="00AB4955"/>
    <w:rsid w:val="00AB4A8D"/>
    <w:rsid w:val="00AB4B81"/>
    <w:rsid w:val="00AB4BEB"/>
    <w:rsid w:val="00AB4CA8"/>
    <w:rsid w:val="00AB4D14"/>
    <w:rsid w:val="00AB4DE0"/>
    <w:rsid w:val="00AB4DFC"/>
    <w:rsid w:val="00AB4FF6"/>
    <w:rsid w:val="00AB4FFE"/>
    <w:rsid w:val="00AB506F"/>
    <w:rsid w:val="00AB50E0"/>
    <w:rsid w:val="00AB524C"/>
    <w:rsid w:val="00AB5316"/>
    <w:rsid w:val="00AB5333"/>
    <w:rsid w:val="00AB5377"/>
    <w:rsid w:val="00AB53A6"/>
    <w:rsid w:val="00AB549A"/>
    <w:rsid w:val="00AB556F"/>
    <w:rsid w:val="00AB55DB"/>
    <w:rsid w:val="00AB5612"/>
    <w:rsid w:val="00AB5694"/>
    <w:rsid w:val="00AB572F"/>
    <w:rsid w:val="00AB5751"/>
    <w:rsid w:val="00AB5829"/>
    <w:rsid w:val="00AB58CE"/>
    <w:rsid w:val="00AB5A31"/>
    <w:rsid w:val="00AB5DAF"/>
    <w:rsid w:val="00AB5DF0"/>
    <w:rsid w:val="00AB5E45"/>
    <w:rsid w:val="00AB5EC2"/>
    <w:rsid w:val="00AB5ED5"/>
    <w:rsid w:val="00AB6199"/>
    <w:rsid w:val="00AB6209"/>
    <w:rsid w:val="00AB623E"/>
    <w:rsid w:val="00AB62DD"/>
    <w:rsid w:val="00AB656C"/>
    <w:rsid w:val="00AB65AC"/>
    <w:rsid w:val="00AB6620"/>
    <w:rsid w:val="00AB676D"/>
    <w:rsid w:val="00AB677F"/>
    <w:rsid w:val="00AB678E"/>
    <w:rsid w:val="00AB67F5"/>
    <w:rsid w:val="00AB6A46"/>
    <w:rsid w:val="00AB6A63"/>
    <w:rsid w:val="00AB6AB8"/>
    <w:rsid w:val="00AB6B6E"/>
    <w:rsid w:val="00AB6BD5"/>
    <w:rsid w:val="00AB6D72"/>
    <w:rsid w:val="00AB6F19"/>
    <w:rsid w:val="00AB6F37"/>
    <w:rsid w:val="00AB724C"/>
    <w:rsid w:val="00AB72D8"/>
    <w:rsid w:val="00AB73A8"/>
    <w:rsid w:val="00AB75FD"/>
    <w:rsid w:val="00AB760B"/>
    <w:rsid w:val="00AB77B6"/>
    <w:rsid w:val="00AB78E7"/>
    <w:rsid w:val="00AB794F"/>
    <w:rsid w:val="00AB79D5"/>
    <w:rsid w:val="00AB7A0A"/>
    <w:rsid w:val="00AB7B36"/>
    <w:rsid w:val="00AB7C4A"/>
    <w:rsid w:val="00AB7CA2"/>
    <w:rsid w:val="00AB7D62"/>
    <w:rsid w:val="00AB7D98"/>
    <w:rsid w:val="00AB7E3D"/>
    <w:rsid w:val="00AB7E48"/>
    <w:rsid w:val="00AB7E62"/>
    <w:rsid w:val="00AB7ECD"/>
    <w:rsid w:val="00AC00AC"/>
    <w:rsid w:val="00AC0255"/>
    <w:rsid w:val="00AC02C9"/>
    <w:rsid w:val="00AC03B9"/>
    <w:rsid w:val="00AC045F"/>
    <w:rsid w:val="00AC088F"/>
    <w:rsid w:val="00AC0A19"/>
    <w:rsid w:val="00AC0A6D"/>
    <w:rsid w:val="00AC0D23"/>
    <w:rsid w:val="00AC0DB4"/>
    <w:rsid w:val="00AC104A"/>
    <w:rsid w:val="00AC104E"/>
    <w:rsid w:val="00AC12B9"/>
    <w:rsid w:val="00AC1385"/>
    <w:rsid w:val="00AC13F4"/>
    <w:rsid w:val="00AC143C"/>
    <w:rsid w:val="00AC14DA"/>
    <w:rsid w:val="00AC1501"/>
    <w:rsid w:val="00AC15CD"/>
    <w:rsid w:val="00AC15D9"/>
    <w:rsid w:val="00AC15DF"/>
    <w:rsid w:val="00AC1684"/>
    <w:rsid w:val="00AC1688"/>
    <w:rsid w:val="00AC168F"/>
    <w:rsid w:val="00AC16E8"/>
    <w:rsid w:val="00AC1748"/>
    <w:rsid w:val="00AC188D"/>
    <w:rsid w:val="00AC18CB"/>
    <w:rsid w:val="00AC1A56"/>
    <w:rsid w:val="00AC1B4F"/>
    <w:rsid w:val="00AC1C46"/>
    <w:rsid w:val="00AC1CBF"/>
    <w:rsid w:val="00AC1D8B"/>
    <w:rsid w:val="00AC1DE7"/>
    <w:rsid w:val="00AC1E0A"/>
    <w:rsid w:val="00AC1EB6"/>
    <w:rsid w:val="00AC20F4"/>
    <w:rsid w:val="00AC210D"/>
    <w:rsid w:val="00AC217D"/>
    <w:rsid w:val="00AC222D"/>
    <w:rsid w:val="00AC2281"/>
    <w:rsid w:val="00AC249F"/>
    <w:rsid w:val="00AC24B3"/>
    <w:rsid w:val="00AC2625"/>
    <w:rsid w:val="00AC29B1"/>
    <w:rsid w:val="00AC2AB9"/>
    <w:rsid w:val="00AC2BB2"/>
    <w:rsid w:val="00AC2BE3"/>
    <w:rsid w:val="00AC2CD5"/>
    <w:rsid w:val="00AC2CF8"/>
    <w:rsid w:val="00AC2DDF"/>
    <w:rsid w:val="00AC310C"/>
    <w:rsid w:val="00AC310F"/>
    <w:rsid w:val="00AC3164"/>
    <w:rsid w:val="00AC3244"/>
    <w:rsid w:val="00AC3472"/>
    <w:rsid w:val="00AC34E5"/>
    <w:rsid w:val="00AC34EA"/>
    <w:rsid w:val="00AC34F7"/>
    <w:rsid w:val="00AC3540"/>
    <w:rsid w:val="00AC372B"/>
    <w:rsid w:val="00AC3AE2"/>
    <w:rsid w:val="00AC3D73"/>
    <w:rsid w:val="00AC3DE4"/>
    <w:rsid w:val="00AC3F11"/>
    <w:rsid w:val="00AC3F21"/>
    <w:rsid w:val="00AC4032"/>
    <w:rsid w:val="00AC4186"/>
    <w:rsid w:val="00AC4257"/>
    <w:rsid w:val="00AC45A1"/>
    <w:rsid w:val="00AC474A"/>
    <w:rsid w:val="00AC47EF"/>
    <w:rsid w:val="00AC4818"/>
    <w:rsid w:val="00AC4901"/>
    <w:rsid w:val="00AC4A19"/>
    <w:rsid w:val="00AC4C89"/>
    <w:rsid w:val="00AC4D3C"/>
    <w:rsid w:val="00AC4DAE"/>
    <w:rsid w:val="00AC4E23"/>
    <w:rsid w:val="00AC4EB2"/>
    <w:rsid w:val="00AC5117"/>
    <w:rsid w:val="00AC5197"/>
    <w:rsid w:val="00AC525F"/>
    <w:rsid w:val="00AC52B1"/>
    <w:rsid w:val="00AC5383"/>
    <w:rsid w:val="00AC53E0"/>
    <w:rsid w:val="00AC5500"/>
    <w:rsid w:val="00AC5564"/>
    <w:rsid w:val="00AC55BF"/>
    <w:rsid w:val="00AC5613"/>
    <w:rsid w:val="00AC56C4"/>
    <w:rsid w:val="00AC5722"/>
    <w:rsid w:val="00AC583B"/>
    <w:rsid w:val="00AC58D9"/>
    <w:rsid w:val="00AC5987"/>
    <w:rsid w:val="00AC5989"/>
    <w:rsid w:val="00AC59D9"/>
    <w:rsid w:val="00AC5AD6"/>
    <w:rsid w:val="00AC5C53"/>
    <w:rsid w:val="00AC5DCC"/>
    <w:rsid w:val="00AC5DD5"/>
    <w:rsid w:val="00AC5DD8"/>
    <w:rsid w:val="00AC5DF6"/>
    <w:rsid w:val="00AC5E17"/>
    <w:rsid w:val="00AC5FDB"/>
    <w:rsid w:val="00AC616F"/>
    <w:rsid w:val="00AC622C"/>
    <w:rsid w:val="00AC628A"/>
    <w:rsid w:val="00AC62BF"/>
    <w:rsid w:val="00AC62DE"/>
    <w:rsid w:val="00AC630F"/>
    <w:rsid w:val="00AC6332"/>
    <w:rsid w:val="00AC64C0"/>
    <w:rsid w:val="00AC65DA"/>
    <w:rsid w:val="00AC6685"/>
    <w:rsid w:val="00AC66FC"/>
    <w:rsid w:val="00AC66FE"/>
    <w:rsid w:val="00AC6740"/>
    <w:rsid w:val="00AC6861"/>
    <w:rsid w:val="00AC6AE7"/>
    <w:rsid w:val="00AC6CE3"/>
    <w:rsid w:val="00AC6D66"/>
    <w:rsid w:val="00AC6ED3"/>
    <w:rsid w:val="00AC6EDF"/>
    <w:rsid w:val="00AC6FDD"/>
    <w:rsid w:val="00AC7021"/>
    <w:rsid w:val="00AC709F"/>
    <w:rsid w:val="00AC711C"/>
    <w:rsid w:val="00AC7177"/>
    <w:rsid w:val="00AC7221"/>
    <w:rsid w:val="00AC7223"/>
    <w:rsid w:val="00AC7237"/>
    <w:rsid w:val="00AC7350"/>
    <w:rsid w:val="00AC7435"/>
    <w:rsid w:val="00AC74AC"/>
    <w:rsid w:val="00AC74CF"/>
    <w:rsid w:val="00AC75DC"/>
    <w:rsid w:val="00AC7774"/>
    <w:rsid w:val="00AC797E"/>
    <w:rsid w:val="00AC7A01"/>
    <w:rsid w:val="00AC7A17"/>
    <w:rsid w:val="00AC7A7D"/>
    <w:rsid w:val="00AC7AA3"/>
    <w:rsid w:val="00AC7D4B"/>
    <w:rsid w:val="00AC7D4E"/>
    <w:rsid w:val="00AC7D56"/>
    <w:rsid w:val="00AC7F30"/>
    <w:rsid w:val="00AC7FCC"/>
    <w:rsid w:val="00AD00C1"/>
    <w:rsid w:val="00AD0138"/>
    <w:rsid w:val="00AD019C"/>
    <w:rsid w:val="00AD01B4"/>
    <w:rsid w:val="00AD0264"/>
    <w:rsid w:val="00AD02A5"/>
    <w:rsid w:val="00AD0530"/>
    <w:rsid w:val="00AD0557"/>
    <w:rsid w:val="00AD0668"/>
    <w:rsid w:val="00AD07A2"/>
    <w:rsid w:val="00AD07CD"/>
    <w:rsid w:val="00AD09BA"/>
    <w:rsid w:val="00AD0B49"/>
    <w:rsid w:val="00AD0B6C"/>
    <w:rsid w:val="00AD0C61"/>
    <w:rsid w:val="00AD0E1A"/>
    <w:rsid w:val="00AD0ED3"/>
    <w:rsid w:val="00AD0F5C"/>
    <w:rsid w:val="00AD0FF5"/>
    <w:rsid w:val="00AD108C"/>
    <w:rsid w:val="00AD11EC"/>
    <w:rsid w:val="00AD1206"/>
    <w:rsid w:val="00AD12DF"/>
    <w:rsid w:val="00AD1346"/>
    <w:rsid w:val="00AD13BF"/>
    <w:rsid w:val="00AD141C"/>
    <w:rsid w:val="00AD1425"/>
    <w:rsid w:val="00AD1430"/>
    <w:rsid w:val="00AD14C4"/>
    <w:rsid w:val="00AD15B5"/>
    <w:rsid w:val="00AD1698"/>
    <w:rsid w:val="00AD18F0"/>
    <w:rsid w:val="00AD1A9A"/>
    <w:rsid w:val="00AD1ADB"/>
    <w:rsid w:val="00AD1B87"/>
    <w:rsid w:val="00AD1C19"/>
    <w:rsid w:val="00AD1C1B"/>
    <w:rsid w:val="00AD1EDC"/>
    <w:rsid w:val="00AD1F3F"/>
    <w:rsid w:val="00AD1FC2"/>
    <w:rsid w:val="00AD219B"/>
    <w:rsid w:val="00AD21F6"/>
    <w:rsid w:val="00AD22A2"/>
    <w:rsid w:val="00AD230F"/>
    <w:rsid w:val="00AD2348"/>
    <w:rsid w:val="00AD2659"/>
    <w:rsid w:val="00AD2679"/>
    <w:rsid w:val="00AD26D5"/>
    <w:rsid w:val="00AD2812"/>
    <w:rsid w:val="00AD286B"/>
    <w:rsid w:val="00AD2916"/>
    <w:rsid w:val="00AD2926"/>
    <w:rsid w:val="00AD2969"/>
    <w:rsid w:val="00AD2A2F"/>
    <w:rsid w:val="00AD2AC7"/>
    <w:rsid w:val="00AD2B83"/>
    <w:rsid w:val="00AD2DC4"/>
    <w:rsid w:val="00AD2DF1"/>
    <w:rsid w:val="00AD2ECD"/>
    <w:rsid w:val="00AD3078"/>
    <w:rsid w:val="00AD30C1"/>
    <w:rsid w:val="00AD3163"/>
    <w:rsid w:val="00AD3193"/>
    <w:rsid w:val="00AD3610"/>
    <w:rsid w:val="00AD36B3"/>
    <w:rsid w:val="00AD3740"/>
    <w:rsid w:val="00AD3757"/>
    <w:rsid w:val="00AD388E"/>
    <w:rsid w:val="00AD39AD"/>
    <w:rsid w:val="00AD3ABB"/>
    <w:rsid w:val="00AD3B47"/>
    <w:rsid w:val="00AD3BF9"/>
    <w:rsid w:val="00AD3DEB"/>
    <w:rsid w:val="00AD3E27"/>
    <w:rsid w:val="00AD3F01"/>
    <w:rsid w:val="00AD3F0F"/>
    <w:rsid w:val="00AD424D"/>
    <w:rsid w:val="00AD4380"/>
    <w:rsid w:val="00AD43F9"/>
    <w:rsid w:val="00AD43FB"/>
    <w:rsid w:val="00AD4773"/>
    <w:rsid w:val="00AD4845"/>
    <w:rsid w:val="00AD4847"/>
    <w:rsid w:val="00AD4A38"/>
    <w:rsid w:val="00AD4A9F"/>
    <w:rsid w:val="00AD4B33"/>
    <w:rsid w:val="00AD4B70"/>
    <w:rsid w:val="00AD4C0C"/>
    <w:rsid w:val="00AD4D95"/>
    <w:rsid w:val="00AD4FDC"/>
    <w:rsid w:val="00AD5108"/>
    <w:rsid w:val="00AD51D3"/>
    <w:rsid w:val="00AD527D"/>
    <w:rsid w:val="00AD53DB"/>
    <w:rsid w:val="00AD53FC"/>
    <w:rsid w:val="00AD5408"/>
    <w:rsid w:val="00AD54AD"/>
    <w:rsid w:val="00AD575E"/>
    <w:rsid w:val="00AD58A9"/>
    <w:rsid w:val="00AD58AB"/>
    <w:rsid w:val="00AD58BE"/>
    <w:rsid w:val="00AD595B"/>
    <w:rsid w:val="00AD5AA5"/>
    <w:rsid w:val="00AD5DA3"/>
    <w:rsid w:val="00AD5DE9"/>
    <w:rsid w:val="00AD5E1E"/>
    <w:rsid w:val="00AD5E81"/>
    <w:rsid w:val="00AD5EDB"/>
    <w:rsid w:val="00AD5F03"/>
    <w:rsid w:val="00AD5FE2"/>
    <w:rsid w:val="00AD5FF0"/>
    <w:rsid w:val="00AD60AD"/>
    <w:rsid w:val="00AD61CE"/>
    <w:rsid w:val="00AD6462"/>
    <w:rsid w:val="00AD657E"/>
    <w:rsid w:val="00AD659B"/>
    <w:rsid w:val="00AD65A5"/>
    <w:rsid w:val="00AD677C"/>
    <w:rsid w:val="00AD678A"/>
    <w:rsid w:val="00AD6801"/>
    <w:rsid w:val="00AD689E"/>
    <w:rsid w:val="00AD698C"/>
    <w:rsid w:val="00AD698E"/>
    <w:rsid w:val="00AD6A75"/>
    <w:rsid w:val="00AD6B20"/>
    <w:rsid w:val="00AD6BA5"/>
    <w:rsid w:val="00AD6BB8"/>
    <w:rsid w:val="00AD6BC2"/>
    <w:rsid w:val="00AD6C9D"/>
    <w:rsid w:val="00AD6CD3"/>
    <w:rsid w:val="00AD6D59"/>
    <w:rsid w:val="00AD6EEB"/>
    <w:rsid w:val="00AD70C4"/>
    <w:rsid w:val="00AD70F6"/>
    <w:rsid w:val="00AD7101"/>
    <w:rsid w:val="00AD714A"/>
    <w:rsid w:val="00AD724D"/>
    <w:rsid w:val="00AD73CB"/>
    <w:rsid w:val="00AD73EC"/>
    <w:rsid w:val="00AD7858"/>
    <w:rsid w:val="00AD786E"/>
    <w:rsid w:val="00AD79BE"/>
    <w:rsid w:val="00AD79D9"/>
    <w:rsid w:val="00AD7A50"/>
    <w:rsid w:val="00AD7AE8"/>
    <w:rsid w:val="00AD7C0B"/>
    <w:rsid w:val="00AD7F8D"/>
    <w:rsid w:val="00AE00E6"/>
    <w:rsid w:val="00AE014F"/>
    <w:rsid w:val="00AE01C3"/>
    <w:rsid w:val="00AE02B0"/>
    <w:rsid w:val="00AE02B4"/>
    <w:rsid w:val="00AE035E"/>
    <w:rsid w:val="00AE03F2"/>
    <w:rsid w:val="00AE0418"/>
    <w:rsid w:val="00AE04C0"/>
    <w:rsid w:val="00AE06DC"/>
    <w:rsid w:val="00AE0719"/>
    <w:rsid w:val="00AE073C"/>
    <w:rsid w:val="00AE0782"/>
    <w:rsid w:val="00AE08EA"/>
    <w:rsid w:val="00AE09A7"/>
    <w:rsid w:val="00AE09AD"/>
    <w:rsid w:val="00AE0A02"/>
    <w:rsid w:val="00AE0A4E"/>
    <w:rsid w:val="00AE0B94"/>
    <w:rsid w:val="00AE0BE9"/>
    <w:rsid w:val="00AE0DF3"/>
    <w:rsid w:val="00AE0FD6"/>
    <w:rsid w:val="00AE10D3"/>
    <w:rsid w:val="00AE119D"/>
    <w:rsid w:val="00AE11C6"/>
    <w:rsid w:val="00AE12AE"/>
    <w:rsid w:val="00AE131F"/>
    <w:rsid w:val="00AE146B"/>
    <w:rsid w:val="00AE14A3"/>
    <w:rsid w:val="00AE1617"/>
    <w:rsid w:val="00AE1661"/>
    <w:rsid w:val="00AE16F1"/>
    <w:rsid w:val="00AE1782"/>
    <w:rsid w:val="00AE196B"/>
    <w:rsid w:val="00AE1B31"/>
    <w:rsid w:val="00AE1B49"/>
    <w:rsid w:val="00AE1B4C"/>
    <w:rsid w:val="00AE1B68"/>
    <w:rsid w:val="00AE1B8A"/>
    <w:rsid w:val="00AE1D35"/>
    <w:rsid w:val="00AE1D90"/>
    <w:rsid w:val="00AE1E29"/>
    <w:rsid w:val="00AE1E55"/>
    <w:rsid w:val="00AE1E6A"/>
    <w:rsid w:val="00AE1FBE"/>
    <w:rsid w:val="00AE206E"/>
    <w:rsid w:val="00AE20B1"/>
    <w:rsid w:val="00AE21D6"/>
    <w:rsid w:val="00AE2228"/>
    <w:rsid w:val="00AE22A6"/>
    <w:rsid w:val="00AE22D5"/>
    <w:rsid w:val="00AE253F"/>
    <w:rsid w:val="00AE2566"/>
    <w:rsid w:val="00AE25E2"/>
    <w:rsid w:val="00AE2608"/>
    <w:rsid w:val="00AE2677"/>
    <w:rsid w:val="00AE2908"/>
    <w:rsid w:val="00AE2920"/>
    <w:rsid w:val="00AE2ADC"/>
    <w:rsid w:val="00AE2B1C"/>
    <w:rsid w:val="00AE2ED3"/>
    <w:rsid w:val="00AE2EF4"/>
    <w:rsid w:val="00AE2F9C"/>
    <w:rsid w:val="00AE303E"/>
    <w:rsid w:val="00AE308A"/>
    <w:rsid w:val="00AE31E7"/>
    <w:rsid w:val="00AE3234"/>
    <w:rsid w:val="00AE32EF"/>
    <w:rsid w:val="00AE3340"/>
    <w:rsid w:val="00AE33D7"/>
    <w:rsid w:val="00AE33E1"/>
    <w:rsid w:val="00AE3466"/>
    <w:rsid w:val="00AE362D"/>
    <w:rsid w:val="00AE36D7"/>
    <w:rsid w:val="00AE36F8"/>
    <w:rsid w:val="00AE383A"/>
    <w:rsid w:val="00AE3AA0"/>
    <w:rsid w:val="00AE3B82"/>
    <w:rsid w:val="00AE3BE7"/>
    <w:rsid w:val="00AE3BEC"/>
    <w:rsid w:val="00AE3C53"/>
    <w:rsid w:val="00AE3CB2"/>
    <w:rsid w:val="00AE3CD4"/>
    <w:rsid w:val="00AE3DA1"/>
    <w:rsid w:val="00AE3DC9"/>
    <w:rsid w:val="00AE3E56"/>
    <w:rsid w:val="00AE3E68"/>
    <w:rsid w:val="00AE3EC1"/>
    <w:rsid w:val="00AE3F8E"/>
    <w:rsid w:val="00AE4001"/>
    <w:rsid w:val="00AE407E"/>
    <w:rsid w:val="00AE40FD"/>
    <w:rsid w:val="00AE415B"/>
    <w:rsid w:val="00AE41D8"/>
    <w:rsid w:val="00AE425C"/>
    <w:rsid w:val="00AE43E0"/>
    <w:rsid w:val="00AE4575"/>
    <w:rsid w:val="00AE458E"/>
    <w:rsid w:val="00AE45B7"/>
    <w:rsid w:val="00AE4784"/>
    <w:rsid w:val="00AE48C5"/>
    <w:rsid w:val="00AE4B1B"/>
    <w:rsid w:val="00AE4C3E"/>
    <w:rsid w:val="00AE4C92"/>
    <w:rsid w:val="00AE4E3A"/>
    <w:rsid w:val="00AE5258"/>
    <w:rsid w:val="00AE52B7"/>
    <w:rsid w:val="00AE535B"/>
    <w:rsid w:val="00AE5392"/>
    <w:rsid w:val="00AE5471"/>
    <w:rsid w:val="00AE547E"/>
    <w:rsid w:val="00AE54E1"/>
    <w:rsid w:val="00AE555A"/>
    <w:rsid w:val="00AE55EA"/>
    <w:rsid w:val="00AE56FB"/>
    <w:rsid w:val="00AE5916"/>
    <w:rsid w:val="00AE5935"/>
    <w:rsid w:val="00AE5945"/>
    <w:rsid w:val="00AE597B"/>
    <w:rsid w:val="00AE59C5"/>
    <w:rsid w:val="00AE5AB5"/>
    <w:rsid w:val="00AE5BAE"/>
    <w:rsid w:val="00AE5CD4"/>
    <w:rsid w:val="00AE5D11"/>
    <w:rsid w:val="00AE5DBF"/>
    <w:rsid w:val="00AE606D"/>
    <w:rsid w:val="00AE60E4"/>
    <w:rsid w:val="00AE6125"/>
    <w:rsid w:val="00AE61FA"/>
    <w:rsid w:val="00AE62A6"/>
    <w:rsid w:val="00AE6359"/>
    <w:rsid w:val="00AE63F6"/>
    <w:rsid w:val="00AE6417"/>
    <w:rsid w:val="00AE641E"/>
    <w:rsid w:val="00AE64F4"/>
    <w:rsid w:val="00AE66E9"/>
    <w:rsid w:val="00AE675D"/>
    <w:rsid w:val="00AE6795"/>
    <w:rsid w:val="00AE68A5"/>
    <w:rsid w:val="00AE6968"/>
    <w:rsid w:val="00AE6979"/>
    <w:rsid w:val="00AE698F"/>
    <w:rsid w:val="00AE6A16"/>
    <w:rsid w:val="00AE6A9B"/>
    <w:rsid w:val="00AE6BAC"/>
    <w:rsid w:val="00AE6BD4"/>
    <w:rsid w:val="00AE6BFC"/>
    <w:rsid w:val="00AE6C7E"/>
    <w:rsid w:val="00AE6F7F"/>
    <w:rsid w:val="00AE71DC"/>
    <w:rsid w:val="00AE72CE"/>
    <w:rsid w:val="00AE73C8"/>
    <w:rsid w:val="00AE74B4"/>
    <w:rsid w:val="00AE7501"/>
    <w:rsid w:val="00AE7513"/>
    <w:rsid w:val="00AE75C9"/>
    <w:rsid w:val="00AE76EA"/>
    <w:rsid w:val="00AE777D"/>
    <w:rsid w:val="00AE790D"/>
    <w:rsid w:val="00AE79A0"/>
    <w:rsid w:val="00AE7ABE"/>
    <w:rsid w:val="00AE7B3C"/>
    <w:rsid w:val="00AE7B7F"/>
    <w:rsid w:val="00AE7B9B"/>
    <w:rsid w:val="00AE7D63"/>
    <w:rsid w:val="00AE7E1A"/>
    <w:rsid w:val="00AE7E25"/>
    <w:rsid w:val="00AE7E28"/>
    <w:rsid w:val="00AE7F1B"/>
    <w:rsid w:val="00AF0002"/>
    <w:rsid w:val="00AF0189"/>
    <w:rsid w:val="00AF02F9"/>
    <w:rsid w:val="00AF035A"/>
    <w:rsid w:val="00AF0438"/>
    <w:rsid w:val="00AF049A"/>
    <w:rsid w:val="00AF05E7"/>
    <w:rsid w:val="00AF062E"/>
    <w:rsid w:val="00AF0640"/>
    <w:rsid w:val="00AF0728"/>
    <w:rsid w:val="00AF08AA"/>
    <w:rsid w:val="00AF094C"/>
    <w:rsid w:val="00AF0E39"/>
    <w:rsid w:val="00AF0F10"/>
    <w:rsid w:val="00AF0F5A"/>
    <w:rsid w:val="00AF1128"/>
    <w:rsid w:val="00AF115F"/>
    <w:rsid w:val="00AF1165"/>
    <w:rsid w:val="00AF11B6"/>
    <w:rsid w:val="00AF1245"/>
    <w:rsid w:val="00AF12BE"/>
    <w:rsid w:val="00AF12F0"/>
    <w:rsid w:val="00AF134A"/>
    <w:rsid w:val="00AF139F"/>
    <w:rsid w:val="00AF14C0"/>
    <w:rsid w:val="00AF153A"/>
    <w:rsid w:val="00AF15BB"/>
    <w:rsid w:val="00AF15F0"/>
    <w:rsid w:val="00AF1687"/>
    <w:rsid w:val="00AF17B6"/>
    <w:rsid w:val="00AF18A9"/>
    <w:rsid w:val="00AF1AA0"/>
    <w:rsid w:val="00AF1B19"/>
    <w:rsid w:val="00AF1E3D"/>
    <w:rsid w:val="00AF1E50"/>
    <w:rsid w:val="00AF1E6D"/>
    <w:rsid w:val="00AF1F3C"/>
    <w:rsid w:val="00AF1FD0"/>
    <w:rsid w:val="00AF1FD7"/>
    <w:rsid w:val="00AF2288"/>
    <w:rsid w:val="00AF228C"/>
    <w:rsid w:val="00AF23B8"/>
    <w:rsid w:val="00AF2718"/>
    <w:rsid w:val="00AF28B7"/>
    <w:rsid w:val="00AF295E"/>
    <w:rsid w:val="00AF29E4"/>
    <w:rsid w:val="00AF2B64"/>
    <w:rsid w:val="00AF2BF2"/>
    <w:rsid w:val="00AF2C82"/>
    <w:rsid w:val="00AF2CE1"/>
    <w:rsid w:val="00AF2D5B"/>
    <w:rsid w:val="00AF2F55"/>
    <w:rsid w:val="00AF3029"/>
    <w:rsid w:val="00AF314C"/>
    <w:rsid w:val="00AF31D3"/>
    <w:rsid w:val="00AF3393"/>
    <w:rsid w:val="00AF3468"/>
    <w:rsid w:val="00AF347D"/>
    <w:rsid w:val="00AF34DA"/>
    <w:rsid w:val="00AF3514"/>
    <w:rsid w:val="00AF37F6"/>
    <w:rsid w:val="00AF3872"/>
    <w:rsid w:val="00AF38FA"/>
    <w:rsid w:val="00AF3949"/>
    <w:rsid w:val="00AF3AAA"/>
    <w:rsid w:val="00AF3AEE"/>
    <w:rsid w:val="00AF3B77"/>
    <w:rsid w:val="00AF3BD5"/>
    <w:rsid w:val="00AF3BDD"/>
    <w:rsid w:val="00AF3DA6"/>
    <w:rsid w:val="00AF3DED"/>
    <w:rsid w:val="00AF3ED2"/>
    <w:rsid w:val="00AF4083"/>
    <w:rsid w:val="00AF40A0"/>
    <w:rsid w:val="00AF40B1"/>
    <w:rsid w:val="00AF40D3"/>
    <w:rsid w:val="00AF41E0"/>
    <w:rsid w:val="00AF4207"/>
    <w:rsid w:val="00AF421F"/>
    <w:rsid w:val="00AF438D"/>
    <w:rsid w:val="00AF43D9"/>
    <w:rsid w:val="00AF4459"/>
    <w:rsid w:val="00AF449E"/>
    <w:rsid w:val="00AF44B5"/>
    <w:rsid w:val="00AF44F9"/>
    <w:rsid w:val="00AF460D"/>
    <w:rsid w:val="00AF463F"/>
    <w:rsid w:val="00AF46AE"/>
    <w:rsid w:val="00AF47C3"/>
    <w:rsid w:val="00AF480E"/>
    <w:rsid w:val="00AF4A31"/>
    <w:rsid w:val="00AF4A48"/>
    <w:rsid w:val="00AF4BB1"/>
    <w:rsid w:val="00AF4BB4"/>
    <w:rsid w:val="00AF4BE6"/>
    <w:rsid w:val="00AF4D23"/>
    <w:rsid w:val="00AF4E8D"/>
    <w:rsid w:val="00AF4F77"/>
    <w:rsid w:val="00AF5038"/>
    <w:rsid w:val="00AF522C"/>
    <w:rsid w:val="00AF526A"/>
    <w:rsid w:val="00AF5344"/>
    <w:rsid w:val="00AF5465"/>
    <w:rsid w:val="00AF5474"/>
    <w:rsid w:val="00AF55AD"/>
    <w:rsid w:val="00AF5605"/>
    <w:rsid w:val="00AF5619"/>
    <w:rsid w:val="00AF5756"/>
    <w:rsid w:val="00AF579D"/>
    <w:rsid w:val="00AF57AE"/>
    <w:rsid w:val="00AF5810"/>
    <w:rsid w:val="00AF58B7"/>
    <w:rsid w:val="00AF59A9"/>
    <w:rsid w:val="00AF59AF"/>
    <w:rsid w:val="00AF59D7"/>
    <w:rsid w:val="00AF5A3D"/>
    <w:rsid w:val="00AF5CEC"/>
    <w:rsid w:val="00AF5E0C"/>
    <w:rsid w:val="00AF60A8"/>
    <w:rsid w:val="00AF6282"/>
    <w:rsid w:val="00AF62C4"/>
    <w:rsid w:val="00AF62F5"/>
    <w:rsid w:val="00AF643B"/>
    <w:rsid w:val="00AF6452"/>
    <w:rsid w:val="00AF64D2"/>
    <w:rsid w:val="00AF64FD"/>
    <w:rsid w:val="00AF662F"/>
    <w:rsid w:val="00AF6644"/>
    <w:rsid w:val="00AF66AC"/>
    <w:rsid w:val="00AF686D"/>
    <w:rsid w:val="00AF68BA"/>
    <w:rsid w:val="00AF69B4"/>
    <w:rsid w:val="00AF6A85"/>
    <w:rsid w:val="00AF6AEF"/>
    <w:rsid w:val="00AF6C0D"/>
    <w:rsid w:val="00AF6DCE"/>
    <w:rsid w:val="00AF6E7A"/>
    <w:rsid w:val="00AF6EDA"/>
    <w:rsid w:val="00AF6EE8"/>
    <w:rsid w:val="00AF7024"/>
    <w:rsid w:val="00AF720E"/>
    <w:rsid w:val="00AF7234"/>
    <w:rsid w:val="00AF72BF"/>
    <w:rsid w:val="00AF72DB"/>
    <w:rsid w:val="00AF73D1"/>
    <w:rsid w:val="00AF73FC"/>
    <w:rsid w:val="00AF7407"/>
    <w:rsid w:val="00AF767B"/>
    <w:rsid w:val="00AF7786"/>
    <w:rsid w:val="00AF778E"/>
    <w:rsid w:val="00AF77E2"/>
    <w:rsid w:val="00AF784A"/>
    <w:rsid w:val="00AF789D"/>
    <w:rsid w:val="00AF79D4"/>
    <w:rsid w:val="00AF7A1E"/>
    <w:rsid w:val="00AF7AA3"/>
    <w:rsid w:val="00AF7B50"/>
    <w:rsid w:val="00AF7BD0"/>
    <w:rsid w:val="00AF7BD8"/>
    <w:rsid w:val="00AF7BDE"/>
    <w:rsid w:val="00AF7C49"/>
    <w:rsid w:val="00AF7EA8"/>
    <w:rsid w:val="00B0002B"/>
    <w:rsid w:val="00B00036"/>
    <w:rsid w:val="00B00216"/>
    <w:rsid w:val="00B00319"/>
    <w:rsid w:val="00B00421"/>
    <w:rsid w:val="00B005AF"/>
    <w:rsid w:val="00B00673"/>
    <w:rsid w:val="00B00690"/>
    <w:rsid w:val="00B00885"/>
    <w:rsid w:val="00B009B3"/>
    <w:rsid w:val="00B009CE"/>
    <w:rsid w:val="00B00AE2"/>
    <w:rsid w:val="00B00D09"/>
    <w:rsid w:val="00B00DC5"/>
    <w:rsid w:val="00B00E37"/>
    <w:rsid w:val="00B00E6D"/>
    <w:rsid w:val="00B00E75"/>
    <w:rsid w:val="00B00E7A"/>
    <w:rsid w:val="00B00F46"/>
    <w:rsid w:val="00B01011"/>
    <w:rsid w:val="00B01080"/>
    <w:rsid w:val="00B010C8"/>
    <w:rsid w:val="00B012FE"/>
    <w:rsid w:val="00B013BA"/>
    <w:rsid w:val="00B014F8"/>
    <w:rsid w:val="00B01560"/>
    <w:rsid w:val="00B015AB"/>
    <w:rsid w:val="00B016C5"/>
    <w:rsid w:val="00B016F2"/>
    <w:rsid w:val="00B01700"/>
    <w:rsid w:val="00B017CE"/>
    <w:rsid w:val="00B018AF"/>
    <w:rsid w:val="00B018E6"/>
    <w:rsid w:val="00B01A62"/>
    <w:rsid w:val="00B01DEC"/>
    <w:rsid w:val="00B01E3A"/>
    <w:rsid w:val="00B01ED6"/>
    <w:rsid w:val="00B01FB7"/>
    <w:rsid w:val="00B020FE"/>
    <w:rsid w:val="00B02359"/>
    <w:rsid w:val="00B023D4"/>
    <w:rsid w:val="00B024A0"/>
    <w:rsid w:val="00B024BD"/>
    <w:rsid w:val="00B024D1"/>
    <w:rsid w:val="00B02652"/>
    <w:rsid w:val="00B02664"/>
    <w:rsid w:val="00B02730"/>
    <w:rsid w:val="00B02753"/>
    <w:rsid w:val="00B027FE"/>
    <w:rsid w:val="00B02876"/>
    <w:rsid w:val="00B02895"/>
    <w:rsid w:val="00B0294F"/>
    <w:rsid w:val="00B029AD"/>
    <w:rsid w:val="00B029D1"/>
    <w:rsid w:val="00B02AC1"/>
    <w:rsid w:val="00B02ACB"/>
    <w:rsid w:val="00B02AEC"/>
    <w:rsid w:val="00B02B4F"/>
    <w:rsid w:val="00B02B50"/>
    <w:rsid w:val="00B02CA7"/>
    <w:rsid w:val="00B02CD8"/>
    <w:rsid w:val="00B02D87"/>
    <w:rsid w:val="00B02DDD"/>
    <w:rsid w:val="00B02EFD"/>
    <w:rsid w:val="00B02FB8"/>
    <w:rsid w:val="00B0319E"/>
    <w:rsid w:val="00B032A3"/>
    <w:rsid w:val="00B03335"/>
    <w:rsid w:val="00B0335E"/>
    <w:rsid w:val="00B03407"/>
    <w:rsid w:val="00B0345B"/>
    <w:rsid w:val="00B03461"/>
    <w:rsid w:val="00B035A2"/>
    <w:rsid w:val="00B0370A"/>
    <w:rsid w:val="00B038B2"/>
    <w:rsid w:val="00B03962"/>
    <w:rsid w:val="00B0398F"/>
    <w:rsid w:val="00B039A7"/>
    <w:rsid w:val="00B03A89"/>
    <w:rsid w:val="00B03AAA"/>
    <w:rsid w:val="00B03BAF"/>
    <w:rsid w:val="00B03D5B"/>
    <w:rsid w:val="00B03DAE"/>
    <w:rsid w:val="00B03ED6"/>
    <w:rsid w:val="00B03FB1"/>
    <w:rsid w:val="00B040A8"/>
    <w:rsid w:val="00B0415B"/>
    <w:rsid w:val="00B04223"/>
    <w:rsid w:val="00B0424D"/>
    <w:rsid w:val="00B0426E"/>
    <w:rsid w:val="00B0428F"/>
    <w:rsid w:val="00B04310"/>
    <w:rsid w:val="00B0436D"/>
    <w:rsid w:val="00B0447A"/>
    <w:rsid w:val="00B04567"/>
    <w:rsid w:val="00B0462C"/>
    <w:rsid w:val="00B0464D"/>
    <w:rsid w:val="00B046DE"/>
    <w:rsid w:val="00B04747"/>
    <w:rsid w:val="00B04809"/>
    <w:rsid w:val="00B048DB"/>
    <w:rsid w:val="00B0491A"/>
    <w:rsid w:val="00B04C0F"/>
    <w:rsid w:val="00B04DBE"/>
    <w:rsid w:val="00B04F46"/>
    <w:rsid w:val="00B0506B"/>
    <w:rsid w:val="00B05075"/>
    <w:rsid w:val="00B05098"/>
    <w:rsid w:val="00B051B4"/>
    <w:rsid w:val="00B051C2"/>
    <w:rsid w:val="00B051EC"/>
    <w:rsid w:val="00B05295"/>
    <w:rsid w:val="00B053CD"/>
    <w:rsid w:val="00B05440"/>
    <w:rsid w:val="00B05694"/>
    <w:rsid w:val="00B0569F"/>
    <w:rsid w:val="00B05A60"/>
    <w:rsid w:val="00B05B79"/>
    <w:rsid w:val="00B05CAC"/>
    <w:rsid w:val="00B05D88"/>
    <w:rsid w:val="00B05EA7"/>
    <w:rsid w:val="00B05F1C"/>
    <w:rsid w:val="00B05FE4"/>
    <w:rsid w:val="00B060FF"/>
    <w:rsid w:val="00B06152"/>
    <w:rsid w:val="00B06513"/>
    <w:rsid w:val="00B06609"/>
    <w:rsid w:val="00B0663D"/>
    <w:rsid w:val="00B066FE"/>
    <w:rsid w:val="00B06706"/>
    <w:rsid w:val="00B0678A"/>
    <w:rsid w:val="00B0685A"/>
    <w:rsid w:val="00B068A9"/>
    <w:rsid w:val="00B06AF8"/>
    <w:rsid w:val="00B06C50"/>
    <w:rsid w:val="00B06D4A"/>
    <w:rsid w:val="00B06DBA"/>
    <w:rsid w:val="00B06EAB"/>
    <w:rsid w:val="00B06F41"/>
    <w:rsid w:val="00B07046"/>
    <w:rsid w:val="00B07083"/>
    <w:rsid w:val="00B07102"/>
    <w:rsid w:val="00B0730C"/>
    <w:rsid w:val="00B07564"/>
    <w:rsid w:val="00B07576"/>
    <w:rsid w:val="00B075DB"/>
    <w:rsid w:val="00B076A5"/>
    <w:rsid w:val="00B078CE"/>
    <w:rsid w:val="00B07ACC"/>
    <w:rsid w:val="00B07B6B"/>
    <w:rsid w:val="00B07BEC"/>
    <w:rsid w:val="00B07C3B"/>
    <w:rsid w:val="00B07D02"/>
    <w:rsid w:val="00B07D74"/>
    <w:rsid w:val="00B07D82"/>
    <w:rsid w:val="00B07E29"/>
    <w:rsid w:val="00B07F0C"/>
    <w:rsid w:val="00B07F72"/>
    <w:rsid w:val="00B07FF2"/>
    <w:rsid w:val="00B07FF7"/>
    <w:rsid w:val="00B1009E"/>
    <w:rsid w:val="00B1011D"/>
    <w:rsid w:val="00B1021B"/>
    <w:rsid w:val="00B10280"/>
    <w:rsid w:val="00B102CD"/>
    <w:rsid w:val="00B1042A"/>
    <w:rsid w:val="00B104DA"/>
    <w:rsid w:val="00B105D9"/>
    <w:rsid w:val="00B108F9"/>
    <w:rsid w:val="00B1090C"/>
    <w:rsid w:val="00B109DB"/>
    <w:rsid w:val="00B10A9C"/>
    <w:rsid w:val="00B10C22"/>
    <w:rsid w:val="00B10D3C"/>
    <w:rsid w:val="00B10DB4"/>
    <w:rsid w:val="00B10E39"/>
    <w:rsid w:val="00B10E84"/>
    <w:rsid w:val="00B10F21"/>
    <w:rsid w:val="00B10F6C"/>
    <w:rsid w:val="00B1101C"/>
    <w:rsid w:val="00B11089"/>
    <w:rsid w:val="00B110F1"/>
    <w:rsid w:val="00B11194"/>
    <w:rsid w:val="00B111A5"/>
    <w:rsid w:val="00B1143F"/>
    <w:rsid w:val="00B114C2"/>
    <w:rsid w:val="00B114D6"/>
    <w:rsid w:val="00B11551"/>
    <w:rsid w:val="00B1163C"/>
    <w:rsid w:val="00B1164E"/>
    <w:rsid w:val="00B1166A"/>
    <w:rsid w:val="00B116C3"/>
    <w:rsid w:val="00B11817"/>
    <w:rsid w:val="00B118C0"/>
    <w:rsid w:val="00B119CB"/>
    <w:rsid w:val="00B119F7"/>
    <w:rsid w:val="00B11ADD"/>
    <w:rsid w:val="00B11CD6"/>
    <w:rsid w:val="00B11D60"/>
    <w:rsid w:val="00B11D6A"/>
    <w:rsid w:val="00B11E9E"/>
    <w:rsid w:val="00B11EB6"/>
    <w:rsid w:val="00B11EE2"/>
    <w:rsid w:val="00B11EEE"/>
    <w:rsid w:val="00B11EF4"/>
    <w:rsid w:val="00B11F3A"/>
    <w:rsid w:val="00B11FF0"/>
    <w:rsid w:val="00B12023"/>
    <w:rsid w:val="00B120B2"/>
    <w:rsid w:val="00B120B3"/>
    <w:rsid w:val="00B1213C"/>
    <w:rsid w:val="00B1227F"/>
    <w:rsid w:val="00B123B7"/>
    <w:rsid w:val="00B124E5"/>
    <w:rsid w:val="00B124F2"/>
    <w:rsid w:val="00B12559"/>
    <w:rsid w:val="00B1257E"/>
    <w:rsid w:val="00B1261B"/>
    <w:rsid w:val="00B12630"/>
    <w:rsid w:val="00B1269E"/>
    <w:rsid w:val="00B1276A"/>
    <w:rsid w:val="00B1278B"/>
    <w:rsid w:val="00B1284A"/>
    <w:rsid w:val="00B129B2"/>
    <w:rsid w:val="00B12A00"/>
    <w:rsid w:val="00B12A07"/>
    <w:rsid w:val="00B12A8E"/>
    <w:rsid w:val="00B12B2F"/>
    <w:rsid w:val="00B12D0F"/>
    <w:rsid w:val="00B12FDC"/>
    <w:rsid w:val="00B12FE7"/>
    <w:rsid w:val="00B13027"/>
    <w:rsid w:val="00B13089"/>
    <w:rsid w:val="00B13090"/>
    <w:rsid w:val="00B13096"/>
    <w:rsid w:val="00B1317D"/>
    <w:rsid w:val="00B131A6"/>
    <w:rsid w:val="00B13306"/>
    <w:rsid w:val="00B13417"/>
    <w:rsid w:val="00B13429"/>
    <w:rsid w:val="00B134B8"/>
    <w:rsid w:val="00B13749"/>
    <w:rsid w:val="00B1389D"/>
    <w:rsid w:val="00B1399E"/>
    <w:rsid w:val="00B139E8"/>
    <w:rsid w:val="00B13A6F"/>
    <w:rsid w:val="00B13A87"/>
    <w:rsid w:val="00B13ADE"/>
    <w:rsid w:val="00B13B79"/>
    <w:rsid w:val="00B13B93"/>
    <w:rsid w:val="00B13E7D"/>
    <w:rsid w:val="00B13FC6"/>
    <w:rsid w:val="00B140ED"/>
    <w:rsid w:val="00B14165"/>
    <w:rsid w:val="00B14212"/>
    <w:rsid w:val="00B14253"/>
    <w:rsid w:val="00B14295"/>
    <w:rsid w:val="00B14375"/>
    <w:rsid w:val="00B143AC"/>
    <w:rsid w:val="00B14452"/>
    <w:rsid w:val="00B14472"/>
    <w:rsid w:val="00B1452D"/>
    <w:rsid w:val="00B145D5"/>
    <w:rsid w:val="00B14637"/>
    <w:rsid w:val="00B14646"/>
    <w:rsid w:val="00B1495C"/>
    <w:rsid w:val="00B14A1D"/>
    <w:rsid w:val="00B14B8B"/>
    <w:rsid w:val="00B14CAF"/>
    <w:rsid w:val="00B14CC1"/>
    <w:rsid w:val="00B14CD8"/>
    <w:rsid w:val="00B14E00"/>
    <w:rsid w:val="00B15058"/>
    <w:rsid w:val="00B15075"/>
    <w:rsid w:val="00B150C2"/>
    <w:rsid w:val="00B15129"/>
    <w:rsid w:val="00B15149"/>
    <w:rsid w:val="00B1535C"/>
    <w:rsid w:val="00B154F5"/>
    <w:rsid w:val="00B1573E"/>
    <w:rsid w:val="00B1585E"/>
    <w:rsid w:val="00B15985"/>
    <w:rsid w:val="00B15A12"/>
    <w:rsid w:val="00B15B1F"/>
    <w:rsid w:val="00B15CAD"/>
    <w:rsid w:val="00B15CD9"/>
    <w:rsid w:val="00B15DF7"/>
    <w:rsid w:val="00B15F5A"/>
    <w:rsid w:val="00B161AF"/>
    <w:rsid w:val="00B1628F"/>
    <w:rsid w:val="00B1634A"/>
    <w:rsid w:val="00B16357"/>
    <w:rsid w:val="00B164B9"/>
    <w:rsid w:val="00B16560"/>
    <w:rsid w:val="00B1678B"/>
    <w:rsid w:val="00B16810"/>
    <w:rsid w:val="00B169CA"/>
    <w:rsid w:val="00B16B3D"/>
    <w:rsid w:val="00B16B98"/>
    <w:rsid w:val="00B16BD0"/>
    <w:rsid w:val="00B16C84"/>
    <w:rsid w:val="00B16DA2"/>
    <w:rsid w:val="00B16FFC"/>
    <w:rsid w:val="00B17000"/>
    <w:rsid w:val="00B1705F"/>
    <w:rsid w:val="00B17144"/>
    <w:rsid w:val="00B17204"/>
    <w:rsid w:val="00B1725B"/>
    <w:rsid w:val="00B1728F"/>
    <w:rsid w:val="00B17352"/>
    <w:rsid w:val="00B17359"/>
    <w:rsid w:val="00B174EB"/>
    <w:rsid w:val="00B17529"/>
    <w:rsid w:val="00B1757F"/>
    <w:rsid w:val="00B1759D"/>
    <w:rsid w:val="00B176FC"/>
    <w:rsid w:val="00B17708"/>
    <w:rsid w:val="00B17731"/>
    <w:rsid w:val="00B177B1"/>
    <w:rsid w:val="00B17858"/>
    <w:rsid w:val="00B178CE"/>
    <w:rsid w:val="00B17983"/>
    <w:rsid w:val="00B17A23"/>
    <w:rsid w:val="00B17A6E"/>
    <w:rsid w:val="00B17AAF"/>
    <w:rsid w:val="00B17CF6"/>
    <w:rsid w:val="00B17F7D"/>
    <w:rsid w:val="00B17FA9"/>
    <w:rsid w:val="00B2010F"/>
    <w:rsid w:val="00B2012A"/>
    <w:rsid w:val="00B2022E"/>
    <w:rsid w:val="00B202DA"/>
    <w:rsid w:val="00B202F3"/>
    <w:rsid w:val="00B2048A"/>
    <w:rsid w:val="00B20615"/>
    <w:rsid w:val="00B2062C"/>
    <w:rsid w:val="00B20695"/>
    <w:rsid w:val="00B20717"/>
    <w:rsid w:val="00B209B9"/>
    <w:rsid w:val="00B20C7C"/>
    <w:rsid w:val="00B20DDC"/>
    <w:rsid w:val="00B20F61"/>
    <w:rsid w:val="00B20FC1"/>
    <w:rsid w:val="00B20FD3"/>
    <w:rsid w:val="00B21024"/>
    <w:rsid w:val="00B21122"/>
    <w:rsid w:val="00B2118C"/>
    <w:rsid w:val="00B21221"/>
    <w:rsid w:val="00B215E2"/>
    <w:rsid w:val="00B2163E"/>
    <w:rsid w:val="00B21693"/>
    <w:rsid w:val="00B216B3"/>
    <w:rsid w:val="00B21727"/>
    <w:rsid w:val="00B21787"/>
    <w:rsid w:val="00B21D69"/>
    <w:rsid w:val="00B21DEF"/>
    <w:rsid w:val="00B21E63"/>
    <w:rsid w:val="00B21ED7"/>
    <w:rsid w:val="00B21F09"/>
    <w:rsid w:val="00B21F49"/>
    <w:rsid w:val="00B21F5A"/>
    <w:rsid w:val="00B21F7E"/>
    <w:rsid w:val="00B2203F"/>
    <w:rsid w:val="00B220EF"/>
    <w:rsid w:val="00B22162"/>
    <w:rsid w:val="00B221F1"/>
    <w:rsid w:val="00B2221F"/>
    <w:rsid w:val="00B22321"/>
    <w:rsid w:val="00B223E6"/>
    <w:rsid w:val="00B22585"/>
    <w:rsid w:val="00B226A3"/>
    <w:rsid w:val="00B2270D"/>
    <w:rsid w:val="00B2296D"/>
    <w:rsid w:val="00B2299B"/>
    <w:rsid w:val="00B229A0"/>
    <w:rsid w:val="00B22DA0"/>
    <w:rsid w:val="00B22FD6"/>
    <w:rsid w:val="00B2307F"/>
    <w:rsid w:val="00B23111"/>
    <w:rsid w:val="00B23113"/>
    <w:rsid w:val="00B2311C"/>
    <w:rsid w:val="00B2311E"/>
    <w:rsid w:val="00B23250"/>
    <w:rsid w:val="00B23281"/>
    <w:rsid w:val="00B23326"/>
    <w:rsid w:val="00B23359"/>
    <w:rsid w:val="00B233E4"/>
    <w:rsid w:val="00B23570"/>
    <w:rsid w:val="00B235B1"/>
    <w:rsid w:val="00B23781"/>
    <w:rsid w:val="00B237B1"/>
    <w:rsid w:val="00B237CF"/>
    <w:rsid w:val="00B23833"/>
    <w:rsid w:val="00B23950"/>
    <w:rsid w:val="00B2397D"/>
    <w:rsid w:val="00B239FC"/>
    <w:rsid w:val="00B23AC9"/>
    <w:rsid w:val="00B23C55"/>
    <w:rsid w:val="00B23C8A"/>
    <w:rsid w:val="00B23D5F"/>
    <w:rsid w:val="00B23FF9"/>
    <w:rsid w:val="00B2406A"/>
    <w:rsid w:val="00B2409C"/>
    <w:rsid w:val="00B240D7"/>
    <w:rsid w:val="00B240E1"/>
    <w:rsid w:val="00B240E6"/>
    <w:rsid w:val="00B241E2"/>
    <w:rsid w:val="00B241E5"/>
    <w:rsid w:val="00B241E7"/>
    <w:rsid w:val="00B2425E"/>
    <w:rsid w:val="00B24272"/>
    <w:rsid w:val="00B24290"/>
    <w:rsid w:val="00B247CC"/>
    <w:rsid w:val="00B248C8"/>
    <w:rsid w:val="00B249B2"/>
    <w:rsid w:val="00B24B11"/>
    <w:rsid w:val="00B24C77"/>
    <w:rsid w:val="00B24D61"/>
    <w:rsid w:val="00B24DE5"/>
    <w:rsid w:val="00B24DF0"/>
    <w:rsid w:val="00B24EC2"/>
    <w:rsid w:val="00B24F51"/>
    <w:rsid w:val="00B24F98"/>
    <w:rsid w:val="00B24FFE"/>
    <w:rsid w:val="00B25098"/>
    <w:rsid w:val="00B25199"/>
    <w:rsid w:val="00B251B4"/>
    <w:rsid w:val="00B2524D"/>
    <w:rsid w:val="00B2545E"/>
    <w:rsid w:val="00B2546F"/>
    <w:rsid w:val="00B25483"/>
    <w:rsid w:val="00B25521"/>
    <w:rsid w:val="00B25533"/>
    <w:rsid w:val="00B25634"/>
    <w:rsid w:val="00B2569D"/>
    <w:rsid w:val="00B256ED"/>
    <w:rsid w:val="00B2573D"/>
    <w:rsid w:val="00B25784"/>
    <w:rsid w:val="00B257D9"/>
    <w:rsid w:val="00B25900"/>
    <w:rsid w:val="00B25952"/>
    <w:rsid w:val="00B25AB4"/>
    <w:rsid w:val="00B25C3D"/>
    <w:rsid w:val="00B25C9F"/>
    <w:rsid w:val="00B25D93"/>
    <w:rsid w:val="00B25DD8"/>
    <w:rsid w:val="00B25E20"/>
    <w:rsid w:val="00B25ECC"/>
    <w:rsid w:val="00B25EE3"/>
    <w:rsid w:val="00B25F6A"/>
    <w:rsid w:val="00B25F95"/>
    <w:rsid w:val="00B25FAA"/>
    <w:rsid w:val="00B25FBF"/>
    <w:rsid w:val="00B26039"/>
    <w:rsid w:val="00B26120"/>
    <w:rsid w:val="00B2623C"/>
    <w:rsid w:val="00B2623D"/>
    <w:rsid w:val="00B262CC"/>
    <w:rsid w:val="00B262D7"/>
    <w:rsid w:val="00B263C6"/>
    <w:rsid w:val="00B26445"/>
    <w:rsid w:val="00B26609"/>
    <w:rsid w:val="00B26642"/>
    <w:rsid w:val="00B26754"/>
    <w:rsid w:val="00B26817"/>
    <w:rsid w:val="00B26884"/>
    <w:rsid w:val="00B268E2"/>
    <w:rsid w:val="00B26A7F"/>
    <w:rsid w:val="00B26C9A"/>
    <w:rsid w:val="00B26CC4"/>
    <w:rsid w:val="00B26EF1"/>
    <w:rsid w:val="00B2722E"/>
    <w:rsid w:val="00B27580"/>
    <w:rsid w:val="00B275EA"/>
    <w:rsid w:val="00B276EC"/>
    <w:rsid w:val="00B27754"/>
    <w:rsid w:val="00B2785B"/>
    <w:rsid w:val="00B279DE"/>
    <w:rsid w:val="00B279F8"/>
    <w:rsid w:val="00B27A30"/>
    <w:rsid w:val="00B27AB8"/>
    <w:rsid w:val="00B27B41"/>
    <w:rsid w:val="00B27C06"/>
    <w:rsid w:val="00B27CDB"/>
    <w:rsid w:val="00B27D93"/>
    <w:rsid w:val="00B27DAE"/>
    <w:rsid w:val="00B27F4E"/>
    <w:rsid w:val="00B27F73"/>
    <w:rsid w:val="00B300C8"/>
    <w:rsid w:val="00B300FF"/>
    <w:rsid w:val="00B301F4"/>
    <w:rsid w:val="00B30340"/>
    <w:rsid w:val="00B303C2"/>
    <w:rsid w:val="00B304D5"/>
    <w:rsid w:val="00B3053F"/>
    <w:rsid w:val="00B30550"/>
    <w:rsid w:val="00B30577"/>
    <w:rsid w:val="00B30599"/>
    <w:rsid w:val="00B306C6"/>
    <w:rsid w:val="00B307DB"/>
    <w:rsid w:val="00B30978"/>
    <w:rsid w:val="00B309B8"/>
    <w:rsid w:val="00B30A14"/>
    <w:rsid w:val="00B30C0F"/>
    <w:rsid w:val="00B30CF5"/>
    <w:rsid w:val="00B30E23"/>
    <w:rsid w:val="00B30F9A"/>
    <w:rsid w:val="00B310A6"/>
    <w:rsid w:val="00B31129"/>
    <w:rsid w:val="00B313E0"/>
    <w:rsid w:val="00B314A7"/>
    <w:rsid w:val="00B3171F"/>
    <w:rsid w:val="00B318A2"/>
    <w:rsid w:val="00B318A8"/>
    <w:rsid w:val="00B3195D"/>
    <w:rsid w:val="00B319B1"/>
    <w:rsid w:val="00B31AD3"/>
    <w:rsid w:val="00B31D31"/>
    <w:rsid w:val="00B320C3"/>
    <w:rsid w:val="00B320C5"/>
    <w:rsid w:val="00B3215B"/>
    <w:rsid w:val="00B321E0"/>
    <w:rsid w:val="00B32232"/>
    <w:rsid w:val="00B32391"/>
    <w:rsid w:val="00B323DB"/>
    <w:rsid w:val="00B32410"/>
    <w:rsid w:val="00B3243D"/>
    <w:rsid w:val="00B3292C"/>
    <w:rsid w:val="00B32A09"/>
    <w:rsid w:val="00B32A17"/>
    <w:rsid w:val="00B32B20"/>
    <w:rsid w:val="00B32BF5"/>
    <w:rsid w:val="00B32C26"/>
    <w:rsid w:val="00B32E1B"/>
    <w:rsid w:val="00B32E74"/>
    <w:rsid w:val="00B32EBC"/>
    <w:rsid w:val="00B3300A"/>
    <w:rsid w:val="00B332DF"/>
    <w:rsid w:val="00B3335B"/>
    <w:rsid w:val="00B3342B"/>
    <w:rsid w:val="00B33471"/>
    <w:rsid w:val="00B33554"/>
    <w:rsid w:val="00B337AC"/>
    <w:rsid w:val="00B3380D"/>
    <w:rsid w:val="00B338DA"/>
    <w:rsid w:val="00B33901"/>
    <w:rsid w:val="00B33A2B"/>
    <w:rsid w:val="00B33AC5"/>
    <w:rsid w:val="00B33CC7"/>
    <w:rsid w:val="00B33CF9"/>
    <w:rsid w:val="00B33D27"/>
    <w:rsid w:val="00B33D6D"/>
    <w:rsid w:val="00B33F58"/>
    <w:rsid w:val="00B33FB5"/>
    <w:rsid w:val="00B34053"/>
    <w:rsid w:val="00B34097"/>
    <w:rsid w:val="00B34479"/>
    <w:rsid w:val="00B344EA"/>
    <w:rsid w:val="00B3458F"/>
    <w:rsid w:val="00B34736"/>
    <w:rsid w:val="00B347F2"/>
    <w:rsid w:val="00B348A3"/>
    <w:rsid w:val="00B34992"/>
    <w:rsid w:val="00B34A23"/>
    <w:rsid w:val="00B34AC9"/>
    <w:rsid w:val="00B34B0F"/>
    <w:rsid w:val="00B34CDB"/>
    <w:rsid w:val="00B34E92"/>
    <w:rsid w:val="00B34F0C"/>
    <w:rsid w:val="00B35037"/>
    <w:rsid w:val="00B351D3"/>
    <w:rsid w:val="00B35243"/>
    <w:rsid w:val="00B352EE"/>
    <w:rsid w:val="00B35470"/>
    <w:rsid w:val="00B355E1"/>
    <w:rsid w:val="00B35607"/>
    <w:rsid w:val="00B35756"/>
    <w:rsid w:val="00B35797"/>
    <w:rsid w:val="00B35800"/>
    <w:rsid w:val="00B3592E"/>
    <w:rsid w:val="00B35965"/>
    <w:rsid w:val="00B3596E"/>
    <w:rsid w:val="00B35A19"/>
    <w:rsid w:val="00B35A6D"/>
    <w:rsid w:val="00B35B10"/>
    <w:rsid w:val="00B35D04"/>
    <w:rsid w:val="00B35D19"/>
    <w:rsid w:val="00B35E5F"/>
    <w:rsid w:val="00B35EF6"/>
    <w:rsid w:val="00B360A2"/>
    <w:rsid w:val="00B361C5"/>
    <w:rsid w:val="00B36264"/>
    <w:rsid w:val="00B36302"/>
    <w:rsid w:val="00B363A1"/>
    <w:rsid w:val="00B363B4"/>
    <w:rsid w:val="00B36431"/>
    <w:rsid w:val="00B36663"/>
    <w:rsid w:val="00B36858"/>
    <w:rsid w:val="00B36945"/>
    <w:rsid w:val="00B3697D"/>
    <w:rsid w:val="00B36A74"/>
    <w:rsid w:val="00B36B05"/>
    <w:rsid w:val="00B36B13"/>
    <w:rsid w:val="00B36DCA"/>
    <w:rsid w:val="00B36E17"/>
    <w:rsid w:val="00B36EAD"/>
    <w:rsid w:val="00B36F59"/>
    <w:rsid w:val="00B3706E"/>
    <w:rsid w:val="00B370B0"/>
    <w:rsid w:val="00B37158"/>
    <w:rsid w:val="00B371D1"/>
    <w:rsid w:val="00B37222"/>
    <w:rsid w:val="00B37238"/>
    <w:rsid w:val="00B3729C"/>
    <w:rsid w:val="00B37314"/>
    <w:rsid w:val="00B3732E"/>
    <w:rsid w:val="00B373F8"/>
    <w:rsid w:val="00B37538"/>
    <w:rsid w:val="00B3757B"/>
    <w:rsid w:val="00B375CD"/>
    <w:rsid w:val="00B375FF"/>
    <w:rsid w:val="00B37620"/>
    <w:rsid w:val="00B376F6"/>
    <w:rsid w:val="00B37738"/>
    <w:rsid w:val="00B37817"/>
    <w:rsid w:val="00B378F3"/>
    <w:rsid w:val="00B3791B"/>
    <w:rsid w:val="00B37953"/>
    <w:rsid w:val="00B37B36"/>
    <w:rsid w:val="00B37B64"/>
    <w:rsid w:val="00B37B6D"/>
    <w:rsid w:val="00B37C31"/>
    <w:rsid w:val="00B37DFB"/>
    <w:rsid w:val="00B37F17"/>
    <w:rsid w:val="00B37F1C"/>
    <w:rsid w:val="00B40184"/>
    <w:rsid w:val="00B402DD"/>
    <w:rsid w:val="00B404D7"/>
    <w:rsid w:val="00B40690"/>
    <w:rsid w:val="00B406D5"/>
    <w:rsid w:val="00B4079F"/>
    <w:rsid w:val="00B407DE"/>
    <w:rsid w:val="00B408CA"/>
    <w:rsid w:val="00B4091E"/>
    <w:rsid w:val="00B4094D"/>
    <w:rsid w:val="00B409CF"/>
    <w:rsid w:val="00B40C12"/>
    <w:rsid w:val="00B40E0E"/>
    <w:rsid w:val="00B40E7D"/>
    <w:rsid w:val="00B40F69"/>
    <w:rsid w:val="00B41040"/>
    <w:rsid w:val="00B41254"/>
    <w:rsid w:val="00B41490"/>
    <w:rsid w:val="00B417FA"/>
    <w:rsid w:val="00B4181F"/>
    <w:rsid w:val="00B41892"/>
    <w:rsid w:val="00B418FC"/>
    <w:rsid w:val="00B4199C"/>
    <w:rsid w:val="00B419DD"/>
    <w:rsid w:val="00B41A6C"/>
    <w:rsid w:val="00B41B46"/>
    <w:rsid w:val="00B41B7C"/>
    <w:rsid w:val="00B41DDD"/>
    <w:rsid w:val="00B420AF"/>
    <w:rsid w:val="00B420B6"/>
    <w:rsid w:val="00B42147"/>
    <w:rsid w:val="00B42163"/>
    <w:rsid w:val="00B42242"/>
    <w:rsid w:val="00B42304"/>
    <w:rsid w:val="00B42306"/>
    <w:rsid w:val="00B424DF"/>
    <w:rsid w:val="00B4252A"/>
    <w:rsid w:val="00B427BB"/>
    <w:rsid w:val="00B42AA6"/>
    <w:rsid w:val="00B42D39"/>
    <w:rsid w:val="00B42E04"/>
    <w:rsid w:val="00B42E4A"/>
    <w:rsid w:val="00B42FEB"/>
    <w:rsid w:val="00B43263"/>
    <w:rsid w:val="00B432A1"/>
    <w:rsid w:val="00B432A3"/>
    <w:rsid w:val="00B4339A"/>
    <w:rsid w:val="00B434F7"/>
    <w:rsid w:val="00B4356B"/>
    <w:rsid w:val="00B43625"/>
    <w:rsid w:val="00B43661"/>
    <w:rsid w:val="00B43818"/>
    <w:rsid w:val="00B43885"/>
    <w:rsid w:val="00B43935"/>
    <w:rsid w:val="00B43BC3"/>
    <w:rsid w:val="00B43C4A"/>
    <w:rsid w:val="00B43CB0"/>
    <w:rsid w:val="00B43CED"/>
    <w:rsid w:val="00B43CFB"/>
    <w:rsid w:val="00B43EA0"/>
    <w:rsid w:val="00B43FB7"/>
    <w:rsid w:val="00B43FB8"/>
    <w:rsid w:val="00B43FB9"/>
    <w:rsid w:val="00B4409F"/>
    <w:rsid w:val="00B44117"/>
    <w:rsid w:val="00B44263"/>
    <w:rsid w:val="00B44383"/>
    <w:rsid w:val="00B4446C"/>
    <w:rsid w:val="00B44477"/>
    <w:rsid w:val="00B444D4"/>
    <w:rsid w:val="00B44525"/>
    <w:rsid w:val="00B4453C"/>
    <w:rsid w:val="00B4474C"/>
    <w:rsid w:val="00B44832"/>
    <w:rsid w:val="00B4485E"/>
    <w:rsid w:val="00B44868"/>
    <w:rsid w:val="00B448DE"/>
    <w:rsid w:val="00B44B0C"/>
    <w:rsid w:val="00B44B1D"/>
    <w:rsid w:val="00B44B94"/>
    <w:rsid w:val="00B44BF6"/>
    <w:rsid w:val="00B44D6A"/>
    <w:rsid w:val="00B44EEC"/>
    <w:rsid w:val="00B44F3F"/>
    <w:rsid w:val="00B44F55"/>
    <w:rsid w:val="00B44FA6"/>
    <w:rsid w:val="00B44FBA"/>
    <w:rsid w:val="00B451A1"/>
    <w:rsid w:val="00B45201"/>
    <w:rsid w:val="00B4548A"/>
    <w:rsid w:val="00B454B1"/>
    <w:rsid w:val="00B456F1"/>
    <w:rsid w:val="00B457FD"/>
    <w:rsid w:val="00B45833"/>
    <w:rsid w:val="00B45877"/>
    <w:rsid w:val="00B4594E"/>
    <w:rsid w:val="00B459E8"/>
    <w:rsid w:val="00B45A4F"/>
    <w:rsid w:val="00B45AA3"/>
    <w:rsid w:val="00B45C9E"/>
    <w:rsid w:val="00B45CEC"/>
    <w:rsid w:val="00B45D87"/>
    <w:rsid w:val="00B45E77"/>
    <w:rsid w:val="00B46052"/>
    <w:rsid w:val="00B460A5"/>
    <w:rsid w:val="00B46163"/>
    <w:rsid w:val="00B462BB"/>
    <w:rsid w:val="00B464F5"/>
    <w:rsid w:val="00B466C5"/>
    <w:rsid w:val="00B4680B"/>
    <w:rsid w:val="00B46939"/>
    <w:rsid w:val="00B46980"/>
    <w:rsid w:val="00B4698B"/>
    <w:rsid w:val="00B46A5C"/>
    <w:rsid w:val="00B46A86"/>
    <w:rsid w:val="00B46AB1"/>
    <w:rsid w:val="00B46CD6"/>
    <w:rsid w:val="00B46D47"/>
    <w:rsid w:val="00B46D56"/>
    <w:rsid w:val="00B46F55"/>
    <w:rsid w:val="00B47066"/>
    <w:rsid w:val="00B47081"/>
    <w:rsid w:val="00B47095"/>
    <w:rsid w:val="00B4709B"/>
    <w:rsid w:val="00B471BF"/>
    <w:rsid w:val="00B47366"/>
    <w:rsid w:val="00B473F1"/>
    <w:rsid w:val="00B474C7"/>
    <w:rsid w:val="00B47556"/>
    <w:rsid w:val="00B475AF"/>
    <w:rsid w:val="00B47639"/>
    <w:rsid w:val="00B477EB"/>
    <w:rsid w:val="00B47A0A"/>
    <w:rsid w:val="00B47ADF"/>
    <w:rsid w:val="00B47B51"/>
    <w:rsid w:val="00B47CD3"/>
    <w:rsid w:val="00B47F19"/>
    <w:rsid w:val="00B5028A"/>
    <w:rsid w:val="00B503B6"/>
    <w:rsid w:val="00B503F2"/>
    <w:rsid w:val="00B505D3"/>
    <w:rsid w:val="00B50638"/>
    <w:rsid w:val="00B50681"/>
    <w:rsid w:val="00B506B9"/>
    <w:rsid w:val="00B5075C"/>
    <w:rsid w:val="00B50877"/>
    <w:rsid w:val="00B508CA"/>
    <w:rsid w:val="00B50BCD"/>
    <w:rsid w:val="00B50DB4"/>
    <w:rsid w:val="00B50E67"/>
    <w:rsid w:val="00B50E79"/>
    <w:rsid w:val="00B50EB2"/>
    <w:rsid w:val="00B50EBB"/>
    <w:rsid w:val="00B510EC"/>
    <w:rsid w:val="00B51286"/>
    <w:rsid w:val="00B516DF"/>
    <w:rsid w:val="00B5176A"/>
    <w:rsid w:val="00B518D2"/>
    <w:rsid w:val="00B518E8"/>
    <w:rsid w:val="00B51FB4"/>
    <w:rsid w:val="00B520F9"/>
    <w:rsid w:val="00B522B6"/>
    <w:rsid w:val="00B524B3"/>
    <w:rsid w:val="00B524B9"/>
    <w:rsid w:val="00B52620"/>
    <w:rsid w:val="00B526C7"/>
    <w:rsid w:val="00B52737"/>
    <w:rsid w:val="00B5278C"/>
    <w:rsid w:val="00B52834"/>
    <w:rsid w:val="00B52A4F"/>
    <w:rsid w:val="00B52A52"/>
    <w:rsid w:val="00B52AC2"/>
    <w:rsid w:val="00B52B39"/>
    <w:rsid w:val="00B52BDD"/>
    <w:rsid w:val="00B52C5B"/>
    <w:rsid w:val="00B52DFF"/>
    <w:rsid w:val="00B52EF1"/>
    <w:rsid w:val="00B52EFC"/>
    <w:rsid w:val="00B52F93"/>
    <w:rsid w:val="00B5300B"/>
    <w:rsid w:val="00B531B1"/>
    <w:rsid w:val="00B5332E"/>
    <w:rsid w:val="00B5333C"/>
    <w:rsid w:val="00B53363"/>
    <w:rsid w:val="00B5336B"/>
    <w:rsid w:val="00B536B7"/>
    <w:rsid w:val="00B53754"/>
    <w:rsid w:val="00B5378D"/>
    <w:rsid w:val="00B53850"/>
    <w:rsid w:val="00B53999"/>
    <w:rsid w:val="00B53BCA"/>
    <w:rsid w:val="00B53BD6"/>
    <w:rsid w:val="00B53C08"/>
    <w:rsid w:val="00B53D0D"/>
    <w:rsid w:val="00B53E4B"/>
    <w:rsid w:val="00B53FE0"/>
    <w:rsid w:val="00B54053"/>
    <w:rsid w:val="00B54074"/>
    <w:rsid w:val="00B54166"/>
    <w:rsid w:val="00B54304"/>
    <w:rsid w:val="00B5434B"/>
    <w:rsid w:val="00B544C4"/>
    <w:rsid w:val="00B54529"/>
    <w:rsid w:val="00B5453C"/>
    <w:rsid w:val="00B545A6"/>
    <w:rsid w:val="00B54817"/>
    <w:rsid w:val="00B54990"/>
    <w:rsid w:val="00B54B60"/>
    <w:rsid w:val="00B54B6D"/>
    <w:rsid w:val="00B54C0A"/>
    <w:rsid w:val="00B54C3B"/>
    <w:rsid w:val="00B54D27"/>
    <w:rsid w:val="00B54DEF"/>
    <w:rsid w:val="00B54E98"/>
    <w:rsid w:val="00B54EEB"/>
    <w:rsid w:val="00B54F9D"/>
    <w:rsid w:val="00B5503E"/>
    <w:rsid w:val="00B550F8"/>
    <w:rsid w:val="00B55174"/>
    <w:rsid w:val="00B55302"/>
    <w:rsid w:val="00B5535E"/>
    <w:rsid w:val="00B55698"/>
    <w:rsid w:val="00B556C7"/>
    <w:rsid w:val="00B557E9"/>
    <w:rsid w:val="00B55800"/>
    <w:rsid w:val="00B55843"/>
    <w:rsid w:val="00B558BE"/>
    <w:rsid w:val="00B5591A"/>
    <w:rsid w:val="00B55950"/>
    <w:rsid w:val="00B559DE"/>
    <w:rsid w:val="00B55AB7"/>
    <w:rsid w:val="00B55B84"/>
    <w:rsid w:val="00B55BAF"/>
    <w:rsid w:val="00B55BF1"/>
    <w:rsid w:val="00B55D58"/>
    <w:rsid w:val="00B55D8E"/>
    <w:rsid w:val="00B55E07"/>
    <w:rsid w:val="00B55F14"/>
    <w:rsid w:val="00B56023"/>
    <w:rsid w:val="00B56115"/>
    <w:rsid w:val="00B56142"/>
    <w:rsid w:val="00B56153"/>
    <w:rsid w:val="00B5618A"/>
    <w:rsid w:val="00B5627F"/>
    <w:rsid w:val="00B56366"/>
    <w:rsid w:val="00B56443"/>
    <w:rsid w:val="00B56552"/>
    <w:rsid w:val="00B567FA"/>
    <w:rsid w:val="00B56847"/>
    <w:rsid w:val="00B568F1"/>
    <w:rsid w:val="00B56A01"/>
    <w:rsid w:val="00B56AFB"/>
    <w:rsid w:val="00B56B63"/>
    <w:rsid w:val="00B56C8C"/>
    <w:rsid w:val="00B56DF6"/>
    <w:rsid w:val="00B56E6D"/>
    <w:rsid w:val="00B56F94"/>
    <w:rsid w:val="00B57010"/>
    <w:rsid w:val="00B5706B"/>
    <w:rsid w:val="00B5707E"/>
    <w:rsid w:val="00B571B0"/>
    <w:rsid w:val="00B572B0"/>
    <w:rsid w:val="00B57314"/>
    <w:rsid w:val="00B5732C"/>
    <w:rsid w:val="00B5733D"/>
    <w:rsid w:val="00B57374"/>
    <w:rsid w:val="00B573FA"/>
    <w:rsid w:val="00B574F7"/>
    <w:rsid w:val="00B57588"/>
    <w:rsid w:val="00B578FD"/>
    <w:rsid w:val="00B57DD2"/>
    <w:rsid w:val="00B57FEB"/>
    <w:rsid w:val="00B60063"/>
    <w:rsid w:val="00B60103"/>
    <w:rsid w:val="00B601BC"/>
    <w:rsid w:val="00B60246"/>
    <w:rsid w:val="00B6029E"/>
    <w:rsid w:val="00B60536"/>
    <w:rsid w:val="00B6055D"/>
    <w:rsid w:val="00B6059F"/>
    <w:rsid w:val="00B605B9"/>
    <w:rsid w:val="00B60621"/>
    <w:rsid w:val="00B6079A"/>
    <w:rsid w:val="00B60826"/>
    <w:rsid w:val="00B60830"/>
    <w:rsid w:val="00B6098E"/>
    <w:rsid w:val="00B60B31"/>
    <w:rsid w:val="00B60CE9"/>
    <w:rsid w:val="00B60CF7"/>
    <w:rsid w:val="00B60D51"/>
    <w:rsid w:val="00B60DB2"/>
    <w:rsid w:val="00B60E4A"/>
    <w:rsid w:val="00B60E6A"/>
    <w:rsid w:val="00B60EBC"/>
    <w:rsid w:val="00B60EE9"/>
    <w:rsid w:val="00B60FC0"/>
    <w:rsid w:val="00B6104E"/>
    <w:rsid w:val="00B6113A"/>
    <w:rsid w:val="00B61260"/>
    <w:rsid w:val="00B61264"/>
    <w:rsid w:val="00B6126D"/>
    <w:rsid w:val="00B613CE"/>
    <w:rsid w:val="00B613D0"/>
    <w:rsid w:val="00B61577"/>
    <w:rsid w:val="00B6158C"/>
    <w:rsid w:val="00B615E0"/>
    <w:rsid w:val="00B618BE"/>
    <w:rsid w:val="00B618FC"/>
    <w:rsid w:val="00B61A4E"/>
    <w:rsid w:val="00B61B0B"/>
    <w:rsid w:val="00B61C9C"/>
    <w:rsid w:val="00B61F78"/>
    <w:rsid w:val="00B61FC5"/>
    <w:rsid w:val="00B62070"/>
    <w:rsid w:val="00B62138"/>
    <w:rsid w:val="00B6215F"/>
    <w:rsid w:val="00B62166"/>
    <w:rsid w:val="00B62188"/>
    <w:rsid w:val="00B622E4"/>
    <w:rsid w:val="00B6230A"/>
    <w:rsid w:val="00B62379"/>
    <w:rsid w:val="00B624CA"/>
    <w:rsid w:val="00B62530"/>
    <w:rsid w:val="00B62545"/>
    <w:rsid w:val="00B625F0"/>
    <w:rsid w:val="00B6263D"/>
    <w:rsid w:val="00B626C2"/>
    <w:rsid w:val="00B62728"/>
    <w:rsid w:val="00B6272A"/>
    <w:rsid w:val="00B6274D"/>
    <w:rsid w:val="00B62798"/>
    <w:rsid w:val="00B6287C"/>
    <w:rsid w:val="00B628CF"/>
    <w:rsid w:val="00B629D4"/>
    <w:rsid w:val="00B629E7"/>
    <w:rsid w:val="00B629EE"/>
    <w:rsid w:val="00B62A76"/>
    <w:rsid w:val="00B62B86"/>
    <w:rsid w:val="00B62B99"/>
    <w:rsid w:val="00B62C11"/>
    <w:rsid w:val="00B62D29"/>
    <w:rsid w:val="00B62EB4"/>
    <w:rsid w:val="00B62F54"/>
    <w:rsid w:val="00B62FB3"/>
    <w:rsid w:val="00B62FE8"/>
    <w:rsid w:val="00B6300C"/>
    <w:rsid w:val="00B630B1"/>
    <w:rsid w:val="00B63173"/>
    <w:rsid w:val="00B631AA"/>
    <w:rsid w:val="00B631EE"/>
    <w:rsid w:val="00B6328D"/>
    <w:rsid w:val="00B63419"/>
    <w:rsid w:val="00B63594"/>
    <w:rsid w:val="00B638A0"/>
    <w:rsid w:val="00B63933"/>
    <w:rsid w:val="00B63968"/>
    <w:rsid w:val="00B63A2B"/>
    <w:rsid w:val="00B63ABA"/>
    <w:rsid w:val="00B63AEC"/>
    <w:rsid w:val="00B63BE6"/>
    <w:rsid w:val="00B63C08"/>
    <w:rsid w:val="00B63F21"/>
    <w:rsid w:val="00B63F52"/>
    <w:rsid w:val="00B63FB9"/>
    <w:rsid w:val="00B63FC6"/>
    <w:rsid w:val="00B64020"/>
    <w:rsid w:val="00B640DC"/>
    <w:rsid w:val="00B64177"/>
    <w:rsid w:val="00B6420E"/>
    <w:rsid w:val="00B64265"/>
    <w:rsid w:val="00B6442F"/>
    <w:rsid w:val="00B64468"/>
    <w:rsid w:val="00B6453E"/>
    <w:rsid w:val="00B646BB"/>
    <w:rsid w:val="00B646F5"/>
    <w:rsid w:val="00B646F8"/>
    <w:rsid w:val="00B648E5"/>
    <w:rsid w:val="00B64A64"/>
    <w:rsid w:val="00B64A8E"/>
    <w:rsid w:val="00B64BAC"/>
    <w:rsid w:val="00B64BB5"/>
    <w:rsid w:val="00B64D1F"/>
    <w:rsid w:val="00B64D5F"/>
    <w:rsid w:val="00B64DC9"/>
    <w:rsid w:val="00B64FE1"/>
    <w:rsid w:val="00B65085"/>
    <w:rsid w:val="00B650A6"/>
    <w:rsid w:val="00B653A1"/>
    <w:rsid w:val="00B654C1"/>
    <w:rsid w:val="00B65535"/>
    <w:rsid w:val="00B65565"/>
    <w:rsid w:val="00B655B9"/>
    <w:rsid w:val="00B65677"/>
    <w:rsid w:val="00B656BD"/>
    <w:rsid w:val="00B6571C"/>
    <w:rsid w:val="00B65962"/>
    <w:rsid w:val="00B65A15"/>
    <w:rsid w:val="00B65A18"/>
    <w:rsid w:val="00B65A54"/>
    <w:rsid w:val="00B65B10"/>
    <w:rsid w:val="00B65B4B"/>
    <w:rsid w:val="00B65BBD"/>
    <w:rsid w:val="00B65CA1"/>
    <w:rsid w:val="00B65CD6"/>
    <w:rsid w:val="00B65D35"/>
    <w:rsid w:val="00B65DBC"/>
    <w:rsid w:val="00B65F89"/>
    <w:rsid w:val="00B6622D"/>
    <w:rsid w:val="00B66520"/>
    <w:rsid w:val="00B665EB"/>
    <w:rsid w:val="00B665EC"/>
    <w:rsid w:val="00B666FC"/>
    <w:rsid w:val="00B667D8"/>
    <w:rsid w:val="00B6681B"/>
    <w:rsid w:val="00B6687A"/>
    <w:rsid w:val="00B66935"/>
    <w:rsid w:val="00B66A0B"/>
    <w:rsid w:val="00B66AB9"/>
    <w:rsid w:val="00B66C72"/>
    <w:rsid w:val="00B66C8D"/>
    <w:rsid w:val="00B66D04"/>
    <w:rsid w:val="00B66D14"/>
    <w:rsid w:val="00B66EAD"/>
    <w:rsid w:val="00B66EBB"/>
    <w:rsid w:val="00B66FAA"/>
    <w:rsid w:val="00B66FD9"/>
    <w:rsid w:val="00B67028"/>
    <w:rsid w:val="00B67108"/>
    <w:rsid w:val="00B67210"/>
    <w:rsid w:val="00B672B3"/>
    <w:rsid w:val="00B672EE"/>
    <w:rsid w:val="00B6753E"/>
    <w:rsid w:val="00B675E4"/>
    <w:rsid w:val="00B67668"/>
    <w:rsid w:val="00B67769"/>
    <w:rsid w:val="00B677A5"/>
    <w:rsid w:val="00B67977"/>
    <w:rsid w:val="00B6798F"/>
    <w:rsid w:val="00B67B01"/>
    <w:rsid w:val="00B67B3E"/>
    <w:rsid w:val="00B67DD7"/>
    <w:rsid w:val="00B67FA0"/>
    <w:rsid w:val="00B70029"/>
    <w:rsid w:val="00B700E7"/>
    <w:rsid w:val="00B700FF"/>
    <w:rsid w:val="00B7010C"/>
    <w:rsid w:val="00B70134"/>
    <w:rsid w:val="00B7031D"/>
    <w:rsid w:val="00B7044D"/>
    <w:rsid w:val="00B705B6"/>
    <w:rsid w:val="00B705D8"/>
    <w:rsid w:val="00B705E0"/>
    <w:rsid w:val="00B705FB"/>
    <w:rsid w:val="00B7064C"/>
    <w:rsid w:val="00B706A0"/>
    <w:rsid w:val="00B7074B"/>
    <w:rsid w:val="00B70780"/>
    <w:rsid w:val="00B70793"/>
    <w:rsid w:val="00B707ED"/>
    <w:rsid w:val="00B70829"/>
    <w:rsid w:val="00B7084C"/>
    <w:rsid w:val="00B709A0"/>
    <w:rsid w:val="00B70A2A"/>
    <w:rsid w:val="00B70B3E"/>
    <w:rsid w:val="00B70BEA"/>
    <w:rsid w:val="00B70D2F"/>
    <w:rsid w:val="00B70DC1"/>
    <w:rsid w:val="00B70E78"/>
    <w:rsid w:val="00B70EC2"/>
    <w:rsid w:val="00B70F58"/>
    <w:rsid w:val="00B70FD8"/>
    <w:rsid w:val="00B7106E"/>
    <w:rsid w:val="00B71237"/>
    <w:rsid w:val="00B71253"/>
    <w:rsid w:val="00B7126D"/>
    <w:rsid w:val="00B712A9"/>
    <w:rsid w:val="00B712DD"/>
    <w:rsid w:val="00B71375"/>
    <w:rsid w:val="00B7140E"/>
    <w:rsid w:val="00B714C6"/>
    <w:rsid w:val="00B7152E"/>
    <w:rsid w:val="00B7167B"/>
    <w:rsid w:val="00B71A77"/>
    <w:rsid w:val="00B71A95"/>
    <w:rsid w:val="00B71BD7"/>
    <w:rsid w:val="00B71C61"/>
    <w:rsid w:val="00B71CA1"/>
    <w:rsid w:val="00B71DE8"/>
    <w:rsid w:val="00B71F06"/>
    <w:rsid w:val="00B71FAA"/>
    <w:rsid w:val="00B72001"/>
    <w:rsid w:val="00B72072"/>
    <w:rsid w:val="00B720C7"/>
    <w:rsid w:val="00B7211C"/>
    <w:rsid w:val="00B72161"/>
    <w:rsid w:val="00B721D7"/>
    <w:rsid w:val="00B722AC"/>
    <w:rsid w:val="00B723C9"/>
    <w:rsid w:val="00B7249E"/>
    <w:rsid w:val="00B7250F"/>
    <w:rsid w:val="00B725FB"/>
    <w:rsid w:val="00B72668"/>
    <w:rsid w:val="00B72740"/>
    <w:rsid w:val="00B72786"/>
    <w:rsid w:val="00B729DD"/>
    <w:rsid w:val="00B729F2"/>
    <w:rsid w:val="00B72B45"/>
    <w:rsid w:val="00B72B4D"/>
    <w:rsid w:val="00B72BBB"/>
    <w:rsid w:val="00B72C64"/>
    <w:rsid w:val="00B72C71"/>
    <w:rsid w:val="00B72C93"/>
    <w:rsid w:val="00B72CD0"/>
    <w:rsid w:val="00B72F07"/>
    <w:rsid w:val="00B72F3B"/>
    <w:rsid w:val="00B730F7"/>
    <w:rsid w:val="00B7318C"/>
    <w:rsid w:val="00B731BA"/>
    <w:rsid w:val="00B73209"/>
    <w:rsid w:val="00B732B7"/>
    <w:rsid w:val="00B733C7"/>
    <w:rsid w:val="00B73437"/>
    <w:rsid w:val="00B7367C"/>
    <w:rsid w:val="00B736F0"/>
    <w:rsid w:val="00B736FB"/>
    <w:rsid w:val="00B73775"/>
    <w:rsid w:val="00B73886"/>
    <w:rsid w:val="00B7392E"/>
    <w:rsid w:val="00B7398C"/>
    <w:rsid w:val="00B739EF"/>
    <w:rsid w:val="00B73B23"/>
    <w:rsid w:val="00B73B54"/>
    <w:rsid w:val="00B73C83"/>
    <w:rsid w:val="00B73C8F"/>
    <w:rsid w:val="00B73EAB"/>
    <w:rsid w:val="00B74035"/>
    <w:rsid w:val="00B74257"/>
    <w:rsid w:val="00B74347"/>
    <w:rsid w:val="00B743EA"/>
    <w:rsid w:val="00B743EC"/>
    <w:rsid w:val="00B7449A"/>
    <w:rsid w:val="00B745F9"/>
    <w:rsid w:val="00B746A2"/>
    <w:rsid w:val="00B74771"/>
    <w:rsid w:val="00B747C8"/>
    <w:rsid w:val="00B7482B"/>
    <w:rsid w:val="00B7483E"/>
    <w:rsid w:val="00B748A4"/>
    <w:rsid w:val="00B7497A"/>
    <w:rsid w:val="00B749D0"/>
    <w:rsid w:val="00B74D00"/>
    <w:rsid w:val="00B74E36"/>
    <w:rsid w:val="00B74F2F"/>
    <w:rsid w:val="00B74FE5"/>
    <w:rsid w:val="00B75045"/>
    <w:rsid w:val="00B75141"/>
    <w:rsid w:val="00B751B4"/>
    <w:rsid w:val="00B751B5"/>
    <w:rsid w:val="00B751E8"/>
    <w:rsid w:val="00B75292"/>
    <w:rsid w:val="00B75342"/>
    <w:rsid w:val="00B75389"/>
    <w:rsid w:val="00B75610"/>
    <w:rsid w:val="00B75635"/>
    <w:rsid w:val="00B75644"/>
    <w:rsid w:val="00B756B4"/>
    <w:rsid w:val="00B757BD"/>
    <w:rsid w:val="00B7590E"/>
    <w:rsid w:val="00B75B28"/>
    <w:rsid w:val="00B75B2D"/>
    <w:rsid w:val="00B75C62"/>
    <w:rsid w:val="00B75D18"/>
    <w:rsid w:val="00B75D21"/>
    <w:rsid w:val="00B75D53"/>
    <w:rsid w:val="00B75DD1"/>
    <w:rsid w:val="00B75E1C"/>
    <w:rsid w:val="00B75F89"/>
    <w:rsid w:val="00B762F4"/>
    <w:rsid w:val="00B76312"/>
    <w:rsid w:val="00B76407"/>
    <w:rsid w:val="00B76537"/>
    <w:rsid w:val="00B76577"/>
    <w:rsid w:val="00B76595"/>
    <w:rsid w:val="00B765A5"/>
    <w:rsid w:val="00B7662A"/>
    <w:rsid w:val="00B76869"/>
    <w:rsid w:val="00B76875"/>
    <w:rsid w:val="00B76A68"/>
    <w:rsid w:val="00B76B67"/>
    <w:rsid w:val="00B76EEA"/>
    <w:rsid w:val="00B76F2A"/>
    <w:rsid w:val="00B76FB9"/>
    <w:rsid w:val="00B7703D"/>
    <w:rsid w:val="00B7708B"/>
    <w:rsid w:val="00B7708F"/>
    <w:rsid w:val="00B77110"/>
    <w:rsid w:val="00B7711D"/>
    <w:rsid w:val="00B773F0"/>
    <w:rsid w:val="00B774F7"/>
    <w:rsid w:val="00B77565"/>
    <w:rsid w:val="00B77580"/>
    <w:rsid w:val="00B7773E"/>
    <w:rsid w:val="00B7774E"/>
    <w:rsid w:val="00B777A5"/>
    <w:rsid w:val="00B777EF"/>
    <w:rsid w:val="00B77A19"/>
    <w:rsid w:val="00B77BB2"/>
    <w:rsid w:val="00B77BE7"/>
    <w:rsid w:val="00B77EA9"/>
    <w:rsid w:val="00B77EC1"/>
    <w:rsid w:val="00B77F95"/>
    <w:rsid w:val="00B8002D"/>
    <w:rsid w:val="00B80328"/>
    <w:rsid w:val="00B803AF"/>
    <w:rsid w:val="00B803D7"/>
    <w:rsid w:val="00B80410"/>
    <w:rsid w:val="00B805C5"/>
    <w:rsid w:val="00B80791"/>
    <w:rsid w:val="00B8089B"/>
    <w:rsid w:val="00B809F9"/>
    <w:rsid w:val="00B80B50"/>
    <w:rsid w:val="00B80B88"/>
    <w:rsid w:val="00B80BA0"/>
    <w:rsid w:val="00B80D6E"/>
    <w:rsid w:val="00B80DFA"/>
    <w:rsid w:val="00B80DFF"/>
    <w:rsid w:val="00B80E38"/>
    <w:rsid w:val="00B80E4E"/>
    <w:rsid w:val="00B80F55"/>
    <w:rsid w:val="00B81052"/>
    <w:rsid w:val="00B81102"/>
    <w:rsid w:val="00B8117A"/>
    <w:rsid w:val="00B8138F"/>
    <w:rsid w:val="00B81630"/>
    <w:rsid w:val="00B81745"/>
    <w:rsid w:val="00B8179C"/>
    <w:rsid w:val="00B817C0"/>
    <w:rsid w:val="00B819E2"/>
    <w:rsid w:val="00B81A65"/>
    <w:rsid w:val="00B81B4D"/>
    <w:rsid w:val="00B81D63"/>
    <w:rsid w:val="00B81E0C"/>
    <w:rsid w:val="00B81E92"/>
    <w:rsid w:val="00B81EF6"/>
    <w:rsid w:val="00B8210F"/>
    <w:rsid w:val="00B821CB"/>
    <w:rsid w:val="00B82235"/>
    <w:rsid w:val="00B8237E"/>
    <w:rsid w:val="00B82530"/>
    <w:rsid w:val="00B8255D"/>
    <w:rsid w:val="00B825F7"/>
    <w:rsid w:val="00B82799"/>
    <w:rsid w:val="00B82873"/>
    <w:rsid w:val="00B828B2"/>
    <w:rsid w:val="00B828DB"/>
    <w:rsid w:val="00B828E0"/>
    <w:rsid w:val="00B8290F"/>
    <w:rsid w:val="00B8297B"/>
    <w:rsid w:val="00B82D29"/>
    <w:rsid w:val="00B82E12"/>
    <w:rsid w:val="00B82E64"/>
    <w:rsid w:val="00B82F87"/>
    <w:rsid w:val="00B82F8C"/>
    <w:rsid w:val="00B83087"/>
    <w:rsid w:val="00B83231"/>
    <w:rsid w:val="00B83337"/>
    <w:rsid w:val="00B83392"/>
    <w:rsid w:val="00B835A3"/>
    <w:rsid w:val="00B835F7"/>
    <w:rsid w:val="00B83691"/>
    <w:rsid w:val="00B836AF"/>
    <w:rsid w:val="00B836B6"/>
    <w:rsid w:val="00B837DC"/>
    <w:rsid w:val="00B838DA"/>
    <w:rsid w:val="00B8397A"/>
    <w:rsid w:val="00B83A58"/>
    <w:rsid w:val="00B83D3B"/>
    <w:rsid w:val="00B83F80"/>
    <w:rsid w:val="00B840FC"/>
    <w:rsid w:val="00B841D8"/>
    <w:rsid w:val="00B84220"/>
    <w:rsid w:val="00B84242"/>
    <w:rsid w:val="00B8438B"/>
    <w:rsid w:val="00B843F8"/>
    <w:rsid w:val="00B844CF"/>
    <w:rsid w:val="00B84554"/>
    <w:rsid w:val="00B84584"/>
    <w:rsid w:val="00B845ED"/>
    <w:rsid w:val="00B845F6"/>
    <w:rsid w:val="00B8477A"/>
    <w:rsid w:val="00B8496F"/>
    <w:rsid w:val="00B84B1A"/>
    <w:rsid w:val="00B84F5B"/>
    <w:rsid w:val="00B85007"/>
    <w:rsid w:val="00B85038"/>
    <w:rsid w:val="00B851AA"/>
    <w:rsid w:val="00B852CF"/>
    <w:rsid w:val="00B8536E"/>
    <w:rsid w:val="00B853AC"/>
    <w:rsid w:val="00B853BE"/>
    <w:rsid w:val="00B854C2"/>
    <w:rsid w:val="00B85692"/>
    <w:rsid w:val="00B8576E"/>
    <w:rsid w:val="00B85841"/>
    <w:rsid w:val="00B85848"/>
    <w:rsid w:val="00B85899"/>
    <w:rsid w:val="00B859D0"/>
    <w:rsid w:val="00B85C57"/>
    <w:rsid w:val="00B85D7B"/>
    <w:rsid w:val="00B85D7D"/>
    <w:rsid w:val="00B85D9C"/>
    <w:rsid w:val="00B860AD"/>
    <w:rsid w:val="00B863D4"/>
    <w:rsid w:val="00B8658E"/>
    <w:rsid w:val="00B865D6"/>
    <w:rsid w:val="00B868CF"/>
    <w:rsid w:val="00B868E4"/>
    <w:rsid w:val="00B868EB"/>
    <w:rsid w:val="00B868EF"/>
    <w:rsid w:val="00B86910"/>
    <w:rsid w:val="00B86B5D"/>
    <w:rsid w:val="00B86D66"/>
    <w:rsid w:val="00B86F71"/>
    <w:rsid w:val="00B87096"/>
    <w:rsid w:val="00B8713D"/>
    <w:rsid w:val="00B87251"/>
    <w:rsid w:val="00B8730F"/>
    <w:rsid w:val="00B873EF"/>
    <w:rsid w:val="00B87458"/>
    <w:rsid w:val="00B874D5"/>
    <w:rsid w:val="00B877E3"/>
    <w:rsid w:val="00B87840"/>
    <w:rsid w:val="00B878AA"/>
    <w:rsid w:val="00B878CC"/>
    <w:rsid w:val="00B8794A"/>
    <w:rsid w:val="00B87964"/>
    <w:rsid w:val="00B879B4"/>
    <w:rsid w:val="00B87A31"/>
    <w:rsid w:val="00B87C36"/>
    <w:rsid w:val="00B87CD5"/>
    <w:rsid w:val="00B87CFF"/>
    <w:rsid w:val="00B87D16"/>
    <w:rsid w:val="00B87DA8"/>
    <w:rsid w:val="00B9002E"/>
    <w:rsid w:val="00B900AD"/>
    <w:rsid w:val="00B903A8"/>
    <w:rsid w:val="00B903CD"/>
    <w:rsid w:val="00B90435"/>
    <w:rsid w:val="00B904FF"/>
    <w:rsid w:val="00B9050B"/>
    <w:rsid w:val="00B905E5"/>
    <w:rsid w:val="00B9068E"/>
    <w:rsid w:val="00B90A29"/>
    <w:rsid w:val="00B90A30"/>
    <w:rsid w:val="00B90BD6"/>
    <w:rsid w:val="00B90D91"/>
    <w:rsid w:val="00B90DB0"/>
    <w:rsid w:val="00B90E00"/>
    <w:rsid w:val="00B90EDF"/>
    <w:rsid w:val="00B91095"/>
    <w:rsid w:val="00B911E3"/>
    <w:rsid w:val="00B91230"/>
    <w:rsid w:val="00B91298"/>
    <w:rsid w:val="00B912E1"/>
    <w:rsid w:val="00B9131C"/>
    <w:rsid w:val="00B91399"/>
    <w:rsid w:val="00B913BA"/>
    <w:rsid w:val="00B914A5"/>
    <w:rsid w:val="00B91517"/>
    <w:rsid w:val="00B916A2"/>
    <w:rsid w:val="00B917B0"/>
    <w:rsid w:val="00B917DD"/>
    <w:rsid w:val="00B918E3"/>
    <w:rsid w:val="00B919DF"/>
    <w:rsid w:val="00B91BE0"/>
    <w:rsid w:val="00B91C37"/>
    <w:rsid w:val="00B91DF4"/>
    <w:rsid w:val="00B91F45"/>
    <w:rsid w:val="00B91F52"/>
    <w:rsid w:val="00B9202C"/>
    <w:rsid w:val="00B9211F"/>
    <w:rsid w:val="00B922DA"/>
    <w:rsid w:val="00B92345"/>
    <w:rsid w:val="00B923B1"/>
    <w:rsid w:val="00B92417"/>
    <w:rsid w:val="00B925D1"/>
    <w:rsid w:val="00B925E8"/>
    <w:rsid w:val="00B9268A"/>
    <w:rsid w:val="00B928E5"/>
    <w:rsid w:val="00B92A36"/>
    <w:rsid w:val="00B92C2F"/>
    <w:rsid w:val="00B92C80"/>
    <w:rsid w:val="00B92C91"/>
    <w:rsid w:val="00B92DEE"/>
    <w:rsid w:val="00B92E3F"/>
    <w:rsid w:val="00B92F60"/>
    <w:rsid w:val="00B92F83"/>
    <w:rsid w:val="00B92FFF"/>
    <w:rsid w:val="00B932D5"/>
    <w:rsid w:val="00B93319"/>
    <w:rsid w:val="00B93363"/>
    <w:rsid w:val="00B933DF"/>
    <w:rsid w:val="00B9344C"/>
    <w:rsid w:val="00B934EE"/>
    <w:rsid w:val="00B934F1"/>
    <w:rsid w:val="00B9358D"/>
    <w:rsid w:val="00B9370C"/>
    <w:rsid w:val="00B93807"/>
    <w:rsid w:val="00B9383F"/>
    <w:rsid w:val="00B93854"/>
    <w:rsid w:val="00B93880"/>
    <w:rsid w:val="00B93890"/>
    <w:rsid w:val="00B9391A"/>
    <w:rsid w:val="00B939B7"/>
    <w:rsid w:val="00B93A19"/>
    <w:rsid w:val="00B93B6F"/>
    <w:rsid w:val="00B93CEE"/>
    <w:rsid w:val="00B93D6E"/>
    <w:rsid w:val="00B93DDC"/>
    <w:rsid w:val="00B93E99"/>
    <w:rsid w:val="00B9405A"/>
    <w:rsid w:val="00B940BE"/>
    <w:rsid w:val="00B9429D"/>
    <w:rsid w:val="00B94307"/>
    <w:rsid w:val="00B9430E"/>
    <w:rsid w:val="00B943DA"/>
    <w:rsid w:val="00B94403"/>
    <w:rsid w:val="00B94434"/>
    <w:rsid w:val="00B944A3"/>
    <w:rsid w:val="00B945EB"/>
    <w:rsid w:val="00B9460B"/>
    <w:rsid w:val="00B94780"/>
    <w:rsid w:val="00B94804"/>
    <w:rsid w:val="00B9480D"/>
    <w:rsid w:val="00B949B8"/>
    <w:rsid w:val="00B94AB3"/>
    <w:rsid w:val="00B94B2C"/>
    <w:rsid w:val="00B94BF9"/>
    <w:rsid w:val="00B94DF3"/>
    <w:rsid w:val="00B94E6F"/>
    <w:rsid w:val="00B94EC5"/>
    <w:rsid w:val="00B95170"/>
    <w:rsid w:val="00B95342"/>
    <w:rsid w:val="00B954EB"/>
    <w:rsid w:val="00B95522"/>
    <w:rsid w:val="00B95547"/>
    <w:rsid w:val="00B95729"/>
    <w:rsid w:val="00B958E4"/>
    <w:rsid w:val="00B959A5"/>
    <w:rsid w:val="00B95A9E"/>
    <w:rsid w:val="00B95AAF"/>
    <w:rsid w:val="00B95AB8"/>
    <w:rsid w:val="00B95B5C"/>
    <w:rsid w:val="00B95B76"/>
    <w:rsid w:val="00B95D96"/>
    <w:rsid w:val="00B95E05"/>
    <w:rsid w:val="00B95E06"/>
    <w:rsid w:val="00B95FD6"/>
    <w:rsid w:val="00B96113"/>
    <w:rsid w:val="00B9613C"/>
    <w:rsid w:val="00B96360"/>
    <w:rsid w:val="00B9646C"/>
    <w:rsid w:val="00B9647D"/>
    <w:rsid w:val="00B96569"/>
    <w:rsid w:val="00B9665F"/>
    <w:rsid w:val="00B96723"/>
    <w:rsid w:val="00B96724"/>
    <w:rsid w:val="00B9678C"/>
    <w:rsid w:val="00B96AC3"/>
    <w:rsid w:val="00B96B2C"/>
    <w:rsid w:val="00B96E11"/>
    <w:rsid w:val="00B9701D"/>
    <w:rsid w:val="00B97294"/>
    <w:rsid w:val="00B974AD"/>
    <w:rsid w:val="00B9760A"/>
    <w:rsid w:val="00B97616"/>
    <w:rsid w:val="00B97665"/>
    <w:rsid w:val="00B976DC"/>
    <w:rsid w:val="00B9780F"/>
    <w:rsid w:val="00B97903"/>
    <w:rsid w:val="00B979AB"/>
    <w:rsid w:val="00B97A3A"/>
    <w:rsid w:val="00B97C4A"/>
    <w:rsid w:val="00B97C5A"/>
    <w:rsid w:val="00B97F41"/>
    <w:rsid w:val="00B97F42"/>
    <w:rsid w:val="00B97F47"/>
    <w:rsid w:val="00BA014C"/>
    <w:rsid w:val="00BA0167"/>
    <w:rsid w:val="00BA0250"/>
    <w:rsid w:val="00BA0290"/>
    <w:rsid w:val="00BA031D"/>
    <w:rsid w:val="00BA03B5"/>
    <w:rsid w:val="00BA053E"/>
    <w:rsid w:val="00BA05E6"/>
    <w:rsid w:val="00BA0733"/>
    <w:rsid w:val="00BA07A1"/>
    <w:rsid w:val="00BA09D5"/>
    <w:rsid w:val="00BA0C95"/>
    <w:rsid w:val="00BA0D6E"/>
    <w:rsid w:val="00BA0EA2"/>
    <w:rsid w:val="00BA0ED3"/>
    <w:rsid w:val="00BA1171"/>
    <w:rsid w:val="00BA1179"/>
    <w:rsid w:val="00BA11BB"/>
    <w:rsid w:val="00BA124D"/>
    <w:rsid w:val="00BA12FD"/>
    <w:rsid w:val="00BA1618"/>
    <w:rsid w:val="00BA1662"/>
    <w:rsid w:val="00BA1729"/>
    <w:rsid w:val="00BA1861"/>
    <w:rsid w:val="00BA187D"/>
    <w:rsid w:val="00BA19F3"/>
    <w:rsid w:val="00BA1A4E"/>
    <w:rsid w:val="00BA1A5C"/>
    <w:rsid w:val="00BA1ADF"/>
    <w:rsid w:val="00BA1CE2"/>
    <w:rsid w:val="00BA1D44"/>
    <w:rsid w:val="00BA2198"/>
    <w:rsid w:val="00BA22BC"/>
    <w:rsid w:val="00BA2313"/>
    <w:rsid w:val="00BA2343"/>
    <w:rsid w:val="00BA2385"/>
    <w:rsid w:val="00BA2434"/>
    <w:rsid w:val="00BA247D"/>
    <w:rsid w:val="00BA24D6"/>
    <w:rsid w:val="00BA250A"/>
    <w:rsid w:val="00BA253E"/>
    <w:rsid w:val="00BA2677"/>
    <w:rsid w:val="00BA298E"/>
    <w:rsid w:val="00BA2A28"/>
    <w:rsid w:val="00BA2B07"/>
    <w:rsid w:val="00BA2CE6"/>
    <w:rsid w:val="00BA2D31"/>
    <w:rsid w:val="00BA2E2F"/>
    <w:rsid w:val="00BA2F0C"/>
    <w:rsid w:val="00BA3053"/>
    <w:rsid w:val="00BA3102"/>
    <w:rsid w:val="00BA3174"/>
    <w:rsid w:val="00BA319E"/>
    <w:rsid w:val="00BA3257"/>
    <w:rsid w:val="00BA3312"/>
    <w:rsid w:val="00BA34AC"/>
    <w:rsid w:val="00BA3529"/>
    <w:rsid w:val="00BA3540"/>
    <w:rsid w:val="00BA3549"/>
    <w:rsid w:val="00BA3553"/>
    <w:rsid w:val="00BA3646"/>
    <w:rsid w:val="00BA3647"/>
    <w:rsid w:val="00BA37A8"/>
    <w:rsid w:val="00BA38A3"/>
    <w:rsid w:val="00BA3ACB"/>
    <w:rsid w:val="00BA3ADE"/>
    <w:rsid w:val="00BA3B26"/>
    <w:rsid w:val="00BA3B62"/>
    <w:rsid w:val="00BA3BBA"/>
    <w:rsid w:val="00BA3BCE"/>
    <w:rsid w:val="00BA3D6B"/>
    <w:rsid w:val="00BA3FDD"/>
    <w:rsid w:val="00BA403C"/>
    <w:rsid w:val="00BA41DB"/>
    <w:rsid w:val="00BA4450"/>
    <w:rsid w:val="00BA4762"/>
    <w:rsid w:val="00BA4965"/>
    <w:rsid w:val="00BA4A70"/>
    <w:rsid w:val="00BA4A84"/>
    <w:rsid w:val="00BA4AA6"/>
    <w:rsid w:val="00BA4BA3"/>
    <w:rsid w:val="00BA4CD5"/>
    <w:rsid w:val="00BA4E0A"/>
    <w:rsid w:val="00BA4E50"/>
    <w:rsid w:val="00BA4E91"/>
    <w:rsid w:val="00BA4EAF"/>
    <w:rsid w:val="00BA4F9D"/>
    <w:rsid w:val="00BA50B4"/>
    <w:rsid w:val="00BA50D5"/>
    <w:rsid w:val="00BA5187"/>
    <w:rsid w:val="00BA51CF"/>
    <w:rsid w:val="00BA544B"/>
    <w:rsid w:val="00BA563A"/>
    <w:rsid w:val="00BA56EA"/>
    <w:rsid w:val="00BA5790"/>
    <w:rsid w:val="00BA5822"/>
    <w:rsid w:val="00BA5874"/>
    <w:rsid w:val="00BA5B98"/>
    <w:rsid w:val="00BA5D6D"/>
    <w:rsid w:val="00BA5F45"/>
    <w:rsid w:val="00BA601F"/>
    <w:rsid w:val="00BA602E"/>
    <w:rsid w:val="00BA616A"/>
    <w:rsid w:val="00BA61CA"/>
    <w:rsid w:val="00BA624F"/>
    <w:rsid w:val="00BA64CC"/>
    <w:rsid w:val="00BA6502"/>
    <w:rsid w:val="00BA6729"/>
    <w:rsid w:val="00BA6826"/>
    <w:rsid w:val="00BA682A"/>
    <w:rsid w:val="00BA688E"/>
    <w:rsid w:val="00BA691E"/>
    <w:rsid w:val="00BA6974"/>
    <w:rsid w:val="00BA69BC"/>
    <w:rsid w:val="00BA6AFB"/>
    <w:rsid w:val="00BA6BAC"/>
    <w:rsid w:val="00BA6C21"/>
    <w:rsid w:val="00BA6C23"/>
    <w:rsid w:val="00BA6CAF"/>
    <w:rsid w:val="00BA6CB5"/>
    <w:rsid w:val="00BA6D84"/>
    <w:rsid w:val="00BA6ED8"/>
    <w:rsid w:val="00BA6EDE"/>
    <w:rsid w:val="00BA6FB5"/>
    <w:rsid w:val="00BA6FB6"/>
    <w:rsid w:val="00BA70E7"/>
    <w:rsid w:val="00BA70EF"/>
    <w:rsid w:val="00BA719B"/>
    <w:rsid w:val="00BA71A7"/>
    <w:rsid w:val="00BA7200"/>
    <w:rsid w:val="00BA73CF"/>
    <w:rsid w:val="00BA742E"/>
    <w:rsid w:val="00BA746B"/>
    <w:rsid w:val="00BA753F"/>
    <w:rsid w:val="00BA7563"/>
    <w:rsid w:val="00BA758C"/>
    <w:rsid w:val="00BA7592"/>
    <w:rsid w:val="00BA759E"/>
    <w:rsid w:val="00BA7646"/>
    <w:rsid w:val="00BA769B"/>
    <w:rsid w:val="00BA77C5"/>
    <w:rsid w:val="00BA7987"/>
    <w:rsid w:val="00BA799B"/>
    <w:rsid w:val="00BA79BB"/>
    <w:rsid w:val="00BA7A3F"/>
    <w:rsid w:val="00BA7A48"/>
    <w:rsid w:val="00BA7AB5"/>
    <w:rsid w:val="00BA7BCC"/>
    <w:rsid w:val="00BA7CDB"/>
    <w:rsid w:val="00BA7DC7"/>
    <w:rsid w:val="00BA7F44"/>
    <w:rsid w:val="00BA7F5D"/>
    <w:rsid w:val="00BB01A3"/>
    <w:rsid w:val="00BB01E6"/>
    <w:rsid w:val="00BB0270"/>
    <w:rsid w:val="00BB03FC"/>
    <w:rsid w:val="00BB063D"/>
    <w:rsid w:val="00BB06A1"/>
    <w:rsid w:val="00BB06EF"/>
    <w:rsid w:val="00BB0717"/>
    <w:rsid w:val="00BB07AC"/>
    <w:rsid w:val="00BB0819"/>
    <w:rsid w:val="00BB0856"/>
    <w:rsid w:val="00BB09C6"/>
    <w:rsid w:val="00BB0AC8"/>
    <w:rsid w:val="00BB0BEA"/>
    <w:rsid w:val="00BB0BFB"/>
    <w:rsid w:val="00BB0D1D"/>
    <w:rsid w:val="00BB0D9D"/>
    <w:rsid w:val="00BB0DCF"/>
    <w:rsid w:val="00BB0DED"/>
    <w:rsid w:val="00BB0E6F"/>
    <w:rsid w:val="00BB0F62"/>
    <w:rsid w:val="00BB0F92"/>
    <w:rsid w:val="00BB0FCE"/>
    <w:rsid w:val="00BB100E"/>
    <w:rsid w:val="00BB10A9"/>
    <w:rsid w:val="00BB1197"/>
    <w:rsid w:val="00BB11BA"/>
    <w:rsid w:val="00BB11D1"/>
    <w:rsid w:val="00BB1261"/>
    <w:rsid w:val="00BB1282"/>
    <w:rsid w:val="00BB12D1"/>
    <w:rsid w:val="00BB13D3"/>
    <w:rsid w:val="00BB143E"/>
    <w:rsid w:val="00BB144D"/>
    <w:rsid w:val="00BB1511"/>
    <w:rsid w:val="00BB1605"/>
    <w:rsid w:val="00BB166E"/>
    <w:rsid w:val="00BB1775"/>
    <w:rsid w:val="00BB1811"/>
    <w:rsid w:val="00BB185A"/>
    <w:rsid w:val="00BB18F7"/>
    <w:rsid w:val="00BB19A3"/>
    <w:rsid w:val="00BB1A06"/>
    <w:rsid w:val="00BB1A36"/>
    <w:rsid w:val="00BB1B77"/>
    <w:rsid w:val="00BB1B9F"/>
    <w:rsid w:val="00BB1C78"/>
    <w:rsid w:val="00BB1D45"/>
    <w:rsid w:val="00BB1F50"/>
    <w:rsid w:val="00BB1F5F"/>
    <w:rsid w:val="00BB1F9E"/>
    <w:rsid w:val="00BB2095"/>
    <w:rsid w:val="00BB21BD"/>
    <w:rsid w:val="00BB23D4"/>
    <w:rsid w:val="00BB2672"/>
    <w:rsid w:val="00BB2957"/>
    <w:rsid w:val="00BB295B"/>
    <w:rsid w:val="00BB2A74"/>
    <w:rsid w:val="00BB2A8E"/>
    <w:rsid w:val="00BB2ABE"/>
    <w:rsid w:val="00BB2C2C"/>
    <w:rsid w:val="00BB2C78"/>
    <w:rsid w:val="00BB2D09"/>
    <w:rsid w:val="00BB2D89"/>
    <w:rsid w:val="00BB2E19"/>
    <w:rsid w:val="00BB3277"/>
    <w:rsid w:val="00BB333C"/>
    <w:rsid w:val="00BB333F"/>
    <w:rsid w:val="00BB34EE"/>
    <w:rsid w:val="00BB3588"/>
    <w:rsid w:val="00BB35CA"/>
    <w:rsid w:val="00BB35E7"/>
    <w:rsid w:val="00BB367B"/>
    <w:rsid w:val="00BB3863"/>
    <w:rsid w:val="00BB38C3"/>
    <w:rsid w:val="00BB3914"/>
    <w:rsid w:val="00BB39A4"/>
    <w:rsid w:val="00BB39EA"/>
    <w:rsid w:val="00BB3A4B"/>
    <w:rsid w:val="00BB3B9D"/>
    <w:rsid w:val="00BB3BF8"/>
    <w:rsid w:val="00BB3E25"/>
    <w:rsid w:val="00BB3EAF"/>
    <w:rsid w:val="00BB3EF1"/>
    <w:rsid w:val="00BB3EF4"/>
    <w:rsid w:val="00BB3F48"/>
    <w:rsid w:val="00BB4179"/>
    <w:rsid w:val="00BB41F5"/>
    <w:rsid w:val="00BB445C"/>
    <w:rsid w:val="00BB447E"/>
    <w:rsid w:val="00BB4630"/>
    <w:rsid w:val="00BB4637"/>
    <w:rsid w:val="00BB4775"/>
    <w:rsid w:val="00BB4850"/>
    <w:rsid w:val="00BB48B1"/>
    <w:rsid w:val="00BB4982"/>
    <w:rsid w:val="00BB4A07"/>
    <w:rsid w:val="00BB4BEE"/>
    <w:rsid w:val="00BB4C04"/>
    <w:rsid w:val="00BB4C62"/>
    <w:rsid w:val="00BB4CCE"/>
    <w:rsid w:val="00BB4D3C"/>
    <w:rsid w:val="00BB4DFC"/>
    <w:rsid w:val="00BB4EEB"/>
    <w:rsid w:val="00BB4F6E"/>
    <w:rsid w:val="00BB50D1"/>
    <w:rsid w:val="00BB514D"/>
    <w:rsid w:val="00BB518D"/>
    <w:rsid w:val="00BB5245"/>
    <w:rsid w:val="00BB525A"/>
    <w:rsid w:val="00BB534D"/>
    <w:rsid w:val="00BB5409"/>
    <w:rsid w:val="00BB544F"/>
    <w:rsid w:val="00BB560F"/>
    <w:rsid w:val="00BB5647"/>
    <w:rsid w:val="00BB573E"/>
    <w:rsid w:val="00BB5749"/>
    <w:rsid w:val="00BB581E"/>
    <w:rsid w:val="00BB5856"/>
    <w:rsid w:val="00BB594D"/>
    <w:rsid w:val="00BB5987"/>
    <w:rsid w:val="00BB59DB"/>
    <w:rsid w:val="00BB59EB"/>
    <w:rsid w:val="00BB5BF1"/>
    <w:rsid w:val="00BB5BFD"/>
    <w:rsid w:val="00BB5C11"/>
    <w:rsid w:val="00BB5D39"/>
    <w:rsid w:val="00BB604D"/>
    <w:rsid w:val="00BB60FB"/>
    <w:rsid w:val="00BB61A3"/>
    <w:rsid w:val="00BB61BF"/>
    <w:rsid w:val="00BB61C1"/>
    <w:rsid w:val="00BB6231"/>
    <w:rsid w:val="00BB6324"/>
    <w:rsid w:val="00BB636A"/>
    <w:rsid w:val="00BB6399"/>
    <w:rsid w:val="00BB63B6"/>
    <w:rsid w:val="00BB63E0"/>
    <w:rsid w:val="00BB641E"/>
    <w:rsid w:val="00BB6567"/>
    <w:rsid w:val="00BB65A0"/>
    <w:rsid w:val="00BB6707"/>
    <w:rsid w:val="00BB6712"/>
    <w:rsid w:val="00BB672D"/>
    <w:rsid w:val="00BB6844"/>
    <w:rsid w:val="00BB68EA"/>
    <w:rsid w:val="00BB6A3C"/>
    <w:rsid w:val="00BB6AAB"/>
    <w:rsid w:val="00BB6C4F"/>
    <w:rsid w:val="00BB6D99"/>
    <w:rsid w:val="00BB6DAB"/>
    <w:rsid w:val="00BB6E30"/>
    <w:rsid w:val="00BB6E36"/>
    <w:rsid w:val="00BB6E70"/>
    <w:rsid w:val="00BB6E9A"/>
    <w:rsid w:val="00BB6ED9"/>
    <w:rsid w:val="00BB6F85"/>
    <w:rsid w:val="00BB703E"/>
    <w:rsid w:val="00BB7062"/>
    <w:rsid w:val="00BB7098"/>
    <w:rsid w:val="00BB70FB"/>
    <w:rsid w:val="00BB721A"/>
    <w:rsid w:val="00BB732A"/>
    <w:rsid w:val="00BB74C7"/>
    <w:rsid w:val="00BB74EA"/>
    <w:rsid w:val="00BB7525"/>
    <w:rsid w:val="00BB7669"/>
    <w:rsid w:val="00BB7811"/>
    <w:rsid w:val="00BB78F6"/>
    <w:rsid w:val="00BB7975"/>
    <w:rsid w:val="00BB7A41"/>
    <w:rsid w:val="00BB7A8E"/>
    <w:rsid w:val="00BB7B24"/>
    <w:rsid w:val="00BB7B3D"/>
    <w:rsid w:val="00BB7BD6"/>
    <w:rsid w:val="00BB7C2E"/>
    <w:rsid w:val="00BB7C90"/>
    <w:rsid w:val="00BB7D77"/>
    <w:rsid w:val="00BB7D9E"/>
    <w:rsid w:val="00BB7DC5"/>
    <w:rsid w:val="00BB7E05"/>
    <w:rsid w:val="00BC0058"/>
    <w:rsid w:val="00BC0062"/>
    <w:rsid w:val="00BC00E1"/>
    <w:rsid w:val="00BC0229"/>
    <w:rsid w:val="00BC02FF"/>
    <w:rsid w:val="00BC0418"/>
    <w:rsid w:val="00BC0575"/>
    <w:rsid w:val="00BC07E5"/>
    <w:rsid w:val="00BC07F6"/>
    <w:rsid w:val="00BC099D"/>
    <w:rsid w:val="00BC0A80"/>
    <w:rsid w:val="00BC0BA1"/>
    <w:rsid w:val="00BC0BC2"/>
    <w:rsid w:val="00BC0BCC"/>
    <w:rsid w:val="00BC0FCC"/>
    <w:rsid w:val="00BC1151"/>
    <w:rsid w:val="00BC118A"/>
    <w:rsid w:val="00BC1227"/>
    <w:rsid w:val="00BC1243"/>
    <w:rsid w:val="00BC13AB"/>
    <w:rsid w:val="00BC13D6"/>
    <w:rsid w:val="00BC1419"/>
    <w:rsid w:val="00BC1557"/>
    <w:rsid w:val="00BC15A6"/>
    <w:rsid w:val="00BC172E"/>
    <w:rsid w:val="00BC176F"/>
    <w:rsid w:val="00BC183F"/>
    <w:rsid w:val="00BC184E"/>
    <w:rsid w:val="00BC1860"/>
    <w:rsid w:val="00BC1892"/>
    <w:rsid w:val="00BC1944"/>
    <w:rsid w:val="00BC196D"/>
    <w:rsid w:val="00BC1AF5"/>
    <w:rsid w:val="00BC1B7F"/>
    <w:rsid w:val="00BC1BB5"/>
    <w:rsid w:val="00BC1CB0"/>
    <w:rsid w:val="00BC1CCC"/>
    <w:rsid w:val="00BC1E76"/>
    <w:rsid w:val="00BC1FB5"/>
    <w:rsid w:val="00BC2066"/>
    <w:rsid w:val="00BC2078"/>
    <w:rsid w:val="00BC20AC"/>
    <w:rsid w:val="00BC21EE"/>
    <w:rsid w:val="00BC22AA"/>
    <w:rsid w:val="00BC2511"/>
    <w:rsid w:val="00BC256A"/>
    <w:rsid w:val="00BC25E0"/>
    <w:rsid w:val="00BC2628"/>
    <w:rsid w:val="00BC2776"/>
    <w:rsid w:val="00BC2794"/>
    <w:rsid w:val="00BC2864"/>
    <w:rsid w:val="00BC29D3"/>
    <w:rsid w:val="00BC29E2"/>
    <w:rsid w:val="00BC2AC9"/>
    <w:rsid w:val="00BC2D1A"/>
    <w:rsid w:val="00BC2D3A"/>
    <w:rsid w:val="00BC2D7D"/>
    <w:rsid w:val="00BC2DE0"/>
    <w:rsid w:val="00BC2E49"/>
    <w:rsid w:val="00BC2ECF"/>
    <w:rsid w:val="00BC2FB5"/>
    <w:rsid w:val="00BC3063"/>
    <w:rsid w:val="00BC30DF"/>
    <w:rsid w:val="00BC30F3"/>
    <w:rsid w:val="00BC313D"/>
    <w:rsid w:val="00BC321B"/>
    <w:rsid w:val="00BC3281"/>
    <w:rsid w:val="00BC32A8"/>
    <w:rsid w:val="00BC3300"/>
    <w:rsid w:val="00BC3326"/>
    <w:rsid w:val="00BC334C"/>
    <w:rsid w:val="00BC3496"/>
    <w:rsid w:val="00BC3570"/>
    <w:rsid w:val="00BC3609"/>
    <w:rsid w:val="00BC3676"/>
    <w:rsid w:val="00BC3699"/>
    <w:rsid w:val="00BC37A1"/>
    <w:rsid w:val="00BC3809"/>
    <w:rsid w:val="00BC39BB"/>
    <w:rsid w:val="00BC3A47"/>
    <w:rsid w:val="00BC3A70"/>
    <w:rsid w:val="00BC3B60"/>
    <w:rsid w:val="00BC3B78"/>
    <w:rsid w:val="00BC3C1F"/>
    <w:rsid w:val="00BC3DAA"/>
    <w:rsid w:val="00BC3DAB"/>
    <w:rsid w:val="00BC3DC3"/>
    <w:rsid w:val="00BC40E3"/>
    <w:rsid w:val="00BC40EB"/>
    <w:rsid w:val="00BC40F9"/>
    <w:rsid w:val="00BC45A2"/>
    <w:rsid w:val="00BC45CA"/>
    <w:rsid w:val="00BC46A7"/>
    <w:rsid w:val="00BC4B63"/>
    <w:rsid w:val="00BC4BAD"/>
    <w:rsid w:val="00BC4BED"/>
    <w:rsid w:val="00BC4C17"/>
    <w:rsid w:val="00BC4DA1"/>
    <w:rsid w:val="00BC4E0E"/>
    <w:rsid w:val="00BC4FFE"/>
    <w:rsid w:val="00BC503C"/>
    <w:rsid w:val="00BC509A"/>
    <w:rsid w:val="00BC526F"/>
    <w:rsid w:val="00BC52F5"/>
    <w:rsid w:val="00BC545E"/>
    <w:rsid w:val="00BC557E"/>
    <w:rsid w:val="00BC55BD"/>
    <w:rsid w:val="00BC57C6"/>
    <w:rsid w:val="00BC5896"/>
    <w:rsid w:val="00BC58E2"/>
    <w:rsid w:val="00BC595D"/>
    <w:rsid w:val="00BC59BE"/>
    <w:rsid w:val="00BC59FD"/>
    <w:rsid w:val="00BC5AEA"/>
    <w:rsid w:val="00BC5BE9"/>
    <w:rsid w:val="00BC5C0A"/>
    <w:rsid w:val="00BC5F92"/>
    <w:rsid w:val="00BC6094"/>
    <w:rsid w:val="00BC6302"/>
    <w:rsid w:val="00BC6334"/>
    <w:rsid w:val="00BC639C"/>
    <w:rsid w:val="00BC6467"/>
    <w:rsid w:val="00BC674C"/>
    <w:rsid w:val="00BC67B2"/>
    <w:rsid w:val="00BC6A9B"/>
    <w:rsid w:val="00BC6AB2"/>
    <w:rsid w:val="00BC6B5B"/>
    <w:rsid w:val="00BC6BA4"/>
    <w:rsid w:val="00BC6D1D"/>
    <w:rsid w:val="00BC6D41"/>
    <w:rsid w:val="00BC6D7F"/>
    <w:rsid w:val="00BC6DB7"/>
    <w:rsid w:val="00BC6FDF"/>
    <w:rsid w:val="00BC716A"/>
    <w:rsid w:val="00BC7262"/>
    <w:rsid w:val="00BC7293"/>
    <w:rsid w:val="00BC735E"/>
    <w:rsid w:val="00BC74B5"/>
    <w:rsid w:val="00BC757F"/>
    <w:rsid w:val="00BC75F9"/>
    <w:rsid w:val="00BC7642"/>
    <w:rsid w:val="00BC7703"/>
    <w:rsid w:val="00BC7752"/>
    <w:rsid w:val="00BC781C"/>
    <w:rsid w:val="00BC7831"/>
    <w:rsid w:val="00BC7991"/>
    <w:rsid w:val="00BC7A14"/>
    <w:rsid w:val="00BC7A5B"/>
    <w:rsid w:val="00BC7AE1"/>
    <w:rsid w:val="00BC7B8C"/>
    <w:rsid w:val="00BC7D70"/>
    <w:rsid w:val="00BC7E17"/>
    <w:rsid w:val="00BC7F34"/>
    <w:rsid w:val="00BD0086"/>
    <w:rsid w:val="00BD00E3"/>
    <w:rsid w:val="00BD0173"/>
    <w:rsid w:val="00BD0282"/>
    <w:rsid w:val="00BD0410"/>
    <w:rsid w:val="00BD043D"/>
    <w:rsid w:val="00BD0441"/>
    <w:rsid w:val="00BD04EC"/>
    <w:rsid w:val="00BD0544"/>
    <w:rsid w:val="00BD0593"/>
    <w:rsid w:val="00BD05D3"/>
    <w:rsid w:val="00BD0A9B"/>
    <w:rsid w:val="00BD0AC9"/>
    <w:rsid w:val="00BD0D61"/>
    <w:rsid w:val="00BD0E2E"/>
    <w:rsid w:val="00BD10F0"/>
    <w:rsid w:val="00BD1189"/>
    <w:rsid w:val="00BD11C6"/>
    <w:rsid w:val="00BD135A"/>
    <w:rsid w:val="00BD13E0"/>
    <w:rsid w:val="00BD14E2"/>
    <w:rsid w:val="00BD16E4"/>
    <w:rsid w:val="00BD1733"/>
    <w:rsid w:val="00BD1921"/>
    <w:rsid w:val="00BD1C09"/>
    <w:rsid w:val="00BD2028"/>
    <w:rsid w:val="00BD208C"/>
    <w:rsid w:val="00BD216E"/>
    <w:rsid w:val="00BD2232"/>
    <w:rsid w:val="00BD2281"/>
    <w:rsid w:val="00BD2421"/>
    <w:rsid w:val="00BD2424"/>
    <w:rsid w:val="00BD242A"/>
    <w:rsid w:val="00BD24A5"/>
    <w:rsid w:val="00BD26A1"/>
    <w:rsid w:val="00BD2753"/>
    <w:rsid w:val="00BD28A5"/>
    <w:rsid w:val="00BD2A86"/>
    <w:rsid w:val="00BD2B9D"/>
    <w:rsid w:val="00BD2BAE"/>
    <w:rsid w:val="00BD2EA4"/>
    <w:rsid w:val="00BD2EE7"/>
    <w:rsid w:val="00BD3184"/>
    <w:rsid w:val="00BD31C2"/>
    <w:rsid w:val="00BD3265"/>
    <w:rsid w:val="00BD33C0"/>
    <w:rsid w:val="00BD350B"/>
    <w:rsid w:val="00BD35E4"/>
    <w:rsid w:val="00BD385D"/>
    <w:rsid w:val="00BD388C"/>
    <w:rsid w:val="00BD38FE"/>
    <w:rsid w:val="00BD3A52"/>
    <w:rsid w:val="00BD3A56"/>
    <w:rsid w:val="00BD3A68"/>
    <w:rsid w:val="00BD3B16"/>
    <w:rsid w:val="00BD3CA4"/>
    <w:rsid w:val="00BD3CA8"/>
    <w:rsid w:val="00BD3D0C"/>
    <w:rsid w:val="00BD3D47"/>
    <w:rsid w:val="00BD3D7D"/>
    <w:rsid w:val="00BD3D9C"/>
    <w:rsid w:val="00BD40A1"/>
    <w:rsid w:val="00BD4181"/>
    <w:rsid w:val="00BD423F"/>
    <w:rsid w:val="00BD428F"/>
    <w:rsid w:val="00BD4301"/>
    <w:rsid w:val="00BD438D"/>
    <w:rsid w:val="00BD4695"/>
    <w:rsid w:val="00BD4768"/>
    <w:rsid w:val="00BD482C"/>
    <w:rsid w:val="00BD48D6"/>
    <w:rsid w:val="00BD4953"/>
    <w:rsid w:val="00BD49E7"/>
    <w:rsid w:val="00BD4CBC"/>
    <w:rsid w:val="00BD4CBF"/>
    <w:rsid w:val="00BD4DAF"/>
    <w:rsid w:val="00BD4EEB"/>
    <w:rsid w:val="00BD5076"/>
    <w:rsid w:val="00BD5314"/>
    <w:rsid w:val="00BD53DB"/>
    <w:rsid w:val="00BD5505"/>
    <w:rsid w:val="00BD5615"/>
    <w:rsid w:val="00BD5658"/>
    <w:rsid w:val="00BD5957"/>
    <w:rsid w:val="00BD5A4B"/>
    <w:rsid w:val="00BD5B48"/>
    <w:rsid w:val="00BD5CCA"/>
    <w:rsid w:val="00BD5D0A"/>
    <w:rsid w:val="00BD5E66"/>
    <w:rsid w:val="00BD6024"/>
    <w:rsid w:val="00BD60A1"/>
    <w:rsid w:val="00BD60D4"/>
    <w:rsid w:val="00BD617F"/>
    <w:rsid w:val="00BD6333"/>
    <w:rsid w:val="00BD6378"/>
    <w:rsid w:val="00BD63C3"/>
    <w:rsid w:val="00BD63D3"/>
    <w:rsid w:val="00BD643E"/>
    <w:rsid w:val="00BD651A"/>
    <w:rsid w:val="00BD65C5"/>
    <w:rsid w:val="00BD663F"/>
    <w:rsid w:val="00BD67ED"/>
    <w:rsid w:val="00BD68E3"/>
    <w:rsid w:val="00BD699F"/>
    <w:rsid w:val="00BD69E4"/>
    <w:rsid w:val="00BD6A19"/>
    <w:rsid w:val="00BD6C48"/>
    <w:rsid w:val="00BD6C92"/>
    <w:rsid w:val="00BD6D5E"/>
    <w:rsid w:val="00BD6D96"/>
    <w:rsid w:val="00BD6DC9"/>
    <w:rsid w:val="00BD6DE4"/>
    <w:rsid w:val="00BD6E39"/>
    <w:rsid w:val="00BD6F5E"/>
    <w:rsid w:val="00BD6FA0"/>
    <w:rsid w:val="00BD6FEB"/>
    <w:rsid w:val="00BD7027"/>
    <w:rsid w:val="00BD7103"/>
    <w:rsid w:val="00BD7126"/>
    <w:rsid w:val="00BD719E"/>
    <w:rsid w:val="00BD71D3"/>
    <w:rsid w:val="00BD7561"/>
    <w:rsid w:val="00BD75DB"/>
    <w:rsid w:val="00BD76CE"/>
    <w:rsid w:val="00BD76F4"/>
    <w:rsid w:val="00BD778A"/>
    <w:rsid w:val="00BD7BC2"/>
    <w:rsid w:val="00BD7CE2"/>
    <w:rsid w:val="00BD7D18"/>
    <w:rsid w:val="00BD7E64"/>
    <w:rsid w:val="00BE00EB"/>
    <w:rsid w:val="00BE00FF"/>
    <w:rsid w:val="00BE010C"/>
    <w:rsid w:val="00BE013D"/>
    <w:rsid w:val="00BE021F"/>
    <w:rsid w:val="00BE027E"/>
    <w:rsid w:val="00BE034B"/>
    <w:rsid w:val="00BE03ED"/>
    <w:rsid w:val="00BE0527"/>
    <w:rsid w:val="00BE053B"/>
    <w:rsid w:val="00BE0774"/>
    <w:rsid w:val="00BE0870"/>
    <w:rsid w:val="00BE091C"/>
    <w:rsid w:val="00BE094F"/>
    <w:rsid w:val="00BE0A4F"/>
    <w:rsid w:val="00BE0C69"/>
    <w:rsid w:val="00BE0ED1"/>
    <w:rsid w:val="00BE0F54"/>
    <w:rsid w:val="00BE0FF7"/>
    <w:rsid w:val="00BE1077"/>
    <w:rsid w:val="00BE114F"/>
    <w:rsid w:val="00BE11BA"/>
    <w:rsid w:val="00BE1225"/>
    <w:rsid w:val="00BE12A8"/>
    <w:rsid w:val="00BE1474"/>
    <w:rsid w:val="00BE166B"/>
    <w:rsid w:val="00BE1778"/>
    <w:rsid w:val="00BE186C"/>
    <w:rsid w:val="00BE1976"/>
    <w:rsid w:val="00BE19A5"/>
    <w:rsid w:val="00BE1A95"/>
    <w:rsid w:val="00BE1BE3"/>
    <w:rsid w:val="00BE1C4D"/>
    <w:rsid w:val="00BE1C71"/>
    <w:rsid w:val="00BE1CD7"/>
    <w:rsid w:val="00BE1DC1"/>
    <w:rsid w:val="00BE2217"/>
    <w:rsid w:val="00BE228B"/>
    <w:rsid w:val="00BE229F"/>
    <w:rsid w:val="00BE2314"/>
    <w:rsid w:val="00BE2351"/>
    <w:rsid w:val="00BE236E"/>
    <w:rsid w:val="00BE2593"/>
    <w:rsid w:val="00BE25D9"/>
    <w:rsid w:val="00BE2719"/>
    <w:rsid w:val="00BE2909"/>
    <w:rsid w:val="00BE2AB2"/>
    <w:rsid w:val="00BE2B6E"/>
    <w:rsid w:val="00BE2B79"/>
    <w:rsid w:val="00BE2DA0"/>
    <w:rsid w:val="00BE2DFD"/>
    <w:rsid w:val="00BE2F5F"/>
    <w:rsid w:val="00BE30CD"/>
    <w:rsid w:val="00BE3171"/>
    <w:rsid w:val="00BE342C"/>
    <w:rsid w:val="00BE34B4"/>
    <w:rsid w:val="00BE3739"/>
    <w:rsid w:val="00BE37D4"/>
    <w:rsid w:val="00BE37DE"/>
    <w:rsid w:val="00BE38E7"/>
    <w:rsid w:val="00BE390A"/>
    <w:rsid w:val="00BE394E"/>
    <w:rsid w:val="00BE3AE9"/>
    <w:rsid w:val="00BE3B89"/>
    <w:rsid w:val="00BE3BAD"/>
    <w:rsid w:val="00BE3BC3"/>
    <w:rsid w:val="00BE3BD3"/>
    <w:rsid w:val="00BE3D85"/>
    <w:rsid w:val="00BE3FEE"/>
    <w:rsid w:val="00BE3FF6"/>
    <w:rsid w:val="00BE44D7"/>
    <w:rsid w:val="00BE4841"/>
    <w:rsid w:val="00BE4BFB"/>
    <w:rsid w:val="00BE4C4F"/>
    <w:rsid w:val="00BE4FB2"/>
    <w:rsid w:val="00BE503F"/>
    <w:rsid w:val="00BE510E"/>
    <w:rsid w:val="00BE5192"/>
    <w:rsid w:val="00BE519F"/>
    <w:rsid w:val="00BE523D"/>
    <w:rsid w:val="00BE524B"/>
    <w:rsid w:val="00BE5360"/>
    <w:rsid w:val="00BE5438"/>
    <w:rsid w:val="00BE54A3"/>
    <w:rsid w:val="00BE570C"/>
    <w:rsid w:val="00BE5842"/>
    <w:rsid w:val="00BE589D"/>
    <w:rsid w:val="00BE5A71"/>
    <w:rsid w:val="00BE5B3C"/>
    <w:rsid w:val="00BE5B65"/>
    <w:rsid w:val="00BE5C11"/>
    <w:rsid w:val="00BE5C16"/>
    <w:rsid w:val="00BE5CD7"/>
    <w:rsid w:val="00BE5DB3"/>
    <w:rsid w:val="00BE5EA2"/>
    <w:rsid w:val="00BE6017"/>
    <w:rsid w:val="00BE60B0"/>
    <w:rsid w:val="00BE612E"/>
    <w:rsid w:val="00BE6134"/>
    <w:rsid w:val="00BE6221"/>
    <w:rsid w:val="00BE62B4"/>
    <w:rsid w:val="00BE63AB"/>
    <w:rsid w:val="00BE63F6"/>
    <w:rsid w:val="00BE656F"/>
    <w:rsid w:val="00BE6574"/>
    <w:rsid w:val="00BE65DF"/>
    <w:rsid w:val="00BE6778"/>
    <w:rsid w:val="00BE679D"/>
    <w:rsid w:val="00BE68AE"/>
    <w:rsid w:val="00BE68D8"/>
    <w:rsid w:val="00BE68E3"/>
    <w:rsid w:val="00BE6A2D"/>
    <w:rsid w:val="00BE6A4D"/>
    <w:rsid w:val="00BE6AD8"/>
    <w:rsid w:val="00BE6C55"/>
    <w:rsid w:val="00BE6CEB"/>
    <w:rsid w:val="00BE6D3E"/>
    <w:rsid w:val="00BE6E21"/>
    <w:rsid w:val="00BE6E2D"/>
    <w:rsid w:val="00BE6F8E"/>
    <w:rsid w:val="00BE720A"/>
    <w:rsid w:val="00BE732E"/>
    <w:rsid w:val="00BE7462"/>
    <w:rsid w:val="00BE746E"/>
    <w:rsid w:val="00BE7737"/>
    <w:rsid w:val="00BE787D"/>
    <w:rsid w:val="00BE7BE3"/>
    <w:rsid w:val="00BE7C2B"/>
    <w:rsid w:val="00BE7CFC"/>
    <w:rsid w:val="00BE7E0C"/>
    <w:rsid w:val="00BE7F30"/>
    <w:rsid w:val="00BE7F79"/>
    <w:rsid w:val="00BE7F92"/>
    <w:rsid w:val="00BE7FE4"/>
    <w:rsid w:val="00BE7FF1"/>
    <w:rsid w:val="00BF0026"/>
    <w:rsid w:val="00BF007C"/>
    <w:rsid w:val="00BF00D7"/>
    <w:rsid w:val="00BF026D"/>
    <w:rsid w:val="00BF028F"/>
    <w:rsid w:val="00BF0377"/>
    <w:rsid w:val="00BF0450"/>
    <w:rsid w:val="00BF0459"/>
    <w:rsid w:val="00BF05C1"/>
    <w:rsid w:val="00BF06E0"/>
    <w:rsid w:val="00BF074D"/>
    <w:rsid w:val="00BF07E1"/>
    <w:rsid w:val="00BF08B0"/>
    <w:rsid w:val="00BF08B7"/>
    <w:rsid w:val="00BF09DF"/>
    <w:rsid w:val="00BF0AF5"/>
    <w:rsid w:val="00BF0B9F"/>
    <w:rsid w:val="00BF0D5F"/>
    <w:rsid w:val="00BF10E2"/>
    <w:rsid w:val="00BF1114"/>
    <w:rsid w:val="00BF1165"/>
    <w:rsid w:val="00BF1313"/>
    <w:rsid w:val="00BF1317"/>
    <w:rsid w:val="00BF1442"/>
    <w:rsid w:val="00BF15BF"/>
    <w:rsid w:val="00BF1806"/>
    <w:rsid w:val="00BF1829"/>
    <w:rsid w:val="00BF1B01"/>
    <w:rsid w:val="00BF1B2A"/>
    <w:rsid w:val="00BF1DE0"/>
    <w:rsid w:val="00BF1E54"/>
    <w:rsid w:val="00BF1EB3"/>
    <w:rsid w:val="00BF201B"/>
    <w:rsid w:val="00BF207C"/>
    <w:rsid w:val="00BF2143"/>
    <w:rsid w:val="00BF219F"/>
    <w:rsid w:val="00BF22A7"/>
    <w:rsid w:val="00BF2497"/>
    <w:rsid w:val="00BF2647"/>
    <w:rsid w:val="00BF299C"/>
    <w:rsid w:val="00BF2D9D"/>
    <w:rsid w:val="00BF2F65"/>
    <w:rsid w:val="00BF3239"/>
    <w:rsid w:val="00BF35FC"/>
    <w:rsid w:val="00BF3683"/>
    <w:rsid w:val="00BF3802"/>
    <w:rsid w:val="00BF39D9"/>
    <w:rsid w:val="00BF3E13"/>
    <w:rsid w:val="00BF3E3C"/>
    <w:rsid w:val="00BF3EB1"/>
    <w:rsid w:val="00BF3F20"/>
    <w:rsid w:val="00BF3FD3"/>
    <w:rsid w:val="00BF3FF1"/>
    <w:rsid w:val="00BF40E5"/>
    <w:rsid w:val="00BF4199"/>
    <w:rsid w:val="00BF41A3"/>
    <w:rsid w:val="00BF41B7"/>
    <w:rsid w:val="00BF4233"/>
    <w:rsid w:val="00BF4553"/>
    <w:rsid w:val="00BF45FB"/>
    <w:rsid w:val="00BF4634"/>
    <w:rsid w:val="00BF47EC"/>
    <w:rsid w:val="00BF4814"/>
    <w:rsid w:val="00BF4847"/>
    <w:rsid w:val="00BF49EE"/>
    <w:rsid w:val="00BF4A22"/>
    <w:rsid w:val="00BF4A2C"/>
    <w:rsid w:val="00BF4ACB"/>
    <w:rsid w:val="00BF4CF0"/>
    <w:rsid w:val="00BF4E31"/>
    <w:rsid w:val="00BF4E7F"/>
    <w:rsid w:val="00BF5020"/>
    <w:rsid w:val="00BF53AB"/>
    <w:rsid w:val="00BF5512"/>
    <w:rsid w:val="00BF578F"/>
    <w:rsid w:val="00BF57DD"/>
    <w:rsid w:val="00BF57F7"/>
    <w:rsid w:val="00BF5833"/>
    <w:rsid w:val="00BF5897"/>
    <w:rsid w:val="00BF58F8"/>
    <w:rsid w:val="00BF5901"/>
    <w:rsid w:val="00BF5D82"/>
    <w:rsid w:val="00BF5E44"/>
    <w:rsid w:val="00BF5E88"/>
    <w:rsid w:val="00BF5E90"/>
    <w:rsid w:val="00BF5EF5"/>
    <w:rsid w:val="00BF617D"/>
    <w:rsid w:val="00BF61FC"/>
    <w:rsid w:val="00BF6234"/>
    <w:rsid w:val="00BF62EC"/>
    <w:rsid w:val="00BF6347"/>
    <w:rsid w:val="00BF63B4"/>
    <w:rsid w:val="00BF640A"/>
    <w:rsid w:val="00BF640D"/>
    <w:rsid w:val="00BF65CC"/>
    <w:rsid w:val="00BF66CF"/>
    <w:rsid w:val="00BF66F0"/>
    <w:rsid w:val="00BF6794"/>
    <w:rsid w:val="00BF6880"/>
    <w:rsid w:val="00BF6908"/>
    <w:rsid w:val="00BF6A9D"/>
    <w:rsid w:val="00BF6C7C"/>
    <w:rsid w:val="00BF6D47"/>
    <w:rsid w:val="00BF6F01"/>
    <w:rsid w:val="00BF6F09"/>
    <w:rsid w:val="00BF6FC8"/>
    <w:rsid w:val="00BF707E"/>
    <w:rsid w:val="00BF70A3"/>
    <w:rsid w:val="00BF729C"/>
    <w:rsid w:val="00BF72A0"/>
    <w:rsid w:val="00BF72C4"/>
    <w:rsid w:val="00BF736C"/>
    <w:rsid w:val="00BF73C9"/>
    <w:rsid w:val="00BF748A"/>
    <w:rsid w:val="00BF74A9"/>
    <w:rsid w:val="00BF7670"/>
    <w:rsid w:val="00BF76C3"/>
    <w:rsid w:val="00BF7708"/>
    <w:rsid w:val="00BF7741"/>
    <w:rsid w:val="00BF7946"/>
    <w:rsid w:val="00BF79EE"/>
    <w:rsid w:val="00BF7B60"/>
    <w:rsid w:val="00BF7C86"/>
    <w:rsid w:val="00BF7E2B"/>
    <w:rsid w:val="00BF7E40"/>
    <w:rsid w:val="00BF7E53"/>
    <w:rsid w:val="00BF7E60"/>
    <w:rsid w:val="00C00010"/>
    <w:rsid w:val="00C0004C"/>
    <w:rsid w:val="00C000A5"/>
    <w:rsid w:val="00C00234"/>
    <w:rsid w:val="00C00291"/>
    <w:rsid w:val="00C00464"/>
    <w:rsid w:val="00C004AA"/>
    <w:rsid w:val="00C00576"/>
    <w:rsid w:val="00C005E1"/>
    <w:rsid w:val="00C00668"/>
    <w:rsid w:val="00C008A0"/>
    <w:rsid w:val="00C009B4"/>
    <w:rsid w:val="00C00A38"/>
    <w:rsid w:val="00C00AF1"/>
    <w:rsid w:val="00C00B2F"/>
    <w:rsid w:val="00C00B4D"/>
    <w:rsid w:val="00C00B5D"/>
    <w:rsid w:val="00C00B86"/>
    <w:rsid w:val="00C00CE3"/>
    <w:rsid w:val="00C00DE4"/>
    <w:rsid w:val="00C00E0C"/>
    <w:rsid w:val="00C00FB3"/>
    <w:rsid w:val="00C01166"/>
    <w:rsid w:val="00C01248"/>
    <w:rsid w:val="00C012D3"/>
    <w:rsid w:val="00C01327"/>
    <w:rsid w:val="00C013F1"/>
    <w:rsid w:val="00C01441"/>
    <w:rsid w:val="00C01444"/>
    <w:rsid w:val="00C0145B"/>
    <w:rsid w:val="00C0160E"/>
    <w:rsid w:val="00C01665"/>
    <w:rsid w:val="00C01856"/>
    <w:rsid w:val="00C019C0"/>
    <w:rsid w:val="00C01ABC"/>
    <w:rsid w:val="00C01AFD"/>
    <w:rsid w:val="00C01B26"/>
    <w:rsid w:val="00C01B4B"/>
    <w:rsid w:val="00C01B78"/>
    <w:rsid w:val="00C01C40"/>
    <w:rsid w:val="00C01C70"/>
    <w:rsid w:val="00C01D7F"/>
    <w:rsid w:val="00C01E32"/>
    <w:rsid w:val="00C01F19"/>
    <w:rsid w:val="00C01FAB"/>
    <w:rsid w:val="00C0214F"/>
    <w:rsid w:val="00C021FE"/>
    <w:rsid w:val="00C0227D"/>
    <w:rsid w:val="00C026DA"/>
    <w:rsid w:val="00C0271E"/>
    <w:rsid w:val="00C02839"/>
    <w:rsid w:val="00C028F0"/>
    <w:rsid w:val="00C02A0A"/>
    <w:rsid w:val="00C02ACD"/>
    <w:rsid w:val="00C02C00"/>
    <w:rsid w:val="00C02C94"/>
    <w:rsid w:val="00C02CDB"/>
    <w:rsid w:val="00C02D79"/>
    <w:rsid w:val="00C02DDC"/>
    <w:rsid w:val="00C02EFA"/>
    <w:rsid w:val="00C02F45"/>
    <w:rsid w:val="00C02F9B"/>
    <w:rsid w:val="00C02FB8"/>
    <w:rsid w:val="00C030A7"/>
    <w:rsid w:val="00C03165"/>
    <w:rsid w:val="00C03224"/>
    <w:rsid w:val="00C03389"/>
    <w:rsid w:val="00C035AD"/>
    <w:rsid w:val="00C036C4"/>
    <w:rsid w:val="00C036C9"/>
    <w:rsid w:val="00C03738"/>
    <w:rsid w:val="00C037C2"/>
    <w:rsid w:val="00C038B2"/>
    <w:rsid w:val="00C038FF"/>
    <w:rsid w:val="00C03B97"/>
    <w:rsid w:val="00C03E0B"/>
    <w:rsid w:val="00C03E81"/>
    <w:rsid w:val="00C03F31"/>
    <w:rsid w:val="00C0406C"/>
    <w:rsid w:val="00C04124"/>
    <w:rsid w:val="00C0414F"/>
    <w:rsid w:val="00C0422B"/>
    <w:rsid w:val="00C0423C"/>
    <w:rsid w:val="00C04249"/>
    <w:rsid w:val="00C0428D"/>
    <w:rsid w:val="00C042EC"/>
    <w:rsid w:val="00C04450"/>
    <w:rsid w:val="00C044FC"/>
    <w:rsid w:val="00C04538"/>
    <w:rsid w:val="00C04631"/>
    <w:rsid w:val="00C046A9"/>
    <w:rsid w:val="00C047C0"/>
    <w:rsid w:val="00C048F7"/>
    <w:rsid w:val="00C04934"/>
    <w:rsid w:val="00C0499E"/>
    <w:rsid w:val="00C049C3"/>
    <w:rsid w:val="00C04A3C"/>
    <w:rsid w:val="00C04A48"/>
    <w:rsid w:val="00C04A81"/>
    <w:rsid w:val="00C04B3D"/>
    <w:rsid w:val="00C04CDE"/>
    <w:rsid w:val="00C04E96"/>
    <w:rsid w:val="00C0508E"/>
    <w:rsid w:val="00C0509E"/>
    <w:rsid w:val="00C05107"/>
    <w:rsid w:val="00C0512C"/>
    <w:rsid w:val="00C05226"/>
    <w:rsid w:val="00C053B8"/>
    <w:rsid w:val="00C05426"/>
    <w:rsid w:val="00C05494"/>
    <w:rsid w:val="00C054AF"/>
    <w:rsid w:val="00C054CA"/>
    <w:rsid w:val="00C05617"/>
    <w:rsid w:val="00C056FF"/>
    <w:rsid w:val="00C057C7"/>
    <w:rsid w:val="00C057C8"/>
    <w:rsid w:val="00C057CF"/>
    <w:rsid w:val="00C058D3"/>
    <w:rsid w:val="00C0593B"/>
    <w:rsid w:val="00C05B43"/>
    <w:rsid w:val="00C05BDF"/>
    <w:rsid w:val="00C05C9A"/>
    <w:rsid w:val="00C05ECF"/>
    <w:rsid w:val="00C05F62"/>
    <w:rsid w:val="00C060E1"/>
    <w:rsid w:val="00C06389"/>
    <w:rsid w:val="00C06456"/>
    <w:rsid w:val="00C064C9"/>
    <w:rsid w:val="00C065E4"/>
    <w:rsid w:val="00C066D0"/>
    <w:rsid w:val="00C066FF"/>
    <w:rsid w:val="00C0670B"/>
    <w:rsid w:val="00C06765"/>
    <w:rsid w:val="00C06834"/>
    <w:rsid w:val="00C06A6B"/>
    <w:rsid w:val="00C06B38"/>
    <w:rsid w:val="00C06B39"/>
    <w:rsid w:val="00C06C14"/>
    <w:rsid w:val="00C06C2C"/>
    <w:rsid w:val="00C06C33"/>
    <w:rsid w:val="00C06CDA"/>
    <w:rsid w:val="00C06DBA"/>
    <w:rsid w:val="00C06DD2"/>
    <w:rsid w:val="00C06DD6"/>
    <w:rsid w:val="00C06E14"/>
    <w:rsid w:val="00C06EB5"/>
    <w:rsid w:val="00C06EFA"/>
    <w:rsid w:val="00C07036"/>
    <w:rsid w:val="00C07122"/>
    <w:rsid w:val="00C071F2"/>
    <w:rsid w:val="00C07210"/>
    <w:rsid w:val="00C073B4"/>
    <w:rsid w:val="00C073CC"/>
    <w:rsid w:val="00C07442"/>
    <w:rsid w:val="00C0752C"/>
    <w:rsid w:val="00C07609"/>
    <w:rsid w:val="00C07778"/>
    <w:rsid w:val="00C0784D"/>
    <w:rsid w:val="00C079C9"/>
    <w:rsid w:val="00C07A40"/>
    <w:rsid w:val="00C07A5A"/>
    <w:rsid w:val="00C07A80"/>
    <w:rsid w:val="00C07A98"/>
    <w:rsid w:val="00C07B1B"/>
    <w:rsid w:val="00C07B2B"/>
    <w:rsid w:val="00C07C86"/>
    <w:rsid w:val="00C07E78"/>
    <w:rsid w:val="00C07E86"/>
    <w:rsid w:val="00C07F4B"/>
    <w:rsid w:val="00C07F8D"/>
    <w:rsid w:val="00C100F0"/>
    <w:rsid w:val="00C101A1"/>
    <w:rsid w:val="00C10206"/>
    <w:rsid w:val="00C1032F"/>
    <w:rsid w:val="00C103BB"/>
    <w:rsid w:val="00C10482"/>
    <w:rsid w:val="00C10557"/>
    <w:rsid w:val="00C10840"/>
    <w:rsid w:val="00C108E1"/>
    <w:rsid w:val="00C10932"/>
    <w:rsid w:val="00C10954"/>
    <w:rsid w:val="00C10985"/>
    <w:rsid w:val="00C109DC"/>
    <w:rsid w:val="00C10AB2"/>
    <w:rsid w:val="00C10C7F"/>
    <w:rsid w:val="00C10D17"/>
    <w:rsid w:val="00C10E1F"/>
    <w:rsid w:val="00C10E50"/>
    <w:rsid w:val="00C10F4D"/>
    <w:rsid w:val="00C1107E"/>
    <w:rsid w:val="00C110CD"/>
    <w:rsid w:val="00C1118D"/>
    <w:rsid w:val="00C111B4"/>
    <w:rsid w:val="00C11266"/>
    <w:rsid w:val="00C114D1"/>
    <w:rsid w:val="00C115D3"/>
    <w:rsid w:val="00C117F0"/>
    <w:rsid w:val="00C118B2"/>
    <w:rsid w:val="00C11976"/>
    <w:rsid w:val="00C11A9E"/>
    <w:rsid w:val="00C11ACE"/>
    <w:rsid w:val="00C11D94"/>
    <w:rsid w:val="00C1202F"/>
    <w:rsid w:val="00C120FD"/>
    <w:rsid w:val="00C12136"/>
    <w:rsid w:val="00C12444"/>
    <w:rsid w:val="00C12511"/>
    <w:rsid w:val="00C125FB"/>
    <w:rsid w:val="00C1267F"/>
    <w:rsid w:val="00C128CC"/>
    <w:rsid w:val="00C12978"/>
    <w:rsid w:val="00C12989"/>
    <w:rsid w:val="00C12ABF"/>
    <w:rsid w:val="00C12B70"/>
    <w:rsid w:val="00C12B74"/>
    <w:rsid w:val="00C12D45"/>
    <w:rsid w:val="00C12D7F"/>
    <w:rsid w:val="00C12E92"/>
    <w:rsid w:val="00C130C9"/>
    <w:rsid w:val="00C13113"/>
    <w:rsid w:val="00C13159"/>
    <w:rsid w:val="00C131A2"/>
    <w:rsid w:val="00C1326D"/>
    <w:rsid w:val="00C132CA"/>
    <w:rsid w:val="00C133AC"/>
    <w:rsid w:val="00C1345C"/>
    <w:rsid w:val="00C13468"/>
    <w:rsid w:val="00C13491"/>
    <w:rsid w:val="00C134B9"/>
    <w:rsid w:val="00C134DB"/>
    <w:rsid w:val="00C135E2"/>
    <w:rsid w:val="00C1374F"/>
    <w:rsid w:val="00C137E4"/>
    <w:rsid w:val="00C138BD"/>
    <w:rsid w:val="00C138F1"/>
    <w:rsid w:val="00C13959"/>
    <w:rsid w:val="00C139C9"/>
    <w:rsid w:val="00C13C3F"/>
    <w:rsid w:val="00C13C60"/>
    <w:rsid w:val="00C13CB1"/>
    <w:rsid w:val="00C13D90"/>
    <w:rsid w:val="00C13F0D"/>
    <w:rsid w:val="00C140EE"/>
    <w:rsid w:val="00C1411C"/>
    <w:rsid w:val="00C1431D"/>
    <w:rsid w:val="00C14377"/>
    <w:rsid w:val="00C14422"/>
    <w:rsid w:val="00C146EF"/>
    <w:rsid w:val="00C1486D"/>
    <w:rsid w:val="00C14917"/>
    <w:rsid w:val="00C14A85"/>
    <w:rsid w:val="00C14BE4"/>
    <w:rsid w:val="00C14C5B"/>
    <w:rsid w:val="00C14C5F"/>
    <w:rsid w:val="00C14F22"/>
    <w:rsid w:val="00C14F68"/>
    <w:rsid w:val="00C150A8"/>
    <w:rsid w:val="00C150C8"/>
    <w:rsid w:val="00C150F7"/>
    <w:rsid w:val="00C15349"/>
    <w:rsid w:val="00C153ED"/>
    <w:rsid w:val="00C157C0"/>
    <w:rsid w:val="00C1583E"/>
    <w:rsid w:val="00C15881"/>
    <w:rsid w:val="00C158E9"/>
    <w:rsid w:val="00C15943"/>
    <w:rsid w:val="00C15A90"/>
    <w:rsid w:val="00C15B53"/>
    <w:rsid w:val="00C15F8F"/>
    <w:rsid w:val="00C15FA3"/>
    <w:rsid w:val="00C160D9"/>
    <w:rsid w:val="00C162BB"/>
    <w:rsid w:val="00C16389"/>
    <w:rsid w:val="00C16548"/>
    <w:rsid w:val="00C1656D"/>
    <w:rsid w:val="00C167F7"/>
    <w:rsid w:val="00C168F8"/>
    <w:rsid w:val="00C16909"/>
    <w:rsid w:val="00C169FD"/>
    <w:rsid w:val="00C16B44"/>
    <w:rsid w:val="00C16C1D"/>
    <w:rsid w:val="00C16D01"/>
    <w:rsid w:val="00C16E13"/>
    <w:rsid w:val="00C16F56"/>
    <w:rsid w:val="00C17077"/>
    <w:rsid w:val="00C171A4"/>
    <w:rsid w:val="00C173D9"/>
    <w:rsid w:val="00C17420"/>
    <w:rsid w:val="00C17547"/>
    <w:rsid w:val="00C17948"/>
    <w:rsid w:val="00C179CB"/>
    <w:rsid w:val="00C17AB6"/>
    <w:rsid w:val="00C17B4B"/>
    <w:rsid w:val="00C17B8F"/>
    <w:rsid w:val="00C17D22"/>
    <w:rsid w:val="00C17E9B"/>
    <w:rsid w:val="00C200D7"/>
    <w:rsid w:val="00C200F5"/>
    <w:rsid w:val="00C2016C"/>
    <w:rsid w:val="00C20534"/>
    <w:rsid w:val="00C20566"/>
    <w:rsid w:val="00C205FE"/>
    <w:rsid w:val="00C20623"/>
    <w:rsid w:val="00C2084D"/>
    <w:rsid w:val="00C2091E"/>
    <w:rsid w:val="00C20932"/>
    <w:rsid w:val="00C20B0D"/>
    <w:rsid w:val="00C20CC7"/>
    <w:rsid w:val="00C20D7B"/>
    <w:rsid w:val="00C20E4B"/>
    <w:rsid w:val="00C21070"/>
    <w:rsid w:val="00C2109A"/>
    <w:rsid w:val="00C210A7"/>
    <w:rsid w:val="00C210AC"/>
    <w:rsid w:val="00C2115A"/>
    <w:rsid w:val="00C2127D"/>
    <w:rsid w:val="00C21306"/>
    <w:rsid w:val="00C2148B"/>
    <w:rsid w:val="00C215B8"/>
    <w:rsid w:val="00C216E5"/>
    <w:rsid w:val="00C21777"/>
    <w:rsid w:val="00C2177D"/>
    <w:rsid w:val="00C217E1"/>
    <w:rsid w:val="00C218B3"/>
    <w:rsid w:val="00C21A8F"/>
    <w:rsid w:val="00C21AD8"/>
    <w:rsid w:val="00C21B7C"/>
    <w:rsid w:val="00C21BC2"/>
    <w:rsid w:val="00C21CB4"/>
    <w:rsid w:val="00C21E99"/>
    <w:rsid w:val="00C21F2B"/>
    <w:rsid w:val="00C21F2F"/>
    <w:rsid w:val="00C21FF0"/>
    <w:rsid w:val="00C2212E"/>
    <w:rsid w:val="00C2214B"/>
    <w:rsid w:val="00C222C7"/>
    <w:rsid w:val="00C22302"/>
    <w:rsid w:val="00C22356"/>
    <w:rsid w:val="00C22422"/>
    <w:rsid w:val="00C22501"/>
    <w:rsid w:val="00C226A1"/>
    <w:rsid w:val="00C22878"/>
    <w:rsid w:val="00C228EB"/>
    <w:rsid w:val="00C22B3C"/>
    <w:rsid w:val="00C22B5E"/>
    <w:rsid w:val="00C22CB7"/>
    <w:rsid w:val="00C22DB1"/>
    <w:rsid w:val="00C22F36"/>
    <w:rsid w:val="00C22F52"/>
    <w:rsid w:val="00C22FE3"/>
    <w:rsid w:val="00C230C0"/>
    <w:rsid w:val="00C23292"/>
    <w:rsid w:val="00C2341D"/>
    <w:rsid w:val="00C234FC"/>
    <w:rsid w:val="00C23841"/>
    <w:rsid w:val="00C23952"/>
    <w:rsid w:val="00C23AE6"/>
    <w:rsid w:val="00C23D81"/>
    <w:rsid w:val="00C23D87"/>
    <w:rsid w:val="00C23DAE"/>
    <w:rsid w:val="00C23DBD"/>
    <w:rsid w:val="00C23EC2"/>
    <w:rsid w:val="00C23EF7"/>
    <w:rsid w:val="00C24018"/>
    <w:rsid w:val="00C2415C"/>
    <w:rsid w:val="00C243FB"/>
    <w:rsid w:val="00C24488"/>
    <w:rsid w:val="00C244B4"/>
    <w:rsid w:val="00C2476C"/>
    <w:rsid w:val="00C24861"/>
    <w:rsid w:val="00C24877"/>
    <w:rsid w:val="00C248A9"/>
    <w:rsid w:val="00C248AD"/>
    <w:rsid w:val="00C24937"/>
    <w:rsid w:val="00C249F8"/>
    <w:rsid w:val="00C24A6F"/>
    <w:rsid w:val="00C24B02"/>
    <w:rsid w:val="00C24B2E"/>
    <w:rsid w:val="00C24B36"/>
    <w:rsid w:val="00C24BA4"/>
    <w:rsid w:val="00C24CC1"/>
    <w:rsid w:val="00C24F6A"/>
    <w:rsid w:val="00C24FC7"/>
    <w:rsid w:val="00C250FE"/>
    <w:rsid w:val="00C2511C"/>
    <w:rsid w:val="00C2522B"/>
    <w:rsid w:val="00C2541E"/>
    <w:rsid w:val="00C25563"/>
    <w:rsid w:val="00C255AB"/>
    <w:rsid w:val="00C255D6"/>
    <w:rsid w:val="00C256BB"/>
    <w:rsid w:val="00C257BC"/>
    <w:rsid w:val="00C2584A"/>
    <w:rsid w:val="00C25916"/>
    <w:rsid w:val="00C25B06"/>
    <w:rsid w:val="00C25B28"/>
    <w:rsid w:val="00C25B42"/>
    <w:rsid w:val="00C25B93"/>
    <w:rsid w:val="00C25C70"/>
    <w:rsid w:val="00C25C93"/>
    <w:rsid w:val="00C25EB6"/>
    <w:rsid w:val="00C25EF7"/>
    <w:rsid w:val="00C263F6"/>
    <w:rsid w:val="00C26421"/>
    <w:rsid w:val="00C2653B"/>
    <w:rsid w:val="00C26622"/>
    <w:rsid w:val="00C26623"/>
    <w:rsid w:val="00C26685"/>
    <w:rsid w:val="00C26700"/>
    <w:rsid w:val="00C267BB"/>
    <w:rsid w:val="00C26874"/>
    <w:rsid w:val="00C26B3A"/>
    <w:rsid w:val="00C26C6D"/>
    <w:rsid w:val="00C26C73"/>
    <w:rsid w:val="00C26F99"/>
    <w:rsid w:val="00C26FBA"/>
    <w:rsid w:val="00C26FE2"/>
    <w:rsid w:val="00C27298"/>
    <w:rsid w:val="00C2729A"/>
    <w:rsid w:val="00C275B9"/>
    <w:rsid w:val="00C275BD"/>
    <w:rsid w:val="00C2785E"/>
    <w:rsid w:val="00C27A95"/>
    <w:rsid w:val="00C27B1A"/>
    <w:rsid w:val="00C27BE8"/>
    <w:rsid w:val="00C27D81"/>
    <w:rsid w:val="00C27DD2"/>
    <w:rsid w:val="00C27F10"/>
    <w:rsid w:val="00C27FD1"/>
    <w:rsid w:val="00C27FE4"/>
    <w:rsid w:val="00C3019E"/>
    <w:rsid w:val="00C301CC"/>
    <w:rsid w:val="00C30423"/>
    <w:rsid w:val="00C3044C"/>
    <w:rsid w:val="00C3062A"/>
    <w:rsid w:val="00C30705"/>
    <w:rsid w:val="00C3073B"/>
    <w:rsid w:val="00C30763"/>
    <w:rsid w:val="00C30814"/>
    <w:rsid w:val="00C3083C"/>
    <w:rsid w:val="00C30892"/>
    <w:rsid w:val="00C30A44"/>
    <w:rsid w:val="00C30B0C"/>
    <w:rsid w:val="00C30B11"/>
    <w:rsid w:val="00C30BA9"/>
    <w:rsid w:val="00C30BB7"/>
    <w:rsid w:val="00C30C17"/>
    <w:rsid w:val="00C30C24"/>
    <w:rsid w:val="00C30D73"/>
    <w:rsid w:val="00C30E7E"/>
    <w:rsid w:val="00C30FDD"/>
    <w:rsid w:val="00C31042"/>
    <w:rsid w:val="00C31087"/>
    <w:rsid w:val="00C3108A"/>
    <w:rsid w:val="00C3133A"/>
    <w:rsid w:val="00C315C0"/>
    <w:rsid w:val="00C315E4"/>
    <w:rsid w:val="00C316B0"/>
    <w:rsid w:val="00C316F2"/>
    <w:rsid w:val="00C3179E"/>
    <w:rsid w:val="00C31838"/>
    <w:rsid w:val="00C31872"/>
    <w:rsid w:val="00C31895"/>
    <w:rsid w:val="00C31B8A"/>
    <w:rsid w:val="00C31BE2"/>
    <w:rsid w:val="00C31CAB"/>
    <w:rsid w:val="00C31D87"/>
    <w:rsid w:val="00C31EDE"/>
    <w:rsid w:val="00C31F23"/>
    <w:rsid w:val="00C31FD6"/>
    <w:rsid w:val="00C3203D"/>
    <w:rsid w:val="00C321ED"/>
    <w:rsid w:val="00C3228E"/>
    <w:rsid w:val="00C322E0"/>
    <w:rsid w:val="00C3231D"/>
    <w:rsid w:val="00C3232C"/>
    <w:rsid w:val="00C323A9"/>
    <w:rsid w:val="00C32407"/>
    <w:rsid w:val="00C32639"/>
    <w:rsid w:val="00C32751"/>
    <w:rsid w:val="00C327C4"/>
    <w:rsid w:val="00C32956"/>
    <w:rsid w:val="00C32A53"/>
    <w:rsid w:val="00C32ADC"/>
    <w:rsid w:val="00C32AF5"/>
    <w:rsid w:val="00C32B37"/>
    <w:rsid w:val="00C32CD2"/>
    <w:rsid w:val="00C32E4F"/>
    <w:rsid w:val="00C32F64"/>
    <w:rsid w:val="00C330D5"/>
    <w:rsid w:val="00C33192"/>
    <w:rsid w:val="00C3347E"/>
    <w:rsid w:val="00C33819"/>
    <w:rsid w:val="00C3382D"/>
    <w:rsid w:val="00C338E2"/>
    <w:rsid w:val="00C33942"/>
    <w:rsid w:val="00C33F4B"/>
    <w:rsid w:val="00C341B1"/>
    <w:rsid w:val="00C341FC"/>
    <w:rsid w:val="00C3431B"/>
    <w:rsid w:val="00C345B0"/>
    <w:rsid w:val="00C345D6"/>
    <w:rsid w:val="00C3470C"/>
    <w:rsid w:val="00C34713"/>
    <w:rsid w:val="00C34760"/>
    <w:rsid w:val="00C348A1"/>
    <w:rsid w:val="00C348BD"/>
    <w:rsid w:val="00C34922"/>
    <w:rsid w:val="00C34A8B"/>
    <w:rsid w:val="00C34BEE"/>
    <w:rsid w:val="00C34D4F"/>
    <w:rsid w:val="00C34D50"/>
    <w:rsid w:val="00C34EF6"/>
    <w:rsid w:val="00C34F5C"/>
    <w:rsid w:val="00C35040"/>
    <w:rsid w:val="00C35047"/>
    <w:rsid w:val="00C350D4"/>
    <w:rsid w:val="00C35151"/>
    <w:rsid w:val="00C3517E"/>
    <w:rsid w:val="00C351C0"/>
    <w:rsid w:val="00C353F4"/>
    <w:rsid w:val="00C355F7"/>
    <w:rsid w:val="00C356DC"/>
    <w:rsid w:val="00C356E3"/>
    <w:rsid w:val="00C3571D"/>
    <w:rsid w:val="00C35750"/>
    <w:rsid w:val="00C35757"/>
    <w:rsid w:val="00C35837"/>
    <w:rsid w:val="00C35990"/>
    <w:rsid w:val="00C35B6F"/>
    <w:rsid w:val="00C35C38"/>
    <w:rsid w:val="00C35C86"/>
    <w:rsid w:val="00C35E3D"/>
    <w:rsid w:val="00C35F00"/>
    <w:rsid w:val="00C35F27"/>
    <w:rsid w:val="00C36074"/>
    <w:rsid w:val="00C360A3"/>
    <w:rsid w:val="00C361DE"/>
    <w:rsid w:val="00C363AA"/>
    <w:rsid w:val="00C36425"/>
    <w:rsid w:val="00C36767"/>
    <w:rsid w:val="00C36993"/>
    <w:rsid w:val="00C369B5"/>
    <w:rsid w:val="00C369F1"/>
    <w:rsid w:val="00C36BBB"/>
    <w:rsid w:val="00C36C02"/>
    <w:rsid w:val="00C36C49"/>
    <w:rsid w:val="00C36CFD"/>
    <w:rsid w:val="00C36D9A"/>
    <w:rsid w:val="00C36F9E"/>
    <w:rsid w:val="00C37115"/>
    <w:rsid w:val="00C3726A"/>
    <w:rsid w:val="00C372C3"/>
    <w:rsid w:val="00C372E9"/>
    <w:rsid w:val="00C37371"/>
    <w:rsid w:val="00C374A4"/>
    <w:rsid w:val="00C37538"/>
    <w:rsid w:val="00C37556"/>
    <w:rsid w:val="00C37686"/>
    <w:rsid w:val="00C37855"/>
    <w:rsid w:val="00C378BE"/>
    <w:rsid w:val="00C3793E"/>
    <w:rsid w:val="00C37B5C"/>
    <w:rsid w:val="00C37BE2"/>
    <w:rsid w:val="00C37BF6"/>
    <w:rsid w:val="00C37EFC"/>
    <w:rsid w:val="00C37F4C"/>
    <w:rsid w:val="00C37F60"/>
    <w:rsid w:val="00C40055"/>
    <w:rsid w:val="00C40110"/>
    <w:rsid w:val="00C40235"/>
    <w:rsid w:val="00C403B0"/>
    <w:rsid w:val="00C403E9"/>
    <w:rsid w:val="00C404B4"/>
    <w:rsid w:val="00C4059F"/>
    <w:rsid w:val="00C405AE"/>
    <w:rsid w:val="00C40727"/>
    <w:rsid w:val="00C4091A"/>
    <w:rsid w:val="00C4096F"/>
    <w:rsid w:val="00C40A8E"/>
    <w:rsid w:val="00C40B4F"/>
    <w:rsid w:val="00C40C14"/>
    <w:rsid w:val="00C40D9D"/>
    <w:rsid w:val="00C41016"/>
    <w:rsid w:val="00C410D2"/>
    <w:rsid w:val="00C412B7"/>
    <w:rsid w:val="00C4137D"/>
    <w:rsid w:val="00C41402"/>
    <w:rsid w:val="00C417B0"/>
    <w:rsid w:val="00C41881"/>
    <w:rsid w:val="00C419AE"/>
    <w:rsid w:val="00C41A1C"/>
    <w:rsid w:val="00C41B36"/>
    <w:rsid w:val="00C41B77"/>
    <w:rsid w:val="00C41C1C"/>
    <w:rsid w:val="00C41C82"/>
    <w:rsid w:val="00C41D29"/>
    <w:rsid w:val="00C41D3D"/>
    <w:rsid w:val="00C41E55"/>
    <w:rsid w:val="00C41FD3"/>
    <w:rsid w:val="00C42053"/>
    <w:rsid w:val="00C42055"/>
    <w:rsid w:val="00C42093"/>
    <w:rsid w:val="00C42366"/>
    <w:rsid w:val="00C4248B"/>
    <w:rsid w:val="00C424D9"/>
    <w:rsid w:val="00C42608"/>
    <w:rsid w:val="00C4262A"/>
    <w:rsid w:val="00C42675"/>
    <w:rsid w:val="00C426CC"/>
    <w:rsid w:val="00C4278F"/>
    <w:rsid w:val="00C42993"/>
    <w:rsid w:val="00C42A00"/>
    <w:rsid w:val="00C42A5A"/>
    <w:rsid w:val="00C42B14"/>
    <w:rsid w:val="00C42B4D"/>
    <w:rsid w:val="00C42C71"/>
    <w:rsid w:val="00C42CC1"/>
    <w:rsid w:val="00C42D1E"/>
    <w:rsid w:val="00C42D46"/>
    <w:rsid w:val="00C42DB1"/>
    <w:rsid w:val="00C42EBF"/>
    <w:rsid w:val="00C42F54"/>
    <w:rsid w:val="00C430CB"/>
    <w:rsid w:val="00C43530"/>
    <w:rsid w:val="00C436D3"/>
    <w:rsid w:val="00C4388B"/>
    <w:rsid w:val="00C43994"/>
    <w:rsid w:val="00C43AC9"/>
    <w:rsid w:val="00C43C60"/>
    <w:rsid w:val="00C43D73"/>
    <w:rsid w:val="00C43E67"/>
    <w:rsid w:val="00C43ED5"/>
    <w:rsid w:val="00C43F2B"/>
    <w:rsid w:val="00C43F91"/>
    <w:rsid w:val="00C43FAA"/>
    <w:rsid w:val="00C44029"/>
    <w:rsid w:val="00C44174"/>
    <w:rsid w:val="00C4439E"/>
    <w:rsid w:val="00C443D3"/>
    <w:rsid w:val="00C44458"/>
    <w:rsid w:val="00C44508"/>
    <w:rsid w:val="00C44652"/>
    <w:rsid w:val="00C44891"/>
    <w:rsid w:val="00C44931"/>
    <w:rsid w:val="00C44AFD"/>
    <w:rsid w:val="00C44BAB"/>
    <w:rsid w:val="00C44C22"/>
    <w:rsid w:val="00C44C87"/>
    <w:rsid w:val="00C44DA5"/>
    <w:rsid w:val="00C44DAC"/>
    <w:rsid w:val="00C44E8C"/>
    <w:rsid w:val="00C44F0A"/>
    <w:rsid w:val="00C44F59"/>
    <w:rsid w:val="00C45027"/>
    <w:rsid w:val="00C451BA"/>
    <w:rsid w:val="00C452A4"/>
    <w:rsid w:val="00C4531D"/>
    <w:rsid w:val="00C453DE"/>
    <w:rsid w:val="00C454D3"/>
    <w:rsid w:val="00C45562"/>
    <w:rsid w:val="00C4562C"/>
    <w:rsid w:val="00C45782"/>
    <w:rsid w:val="00C457C9"/>
    <w:rsid w:val="00C45871"/>
    <w:rsid w:val="00C459FC"/>
    <w:rsid w:val="00C45A2E"/>
    <w:rsid w:val="00C45A51"/>
    <w:rsid w:val="00C45ABE"/>
    <w:rsid w:val="00C45C47"/>
    <w:rsid w:val="00C45D76"/>
    <w:rsid w:val="00C45E9A"/>
    <w:rsid w:val="00C45EA8"/>
    <w:rsid w:val="00C45F77"/>
    <w:rsid w:val="00C460C9"/>
    <w:rsid w:val="00C4611E"/>
    <w:rsid w:val="00C461C7"/>
    <w:rsid w:val="00C462E7"/>
    <w:rsid w:val="00C463DF"/>
    <w:rsid w:val="00C4642E"/>
    <w:rsid w:val="00C464D6"/>
    <w:rsid w:val="00C464FD"/>
    <w:rsid w:val="00C466E8"/>
    <w:rsid w:val="00C46700"/>
    <w:rsid w:val="00C467CA"/>
    <w:rsid w:val="00C46803"/>
    <w:rsid w:val="00C4694F"/>
    <w:rsid w:val="00C469A8"/>
    <w:rsid w:val="00C46A27"/>
    <w:rsid w:val="00C46A38"/>
    <w:rsid w:val="00C46A5B"/>
    <w:rsid w:val="00C46CEA"/>
    <w:rsid w:val="00C46D5B"/>
    <w:rsid w:val="00C46E72"/>
    <w:rsid w:val="00C46E78"/>
    <w:rsid w:val="00C47096"/>
    <w:rsid w:val="00C47151"/>
    <w:rsid w:val="00C4717B"/>
    <w:rsid w:val="00C47376"/>
    <w:rsid w:val="00C473B1"/>
    <w:rsid w:val="00C47663"/>
    <w:rsid w:val="00C476B0"/>
    <w:rsid w:val="00C47725"/>
    <w:rsid w:val="00C4774D"/>
    <w:rsid w:val="00C4788B"/>
    <w:rsid w:val="00C4790B"/>
    <w:rsid w:val="00C4798A"/>
    <w:rsid w:val="00C479CB"/>
    <w:rsid w:val="00C479E4"/>
    <w:rsid w:val="00C47A15"/>
    <w:rsid w:val="00C47ACA"/>
    <w:rsid w:val="00C47BBA"/>
    <w:rsid w:val="00C47C6F"/>
    <w:rsid w:val="00C47CC8"/>
    <w:rsid w:val="00C47EDC"/>
    <w:rsid w:val="00C47F57"/>
    <w:rsid w:val="00C501AA"/>
    <w:rsid w:val="00C50464"/>
    <w:rsid w:val="00C504EF"/>
    <w:rsid w:val="00C50560"/>
    <w:rsid w:val="00C505EC"/>
    <w:rsid w:val="00C5065E"/>
    <w:rsid w:val="00C506AC"/>
    <w:rsid w:val="00C50794"/>
    <w:rsid w:val="00C507DF"/>
    <w:rsid w:val="00C507F3"/>
    <w:rsid w:val="00C5082E"/>
    <w:rsid w:val="00C50885"/>
    <w:rsid w:val="00C508C4"/>
    <w:rsid w:val="00C50944"/>
    <w:rsid w:val="00C50987"/>
    <w:rsid w:val="00C50C84"/>
    <w:rsid w:val="00C50C87"/>
    <w:rsid w:val="00C50D91"/>
    <w:rsid w:val="00C51045"/>
    <w:rsid w:val="00C51062"/>
    <w:rsid w:val="00C51156"/>
    <w:rsid w:val="00C51526"/>
    <w:rsid w:val="00C51664"/>
    <w:rsid w:val="00C51673"/>
    <w:rsid w:val="00C51677"/>
    <w:rsid w:val="00C51700"/>
    <w:rsid w:val="00C51772"/>
    <w:rsid w:val="00C51910"/>
    <w:rsid w:val="00C51923"/>
    <w:rsid w:val="00C51A28"/>
    <w:rsid w:val="00C51A2B"/>
    <w:rsid w:val="00C51B2F"/>
    <w:rsid w:val="00C51C0A"/>
    <w:rsid w:val="00C51CB3"/>
    <w:rsid w:val="00C51D1D"/>
    <w:rsid w:val="00C51E60"/>
    <w:rsid w:val="00C51F51"/>
    <w:rsid w:val="00C51FB7"/>
    <w:rsid w:val="00C5202D"/>
    <w:rsid w:val="00C52129"/>
    <w:rsid w:val="00C5219D"/>
    <w:rsid w:val="00C521CB"/>
    <w:rsid w:val="00C5222F"/>
    <w:rsid w:val="00C522C2"/>
    <w:rsid w:val="00C52384"/>
    <w:rsid w:val="00C523B7"/>
    <w:rsid w:val="00C5242B"/>
    <w:rsid w:val="00C52534"/>
    <w:rsid w:val="00C52722"/>
    <w:rsid w:val="00C5280E"/>
    <w:rsid w:val="00C52829"/>
    <w:rsid w:val="00C52872"/>
    <w:rsid w:val="00C528C5"/>
    <w:rsid w:val="00C528FB"/>
    <w:rsid w:val="00C52971"/>
    <w:rsid w:val="00C52C76"/>
    <w:rsid w:val="00C52D71"/>
    <w:rsid w:val="00C52DE6"/>
    <w:rsid w:val="00C52E35"/>
    <w:rsid w:val="00C52E4A"/>
    <w:rsid w:val="00C52F1F"/>
    <w:rsid w:val="00C52F4B"/>
    <w:rsid w:val="00C5309D"/>
    <w:rsid w:val="00C53253"/>
    <w:rsid w:val="00C532AF"/>
    <w:rsid w:val="00C5334C"/>
    <w:rsid w:val="00C53363"/>
    <w:rsid w:val="00C53437"/>
    <w:rsid w:val="00C53684"/>
    <w:rsid w:val="00C536CB"/>
    <w:rsid w:val="00C5370B"/>
    <w:rsid w:val="00C537AE"/>
    <w:rsid w:val="00C537D8"/>
    <w:rsid w:val="00C53818"/>
    <w:rsid w:val="00C5382D"/>
    <w:rsid w:val="00C538D8"/>
    <w:rsid w:val="00C5393C"/>
    <w:rsid w:val="00C53948"/>
    <w:rsid w:val="00C53951"/>
    <w:rsid w:val="00C539A4"/>
    <w:rsid w:val="00C53A18"/>
    <w:rsid w:val="00C53B78"/>
    <w:rsid w:val="00C53B97"/>
    <w:rsid w:val="00C53C49"/>
    <w:rsid w:val="00C53C58"/>
    <w:rsid w:val="00C53D20"/>
    <w:rsid w:val="00C53D6D"/>
    <w:rsid w:val="00C53EFE"/>
    <w:rsid w:val="00C53FCF"/>
    <w:rsid w:val="00C53FFF"/>
    <w:rsid w:val="00C540A5"/>
    <w:rsid w:val="00C54145"/>
    <w:rsid w:val="00C5417E"/>
    <w:rsid w:val="00C54197"/>
    <w:rsid w:val="00C5423C"/>
    <w:rsid w:val="00C542F3"/>
    <w:rsid w:val="00C543F7"/>
    <w:rsid w:val="00C54527"/>
    <w:rsid w:val="00C54529"/>
    <w:rsid w:val="00C5462F"/>
    <w:rsid w:val="00C547F5"/>
    <w:rsid w:val="00C5488E"/>
    <w:rsid w:val="00C548F0"/>
    <w:rsid w:val="00C54A8B"/>
    <w:rsid w:val="00C54AE8"/>
    <w:rsid w:val="00C54C4F"/>
    <w:rsid w:val="00C54CD2"/>
    <w:rsid w:val="00C54D68"/>
    <w:rsid w:val="00C54EFB"/>
    <w:rsid w:val="00C54EFD"/>
    <w:rsid w:val="00C550C3"/>
    <w:rsid w:val="00C5531C"/>
    <w:rsid w:val="00C55364"/>
    <w:rsid w:val="00C55473"/>
    <w:rsid w:val="00C554C4"/>
    <w:rsid w:val="00C55551"/>
    <w:rsid w:val="00C55591"/>
    <w:rsid w:val="00C55639"/>
    <w:rsid w:val="00C55868"/>
    <w:rsid w:val="00C559F2"/>
    <w:rsid w:val="00C55A71"/>
    <w:rsid w:val="00C55BE7"/>
    <w:rsid w:val="00C55E9B"/>
    <w:rsid w:val="00C55E9E"/>
    <w:rsid w:val="00C55EE7"/>
    <w:rsid w:val="00C562EB"/>
    <w:rsid w:val="00C563CD"/>
    <w:rsid w:val="00C563D3"/>
    <w:rsid w:val="00C564CF"/>
    <w:rsid w:val="00C56561"/>
    <w:rsid w:val="00C565EA"/>
    <w:rsid w:val="00C56679"/>
    <w:rsid w:val="00C566DE"/>
    <w:rsid w:val="00C56715"/>
    <w:rsid w:val="00C569C8"/>
    <w:rsid w:val="00C56A64"/>
    <w:rsid w:val="00C56B6E"/>
    <w:rsid w:val="00C56B7A"/>
    <w:rsid w:val="00C56C59"/>
    <w:rsid w:val="00C56E05"/>
    <w:rsid w:val="00C56E6C"/>
    <w:rsid w:val="00C56FD5"/>
    <w:rsid w:val="00C571FC"/>
    <w:rsid w:val="00C57373"/>
    <w:rsid w:val="00C574D6"/>
    <w:rsid w:val="00C577FA"/>
    <w:rsid w:val="00C578C3"/>
    <w:rsid w:val="00C57904"/>
    <w:rsid w:val="00C57998"/>
    <w:rsid w:val="00C57AFC"/>
    <w:rsid w:val="00C57BF0"/>
    <w:rsid w:val="00C57E2F"/>
    <w:rsid w:val="00C57E74"/>
    <w:rsid w:val="00C60055"/>
    <w:rsid w:val="00C60063"/>
    <w:rsid w:val="00C60163"/>
    <w:rsid w:val="00C6043B"/>
    <w:rsid w:val="00C60440"/>
    <w:rsid w:val="00C604EB"/>
    <w:rsid w:val="00C60553"/>
    <w:rsid w:val="00C605EC"/>
    <w:rsid w:val="00C606BA"/>
    <w:rsid w:val="00C607B0"/>
    <w:rsid w:val="00C607D1"/>
    <w:rsid w:val="00C607DC"/>
    <w:rsid w:val="00C60868"/>
    <w:rsid w:val="00C60A87"/>
    <w:rsid w:val="00C60C9A"/>
    <w:rsid w:val="00C60D83"/>
    <w:rsid w:val="00C60DA6"/>
    <w:rsid w:val="00C60EA0"/>
    <w:rsid w:val="00C60EA3"/>
    <w:rsid w:val="00C60F77"/>
    <w:rsid w:val="00C60FB9"/>
    <w:rsid w:val="00C61058"/>
    <w:rsid w:val="00C610AF"/>
    <w:rsid w:val="00C611ED"/>
    <w:rsid w:val="00C612CC"/>
    <w:rsid w:val="00C61376"/>
    <w:rsid w:val="00C6138D"/>
    <w:rsid w:val="00C61754"/>
    <w:rsid w:val="00C61867"/>
    <w:rsid w:val="00C618CD"/>
    <w:rsid w:val="00C61917"/>
    <w:rsid w:val="00C61987"/>
    <w:rsid w:val="00C619BB"/>
    <w:rsid w:val="00C619C9"/>
    <w:rsid w:val="00C61A18"/>
    <w:rsid w:val="00C61AF4"/>
    <w:rsid w:val="00C61B40"/>
    <w:rsid w:val="00C61B5C"/>
    <w:rsid w:val="00C61B69"/>
    <w:rsid w:val="00C61C0C"/>
    <w:rsid w:val="00C61C34"/>
    <w:rsid w:val="00C61CC7"/>
    <w:rsid w:val="00C61D4D"/>
    <w:rsid w:val="00C61D74"/>
    <w:rsid w:val="00C61E95"/>
    <w:rsid w:val="00C62102"/>
    <w:rsid w:val="00C62151"/>
    <w:rsid w:val="00C6217E"/>
    <w:rsid w:val="00C621E4"/>
    <w:rsid w:val="00C622AF"/>
    <w:rsid w:val="00C623E5"/>
    <w:rsid w:val="00C62400"/>
    <w:rsid w:val="00C624E7"/>
    <w:rsid w:val="00C62588"/>
    <w:rsid w:val="00C62597"/>
    <w:rsid w:val="00C625C8"/>
    <w:rsid w:val="00C627AB"/>
    <w:rsid w:val="00C6281A"/>
    <w:rsid w:val="00C6283B"/>
    <w:rsid w:val="00C62981"/>
    <w:rsid w:val="00C62C2D"/>
    <w:rsid w:val="00C62F7D"/>
    <w:rsid w:val="00C62FCB"/>
    <w:rsid w:val="00C6302F"/>
    <w:rsid w:val="00C630A5"/>
    <w:rsid w:val="00C63181"/>
    <w:rsid w:val="00C631CE"/>
    <w:rsid w:val="00C6328C"/>
    <w:rsid w:val="00C6329C"/>
    <w:rsid w:val="00C633D2"/>
    <w:rsid w:val="00C63500"/>
    <w:rsid w:val="00C635DE"/>
    <w:rsid w:val="00C6361F"/>
    <w:rsid w:val="00C63648"/>
    <w:rsid w:val="00C63743"/>
    <w:rsid w:val="00C63818"/>
    <w:rsid w:val="00C63845"/>
    <w:rsid w:val="00C639FF"/>
    <w:rsid w:val="00C63AAA"/>
    <w:rsid w:val="00C63C47"/>
    <w:rsid w:val="00C63C50"/>
    <w:rsid w:val="00C63D39"/>
    <w:rsid w:val="00C63DFC"/>
    <w:rsid w:val="00C63E5A"/>
    <w:rsid w:val="00C6437E"/>
    <w:rsid w:val="00C643BD"/>
    <w:rsid w:val="00C64447"/>
    <w:rsid w:val="00C644FA"/>
    <w:rsid w:val="00C64591"/>
    <w:rsid w:val="00C645E4"/>
    <w:rsid w:val="00C64711"/>
    <w:rsid w:val="00C649BA"/>
    <w:rsid w:val="00C64A44"/>
    <w:rsid w:val="00C64A59"/>
    <w:rsid w:val="00C64D11"/>
    <w:rsid w:val="00C64E75"/>
    <w:rsid w:val="00C64E99"/>
    <w:rsid w:val="00C64F99"/>
    <w:rsid w:val="00C64FE9"/>
    <w:rsid w:val="00C6506A"/>
    <w:rsid w:val="00C65229"/>
    <w:rsid w:val="00C6540C"/>
    <w:rsid w:val="00C65461"/>
    <w:rsid w:val="00C65492"/>
    <w:rsid w:val="00C654F6"/>
    <w:rsid w:val="00C65585"/>
    <w:rsid w:val="00C655F9"/>
    <w:rsid w:val="00C6563C"/>
    <w:rsid w:val="00C65723"/>
    <w:rsid w:val="00C6576A"/>
    <w:rsid w:val="00C659FF"/>
    <w:rsid w:val="00C65B25"/>
    <w:rsid w:val="00C65B3F"/>
    <w:rsid w:val="00C65C29"/>
    <w:rsid w:val="00C65D16"/>
    <w:rsid w:val="00C65D2D"/>
    <w:rsid w:val="00C65DAC"/>
    <w:rsid w:val="00C65E44"/>
    <w:rsid w:val="00C66014"/>
    <w:rsid w:val="00C66044"/>
    <w:rsid w:val="00C6608F"/>
    <w:rsid w:val="00C661A6"/>
    <w:rsid w:val="00C662C5"/>
    <w:rsid w:val="00C663FF"/>
    <w:rsid w:val="00C66660"/>
    <w:rsid w:val="00C6673B"/>
    <w:rsid w:val="00C66769"/>
    <w:rsid w:val="00C66793"/>
    <w:rsid w:val="00C667FD"/>
    <w:rsid w:val="00C669DD"/>
    <w:rsid w:val="00C66B0E"/>
    <w:rsid w:val="00C66B10"/>
    <w:rsid w:val="00C66B15"/>
    <w:rsid w:val="00C66CFE"/>
    <w:rsid w:val="00C66D16"/>
    <w:rsid w:val="00C66E3A"/>
    <w:rsid w:val="00C66E7E"/>
    <w:rsid w:val="00C66F1E"/>
    <w:rsid w:val="00C66F97"/>
    <w:rsid w:val="00C67007"/>
    <w:rsid w:val="00C6700A"/>
    <w:rsid w:val="00C67023"/>
    <w:rsid w:val="00C6720D"/>
    <w:rsid w:val="00C67216"/>
    <w:rsid w:val="00C67218"/>
    <w:rsid w:val="00C67227"/>
    <w:rsid w:val="00C67292"/>
    <w:rsid w:val="00C672BE"/>
    <w:rsid w:val="00C672F5"/>
    <w:rsid w:val="00C67327"/>
    <w:rsid w:val="00C67492"/>
    <w:rsid w:val="00C6754A"/>
    <w:rsid w:val="00C6768A"/>
    <w:rsid w:val="00C67709"/>
    <w:rsid w:val="00C677BD"/>
    <w:rsid w:val="00C6787B"/>
    <w:rsid w:val="00C67911"/>
    <w:rsid w:val="00C67A16"/>
    <w:rsid w:val="00C67A1B"/>
    <w:rsid w:val="00C67B6C"/>
    <w:rsid w:val="00C67CC9"/>
    <w:rsid w:val="00C67D48"/>
    <w:rsid w:val="00C67DDE"/>
    <w:rsid w:val="00C67E3E"/>
    <w:rsid w:val="00C67EE8"/>
    <w:rsid w:val="00C67EF6"/>
    <w:rsid w:val="00C67F4A"/>
    <w:rsid w:val="00C67F68"/>
    <w:rsid w:val="00C67F6F"/>
    <w:rsid w:val="00C67F85"/>
    <w:rsid w:val="00C7002B"/>
    <w:rsid w:val="00C700F0"/>
    <w:rsid w:val="00C7027D"/>
    <w:rsid w:val="00C703F2"/>
    <w:rsid w:val="00C70526"/>
    <w:rsid w:val="00C705D2"/>
    <w:rsid w:val="00C7064E"/>
    <w:rsid w:val="00C706D1"/>
    <w:rsid w:val="00C70765"/>
    <w:rsid w:val="00C707A5"/>
    <w:rsid w:val="00C707ED"/>
    <w:rsid w:val="00C7084C"/>
    <w:rsid w:val="00C708EA"/>
    <w:rsid w:val="00C70A1E"/>
    <w:rsid w:val="00C70B25"/>
    <w:rsid w:val="00C70C39"/>
    <w:rsid w:val="00C70D17"/>
    <w:rsid w:val="00C70E5E"/>
    <w:rsid w:val="00C71011"/>
    <w:rsid w:val="00C710A6"/>
    <w:rsid w:val="00C71149"/>
    <w:rsid w:val="00C7116D"/>
    <w:rsid w:val="00C71476"/>
    <w:rsid w:val="00C714F9"/>
    <w:rsid w:val="00C716F1"/>
    <w:rsid w:val="00C71793"/>
    <w:rsid w:val="00C717BD"/>
    <w:rsid w:val="00C7187A"/>
    <w:rsid w:val="00C7199B"/>
    <w:rsid w:val="00C719C5"/>
    <w:rsid w:val="00C71B2F"/>
    <w:rsid w:val="00C71B35"/>
    <w:rsid w:val="00C71B98"/>
    <w:rsid w:val="00C71BB9"/>
    <w:rsid w:val="00C71BE1"/>
    <w:rsid w:val="00C71C1D"/>
    <w:rsid w:val="00C71C6F"/>
    <w:rsid w:val="00C71D54"/>
    <w:rsid w:val="00C71D56"/>
    <w:rsid w:val="00C71D9F"/>
    <w:rsid w:val="00C71E75"/>
    <w:rsid w:val="00C71F78"/>
    <w:rsid w:val="00C7210C"/>
    <w:rsid w:val="00C7211A"/>
    <w:rsid w:val="00C72223"/>
    <w:rsid w:val="00C72248"/>
    <w:rsid w:val="00C7231C"/>
    <w:rsid w:val="00C7235D"/>
    <w:rsid w:val="00C7242F"/>
    <w:rsid w:val="00C7245A"/>
    <w:rsid w:val="00C724BE"/>
    <w:rsid w:val="00C72515"/>
    <w:rsid w:val="00C725BF"/>
    <w:rsid w:val="00C725F4"/>
    <w:rsid w:val="00C7280A"/>
    <w:rsid w:val="00C728A4"/>
    <w:rsid w:val="00C7291A"/>
    <w:rsid w:val="00C72A28"/>
    <w:rsid w:val="00C72A63"/>
    <w:rsid w:val="00C72A92"/>
    <w:rsid w:val="00C72C3C"/>
    <w:rsid w:val="00C72C7B"/>
    <w:rsid w:val="00C72CA6"/>
    <w:rsid w:val="00C72DA9"/>
    <w:rsid w:val="00C72E8F"/>
    <w:rsid w:val="00C72ED1"/>
    <w:rsid w:val="00C7321E"/>
    <w:rsid w:val="00C732A7"/>
    <w:rsid w:val="00C7343D"/>
    <w:rsid w:val="00C7344F"/>
    <w:rsid w:val="00C73478"/>
    <w:rsid w:val="00C7347C"/>
    <w:rsid w:val="00C735E6"/>
    <w:rsid w:val="00C73619"/>
    <w:rsid w:val="00C73644"/>
    <w:rsid w:val="00C73659"/>
    <w:rsid w:val="00C73665"/>
    <w:rsid w:val="00C73746"/>
    <w:rsid w:val="00C73754"/>
    <w:rsid w:val="00C737FD"/>
    <w:rsid w:val="00C73881"/>
    <w:rsid w:val="00C738EB"/>
    <w:rsid w:val="00C73974"/>
    <w:rsid w:val="00C73A03"/>
    <w:rsid w:val="00C73B1C"/>
    <w:rsid w:val="00C73B4A"/>
    <w:rsid w:val="00C73C02"/>
    <w:rsid w:val="00C73CDA"/>
    <w:rsid w:val="00C73D76"/>
    <w:rsid w:val="00C73DFB"/>
    <w:rsid w:val="00C73F3D"/>
    <w:rsid w:val="00C73FF2"/>
    <w:rsid w:val="00C74079"/>
    <w:rsid w:val="00C74116"/>
    <w:rsid w:val="00C74172"/>
    <w:rsid w:val="00C74212"/>
    <w:rsid w:val="00C7428C"/>
    <w:rsid w:val="00C74440"/>
    <w:rsid w:val="00C74598"/>
    <w:rsid w:val="00C74695"/>
    <w:rsid w:val="00C7469A"/>
    <w:rsid w:val="00C7469E"/>
    <w:rsid w:val="00C74952"/>
    <w:rsid w:val="00C74A01"/>
    <w:rsid w:val="00C74B90"/>
    <w:rsid w:val="00C74D38"/>
    <w:rsid w:val="00C74DCA"/>
    <w:rsid w:val="00C74FBB"/>
    <w:rsid w:val="00C74FEF"/>
    <w:rsid w:val="00C750EA"/>
    <w:rsid w:val="00C75130"/>
    <w:rsid w:val="00C75208"/>
    <w:rsid w:val="00C7526F"/>
    <w:rsid w:val="00C752B4"/>
    <w:rsid w:val="00C752DA"/>
    <w:rsid w:val="00C752F0"/>
    <w:rsid w:val="00C75383"/>
    <w:rsid w:val="00C753C2"/>
    <w:rsid w:val="00C75541"/>
    <w:rsid w:val="00C7555A"/>
    <w:rsid w:val="00C75581"/>
    <w:rsid w:val="00C75634"/>
    <w:rsid w:val="00C75642"/>
    <w:rsid w:val="00C75708"/>
    <w:rsid w:val="00C7570D"/>
    <w:rsid w:val="00C75753"/>
    <w:rsid w:val="00C75793"/>
    <w:rsid w:val="00C759B3"/>
    <w:rsid w:val="00C75A1B"/>
    <w:rsid w:val="00C75AC4"/>
    <w:rsid w:val="00C75B46"/>
    <w:rsid w:val="00C75B8C"/>
    <w:rsid w:val="00C75CEF"/>
    <w:rsid w:val="00C75DD9"/>
    <w:rsid w:val="00C75F24"/>
    <w:rsid w:val="00C7611B"/>
    <w:rsid w:val="00C7614A"/>
    <w:rsid w:val="00C76260"/>
    <w:rsid w:val="00C763B3"/>
    <w:rsid w:val="00C764E3"/>
    <w:rsid w:val="00C764FE"/>
    <w:rsid w:val="00C765AC"/>
    <w:rsid w:val="00C765BB"/>
    <w:rsid w:val="00C765EA"/>
    <w:rsid w:val="00C7675D"/>
    <w:rsid w:val="00C7676F"/>
    <w:rsid w:val="00C76771"/>
    <w:rsid w:val="00C767A0"/>
    <w:rsid w:val="00C76847"/>
    <w:rsid w:val="00C7686C"/>
    <w:rsid w:val="00C7694F"/>
    <w:rsid w:val="00C76A10"/>
    <w:rsid w:val="00C76A2C"/>
    <w:rsid w:val="00C76BB7"/>
    <w:rsid w:val="00C76C15"/>
    <w:rsid w:val="00C76D6E"/>
    <w:rsid w:val="00C76DDD"/>
    <w:rsid w:val="00C76E1E"/>
    <w:rsid w:val="00C76E6C"/>
    <w:rsid w:val="00C76ECF"/>
    <w:rsid w:val="00C76EE7"/>
    <w:rsid w:val="00C76F44"/>
    <w:rsid w:val="00C76FCF"/>
    <w:rsid w:val="00C77087"/>
    <w:rsid w:val="00C770B0"/>
    <w:rsid w:val="00C770E1"/>
    <w:rsid w:val="00C771F0"/>
    <w:rsid w:val="00C77281"/>
    <w:rsid w:val="00C774AF"/>
    <w:rsid w:val="00C774BA"/>
    <w:rsid w:val="00C77707"/>
    <w:rsid w:val="00C7778A"/>
    <w:rsid w:val="00C77819"/>
    <w:rsid w:val="00C7792E"/>
    <w:rsid w:val="00C77A92"/>
    <w:rsid w:val="00C77B72"/>
    <w:rsid w:val="00C77C27"/>
    <w:rsid w:val="00C800DE"/>
    <w:rsid w:val="00C80241"/>
    <w:rsid w:val="00C8032F"/>
    <w:rsid w:val="00C80389"/>
    <w:rsid w:val="00C8059A"/>
    <w:rsid w:val="00C805D2"/>
    <w:rsid w:val="00C8083C"/>
    <w:rsid w:val="00C80894"/>
    <w:rsid w:val="00C80954"/>
    <w:rsid w:val="00C80AB1"/>
    <w:rsid w:val="00C80AF4"/>
    <w:rsid w:val="00C80BB0"/>
    <w:rsid w:val="00C80D6A"/>
    <w:rsid w:val="00C80E83"/>
    <w:rsid w:val="00C80F40"/>
    <w:rsid w:val="00C81041"/>
    <w:rsid w:val="00C81154"/>
    <w:rsid w:val="00C81183"/>
    <w:rsid w:val="00C81184"/>
    <w:rsid w:val="00C81230"/>
    <w:rsid w:val="00C8124B"/>
    <w:rsid w:val="00C812CA"/>
    <w:rsid w:val="00C812DC"/>
    <w:rsid w:val="00C81304"/>
    <w:rsid w:val="00C8137A"/>
    <w:rsid w:val="00C81408"/>
    <w:rsid w:val="00C81428"/>
    <w:rsid w:val="00C8156A"/>
    <w:rsid w:val="00C8167B"/>
    <w:rsid w:val="00C81709"/>
    <w:rsid w:val="00C81728"/>
    <w:rsid w:val="00C8184D"/>
    <w:rsid w:val="00C818CD"/>
    <w:rsid w:val="00C8192E"/>
    <w:rsid w:val="00C819CE"/>
    <w:rsid w:val="00C81A90"/>
    <w:rsid w:val="00C81AB5"/>
    <w:rsid w:val="00C81AF0"/>
    <w:rsid w:val="00C81B30"/>
    <w:rsid w:val="00C81C90"/>
    <w:rsid w:val="00C81D77"/>
    <w:rsid w:val="00C81D7D"/>
    <w:rsid w:val="00C81DBF"/>
    <w:rsid w:val="00C81EB4"/>
    <w:rsid w:val="00C81FF6"/>
    <w:rsid w:val="00C8205D"/>
    <w:rsid w:val="00C82133"/>
    <w:rsid w:val="00C82313"/>
    <w:rsid w:val="00C82424"/>
    <w:rsid w:val="00C82485"/>
    <w:rsid w:val="00C82494"/>
    <w:rsid w:val="00C824CE"/>
    <w:rsid w:val="00C8261D"/>
    <w:rsid w:val="00C8268B"/>
    <w:rsid w:val="00C826BF"/>
    <w:rsid w:val="00C82702"/>
    <w:rsid w:val="00C8275A"/>
    <w:rsid w:val="00C828FA"/>
    <w:rsid w:val="00C82B93"/>
    <w:rsid w:val="00C82D8C"/>
    <w:rsid w:val="00C82FF0"/>
    <w:rsid w:val="00C83147"/>
    <w:rsid w:val="00C83215"/>
    <w:rsid w:val="00C832C1"/>
    <w:rsid w:val="00C832EC"/>
    <w:rsid w:val="00C832F2"/>
    <w:rsid w:val="00C83398"/>
    <w:rsid w:val="00C83399"/>
    <w:rsid w:val="00C83511"/>
    <w:rsid w:val="00C836A3"/>
    <w:rsid w:val="00C8372B"/>
    <w:rsid w:val="00C8373A"/>
    <w:rsid w:val="00C83759"/>
    <w:rsid w:val="00C839B2"/>
    <w:rsid w:val="00C839B7"/>
    <w:rsid w:val="00C83CD0"/>
    <w:rsid w:val="00C83E7B"/>
    <w:rsid w:val="00C83F30"/>
    <w:rsid w:val="00C83F4E"/>
    <w:rsid w:val="00C840B0"/>
    <w:rsid w:val="00C84162"/>
    <w:rsid w:val="00C8417F"/>
    <w:rsid w:val="00C84242"/>
    <w:rsid w:val="00C84370"/>
    <w:rsid w:val="00C84379"/>
    <w:rsid w:val="00C8448A"/>
    <w:rsid w:val="00C84542"/>
    <w:rsid w:val="00C846AE"/>
    <w:rsid w:val="00C846FC"/>
    <w:rsid w:val="00C84759"/>
    <w:rsid w:val="00C847AD"/>
    <w:rsid w:val="00C84840"/>
    <w:rsid w:val="00C8484E"/>
    <w:rsid w:val="00C84B41"/>
    <w:rsid w:val="00C84B92"/>
    <w:rsid w:val="00C84ED6"/>
    <w:rsid w:val="00C8514E"/>
    <w:rsid w:val="00C85560"/>
    <w:rsid w:val="00C85606"/>
    <w:rsid w:val="00C858BD"/>
    <w:rsid w:val="00C85B44"/>
    <w:rsid w:val="00C85B9E"/>
    <w:rsid w:val="00C85C44"/>
    <w:rsid w:val="00C85DEE"/>
    <w:rsid w:val="00C85F5B"/>
    <w:rsid w:val="00C86115"/>
    <w:rsid w:val="00C86136"/>
    <w:rsid w:val="00C861E8"/>
    <w:rsid w:val="00C862D5"/>
    <w:rsid w:val="00C86304"/>
    <w:rsid w:val="00C864A1"/>
    <w:rsid w:val="00C8652B"/>
    <w:rsid w:val="00C86579"/>
    <w:rsid w:val="00C865F7"/>
    <w:rsid w:val="00C86605"/>
    <w:rsid w:val="00C866E2"/>
    <w:rsid w:val="00C86700"/>
    <w:rsid w:val="00C8679E"/>
    <w:rsid w:val="00C867A2"/>
    <w:rsid w:val="00C867C9"/>
    <w:rsid w:val="00C869CA"/>
    <w:rsid w:val="00C869DA"/>
    <w:rsid w:val="00C86ACD"/>
    <w:rsid w:val="00C86B12"/>
    <w:rsid w:val="00C86CA4"/>
    <w:rsid w:val="00C86CE1"/>
    <w:rsid w:val="00C86D7D"/>
    <w:rsid w:val="00C86D8F"/>
    <w:rsid w:val="00C86DC3"/>
    <w:rsid w:val="00C86E0A"/>
    <w:rsid w:val="00C8702B"/>
    <w:rsid w:val="00C87058"/>
    <w:rsid w:val="00C870D9"/>
    <w:rsid w:val="00C87141"/>
    <w:rsid w:val="00C8721A"/>
    <w:rsid w:val="00C872D3"/>
    <w:rsid w:val="00C872F9"/>
    <w:rsid w:val="00C87476"/>
    <w:rsid w:val="00C874F5"/>
    <w:rsid w:val="00C8751C"/>
    <w:rsid w:val="00C8786E"/>
    <w:rsid w:val="00C87A0C"/>
    <w:rsid w:val="00C87BDA"/>
    <w:rsid w:val="00C87EDA"/>
    <w:rsid w:val="00C87EF1"/>
    <w:rsid w:val="00C87F14"/>
    <w:rsid w:val="00C87F23"/>
    <w:rsid w:val="00C87FD3"/>
    <w:rsid w:val="00C90010"/>
    <w:rsid w:val="00C90064"/>
    <w:rsid w:val="00C90082"/>
    <w:rsid w:val="00C900C3"/>
    <w:rsid w:val="00C9010F"/>
    <w:rsid w:val="00C9012F"/>
    <w:rsid w:val="00C90149"/>
    <w:rsid w:val="00C901DC"/>
    <w:rsid w:val="00C903D7"/>
    <w:rsid w:val="00C9074B"/>
    <w:rsid w:val="00C90811"/>
    <w:rsid w:val="00C90812"/>
    <w:rsid w:val="00C90858"/>
    <w:rsid w:val="00C908F5"/>
    <w:rsid w:val="00C90940"/>
    <w:rsid w:val="00C909DE"/>
    <w:rsid w:val="00C909DF"/>
    <w:rsid w:val="00C909FB"/>
    <w:rsid w:val="00C90A4E"/>
    <w:rsid w:val="00C90C1E"/>
    <w:rsid w:val="00C90C7B"/>
    <w:rsid w:val="00C90DAE"/>
    <w:rsid w:val="00C90DCA"/>
    <w:rsid w:val="00C90DD3"/>
    <w:rsid w:val="00C90F3C"/>
    <w:rsid w:val="00C91178"/>
    <w:rsid w:val="00C9117C"/>
    <w:rsid w:val="00C9127B"/>
    <w:rsid w:val="00C913AA"/>
    <w:rsid w:val="00C913DE"/>
    <w:rsid w:val="00C9142A"/>
    <w:rsid w:val="00C91586"/>
    <w:rsid w:val="00C91644"/>
    <w:rsid w:val="00C9167D"/>
    <w:rsid w:val="00C91800"/>
    <w:rsid w:val="00C9189B"/>
    <w:rsid w:val="00C918B7"/>
    <w:rsid w:val="00C91968"/>
    <w:rsid w:val="00C91A80"/>
    <w:rsid w:val="00C91AE6"/>
    <w:rsid w:val="00C91B1C"/>
    <w:rsid w:val="00C91BC7"/>
    <w:rsid w:val="00C91C7E"/>
    <w:rsid w:val="00C91D63"/>
    <w:rsid w:val="00C91E48"/>
    <w:rsid w:val="00C91F01"/>
    <w:rsid w:val="00C92043"/>
    <w:rsid w:val="00C92151"/>
    <w:rsid w:val="00C92169"/>
    <w:rsid w:val="00C92272"/>
    <w:rsid w:val="00C9248E"/>
    <w:rsid w:val="00C924C0"/>
    <w:rsid w:val="00C92694"/>
    <w:rsid w:val="00C926F7"/>
    <w:rsid w:val="00C9279B"/>
    <w:rsid w:val="00C92878"/>
    <w:rsid w:val="00C92945"/>
    <w:rsid w:val="00C9298B"/>
    <w:rsid w:val="00C929D9"/>
    <w:rsid w:val="00C92B27"/>
    <w:rsid w:val="00C92B36"/>
    <w:rsid w:val="00C92BB7"/>
    <w:rsid w:val="00C92CFD"/>
    <w:rsid w:val="00C92EA5"/>
    <w:rsid w:val="00C92EF0"/>
    <w:rsid w:val="00C92F42"/>
    <w:rsid w:val="00C92F65"/>
    <w:rsid w:val="00C92FE0"/>
    <w:rsid w:val="00C930EC"/>
    <w:rsid w:val="00C9328B"/>
    <w:rsid w:val="00C932AF"/>
    <w:rsid w:val="00C93341"/>
    <w:rsid w:val="00C9336C"/>
    <w:rsid w:val="00C934B4"/>
    <w:rsid w:val="00C934EF"/>
    <w:rsid w:val="00C93570"/>
    <w:rsid w:val="00C935E0"/>
    <w:rsid w:val="00C9367D"/>
    <w:rsid w:val="00C9371B"/>
    <w:rsid w:val="00C93740"/>
    <w:rsid w:val="00C93821"/>
    <w:rsid w:val="00C939B8"/>
    <w:rsid w:val="00C93B16"/>
    <w:rsid w:val="00C93C3A"/>
    <w:rsid w:val="00C93D25"/>
    <w:rsid w:val="00C93D82"/>
    <w:rsid w:val="00C93E3A"/>
    <w:rsid w:val="00C93F10"/>
    <w:rsid w:val="00C93F22"/>
    <w:rsid w:val="00C93F80"/>
    <w:rsid w:val="00C94077"/>
    <w:rsid w:val="00C941C4"/>
    <w:rsid w:val="00C9430B"/>
    <w:rsid w:val="00C9438C"/>
    <w:rsid w:val="00C9444A"/>
    <w:rsid w:val="00C945D1"/>
    <w:rsid w:val="00C9466B"/>
    <w:rsid w:val="00C946B6"/>
    <w:rsid w:val="00C946EA"/>
    <w:rsid w:val="00C947E9"/>
    <w:rsid w:val="00C94966"/>
    <w:rsid w:val="00C94A79"/>
    <w:rsid w:val="00C94B92"/>
    <w:rsid w:val="00C94BB7"/>
    <w:rsid w:val="00C94BCC"/>
    <w:rsid w:val="00C94CD3"/>
    <w:rsid w:val="00C94D35"/>
    <w:rsid w:val="00C94F88"/>
    <w:rsid w:val="00C95012"/>
    <w:rsid w:val="00C952DD"/>
    <w:rsid w:val="00C95369"/>
    <w:rsid w:val="00C953AF"/>
    <w:rsid w:val="00C9560D"/>
    <w:rsid w:val="00C9577E"/>
    <w:rsid w:val="00C9577F"/>
    <w:rsid w:val="00C957B8"/>
    <w:rsid w:val="00C9599E"/>
    <w:rsid w:val="00C959BB"/>
    <w:rsid w:val="00C95A81"/>
    <w:rsid w:val="00C95AB8"/>
    <w:rsid w:val="00C95B26"/>
    <w:rsid w:val="00C95B8C"/>
    <w:rsid w:val="00C95C25"/>
    <w:rsid w:val="00C95CDB"/>
    <w:rsid w:val="00C95EC7"/>
    <w:rsid w:val="00C95ECB"/>
    <w:rsid w:val="00C95F6C"/>
    <w:rsid w:val="00C96147"/>
    <w:rsid w:val="00C961E1"/>
    <w:rsid w:val="00C961EA"/>
    <w:rsid w:val="00C961EB"/>
    <w:rsid w:val="00C962A6"/>
    <w:rsid w:val="00C963E8"/>
    <w:rsid w:val="00C96434"/>
    <w:rsid w:val="00C9644D"/>
    <w:rsid w:val="00C9651E"/>
    <w:rsid w:val="00C965A7"/>
    <w:rsid w:val="00C9664C"/>
    <w:rsid w:val="00C966AE"/>
    <w:rsid w:val="00C966BA"/>
    <w:rsid w:val="00C96701"/>
    <w:rsid w:val="00C96751"/>
    <w:rsid w:val="00C967FE"/>
    <w:rsid w:val="00C968E7"/>
    <w:rsid w:val="00C96A7B"/>
    <w:rsid w:val="00C96AD3"/>
    <w:rsid w:val="00C96B56"/>
    <w:rsid w:val="00C96C7B"/>
    <w:rsid w:val="00C96E5A"/>
    <w:rsid w:val="00C96F18"/>
    <w:rsid w:val="00C96F28"/>
    <w:rsid w:val="00C97070"/>
    <w:rsid w:val="00C97116"/>
    <w:rsid w:val="00C97161"/>
    <w:rsid w:val="00C972F3"/>
    <w:rsid w:val="00C972FF"/>
    <w:rsid w:val="00C97308"/>
    <w:rsid w:val="00C9747A"/>
    <w:rsid w:val="00C97612"/>
    <w:rsid w:val="00C977A5"/>
    <w:rsid w:val="00C977D9"/>
    <w:rsid w:val="00C97860"/>
    <w:rsid w:val="00C97C7B"/>
    <w:rsid w:val="00C97D30"/>
    <w:rsid w:val="00C97E4F"/>
    <w:rsid w:val="00CA007A"/>
    <w:rsid w:val="00CA0132"/>
    <w:rsid w:val="00CA0155"/>
    <w:rsid w:val="00CA0290"/>
    <w:rsid w:val="00CA0481"/>
    <w:rsid w:val="00CA04CA"/>
    <w:rsid w:val="00CA05D7"/>
    <w:rsid w:val="00CA0689"/>
    <w:rsid w:val="00CA0702"/>
    <w:rsid w:val="00CA079A"/>
    <w:rsid w:val="00CA09F4"/>
    <w:rsid w:val="00CA0B43"/>
    <w:rsid w:val="00CA0BDD"/>
    <w:rsid w:val="00CA0CDD"/>
    <w:rsid w:val="00CA0CE1"/>
    <w:rsid w:val="00CA1109"/>
    <w:rsid w:val="00CA110C"/>
    <w:rsid w:val="00CA111F"/>
    <w:rsid w:val="00CA112E"/>
    <w:rsid w:val="00CA1350"/>
    <w:rsid w:val="00CA137F"/>
    <w:rsid w:val="00CA13DA"/>
    <w:rsid w:val="00CA155A"/>
    <w:rsid w:val="00CA161D"/>
    <w:rsid w:val="00CA162F"/>
    <w:rsid w:val="00CA1682"/>
    <w:rsid w:val="00CA168E"/>
    <w:rsid w:val="00CA1806"/>
    <w:rsid w:val="00CA18DC"/>
    <w:rsid w:val="00CA1A27"/>
    <w:rsid w:val="00CA1AA6"/>
    <w:rsid w:val="00CA1AC4"/>
    <w:rsid w:val="00CA1B62"/>
    <w:rsid w:val="00CA1DD9"/>
    <w:rsid w:val="00CA1E9B"/>
    <w:rsid w:val="00CA1ED0"/>
    <w:rsid w:val="00CA2020"/>
    <w:rsid w:val="00CA20BB"/>
    <w:rsid w:val="00CA2280"/>
    <w:rsid w:val="00CA22A9"/>
    <w:rsid w:val="00CA2433"/>
    <w:rsid w:val="00CA249E"/>
    <w:rsid w:val="00CA24AB"/>
    <w:rsid w:val="00CA25DA"/>
    <w:rsid w:val="00CA265E"/>
    <w:rsid w:val="00CA271B"/>
    <w:rsid w:val="00CA2823"/>
    <w:rsid w:val="00CA2983"/>
    <w:rsid w:val="00CA2985"/>
    <w:rsid w:val="00CA2B76"/>
    <w:rsid w:val="00CA2CAA"/>
    <w:rsid w:val="00CA2CCB"/>
    <w:rsid w:val="00CA2EFA"/>
    <w:rsid w:val="00CA2F3F"/>
    <w:rsid w:val="00CA2FD8"/>
    <w:rsid w:val="00CA313F"/>
    <w:rsid w:val="00CA31B2"/>
    <w:rsid w:val="00CA324B"/>
    <w:rsid w:val="00CA3506"/>
    <w:rsid w:val="00CA3538"/>
    <w:rsid w:val="00CA362E"/>
    <w:rsid w:val="00CA3649"/>
    <w:rsid w:val="00CA3812"/>
    <w:rsid w:val="00CA3A61"/>
    <w:rsid w:val="00CA3C07"/>
    <w:rsid w:val="00CA3F06"/>
    <w:rsid w:val="00CA3F13"/>
    <w:rsid w:val="00CA3F14"/>
    <w:rsid w:val="00CA405D"/>
    <w:rsid w:val="00CA4105"/>
    <w:rsid w:val="00CA416F"/>
    <w:rsid w:val="00CA42E5"/>
    <w:rsid w:val="00CA4388"/>
    <w:rsid w:val="00CA474B"/>
    <w:rsid w:val="00CA4797"/>
    <w:rsid w:val="00CA47D1"/>
    <w:rsid w:val="00CA48B1"/>
    <w:rsid w:val="00CA4A02"/>
    <w:rsid w:val="00CA4B24"/>
    <w:rsid w:val="00CA4CF3"/>
    <w:rsid w:val="00CA50BE"/>
    <w:rsid w:val="00CA5104"/>
    <w:rsid w:val="00CA51A6"/>
    <w:rsid w:val="00CA524A"/>
    <w:rsid w:val="00CA53C7"/>
    <w:rsid w:val="00CA57D1"/>
    <w:rsid w:val="00CA5857"/>
    <w:rsid w:val="00CA593B"/>
    <w:rsid w:val="00CA597C"/>
    <w:rsid w:val="00CA5A9E"/>
    <w:rsid w:val="00CA5BC3"/>
    <w:rsid w:val="00CA6082"/>
    <w:rsid w:val="00CA6100"/>
    <w:rsid w:val="00CA61A5"/>
    <w:rsid w:val="00CA61D9"/>
    <w:rsid w:val="00CA6232"/>
    <w:rsid w:val="00CA6491"/>
    <w:rsid w:val="00CA64DD"/>
    <w:rsid w:val="00CA6530"/>
    <w:rsid w:val="00CA6628"/>
    <w:rsid w:val="00CA670C"/>
    <w:rsid w:val="00CA6746"/>
    <w:rsid w:val="00CA678C"/>
    <w:rsid w:val="00CA67EF"/>
    <w:rsid w:val="00CA6826"/>
    <w:rsid w:val="00CA6912"/>
    <w:rsid w:val="00CA691B"/>
    <w:rsid w:val="00CA6CAC"/>
    <w:rsid w:val="00CA6CE3"/>
    <w:rsid w:val="00CA6CEB"/>
    <w:rsid w:val="00CA6D42"/>
    <w:rsid w:val="00CA6DB0"/>
    <w:rsid w:val="00CA6ECF"/>
    <w:rsid w:val="00CA6EF2"/>
    <w:rsid w:val="00CA6F1A"/>
    <w:rsid w:val="00CA71C0"/>
    <w:rsid w:val="00CA7247"/>
    <w:rsid w:val="00CA73AE"/>
    <w:rsid w:val="00CA73E5"/>
    <w:rsid w:val="00CA7430"/>
    <w:rsid w:val="00CA7498"/>
    <w:rsid w:val="00CA7509"/>
    <w:rsid w:val="00CA7701"/>
    <w:rsid w:val="00CA7773"/>
    <w:rsid w:val="00CA778C"/>
    <w:rsid w:val="00CA779D"/>
    <w:rsid w:val="00CA781E"/>
    <w:rsid w:val="00CA78A0"/>
    <w:rsid w:val="00CA798F"/>
    <w:rsid w:val="00CA7993"/>
    <w:rsid w:val="00CA7A3D"/>
    <w:rsid w:val="00CA7B63"/>
    <w:rsid w:val="00CA7BF8"/>
    <w:rsid w:val="00CA7D40"/>
    <w:rsid w:val="00CA7E5E"/>
    <w:rsid w:val="00CA7F60"/>
    <w:rsid w:val="00CA7F7F"/>
    <w:rsid w:val="00CB0003"/>
    <w:rsid w:val="00CB002B"/>
    <w:rsid w:val="00CB0088"/>
    <w:rsid w:val="00CB01BF"/>
    <w:rsid w:val="00CB02DC"/>
    <w:rsid w:val="00CB02F3"/>
    <w:rsid w:val="00CB035E"/>
    <w:rsid w:val="00CB0405"/>
    <w:rsid w:val="00CB04D2"/>
    <w:rsid w:val="00CB0508"/>
    <w:rsid w:val="00CB05BA"/>
    <w:rsid w:val="00CB0669"/>
    <w:rsid w:val="00CB083C"/>
    <w:rsid w:val="00CB0B56"/>
    <w:rsid w:val="00CB0C6E"/>
    <w:rsid w:val="00CB0D39"/>
    <w:rsid w:val="00CB0D6A"/>
    <w:rsid w:val="00CB0DBE"/>
    <w:rsid w:val="00CB0DC5"/>
    <w:rsid w:val="00CB0DF6"/>
    <w:rsid w:val="00CB0E91"/>
    <w:rsid w:val="00CB0F02"/>
    <w:rsid w:val="00CB0F51"/>
    <w:rsid w:val="00CB111E"/>
    <w:rsid w:val="00CB1177"/>
    <w:rsid w:val="00CB11CC"/>
    <w:rsid w:val="00CB13A4"/>
    <w:rsid w:val="00CB14FB"/>
    <w:rsid w:val="00CB1514"/>
    <w:rsid w:val="00CB1618"/>
    <w:rsid w:val="00CB16C9"/>
    <w:rsid w:val="00CB17DE"/>
    <w:rsid w:val="00CB18AE"/>
    <w:rsid w:val="00CB18FA"/>
    <w:rsid w:val="00CB18FB"/>
    <w:rsid w:val="00CB1A7D"/>
    <w:rsid w:val="00CB1AB8"/>
    <w:rsid w:val="00CB1B14"/>
    <w:rsid w:val="00CB1B8A"/>
    <w:rsid w:val="00CB1CC4"/>
    <w:rsid w:val="00CB21F5"/>
    <w:rsid w:val="00CB2214"/>
    <w:rsid w:val="00CB2220"/>
    <w:rsid w:val="00CB2382"/>
    <w:rsid w:val="00CB24B1"/>
    <w:rsid w:val="00CB275A"/>
    <w:rsid w:val="00CB28DB"/>
    <w:rsid w:val="00CB29AA"/>
    <w:rsid w:val="00CB2A2B"/>
    <w:rsid w:val="00CB2A66"/>
    <w:rsid w:val="00CB2A79"/>
    <w:rsid w:val="00CB2AD5"/>
    <w:rsid w:val="00CB2B6B"/>
    <w:rsid w:val="00CB2B98"/>
    <w:rsid w:val="00CB2D13"/>
    <w:rsid w:val="00CB2D17"/>
    <w:rsid w:val="00CB2D7B"/>
    <w:rsid w:val="00CB2F35"/>
    <w:rsid w:val="00CB3018"/>
    <w:rsid w:val="00CB329E"/>
    <w:rsid w:val="00CB32C6"/>
    <w:rsid w:val="00CB335D"/>
    <w:rsid w:val="00CB336A"/>
    <w:rsid w:val="00CB33E2"/>
    <w:rsid w:val="00CB34BF"/>
    <w:rsid w:val="00CB3657"/>
    <w:rsid w:val="00CB36F1"/>
    <w:rsid w:val="00CB3720"/>
    <w:rsid w:val="00CB380A"/>
    <w:rsid w:val="00CB3895"/>
    <w:rsid w:val="00CB39A8"/>
    <w:rsid w:val="00CB3A5C"/>
    <w:rsid w:val="00CB3CCB"/>
    <w:rsid w:val="00CB3D53"/>
    <w:rsid w:val="00CB3DD6"/>
    <w:rsid w:val="00CB3E9F"/>
    <w:rsid w:val="00CB40C2"/>
    <w:rsid w:val="00CB40FB"/>
    <w:rsid w:val="00CB4517"/>
    <w:rsid w:val="00CB4602"/>
    <w:rsid w:val="00CB4674"/>
    <w:rsid w:val="00CB472F"/>
    <w:rsid w:val="00CB473F"/>
    <w:rsid w:val="00CB480B"/>
    <w:rsid w:val="00CB4963"/>
    <w:rsid w:val="00CB4966"/>
    <w:rsid w:val="00CB49F2"/>
    <w:rsid w:val="00CB4A9C"/>
    <w:rsid w:val="00CB4ABE"/>
    <w:rsid w:val="00CB4B97"/>
    <w:rsid w:val="00CB4C64"/>
    <w:rsid w:val="00CB4C9C"/>
    <w:rsid w:val="00CB4CD4"/>
    <w:rsid w:val="00CB4D7E"/>
    <w:rsid w:val="00CB4D84"/>
    <w:rsid w:val="00CB4EF4"/>
    <w:rsid w:val="00CB4F6A"/>
    <w:rsid w:val="00CB51DA"/>
    <w:rsid w:val="00CB5260"/>
    <w:rsid w:val="00CB5345"/>
    <w:rsid w:val="00CB5380"/>
    <w:rsid w:val="00CB5494"/>
    <w:rsid w:val="00CB54AF"/>
    <w:rsid w:val="00CB54B4"/>
    <w:rsid w:val="00CB54F5"/>
    <w:rsid w:val="00CB557B"/>
    <w:rsid w:val="00CB5630"/>
    <w:rsid w:val="00CB56C2"/>
    <w:rsid w:val="00CB56CC"/>
    <w:rsid w:val="00CB57E0"/>
    <w:rsid w:val="00CB593A"/>
    <w:rsid w:val="00CB5A17"/>
    <w:rsid w:val="00CB5AD4"/>
    <w:rsid w:val="00CB5AD6"/>
    <w:rsid w:val="00CB5B70"/>
    <w:rsid w:val="00CB5DC8"/>
    <w:rsid w:val="00CB5EB2"/>
    <w:rsid w:val="00CB5F3B"/>
    <w:rsid w:val="00CB5F3C"/>
    <w:rsid w:val="00CB5F52"/>
    <w:rsid w:val="00CB619C"/>
    <w:rsid w:val="00CB6292"/>
    <w:rsid w:val="00CB642D"/>
    <w:rsid w:val="00CB648E"/>
    <w:rsid w:val="00CB64C4"/>
    <w:rsid w:val="00CB64D3"/>
    <w:rsid w:val="00CB65EE"/>
    <w:rsid w:val="00CB67C8"/>
    <w:rsid w:val="00CB67D6"/>
    <w:rsid w:val="00CB67EE"/>
    <w:rsid w:val="00CB69BE"/>
    <w:rsid w:val="00CB6A29"/>
    <w:rsid w:val="00CB6A67"/>
    <w:rsid w:val="00CB6AD0"/>
    <w:rsid w:val="00CB6BDF"/>
    <w:rsid w:val="00CB6C30"/>
    <w:rsid w:val="00CB7068"/>
    <w:rsid w:val="00CB72D1"/>
    <w:rsid w:val="00CB7333"/>
    <w:rsid w:val="00CB73C0"/>
    <w:rsid w:val="00CB7595"/>
    <w:rsid w:val="00CB7698"/>
    <w:rsid w:val="00CB7711"/>
    <w:rsid w:val="00CB77A2"/>
    <w:rsid w:val="00CB7818"/>
    <w:rsid w:val="00CB7878"/>
    <w:rsid w:val="00CB78D4"/>
    <w:rsid w:val="00CB7B4D"/>
    <w:rsid w:val="00CB7BC5"/>
    <w:rsid w:val="00CB7C12"/>
    <w:rsid w:val="00CB7D59"/>
    <w:rsid w:val="00CB7E6D"/>
    <w:rsid w:val="00CB7ED8"/>
    <w:rsid w:val="00CC0156"/>
    <w:rsid w:val="00CC01D5"/>
    <w:rsid w:val="00CC0201"/>
    <w:rsid w:val="00CC021A"/>
    <w:rsid w:val="00CC021F"/>
    <w:rsid w:val="00CC0420"/>
    <w:rsid w:val="00CC0497"/>
    <w:rsid w:val="00CC05DA"/>
    <w:rsid w:val="00CC0706"/>
    <w:rsid w:val="00CC076D"/>
    <w:rsid w:val="00CC0856"/>
    <w:rsid w:val="00CC099B"/>
    <w:rsid w:val="00CC09FD"/>
    <w:rsid w:val="00CC0A8E"/>
    <w:rsid w:val="00CC0BA1"/>
    <w:rsid w:val="00CC0CAF"/>
    <w:rsid w:val="00CC0D73"/>
    <w:rsid w:val="00CC0DF2"/>
    <w:rsid w:val="00CC0EA0"/>
    <w:rsid w:val="00CC0F37"/>
    <w:rsid w:val="00CC12C5"/>
    <w:rsid w:val="00CC12C8"/>
    <w:rsid w:val="00CC13B0"/>
    <w:rsid w:val="00CC13B3"/>
    <w:rsid w:val="00CC13FF"/>
    <w:rsid w:val="00CC14DC"/>
    <w:rsid w:val="00CC14F2"/>
    <w:rsid w:val="00CC1558"/>
    <w:rsid w:val="00CC1662"/>
    <w:rsid w:val="00CC16AB"/>
    <w:rsid w:val="00CC16BC"/>
    <w:rsid w:val="00CC1804"/>
    <w:rsid w:val="00CC19A2"/>
    <w:rsid w:val="00CC19A4"/>
    <w:rsid w:val="00CC19B9"/>
    <w:rsid w:val="00CC1A37"/>
    <w:rsid w:val="00CC1AAF"/>
    <w:rsid w:val="00CC1B00"/>
    <w:rsid w:val="00CC1B65"/>
    <w:rsid w:val="00CC1C60"/>
    <w:rsid w:val="00CC1C61"/>
    <w:rsid w:val="00CC1CBF"/>
    <w:rsid w:val="00CC1CCA"/>
    <w:rsid w:val="00CC1F19"/>
    <w:rsid w:val="00CC2038"/>
    <w:rsid w:val="00CC2074"/>
    <w:rsid w:val="00CC20ED"/>
    <w:rsid w:val="00CC21D0"/>
    <w:rsid w:val="00CC226D"/>
    <w:rsid w:val="00CC2295"/>
    <w:rsid w:val="00CC2364"/>
    <w:rsid w:val="00CC2435"/>
    <w:rsid w:val="00CC253B"/>
    <w:rsid w:val="00CC2633"/>
    <w:rsid w:val="00CC28F0"/>
    <w:rsid w:val="00CC2942"/>
    <w:rsid w:val="00CC2B61"/>
    <w:rsid w:val="00CC2D02"/>
    <w:rsid w:val="00CC2E71"/>
    <w:rsid w:val="00CC2ECA"/>
    <w:rsid w:val="00CC3080"/>
    <w:rsid w:val="00CC310D"/>
    <w:rsid w:val="00CC3111"/>
    <w:rsid w:val="00CC3167"/>
    <w:rsid w:val="00CC31A3"/>
    <w:rsid w:val="00CC31DD"/>
    <w:rsid w:val="00CC32D4"/>
    <w:rsid w:val="00CC33B6"/>
    <w:rsid w:val="00CC35D3"/>
    <w:rsid w:val="00CC3696"/>
    <w:rsid w:val="00CC36D8"/>
    <w:rsid w:val="00CC3701"/>
    <w:rsid w:val="00CC376F"/>
    <w:rsid w:val="00CC38E2"/>
    <w:rsid w:val="00CC39B0"/>
    <w:rsid w:val="00CC3A58"/>
    <w:rsid w:val="00CC3A82"/>
    <w:rsid w:val="00CC3AAD"/>
    <w:rsid w:val="00CC3BC4"/>
    <w:rsid w:val="00CC3D65"/>
    <w:rsid w:val="00CC3E47"/>
    <w:rsid w:val="00CC3EA6"/>
    <w:rsid w:val="00CC3FE7"/>
    <w:rsid w:val="00CC3FFE"/>
    <w:rsid w:val="00CC41DB"/>
    <w:rsid w:val="00CC41FB"/>
    <w:rsid w:val="00CC4297"/>
    <w:rsid w:val="00CC42BC"/>
    <w:rsid w:val="00CC42DC"/>
    <w:rsid w:val="00CC42E9"/>
    <w:rsid w:val="00CC4396"/>
    <w:rsid w:val="00CC43CD"/>
    <w:rsid w:val="00CC461A"/>
    <w:rsid w:val="00CC4632"/>
    <w:rsid w:val="00CC466C"/>
    <w:rsid w:val="00CC472B"/>
    <w:rsid w:val="00CC4753"/>
    <w:rsid w:val="00CC47F8"/>
    <w:rsid w:val="00CC49B2"/>
    <w:rsid w:val="00CC49F3"/>
    <w:rsid w:val="00CC4AEA"/>
    <w:rsid w:val="00CC4B1B"/>
    <w:rsid w:val="00CC4C33"/>
    <w:rsid w:val="00CC4C5B"/>
    <w:rsid w:val="00CC4C87"/>
    <w:rsid w:val="00CC4CA7"/>
    <w:rsid w:val="00CC4CAF"/>
    <w:rsid w:val="00CC4CC5"/>
    <w:rsid w:val="00CC4D06"/>
    <w:rsid w:val="00CC4EC1"/>
    <w:rsid w:val="00CC513F"/>
    <w:rsid w:val="00CC51D7"/>
    <w:rsid w:val="00CC5202"/>
    <w:rsid w:val="00CC525B"/>
    <w:rsid w:val="00CC529A"/>
    <w:rsid w:val="00CC535A"/>
    <w:rsid w:val="00CC5360"/>
    <w:rsid w:val="00CC54E4"/>
    <w:rsid w:val="00CC5582"/>
    <w:rsid w:val="00CC565F"/>
    <w:rsid w:val="00CC56D4"/>
    <w:rsid w:val="00CC57C1"/>
    <w:rsid w:val="00CC57E4"/>
    <w:rsid w:val="00CC5852"/>
    <w:rsid w:val="00CC595C"/>
    <w:rsid w:val="00CC5CDD"/>
    <w:rsid w:val="00CC5E53"/>
    <w:rsid w:val="00CC603A"/>
    <w:rsid w:val="00CC6182"/>
    <w:rsid w:val="00CC639E"/>
    <w:rsid w:val="00CC64F2"/>
    <w:rsid w:val="00CC6591"/>
    <w:rsid w:val="00CC65C6"/>
    <w:rsid w:val="00CC65FF"/>
    <w:rsid w:val="00CC6606"/>
    <w:rsid w:val="00CC6688"/>
    <w:rsid w:val="00CC66B5"/>
    <w:rsid w:val="00CC67AC"/>
    <w:rsid w:val="00CC688F"/>
    <w:rsid w:val="00CC68C1"/>
    <w:rsid w:val="00CC68E0"/>
    <w:rsid w:val="00CC6A6C"/>
    <w:rsid w:val="00CC6AD6"/>
    <w:rsid w:val="00CC6CBE"/>
    <w:rsid w:val="00CC6D63"/>
    <w:rsid w:val="00CC6D9B"/>
    <w:rsid w:val="00CC6F58"/>
    <w:rsid w:val="00CC701A"/>
    <w:rsid w:val="00CC70C3"/>
    <w:rsid w:val="00CC71F3"/>
    <w:rsid w:val="00CC7219"/>
    <w:rsid w:val="00CC7330"/>
    <w:rsid w:val="00CC743C"/>
    <w:rsid w:val="00CC7440"/>
    <w:rsid w:val="00CC7589"/>
    <w:rsid w:val="00CC75EE"/>
    <w:rsid w:val="00CC7752"/>
    <w:rsid w:val="00CC79DA"/>
    <w:rsid w:val="00CC79F3"/>
    <w:rsid w:val="00CC7AB6"/>
    <w:rsid w:val="00CC7ADC"/>
    <w:rsid w:val="00CC7B10"/>
    <w:rsid w:val="00CC7C51"/>
    <w:rsid w:val="00CC7CB0"/>
    <w:rsid w:val="00CC7CFB"/>
    <w:rsid w:val="00CC7DC7"/>
    <w:rsid w:val="00CC7E0F"/>
    <w:rsid w:val="00CC7E90"/>
    <w:rsid w:val="00CC7EE4"/>
    <w:rsid w:val="00CC7EE8"/>
    <w:rsid w:val="00CC7FBF"/>
    <w:rsid w:val="00CD0058"/>
    <w:rsid w:val="00CD0095"/>
    <w:rsid w:val="00CD0158"/>
    <w:rsid w:val="00CD0232"/>
    <w:rsid w:val="00CD02DE"/>
    <w:rsid w:val="00CD0358"/>
    <w:rsid w:val="00CD03BD"/>
    <w:rsid w:val="00CD0400"/>
    <w:rsid w:val="00CD04AF"/>
    <w:rsid w:val="00CD051F"/>
    <w:rsid w:val="00CD0608"/>
    <w:rsid w:val="00CD08D5"/>
    <w:rsid w:val="00CD0978"/>
    <w:rsid w:val="00CD09D2"/>
    <w:rsid w:val="00CD0AD7"/>
    <w:rsid w:val="00CD0AFB"/>
    <w:rsid w:val="00CD0BCB"/>
    <w:rsid w:val="00CD0C99"/>
    <w:rsid w:val="00CD0E52"/>
    <w:rsid w:val="00CD0E6C"/>
    <w:rsid w:val="00CD0EE3"/>
    <w:rsid w:val="00CD0F79"/>
    <w:rsid w:val="00CD12C7"/>
    <w:rsid w:val="00CD12E8"/>
    <w:rsid w:val="00CD1306"/>
    <w:rsid w:val="00CD134A"/>
    <w:rsid w:val="00CD13A3"/>
    <w:rsid w:val="00CD13B7"/>
    <w:rsid w:val="00CD1835"/>
    <w:rsid w:val="00CD1882"/>
    <w:rsid w:val="00CD19C2"/>
    <w:rsid w:val="00CD1CC4"/>
    <w:rsid w:val="00CD1DB1"/>
    <w:rsid w:val="00CD1E55"/>
    <w:rsid w:val="00CD1EC2"/>
    <w:rsid w:val="00CD20D3"/>
    <w:rsid w:val="00CD20E7"/>
    <w:rsid w:val="00CD21A0"/>
    <w:rsid w:val="00CD234C"/>
    <w:rsid w:val="00CD23C8"/>
    <w:rsid w:val="00CD2475"/>
    <w:rsid w:val="00CD24CD"/>
    <w:rsid w:val="00CD24E9"/>
    <w:rsid w:val="00CD25B0"/>
    <w:rsid w:val="00CD2625"/>
    <w:rsid w:val="00CD27A1"/>
    <w:rsid w:val="00CD2941"/>
    <w:rsid w:val="00CD2B77"/>
    <w:rsid w:val="00CD2C1F"/>
    <w:rsid w:val="00CD2C39"/>
    <w:rsid w:val="00CD2CFB"/>
    <w:rsid w:val="00CD2F07"/>
    <w:rsid w:val="00CD310C"/>
    <w:rsid w:val="00CD310E"/>
    <w:rsid w:val="00CD31C6"/>
    <w:rsid w:val="00CD31EF"/>
    <w:rsid w:val="00CD321B"/>
    <w:rsid w:val="00CD32B6"/>
    <w:rsid w:val="00CD332A"/>
    <w:rsid w:val="00CD342F"/>
    <w:rsid w:val="00CD343D"/>
    <w:rsid w:val="00CD359A"/>
    <w:rsid w:val="00CD35E4"/>
    <w:rsid w:val="00CD371F"/>
    <w:rsid w:val="00CD3728"/>
    <w:rsid w:val="00CD3755"/>
    <w:rsid w:val="00CD375F"/>
    <w:rsid w:val="00CD385E"/>
    <w:rsid w:val="00CD3874"/>
    <w:rsid w:val="00CD38C6"/>
    <w:rsid w:val="00CD38FE"/>
    <w:rsid w:val="00CD3915"/>
    <w:rsid w:val="00CD395B"/>
    <w:rsid w:val="00CD398C"/>
    <w:rsid w:val="00CD39BF"/>
    <w:rsid w:val="00CD3ADC"/>
    <w:rsid w:val="00CD3B76"/>
    <w:rsid w:val="00CD3BED"/>
    <w:rsid w:val="00CD3C50"/>
    <w:rsid w:val="00CD3C51"/>
    <w:rsid w:val="00CD3E7D"/>
    <w:rsid w:val="00CD3F10"/>
    <w:rsid w:val="00CD4055"/>
    <w:rsid w:val="00CD4149"/>
    <w:rsid w:val="00CD41FB"/>
    <w:rsid w:val="00CD4274"/>
    <w:rsid w:val="00CD4284"/>
    <w:rsid w:val="00CD4316"/>
    <w:rsid w:val="00CD4348"/>
    <w:rsid w:val="00CD4550"/>
    <w:rsid w:val="00CD45AD"/>
    <w:rsid w:val="00CD4604"/>
    <w:rsid w:val="00CD464E"/>
    <w:rsid w:val="00CD487E"/>
    <w:rsid w:val="00CD4997"/>
    <w:rsid w:val="00CD4B28"/>
    <w:rsid w:val="00CD4B68"/>
    <w:rsid w:val="00CD4BFC"/>
    <w:rsid w:val="00CD4C60"/>
    <w:rsid w:val="00CD4C74"/>
    <w:rsid w:val="00CD4C8F"/>
    <w:rsid w:val="00CD4E5B"/>
    <w:rsid w:val="00CD4E92"/>
    <w:rsid w:val="00CD4FE0"/>
    <w:rsid w:val="00CD5136"/>
    <w:rsid w:val="00CD5315"/>
    <w:rsid w:val="00CD53B1"/>
    <w:rsid w:val="00CD53F9"/>
    <w:rsid w:val="00CD568A"/>
    <w:rsid w:val="00CD5A2D"/>
    <w:rsid w:val="00CD5B87"/>
    <w:rsid w:val="00CD5BCA"/>
    <w:rsid w:val="00CD5C54"/>
    <w:rsid w:val="00CD5DCE"/>
    <w:rsid w:val="00CD5E4F"/>
    <w:rsid w:val="00CD5EB7"/>
    <w:rsid w:val="00CD5FBE"/>
    <w:rsid w:val="00CD60BA"/>
    <w:rsid w:val="00CD62EA"/>
    <w:rsid w:val="00CD630F"/>
    <w:rsid w:val="00CD662E"/>
    <w:rsid w:val="00CD68AF"/>
    <w:rsid w:val="00CD690B"/>
    <w:rsid w:val="00CD6911"/>
    <w:rsid w:val="00CD6916"/>
    <w:rsid w:val="00CD6947"/>
    <w:rsid w:val="00CD6A95"/>
    <w:rsid w:val="00CD6BF2"/>
    <w:rsid w:val="00CD6C0E"/>
    <w:rsid w:val="00CD6C56"/>
    <w:rsid w:val="00CD6D56"/>
    <w:rsid w:val="00CD6DEB"/>
    <w:rsid w:val="00CD6EF6"/>
    <w:rsid w:val="00CD7070"/>
    <w:rsid w:val="00CD716C"/>
    <w:rsid w:val="00CD71E0"/>
    <w:rsid w:val="00CD741D"/>
    <w:rsid w:val="00CD75B2"/>
    <w:rsid w:val="00CD762A"/>
    <w:rsid w:val="00CD7691"/>
    <w:rsid w:val="00CD7723"/>
    <w:rsid w:val="00CD7761"/>
    <w:rsid w:val="00CD7765"/>
    <w:rsid w:val="00CD77CE"/>
    <w:rsid w:val="00CD780D"/>
    <w:rsid w:val="00CD783E"/>
    <w:rsid w:val="00CD78C9"/>
    <w:rsid w:val="00CD79E9"/>
    <w:rsid w:val="00CD7A7B"/>
    <w:rsid w:val="00CD7B6F"/>
    <w:rsid w:val="00CD7B72"/>
    <w:rsid w:val="00CD7D55"/>
    <w:rsid w:val="00CD7F9D"/>
    <w:rsid w:val="00CE00C4"/>
    <w:rsid w:val="00CE02EB"/>
    <w:rsid w:val="00CE03CA"/>
    <w:rsid w:val="00CE04B1"/>
    <w:rsid w:val="00CE0583"/>
    <w:rsid w:val="00CE0602"/>
    <w:rsid w:val="00CE0753"/>
    <w:rsid w:val="00CE0823"/>
    <w:rsid w:val="00CE082C"/>
    <w:rsid w:val="00CE0857"/>
    <w:rsid w:val="00CE0B71"/>
    <w:rsid w:val="00CE0C16"/>
    <w:rsid w:val="00CE0C28"/>
    <w:rsid w:val="00CE0C61"/>
    <w:rsid w:val="00CE0C70"/>
    <w:rsid w:val="00CE0C82"/>
    <w:rsid w:val="00CE0E03"/>
    <w:rsid w:val="00CE0EC9"/>
    <w:rsid w:val="00CE0ECA"/>
    <w:rsid w:val="00CE0F7D"/>
    <w:rsid w:val="00CE0FA0"/>
    <w:rsid w:val="00CE1004"/>
    <w:rsid w:val="00CE10E6"/>
    <w:rsid w:val="00CE1108"/>
    <w:rsid w:val="00CE1455"/>
    <w:rsid w:val="00CE1461"/>
    <w:rsid w:val="00CE1466"/>
    <w:rsid w:val="00CE1516"/>
    <w:rsid w:val="00CE15C2"/>
    <w:rsid w:val="00CE15F3"/>
    <w:rsid w:val="00CE165C"/>
    <w:rsid w:val="00CE1699"/>
    <w:rsid w:val="00CE1848"/>
    <w:rsid w:val="00CE199D"/>
    <w:rsid w:val="00CE1B23"/>
    <w:rsid w:val="00CE1BD5"/>
    <w:rsid w:val="00CE1C0C"/>
    <w:rsid w:val="00CE1D0E"/>
    <w:rsid w:val="00CE1DC4"/>
    <w:rsid w:val="00CE1E54"/>
    <w:rsid w:val="00CE1E57"/>
    <w:rsid w:val="00CE1F74"/>
    <w:rsid w:val="00CE1FDE"/>
    <w:rsid w:val="00CE2087"/>
    <w:rsid w:val="00CE22F5"/>
    <w:rsid w:val="00CE2364"/>
    <w:rsid w:val="00CE246B"/>
    <w:rsid w:val="00CE24A9"/>
    <w:rsid w:val="00CE2549"/>
    <w:rsid w:val="00CE2631"/>
    <w:rsid w:val="00CE26F6"/>
    <w:rsid w:val="00CE27F8"/>
    <w:rsid w:val="00CE28F5"/>
    <w:rsid w:val="00CE2AFB"/>
    <w:rsid w:val="00CE2B12"/>
    <w:rsid w:val="00CE2B20"/>
    <w:rsid w:val="00CE2B64"/>
    <w:rsid w:val="00CE2C7A"/>
    <w:rsid w:val="00CE2D05"/>
    <w:rsid w:val="00CE2DD0"/>
    <w:rsid w:val="00CE2FDF"/>
    <w:rsid w:val="00CE2FEA"/>
    <w:rsid w:val="00CE3032"/>
    <w:rsid w:val="00CE30DC"/>
    <w:rsid w:val="00CE3149"/>
    <w:rsid w:val="00CE318B"/>
    <w:rsid w:val="00CE31CE"/>
    <w:rsid w:val="00CE31F0"/>
    <w:rsid w:val="00CE320A"/>
    <w:rsid w:val="00CE322D"/>
    <w:rsid w:val="00CE3243"/>
    <w:rsid w:val="00CE3371"/>
    <w:rsid w:val="00CE33F3"/>
    <w:rsid w:val="00CE3418"/>
    <w:rsid w:val="00CE3667"/>
    <w:rsid w:val="00CE36BE"/>
    <w:rsid w:val="00CE377E"/>
    <w:rsid w:val="00CE3811"/>
    <w:rsid w:val="00CE38CD"/>
    <w:rsid w:val="00CE394A"/>
    <w:rsid w:val="00CE39E4"/>
    <w:rsid w:val="00CE3ACB"/>
    <w:rsid w:val="00CE3DF2"/>
    <w:rsid w:val="00CE411D"/>
    <w:rsid w:val="00CE4258"/>
    <w:rsid w:val="00CE427E"/>
    <w:rsid w:val="00CE4419"/>
    <w:rsid w:val="00CE46E8"/>
    <w:rsid w:val="00CE472B"/>
    <w:rsid w:val="00CE4829"/>
    <w:rsid w:val="00CE4955"/>
    <w:rsid w:val="00CE49BB"/>
    <w:rsid w:val="00CE4B1C"/>
    <w:rsid w:val="00CE4B43"/>
    <w:rsid w:val="00CE4CE9"/>
    <w:rsid w:val="00CE4FE9"/>
    <w:rsid w:val="00CE4FEB"/>
    <w:rsid w:val="00CE50B1"/>
    <w:rsid w:val="00CE52A0"/>
    <w:rsid w:val="00CE5379"/>
    <w:rsid w:val="00CE547B"/>
    <w:rsid w:val="00CE556F"/>
    <w:rsid w:val="00CE55BE"/>
    <w:rsid w:val="00CE5602"/>
    <w:rsid w:val="00CE562E"/>
    <w:rsid w:val="00CE5655"/>
    <w:rsid w:val="00CE5805"/>
    <w:rsid w:val="00CE584B"/>
    <w:rsid w:val="00CE5B8A"/>
    <w:rsid w:val="00CE5B99"/>
    <w:rsid w:val="00CE5BB0"/>
    <w:rsid w:val="00CE5BD7"/>
    <w:rsid w:val="00CE5C9D"/>
    <w:rsid w:val="00CE5F37"/>
    <w:rsid w:val="00CE5FE2"/>
    <w:rsid w:val="00CE604E"/>
    <w:rsid w:val="00CE618D"/>
    <w:rsid w:val="00CE621C"/>
    <w:rsid w:val="00CE62F2"/>
    <w:rsid w:val="00CE63C1"/>
    <w:rsid w:val="00CE6476"/>
    <w:rsid w:val="00CE650A"/>
    <w:rsid w:val="00CE6569"/>
    <w:rsid w:val="00CE6589"/>
    <w:rsid w:val="00CE6621"/>
    <w:rsid w:val="00CE665B"/>
    <w:rsid w:val="00CE6667"/>
    <w:rsid w:val="00CE6730"/>
    <w:rsid w:val="00CE679D"/>
    <w:rsid w:val="00CE6A40"/>
    <w:rsid w:val="00CE6D4C"/>
    <w:rsid w:val="00CE6DE9"/>
    <w:rsid w:val="00CE6E27"/>
    <w:rsid w:val="00CE6E28"/>
    <w:rsid w:val="00CE6EA4"/>
    <w:rsid w:val="00CE6EC9"/>
    <w:rsid w:val="00CE6F7C"/>
    <w:rsid w:val="00CE6F97"/>
    <w:rsid w:val="00CE7035"/>
    <w:rsid w:val="00CE7069"/>
    <w:rsid w:val="00CE70D4"/>
    <w:rsid w:val="00CE71B1"/>
    <w:rsid w:val="00CE7230"/>
    <w:rsid w:val="00CE72B3"/>
    <w:rsid w:val="00CE72E8"/>
    <w:rsid w:val="00CE7396"/>
    <w:rsid w:val="00CE75A8"/>
    <w:rsid w:val="00CE77DB"/>
    <w:rsid w:val="00CE781B"/>
    <w:rsid w:val="00CE782D"/>
    <w:rsid w:val="00CE7917"/>
    <w:rsid w:val="00CE7924"/>
    <w:rsid w:val="00CE7940"/>
    <w:rsid w:val="00CE7A69"/>
    <w:rsid w:val="00CE7B66"/>
    <w:rsid w:val="00CE7C32"/>
    <w:rsid w:val="00CE7CF4"/>
    <w:rsid w:val="00CE7D0D"/>
    <w:rsid w:val="00CE7DAF"/>
    <w:rsid w:val="00CE7E60"/>
    <w:rsid w:val="00CE7F1E"/>
    <w:rsid w:val="00CE7F2C"/>
    <w:rsid w:val="00CF01D5"/>
    <w:rsid w:val="00CF030E"/>
    <w:rsid w:val="00CF044D"/>
    <w:rsid w:val="00CF046D"/>
    <w:rsid w:val="00CF0664"/>
    <w:rsid w:val="00CF066C"/>
    <w:rsid w:val="00CF07BF"/>
    <w:rsid w:val="00CF07D3"/>
    <w:rsid w:val="00CF0816"/>
    <w:rsid w:val="00CF086C"/>
    <w:rsid w:val="00CF091B"/>
    <w:rsid w:val="00CF09A6"/>
    <w:rsid w:val="00CF0A43"/>
    <w:rsid w:val="00CF0A5D"/>
    <w:rsid w:val="00CF0A69"/>
    <w:rsid w:val="00CF0A98"/>
    <w:rsid w:val="00CF0AA0"/>
    <w:rsid w:val="00CF0AB7"/>
    <w:rsid w:val="00CF0BF1"/>
    <w:rsid w:val="00CF0C26"/>
    <w:rsid w:val="00CF0C60"/>
    <w:rsid w:val="00CF0CE9"/>
    <w:rsid w:val="00CF0DCA"/>
    <w:rsid w:val="00CF0E3A"/>
    <w:rsid w:val="00CF0E80"/>
    <w:rsid w:val="00CF0F0C"/>
    <w:rsid w:val="00CF0F54"/>
    <w:rsid w:val="00CF10AA"/>
    <w:rsid w:val="00CF10C2"/>
    <w:rsid w:val="00CF11EC"/>
    <w:rsid w:val="00CF12F3"/>
    <w:rsid w:val="00CF13E1"/>
    <w:rsid w:val="00CF1566"/>
    <w:rsid w:val="00CF1630"/>
    <w:rsid w:val="00CF169A"/>
    <w:rsid w:val="00CF1993"/>
    <w:rsid w:val="00CF199F"/>
    <w:rsid w:val="00CF19FF"/>
    <w:rsid w:val="00CF1A33"/>
    <w:rsid w:val="00CF1B91"/>
    <w:rsid w:val="00CF1BC1"/>
    <w:rsid w:val="00CF1C3E"/>
    <w:rsid w:val="00CF1D69"/>
    <w:rsid w:val="00CF1D78"/>
    <w:rsid w:val="00CF1E06"/>
    <w:rsid w:val="00CF1E28"/>
    <w:rsid w:val="00CF1E88"/>
    <w:rsid w:val="00CF1F6D"/>
    <w:rsid w:val="00CF2071"/>
    <w:rsid w:val="00CF20BC"/>
    <w:rsid w:val="00CF219B"/>
    <w:rsid w:val="00CF2387"/>
    <w:rsid w:val="00CF23EF"/>
    <w:rsid w:val="00CF259D"/>
    <w:rsid w:val="00CF2702"/>
    <w:rsid w:val="00CF27AA"/>
    <w:rsid w:val="00CF28D5"/>
    <w:rsid w:val="00CF2A99"/>
    <w:rsid w:val="00CF2B7F"/>
    <w:rsid w:val="00CF2D31"/>
    <w:rsid w:val="00CF2D57"/>
    <w:rsid w:val="00CF2FC8"/>
    <w:rsid w:val="00CF317A"/>
    <w:rsid w:val="00CF31AC"/>
    <w:rsid w:val="00CF31DF"/>
    <w:rsid w:val="00CF33B3"/>
    <w:rsid w:val="00CF34A8"/>
    <w:rsid w:val="00CF3508"/>
    <w:rsid w:val="00CF3645"/>
    <w:rsid w:val="00CF3788"/>
    <w:rsid w:val="00CF3790"/>
    <w:rsid w:val="00CF37D1"/>
    <w:rsid w:val="00CF38C7"/>
    <w:rsid w:val="00CF39DF"/>
    <w:rsid w:val="00CF39E1"/>
    <w:rsid w:val="00CF39E5"/>
    <w:rsid w:val="00CF39FA"/>
    <w:rsid w:val="00CF3CB9"/>
    <w:rsid w:val="00CF3CFC"/>
    <w:rsid w:val="00CF3D58"/>
    <w:rsid w:val="00CF3E1A"/>
    <w:rsid w:val="00CF3F4E"/>
    <w:rsid w:val="00CF3F81"/>
    <w:rsid w:val="00CF3FDB"/>
    <w:rsid w:val="00CF404B"/>
    <w:rsid w:val="00CF424F"/>
    <w:rsid w:val="00CF42AB"/>
    <w:rsid w:val="00CF4334"/>
    <w:rsid w:val="00CF44EF"/>
    <w:rsid w:val="00CF46B7"/>
    <w:rsid w:val="00CF46DD"/>
    <w:rsid w:val="00CF47D9"/>
    <w:rsid w:val="00CF47E6"/>
    <w:rsid w:val="00CF4833"/>
    <w:rsid w:val="00CF4948"/>
    <w:rsid w:val="00CF496F"/>
    <w:rsid w:val="00CF4A3D"/>
    <w:rsid w:val="00CF4B0A"/>
    <w:rsid w:val="00CF4C12"/>
    <w:rsid w:val="00CF4F17"/>
    <w:rsid w:val="00CF504F"/>
    <w:rsid w:val="00CF50D4"/>
    <w:rsid w:val="00CF5369"/>
    <w:rsid w:val="00CF53BD"/>
    <w:rsid w:val="00CF53F4"/>
    <w:rsid w:val="00CF53F9"/>
    <w:rsid w:val="00CF5412"/>
    <w:rsid w:val="00CF5515"/>
    <w:rsid w:val="00CF5608"/>
    <w:rsid w:val="00CF573B"/>
    <w:rsid w:val="00CF57F4"/>
    <w:rsid w:val="00CF5B1B"/>
    <w:rsid w:val="00CF5B6C"/>
    <w:rsid w:val="00CF5C2B"/>
    <w:rsid w:val="00CF5DDC"/>
    <w:rsid w:val="00CF5E22"/>
    <w:rsid w:val="00CF5E35"/>
    <w:rsid w:val="00CF6120"/>
    <w:rsid w:val="00CF655D"/>
    <w:rsid w:val="00CF65A4"/>
    <w:rsid w:val="00CF664C"/>
    <w:rsid w:val="00CF66FA"/>
    <w:rsid w:val="00CF6878"/>
    <w:rsid w:val="00CF69CD"/>
    <w:rsid w:val="00CF6A1B"/>
    <w:rsid w:val="00CF6A32"/>
    <w:rsid w:val="00CF6AA4"/>
    <w:rsid w:val="00CF6B74"/>
    <w:rsid w:val="00CF6BAF"/>
    <w:rsid w:val="00CF6CE3"/>
    <w:rsid w:val="00CF6E7B"/>
    <w:rsid w:val="00CF6EA1"/>
    <w:rsid w:val="00CF6EB0"/>
    <w:rsid w:val="00CF6EF8"/>
    <w:rsid w:val="00CF6F0F"/>
    <w:rsid w:val="00CF7028"/>
    <w:rsid w:val="00CF715A"/>
    <w:rsid w:val="00CF71AE"/>
    <w:rsid w:val="00CF7317"/>
    <w:rsid w:val="00CF7387"/>
    <w:rsid w:val="00CF7406"/>
    <w:rsid w:val="00CF76AB"/>
    <w:rsid w:val="00CF76DF"/>
    <w:rsid w:val="00CF781F"/>
    <w:rsid w:val="00CF79AF"/>
    <w:rsid w:val="00CF79E3"/>
    <w:rsid w:val="00CF7AAE"/>
    <w:rsid w:val="00CF7AE6"/>
    <w:rsid w:val="00CF7CFF"/>
    <w:rsid w:val="00CF7DA4"/>
    <w:rsid w:val="00CF7DF2"/>
    <w:rsid w:val="00CF7DF5"/>
    <w:rsid w:val="00CF7E3D"/>
    <w:rsid w:val="00CF7E99"/>
    <w:rsid w:val="00CF7F59"/>
    <w:rsid w:val="00D002AE"/>
    <w:rsid w:val="00D0034A"/>
    <w:rsid w:val="00D0034F"/>
    <w:rsid w:val="00D00544"/>
    <w:rsid w:val="00D00801"/>
    <w:rsid w:val="00D009A5"/>
    <w:rsid w:val="00D00A70"/>
    <w:rsid w:val="00D00A9D"/>
    <w:rsid w:val="00D00AB5"/>
    <w:rsid w:val="00D00C35"/>
    <w:rsid w:val="00D00CE0"/>
    <w:rsid w:val="00D00D37"/>
    <w:rsid w:val="00D00F07"/>
    <w:rsid w:val="00D00FA9"/>
    <w:rsid w:val="00D00FCE"/>
    <w:rsid w:val="00D0119A"/>
    <w:rsid w:val="00D011C4"/>
    <w:rsid w:val="00D0120B"/>
    <w:rsid w:val="00D0121C"/>
    <w:rsid w:val="00D0122F"/>
    <w:rsid w:val="00D012A8"/>
    <w:rsid w:val="00D012D0"/>
    <w:rsid w:val="00D01364"/>
    <w:rsid w:val="00D013AD"/>
    <w:rsid w:val="00D01436"/>
    <w:rsid w:val="00D01621"/>
    <w:rsid w:val="00D01717"/>
    <w:rsid w:val="00D017B9"/>
    <w:rsid w:val="00D017CB"/>
    <w:rsid w:val="00D01A55"/>
    <w:rsid w:val="00D01B08"/>
    <w:rsid w:val="00D01DEA"/>
    <w:rsid w:val="00D01E2B"/>
    <w:rsid w:val="00D01EFA"/>
    <w:rsid w:val="00D01F07"/>
    <w:rsid w:val="00D01FAD"/>
    <w:rsid w:val="00D0221E"/>
    <w:rsid w:val="00D022D5"/>
    <w:rsid w:val="00D022E0"/>
    <w:rsid w:val="00D02344"/>
    <w:rsid w:val="00D02463"/>
    <w:rsid w:val="00D02562"/>
    <w:rsid w:val="00D0269F"/>
    <w:rsid w:val="00D02791"/>
    <w:rsid w:val="00D02AA0"/>
    <w:rsid w:val="00D02B44"/>
    <w:rsid w:val="00D02BE2"/>
    <w:rsid w:val="00D02C27"/>
    <w:rsid w:val="00D02C2A"/>
    <w:rsid w:val="00D02D4E"/>
    <w:rsid w:val="00D02D75"/>
    <w:rsid w:val="00D02E29"/>
    <w:rsid w:val="00D02F50"/>
    <w:rsid w:val="00D02FAB"/>
    <w:rsid w:val="00D030F2"/>
    <w:rsid w:val="00D032ED"/>
    <w:rsid w:val="00D03306"/>
    <w:rsid w:val="00D0333B"/>
    <w:rsid w:val="00D035DF"/>
    <w:rsid w:val="00D03A32"/>
    <w:rsid w:val="00D03B0D"/>
    <w:rsid w:val="00D03B35"/>
    <w:rsid w:val="00D03DA5"/>
    <w:rsid w:val="00D03DA7"/>
    <w:rsid w:val="00D03DF4"/>
    <w:rsid w:val="00D03E3F"/>
    <w:rsid w:val="00D03E5B"/>
    <w:rsid w:val="00D03E83"/>
    <w:rsid w:val="00D03E99"/>
    <w:rsid w:val="00D03FA5"/>
    <w:rsid w:val="00D04048"/>
    <w:rsid w:val="00D04141"/>
    <w:rsid w:val="00D04510"/>
    <w:rsid w:val="00D04557"/>
    <w:rsid w:val="00D04600"/>
    <w:rsid w:val="00D04670"/>
    <w:rsid w:val="00D046ED"/>
    <w:rsid w:val="00D04849"/>
    <w:rsid w:val="00D048AD"/>
    <w:rsid w:val="00D04AE3"/>
    <w:rsid w:val="00D04B6E"/>
    <w:rsid w:val="00D04B77"/>
    <w:rsid w:val="00D04DA1"/>
    <w:rsid w:val="00D04E9E"/>
    <w:rsid w:val="00D04F3E"/>
    <w:rsid w:val="00D04F99"/>
    <w:rsid w:val="00D050CC"/>
    <w:rsid w:val="00D052B4"/>
    <w:rsid w:val="00D05345"/>
    <w:rsid w:val="00D0536F"/>
    <w:rsid w:val="00D053A5"/>
    <w:rsid w:val="00D0544C"/>
    <w:rsid w:val="00D0559A"/>
    <w:rsid w:val="00D05655"/>
    <w:rsid w:val="00D056E4"/>
    <w:rsid w:val="00D0577F"/>
    <w:rsid w:val="00D059ED"/>
    <w:rsid w:val="00D05A49"/>
    <w:rsid w:val="00D05A5D"/>
    <w:rsid w:val="00D05A63"/>
    <w:rsid w:val="00D05BF0"/>
    <w:rsid w:val="00D05FBF"/>
    <w:rsid w:val="00D0601B"/>
    <w:rsid w:val="00D061BC"/>
    <w:rsid w:val="00D0627C"/>
    <w:rsid w:val="00D063BA"/>
    <w:rsid w:val="00D0645A"/>
    <w:rsid w:val="00D065FE"/>
    <w:rsid w:val="00D06626"/>
    <w:rsid w:val="00D066AC"/>
    <w:rsid w:val="00D06716"/>
    <w:rsid w:val="00D06730"/>
    <w:rsid w:val="00D0675E"/>
    <w:rsid w:val="00D067C2"/>
    <w:rsid w:val="00D067E9"/>
    <w:rsid w:val="00D069A7"/>
    <w:rsid w:val="00D069F4"/>
    <w:rsid w:val="00D06AEA"/>
    <w:rsid w:val="00D06BA3"/>
    <w:rsid w:val="00D06BD7"/>
    <w:rsid w:val="00D06C75"/>
    <w:rsid w:val="00D06CA6"/>
    <w:rsid w:val="00D06D7C"/>
    <w:rsid w:val="00D06D97"/>
    <w:rsid w:val="00D06DD8"/>
    <w:rsid w:val="00D06FAF"/>
    <w:rsid w:val="00D06FEC"/>
    <w:rsid w:val="00D07089"/>
    <w:rsid w:val="00D07139"/>
    <w:rsid w:val="00D071C5"/>
    <w:rsid w:val="00D07290"/>
    <w:rsid w:val="00D0731E"/>
    <w:rsid w:val="00D073E0"/>
    <w:rsid w:val="00D07443"/>
    <w:rsid w:val="00D07474"/>
    <w:rsid w:val="00D0755D"/>
    <w:rsid w:val="00D076EC"/>
    <w:rsid w:val="00D07777"/>
    <w:rsid w:val="00D077CF"/>
    <w:rsid w:val="00D077EF"/>
    <w:rsid w:val="00D07834"/>
    <w:rsid w:val="00D07A2F"/>
    <w:rsid w:val="00D07B50"/>
    <w:rsid w:val="00D07B66"/>
    <w:rsid w:val="00D07B8E"/>
    <w:rsid w:val="00D07CFF"/>
    <w:rsid w:val="00D07DE8"/>
    <w:rsid w:val="00D07ED2"/>
    <w:rsid w:val="00D07F31"/>
    <w:rsid w:val="00D10014"/>
    <w:rsid w:val="00D101F7"/>
    <w:rsid w:val="00D1050A"/>
    <w:rsid w:val="00D105E0"/>
    <w:rsid w:val="00D1077A"/>
    <w:rsid w:val="00D107E1"/>
    <w:rsid w:val="00D1087E"/>
    <w:rsid w:val="00D10B0C"/>
    <w:rsid w:val="00D10B12"/>
    <w:rsid w:val="00D10B21"/>
    <w:rsid w:val="00D10BC1"/>
    <w:rsid w:val="00D10C14"/>
    <w:rsid w:val="00D10D2E"/>
    <w:rsid w:val="00D10D60"/>
    <w:rsid w:val="00D10ECB"/>
    <w:rsid w:val="00D10EDE"/>
    <w:rsid w:val="00D110E8"/>
    <w:rsid w:val="00D111A4"/>
    <w:rsid w:val="00D1126B"/>
    <w:rsid w:val="00D1158A"/>
    <w:rsid w:val="00D115F1"/>
    <w:rsid w:val="00D11600"/>
    <w:rsid w:val="00D116D7"/>
    <w:rsid w:val="00D1170F"/>
    <w:rsid w:val="00D11AF0"/>
    <w:rsid w:val="00D11AFC"/>
    <w:rsid w:val="00D11B26"/>
    <w:rsid w:val="00D11BE4"/>
    <w:rsid w:val="00D11DB2"/>
    <w:rsid w:val="00D12070"/>
    <w:rsid w:val="00D120D3"/>
    <w:rsid w:val="00D12295"/>
    <w:rsid w:val="00D122BF"/>
    <w:rsid w:val="00D12317"/>
    <w:rsid w:val="00D125EC"/>
    <w:rsid w:val="00D12616"/>
    <w:rsid w:val="00D12773"/>
    <w:rsid w:val="00D1279F"/>
    <w:rsid w:val="00D127BC"/>
    <w:rsid w:val="00D128C4"/>
    <w:rsid w:val="00D128CF"/>
    <w:rsid w:val="00D1293A"/>
    <w:rsid w:val="00D1299D"/>
    <w:rsid w:val="00D12A20"/>
    <w:rsid w:val="00D12AE3"/>
    <w:rsid w:val="00D12B04"/>
    <w:rsid w:val="00D12B97"/>
    <w:rsid w:val="00D12BEE"/>
    <w:rsid w:val="00D12F04"/>
    <w:rsid w:val="00D12F19"/>
    <w:rsid w:val="00D1300B"/>
    <w:rsid w:val="00D13032"/>
    <w:rsid w:val="00D131CE"/>
    <w:rsid w:val="00D13301"/>
    <w:rsid w:val="00D135E5"/>
    <w:rsid w:val="00D136C7"/>
    <w:rsid w:val="00D1375E"/>
    <w:rsid w:val="00D13847"/>
    <w:rsid w:val="00D1391F"/>
    <w:rsid w:val="00D13A57"/>
    <w:rsid w:val="00D13B92"/>
    <w:rsid w:val="00D13BEA"/>
    <w:rsid w:val="00D13C2A"/>
    <w:rsid w:val="00D13C3E"/>
    <w:rsid w:val="00D13DBA"/>
    <w:rsid w:val="00D13E7C"/>
    <w:rsid w:val="00D14040"/>
    <w:rsid w:val="00D1413E"/>
    <w:rsid w:val="00D141EB"/>
    <w:rsid w:val="00D1422A"/>
    <w:rsid w:val="00D14313"/>
    <w:rsid w:val="00D1446E"/>
    <w:rsid w:val="00D1448B"/>
    <w:rsid w:val="00D14506"/>
    <w:rsid w:val="00D1450D"/>
    <w:rsid w:val="00D14611"/>
    <w:rsid w:val="00D1468C"/>
    <w:rsid w:val="00D14782"/>
    <w:rsid w:val="00D14894"/>
    <w:rsid w:val="00D149C2"/>
    <w:rsid w:val="00D149DD"/>
    <w:rsid w:val="00D14B22"/>
    <w:rsid w:val="00D14B9B"/>
    <w:rsid w:val="00D14CED"/>
    <w:rsid w:val="00D14D61"/>
    <w:rsid w:val="00D14EC8"/>
    <w:rsid w:val="00D14F67"/>
    <w:rsid w:val="00D15184"/>
    <w:rsid w:val="00D151E9"/>
    <w:rsid w:val="00D15317"/>
    <w:rsid w:val="00D15512"/>
    <w:rsid w:val="00D155CF"/>
    <w:rsid w:val="00D157AC"/>
    <w:rsid w:val="00D1581E"/>
    <w:rsid w:val="00D1585C"/>
    <w:rsid w:val="00D15A50"/>
    <w:rsid w:val="00D15ADF"/>
    <w:rsid w:val="00D15AE9"/>
    <w:rsid w:val="00D15C11"/>
    <w:rsid w:val="00D15D20"/>
    <w:rsid w:val="00D15D7D"/>
    <w:rsid w:val="00D15DCE"/>
    <w:rsid w:val="00D15E4B"/>
    <w:rsid w:val="00D160BE"/>
    <w:rsid w:val="00D16100"/>
    <w:rsid w:val="00D1617A"/>
    <w:rsid w:val="00D1617C"/>
    <w:rsid w:val="00D163D4"/>
    <w:rsid w:val="00D1643B"/>
    <w:rsid w:val="00D1659C"/>
    <w:rsid w:val="00D166EE"/>
    <w:rsid w:val="00D167D0"/>
    <w:rsid w:val="00D16913"/>
    <w:rsid w:val="00D169AA"/>
    <w:rsid w:val="00D16AF3"/>
    <w:rsid w:val="00D16C55"/>
    <w:rsid w:val="00D16C69"/>
    <w:rsid w:val="00D16CE6"/>
    <w:rsid w:val="00D16D5C"/>
    <w:rsid w:val="00D16DEB"/>
    <w:rsid w:val="00D16DEE"/>
    <w:rsid w:val="00D16DF5"/>
    <w:rsid w:val="00D16EEF"/>
    <w:rsid w:val="00D17065"/>
    <w:rsid w:val="00D17138"/>
    <w:rsid w:val="00D17225"/>
    <w:rsid w:val="00D17268"/>
    <w:rsid w:val="00D173C6"/>
    <w:rsid w:val="00D17503"/>
    <w:rsid w:val="00D176BB"/>
    <w:rsid w:val="00D1795F"/>
    <w:rsid w:val="00D179CC"/>
    <w:rsid w:val="00D17A7C"/>
    <w:rsid w:val="00D17B4B"/>
    <w:rsid w:val="00D17C1A"/>
    <w:rsid w:val="00D17D81"/>
    <w:rsid w:val="00D17E6B"/>
    <w:rsid w:val="00D17F51"/>
    <w:rsid w:val="00D17F6D"/>
    <w:rsid w:val="00D17FF2"/>
    <w:rsid w:val="00D202A7"/>
    <w:rsid w:val="00D202EB"/>
    <w:rsid w:val="00D20306"/>
    <w:rsid w:val="00D2046B"/>
    <w:rsid w:val="00D20691"/>
    <w:rsid w:val="00D206DA"/>
    <w:rsid w:val="00D206F4"/>
    <w:rsid w:val="00D20761"/>
    <w:rsid w:val="00D20A22"/>
    <w:rsid w:val="00D20A4B"/>
    <w:rsid w:val="00D20A77"/>
    <w:rsid w:val="00D20A93"/>
    <w:rsid w:val="00D20B87"/>
    <w:rsid w:val="00D20CC1"/>
    <w:rsid w:val="00D20E67"/>
    <w:rsid w:val="00D20E84"/>
    <w:rsid w:val="00D20EBB"/>
    <w:rsid w:val="00D21002"/>
    <w:rsid w:val="00D21027"/>
    <w:rsid w:val="00D210C4"/>
    <w:rsid w:val="00D21100"/>
    <w:rsid w:val="00D212AE"/>
    <w:rsid w:val="00D213A7"/>
    <w:rsid w:val="00D213AE"/>
    <w:rsid w:val="00D213E2"/>
    <w:rsid w:val="00D215EF"/>
    <w:rsid w:val="00D217F0"/>
    <w:rsid w:val="00D2180B"/>
    <w:rsid w:val="00D219E4"/>
    <w:rsid w:val="00D21AD6"/>
    <w:rsid w:val="00D21BF8"/>
    <w:rsid w:val="00D21D41"/>
    <w:rsid w:val="00D21EE3"/>
    <w:rsid w:val="00D2208E"/>
    <w:rsid w:val="00D22271"/>
    <w:rsid w:val="00D222C2"/>
    <w:rsid w:val="00D22557"/>
    <w:rsid w:val="00D22675"/>
    <w:rsid w:val="00D226A6"/>
    <w:rsid w:val="00D22711"/>
    <w:rsid w:val="00D227B9"/>
    <w:rsid w:val="00D228AC"/>
    <w:rsid w:val="00D22930"/>
    <w:rsid w:val="00D22951"/>
    <w:rsid w:val="00D22955"/>
    <w:rsid w:val="00D2296A"/>
    <w:rsid w:val="00D229E9"/>
    <w:rsid w:val="00D22A9F"/>
    <w:rsid w:val="00D22B32"/>
    <w:rsid w:val="00D22BA7"/>
    <w:rsid w:val="00D22BD0"/>
    <w:rsid w:val="00D22CC2"/>
    <w:rsid w:val="00D22D73"/>
    <w:rsid w:val="00D22D9B"/>
    <w:rsid w:val="00D22DC5"/>
    <w:rsid w:val="00D22E17"/>
    <w:rsid w:val="00D22EEB"/>
    <w:rsid w:val="00D2301A"/>
    <w:rsid w:val="00D230D6"/>
    <w:rsid w:val="00D230DE"/>
    <w:rsid w:val="00D23208"/>
    <w:rsid w:val="00D23253"/>
    <w:rsid w:val="00D2334D"/>
    <w:rsid w:val="00D2339A"/>
    <w:rsid w:val="00D23537"/>
    <w:rsid w:val="00D23625"/>
    <w:rsid w:val="00D23649"/>
    <w:rsid w:val="00D2366D"/>
    <w:rsid w:val="00D237AC"/>
    <w:rsid w:val="00D238B7"/>
    <w:rsid w:val="00D239F5"/>
    <w:rsid w:val="00D23B4B"/>
    <w:rsid w:val="00D23CB8"/>
    <w:rsid w:val="00D23D41"/>
    <w:rsid w:val="00D23D8B"/>
    <w:rsid w:val="00D23E92"/>
    <w:rsid w:val="00D23F1A"/>
    <w:rsid w:val="00D24091"/>
    <w:rsid w:val="00D242C9"/>
    <w:rsid w:val="00D24374"/>
    <w:rsid w:val="00D2469C"/>
    <w:rsid w:val="00D246D0"/>
    <w:rsid w:val="00D2472D"/>
    <w:rsid w:val="00D24856"/>
    <w:rsid w:val="00D24876"/>
    <w:rsid w:val="00D24899"/>
    <w:rsid w:val="00D24B75"/>
    <w:rsid w:val="00D24B83"/>
    <w:rsid w:val="00D24B95"/>
    <w:rsid w:val="00D24C38"/>
    <w:rsid w:val="00D24CA5"/>
    <w:rsid w:val="00D24E46"/>
    <w:rsid w:val="00D24F5C"/>
    <w:rsid w:val="00D25126"/>
    <w:rsid w:val="00D25193"/>
    <w:rsid w:val="00D2535A"/>
    <w:rsid w:val="00D2535D"/>
    <w:rsid w:val="00D253D1"/>
    <w:rsid w:val="00D25503"/>
    <w:rsid w:val="00D255DA"/>
    <w:rsid w:val="00D25646"/>
    <w:rsid w:val="00D256C7"/>
    <w:rsid w:val="00D2583C"/>
    <w:rsid w:val="00D2586B"/>
    <w:rsid w:val="00D2591E"/>
    <w:rsid w:val="00D2593D"/>
    <w:rsid w:val="00D25B6B"/>
    <w:rsid w:val="00D25C63"/>
    <w:rsid w:val="00D25C75"/>
    <w:rsid w:val="00D25D21"/>
    <w:rsid w:val="00D25D44"/>
    <w:rsid w:val="00D25D4A"/>
    <w:rsid w:val="00D25E42"/>
    <w:rsid w:val="00D25EBD"/>
    <w:rsid w:val="00D25FC9"/>
    <w:rsid w:val="00D26032"/>
    <w:rsid w:val="00D26044"/>
    <w:rsid w:val="00D26108"/>
    <w:rsid w:val="00D2622C"/>
    <w:rsid w:val="00D26276"/>
    <w:rsid w:val="00D26347"/>
    <w:rsid w:val="00D26375"/>
    <w:rsid w:val="00D263F5"/>
    <w:rsid w:val="00D26489"/>
    <w:rsid w:val="00D264B2"/>
    <w:rsid w:val="00D26561"/>
    <w:rsid w:val="00D26629"/>
    <w:rsid w:val="00D267E5"/>
    <w:rsid w:val="00D2683C"/>
    <w:rsid w:val="00D268DC"/>
    <w:rsid w:val="00D268F4"/>
    <w:rsid w:val="00D26917"/>
    <w:rsid w:val="00D26999"/>
    <w:rsid w:val="00D26A44"/>
    <w:rsid w:val="00D26A66"/>
    <w:rsid w:val="00D26AFD"/>
    <w:rsid w:val="00D26B3D"/>
    <w:rsid w:val="00D26B9D"/>
    <w:rsid w:val="00D26BC4"/>
    <w:rsid w:val="00D27173"/>
    <w:rsid w:val="00D272F3"/>
    <w:rsid w:val="00D2737D"/>
    <w:rsid w:val="00D27436"/>
    <w:rsid w:val="00D27760"/>
    <w:rsid w:val="00D27948"/>
    <w:rsid w:val="00D27977"/>
    <w:rsid w:val="00D27AE0"/>
    <w:rsid w:val="00D27AF2"/>
    <w:rsid w:val="00D27B1F"/>
    <w:rsid w:val="00D27BCB"/>
    <w:rsid w:val="00D27D45"/>
    <w:rsid w:val="00D27D57"/>
    <w:rsid w:val="00D27DA5"/>
    <w:rsid w:val="00D27E27"/>
    <w:rsid w:val="00D27F31"/>
    <w:rsid w:val="00D30090"/>
    <w:rsid w:val="00D300C4"/>
    <w:rsid w:val="00D301ED"/>
    <w:rsid w:val="00D303EC"/>
    <w:rsid w:val="00D304A2"/>
    <w:rsid w:val="00D3060B"/>
    <w:rsid w:val="00D30738"/>
    <w:rsid w:val="00D307B1"/>
    <w:rsid w:val="00D30848"/>
    <w:rsid w:val="00D30932"/>
    <w:rsid w:val="00D30A84"/>
    <w:rsid w:val="00D30BC8"/>
    <w:rsid w:val="00D30D81"/>
    <w:rsid w:val="00D30E84"/>
    <w:rsid w:val="00D30E8E"/>
    <w:rsid w:val="00D30EB6"/>
    <w:rsid w:val="00D31091"/>
    <w:rsid w:val="00D31190"/>
    <w:rsid w:val="00D311D6"/>
    <w:rsid w:val="00D311EF"/>
    <w:rsid w:val="00D31238"/>
    <w:rsid w:val="00D31515"/>
    <w:rsid w:val="00D315C1"/>
    <w:rsid w:val="00D3186F"/>
    <w:rsid w:val="00D31999"/>
    <w:rsid w:val="00D319C5"/>
    <w:rsid w:val="00D319D3"/>
    <w:rsid w:val="00D319E5"/>
    <w:rsid w:val="00D319EB"/>
    <w:rsid w:val="00D31B00"/>
    <w:rsid w:val="00D31D88"/>
    <w:rsid w:val="00D31F62"/>
    <w:rsid w:val="00D320DE"/>
    <w:rsid w:val="00D3217D"/>
    <w:rsid w:val="00D3241C"/>
    <w:rsid w:val="00D32507"/>
    <w:rsid w:val="00D325C7"/>
    <w:rsid w:val="00D326B9"/>
    <w:rsid w:val="00D32929"/>
    <w:rsid w:val="00D32A1F"/>
    <w:rsid w:val="00D32B19"/>
    <w:rsid w:val="00D32B9C"/>
    <w:rsid w:val="00D32BCA"/>
    <w:rsid w:val="00D32C9D"/>
    <w:rsid w:val="00D32CFB"/>
    <w:rsid w:val="00D32EC5"/>
    <w:rsid w:val="00D32F2A"/>
    <w:rsid w:val="00D32F45"/>
    <w:rsid w:val="00D32F46"/>
    <w:rsid w:val="00D3313B"/>
    <w:rsid w:val="00D332FE"/>
    <w:rsid w:val="00D33448"/>
    <w:rsid w:val="00D334C6"/>
    <w:rsid w:val="00D33844"/>
    <w:rsid w:val="00D3386A"/>
    <w:rsid w:val="00D338C5"/>
    <w:rsid w:val="00D33A1A"/>
    <w:rsid w:val="00D33A7E"/>
    <w:rsid w:val="00D33BDE"/>
    <w:rsid w:val="00D33C8E"/>
    <w:rsid w:val="00D33D5E"/>
    <w:rsid w:val="00D33DE3"/>
    <w:rsid w:val="00D33E79"/>
    <w:rsid w:val="00D33E80"/>
    <w:rsid w:val="00D33E9D"/>
    <w:rsid w:val="00D33F4C"/>
    <w:rsid w:val="00D33F8C"/>
    <w:rsid w:val="00D34173"/>
    <w:rsid w:val="00D341DA"/>
    <w:rsid w:val="00D34272"/>
    <w:rsid w:val="00D34274"/>
    <w:rsid w:val="00D343B1"/>
    <w:rsid w:val="00D3441E"/>
    <w:rsid w:val="00D34673"/>
    <w:rsid w:val="00D34772"/>
    <w:rsid w:val="00D347E1"/>
    <w:rsid w:val="00D348D5"/>
    <w:rsid w:val="00D34903"/>
    <w:rsid w:val="00D34A47"/>
    <w:rsid w:val="00D34E8A"/>
    <w:rsid w:val="00D34FB2"/>
    <w:rsid w:val="00D35035"/>
    <w:rsid w:val="00D350F8"/>
    <w:rsid w:val="00D3526E"/>
    <w:rsid w:val="00D354D8"/>
    <w:rsid w:val="00D355ED"/>
    <w:rsid w:val="00D35673"/>
    <w:rsid w:val="00D3568C"/>
    <w:rsid w:val="00D356BA"/>
    <w:rsid w:val="00D356F3"/>
    <w:rsid w:val="00D3576B"/>
    <w:rsid w:val="00D357A7"/>
    <w:rsid w:val="00D35947"/>
    <w:rsid w:val="00D359DE"/>
    <w:rsid w:val="00D35A03"/>
    <w:rsid w:val="00D35A09"/>
    <w:rsid w:val="00D35B68"/>
    <w:rsid w:val="00D35BC2"/>
    <w:rsid w:val="00D35C6F"/>
    <w:rsid w:val="00D35D3C"/>
    <w:rsid w:val="00D35ECD"/>
    <w:rsid w:val="00D360C0"/>
    <w:rsid w:val="00D36176"/>
    <w:rsid w:val="00D36247"/>
    <w:rsid w:val="00D3624C"/>
    <w:rsid w:val="00D36343"/>
    <w:rsid w:val="00D36486"/>
    <w:rsid w:val="00D36501"/>
    <w:rsid w:val="00D3658A"/>
    <w:rsid w:val="00D365C6"/>
    <w:rsid w:val="00D36615"/>
    <w:rsid w:val="00D36A4A"/>
    <w:rsid w:val="00D36A95"/>
    <w:rsid w:val="00D36B55"/>
    <w:rsid w:val="00D36B85"/>
    <w:rsid w:val="00D36C57"/>
    <w:rsid w:val="00D36CBF"/>
    <w:rsid w:val="00D36D50"/>
    <w:rsid w:val="00D36DA8"/>
    <w:rsid w:val="00D36DC4"/>
    <w:rsid w:val="00D36ED5"/>
    <w:rsid w:val="00D37068"/>
    <w:rsid w:val="00D3714E"/>
    <w:rsid w:val="00D3745E"/>
    <w:rsid w:val="00D37669"/>
    <w:rsid w:val="00D37871"/>
    <w:rsid w:val="00D37A5A"/>
    <w:rsid w:val="00D37B94"/>
    <w:rsid w:val="00D37BA6"/>
    <w:rsid w:val="00D37BE7"/>
    <w:rsid w:val="00D37C2C"/>
    <w:rsid w:val="00D37EA9"/>
    <w:rsid w:val="00D37EB1"/>
    <w:rsid w:val="00D37F10"/>
    <w:rsid w:val="00D40253"/>
    <w:rsid w:val="00D40313"/>
    <w:rsid w:val="00D403B7"/>
    <w:rsid w:val="00D4040B"/>
    <w:rsid w:val="00D40425"/>
    <w:rsid w:val="00D4049E"/>
    <w:rsid w:val="00D404BA"/>
    <w:rsid w:val="00D405FC"/>
    <w:rsid w:val="00D406FF"/>
    <w:rsid w:val="00D40869"/>
    <w:rsid w:val="00D40983"/>
    <w:rsid w:val="00D409AE"/>
    <w:rsid w:val="00D40B50"/>
    <w:rsid w:val="00D40C67"/>
    <w:rsid w:val="00D40CAF"/>
    <w:rsid w:val="00D40CBE"/>
    <w:rsid w:val="00D40E04"/>
    <w:rsid w:val="00D40E58"/>
    <w:rsid w:val="00D40ED6"/>
    <w:rsid w:val="00D40F74"/>
    <w:rsid w:val="00D41006"/>
    <w:rsid w:val="00D41176"/>
    <w:rsid w:val="00D41542"/>
    <w:rsid w:val="00D41556"/>
    <w:rsid w:val="00D417B9"/>
    <w:rsid w:val="00D41842"/>
    <w:rsid w:val="00D41879"/>
    <w:rsid w:val="00D41C25"/>
    <w:rsid w:val="00D41C4E"/>
    <w:rsid w:val="00D41C82"/>
    <w:rsid w:val="00D41E6F"/>
    <w:rsid w:val="00D41E77"/>
    <w:rsid w:val="00D4214F"/>
    <w:rsid w:val="00D4221B"/>
    <w:rsid w:val="00D4222D"/>
    <w:rsid w:val="00D422E1"/>
    <w:rsid w:val="00D422FB"/>
    <w:rsid w:val="00D424CD"/>
    <w:rsid w:val="00D4259C"/>
    <w:rsid w:val="00D425C5"/>
    <w:rsid w:val="00D42605"/>
    <w:rsid w:val="00D42663"/>
    <w:rsid w:val="00D42686"/>
    <w:rsid w:val="00D428DE"/>
    <w:rsid w:val="00D42980"/>
    <w:rsid w:val="00D429B9"/>
    <w:rsid w:val="00D429D3"/>
    <w:rsid w:val="00D42A1F"/>
    <w:rsid w:val="00D42A8C"/>
    <w:rsid w:val="00D42AC7"/>
    <w:rsid w:val="00D42B12"/>
    <w:rsid w:val="00D42CDB"/>
    <w:rsid w:val="00D42D6F"/>
    <w:rsid w:val="00D42DFD"/>
    <w:rsid w:val="00D42E16"/>
    <w:rsid w:val="00D430F1"/>
    <w:rsid w:val="00D43210"/>
    <w:rsid w:val="00D43248"/>
    <w:rsid w:val="00D43348"/>
    <w:rsid w:val="00D43391"/>
    <w:rsid w:val="00D4359E"/>
    <w:rsid w:val="00D43702"/>
    <w:rsid w:val="00D4372C"/>
    <w:rsid w:val="00D43945"/>
    <w:rsid w:val="00D43BCD"/>
    <w:rsid w:val="00D43C10"/>
    <w:rsid w:val="00D43DCC"/>
    <w:rsid w:val="00D43F03"/>
    <w:rsid w:val="00D4415B"/>
    <w:rsid w:val="00D441A8"/>
    <w:rsid w:val="00D4435F"/>
    <w:rsid w:val="00D443DF"/>
    <w:rsid w:val="00D4450F"/>
    <w:rsid w:val="00D44546"/>
    <w:rsid w:val="00D445C9"/>
    <w:rsid w:val="00D4460C"/>
    <w:rsid w:val="00D44715"/>
    <w:rsid w:val="00D44842"/>
    <w:rsid w:val="00D4487E"/>
    <w:rsid w:val="00D44B04"/>
    <w:rsid w:val="00D44D25"/>
    <w:rsid w:val="00D44D3D"/>
    <w:rsid w:val="00D44E8C"/>
    <w:rsid w:val="00D44F0E"/>
    <w:rsid w:val="00D45019"/>
    <w:rsid w:val="00D45071"/>
    <w:rsid w:val="00D45145"/>
    <w:rsid w:val="00D452FB"/>
    <w:rsid w:val="00D454DA"/>
    <w:rsid w:val="00D4552F"/>
    <w:rsid w:val="00D45549"/>
    <w:rsid w:val="00D4575C"/>
    <w:rsid w:val="00D45769"/>
    <w:rsid w:val="00D4579D"/>
    <w:rsid w:val="00D45830"/>
    <w:rsid w:val="00D45909"/>
    <w:rsid w:val="00D4599C"/>
    <w:rsid w:val="00D459B3"/>
    <w:rsid w:val="00D459B8"/>
    <w:rsid w:val="00D45B56"/>
    <w:rsid w:val="00D45BCF"/>
    <w:rsid w:val="00D45D96"/>
    <w:rsid w:val="00D45D9C"/>
    <w:rsid w:val="00D45E13"/>
    <w:rsid w:val="00D45ED7"/>
    <w:rsid w:val="00D46129"/>
    <w:rsid w:val="00D46247"/>
    <w:rsid w:val="00D46351"/>
    <w:rsid w:val="00D464D2"/>
    <w:rsid w:val="00D466B0"/>
    <w:rsid w:val="00D46764"/>
    <w:rsid w:val="00D4685D"/>
    <w:rsid w:val="00D46861"/>
    <w:rsid w:val="00D46B57"/>
    <w:rsid w:val="00D46B85"/>
    <w:rsid w:val="00D46E8C"/>
    <w:rsid w:val="00D47137"/>
    <w:rsid w:val="00D4713A"/>
    <w:rsid w:val="00D47265"/>
    <w:rsid w:val="00D4726A"/>
    <w:rsid w:val="00D472A3"/>
    <w:rsid w:val="00D47431"/>
    <w:rsid w:val="00D47937"/>
    <w:rsid w:val="00D47A3B"/>
    <w:rsid w:val="00D47A5E"/>
    <w:rsid w:val="00D47AFF"/>
    <w:rsid w:val="00D47B21"/>
    <w:rsid w:val="00D47B91"/>
    <w:rsid w:val="00D47B94"/>
    <w:rsid w:val="00D47CDB"/>
    <w:rsid w:val="00D47DB8"/>
    <w:rsid w:val="00D47E38"/>
    <w:rsid w:val="00D47F47"/>
    <w:rsid w:val="00D47FEF"/>
    <w:rsid w:val="00D501A5"/>
    <w:rsid w:val="00D502DC"/>
    <w:rsid w:val="00D50354"/>
    <w:rsid w:val="00D5036B"/>
    <w:rsid w:val="00D503D2"/>
    <w:rsid w:val="00D50419"/>
    <w:rsid w:val="00D50437"/>
    <w:rsid w:val="00D506C6"/>
    <w:rsid w:val="00D507C0"/>
    <w:rsid w:val="00D50CA3"/>
    <w:rsid w:val="00D50CFC"/>
    <w:rsid w:val="00D50DDB"/>
    <w:rsid w:val="00D50DF5"/>
    <w:rsid w:val="00D50E33"/>
    <w:rsid w:val="00D50EE8"/>
    <w:rsid w:val="00D50F01"/>
    <w:rsid w:val="00D50F7F"/>
    <w:rsid w:val="00D5105B"/>
    <w:rsid w:val="00D510B5"/>
    <w:rsid w:val="00D5113A"/>
    <w:rsid w:val="00D511EB"/>
    <w:rsid w:val="00D51363"/>
    <w:rsid w:val="00D5151E"/>
    <w:rsid w:val="00D51548"/>
    <w:rsid w:val="00D5154B"/>
    <w:rsid w:val="00D51568"/>
    <w:rsid w:val="00D516EB"/>
    <w:rsid w:val="00D517B4"/>
    <w:rsid w:val="00D51902"/>
    <w:rsid w:val="00D51C22"/>
    <w:rsid w:val="00D51E84"/>
    <w:rsid w:val="00D5213A"/>
    <w:rsid w:val="00D523A3"/>
    <w:rsid w:val="00D52507"/>
    <w:rsid w:val="00D52559"/>
    <w:rsid w:val="00D527A0"/>
    <w:rsid w:val="00D52837"/>
    <w:rsid w:val="00D528A0"/>
    <w:rsid w:val="00D52B11"/>
    <w:rsid w:val="00D52C07"/>
    <w:rsid w:val="00D52C5E"/>
    <w:rsid w:val="00D52D31"/>
    <w:rsid w:val="00D52D58"/>
    <w:rsid w:val="00D52E29"/>
    <w:rsid w:val="00D52EE1"/>
    <w:rsid w:val="00D52FAF"/>
    <w:rsid w:val="00D530DD"/>
    <w:rsid w:val="00D530F5"/>
    <w:rsid w:val="00D5312C"/>
    <w:rsid w:val="00D53502"/>
    <w:rsid w:val="00D53543"/>
    <w:rsid w:val="00D53865"/>
    <w:rsid w:val="00D53942"/>
    <w:rsid w:val="00D53AB5"/>
    <w:rsid w:val="00D53D9A"/>
    <w:rsid w:val="00D53DC5"/>
    <w:rsid w:val="00D53E43"/>
    <w:rsid w:val="00D53EEC"/>
    <w:rsid w:val="00D53FA9"/>
    <w:rsid w:val="00D53FB2"/>
    <w:rsid w:val="00D5414B"/>
    <w:rsid w:val="00D541C4"/>
    <w:rsid w:val="00D543FE"/>
    <w:rsid w:val="00D544B8"/>
    <w:rsid w:val="00D5451D"/>
    <w:rsid w:val="00D546AE"/>
    <w:rsid w:val="00D546D8"/>
    <w:rsid w:val="00D546DB"/>
    <w:rsid w:val="00D546EC"/>
    <w:rsid w:val="00D54892"/>
    <w:rsid w:val="00D548F1"/>
    <w:rsid w:val="00D54A57"/>
    <w:rsid w:val="00D54BAC"/>
    <w:rsid w:val="00D54BBF"/>
    <w:rsid w:val="00D54C15"/>
    <w:rsid w:val="00D54DED"/>
    <w:rsid w:val="00D54EBF"/>
    <w:rsid w:val="00D54EE8"/>
    <w:rsid w:val="00D54F53"/>
    <w:rsid w:val="00D54F9D"/>
    <w:rsid w:val="00D54FE8"/>
    <w:rsid w:val="00D55262"/>
    <w:rsid w:val="00D553CB"/>
    <w:rsid w:val="00D55409"/>
    <w:rsid w:val="00D5552C"/>
    <w:rsid w:val="00D5555A"/>
    <w:rsid w:val="00D555F5"/>
    <w:rsid w:val="00D5588B"/>
    <w:rsid w:val="00D558D5"/>
    <w:rsid w:val="00D5596A"/>
    <w:rsid w:val="00D559E5"/>
    <w:rsid w:val="00D55BBA"/>
    <w:rsid w:val="00D55BF8"/>
    <w:rsid w:val="00D55D4A"/>
    <w:rsid w:val="00D55D78"/>
    <w:rsid w:val="00D55EF4"/>
    <w:rsid w:val="00D561F8"/>
    <w:rsid w:val="00D56285"/>
    <w:rsid w:val="00D564D5"/>
    <w:rsid w:val="00D56706"/>
    <w:rsid w:val="00D567B5"/>
    <w:rsid w:val="00D567FE"/>
    <w:rsid w:val="00D568FF"/>
    <w:rsid w:val="00D56A24"/>
    <w:rsid w:val="00D56B5A"/>
    <w:rsid w:val="00D56BA4"/>
    <w:rsid w:val="00D56C84"/>
    <w:rsid w:val="00D56ECF"/>
    <w:rsid w:val="00D56F7F"/>
    <w:rsid w:val="00D56FCB"/>
    <w:rsid w:val="00D570E0"/>
    <w:rsid w:val="00D57189"/>
    <w:rsid w:val="00D571F2"/>
    <w:rsid w:val="00D5727A"/>
    <w:rsid w:val="00D573D2"/>
    <w:rsid w:val="00D574C6"/>
    <w:rsid w:val="00D5750E"/>
    <w:rsid w:val="00D575E3"/>
    <w:rsid w:val="00D576E0"/>
    <w:rsid w:val="00D576EB"/>
    <w:rsid w:val="00D57732"/>
    <w:rsid w:val="00D5773F"/>
    <w:rsid w:val="00D57775"/>
    <w:rsid w:val="00D57787"/>
    <w:rsid w:val="00D578CD"/>
    <w:rsid w:val="00D578DB"/>
    <w:rsid w:val="00D57A70"/>
    <w:rsid w:val="00D57C6C"/>
    <w:rsid w:val="00D57D41"/>
    <w:rsid w:val="00D57DA0"/>
    <w:rsid w:val="00D57DBD"/>
    <w:rsid w:val="00D57EBA"/>
    <w:rsid w:val="00D57F32"/>
    <w:rsid w:val="00D57F7D"/>
    <w:rsid w:val="00D57FE1"/>
    <w:rsid w:val="00D60000"/>
    <w:rsid w:val="00D600CD"/>
    <w:rsid w:val="00D600DD"/>
    <w:rsid w:val="00D602AD"/>
    <w:rsid w:val="00D60310"/>
    <w:rsid w:val="00D603C7"/>
    <w:rsid w:val="00D6051A"/>
    <w:rsid w:val="00D6059C"/>
    <w:rsid w:val="00D605F7"/>
    <w:rsid w:val="00D60637"/>
    <w:rsid w:val="00D607D4"/>
    <w:rsid w:val="00D6091D"/>
    <w:rsid w:val="00D60948"/>
    <w:rsid w:val="00D609C1"/>
    <w:rsid w:val="00D60AE2"/>
    <w:rsid w:val="00D60CAE"/>
    <w:rsid w:val="00D60DB6"/>
    <w:rsid w:val="00D60DBE"/>
    <w:rsid w:val="00D60E09"/>
    <w:rsid w:val="00D60F86"/>
    <w:rsid w:val="00D61035"/>
    <w:rsid w:val="00D61073"/>
    <w:rsid w:val="00D612AA"/>
    <w:rsid w:val="00D613E1"/>
    <w:rsid w:val="00D61426"/>
    <w:rsid w:val="00D614E0"/>
    <w:rsid w:val="00D61589"/>
    <w:rsid w:val="00D61648"/>
    <w:rsid w:val="00D617C4"/>
    <w:rsid w:val="00D617E0"/>
    <w:rsid w:val="00D61817"/>
    <w:rsid w:val="00D61957"/>
    <w:rsid w:val="00D6197C"/>
    <w:rsid w:val="00D61A70"/>
    <w:rsid w:val="00D61A75"/>
    <w:rsid w:val="00D61B83"/>
    <w:rsid w:val="00D61CBB"/>
    <w:rsid w:val="00D61E0F"/>
    <w:rsid w:val="00D61F01"/>
    <w:rsid w:val="00D61F2D"/>
    <w:rsid w:val="00D61F87"/>
    <w:rsid w:val="00D6225E"/>
    <w:rsid w:val="00D622AA"/>
    <w:rsid w:val="00D62327"/>
    <w:rsid w:val="00D6234F"/>
    <w:rsid w:val="00D623DC"/>
    <w:rsid w:val="00D6263B"/>
    <w:rsid w:val="00D6266A"/>
    <w:rsid w:val="00D626F9"/>
    <w:rsid w:val="00D627B2"/>
    <w:rsid w:val="00D627BA"/>
    <w:rsid w:val="00D627C5"/>
    <w:rsid w:val="00D627F1"/>
    <w:rsid w:val="00D627F5"/>
    <w:rsid w:val="00D628CB"/>
    <w:rsid w:val="00D629B9"/>
    <w:rsid w:val="00D62A77"/>
    <w:rsid w:val="00D62B7D"/>
    <w:rsid w:val="00D62C93"/>
    <w:rsid w:val="00D62D3E"/>
    <w:rsid w:val="00D62DF8"/>
    <w:rsid w:val="00D62EFD"/>
    <w:rsid w:val="00D62F8B"/>
    <w:rsid w:val="00D62FDE"/>
    <w:rsid w:val="00D62FFB"/>
    <w:rsid w:val="00D63009"/>
    <w:rsid w:val="00D6301B"/>
    <w:rsid w:val="00D6302E"/>
    <w:rsid w:val="00D6306D"/>
    <w:rsid w:val="00D631FF"/>
    <w:rsid w:val="00D633C7"/>
    <w:rsid w:val="00D6346B"/>
    <w:rsid w:val="00D63673"/>
    <w:rsid w:val="00D636F5"/>
    <w:rsid w:val="00D63723"/>
    <w:rsid w:val="00D637B0"/>
    <w:rsid w:val="00D637E3"/>
    <w:rsid w:val="00D63932"/>
    <w:rsid w:val="00D63981"/>
    <w:rsid w:val="00D639C1"/>
    <w:rsid w:val="00D63A4C"/>
    <w:rsid w:val="00D63B34"/>
    <w:rsid w:val="00D63B4F"/>
    <w:rsid w:val="00D63B65"/>
    <w:rsid w:val="00D63C7F"/>
    <w:rsid w:val="00D63D93"/>
    <w:rsid w:val="00D63FCC"/>
    <w:rsid w:val="00D6402A"/>
    <w:rsid w:val="00D64179"/>
    <w:rsid w:val="00D6431E"/>
    <w:rsid w:val="00D64485"/>
    <w:rsid w:val="00D64512"/>
    <w:rsid w:val="00D64639"/>
    <w:rsid w:val="00D647FC"/>
    <w:rsid w:val="00D64850"/>
    <w:rsid w:val="00D64934"/>
    <w:rsid w:val="00D64BC2"/>
    <w:rsid w:val="00D64EE3"/>
    <w:rsid w:val="00D65000"/>
    <w:rsid w:val="00D6503A"/>
    <w:rsid w:val="00D651E8"/>
    <w:rsid w:val="00D6533D"/>
    <w:rsid w:val="00D6535F"/>
    <w:rsid w:val="00D65416"/>
    <w:rsid w:val="00D65548"/>
    <w:rsid w:val="00D65635"/>
    <w:rsid w:val="00D656C8"/>
    <w:rsid w:val="00D6580D"/>
    <w:rsid w:val="00D6581E"/>
    <w:rsid w:val="00D65861"/>
    <w:rsid w:val="00D65958"/>
    <w:rsid w:val="00D659D8"/>
    <w:rsid w:val="00D65A9D"/>
    <w:rsid w:val="00D65AAB"/>
    <w:rsid w:val="00D65D1C"/>
    <w:rsid w:val="00D65FDE"/>
    <w:rsid w:val="00D66049"/>
    <w:rsid w:val="00D66057"/>
    <w:rsid w:val="00D6611B"/>
    <w:rsid w:val="00D663D3"/>
    <w:rsid w:val="00D66494"/>
    <w:rsid w:val="00D66534"/>
    <w:rsid w:val="00D6653D"/>
    <w:rsid w:val="00D665DD"/>
    <w:rsid w:val="00D666E2"/>
    <w:rsid w:val="00D666F0"/>
    <w:rsid w:val="00D66969"/>
    <w:rsid w:val="00D6696E"/>
    <w:rsid w:val="00D66AAF"/>
    <w:rsid w:val="00D66B05"/>
    <w:rsid w:val="00D66B5B"/>
    <w:rsid w:val="00D66C6B"/>
    <w:rsid w:val="00D66D72"/>
    <w:rsid w:val="00D66DAB"/>
    <w:rsid w:val="00D66F78"/>
    <w:rsid w:val="00D66FD7"/>
    <w:rsid w:val="00D670CF"/>
    <w:rsid w:val="00D671AA"/>
    <w:rsid w:val="00D671EA"/>
    <w:rsid w:val="00D671F8"/>
    <w:rsid w:val="00D673F4"/>
    <w:rsid w:val="00D6785D"/>
    <w:rsid w:val="00D678B4"/>
    <w:rsid w:val="00D6791C"/>
    <w:rsid w:val="00D67B2C"/>
    <w:rsid w:val="00D67BD5"/>
    <w:rsid w:val="00D67C38"/>
    <w:rsid w:val="00D67EA6"/>
    <w:rsid w:val="00D67F57"/>
    <w:rsid w:val="00D67F7E"/>
    <w:rsid w:val="00D67F8E"/>
    <w:rsid w:val="00D67FC4"/>
    <w:rsid w:val="00D70022"/>
    <w:rsid w:val="00D70079"/>
    <w:rsid w:val="00D70273"/>
    <w:rsid w:val="00D70496"/>
    <w:rsid w:val="00D704DE"/>
    <w:rsid w:val="00D70520"/>
    <w:rsid w:val="00D7057C"/>
    <w:rsid w:val="00D705BC"/>
    <w:rsid w:val="00D70627"/>
    <w:rsid w:val="00D70663"/>
    <w:rsid w:val="00D70747"/>
    <w:rsid w:val="00D7079C"/>
    <w:rsid w:val="00D707BA"/>
    <w:rsid w:val="00D709A7"/>
    <w:rsid w:val="00D70A83"/>
    <w:rsid w:val="00D70BDC"/>
    <w:rsid w:val="00D70CB9"/>
    <w:rsid w:val="00D70CE2"/>
    <w:rsid w:val="00D70D23"/>
    <w:rsid w:val="00D70DA1"/>
    <w:rsid w:val="00D70F69"/>
    <w:rsid w:val="00D70F8F"/>
    <w:rsid w:val="00D710CB"/>
    <w:rsid w:val="00D710DF"/>
    <w:rsid w:val="00D71362"/>
    <w:rsid w:val="00D713C5"/>
    <w:rsid w:val="00D713EC"/>
    <w:rsid w:val="00D713FE"/>
    <w:rsid w:val="00D71585"/>
    <w:rsid w:val="00D7159D"/>
    <w:rsid w:val="00D715EE"/>
    <w:rsid w:val="00D71612"/>
    <w:rsid w:val="00D716C4"/>
    <w:rsid w:val="00D7176A"/>
    <w:rsid w:val="00D71814"/>
    <w:rsid w:val="00D71850"/>
    <w:rsid w:val="00D71892"/>
    <w:rsid w:val="00D71937"/>
    <w:rsid w:val="00D71943"/>
    <w:rsid w:val="00D71B06"/>
    <w:rsid w:val="00D71CBB"/>
    <w:rsid w:val="00D71E7E"/>
    <w:rsid w:val="00D71F62"/>
    <w:rsid w:val="00D71F8A"/>
    <w:rsid w:val="00D71FEF"/>
    <w:rsid w:val="00D7216D"/>
    <w:rsid w:val="00D721BC"/>
    <w:rsid w:val="00D72210"/>
    <w:rsid w:val="00D72240"/>
    <w:rsid w:val="00D7239D"/>
    <w:rsid w:val="00D72447"/>
    <w:rsid w:val="00D72509"/>
    <w:rsid w:val="00D726A3"/>
    <w:rsid w:val="00D7274A"/>
    <w:rsid w:val="00D72761"/>
    <w:rsid w:val="00D727FE"/>
    <w:rsid w:val="00D728C2"/>
    <w:rsid w:val="00D72A2E"/>
    <w:rsid w:val="00D72ACB"/>
    <w:rsid w:val="00D72B3C"/>
    <w:rsid w:val="00D72B48"/>
    <w:rsid w:val="00D72B68"/>
    <w:rsid w:val="00D72C79"/>
    <w:rsid w:val="00D72D26"/>
    <w:rsid w:val="00D72E4A"/>
    <w:rsid w:val="00D72E98"/>
    <w:rsid w:val="00D72E9A"/>
    <w:rsid w:val="00D72F54"/>
    <w:rsid w:val="00D72FC3"/>
    <w:rsid w:val="00D7301F"/>
    <w:rsid w:val="00D73123"/>
    <w:rsid w:val="00D73154"/>
    <w:rsid w:val="00D7317C"/>
    <w:rsid w:val="00D731F2"/>
    <w:rsid w:val="00D731F6"/>
    <w:rsid w:val="00D733B5"/>
    <w:rsid w:val="00D734F3"/>
    <w:rsid w:val="00D736CC"/>
    <w:rsid w:val="00D73739"/>
    <w:rsid w:val="00D73810"/>
    <w:rsid w:val="00D73870"/>
    <w:rsid w:val="00D738C4"/>
    <w:rsid w:val="00D73A94"/>
    <w:rsid w:val="00D73C60"/>
    <w:rsid w:val="00D73C95"/>
    <w:rsid w:val="00D73CF7"/>
    <w:rsid w:val="00D73D8A"/>
    <w:rsid w:val="00D73DF8"/>
    <w:rsid w:val="00D73ED8"/>
    <w:rsid w:val="00D73F6D"/>
    <w:rsid w:val="00D74074"/>
    <w:rsid w:val="00D740F2"/>
    <w:rsid w:val="00D741E7"/>
    <w:rsid w:val="00D7428B"/>
    <w:rsid w:val="00D7429B"/>
    <w:rsid w:val="00D74373"/>
    <w:rsid w:val="00D74499"/>
    <w:rsid w:val="00D744F2"/>
    <w:rsid w:val="00D74586"/>
    <w:rsid w:val="00D74784"/>
    <w:rsid w:val="00D747AA"/>
    <w:rsid w:val="00D748B2"/>
    <w:rsid w:val="00D74918"/>
    <w:rsid w:val="00D74974"/>
    <w:rsid w:val="00D749FD"/>
    <w:rsid w:val="00D74B02"/>
    <w:rsid w:val="00D74B23"/>
    <w:rsid w:val="00D74BDD"/>
    <w:rsid w:val="00D74CB7"/>
    <w:rsid w:val="00D74D4F"/>
    <w:rsid w:val="00D74D7C"/>
    <w:rsid w:val="00D74DAD"/>
    <w:rsid w:val="00D75016"/>
    <w:rsid w:val="00D7505B"/>
    <w:rsid w:val="00D75165"/>
    <w:rsid w:val="00D751DC"/>
    <w:rsid w:val="00D75215"/>
    <w:rsid w:val="00D752A4"/>
    <w:rsid w:val="00D7530D"/>
    <w:rsid w:val="00D753E9"/>
    <w:rsid w:val="00D754B2"/>
    <w:rsid w:val="00D754E7"/>
    <w:rsid w:val="00D755E6"/>
    <w:rsid w:val="00D75617"/>
    <w:rsid w:val="00D75667"/>
    <w:rsid w:val="00D75679"/>
    <w:rsid w:val="00D758CB"/>
    <w:rsid w:val="00D7590B"/>
    <w:rsid w:val="00D75972"/>
    <w:rsid w:val="00D75986"/>
    <w:rsid w:val="00D7598A"/>
    <w:rsid w:val="00D75AA4"/>
    <w:rsid w:val="00D75B13"/>
    <w:rsid w:val="00D75CEA"/>
    <w:rsid w:val="00D75CFA"/>
    <w:rsid w:val="00D76063"/>
    <w:rsid w:val="00D76066"/>
    <w:rsid w:val="00D760BA"/>
    <w:rsid w:val="00D760CA"/>
    <w:rsid w:val="00D76215"/>
    <w:rsid w:val="00D7624D"/>
    <w:rsid w:val="00D7654D"/>
    <w:rsid w:val="00D7655D"/>
    <w:rsid w:val="00D7657E"/>
    <w:rsid w:val="00D76616"/>
    <w:rsid w:val="00D76A0B"/>
    <w:rsid w:val="00D76B8F"/>
    <w:rsid w:val="00D76B9F"/>
    <w:rsid w:val="00D76C22"/>
    <w:rsid w:val="00D76C7A"/>
    <w:rsid w:val="00D76CBF"/>
    <w:rsid w:val="00D76D23"/>
    <w:rsid w:val="00D76D9E"/>
    <w:rsid w:val="00D76DF2"/>
    <w:rsid w:val="00D76E10"/>
    <w:rsid w:val="00D76F0D"/>
    <w:rsid w:val="00D77023"/>
    <w:rsid w:val="00D7702F"/>
    <w:rsid w:val="00D77109"/>
    <w:rsid w:val="00D77124"/>
    <w:rsid w:val="00D77156"/>
    <w:rsid w:val="00D771D2"/>
    <w:rsid w:val="00D771DA"/>
    <w:rsid w:val="00D77273"/>
    <w:rsid w:val="00D774CB"/>
    <w:rsid w:val="00D7750B"/>
    <w:rsid w:val="00D77553"/>
    <w:rsid w:val="00D775B5"/>
    <w:rsid w:val="00D77614"/>
    <w:rsid w:val="00D77665"/>
    <w:rsid w:val="00D77890"/>
    <w:rsid w:val="00D778C1"/>
    <w:rsid w:val="00D77911"/>
    <w:rsid w:val="00D7792C"/>
    <w:rsid w:val="00D779C9"/>
    <w:rsid w:val="00D779F9"/>
    <w:rsid w:val="00D77BBA"/>
    <w:rsid w:val="00D77BC5"/>
    <w:rsid w:val="00D77C36"/>
    <w:rsid w:val="00D77CA7"/>
    <w:rsid w:val="00D77EB1"/>
    <w:rsid w:val="00D77EBD"/>
    <w:rsid w:val="00D77F1A"/>
    <w:rsid w:val="00D77FFC"/>
    <w:rsid w:val="00D8008A"/>
    <w:rsid w:val="00D8016D"/>
    <w:rsid w:val="00D8027B"/>
    <w:rsid w:val="00D8034A"/>
    <w:rsid w:val="00D80402"/>
    <w:rsid w:val="00D8049B"/>
    <w:rsid w:val="00D804DF"/>
    <w:rsid w:val="00D80548"/>
    <w:rsid w:val="00D806FF"/>
    <w:rsid w:val="00D8071A"/>
    <w:rsid w:val="00D8085C"/>
    <w:rsid w:val="00D8086E"/>
    <w:rsid w:val="00D808D3"/>
    <w:rsid w:val="00D80905"/>
    <w:rsid w:val="00D80AEE"/>
    <w:rsid w:val="00D80B72"/>
    <w:rsid w:val="00D80B8C"/>
    <w:rsid w:val="00D80C13"/>
    <w:rsid w:val="00D80DDA"/>
    <w:rsid w:val="00D80E5F"/>
    <w:rsid w:val="00D80E88"/>
    <w:rsid w:val="00D80F5F"/>
    <w:rsid w:val="00D80FCD"/>
    <w:rsid w:val="00D80FD6"/>
    <w:rsid w:val="00D81077"/>
    <w:rsid w:val="00D813B5"/>
    <w:rsid w:val="00D81526"/>
    <w:rsid w:val="00D8169B"/>
    <w:rsid w:val="00D817AD"/>
    <w:rsid w:val="00D81800"/>
    <w:rsid w:val="00D81A53"/>
    <w:rsid w:val="00D81AC6"/>
    <w:rsid w:val="00D81B2D"/>
    <w:rsid w:val="00D81B89"/>
    <w:rsid w:val="00D81C83"/>
    <w:rsid w:val="00D81DE2"/>
    <w:rsid w:val="00D81E6D"/>
    <w:rsid w:val="00D81F20"/>
    <w:rsid w:val="00D81F98"/>
    <w:rsid w:val="00D81FAF"/>
    <w:rsid w:val="00D82025"/>
    <w:rsid w:val="00D822D3"/>
    <w:rsid w:val="00D82393"/>
    <w:rsid w:val="00D823C2"/>
    <w:rsid w:val="00D8244C"/>
    <w:rsid w:val="00D8252A"/>
    <w:rsid w:val="00D8255A"/>
    <w:rsid w:val="00D825E5"/>
    <w:rsid w:val="00D82706"/>
    <w:rsid w:val="00D8270E"/>
    <w:rsid w:val="00D827CF"/>
    <w:rsid w:val="00D82886"/>
    <w:rsid w:val="00D82AA6"/>
    <w:rsid w:val="00D82AEE"/>
    <w:rsid w:val="00D82AF2"/>
    <w:rsid w:val="00D82B2C"/>
    <w:rsid w:val="00D82BB3"/>
    <w:rsid w:val="00D82D17"/>
    <w:rsid w:val="00D82D23"/>
    <w:rsid w:val="00D82D53"/>
    <w:rsid w:val="00D82E52"/>
    <w:rsid w:val="00D82EAE"/>
    <w:rsid w:val="00D82F0F"/>
    <w:rsid w:val="00D82F7A"/>
    <w:rsid w:val="00D82F80"/>
    <w:rsid w:val="00D830DD"/>
    <w:rsid w:val="00D832E2"/>
    <w:rsid w:val="00D8349A"/>
    <w:rsid w:val="00D83560"/>
    <w:rsid w:val="00D83662"/>
    <w:rsid w:val="00D837FE"/>
    <w:rsid w:val="00D83883"/>
    <w:rsid w:val="00D83928"/>
    <w:rsid w:val="00D83B93"/>
    <w:rsid w:val="00D83BE9"/>
    <w:rsid w:val="00D83E9C"/>
    <w:rsid w:val="00D83F74"/>
    <w:rsid w:val="00D83F9E"/>
    <w:rsid w:val="00D84065"/>
    <w:rsid w:val="00D840EB"/>
    <w:rsid w:val="00D84222"/>
    <w:rsid w:val="00D84241"/>
    <w:rsid w:val="00D8434B"/>
    <w:rsid w:val="00D843E4"/>
    <w:rsid w:val="00D8446B"/>
    <w:rsid w:val="00D845B2"/>
    <w:rsid w:val="00D846A5"/>
    <w:rsid w:val="00D846BE"/>
    <w:rsid w:val="00D84729"/>
    <w:rsid w:val="00D847A3"/>
    <w:rsid w:val="00D847A9"/>
    <w:rsid w:val="00D847FA"/>
    <w:rsid w:val="00D84853"/>
    <w:rsid w:val="00D848CA"/>
    <w:rsid w:val="00D84A96"/>
    <w:rsid w:val="00D84BFD"/>
    <w:rsid w:val="00D84D44"/>
    <w:rsid w:val="00D84D85"/>
    <w:rsid w:val="00D84D9A"/>
    <w:rsid w:val="00D84ECB"/>
    <w:rsid w:val="00D84EE0"/>
    <w:rsid w:val="00D84F6F"/>
    <w:rsid w:val="00D84FBC"/>
    <w:rsid w:val="00D84FD1"/>
    <w:rsid w:val="00D850BB"/>
    <w:rsid w:val="00D851A3"/>
    <w:rsid w:val="00D8526A"/>
    <w:rsid w:val="00D852B1"/>
    <w:rsid w:val="00D8542C"/>
    <w:rsid w:val="00D85484"/>
    <w:rsid w:val="00D85492"/>
    <w:rsid w:val="00D855CC"/>
    <w:rsid w:val="00D8598F"/>
    <w:rsid w:val="00D859B7"/>
    <w:rsid w:val="00D85A05"/>
    <w:rsid w:val="00D85AE1"/>
    <w:rsid w:val="00D85EA0"/>
    <w:rsid w:val="00D85FC2"/>
    <w:rsid w:val="00D862D6"/>
    <w:rsid w:val="00D86479"/>
    <w:rsid w:val="00D8652F"/>
    <w:rsid w:val="00D866CA"/>
    <w:rsid w:val="00D86703"/>
    <w:rsid w:val="00D8670D"/>
    <w:rsid w:val="00D86743"/>
    <w:rsid w:val="00D867C8"/>
    <w:rsid w:val="00D86831"/>
    <w:rsid w:val="00D86886"/>
    <w:rsid w:val="00D86934"/>
    <w:rsid w:val="00D86966"/>
    <w:rsid w:val="00D86975"/>
    <w:rsid w:val="00D86C7F"/>
    <w:rsid w:val="00D86D66"/>
    <w:rsid w:val="00D870BB"/>
    <w:rsid w:val="00D870D3"/>
    <w:rsid w:val="00D87182"/>
    <w:rsid w:val="00D87246"/>
    <w:rsid w:val="00D87310"/>
    <w:rsid w:val="00D8732C"/>
    <w:rsid w:val="00D8733C"/>
    <w:rsid w:val="00D87626"/>
    <w:rsid w:val="00D87905"/>
    <w:rsid w:val="00D879B1"/>
    <w:rsid w:val="00D87A00"/>
    <w:rsid w:val="00D87A24"/>
    <w:rsid w:val="00D87ADA"/>
    <w:rsid w:val="00D87B47"/>
    <w:rsid w:val="00D87BF9"/>
    <w:rsid w:val="00D87BFD"/>
    <w:rsid w:val="00D87C5E"/>
    <w:rsid w:val="00D87CAB"/>
    <w:rsid w:val="00D87CC4"/>
    <w:rsid w:val="00D87DF2"/>
    <w:rsid w:val="00D87E41"/>
    <w:rsid w:val="00D87F16"/>
    <w:rsid w:val="00D87F30"/>
    <w:rsid w:val="00D900CF"/>
    <w:rsid w:val="00D903B6"/>
    <w:rsid w:val="00D904A9"/>
    <w:rsid w:val="00D9051A"/>
    <w:rsid w:val="00D905AE"/>
    <w:rsid w:val="00D905C5"/>
    <w:rsid w:val="00D905E9"/>
    <w:rsid w:val="00D90678"/>
    <w:rsid w:val="00D90699"/>
    <w:rsid w:val="00D90717"/>
    <w:rsid w:val="00D90726"/>
    <w:rsid w:val="00D9077A"/>
    <w:rsid w:val="00D907D9"/>
    <w:rsid w:val="00D90806"/>
    <w:rsid w:val="00D9086C"/>
    <w:rsid w:val="00D90927"/>
    <w:rsid w:val="00D9095C"/>
    <w:rsid w:val="00D90AC9"/>
    <w:rsid w:val="00D90B04"/>
    <w:rsid w:val="00D90B7C"/>
    <w:rsid w:val="00D90BB0"/>
    <w:rsid w:val="00D90D0A"/>
    <w:rsid w:val="00D90E27"/>
    <w:rsid w:val="00D90F90"/>
    <w:rsid w:val="00D91049"/>
    <w:rsid w:val="00D910FA"/>
    <w:rsid w:val="00D912F7"/>
    <w:rsid w:val="00D914B9"/>
    <w:rsid w:val="00D9162C"/>
    <w:rsid w:val="00D918AE"/>
    <w:rsid w:val="00D91910"/>
    <w:rsid w:val="00D91935"/>
    <w:rsid w:val="00D91AC5"/>
    <w:rsid w:val="00D91ACA"/>
    <w:rsid w:val="00D91CDA"/>
    <w:rsid w:val="00D91D54"/>
    <w:rsid w:val="00D91D5E"/>
    <w:rsid w:val="00D91D67"/>
    <w:rsid w:val="00D91F10"/>
    <w:rsid w:val="00D9227D"/>
    <w:rsid w:val="00D924EA"/>
    <w:rsid w:val="00D9270F"/>
    <w:rsid w:val="00D927A2"/>
    <w:rsid w:val="00D928A6"/>
    <w:rsid w:val="00D929CE"/>
    <w:rsid w:val="00D929E6"/>
    <w:rsid w:val="00D92A9B"/>
    <w:rsid w:val="00D92AFD"/>
    <w:rsid w:val="00D92D3F"/>
    <w:rsid w:val="00D92DF1"/>
    <w:rsid w:val="00D92FC5"/>
    <w:rsid w:val="00D931F2"/>
    <w:rsid w:val="00D93262"/>
    <w:rsid w:val="00D9332F"/>
    <w:rsid w:val="00D93343"/>
    <w:rsid w:val="00D933F3"/>
    <w:rsid w:val="00D934EB"/>
    <w:rsid w:val="00D9350B"/>
    <w:rsid w:val="00D9350D"/>
    <w:rsid w:val="00D93676"/>
    <w:rsid w:val="00D9393D"/>
    <w:rsid w:val="00D93A5F"/>
    <w:rsid w:val="00D93B4F"/>
    <w:rsid w:val="00D93C41"/>
    <w:rsid w:val="00D93E20"/>
    <w:rsid w:val="00D93E55"/>
    <w:rsid w:val="00D93EDD"/>
    <w:rsid w:val="00D93F6F"/>
    <w:rsid w:val="00D93FA9"/>
    <w:rsid w:val="00D943A4"/>
    <w:rsid w:val="00D943CF"/>
    <w:rsid w:val="00D943F6"/>
    <w:rsid w:val="00D94480"/>
    <w:rsid w:val="00D9450A"/>
    <w:rsid w:val="00D9460A"/>
    <w:rsid w:val="00D94693"/>
    <w:rsid w:val="00D9472F"/>
    <w:rsid w:val="00D9488C"/>
    <w:rsid w:val="00D94971"/>
    <w:rsid w:val="00D94A6C"/>
    <w:rsid w:val="00D94AE2"/>
    <w:rsid w:val="00D94B0C"/>
    <w:rsid w:val="00D94B65"/>
    <w:rsid w:val="00D94B68"/>
    <w:rsid w:val="00D94F1B"/>
    <w:rsid w:val="00D94F2E"/>
    <w:rsid w:val="00D94F7B"/>
    <w:rsid w:val="00D94FA2"/>
    <w:rsid w:val="00D94FFD"/>
    <w:rsid w:val="00D9513C"/>
    <w:rsid w:val="00D951C7"/>
    <w:rsid w:val="00D95234"/>
    <w:rsid w:val="00D952A5"/>
    <w:rsid w:val="00D953FB"/>
    <w:rsid w:val="00D953FD"/>
    <w:rsid w:val="00D954D2"/>
    <w:rsid w:val="00D95615"/>
    <w:rsid w:val="00D95680"/>
    <w:rsid w:val="00D956A6"/>
    <w:rsid w:val="00D958E5"/>
    <w:rsid w:val="00D95921"/>
    <w:rsid w:val="00D9595B"/>
    <w:rsid w:val="00D9596B"/>
    <w:rsid w:val="00D95C4F"/>
    <w:rsid w:val="00D95D04"/>
    <w:rsid w:val="00D95FC7"/>
    <w:rsid w:val="00D95FE0"/>
    <w:rsid w:val="00D96238"/>
    <w:rsid w:val="00D963FF"/>
    <w:rsid w:val="00D96490"/>
    <w:rsid w:val="00D964FF"/>
    <w:rsid w:val="00D966B0"/>
    <w:rsid w:val="00D9679E"/>
    <w:rsid w:val="00D9687A"/>
    <w:rsid w:val="00D96956"/>
    <w:rsid w:val="00D96B13"/>
    <w:rsid w:val="00D96B76"/>
    <w:rsid w:val="00D96B7B"/>
    <w:rsid w:val="00D96B7D"/>
    <w:rsid w:val="00D96CF5"/>
    <w:rsid w:val="00D96D4F"/>
    <w:rsid w:val="00D971C9"/>
    <w:rsid w:val="00D974B6"/>
    <w:rsid w:val="00D9752B"/>
    <w:rsid w:val="00D97688"/>
    <w:rsid w:val="00D97818"/>
    <w:rsid w:val="00D97950"/>
    <w:rsid w:val="00D97966"/>
    <w:rsid w:val="00D979D1"/>
    <w:rsid w:val="00D97D39"/>
    <w:rsid w:val="00D97DA7"/>
    <w:rsid w:val="00D97E98"/>
    <w:rsid w:val="00D97F54"/>
    <w:rsid w:val="00D97F66"/>
    <w:rsid w:val="00DA0199"/>
    <w:rsid w:val="00DA0282"/>
    <w:rsid w:val="00DA03A0"/>
    <w:rsid w:val="00DA0680"/>
    <w:rsid w:val="00DA0705"/>
    <w:rsid w:val="00DA09E7"/>
    <w:rsid w:val="00DA09FF"/>
    <w:rsid w:val="00DA0AD6"/>
    <w:rsid w:val="00DA0B57"/>
    <w:rsid w:val="00DA0C3C"/>
    <w:rsid w:val="00DA0D5F"/>
    <w:rsid w:val="00DA0F58"/>
    <w:rsid w:val="00DA0FBC"/>
    <w:rsid w:val="00DA1041"/>
    <w:rsid w:val="00DA1274"/>
    <w:rsid w:val="00DA15A9"/>
    <w:rsid w:val="00DA15D8"/>
    <w:rsid w:val="00DA16D3"/>
    <w:rsid w:val="00DA1785"/>
    <w:rsid w:val="00DA180C"/>
    <w:rsid w:val="00DA183B"/>
    <w:rsid w:val="00DA1850"/>
    <w:rsid w:val="00DA1979"/>
    <w:rsid w:val="00DA19D0"/>
    <w:rsid w:val="00DA19D2"/>
    <w:rsid w:val="00DA1A1C"/>
    <w:rsid w:val="00DA1A5F"/>
    <w:rsid w:val="00DA1A70"/>
    <w:rsid w:val="00DA1BBA"/>
    <w:rsid w:val="00DA1C6C"/>
    <w:rsid w:val="00DA1D2A"/>
    <w:rsid w:val="00DA1E74"/>
    <w:rsid w:val="00DA1EC7"/>
    <w:rsid w:val="00DA1EDB"/>
    <w:rsid w:val="00DA1EEA"/>
    <w:rsid w:val="00DA1FA6"/>
    <w:rsid w:val="00DA21DB"/>
    <w:rsid w:val="00DA226D"/>
    <w:rsid w:val="00DA2555"/>
    <w:rsid w:val="00DA2576"/>
    <w:rsid w:val="00DA264D"/>
    <w:rsid w:val="00DA2674"/>
    <w:rsid w:val="00DA2776"/>
    <w:rsid w:val="00DA27C6"/>
    <w:rsid w:val="00DA27DE"/>
    <w:rsid w:val="00DA28E1"/>
    <w:rsid w:val="00DA29BE"/>
    <w:rsid w:val="00DA29BF"/>
    <w:rsid w:val="00DA2A47"/>
    <w:rsid w:val="00DA2ADF"/>
    <w:rsid w:val="00DA2B35"/>
    <w:rsid w:val="00DA2B92"/>
    <w:rsid w:val="00DA2C42"/>
    <w:rsid w:val="00DA2F1A"/>
    <w:rsid w:val="00DA2FA5"/>
    <w:rsid w:val="00DA300B"/>
    <w:rsid w:val="00DA31DC"/>
    <w:rsid w:val="00DA31E4"/>
    <w:rsid w:val="00DA33EB"/>
    <w:rsid w:val="00DA3566"/>
    <w:rsid w:val="00DA35F0"/>
    <w:rsid w:val="00DA3694"/>
    <w:rsid w:val="00DA3916"/>
    <w:rsid w:val="00DA3B65"/>
    <w:rsid w:val="00DA3B73"/>
    <w:rsid w:val="00DA3C46"/>
    <w:rsid w:val="00DA3C8C"/>
    <w:rsid w:val="00DA3E5D"/>
    <w:rsid w:val="00DA3F43"/>
    <w:rsid w:val="00DA406C"/>
    <w:rsid w:val="00DA40A0"/>
    <w:rsid w:val="00DA4286"/>
    <w:rsid w:val="00DA4484"/>
    <w:rsid w:val="00DA4561"/>
    <w:rsid w:val="00DA4658"/>
    <w:rsid w:val="00DA481C"/>
    <w:rsid w:val="00DA499E"/>
    <w:rsid w:val="00DA4AA0"/>
    <w:rsid w:val="00DA4BD4"/>
    <w:rsid w:val="00DA4C2D"/>
    <w:rsid w:val="00DA4CDB"/>
    <w:rsid w:val="00DA4CF4"/>
    <w:rsid w:val="00DA4EA9"/>
    <w:rsid w:val="00DA4ED8"/>
    <w:rsid w:val="00DA505C"/>
    <w:rsid w:val="00DA5095"/>
    <w:rsid w:val="00DA50F7"/>
    <w:rsid w:val="00DA5153"/>
    <w:rsid w:val="00DA5455"/>
    <w:rsid w:val="00DA5510"/>
    <w:rsid w:val="00DA5559"/>
    <w:rsid w:val="00DA559B"/>
    <w:rsid w:val="00DA56A5"/>
    <w:rsid w:val="00DA56E9"/>
    <w:rsid w:val="00DA56F0"/>
    <w:rsid w:val="00DA5707"/>
    <w:rsid w:val="00DA58FA"/>
    <w:rsid w:val="00DA590A"/>
    <w:rsid w:val="00DA59B2"/>
    <w:rsid w:val="00DA59C8"/>
    <w:rsid w:val="00DA5A43"/>
    <w:rsid w:val="00DA5CE4"/>
    <w:rsid w:val="00DA5E23"/>
    <w:rsid w:val="00DA5E53"/>
    <w:rsid w:val="00DA5FEF"/>
    <w:rsid w:val="00DA6279"/>
    <w:rsid w:val="00DA6438"/>
    <w:rsid w:val="00DA65C1"/>
    <w:rsid w:val="00DA66DA"/>
    <w:rsid w:val="00DA6820"/>
    <w:rsid w:val="00DA6AF9"/>
    <w:rsid w:val="00DA6BEC"/>
    <w:rsid w:val="00DA6D13"/>
    <w:rsid w:val="00DA6D4F"/>
    <w:rsid w:val="00DA6E49"/>
    <w:rsid w:val="00DA6E4A"/>
    <w:rsid w:val="00DA6E7C"/>
    <w:rsid w:val="00DA6F38"/>
    <w:rsid w:val="00DA6FD4"/>
    <w:rsid w:val="00DA70EA"/>
    <w:rsid w:val="00DA7143"/>
    <w:rsid w:val="00DA72C2"/>
    <w:rsid w:val="00DA72CD"/>
    <w:rsid w:val="00DA730C"/>
    <w:rsid w:val="00DA73BB"/>
    <w:rsid w:val="00DA75D9"/>
    <w:rsid w:val="00DA7735"/>
    <w:rsid w:val="00DA7801"/>
    <w:rsid w:val="00DA7878"/>
    <w:rsid w:val="00DA7932"/>
    <w:rsid w:val="00DA7CE6"/>
    <w:rsid w:val="00DA7D79"/>
    <w:rsid w:val="00DA7DF5"/>
    <w:rsid w:val="00DA7E24"/>
    <w:rsid w:val="00DA7E5F"/>
    <w:rsid w:val="00DA7FB7"/>
    <w:rsid w:val="00DB0085"/>
    <w:rsid w:val="00DB01A0"/>
    <w:rsid w:val="00DB01F5"/>
    <w:rsid w:val="00DB0631"/>
    <w:rsid w:val="00DB0722"/>
    <w:rsid w:val="00DB07D7"/>
    <w:rsid w:val="00DB08C3"/>
    <w:rsid w:val="00DB08E5"/>
    <w:rsid w:val="00DB0A25"/>
    <w:rsid w:val="00DB0A38"/>
    <w:rsid w:val="00DB0CBC"/>
    <w:rsid w:val="00DB0D1E"/>
    <w:rsid w:val="00DB0D1F"/>
    <w:rsid w:val="00DB0EC4"/>
    <w:rsid w:val="00DB0F7D"/>
    <w:rsid w:val="00DB0FC6"/>
    <w:rsid w:val="00DB10B7"/>
    <w:rsid w:val="00DB1447"/>
    <w:rsid w:val="00DB1495"/>
    <w:rsid w:val="00DB14E5"/>
    <w:rsid w:val="00DB1516"/>
    <w:rsid w:val="00DB1554"/>
    <w:rsid w:val="00DB165A"/>
    <w:rsid w:val="00DB1798"/>
    <w:rsid w:val="00DB179C"/>
    <w:rsid w:val="00DB17E3"/>
    <w:rsid w:val="00DB18F7"/>
    <w:rsid w:val="00DB191A"/>
    <w:rsid w:val="00DB193A"/>
    <w:rsid w:val="00DB1B4C"/>
    <w:rsid w:val="00DB1B8E"/>
    <w:rsid w:val="00DB1CFF"/>
    <w:rsid w:val="00DB1D18"/>
    <w:rsid w:val="00DB1D42"/>
    <w:rsid w:val="00DB1D6A"/>
    <w:rsid w:val="00DB1FA0"/>
    <w:rsid w:val="00DB208F"/>
    <w:rsid w:val="00DB21BA"/>
    <w:rsid w:val="00DB222C"/>
    <w:rsid w:val="00DB22C2"/>
    <w:rsid w:val="00DB22E7"/>
    <w:rsid w:val="00DB233C"/>
    <w:rsid w:val="00DB248D"/>
    <w:rsid w:val="00DB274C"/>
    <w:rsid w:val="00DB284E"/>
    <w:rsid w:val="00DB28A9"/>
    <w:rsid w:val="00DB28BE"/>
    <w:rsid w:val="00DB2A6D"/>
    <w:rsid w:val="00DB2AEF"/>
    <w:rsid w:val="00DB2B9C"/>
    <w:rsid w:val="00DB2BBA"/>
    <w:rsid w:val="00DB2CD2"/>
    <w:rsid w:val="00DB2D40"/>
    <w:rsid w:val="00DB2D60"/>
    <w:rsid w:val="00DB2DAB"/>
    <w:rsid w:val="00DB2F7F"/>
    <w:rsid w:val="00DB2F84"/>
    <w:rsid w:val="00DB2F8A"/>
    <w:rsid w:val="00DB2FF6"/>
    <w:rsid w:val="00DB3021"/>
    <w:rsid w:val="00DB305D"/>
    <w:rsid w:val="00DB3061"/>
    <w:rsid w:val="00DB30AE"/>
    <w:rsid w:val="00DB30C3"/>
    <w:rsid w:val="00DB30CE"/>
    <w:rsid w:val="00DB3160"/>
    <w:rsid w:val="00DB31B7"/>
    <w:rsid w:val="00DB3303"/>
    <w:rsid w:val="00DB3382"/>
    <w:rsid w:val="00DB3506"/>
    <w:rsid w:val="00DB3688"/>
    <w:rsid w:val="00DB370A"/>
    <w:rsid w:val="00DB3997"/>
    <w:rsid w:val="00DB39AC"/>
    <w:rsid w:val="00DB3BEA"/>
    <w:rsid w:val="00DB3C87"/>
    <w:rsid w:val="00DB3CA4"/>
    <w:rsid w:val="00DB3D5F"/>
    <w:rsid w:val="00DB3EAF"/>
    <w:rsid w:val="00DB4079"/>
    <w:rsid w:val="00DB40B7"/>
    <w:rsid w:val="00DB40BC"/>
    <w:rsid w:val="00DB4407"/>
    <w:rsid w:val="00DB441F"/>
    <w:rsid w:val="00DB44C4"/>
    <w:rsid w:val="00DB4609"/>
    <w:rsid w:val="00DB485D"/>
    <w:rsid w:val="00DB48FD"/>
    <w:rsid w:val="00DB4956"/>
    <w:rsid w:val="00DB4A63"/>
    <w:rsid w:val="00DB4B3F"/>
    <w:rsid w:val="00DB4BA6"/>
    <w:rsid w:val="00DB4BEC"/>
    <w:rsid w:val="00DB4C39"/>
    <w:rsid w:val="00DB4D06"/>
    <w:rsid w:val="00DB4DEB"/>
    <w:rsid w:val="00DB5087"/>
    <w:rsid w:val="00DB521A"/>
    <w:rsid w:val="00DB5394"/>
    <w:rsid w:val="00DB5712"/>
    <w:rsid w:val="00DB5787"/>
    <w:rsid w:val="00DB57C2"/>
    <w:rsid w:val="00DB5824"/>
    <w:rsid w:val="00DB5955"/>
    <w:rsid w:val="00DB5AEC"/>
    <w:rsid w:val="00DB5C86"/>
    <w:rsid w:val="00DB5E2D"/>
    <w:rsid w:val="00DB5EE8"/>
    <w:rsid w:val="00DB5EF1"/>
    <w:rsid w:val="00DB603B"/>
    <w:rsid w:val="00DB6043"/>
    <w:rsid w:val="00DB6188"/>
    <w:rsid w:val="00DB61CC"/>
    <w:rsid w:val="00DB62A6"/>
    <w:rsid w:val="00DB6349"/>
    <w:rsid w:val="00DB638D"/>
    <w:rsid w:val="00DB63AB"/>
    <w:rsid w:val="00DB63DB"/>
    <w:rsid w:val="00DB64E0"/>
    <w:rsid w:val="00DB6597"/>
    <w:rsid w:val="00DB65D7"/>
    <w:rsid w:val="00DB65E1"/>
    <w:rsid w:val="00DB6669"/>
    <w:rsid w:val="00DB66FB"/>
    <w:rsid w:val="00DB6713"/>
    <w:rsid w:val="00DB67A1"/>
    <w:rsid w:val="00DB6AC1"/>
    <w:rsid w:val="00DB6B10"/>
    <w:rsid w:val="00DB6C83"/>
    <w:rsid w:val="00DB6DAE"/>
    <w:rsid w:val="00DB6EB6"/>
    <w:rsid w:val="00DB6ED0"/>
    <w:rsid w:val="00DB6F57"/>
    <w:rsid w:val="00DB6F78"/>
    <w:rsid w:val="00DB6FFA"/>
    <w:rsid w:val="00DB71D4"/>
    <w:rsid w:val="00DB7305"/>
    <w:rsid w:val="00DB7405"/>
    <w:rsid w:val="00DB740C"/>
    <w:rsid w:val="00DB742C"/>
    <w:rsid w:val="00DB7536"/>
    <w:rsid w:val="00DB7553"/>
    <w:rsid w:val="00DB75C1"/>
    <w:rsid w:val="00DB75EE"/>
    <w:rsid w:val="00DB7966"/>
    <w:rsid w:val="00DB796F"/>
    <w:rsid w:val="00DB79DF"/>
    <w:rsid w:val="00DB7AAF"/>
    <w:rsid w:val="00DB7B1D"/>
    <w:rsid w:val="00DB7BA2"/>
    <w:rsid w:val="00DB7C0B"/>
    <w:rsid w:val="00DB7C2D"/>
    <w:rsid w:val="00DB7E8D"/>
    <w:rsid w:val="00DB7ED0"/>
    <w:rsid w:val="00DB7F9B"/>
    <w:rsid w:val="00DB7FC6"/>
    <w:rsid w:val="00DC0194"/>
    <w:rsid w:val="00DC0215"/>
    <w:rsid w:val="00DC03D7"/>
    <w:rsid w:val="00DC03FC"/>
    <w:rsid w:val="00DC0410"/>
    <w:rsid w:val="00DC0419"/>
    <w:rsid w:val="00DC06B1"/>
    <w:rsid w:val="00DC06C3"/>
    <w:rsid w:val="00DC082E"/>
    <w:rsid w:val="00DC0936"/>
    <w:rsid w:val="00DC0961"/>
    <w:rsid w:val="00DC0988"/>
    <w:rsid w:val="00DC0ACB"/>
    <w:rsid w:val="00DC0C23"/>
    <w:rsid w:val="00DC0C63"/>
    <w:rsid w:val="00DC0DAF"/>
    <w:rsid w:val="00DC0FE9"/>
    <w:rsid w:val="00DC0FEF"/>
    <w:rsid w:val="00DC104C"/>
    <w:rsid w:val="00DC1107"/>
    <w:rsid w:val="00DC11B3"/>
    <w:rsid w:val="00DC1295"/>
    <w:rsid w:val="00DC12D7"/>
    <w:rsid w:val="00DC136B"/>
    <w:rsid w:val="00DC1588"/>
    <w:rsid w:val="00DC15B3"/>
    <w:rsid w:val="00DC17BE"/>
    <w:rsid w:val="00DC1954"/>
    <w:rsid w:val="00DC19F3"/>
    <w:rsid w:val="00DC1A03"/>
    <w:rsid w:val="00DC1A0F"/>
    <w:rsid w:val="00DC1B3D"/>
    <w:rsid w:val="00DC1B68"/>
    <w:rsid w:val="00DC1C9C"/>
    <w:rsid w:val="00DC1E61"/>
    <w:rsid w:val="00DC1E78"/>
    <w:rsid w:val="00DC1FA3"/>
    <w:rsid w:val="00DC20BB"/>
    <w:rsid w:val="00DC2174"/>
    <w:rsid w:val="00DC218D"/>
    <w:rsid w:val="00DC21AA"/>
    <w:rsid w:val="00DC2264"/>
    <w:rsid w:val="00DC22AB"/>
    <w:rsid w:val="00DC234A"/>
    <w:rsid w:val="00DC2468"/>
    <w:rsid w:val="00DC246B"/>
    <w:rsid w:val="00DC2553"/>
    <w:rsid w:val="00DC25FA"/>
    <w:rsid w:val="00DC2616"/>
    <w:rsid w:val="00DC2618"/>
    <w:rsid w:val="00DC26BB"/>
    <w:rsid w:val="00DC27CF"/>
    <w:rsid w:val="00DC282C"/>
    <w:rsid w:val="00DC288D"/>
    <w:rsid w:val="00DC28BC"/>
    <w:rsid w:val="00DC28EC"/>
    <w:rsid w:val="00DC2C3A"/>
    <w:rsid w:val="00DC2ED4"/>
    <w:rsid w:val="00DC31E2"/>
    <w:rsid w:val="00DC3288"/>
    <w:rsid w:val="00DC328A"/>
    <w:rsid w:val="00DC32F8"/>
    <w:rsid w:val="00DC333B"/>
    <w:rsid w:val="00DC3555"/>
    <w:rsid w:val="00DC35D7"/>
    <w:rsid w:val="00DC3610"/>
    <w:rsid w:val="00DC36AA"/>
    <w:rsid w:val="00DC3B5B"/>
    <w:rsid w:val="00DC3BD6"/>
    <w:rsid w:val="00DC3BF0"/>
    <w:rsid w:val="00DC3C03"/>
    <w:rsid w:val="00DC3CA3"/>
    <w:rsid w:val="00DC3D4F"/>
    <w:rsid w:val="00DC3D9F"/>
    <w:rsid w:val="00DC3EA6"/>
    <w:rsid w:val="00DC3FB1"/>
    <w:rsid w:val="00DC40C6"/>
    <w:rsid w:val="00DC43ED"/>
    <w:rsid w:val="00DC44D9"/>
    <w:rsid w:val="00DC4507"/>
    <w:rsid w:val="00DC45C6"/>
    <w:rsid w:val="00DC473C"/>
    <w:rsid w:val="00DC476D"/>
    <w:rsid w:val="00DC4870"/>
    <w:rsid w:val="00DC4978"/>
    <w:rsid w:val="00DC4991"/>
    <w:rsid w:val="00DC4BE3"/>
    <w:rsid w:val="00DC4C0F"/>
    <w:rsid w:val="00DC4DB1"/>
    <w:rsid w:val="00DC4E66"/>
    <w:rsid w:val="00DC5013"/>
    <w:rsid w:val="00DC5057"/>
    <w:rsid w:val="00DC5067"/>
    <w:rsid w:val="00DC5252"/>
    <w:rsid w:val="00DC52B0"/>
    <w:rsid w:val="00DC52BE"/>
    <w:rsid w:val="00DC5504"/>
    <w:rsid w:val="00DC55CD"/>
    <w:rsid w:val="00DC563D"/>
    <w:rsid w:val="00DC563E"/>
    <w:rsid w:val="00DC5810"/>
    <w:rsid w:val="00DC5972"/>
    <w:rsid w:val="00DC59F9"/>
    <w:rsid w:val="00DC5B5D"/>
    <w:rsid w:val="00DC5CDB"/>
    <w:rsid w:val="00DC5D13"/>
    <w:rsid w:val="00DC5D89"/>
    <w:rsid w:val="00DC5ECC"/>
    <w:rsid w:val="00DC5F61"/>
    <w:rsid w:val="00DC6061"/>
    <w:rsid w:val="00DC632D"/>
    <w:rsid w:val="00DC6417"/>
    <w:rsid w:val="00DC6421"/>
    <w:rsid w:val="00DC6456"/>
    <w:rsid w:val="00DC64A3"/>
    <w:rsid w:val="00DC64EE"/>
    <w:rsid w:val="00DC6560"/>
    <w:rsid w:val="00DC682F"/>
    <w:rsid w:val="00DC689E"/>
    <w:rsid w:val="00DC68B0"/>
    <w:rsid w:val="00DC68C2"/>
    <w:rsid w:val="00DC6959"/>
    <w:rsid w:val="00DC6988"/>
    <w:rsid w:val="00DC69A4"/>
    <w:rsid w:val="00DC6A98"/>
    <w:rsid w:val="00DC6B23"/>
    <w:rsid w:val="00DC6BAB"/>
    <w:rsid w:val="00DC6BD4"/>
    <w:rsid w:val="00DC6C66"/>
    <w:rsid w:val="00DC6C70"/>
    <w:rsid w:val="00DC6CBF"/>
    <w:rsid w:val="00DC6D4D"/>
    <w:rsid w:val="00DC6EAD"/>
    <w:rsid w:val="00DC6F8F"/>
    <w:rsid w:val="00DC7180"/>
    <w:rsid w:val="00DC73B7"/>
    <w:rsid w:val="00DC740D"/>
    <w:rsid w:val="00DC74E1"/>
    <w:rsid w:val="00DC7588"/>
    <w:rsid w:val="00DC75C9"/>
    <w:rsid w:val="00DC764C"/>
    <w:rsid w:val="00DC76B6"/>
    <w:rsid w:val="00DC77D4"/>
    <w:rsid w:val="00DC7889"/>
    <w:rsid w:val="00DC78B2"/>
    <w:rsid w:val="00DC79D7"/>
    <w:rsid w:val="00DC7A02"/>
    <w:rsid w:val="00DC7B07"/>
    <w:rsid w:val="00DC7CF6"/>
    <w:rsid w:val="00DC7D73"/>
    <w:rsid w:val="00DD00A7"/>
    <w:rsid w:val="00DD01D9"/>
    <w:rsid w:val="00DD0235"/>
    <w:rsid w:val="00DD02EE"/>
    <w:rsid w:val="00DD0349"/>
    <w:rsid w:val="00DD03AD"/>
    <w:rsid w:val="00DD0504"/>
    <w:rsid w:val="00DD0557"/>
    <w:rsid w:val="00DD057C"/>
    <w:rsid w:val="00DD05F8"/>
    <w:rsid w:val="00DD0627"/>
    <w:rsid w:val="00DD062C"/>
    <w:rsid w:val="00DD0636"/>
    <w:rsid w:val="00DD074D"/>
    <w:rsid w:val="00DD07BF"/>
    <w:rsid w:val="00DD08BD"/>
    <w:rsid w:val="00DD0968"/>
    <w:rsid w:val="00DD09F5"/>
    <w:rsid w:val="00DD0A3B"/>
    <w:rsid w:val="00DD0B48"/>
    <w:rsid w:val="00DD0E69"/>
    <w:rsid w:val="00DD0FF4"/>
    <w:rsid w:val="00DD100F"/>
    <w:rsid w:val="00DD1247"/>
    <w:rsid w:val="00DD1295"/>
    <w:rsid w:val="00DD13AA"/>
    <w:rsid w:val="00DD15DE"/>
    <w:rsid w:val="00DD1803"/>
    <w:rsid w:val="00DD1AA9"/>
    <w:rsid w:val="00DD1ACC"/>
    <w:rsid w:val="00DD1AF6"/>
    <w:rsid w:val="00DD1B5C"/>
    <w:rsid w:val="00DD1CF3"/>
    <w:rsid w:val="00DD1D2C"/>
    <w:rsid w:val="00DD1D47"/>
    <w:rsid w:val="00DD1DE4"/>
    <w:rsid w:val="00DD1E71"/>
    <w:rsid w:val="00DD1E77"/>
    <w:rsid w:val="00DD1EA4"/>
    <w:rsid w:val="00DD213A"/>
    <w:rsid w:val="00DD2374"/>
    <w:rsid w:val="00DD26CA"/>
    <w:rsid w:val="00DD27FA"/>
    <w:rsid w:val="00DD282C"/>
    <w:rsid w:val="00DD2854"/>
    <w:rsid w:val="00DD29A6"/>
    <w:rsid w:val="00DD2A40"/>
    <w:rsid w:val="00DD2AC0"/>
    <w:rsid w:val="00DD2D64"/>
    <w:rsid w:val="00DD2F2C"/>
    <w:rsid w:val="00DD2FF8"/>
    <w:rsid w:val="00DD300B"/>
    <w:rsid w:val="00DD30E7"/>
    <w:rsid w:val="00DD31AD"/>
    <w:rsid w:val="00DD31E4"/>
    <w:rsid w:val="00DD322E"/>
    <w:rsid w:val="00DD3305"/>
    <w:rsid w:val="00DD337D"/>
    <w:rsid w:val="00DD34DC"/>
    <w:rsid w:val="00DD35C7"/>
    <w:rsid w:val="00DD3732"/>
    <w:rsid w:val="00DD3779"/>
    <w:rsid w:val="00DD38C2"/>
    <w:rsid w:val="00DD38D9"/>
    <w:rsid w:val="00DD3945"/>
    <w:rsid w:val="00DD39C1"/>
    <w:rsid w:val="00DD3AB2"/>
    <w:rsid w:val="00DD3B54"/>
    <w:rsid w:val="00DD3BC2"/>
    <w:rsid w:val="00DD3CA4"/>
    <w:rsid w:val="00DD3CE5"/>
    <w:rsid w:val="00DD3D73"/>
    <w:rsid w:val="00DD3D75"/>
    <w:rsid w:val="00DD3E82"/>
    <w:rsid w:val="00DD3F98"/>
    <w:rsid w:val="00DD3FFE"/>
    <w:rsid w:val="00DD43D8"/>
    <w:rsid w:val="00DD449A"/>
    <w:rsid w:val="00DD44B6"/>
    <w:rsid w:val="00DD45BB"/>
    <w:rsid w:val="00DD4639"/>
    <w:rsid w:val="00DD47F5"/>
    <w:rsid w:val="00DD496B"/>
    <w:rsid w:val="00DD49B2"/>
    <w:rsid w:val="00DD4A15"/>
    <w:rsid w:val="00DD4B6D"/>
    <w:rsid w:val="00DD4B74"/>
    <w:rsid w:val="00DD4CE5"/>
    <w:rsid w:val="00DD4D06"/>
    <w:rsid w:val="00DD4E30"/>
    <w:rsid w:val="00DD50A8"/>
    <w:rsid w:val="00DD50B2"/>
    <w:rsid w:val="00DD50FC"/>
    <w:rsid w:val="00DD5158"/>
    <w:rsid w:val="00DD5171"/>
    <w:rsid w:val="00DD520D"/>
    <w:rsid w:val="00DD5348"/>
    <w:rsid w:val="00DD5478"/>
    <w:rsid w:val="00DD5559"/>
    <w:rsid w:val="00DD59C0"/>
    <w:rsid w:val="00DD5A7C"/>
    <w:rsid w:val="00DD5A9A"/>
    <w:rsid w:val="00DD5ADF"/>
    <w:rsid w:val="00DD5BA0"/>
    <w:rsid w:val="00DD5BD3"/>
    <w:rsid w:val="00DD5C52"/>
    <w:rsid w:val="00DD5D5C"/>
    <w:rsid w:val="00DD5D71"/>
    <w:rsid w:val="00DD5F86"/>
    <w:rsid w:val="00DD60C7"/>
    <w:rsid w:val="00DD622B"/>
    <w:rsid w:val="00DD6280"/>
    <w:rsid w:val="00DD6293"/>
    <w:rsid w:val="00DD62F3"/>
    <w:rsid w:val="00DD6406"/>
    <w:rsid w:val="00DD64D4"/>
    <w:rsid w:val="00DD65D7"/>
    <w:rsid w:val="00DD66B6"/>
    <w:rsid w:val="00DD670D"/>
    <w:rsid w:val="00DD6817"/>
    <w:rsid w:val="00DD687E"/>
    <w:rsid w:val="00DD6921"/>
    <w:rsid w:val="00DD6A86"/>
    <w:rsid w:val="00DD6BDE"/>
    <w:rsid w:val="00DD6BF4"/>
    <w:rsid w:val="00DD6D30"/>
    <w:rsid w:val="00DD6F7A"/>
    <w:rsid w:val="00DD7023"/>
    <w:rsid w:val="00DD75F2"/>
    <w:rsid w:val="00DD7696"/>
    <w:rsid w:val="00DD77AB"/>
    <w:rsid w:val="00DD7800"/>
    <w:rsid w:val="00DD780D"/>
    <w:rsid w:val="00DD7887"/>
    <w:rsid w:val="00DD7895"/>
    <w:rsid w:val="00DD79BE"/>
    <w:rsid w:val="00DD7C06"/>
    <w:rsid w:val="00DD7C6A"/>
    <w:rsid w:val="00DD7EAA"/>
    <w:rsid w:val="00DD7EC4"/>
    <w:rsid w:val="00DD7EEE"/>
    <w:rsid w:val="00DD7F8A"/>
    <w:rsid w:val="00DD7FD2"/>
    <w:rsid w:val="00DE01B8"/>
    <w:rsid w:val="00DE037C"/>
    <w:rsid w:val="00DE0409"/>
    <w:rsid w:val="00DE042A"/>
    <w:rsid w:val="00DE054C"/>
    <w:rsid w:val="00DE0701"/>
    <w:rsid w:val="00DE0710"/>
    <w:rsid w:val="00DE072F"/>
    <w:rsid w:val="00DE089A"/>
    <w:rsid w:val="00DE0A29"/>
    <w:rsid w:val="00DE0AE4"/>
    <w:rsid w:val="00DE0B7C"/>
    <w:rsid w:val="00DE0D87"/>
    <w:rsid w:val="00DE0D9E"/>
    <w:rsid w:val="00DE0ECE"/>
    <w:rsid w:val="00DE0F0A"/>
    <w:rsid w:val="00DE0F77"/>
    <w:rsid w:val="00DE0FE4"/>
    <w:rsid w:val="00DE1027"/>
    <w:rsid w:val="00DE10E5"/>
    <w:rsid w:val="00DE1119"/>
    <w:rsid w:val="00DE13BA"/>
    <w:rsid w:val="00DE145A"/>
    <w:rsid w:val="00DE159F"/>
    <w:rsid w:val="00DE17F2"/>
    <w:rsid w:val="00DE184F"/>
    <w:rsid w:val="00DE1867"/>
    <w:rsid w:val="00DE1886"/>
    <w:rsid w:val="00DE19DE"/>
    <w:rsid w:val="00DE1AAE"/>
    <w:rsid w:val="00DE1AD6"/>
    <w:rsid w:val="00DE1AFB"/>
    <w:rsid w:val="00DE1B64"/>
    <w:rsid w:val="00DE1C42"/>
    <w:rsid w:val="00DE1C89"/>
    <w:rsid w:val="00DE1D31"/>
    <w:rsid w:val="00DE1D94"/>
    <w:rsid w:val="00DE1DC3"/>
    <w:rsid w:val="00DE1DFC"/>
    <w:rsid w:val="00DE1F71"/>
    <w:rsid w:val="00DE200F"/>
    <w:rsid w:val="00DE2310"/>
    <w:rsid w:val="00DE233B"/>
    <w:rsid w:val="00DE23F5"/>
    <w:rsid w:val="00DE2470"/>
    <w:rsid w:val="00DE248A"/>
    <w:rsid w:val="00DE2632"/>
    <w:rsid w:val="00DE2694"/>
    <w:rsid w:val="00DE26D8"/>
    <w:rsid w:val="00DE26FC"/>
    <w:rsid w:val="00DE27CA"/>
    <w:rsid w:val="00DE2848"/>
    <w:rsid w:val="00DE28A6"/>
    <w:rsid w:val="00DE2AE2"/>
    <w:rsid w:val="00DE2BAF"/>
    <w:rsid w:val="00DE2BDF"/>
    <w:rsid w:val="00DE2BFC"/>
    <w:rsid w:val="00DE2CC5"/>
    <w:rsid w:val="00DE2D29"/>
    <w:rsid w:val="00DE2D82"/>
    <w:rsid w:val="00DE2EFB"/>
    <w:rsid w:val="00DE3144"/>
    <w:rsid w:val="00DE31F0"/>
    <w:rsid w:val="00DE32E2"/>
    <w:rsid w:val="00DE3321"/>
    <w:rsid w:val="00DE3393"/>
    <w:rsid w:val="00DE346B"/>
    <w:rsid w:val="00DE37E8"/>
    <w:rsid w:val="00DE381A"/>
    <w:rsid w:val="00DE3B09"/>
    <w:rsid w:val="00DE3C03"/>
    <w:rsid w:val="00DE3CD2"/>
    <w:rsid w:val="00DE3DF9"/>
    <w:rsid w:val="00DE3E16"/>
    <w:rsid w:val="00DE3FDA"/>
    <w:rsid w:val="00DE4198"/>
    <w:rsid w:val="00DE43BC"/>
    <w:rsid w:val="00DE4413"/>
    <w:rsid w:val="00DE44F9"/>
    <w:rsid w:val="00DE46FE"/>
    <w:rsid w:val="00DE47A6"/>
    <w:rsid w:val="00DE4927"/>
    <w:rsid w:val="00DE498B"/>
    <w:rsid w:val="00DE4B2D"/>
    <w:rsid w:val="00DE4C0F"/>
    <w:rsid w:val="00DE4C79"/>
    <w:rsid w:val="00DE4D25"/>
    <w:rsid w:val="00DE537D"/>
    <w:rsid w:val="00DE539A"/>
    <w:rsid w:val="00DE56C3"/>
    <w:rsid w:val="00DE579A"/>
    <w:rsid w:val="00DE5976"/>
    <w:rsid w:val="00DE597D"/>
    <w:rsid w:val="00DE59E5"/>
    <w:rsid w:val="00DE5A56"/>
    <w:rsid w:val="00DE5B5A"/>
    <w:rsid w:val="00DE5C43"/>
    <w:rsid w:val="00DE5C5F"/>
    <w:rsid w:val="00DE5E64"/>
    <w:rsid w:val="00DE5F16"/>
    <w:rsid w:val="00DE6030"/>
    <w:rsid w:val="00DE60D2"/>
    <w:rsid w:val="00DE6188"/>
    <w:rsid w:val="00DE622B"/>
    <w:rsid w:val="00DE62BB"/>
    <w:rsid w:val="00DE65F7"/>
    <w:rsid w:val="00DE668B"/>
    <w:rsid w:val="00DE6775"/>
    <w:rsid w:val="00DE69E8"/>
    <w:rsid w:val="00DE6A15"/>
    <w:rsid w:val="00DE6A90"/>
    <w:rsid w:val="00DE6BBC"/>
    <w:rsid w:val="00DE6C87"/>
    <w:rsid w:val="00DE6D4D"/>
    <w:rsid w:val="00DE6DC5"/>
    <w:rsid w:val="00DE6E4E"/>
    <w:rsid w:val="00DE6F21"/>
    <w:rsid w:val="00DE7111"/>
    <w:rsid w:val="00DE716F"/>
    <w:rsid w:val="00DE71C1"/>
    <w:rsid w:val="00DE71ED"/>
    <w:rsid w:val="00DE74DA"/>
    <w:rsid w:val="00DE74ED"/>
    <w:rsid w:val="00DE768C"/>
    <w:rsid w:val="00DE7736"/>
    <w:rsid w:val="00DE788E"/>
    <w:rsid w:val="00DE7C2F"/>
    <w:rsid w:val="00DE7C4B"/>
    <w:rsid w:val="00DE7CF9"/>
    <w:rsid w:val="00DE7E2C"/>
    <w:rsid w:val="00DF0063"/>
    <w:rsid w:val="00DF0326"/>
    <w:rsid w:val="00DF0473"/>
    <w:rsid w:val="00DF065F"/>
    <w:rsid w:val="00DF0821"/>
    <w:rsid w:val="00DF08AB"/>
    <w:rsid w:val="00DF0BB6"/>
    <w:rsid w:val="00DF0C66"/>
    <w:rsid w:val="00DF0C6B"/>
    <w:rsid w:val="00DF0CE3"/>
    <w:rsid w:val="00DF0EAC"/>
    <w:rsid w:val="00DF0EDF"/>
    <w:rsid w:val="00DF0F13"/>
    <w:rsid w:val="00DF0FF5"/>
    <w:rsid w:val="00DF1091"/>
    <w:rsid w:val="00DF1123"/>
    <w:rsid w:val="00DF1182"/>
    <w:rsid w:val="00DF11D1"/>
    <w:rsid w:val="00DF13BC"/>
    <w:rsid w:val="00DF152A"/>
    <w:rsid w:val="00DF17B6"/>
    <w:rsid w:val="00DF1805"/>
    <w:rsid w:val="00DF18C2"/>
    <w:rsid w:val="00DF18E6"/>
    <w:rsid w:val="00DF198B"/>
    <w:rsid w:val="00DF1A79"/>
    <w:rsid w:val="00DF1BC2"/>
    <w:rsid w:val="00DF1C95"/>
    <w:rsid w:val="00DF1D11"/>
    <w:rsid w:val="00DF1E5A"/>
    <w:rsid w:val="00DF1F1B"/>
    <w:rsid w:val="00DF1F41"/>
    <w:rsid w:val="00DF2089"/>
    <w:rsid w:val="00DF20E0"/>
    <w:rsid w:val="00DF214A"/>
    <w:rsid w:val="00DF2165"/>
    <w:rsid w:val="00DF2251"/>
    <w:rsid w:val="00DF2451"/>
    <w:rsid w:val="00DF256A"/>
    <w:rsid w:val="00DF257E"/>
    <w:rsid w:val="00DF2621"/>
    <w:rsid w:val="00DF262C"/>
    <w:rsid w:val="00DF263E"/>
    <w:rsid w:val="00DF271A"/>
    <w:rsid w:val="00DF277D"/>
    <w:rsid w:val="00DF2838"/>
    <w:rsid w:val="00DF2AC9"/>
    <w:rsid w:val="00DF2B5B"/>
    <w:rsid w:val="00DF2B9B"/>
    <w:rsid w:val="00DF2BC6"/>
    <w:rsid w:val="00DF2C8F"/>
    <w:rsid w:val="00DF2C9A"/>
    <w:rsid w:val="00DF2D99"/>
    <w:rsid w:val="00DF2EE5"/>
    <w:rsid w:val="00DF2F04"/>
    <w:rsid w:val="00DF314A"/>
    <w:rsid w:val="00DF31CE"/>
    <w:rsid w:val="00DF31DB"/>
    <w:rsid w:val="00DF32E5"/>
    <w:rsid w:val="00DF3336"/>
    <w:rsid w:val="00DF3371"/>
    <w:rsid w:val="00DF33EA"/>
    <w:rsid w:val="00DF33F3"/>
    <w:rsid w:val="00DF34C0"/>
    <w:rsid w:val="00DF352D"/>
    <w:rsid w:val="00DF356D"/>
    <w:rsid w:val="00DF362A"/>
    <w:rsid w:val="00DF37DB"/>
    <w:rsid w:val="00DF3867"/>
    <w:rsid w:val="00DF39D1"/>
    <w:rsid w:val="00DF3B98"/>
    <w:rsid w:val="00DF3C07"/>
    <w:rsid w:val="00DF3C1A"/>
    <w:rsid w:val="00DF3C40"/>
    <w:rsid w:val="00DF3CEB"/>
    <w:rsid w:val="00DF3CF9"/>
    <w:rsid w:val="00DF3D5D"/>
    <w:rsid w:val="00DF3E31"/>
    <w:rsid w:val="00DF3F58"/>
    <w:rsid w:val="00DF4089"/>
    <w:rsid w:val="00DF408E"/>
    <w:rsid w:val="00DF4202"/>
    <w:rsid w:val="00DF42DF"/>
    <w:rsid w:val="00DF43F9"/>
    <w:rsid w:val="00DF4435"/>
    <w:rsid w:val="00DF44AD"/>
    <w:rsid w:val="00DF4520"/>
    <w:rsid w:val="00DF4564"/>
    <w:rsid w:val="00DF45D7"/>
    <w:rsid w:val="00DF4631"/>
    <w:rsid w:val="00DF46F2"/>
    <w:rsid w:val="00DF47C5"/>
    <w:rsid w:val="00DF48BF"/>
    <w:rsid w:val="00DF48CE"/>
    <w:rsid w:val="00DF498A"/>
    <w:rsid w:val="00DF49AC"/>
    <w:rsid w:val="00DF4ADC"/>
    <w:rsid w:val="00DF4B22"/>
    <w:rsid w:val="00DF4B26"/>
    <w:rsid w:val="00DF4E64"/>
    <w:rsid w:val="00DF4FCD"/>
    <w:rsid w:val="00DF5051"/>
    <w:rsid w:val="00DF52CC"/>
    <w:rsid w:val="00DF538B"/>
    <w:rsid w:val="00DF54BE"/>
    <w:rsid w:val="00DF557D"/>
    <w:rsid w:val="00DF5621"/>
    <w:rsid w:val="00DF5724"/>
    <w:rsid w:val="00DF57B2"/>
    <w:rsid w:val="00DF5889"/>
    <w:rsid w:val="00DF588F"/>
    <w:rsid w:val="00DF5A67"/>
    <w:rsid w:val="00DF5B69"/>
    <w:rsid w:val="00DF5C2E"/>
    <w:rsid w:val="00DF5D9A"/>
    <w:rsid w:val="00DF5DFD"/>
    <w:rsid w:val="00DF5EB2"/>
    <w:rsid w:val="00DF5F30"/>
    <w:rsid w:val="00DF608A"/>
    <w:rsid w:val="00DF6241"/>
    <w:rsid w:val="00DF6334"/>
    <w:rsid w:val="00DF6455"/>
    <w:rsid w:val="00DF646A"/>
    <w:rsid w:val="00DF64FA"/>
    <w:rsid w:val="00DF65B7"/>
    <w:rsid w:val="00DF6638"/>
    <w:rsid w:val="00DF667F"/>
    <w:rsid w:val="00DF6702"/>
    <w:rsid w:val="00DF6709"/>
    <w:rsid w:val="00DF671F"/>
    <w:rsid w:val="00DF673B"/>
    <w:rsid w:val="00DF6A42"/>
    <w:rsid w:val="00DF6BEA"/>
    <w:rsid w:val="00DF6C06"/>
    <w:rsid w:val="00DF6D01"/>
    <w:rsid w:val="00DF6DFE"/>
    <w:rsid w:val="00DF71FB"/>
    <w:rsid w:val="00DF72C2"/>
    <w:rsid w:val="00DF72CB"/>
    <w:rsid w:val="00DF7307"/>
    <w:rsid w:val="00DF735C"/>
    <w:rsid w:val="00DF73AC"/>
    <w:rsid w:val="00DF73B1"/>
    <w:rsid w:val="00DF73EF"/>
    <w:rsid w:val="00DF74C2"/>
    <w:rsid w:val="00DF74D8"/>
    <w:rsid w:val="00DF778B"/>
    <w:rsid w:val="00DF7920"/>
    <w:rsid w:val="00DF7C2B"/>
    <w:rsid w:val="00DF7CA9"/>
    <w:rsid w:val="00DF7E15"/>
    <w:rsid w:val="00DF7E48"/>
    <w:rsid w:val="00DF7E4B"/>
    <w:rsid w:val="00DF7F14"/>
    <w:rsid w:val="00E00066"/>
    <w:rsid w:val="00E00071"/>
    <w:rsid w:val="00E000D7"/>
    <w:rsid w:val="00E00123"/>
    <w:rsid w:val="00E0022F"/>
    <w:rsid w:val="00E003B0"/>
    <w:rsid w:val="00E0047C"/>
    <w:rsid w:val="00E00495"/>
    <w:rsid w:val="00E004CE"/>
    <w:rsid w:val="00E00514"/>
    <w:rsid w:val="00E005CC"/>
    <w:rsid w:val="00E00732"/>
    <w:rsid w:val="00E00819"/>
    <w:rsid w:val="00E00955"/>
    <w:rsid w:val="00E00997"/>
    <w:rsid w:val="00E00B31"/>
    <w:rsid w:val="00E00B60"/>
    <w:rsid w:val="00E00B63"/>
    <w:rsid w:val="00E00B7C"/>
    <w:rsid w:val="00E00B8F"/>
    <w:rsid w:val="00E00B98"/>
    <w:rsid w:val="00E00C16"/>
    <w:rsid w:val="00E00D91"/>
    <w:rsid w:val="00E00DED"/>
    <w:rsid w:val="00E00E27"/>
    <w:rsid w:val="00E00E36"/>
    <w:rsid w:val="00E010C6"/>
    <w:rsid w:val="00E01101"/>
    <w:rsid w:val="00E011A3"/>
    <w:rsid w:val="00E0120A"/>
    <w:rsid w:val="00E01352"/>
    <w:rsid w:val="00E01429"/>
    <w:rsid w:val="00E01467"/>
    <w:rsid w:val="00E01592"/>
    <w:rsid w:val="00E017DF"/>
    <w:rsid w:val="00E01879"/>
    <w:rsid w:val="00E018EA"/>
    <w:rsid w:val="00E01A0D"/>
    <w:rsid w:val="00E01C90"/>
    <w:rsid w:val="00E02008"/>
    <w:rsid w:val="00E0209D"/>
    <w:rsid w:val="00E021C5"/>
    <w:rsid w:val="00E02469"/>
    <w:rsid w:val="00E029B4"/>
    <w:rsid w:val="00E02A17"/>
    <w:rsid w:val="00E02B3D"/>
    <w:rsid w:val="00E02BAC"/>
    <w:rsid w:val="00E02BB8"/>
    <w:rsid w:val="00E02C73"/>
    <w:rsid w:val="00E02C76"/>
    <w:rsid w:val="00E02EB9"/>
    <w:rsid w:val="00E02F65"/>
    <w:rsid w:val="00E02FBC"/>
    <w:rsid w:val="00E0315C"/>
    <w:rsid w:val="00E03240"/>
    <w:rsid w:val="00E03407"/>
    <w:rsid w:val="00E03433"/>
    <w:rsid w:val="00E0349C"/>
    <w:rsid w:val="00E035E7"/>
    <w:rsid w:val="00E03860"/>
    <w:rsid w:val="00E03A5C"/>
    <w:rsid w:val="00E03A93"/>
    <w:rsid w:val="00E03AC8"/>
    <w:rsid w:val="00E03CB9"/>
    <w:rsid w:val="00E03CE6"/>
    <w:rsid w:val="00E03D82"/>
    <w:rsid w:val="00E03FBD"/>
    <w:rsid w:val="00E04023"/>
    <w:rsid w:val="00E041DD"/>
    <w:rsid w:val="00E041F2"/>
    <w:rsid w:val="00E0439F"/>
    <w:rsid w:val="00E04541"/>
    <w:rsid w:val="00E0460B"/>
    <w:rsid w:val="00E04623"/>
    <w:rsid w:val="00E046A2"/>
    <w:rsid w:val="00E0470B"/>
    <w:rsid w:val="00E04718"/>
    <w:rsid w:val="00E0478E"/>
    <w:rsid w:val="00E04831"/>
    <w:rsid w:val="00E048AF"/>
    <w:rsid w:val="00E049A3"/>
    <w:rsid w:val="00E04ABA"/>
    <w:rsid w:val="00E04B98"/>
    <w:rsid w:val="00E04C28"/>
    <w:rsid w:val="00E04C88"/>
    <w:rsid w:val="00E04CED"/>
    <w:rsid w:val="00E04CF5"/>
    <w:rsid w:val="00E04F4E"/>
    <w:rsid w:val="00E0504E"/>
    <w:rsid w:val="00E052BA"/>
    <w:rsid w:val="00E052FD"/>
    <w:rsid w:val="00E05612"/>
    <w:rsid w:val="00E056B0"/>
    <w:rsid w:val="00E0570C"/>
    <w:rsid w:val="00E0583F"/>
    <w:rsid w:val="00E059CD"/>
    <w:rsid w:val="00E05BCE"/>
    <w:rsid w:val="00E05C18"/>
    <w:rsid w:val="00E05D2D"/>
    <w:rsid w:val="00E05D5F"/>
    <w:rsid w:val="00E05FAA"/>
    <w:rsid w:val="00E05FDC"/>
    <w:rsid w:val="00E0608B"/>
    <w:rsid w:val="00E0618D"/>
    <w:rsid w:val="00E061FE"/>
    <w:rsid w:val="00E0626C"/>
    <w:rsid w:val="00E06312"/>
    <w:rsid w:val="00E0640F"/>
    <w:rsid w:val="00E06512"/>
    <w:rsid w:val="00E0664A"/>
    <w:rsid w:val="00E06775"/>
    <w:rsid w:val="00E06785"/>
    <w:rsid w:val="00E067A0"/>
    <w:rsid w:val="00E06834"/>
    <w:rsid w:val="00E06964"/>
    <w:rsid w:val="00E0697F"/>
    <w:rsid w:val="00E06A07"/>
    <w:rsid w:val="00E06B62"/>
    <w:rsid w:val="00E06D3D"/>
    <w:rsid w:val="00E06D57"/>
    <w:rsid w:val="00E07089"/>
    <w:rsid w:val="00E07404"/>
    <w:rsid w:val="00E07656"/>
    <w:rsid w:val="00E076D9"/>
    <w:rsid w:val="00E07862"/>
    <w:rsid w:val="00E078C8"/>
    <w:rsid w:val="00E079F8"/>
    <w:rsid w:val="00E07AE4"/>
    <w:rsid w:val="00E07B14"/>
    <w:rsid w:val="00E07B31"/>
    <w:rsid w:val="00E07B61"/>
    <w:rsid w:val="00E07B66"/>
    <w:rsid w:val="00E07C68"/>
    <w:rsid w:val="00E07F9C"/>
    <w:rsid w:val="00E07FA3"/>
    <w:rsid w:val="00E100E4"/>
    <w:rsid w:val="00E10121"/>
    <w:rsid w:val="00E1040A"/>
    <w:rsid w:val="00E1042A"/>
    <w:rsid w:val="00E104A6"/>
    <w:rsid w:val="00E1061B"/>
    <w:rsid w:val="00E10731"/>
    <w:rsid w:val="00E1073C"/>
    <w:rsid w:val="00E1083C"/>
    <w:rsid w:val="00E10B81"/>
    <w:rsid w:val="00E10BEB"/>
    <w:rsid w:val="00E10CB8"/>
    <w:rsid w:val="00E10E79"/>
    <w:rsid w:val="00E10F03"/>
    <w:rsid w:val="00E10F57"/>
    <w:rsid w:val="00E10F96"/>
    <w:rsid w:val="00E10FD3"/>
    <w:rsid w:val="00E11073"/>
    <w:rsid w:val="00E110B5"/>
    <w:rsid w:val="00E11384"/>
    <w:rsid w:val="00E113D9"/>
    <w:rsid w:val="00E113FD"/>
    <w:rsid w:val="00E11466"/>
    <w:rsid w:val="00E11657"/>
    <w:rsid w:val="00E11AC2"/>
    <w:rsid w:val="00E11AEA"/>
    <w:rsid w:val="00E11B2F"/>
    <w:rsid w:val="00E11C32"/>
    <w:rsid w:val="00E11CB1"/>
    <w:rsid w:val="00E11CFC"/>
    <w:rsid w:val="00E11D10"/>
    <w:rsid w:val="00E11D50"/>
    <w:rsid w:val="00E11D6B"/>
    <w:rsid w:val="00E11E3C"/>
    <w:rsid w:val="00E12014"/>
    <w:rsid w:val="00E120BE"/>
    <w:rsid w:val="00E120D6"/>
    <w:rsid w:val="00E122A0"/>
    <w:rsid w:val="00E122A8"/>
    <w:rsid w:val="00E12474"/>
    <w:rsid w:val="00E125DB"/>
    <w:rsid w:val="00E12696"/>
    <w:rsid w:val="00E12878"/>
    <w:rsid w:val="00E12888"/>
    <w:rsid w:val="00E128EF"/>
    <w:rsid w:val="00E12977"/>
    <w:rsid w:val="00E1298C"/>
    <w:rsid w:val="00E12A81"/>
    <w:rsid w:val="00E12BFA"/>
    <w:rsid w:val="00E12D94"/>
    <w:rsid w:val="00E12E28"/>
    <w:rsid w:val="00E12ECC"/>
    <w:rsid w:val="00E12ED5"/>
    <w:rsid w:val="00E12F7D"/>
    <w:rsid w:val="00E1312D"/>
    <w:rsid w:val="00E131CB"/>
    <w:rsid w:val="00E131FC"/>
    <w:rsid w:val="00E13237"/>
    <w:rsid w:val="00E133E6"/>
    <w:rsid w:val="00E13481"/>
    <w:rsid w:val="00E1381A"/>
    <w:rsid w:val="00E1388E"/>
    <w:rsid w:val="00E1389C"/>
    <w:rsid w:val="00E13AF2"/>
    <w:rsid w:val="00E13CF6"/>
    <w:rsid w:val="00E13EC9"/>
    <w:rsid w:val="00E13EE6"/>
    <w:rsid w:val="00E13FEF"/>
    <w:rsid w:val="00E13FF3"/>
    <w:rsid w:val="00E14126"/>
    <w:rsid w:val="00E14159"/>
    <w:rsid w:val="00E14234"/>
    <w:rsid w:val="00E142F1"/>
    <w:rsid w:val="00E14368"/>
    <w:rsid w:val="00E143D3"/>
    <w:rsid w:val="00E14661"/>
    <w:rsid w:val="00E1471E"/>
    <w:rsid w:val="00E14846"/>
    <w:rsid w:val="00E14935"/>
    <w:rsid w:val="00E14A33"/>
    <w:rsid w:val="00E14C93"/>
    <w:rsid w:val="00E14D4A"/>
    <w:rsid w:val="00E14FAD"/>
    <w:rsid w:val="00E150A6"/>
    <w:rsid w:val="00E150C3"/>
    <w:rsid w:val="00E15175"/>
    <w:rsid w:val="00E151BE"/>
    <w:rsid w:val="00E155F4"/>
    <w:rsid w:val="00E1561C"/>
    <w:rsid w:val="00E15721"/>
    <w:rsid w:val="00E157BE"/>
    <w:rsid w:val="00E1591D"/>
    <w:rsid w:val="00E15AA8"/>
    <w:rsid w:val="00E15B37"/>
    <w:rsid w:val="00E15C74"/>
    <w:rsid w:val="00E15D3F"/>
    <w:rsid w:val="00E15DFB"/>
    <w:rsid w:val="00E16011"/>
    <w:rsid w:val="00E1614D"/>
    <w:rsid w:val="00E161BA"/>
    <w:rsid w:val="00E161BF"/>
    <w:rsid w:val="00E1623D"/>
    <w:rsid w:val="00E16287"/>
    <w:rsid w:val="00E16339"/>
    <w:rsid w:val="00E1639C"/>
    <w:rsid w:val="00E163D1"/>
    <w:rsid w:val="00E163D9"/>
    <w:rsid w:val="00E164A2"/>
    <w:rsid w:val="00E16512"/>
    <w:rsid w:val="00E1652D"/>
    <w:rsid w:val="00E165ED"/>
    <w:rsid w:val="00E165F8"/>
    <w:rsid w:val="00E166A4"/>
    <w:rsid w:val="00E16745"/>
    <w:rsid w:val="00E16756"/>
    <w:rsid w:val="00E1686C"/>
    <w:rsid w:val="00E168E3"/>
    <w:rsid w:val="00E1695B"/>
    <w:rsid w:val="00E16985"/>
    <w:rsid w:val="00E16ABA"/>
    <w:rsid w:val="00E16C0D"/>
    <w:rsid w:val="00E16CD6"/>
    <w:rsid w:val="00E16D36"/>
    <w:rsid w:val="00E16D5D"/>
    <w:rsid w:val="00E16F1A"/>
    <w:rsid w:val="00E16F3C"/>
    <w:rsid w:val="00E16FF8"/>
    <w:rsid w:val="00E17070"/>
    <w:rsid w:val="00E17369"/>
    <w:rsid w:val="00E17525"/>
    <w:rsid w:val="00E1755A"/>
    <w:rsid w:val="00E175B1"/>
    <w:rsid w:val="00E17793"/>
    <w:rsid w:val="00E177B0"/>
    <w:rsid w:val="00E17855"/>
    <w:rsid w:val="00E178A8"/>
    <w:rsid w:val="00E1798A"/>
    <w:rsid w:val="00E179C0"/>
    <w:rsid w:val="00E17A41"/>
    <w:rsid w:val="00E17C11"/>
    <w:rsid w:val="00E17C65"/>
    <w:rsid w:val="00E17CBB"/>
    <w:rsid w:val="00E17E4F"/>
    <w:rsid w:val="00E17FA6"/>
    <w:rsid w:val="00E200B5"/>
    <w:rsid w:val="00E205E3"/>
    <w:rsid w:val="00E206B8"/>
    <w:rsid w:val="00E20815"/>
    <w:rsid w:val="00E2090E"/>
    <w:rsid w:val="00E2097A"/>
    <w:rsid w:val="00E20AD0"/>
    <w:rsid w:val="00E20E87"/>
    <w:rsid w:val="00E20FD6"/>
    <w:rsid w:val="00E21102"/>
    <w:rsid w:val="00E21112"/>
    <w:rsid w:val="00E211B4"/>
    <w:rsid w:val="00E21351"/>
    <w:rsid w:val="00E213B7"/>
    <w:rsid w:val="00E213CA"/>
    <w:rsid w:val="00E2149D"/>
    <w:rsid w:val="00E214FD"/>
    <w:rsid w:val="00E21792"/>
    <w:rsid w:val="00E217F6"/>
    <w:rsid w:val="00E21A18"/>
    <w:rsid w:val="00E21ED4"/>
    <w:rsid w:val="00E21FA1"/>
    <w:rsid w:val="00E21FAA"/>
    <w:rsid w:val="00E22054"/>
    <w:rsid w:val="00E22121"/>
    <w:rsid w:val="00E22165"/>
    <w:rsid w:val="00E2219B"/>
    <w:rsid w:val="00E221B2"/>
    <w:rsid w:val="00E22217"/>
    <w:rsid w:val="00E222B5"/>
    <w:rsid w:val="00E2231B"/>
    <w:rsid w:val="00E22341"/>
    <w:rsid w:val="00E2235A"/>
    <w:rsid w:val="00E223B4"/>
    <w:rsid w:val="00E224BD"/>
    <w:rsid w:val="00E224EC"/>
    <w:rsid w:val="00E22618"/>
    <w:rsid w:val="00E22642"/>
    <w:rsid w:val="00E22646"/>
    <w:rsid w:val="00E22685"/>
    <w:rsid w:val="00E226C4"/>
    <w:rsid w:val="00E2278B"/>
    <w:rsid w:val="00E227DA"/>
    <w:rsid w:val="00E22879"/>
    <w:rsid w:val="00E22958"/>
    <w:rsid w:val="00E22B71"/>
    <w:rsid w:val="00E22B73"/>
    <w:rsid w:val="00E22E23"/>
    <w:rsid w:val="00E23006"/>
    <w:rsid w:val="00E23133"/>
    <w:rsid w:val="00E23216"/>
    <w:rsid w:val="00E23283"/>
    <w:rsid w:val="00E234C0"/>
    <w:rsid w:val="00E23580"/>
    <w:rsid w:val="00E23586"/>
    <w:rsid w:val="00E235B6"/>
    <w:rsid w:val="00E2361B"/>
    <w:rsid w:val="00E23672"/>
    <w:rsid w:val="00E23769"/>
    <w:rsid w:val="00E237C8"/>
    <w:rsid w:val="00E238A6"/>
    <w:rsid w:val="00E23915"/>
    <w:rsid w:val="00E239F1"/>
    <w:rsid w:val="00E23BCB"/>
    <w:rsid w:val="00E23BCC"/>
    <w:rsid w:val="00E23D0C"/>
    <w:rsid w:val="00E23D7D"/>
    <w:rsid w:val="00E23F30"/>
    <w:rsid w:val="00E23FEC"/>
    <w:rsid w:val="00E240BE"/>
    <w:rsid w:val="00E24111"/>
    <w:rsid w:val="00E24134"/>
    <w:rsid w:val="00E24205"/>
    <w:rsid w:val="00E2427B"/>
    <w:rsid w:val="00E24391"/>
    <w:rsid w:val="00E243BC"/>
    <w:rsid w:val="00E243D5"/>
    <w:rsid w:val="00E243DC"/>
    <w:rsid w:val="00E245C5"/>
    <w:rsid w:val="00E24689"/>
    <w:rsid w:val="00E24902"/>
    <w:rsid w:val="00E24946"/>
    <w:rsid w:val="00E249A9"/>
    <w:rsid w:val="00E24A39"/>
    <w:rsid w:val="00E24BD2"/>
    <w:rsid w:val="00E24CB9"/>
    <w:rsid w:val="00E24CC3"/>
    <w:rsid w:val="00E24D41"/>
    <w:rsid w:val="00E24DC7"/>
    <w:rsid w:val="00E24F3C"/>
    <w:rsid w:val="00E24F7A"/>
    <w:rsid w:val="00E25015"/>
    <w:rsid w:val="00E251BB"/>
    <w:rsid w:val="00E251D7"/>
    <w:rsid w:val="00E25393"/>
    <w:rsid w:val="00E25628"/>
    <w:rsid w:val="00E25693"/>
    <w:rsid w:val="00E257ED"/>
    <w:rsid w:val="00E25848"/>
    <w:rsid w:val="00E2596F"/>
    <w:rsid w:val="00E25A20"/>
    <w:rsid w:val="00E25A22"/>
    <w:rsid w:val="00E25A68"/>
    <w:rsid w:val="00E25CE4"/>
    <w:rsid w:val="00E25CEB"/>
    <w:rsid w:val="00E25DFA"/>
    <w:rsid w:val="00E25E7A"/>
    <w:rsid w:val="00E25F6A"/>
    <w:rsid w:val="00E260CD"/>
    <w:rsid w:val="00E26256"/>
    <w:rsid w:val="00E262AA"/>
    <w:rsid w:val="00E262F2"/>
    <w:rsid w:val="00E2639B"/>
    <w:rsid w:val="00E265A8"/>
    <w:rsid w:val="00E26685"/>
    <w:rsid w:val="00E2678A"/>
    <w:rsid w:val="00E2695D"/>
    <w:rsid w:val="00E26969"/>
    <w:rsid w:val="00E26988"/>
    <w:rsid w:val="00E26A69"/>
    <w:rsid w:val="00E26B4B"/>
    <w:rsid w:val="00E26BE3"/>
    <w:rsid w:val="00E26C7F"/>
    <w:rsid w:val="00E26EDE"/>
    <w:rsid w:val="00E26FAE"/>
    <w:rsid w:val="00E2715E"/>
    <w:rsid w:val="00E273A6"/>
    <w:rsid w:val="00E273AA"/>
    <w:rsid w:val="00E27407"/>
    <w:rsid w:val="00E274C1"/>
    <w:rsid w:val="00E274E0"/>
    <w:rsid w:val="00E275E2"/>
    <w:rsid w:val="00E27702"/>
    <w:rsid w:val="00E2781A"/>
    <w:rsid w:val="00E27840"/>
    <w:rsid w:val="00E27A29"/>
    <w:rsid w:val="00E27A3F"/>
    <w:rsid w:val="00E27CDB"/>
    <w:rsid w:val="00E27E1E"/>
    <w:rsid w:val="00E27E46"/>
    <w:rsid w:val="00E27F83"/>
    <w:rsid w:val="00E30146"/>
    <w:rsid w:val="00E30182"/>
    <w:rsid w:val="00E30203"/>
    <w:rsid w:val="00E303C2"/>
    <w:rsid w:val="00E303EB"/>
    <w:rsid w:val="00E303F5"/>
    <w:rsid w:val="00E304E2"/>
    <w:rsid w:val="00E304F6"/>
    <w:rsid w:val="00E304FF"/>
    <w:rsid w:val="00E3068F"/>
    <w:rsid w:val="00E30798"/>
    <w:rsid w:val="00E307EB"/>
    <w:rsid w:val="00E3083F"/>
    <w:rsid w:val="00E30C30"/>
    <w:rsid w:val="00E30C8D"/>
    <w:rsid w:val="00E30D3C"/>
    <w:rsid w:val="00E30E7B"/>
    <w:rsid w:val="00E30EBF"/>
    <w:rsid w:val="00E30F05"/>
    <w:rsid w:val="00E30F66"/>
    <w:rsid w:val="00E3103E"/>
    <w:rsid w:val="00E31381"/>
    <w:rsid w:val="00E3145F"/>
    <w:rsid w:val="00E3169B"/>
    <w:rsid w:val="00E316A0"/>
    <w:rsid w:val="00E316D7"/>
    <w:rsid w:val="00E31768"/>
    <w:rsid w:val="00E31820"/>
    <w:rsid w:val="00E31847"/>
    <w:rsid w:val="00E31972"/>
    <w:rsid w:val="00E31A32"/>
    <w:rsid w:val="00E31C4B"/>
    <w:rsid w:val="00E31D22"/>
    <w:rsid w:val="00E31D41"/>
    <w:rsid w:val="00E31D4A"/>
    <w:rsid w:val="00E31E3E"/>
    <w:rsid w:val="00E31E40"/>
    <w:rsid w:val="00E31E71"/>
    <w:rsid w:val="00E3201D"/>
    <w:rsid w:val="00E322EE"/>
    <w:rsid w:val="00E323B9"/>
    <w:rsid w:val="00E3258C"/>
    <w:rsid w:val="00E3259C"/>
    <w:rsid w:val="00E325DE"/>
    <w:rsid w:val="00E32625"/>
    <w:rsid w:val="00E32665"/>
    <w:rsid w:val="00E3269D"/>
    <w:rsid w:val="00E326CB"/>
    <w:rsid w:val="00E326CE"/>
    <w:rsid w:val="00E3272A"/>
    <w:rsid w:val="00E32763"/>
    <w:rsid w:val="00E327B6"/>
    <w:rsid w:val="00E32AA0"/>
    <w:rsid w:val="00E32AAF"/>
    <w:rsid w:val="00E32AD6"/>
    <w:rsid w:val="00E32B30"/>
    <w:rsid w:val="00E32B6D"/>
    <w:rsid w:val="00E32BC2"/>
    <w:rsid w:val="00E32BC7"/>
    <w:rsid w:val="00E32F09"/>
    <w:rsid w:val="00E32F8B"/>
    <w:rsid w:val="00E33170"/>
    <w:rsid w:val="00E3317F"/>
    <w:rsid w:val="00E3323D"/>
    <w:rsid w:val="00E332C4"/>
    <w:rsid w:val="00E3330B"/>
    <w:rsid w:val="00E333A8"/>
    <w:rsid w:val="00E333EB"/>
    <w:rsid w:val="00E333F0"/>
    <w:rsid w:val="00E33425"/>
    <w:rsid w:val="00E3367F"/>
    <w:rsid w:val="00E33753"/>
    <w:rsid w:val="00E337CE"/>
    <w:rsid w:val="00E338BB"/>
    <w:rsid w:val="00E338C4"/>
    <w:rsid w:val="00E3399F"/>
    <w:rsid w:val="00E33A1D"/>
    <w:rsid w:val="00E33B17"/>
    <w:rsid w:val="00E33C2F"/>
    <w:rsid w:val="00E33DF0"/>
    <w:rsid w:val="00E33E3D"/>
    <w:rsid w:val="00E33E60"/>
    <w:rsid w:val="00E3411D"/>
    <w:rsid w:val="00E34207"/>
    <w:rsid w:val="00E34664"/>
    <w:rsid w:val="00E3467F"/>
    <w:rsid w:val="00E3469F"/>
    <w:rsid w:val="00E346FA"/>
    <w:rsid w:val="00E34705"/>
    <w:rsid w:val="00E347A7"/>
    <w:rsid w:val="00E34A03"/>
    <w:rsid w:val="00E34A4E"/>
    <w:rsid w:val="00E34A63"/>
    <w:rsid w:val="00E34A72"/>
    <w:rsid w:val="00E34BD6"/>
    <w:rsid w:val="00E34C3F"/>
    <w:rsid w:val="00E34CA1"/>
    <w:rsid w:val="00E34CBF"/>
    <w:rsid w:val="00E34CC6"/>
    <w:rsid w:val="00E34D22"/>
    <w:rsid w:val="00E34E3D"/>
    <w:rsid w:val="00E35093"/>
    <w:rsid w:val="00E351F0"/>
    <w:rsid w:val="00E35225"/>
    <w:rsid w:val="00E3524D"/>
    <w:rsid w:val="00E3530D"/>
    <w:rsid w:val="00E3546E"/>
    <w:rsid w:val="00E355B7"/>
    <w:rsid w:val="00E35823"/>
    <w:rsid w:val="00E35954"/>
    <w:rsid w:val="00E35A9F"/>
    <w:rsid w:val="00E35BDA"/>
    <w:rsid w:val="00E35CDD"/>
    <w:rsid w:val="00E35F28"/>
    <w:rsid w:val="00E3616E"/>
    <w:rsid w:val="00E363FD"/>
    <w:rsid w:val="00E367EE"/>
    <w:rsid w:val="00E36907"/>
    <w:rsid w:val="00E36990"/>
    <w:rsid w:val="00E369DA"/>
    <w:rsid w:val="00E36A6C"/>
    <w:rsid w:val="00E36B67"/>
    <w:rsid w:val="00E36C3A"/>
    <w:rsid w:val="00E36C66"/>
    <w:rsid w:val="00E36D09"/>
    <w:rsid w:val="00E36D6A"/>
    <w:rsid w:val="00E36DAB"/>
    <w:rsid w:val="00E36F1C"/>
    <w:rsid w:val="00E36FB9"/>
    <w:rsid w:val="00E3719B"/>
    <w:rsid w:val="00E3727A"/>
    <w:rsid w:val="00E372CB"/>
    <w:rsid w:val="00E3738E"/>
    <w:rsid w:val="00E37433"/>
    <w:rsid w:val="00E37493"/>
    <w:rsid w:val="00E37577"/>
    <w:rsid w:val="00E376A4"/>
    <w:rsid w:val="00E37A65"/>
    <w:rsid w:val="00E37AD8"/>
    <w:rsid w:val="00E37B33"/>
    <w:rsid w:val="00E37B35"/>
    <w:rsid w:val="00E37B61"/>
    <w:rsid w:val="00E37CA0"/>
    <w:rsid w:val="00E37D80"/>
    <w:rsid w:val="00E37D8B"/>
    <w:rsid w:val="00E37DE6"/>
    <w:rsid w:val="00E37E64"/>
    <w:rsid w:val="00E37EE9"/>
    <w:rsid w:val="00E4013F"/>
    <w:rsid w:val="00E402D3"/>
    <w:rsid w:val="00E40315"/>
    <w:rsid w:val="00E4041F"/>
    <w:rsid w:val="00E40472"/>
    <w:rsid w:val="00E40529"/>
    <w:rsid w:val="00E4058D"/>
    <w:rsid w:val="00E40691"/>
    <w:rsid w:val="00E406C7"/>
    <w:rsid w:val="00E406E6"/>
    <w:rsid w:val="00E406E7"/>
    <w:rsid w:val="00E40759"/>
    <w:rsid w:val="00E40861"/>
    <w:rsid w:val="00E40885"/>
    <w:rsid w:val="00E40B1B"/>
    <w:rsid w:val="00E40B35"/>
    <w:rsid w:val="00E40B59"/>
    <w:rsid w:val="00E40C10"/>
    <w:rsid w:val="00E40C15"/>
    <w:rsid w:val="00E40C2E"/>
    <w:rsid w:val="00E40C88"/>
    <w:rsid w:val="00E40C8B"/>
    <w:rsid w:val="00E40EC1"/>
    <w:rsid w:val="00E40F97"/>
    <w:rsid w:val="00E40FE2"/>
    <w:rsid w:val="00E41054"/>
    <w:rsid w:val="00E41267"/>
    <w:rsid w:val="00E41528"/>
    <w:rsid w:val="00E41589"/>
    <w:rsid w:val="00E41803"/>
    <w:rsid w:val="00E41825"/>
    <w:rsid w:val="00E41A0E"/>
    <w:rsid w:val="00E41A1A"/>
    <w:rsid w:val="00E41A69"/>
    <w:rsid w:val="00E41BC7"/>
    <w:rsid w:val="00E41F56"/>
    <w:rsid w:val="00E42073"/>
    <w:rsid w:val="00E42119"/>
    <w:rsid w:val="00E42142"/>
    <w:rsid w:val="00E4251D"/>
    <w:rsid w:val="00E4255C"/>
    <w:rsid w:val="00E428EB"/>
    <w:rsid w:val="00E429B7"/>
    <w:rsid w:val="00E429BB"/>
    <w:rsid w:val="00E42B7E"/>
    <w:rsid w:val="00E42C04"/>
    <w:rsid w:val="00E42C26"/>
    <w:rsid w:val="00E42CF9"/>
    <w:rsid w:val="00E42D28"/>
    <w:rsid w:val="00E4301C"/>
    <w:rsid w:val="00E43127"/>
    <w:rsid w:val="00E43546"/>
    <w:rsid w:val="00E437CE"/>
    <w:rsid w:val="00E437EA"/>
    <w:rsid w:val="00E4384E"/>
    <w:rsid w:val="00E4385A"/>
    <w:rsid w:val="00E4397F"/>
    <w:rsid w:val="00E439C5"/>
    <w:rsid w:val="00E439F3"/>
    <w:rsid w:val="00E43A1B"/>
    <w:rsid w:val="00E43A7D"/>
    <w:rsid w:val="00E43B21"/>
    <w:rsid w:val="00E43BDD"/>
    <w:rsid w:val="00E43EDE"/>
    <w:rsid w:val="00E43EED"/>
    <w:rsid w:val="00E43F5C"/>
    <w:rsid w:val="00E43F6B"/>
    <w:rsid w:val="00E440BE"/>
    <w:rsid w:val="00E44135"/>
    <w:rsid w:val="00E441FE"/>
    <w:rsid w:val="00E44328"/>
    <w:rsid w:val="00E44662"/>
    <w:rsid w:val="00E44780"/>
    <w:rsid w:val="00E44815"/>
    <w:rsid w:val="00E44908"/>
    <w:rsid w:val="00E449DE"/>
    <w:rsid w:val="00E44A33"/>
    <w:rsid w:val="00E44B41"/>
    <w:rsid w:val="00E44B7C"/>
    <w:rsid w:val="00E44F20"/>
    <w:rsid w:val="00E45158"/>
    <w:rsid w:val="00E45340"/>
    <w:rsid w:val="00E4535C"/>
    <w:rsid w:val="00E45384"/>
    <w:rsid w:val="00E45458"/>
    <w:rsid w:val="00E4548D"/>
    <w:rsid w:val="00E45549"/>
    <w:rsid w:val="00E45591"/>
    <w:rsid w:val="00E4568C"/>
    <w:rsid w:val="00E456A3"/>
    <w:rsid w:val="00E4573E"/>
    <w:rsid w:val="00E457A1"/>
    <w:rsid w:val="00E4588A"/>
    <w:rsid w:val="00E4588D"/>
    <w:rsid w:val="00E458B0"/>
    <w:rsid w:val="00E45916"/>
    <w:rsid w:val="00E45A02"/>
    <w:rsid w:val="00E45A58"/>
    <w:rsid w:val="00E45B14"/>
    <w:rsid w:val="00E45C6F"/>
    <w:rsid w:val="00E45D50"/>
    <w:rsid w:val="00E45DB5"/>
    <w:rsid w:val="00E45EB5"/>
    <w:rsid w:val="00E45EF3"/>
    <w:rsid w:val="00E46159"/>
    <w:rsid w:val="00E462D9"/>
    <w:rsid w:val="00E4636F"/>
    <w:rsid w:val="00E463C8"/>
    <w:rsid w:val="00E4643B"/>
    <w:rsid w:val="00E4653D"/>
    <w:rsid w:val="00E46588"/>
    <w:rsid w:val="00E465B2"/>
    <w:rsid w:val="00E465F8"/>
    <w:rsid w:val="00E46689"/>
    <w:rsid w:val="00E4695E"/>
    <w:rsid w:val="00E46A5A"/>
    <w:rsid w:val="00E46A6E"/>
    <w:rsid w:val="00E46A8C"/>
    <w:rsid w:val="00E46ACD"/>
    <w:rsid w:val="00E46B3A"/>
    <w:rsid w:val="00E46B69"/>
    <w:rsid w:val="00E46BF5"/>
    <w:rsid w:val="00E46C4B"/>
    <w:rsid w:val="00E46DB5"/>
    <w:rsid w:val="00E46DE5"/>
    <w:rsid w:val="00E46ECB"/>
    <w:rsid w:val="00E46FCF"/>
    <w:rsid w:val="00E47123"/>
    <w:rsid w:val="00E47149"/>
    <w:rsid w:val="00E471C2"/>
    <w:rsid w:val="00E4721B"/>
    <w:rsid w:val="00E472CA"/>
    <w:rsid w:val="00E4735E"/>
    <w:rsid w:val="00E4739F"/>
    <w:rsid w:val="00E474CC"/>
    <w:rsid w:val="00E47611"/>
    <w:rsid w:val="00E47615"/>
    <w:rsid w:val="00E47700"/>
    <w:rsid w:val="00E477A8"/>
    <w:rsid w:val="00E477CC"/>
    <w:rsid w:val="00E477D3"/>
    <w:rsid w:val="00E478AE"/>
    <w:rsid w:val="00E479E3"/>
    <w:rsid w:val="00E47A93"/>
    <w:rsid w:val="00E47C6E"/>
    <w:rsid w:val="00E47C83"/>
    <w:rsid w:val="00E47C90"/>
    <w:rsid w:val="00E47CEE"/>
    <w:rsid w:val="00E47F27"/>
    <w:rsid w:val="00E50047"/>
    <w:rsid w:val="00E501A7"/>
    <w:rsid w:val="00E502F8"/>
    <w:rsid w:val="00E504BD"/>
    <w:rsid w:val="00E505B7"/>
    <w:rsid w:val="00E506D0"/>
    <w:rsid w:val="00E507AA"/>
    <w:rsid w:val="00E507BC"/>
    <w:rsid w:val="00E50862"/>
    <w:rsid w:val="00E508F8"/>
    <w:rsid w:val="00E50902"/>
    <w:rsid w:val="00E50B19"/>
    <w:rsid w:val="00E50C72"/>
    <w:rsid w:val="00E5100C"/>
    <w:rsid w:val="00E51196"/>
    <w:rsid w:val="00E5127D"/>
    <w:rsid w:val="00E51354"/>
    <w:rsid w:val="00E51395"/>
    <w:rsid w:val="00E514B0"/>
    <w:rsid w:val="00E5152A"/>
    <w:rsid w:val="00E515D0"/>
    <w:rsid w:val="00E51626"/>
    <w:rsid w:val="00E51713"/>
    <w:rsid w:val="00E51723"/>
    <w:rsid w:val="00E5179A"/>
    <w:rsid w:val="00E5179E"/>
    <w:rsid w:val="00E517BA"/>
    <w:rsid w:val="00E51858"/>
    <w:rsid w:val="00E5186F"/>
    <w:rsid w:val="00E5190A"/>
    <w:rsid w:val="00E51BD8"/>
    <w:rsid w:val="00E51C6A"/>
    <w:rsid w:val="00E51D47"/>
    <w:rsid w:val="00E51F6D"/>
    <w:rsid w:val="00E5204B"/>
    <w:rsid w:val="00E5223B"/>
    <w:rsid w:val="00E52291"/>
    <w:rsid w:val="00E522F0"/>
    <w:rsid w:val="00E525D9"/>
    <w:rsid w:val="00E525E1"/>
    <w:rsid w:val="00E52739"/>
    <w:rsid w:val="00E52808"/>
    <w:rsid w:val="00E529C5"/>
    <w:rsid w:val="00E52C48"/>
    <w:rsid w:val="00E52D5F"/>
    <w:rsid w:val="00E52DD5"/>
    <w:rsid w:val="00E52F24"/>
    <w:rsid w:val="00E53037"/>
    <w:rsid w:val="00E53108"/>
    <w:rsid w:val="00E53215"/>
    <w:rsid w:val="00E532CA"/>
    <w:rsid w:val="00E5348B"/>
    <w:rsid w:val="00E535B0"/>
    <w:rsid w:val="00E53612"/>
    <w:rsid w:val="00E53664"/>
    <w:rsid w:val="00E53667"/>
    <w:rsid w:val="00E536F5"/>
    <w:rsid w:val="00E5375C"/>
    <w:rsid w:val="00E5389E"/>
    <w:rsid w:val="00E5391C"/>
    <w:rsid w:val="00E5394C"/>
    <w:rsid w:val="00E539F9"/>
    <w:rsid w:val="00E53A0E"/>
    <w:rsid w:val="00E53A89"/>
    <w:rsid w:val="00E53B65"/>
    <w:rsid w:val="00E53C80"/>
    <w:rsid w:val="00E53CF4"/>
    <w:rsid w:val="00E53EC6"/>
    <w:rsid w:val="00E53F1F"/>
    <w:rsid w:val="00E53F6C"/>
    <w:rsid w:val="00E54057"/>
    <w:rsid w:val="00E54102"/>
    <w:rsid w:val="00E5415E"/>
    <w:rsid w:val="00E542D9"/>
    <w:rsid w:val="00E54334"/>
    <w:rsid w:val="00E54382"/>
    <w:rsid w:val="00E5445D"/>
    <w:rsid w:val="00E54972"/>
    <w:rsid w:val="00E5498D"/>
    <w:rsid w:val="00E549EB"/>
    <w:rsid w:val="00E54AC3"/>
    <w:rsid w:val="00E54ACE"/>
    <w:rsid w:val="00E54B04"/>
    <w:rsid w:val="00E54B45"/>
    <w:rsid w:val="00E54B72"/>
    <w:rsid w:val="00E54C74"/>
    <w:rsid w:val="00E54E92"/>
    <w:rsid w:val="00E54EC3"/>
    <w:rsid w:val="00E54F23"/>
    <w:rsid w:val="00E54F96"/>
    <w:rsid w:val="00E55099"/>
    <w:rsid w:val="00E5509E"/>
    <w:rsid w:val="00E55150"/>
    <w:rsid w:val="00E55156"/>
    <w:rsid w:val="00E55158"/>
    <w:rsid w:val="00E5538D"/>
    <w:rsid w:val="00E5546E"/>
    <w:rsid w:val="00E55537"/>
    <w:rsid w:val="00E5555A"/>
    <w:rsid w:val="00E558F1"/>
    <w:rsid w:val="00E5593A"/>
    <w:rsid w:val="00E55A37"/>
    <w:rsid w:val="00E55A6C"/>
    <w:rsid w:val="00E55A72"/>
    <w:rsid w:val="00E55AD4"/>
    <w:rsid w:val="00E55B05"/>
    <w:rsid w:val="00E55B27"/>
    <w:rsid w:val="00E55C28"/>
    <w:rsid w:val="00E55CC7"/>
    <w:rsid w:val="00E55D43"/>
    <w:rsid w:val="00E55D5A"/>
    <w:rsid w:val="00E55D9A"/>
    <w:rsid w:val="00E56005"/>
    <w:rsid w:val="00E5616C"/>
    <w:rsid w:val="00E56291"/>
    <w:rsid w:val="00E56340"/>
    <w:rsid w:val="00E5636B"/>
    <w:rsid w:val="00E56413"/>
    <w:rsid w:val="00E56445"/>
    <w:rsid w:val="00E564D8"/>
    <w:rsid w:val="00E5653F"/>
    <w:rsid w:val="00E56787"/>
    <w:rsid w:val="00E567B2"/>
    <w:rsid w:val="00E5681D"/>
    <w:rsid w:val="00E568E1"/>
    <w:rsid w:val="00E56A3B"/>
    <w:rsid w:val="00E56A3C"/>
    <w:rsid w:val="00E56AE2"/>
    <w:rsid w:val="00E56AF3"/>
    <w:rsid w:val="00E56B20"/>
    <w:rsid w:val="00E56BE1"/>
    <w:rsid w:val="00E56C70"/>
    <w:rsid w:val="00E56D4C"/>
    <w:rsid w:val="00E56D4D"/>
    <w:rsid w:val="00E56DB9"/>
    <w:rsid w:val="00E56F08"/>
    <w:rsid w:val="00E56FBB"/>
    <w:rsid w:val="00E5705E"/>
    <w:rsid w:val="00E57224"/>
    <w:rsid w:val="00E572CC"/>
    <w:rsid w:val="00E57356"/>
    <w:rsid w:val="00E5744E"/>
    <w:rsid w:val="00E5759D"/>
    <w:rsid w:val="00E577D3"/>
    <w:rsid w:val="00E578E5"/>
    <w:rsid w:val="00E57959"/>
    <w:rsid w:val="00E5795C"/>
    <w:rsid w:val="00E5798A"/>
    <w:rsid w:val="00E57A4A"/>
    <w:rsid w:val="00E57AB3"/>
    <w:rsid w:val="00E57BBD"/>
    <w:rsid w:val="00E57BF0"/>
    <w:rsid w:val="00E57D2F"/>
    <w:rsid w:val="00E57F33"/>
    <w:rsid w:val="00E60008"/>
    <w:rsid w:val="00E60050"/>
    <w:rsid w:val="00E60437"/>
    <w:rsid w:val="00E60457"/>
    <w:rsid w:val="00E606A3"/>
    <w:rsid w:val="00E6074A"/>
    <w:rsid w:val="00E60935"/>
    <w:rsid w:val="00E60ADC"/>
    <w:rsid w:val="00E60BFA"/>
    <w:rsid w:val="00E60CAE"/>
    <w:rsid w:val="00E60D62"/>
    <w:rsid w:val="00E60F5E"/>
    <w:rsid w:val="00E61488"/>
    <w:rsid w:val="00E61715"/>
    <w:rsid w:val="00E61779"/>
    <w:rsid w:val="00E61793"/>
    <w:rsid w:val="00E6184E"/>
    <w:rsid w:val="00E618C1"/>
    <w:rsid w:val="00E618E5"/>
    <w:rsid w:val="00E61940"/>
    <w:rsid w:val="00E61A41"/>
    <w:rsid w:val="00E61AB6"/>
    <w:rsid w:val="00E61BE9"/>
    <w:rsid w:val="00E61CA2"/>
    <w:rsid w:val="00E61D73"/>
    <w:rsid w:val="00E61E28"/>
    <w:rsid w:val="00E61F19"/>
    <w:rsid w:val="00E620A7"/>
    <w:rsid w:val="00E620F9"/>
    <w:rsid w:val="00E62413"/>
    <w:rsid w:val="00E62501"/>
    <w:rsid w:val="00E6252D"/>
    <w:rsid w:val="00E6254B"/>
    <w:rsid w:val="00E625F7"/>
    <w:rsid w:val="00E6262B"/>
    <w:rsid w:val="00E6275A"/>
    <w:rsid w:val="00E627E9"/>
    <w:rsid w:val="00E628D2"/>
    <w:rsid w:val="00E629DA"/>
    <w:rsid w:val="00E62A45"/>
    <w:rsid w:val="00E62D38"/>
    <w:rsid w:val="00E62F21"/>
    <w:rsid w:val="00E63060"/>
    <w:rsid w:val="00E6319F"/>
    <w:rsid w:val="00E631AE"/>
    <w:rsid w:val="00E632BE"/>
    <w:rsid w:val="00E63369"/>
    <w:rsid w:val="00E6349A"/>
    <w:rsid w:val="00E634BA"/>
    <w:rsid w:val="00E63548"/>
    <w:rsid w:val="00E6360E"/>
    <w:rsid w:val="00E6361C"/>
    <w:rsid w:val="00E63B93"/>
    <w:rsid w:val="00E63BD1"/>
    <w:rsid w:val="00E63C61"/>
    <w:rsid w:val="00E63D71"/>
    <w:rsid w:val="00E63E2B"/>
    <w:rsid w:val="00E63E9B"/>
    <w:rsid w:val="00E640E5"/>
    <w:rsid w:val="00E64161"/>
    <w:rsid w:val="00E64172"/>
    <w:rsid w:val="00E641D9"/>
    <w:rsid w:val="00E64265"/>
    <w:rsid w:val="00E642F6"/>
    <w:rsid w:val="00E64337"/>
    <w:rsid w:val="00E6453A"/>
    <w:rsid w:val="00E6455A"/>
    <w:rsid w:val="00E6458C"/>
    <w:rsid w:val="00E64616"/>
    <w:rsid w:val="00E646D1"/>
    <w:rsid w:val="00E6476E"/>
    <w:rsid w:val="00E649A7"/>
    <w:rsid w:val="00E64BBA"/>
    <w:rsid w:val="00E64C66"/>
    <w:rsid w:val="00E64DA7"/>
    <w:rsid w:val="00E64DD6"/>
    <w:rsid w:val="00E64FC2"/>
    <w:rsid w:val="00E64FDB"/>
    <w:rsid w:val="00E65005"/>
    <w:rsid w:val="00E651DA"/>
    <w:rsid w:val="00E6524D"/>
    <w:rsid w:val="00E652C9"/>
    <w:rsid w:val="00E652F8"/>
    <w:rsid w:val="00E65361"/>
    <w:rsid w:val="00E653A7"/>
    <w:rsid w:val="00E6556B"/>
    <w:rsid w:val="00E65713"/>
    <w:rsid w:val="00E657BE"/>
    <w:rsid w:val="00E659A4"/>
    <w:rsid w:val="00E65A0F"/>
    <w:rsid w:val="00E65A22"/>
    <w:rsid w:val="00E65AEC"/>
    <w:rsid w:val="00E65B0E"/>
    <w:rsid w:val="00E65D05"/>
    <w:rsid w:val="00E66020"/>
    <w:rsid w:val="00E66137"/>
    <w:rsid w:val="00E661C0"/>
    <w:rsid w:val="00E663E5"/>
    <w:rsid w:val="00E663F5"/>
    <w:rsid w:val="00E6643D"/>
    <w:rsid w:val="00E664AD"/>
    <w:rsid w:val="00E664D1"/>
    <w:rsid w:val="00E664D9"/>
    <w:rsid w:val="00E66608"/>
    <w:rsid w:val="00E667F6"/>
    <w:rsid w:val="00E6683B"/>
    <w:rsid w:val="00E668D5"/>
    <w:rsid w:val="00E6696E"/>
    <w:rsid w:val="00E66A5C"/>
    <w:rsid w:val="00E66BA6"/>
    <w:rsid w:val="00E67012"/>
    <w:rsid w:val="00E6713E"/>
    <w:rsid w:val="00E6720A"/>
    <w:rsid w:val="00E67280"/>
    <w:rsid w:val="00E67308"/>
    <w:rsid w:val="00E67573"/>
    <w:rsid w:val="00E677EE"/>
    <w:rsid w:val="00E678E1"/>
    <w:rsid w:val="00E67986"/>
    <w:rsid w:val="00E67A76"/>
    <w:rsid w:val="00E67B07"/>
    <w:rsid w:val="00E67CE7"/>
    <w:rsid w:val="00E67D43"/>
    <w:rsid w:val="00E67E2D"/>
    <w:rsid w:val="00E7013C"/>
    <w:rsid w:val="00E70148"/>
    <w:rsid w:val="00E701D2"/>
    <w:rsid w:val="00E70235"/>
    <w:rsid w:val="00E702B4"/>
    <w:rsid w:val="00E702BA"/>
    <w:rsid w:val="00E70448"/>
    <w:rsid w:val="00E706CE"/>
    <w:rsid w:val="00E70772"/>
    <w:rsid w:val="00E70819"/>
    <w:rsid w:val="00E7086E"/>
    <w:rsid w:val="00E70949"/>
    <w:rsid w:val="00E70B3D"/>
    <w:rsid w:val="00E70CAC"/>
    <w:rsid w:val="00E70CD3"/>
    <w:rsid w:val="00E70E92"/>
    <w:rsid w:val="00E70ED0"/>
    <w:rsid w:val="00E710BB"/>
    <w:rsid w:val="00E7129F"/>
    <w:rsid w:val="00E712E0"/>
    <w:rsid w:val="00E71797"/>
    <w:rsid w:val="00E718C1"/>
    <w:rsid w:val="00E71930"/>
    <w:rsid w:val="00E71A49"/>
    <w:rsid w:val="00E71A90"/>
    <w:rsid w:val="00E71AB9"/>
    <w:rsid w:val="00E71B0A"/>
    <w:rsid w:val="00E71B3E"/>
    <w:rsid w:val="00E71B55"/>
    <w:rsid w:val="00E71C97"/>
    <w:rsid w:val="00E71CC4"/>
    <w:rsid w:val="00E71DAC"/>
    <w:rsid w:val="00E72169"/>
    <w:rsid w:val="00E72338"/>
    <w:rsid w:val="00E723A4"/>
    <w:rsid w:val="00E72435"/>
    <w:rsid w:val="00E72536"/>
    <w:rsid w:val="00E72582"/>
    <w:rsid w:val="00E727AF"/>
    <w:rsid w:val="00E7283B"/>
    <w:rsid w:val="00E728DC"/>
    <w:rsid w:val="00E72A29"/>
    <w:rsid w:val="00E72A31"/>
    <w:rsid w:val="00E72BC8"/>
    <w:rsid w:val="00E72CA6"/>
    <w:rsid w:val="00E72EA5"/>
    <w:rsid w:val="00E72F4C"/>
    <w:rsid w:val="00E7307C"/>
    <w:rsid w:val="00E731AC"/>
    <w:rsid w:val="00E73650"/>
    <w:rsid w:val="00E73662"/>
    <w:rsid w:val="00E73779"/>
    <w:rsid w:val="00E73937"/>
    <w:rsid w:val="00E73985"/>
    <w:rsid w:val="00E73B1E"/>
    <w:rsid w:val="00E73C40"/>
    <w:rsid w:val="00E73CC5"/>
    <w:rsid w:val="00E73E1D"/>
    <w:rsid w:val="00E73E59"/>
    <w:rsid w:val="00E73F4E"/>
    <w:rsid w:val="00E73F7A"/>
    <w:rsid w:val="00E7405B"/>
    <w:rsid w:val="00E7409D"/>
    <w:rsid w:val="00E7412A"/>
    <w:rsid w:val="00E74470"/>
    <w:rsid w:val="00E74485"/>
    <w:rsid w:val="00E745E4"/>
    <w:rsid w:val="00E74760"/>
    <w:rsid w:val="00E747B1"/>
    <w:rsid w:val="00E7484E"/>
    <w:rsid w:val="00E74960"/>
    <w:rsid w:val="00E74AAF"/>
    <w:rsid w:val="00E74B16"/>
    <w:rsid w:val="00E74B45"/>
    <w:rsid w:val="00E74C71"/>
    <w:rsid w:val="00E74D93"/>
    <w:rsid w:val="00E74FB7"/>
    <w:rsid w:val="00E74FDB"/>
    <w:rsid w:val="00E75084"/>
    <w:rsid w:val="00E75397"/>
    <w:rsid w:val="00E75457"/>
    <w:rsid w:val="00E7563B"/>
    <w:rsid w:val="00E75685"/>
    <w:rsid w:val="00E756BF"/>
    <w:rsid w:val="00E75883"/>
    <w:rsid w:val="00E75886"/>
    <w:rsid w:val="00E758F2"/>
    <w:rsid w:val="00E759D8"/>
    <w:rsid w:val="00E75BF2"/>
    <w:rsid w:val="00E75F67"/>
    <w:rsid w:val="00E761CA"/>
    <w:rsid w:val="00E763A6"/>
    <w:rsid w:val="00E76403"/>
    <w:rsid w:val="00E76563"/>
    <w:rsid w:val="00E76950"/>
    <w:rsid w:val="00E7696B"/>
    <w:rsid w:val="00E76B2C"/>
    <w:rsid w:val="00E76B2F"/>
    <w:rsid w:val="00E76C3E"/>
    <w:rsid w:val="00E76CCE"/>
    <w:rsid w:val="00E76E28"/>
    <w:rsid w:val="00E76E67"/>
    <w:rsid w:val="00E76E78"/>
    <w:rsid w:val="00E76FE1"/>
    <w:rsid w:val="00E77059"/>
    <w:rsid w:val="00E7705B"/>
    <w:rsid w:val="00E770F3"/>
    <w:rsid w:val="00E771BC"/>
    <w:rsid w:val="00E7722C"/>
    <w:rsid w:val="00E7735C"/>
    <w:rsid w:val="00E7748D"/>
    <w:rsid w:val="00E7752E"/>
    <w:rsid w:val="00E77580"/>
    <w:rsid w:val="00E7758B"/>
    <w:rsid w:val="00E776CF"/>
    <w:rsid w:val="00E7777F"/>
    <w:rsid w:val="00E77843"/>
    <w:rsid w:val="00E7793C"/>
    <w:rsid w:val="00E77B4B"/>
    <w:rsid w:val="00E77C9B"/>
    <w:rsid w:val="00E77ECF"/>
    <w:rsid w:val="00E77ED2"/>
    <w:rsid w:val="00E77EEA"/>
    <w:rsid w:val="00E77F0C"/>
    <w:rsid w:val="00E800F2"/>
    <w:rsid w:val="00E802E6"/>
    <w:rsid w:val="00E803CA"/>
    <w:rsid w:val="00E80558"/>
    <w:rsid w:val="00E80585"/>
    <w:rsid w:val="00E80642"/>
    <w:rsid w:val="00E80731"/>
    <w:rsid w:val="00E807C4"/>
    <w:rsid w:val="00E80A02"/>
    <w:rsid w:val="00E80B10"/>
    <w:rsid w:val="00E80B44"/>
    <w:rsid w:val="00E80B48"/>
    <w:rsid w:val="00E80BD7"/>
    <w:rsid w:val="00E80C71"/>
    <w:rsid w:val="00E80DDC"/>
    <w:rsid w:val="00E80DEE"/>
    <w:rsid w:val="00E80E6E"/>
    <w:rsid w:val="00E80E9E"/>
    <w:rsid w:val="00E80ECE"/>
    <w:rsid w:val="00E80FC5"/>
    <w:rsid w:val="00E811C7"/>
    <w:rsid w:val="00E8123C"/>
    <w:rsid w:val="00E81255"/>
    <w:rsid w:val="00E812CF"/>
    <w:rsid w:val="00E812F9"/>
    <w:rsid w:val="00E815E5"/>
    <w:rsid w:val="00E8161B"/>
    <w:rsid w:val="00E81621"/>
    <w:rsid w:val="00E816BD"/>
    <w:rsid w:val="00E816D6"/>
    <w:rsid w:val="00E817A8"/>
    <w:rsid w:val="00E81847"/>
    <w:rsid w:val="00E81A51"/>
    <w:rsid w:val="00E81AF6"/>
    <w:rsid w:val="00E81C31"/>
    <w:rsid w:val="00E81D80"/>
    <w:rsid w:val="00E81E7C"/>
    <w:rsid w:val="00E82139"/>
    <w:rsid w:val="00E82266"/>
    <w:rsid w:val="00E82370"/>
    <w:rsid w:val="00E823B2"/>
    <w:rsid w:val="00E82408"/>
    <w:rsid w:val="00E82544"/>
    <w:rsid w:val="00E82582"/>
    <w:rsid w:val="00E82718"/>
    <w:rsid w:val="00E82733"/>
    <w:rsid w:val="00E82826"/>
    <w:rsid w:val="00E82896"/>
    <w:rsid w:val="00E829F3"/>
    <w:rsid w:val="00E82ADA"/>
    <w:rsid w:val="00E82B6D"/>
    <w:rsid w:val="00E82BCB"/>
    <w:rsid w:val="00E82CF6"/>
    <w:rsid w:val="00E82D7B"/>
    <w:rsid w:val="00E82EE6"/>
    <w:rsid w:val="00E82F77"/>
    <w:rsid w:val="00E8304B"/>
    <w:rsid w:val="00E830E9"/>
    <w:rsid w:val="00E8310E"/>
    <w:rsid w:val="00E83116"/>
    <w:rsid w:val="00E832A4"/>
    <w:rsid w:val="00E8333E"/>
    <w:rsid w:val="00E833BA"/>
    <w:rsid w:val="00E83427"/>
    <w:rsid w:val="00E83429"/>
    <w:rsid w:val="00E83431"/>
    <w:rsid w:val="00E8349F"/>
    <w:rsid w:val="00E835AB"/>
    <w:rsid w:val="00E83698"/>
    <w:rsid w:val="00E8375C"/>
    <w:rsid w:val="00E8376B"/>
    <w:rsid w:val="00E83775"/>
    <w:rsid w:val="00E837FC"/>
    <w:rsid w:val="00E839B1"/>
    <w:rsid w:val="00E83A25"/>
    <w:rsid w:val="00E83B22"/>
    <w:rsid w:val="00E83E68"/>
    <w:rsid w:val="00E83EA8"/>
    <w:rsid w:val="00E83F78"/>
    <w:rsid w:val="00E84083"/>
    <w:rsid w:val="00E8415D"/>
    <w:rsid w:val="00E842B0"/>
    <w:rsid w:val="00E8448A"/>
    <w:rsid w:val="00E84694"/>
    <w:rsid w:val="00E846B8"/>
    <w:rsid w:val="00E846BB"/>
    <w:rsid w:val="00E84723"/>
    <w:rsid w:val="00E8472F"/>
    <w:rsid w:val="00E84771"/>
    <w:rsid w:val="00E847D0"/>
    <w:rsid w:val="00E848BA"/>
    <w:rsid w:val="00E84AB3"/>
    <w:rsid w:val="00E84B4B"/>
    <w:rsid w:val="00E84E4D"/>
    <w:rsid w:val="00E84ED0"/>
    <w:rsid w:val="00E84F88"/>
    <w:rsid w:val="00E85001"/>
    <w:rsid w:val="00E85139"/>
    <w:rsid w:val="00E85294"/>
    <w:rsid w:val="00E853F2"/>
    <w:rsid w:val="00E853FB"/>
    <w:rsid w:val="00E854BE"/>
    <w:rsid w:val="00E854C7"/>
    <w:rsid w:val="00E85544"/>
    <w:rsid w:val="00E85594"/>
    <w:rsid w:val="00E8563A"/>
    <w:rsid w:val="00E856CF"/>
    <w:rsid w:val="00E85719"/>
    <w:rsid w:val="00E8577B"/>
    <w:rsid w:val="00E85E7B"/>
    <w:rsid w:val="00E85EE9"/>
    <w:rsid w:val="00E8625E"/>
    <w:rsid w:val="00E86377"/>
    <w:rsid w:val="00E8648F"/>
    <w:rsid w:val="00E86575"/>
    <w:rsid w:val="00E866F7"/>
    <w:rsid w:val="00E86735"/>
    <w:rsid w:val="00E868D5"/>
    <w:rsid w:val="00E8695F"/>
    <w:rsid w:val="00E86A0D"/>
    <w:rsid w:val="00E86AE5"/>
    <w:rsid w:val="00E86C07"/>
    <w:rsid w:val="00E86CDE"/>
    <w:rsid w:val="00E86D21"/>
    <w:rsid w:val="00E86DF4"/>
    <w:rsid w:val="00E86F8D"/>
    <w:rsid w:val="00E87240"/>
    <w:rsid w:val="00E87492"/>
    <w:rsid w:val="00E87505"/>
    <w:rsid w:val="00E875D8"/>
    <w:rsid w:val="00E879E9"/>
    <w:rsid w:val="00E87CC9"/>
    <w:rsid w:val="00E87D06"/>
    <w:rsid w:val="00E87D8B"/>
    <w:rsid w:val="00E87E47"/>
    <w:rsid w:val="00E87E6A"/>
    <w:rsid w:val="00E87F54"/>
    <w:rsid w:val="00E90011"/>
    <w:rsid w:val="00E901C5"/>
    <w:rsid w:val="00E90214"/>
    <w:rsid w:val="00E903B9"/>
    <w:rsid w:val="00E903FA"/>
    <w:rsid w:val="00E90420"/>
    <w:rsid w:val="00E9071A"/>
    <w:rsid w:val="00E9096D"/>
    <w:rsid w:val="00E909C7"/>
    <w:rsid w:val="00E90A63"/>
    <w:rsid w:val="00E90AEC"/>
    <w:rsid w:val="00E90BE8"/>
    <w:rsid w:val="00E90F25"/>
    <w:rsid w:val="00E91148"/>
    <w:rsid w:val="00E91251"/>
    <w:rsid w:val="00E91442"/>
    <w:rsid w:val="00E91587"/>
    <w:rsid w:val="00E915B7"/>
    <w:rsid w:val="00E915FC"/>
    <w:rsid w:val="00E91641"/>
    <w:rsid w:val="00E91792"/>
    <w:rsid w:val="00E917AA"/>
    <w:rsid w:val="00E917DE"/>
    <w:rsid w:val="00E9189E"/>
    <w:rsid w:val="00E9191C"/>
    <w:rsid w:val="00E91AEE"/>
    <w:rsid w:val="00E91C21"/>
    <w:rsid w:val="00E91CBE"/>
    <w:rsid w:val="00E91CF7"/>
    <w:rsid w:val="00E91ECB"/>
    <w:rsid w:val="00E91FDE"/>
    <w:rsid w:val="00E92243"/>
    <w:rsid w:val="00E9241C"/>
    <w:rsid w:val="00E92520"/>
    <w:rsid w:val="00E9255D"/>
    <w:rsid w:val="00E92587"/>
    <w:rsid w:val="00E92731"/>
    <w:rsid w:val="00E928B5"/>
    <w:rsid w:val="00E92945"/>
    <w:rsid w:val="00E92A87"/>
    <w:rsid w:val="00E92AA1"/>
    <w:rsid w:val="00E92B27"/>
    <w:rsid w:val="00E92CF2"/>
    <w:rsid w:val="00E92E48"/>
    <w:rsid w:val="00E92E62"/>
    <w:rsid w:val="00E92F39"/>
    <w:rsid w:val="00E92FB4"/>
    <w:rsid w:val="00E93030"/>
    <w:rsid w:val="00E930FB"/>
    <w:rsid w:val="00E93462"/>
    <w:rsid w:val="00E93586"/>
    <w:rsid w:val="00E93636"/>
    <w:rsid w:val="00E9363B"/>
    <w:rsid w:val="00E9373C"/>
    <w:rsid w:val="00E93780"/>
    <w:rsid w:val="00E938B8"/>
    <w:rsid w:val="00E93951"/>
    <w:rsid w:val="00E9399E"/>
    <w:rsid w:val="00E939A5"/>
    <w:rsid w:val="00E93AEA"/>
    <w:rsid w:val="00E93B1D"/>
    <w:rsid w:val="00E93B58"/>
    <w:rsid w:val="00E93C6C"/>
    <w:rsid w:val="00E93D45"/>
    <w:rsid w:val="00E93FE3"/>
    <w:rsid w:val="00E940B3"/>
    <w:rsid w:val="00E94152"/>
    <w:rsid w:val="00E942D1"/>
    <w:rsid w:val="00E9435A"/>
    <w:rsid w:val="00E943EE"/>
    <w:rsid w:val="00E943F0"/>
    <w:rsid w:val="00E944C4"/>
    <w:rsid w:val="00E944E3"/>
    <w:rsid w:val="00E9459D"/>
    <w:rsid w:val="00E945C6"/>
    <w:rsid w:val="00E94625"/>
    <w:rsid w:val="00E94859"/>
    <w:rsid w:val="00E94893"/>
    <w:rsid w:val="00E948EA"/>
    <w:rsid w:val="00E94978"/>
    <w:rsid w:val="00E949F6"/>
    <w:rsid w:val="00E94B53"/>
    <w:rsid w:val="00E94CDC"/>
    <w:rsid w:val="00E94D10"/>
    <w:rsid w:val="00E94D9A"/>
    <w:rsid w:val="00E94DB2"/>
    <w:rsid w:val="00E94DC6"/>
    <w:rsid w:val="00E94E0D"/>
    <w:rsid w:val="00E94E54"/>
    <w:rsid w:val="00E95155"/>
    <w:rsid w:val="00E9516D"/>
    <w:rsid w:val="00E95179"/>
    <w:rsid w:val="00E9527C"/>
    <w:rsid w:val="00E95290"/>
    <w:rsid w:val="00E952AB"/>
    <w:rsid w:val="00E9537E"/>
    <w:rsid w:val="00E9569F"/>
    <w:rsid w:val="00E956DB"/>
    <w:rsid w:val="00E957FE"/>
    <w:rsid w:val="00E95A40"/>
    <w:rsid w:val="00E95AA4"/>
    <w:rsid w:val="00E95D12"/>
    <w:rsid w:val="00E95D2A"/>
    <w:rsid w:val="00E95DC3"/>
    <w:rsid w:val="00E9602A"/>
    <w:rsid w:val="00E960C1"/>
    <w:rsid w:val="00E96166"/>
    <w:rsid w:val="00E961B8"/>
    <w:rsid w:val="00E9624B"/>
    <w:rsid w:val="00E963D7"/>
    <w:rsid w:val="00E964FB"/>
    <w:rsid w:val="00E9651A"/>
    <w:rsid w:val="00E9652D"/>
    <w:rsid w:val="00E96635"/>
    <w:rsid w:val="00E96678"/>
    <w:rsid w:val="00E966D2"/>
    <w:rsid w:val="00E96774"/>
    <w:rsid w:val="00E968C3"/>
    <w:rsid w:val="00E968EA"/>
    <w:rsid w:val="00E96A14"/>
    <w:rsid w:val="00E96A80"/>
    <w:rsid w:val="00E96AA6"/>
    <w:rsid w:val="00E96D0F"/>
    <w:rsid w:val="00E96E54"/>
    <w:rsid w:val="00E96F1B"/>
    <w:rsid w:val="00E9726F"/>
    <w:rsid w:val="00E972B0"/>
    <w:rsid w:val="00E973C0"/>
    <w:rsid w:val="00E97478"/>
    <w:rsid w:val="00E97519"/>
    <w:rsid w:val="00E97613"/>
    <w:rsid w:val="00E97652"/>
    <w:rsid w:val="00E976A7"/>
    <w:rsid w:val="00E977E3"/>
    <w:rsid w:val="00E979CF"/>
    <w:rsid w:val="00E97A1E"/>
    <w:rsid w:val="00E97BA0"/>
    <w:rsid w:val="00E97CA6"/>
    <w:rsid w:val="00E97D5A"/>
    <w:rsid w:val="00E97DC0"/>
    <w:rsid w:val="00E97E2D"/>
    <w:rsid w:val="00E97EE7"/>
    <w:rsid w:val="00E97F25"/>
    <w:rsid w:val="00EA004B"/>
    <w:rsid w:val="00EA00BC"/>
    <w:rsid w:val="00EA01C5"/>
    <w:rsid w:val="00EA04B1"/>
    <w:rsid w:val="00EA06AA"/>
    <w:rsid w:val="00EA06D2"/>
    <w:rsid w:val="00EA0790"/>
    <w:rsid w:val="00EA084F"/>
    <w:rsid w:val="00EA08EA"/>
    <w:rsid w:val="00EA0932"/>
    <w:rsid w:val="00EA0C1C"/>
    <w:rsid w:val="00EA0E0E"/>
    <w:rsid w:val="00EA0E5F"/>
    <w:rsid w:val="00EA1141"/>
    <w:rsid w:val="00EA139D"/>
    <w:rsid w:val="00EA13DC"/>
    <w:rsid w:val="00EA1579"/>
    <w:rsid w:val="00EA1665"/>
    <w:rsid w:val="00EA16B0"/>
    <w:rsid w:val="00EA17F6"/>
    <w:rsid w:val="00EA185F"/>
    <w:rsid w:val="00EA1909"/>
    <w:rsid w:val="00EA1AAD"/>
    <w:rsid w:val="00EA1BAF"/>
    <w:rsid w:val="00EA1C24"/>
    <w:rsid w:val="00EA1CA1"/>
    <w:rsid w:val="00EA1D39"/>
    <w:rsid w:val="00EA1D49"/>
    <w:rsid w:val="00EA1E1E"/>
    <w:rsid w:val="00EA1F4C"/>
    <w:rsid w:val="00EA1F90"/>
    <w:rsid w:val="00EA21F1"/>
    <w:rsid w:val="00EA22B9"/>
    <w:rsid w:val="00EA238E"/>
    <w:rsid w:val="00EA241C"/>
    <w:rsid w:val="00EA2428"/>
    <w:rsid w:val="00EA2464"/>
    <w:rsid w:val="00EA255F"/>
    <w:rsid w:val="00EA295E"/>
    <w:rsid w:val="00EA2AD9"/>
    <w:rsid w:val="00EA2BAF"/>
    <w:rsid w:val="00EA2BCB"/>
    <w:rsid w:val="00EA2BFD"/>
    <w:rsid w:val="00EA2D82"/>
    <w:rsid w:val="00EA2D87"/>
    <w:rsid w:val="00EA2ED4"/>
    <w:rsid w:val="00EA2F74"/>
    <w:rsid w:val="00EA3092"/>
    <w:rsid w:val="00EA30BB"/>
    <w:rsid w:val="00EA316B"/>
    <w:rsid w:val="00EA31F3"/>
    <w:rsid w:val="00EA32D7"/>
    <w:rsid w:val="00EA32EC"/>
    <w:rsid w:val="00EA3308"/>
    <w:rsid w:val="00EA3316"/>
    <w:rsid w:val="00EA3392"/>
    <w:rsid w:val="00EA3500"/>
    <w:rsid w:val="00EA36A5"/>
    <w:rsid w:val="00EA370E"/>
    <w:rsid w:val="00EA399B"/>
    <w:rsid w:val="00EA3A03"/>
    <w:rsid w:val="00EA3AEB"/>
    <w:rsid w:val="00EA3B3E"/>
    <w:rsid w:val="00EA3EC4"/>
    <w:rsid w:val="00EA3ED9"/>
    <w:rsid w:val="00EA3F40"/>
    <w:rsid w:val="00EA4223"/>
    <w:rsid w:val="00EA4286"/>
    <w:rsid w:val="00EA438B"/>
    <w:rsid w:val="00EA43B6"/>
    <w:rsid w:val="00EA441B"/>
    <w:rsid w:val="00EA448C"/>
    <w:rsid w:val="00EA44DF"/>
    <w:rsid w:val="00EA4533"/>
    <w:rsid w:val="00EA45C8"/>
    <w:rsid w:val="00EA45FF"/>
    <w:rsid w:val="00EA480C"/>
    <w:rsid w:val="00EA480D"/>
    <w:rsid w:val="00EA495B"/>
    <w:rsid w:val="00EA49A4"/>
    <w:rsid w:val="00EA4A51"/>
    <w:rsid w:val="00EA4AD2"/>
    <w:rsid w:val="00EA4B4A"/>
    <w:rsid w:val="00EA4B75"/>
    <w:rsid w:val="00EA4D39"/>
    <w:rsid w:val="00EA4DDD"/>
    <w:rsid w:val="00EA4E76"/>
    <w:rsid w:val="00EA4F47"/>
    <w:rsid w:val="00EA5017"/>
    <w:rsid w:val="00EA5299"/>
    <w:rsid w:val="00EA531D"/>
    <w:rsid w:val="00EA5323"/>
    <w:rsid w:val="00EA533F"/>
    <w:rsid w:val="00EA5452"/>
    <w:rsid w:val="00EA54A8"/>
    <w:rsid w:val="00EA54A9"/>
    <w:rsid w:val="00EA5BEA"/>
    <w:rsid w:val="00EA5C60"/>
    <w:rsid w:val="00EA5C68"/>
    <w:rsid w:val="00EA5E50"/>
    <w:rsid w:val="00EA5E67"/>
    <w:rsid w:val="00EA5EDE"/>
    <w:rsid w:val="00EA5F03"/>
    <w:rsid w:val="00EA5F27"/>
    <w:rsid w:val="00EA5FD5"/>
    <w:rsid w:val="00EA60A7"/>
    <w:rsid w:val="00EA61F2"/>
    <w:rsid w:val="00EA6263"/>
    <w:rsid w:val="00EA626F"/>
    <w:rsid w:val="00EA6270"/>
    <w:rsid w:val="00EA62A6"/>
    <w:rsid w:val="00EA6363"/>
    <w:rsid w:val="00EA63DF"/>
    <w:rsid w:val="00EA655B"/>
    <w:rsid w:val="00EA655F"/>
    <w:rsid w:val="00EA6701"/>
    <w:rsid w:val="00EA68D9"/>
    <w:rsid w:val="00EA6965"/>
    <w:rsid w:val="00EA69AD"/>
    <w:rsid w:val="00EA69C8"/>
    <w:rsid w:val="00EA6B0F"/>
    <w:rsid w:val="00EA6B1B"/>
    <w:rsid w:val="00EA6B3D"/>
    <w:rsid w:val="00EA6B6F"/>
    <w:rsid w:val="00EA6BA6"/>
    <w:rsid w:val="00EA6E13"/>
    <w:rsid w:val="00EA6E7D"/>
    <w:rsid w:val="00EA6EB8"/>
    <w:rsid w:val="00EA6EBA"/>
    <w:rsid w:val="00EA6EF3"/>
    <w:rsid w:val="00EA6F87"/>
    <w:rsid w:val="00EA7003"/>
    <w:rsid w:val="00EA7031"/>
    <w:rsid w:val="00EA7093"/>
    <w:rsid w:val="00EA70BF"/>
    <w:rsid w:val="00EA70CE"/>
    <w:rsid w:val="00EA70F3"/>
    <w:rsid w:val="00EA715B"/>
    <w:rsid w:val="00EA7271"/>
    <w:rsid w:val="00EA73C9"/>
    <w:rsid w:val="00EA73CD"/>
    <w:rsid w:val="00EA73F2"/>
    <w:rsid w:val="00EA749D"/>
    <w:rsid w:val="00EA7731"/>
    <w:rsid w:val="00EA7822"/>
    <w:rsid w:val="00EA7861"/>
    <w:rsid w:val="00EA797C"/>
    <w:rsid w:val="00EA79FE"/>
    <w:rsid w:val="00EA7B22"/>
    <w:rsid w:val="00EA7BE9"/>
    <w:rsid w:val="00EA7D42"/>
    <w:rsid w:val="00EA7E58"/>
    <w:rsid w:val="00EA7EF6"/>
    <w:rsid w:val="00EA7F06"/>
    <w:rsid w:val="00EB006A"/>
    <w:rsid w:val="00EB02E4"/>
    <w:rsid w:val="00EB042A"/>
    <w:rsid w:val="00EB050B"/>
    <w:rsid w:val="00EB05E7"/>
    <w:rsid w:val="00EB080E"/>
    <w:rsid w:val="00EB095C"/>
    <w:rsid w:val="00EB09FB"/>
    <w:rsid w:val="00EB0AFD"/>
    <w:rsid w:val="00EB0B45"/>
    <w:rsid w:val="00EB0E55"/>
    <w:rsid w:val="00EB0FAE"/>
    <w:rsid w:val="00EB0FCE"/>
    <w:rsid w:val="00EB1041"/>
    <w:rsid w:val="00EB108C"/>
    <w:rsid w:val="00EB119F"/>
    <w:rsid w:val="00EB129C"/>
    <w:rsid w:val="00EB12CB"/>
    <w:rsid w:val="00EB1342"/>
    <w:rsid w:val="00EB13CC"/>
    <w:rsid w:val="00EB14D6"/>
    <w:rsid w:val="00EB1618"/>
    <w:rsid w:val="00EB16CC"/>
    <w:rsid w:val="00EB178B"/>
    <w:rsid w:val="00EB186E"/>
    <w:rsid w:val="00EB1954"/>
    <w:rsid w:val="00EB19E4"/>
    <w:rsid w:val="00EB1B6F"/>
    <w:rsid w:val="00EB1CCB"/>
    <w:rsid w:val="00EB1D0C"/>
    <w:rsid w:val="00EB1E1A"/>
    <w:rsid w:val="00EB1F76"/>
    <w:rsid w:val="00EB1FC3"/>
    <w:rsid w:val="00EB208F"/>
    <w:rsid w:val="00EB2139"/>
    <w:rsid w:val="00EB220D"/>
    <w:rsid w:val="00EB227D"/>
    <w:rsid w:val="00EB22F9"/>
    <w:rsid w:val="00EB22FD"/>
    <w:rsid w:val="00EB2320"/>
    <w:rsid w:val="00EB255D"/>
    <w:rsid w:val="00EB25A8"/>
    <w:rsid w:val="00EB25C5"/>
    <w:rsid w:val="00EB2760"/>
    <w:rsid w:val="00EB2AE1"/>
    <w:rsid w:val="00EB2B19"/>
    <w:rsid w:val="00EB2B9D"/>
    <w:rsid w:val="00EB2BCC"/>
    <w:rsid w:val="00EB2CDB"/>
    <w:rsid w:val="00EB2CF9"/>
    <w:rsid w:val="00EB2DEC"/>
    <w:rsid w:val="00EB2E08"/>
    <w:rsid w:val="00EB2E15"/>
    <w:rsid w:val="00EB3087"/>
    <w:rsid w:val="00EB3123"/>
    <w:rsid w:val="00EB323C"/>
    <w:rsid w:val="00EB34AB"/>
    <w:rsid w:val="00EB34AD"/>
    <w:rsid w:val="00EB36D5"/>
    <w:rsid w:val="00EB36E9"/>
    <w:rsid w:val="00EB3866"/>
    <w:rsid w:val="00EB3906"/>
    <w:rsid w:val="00EB3922"/>
    <w:rsid w:val="00EB3AA8"/>
    <w:rsid w:val="00EB3AC4"/>
    <w:rsid w:val="00EB3B29"/>
    <w:rsid w:val="00EB3B34"/>
    <w:rsid w:val="00EB3B6B"/>
    <w:rsid w:val="00EB3BE9"/>
    <w:rsid w:val="00EB3C25"/>
    <w:rsid w:val="00EB3CCB"/>
    <w:rsid w:val="00EB3CE7"/>
    <w:rsid w:val="00EB3CF3"/>
    <w:rsid w:val="00EB3D5B"/>
    <w:rsid w:val="00EB3DD4"/>
    <w:rsid w:val="00EB3DE2"/>
    <w:rsid w:val="00EB4170"/>
    <w:rsid w:val="00EB4177"/>
    <w:rsid w:val="00EB4210"/>
    <w:rsid w:val="00EB43BD"/>
    <w:rsid w:val="00EB449D"/>
    <w:rsid w:val="00EB45F8"/>
    <w:rsid w:val="00EB4700"/>
    <w:rsid w:val="00EB4847"/>
    <w:rsid w:val="00EB493E"/>
    <w:rsid w:val="00EB4A21"/>
    <w:rsid w:val="00EB4A2F"/>
    <w:rsid w:val="00EB4AAE"/>
    <w:rsid w:val="00EB4B6A"/>
    <w:rsid w:val="00EB4C48"/>
    <w:rsid w:val="00EB4CD1"/>
    <w:rsid w:val="00EB4D4D"/>
    <w:rsid w:val="00EB4DF3"/>
    <w:rsid w:val="00EB4E0C"/>
    <w:rsid w:val="00EB502F"/>
    <w:rsid w:val="00EB5140"/>
    <w:rsid w:val="00EB5169"/>
    <w:rsid w:val="00EB52FE"/>
    <w:rsid w:val="00EB54BA"/>
    <w:rsid w:val="00EB54C4"/>
    <w:rsid w:val="00EB5510"/>
    <w:rsid w:val="00EB5577"/>
    <w:rsid w:val="00EB5693"/>
    <w:rsid w:val="00EB56B1"/>
    <w:rsid w:val="00EB59A8"/>
    <w:rsid w:val="00EB59D6"/>
    <w:rsid w:val="00EB59E2"/>
    <w:rsid w:val="00EB59E4"/>
    <w:rsid w:val="00EB5C09"/>
    <w:rsid w:val="00EB5CC1"/>
    <w:rsid w:val="00EB5D3C"/>
    <w:rsid w:val="00EB5FB8"/>
    <w:rsid w:val="00EB603B"/>
    <w:rsid w:val="00EB6070"/>
    <w:rsid w:val="00EB6110"/>
    <w:rsid w:val="00EB6347"/>
    <w:rsid w:val="00EB64C2"/>
    <w:rsid w:val="00EB6610"/>
    <w:rsid w:val="00EB666B"/>
    <w:rsid w:val="00EB6881"/>
    <w:rsid w:val="00EB6A78"/>
    <w:rsid w:val="00EB6AC6"/>
    <w:rsid w:val="00EB6B3E"/>
    <w:rsid w:val="00EB6B74"/>
    <w:rsid w:val="00EB6C6A"/>
    <w:rsid w:val="00EB6C7A"/>
    <w:rsid w:val="00EB6EDD"/>
    <w:rsid w:val="00EB7022"/>
    <w:rsid w:val="00EB712B"/>
    <w:rsid w:val="00EB725A"/>
    <w:rsid w:val="00EB735A"/>
    <w:rsid w:val="00EB7448"/>
    <w:rsid w:val="00EB74A8"/>
    <w:rsid w:val="00EB76C7"/>
    <w:rsid w:val="00EB78F2"/>
    <w:rsid w:val="00EB7A3A"/>
    <w:rsid w:val="00EB7A77"/>
    <w:rsid w:val="00EB7ACC"/>
    <w:rsid w:val="00EB7C64"/>
    <w:rsid w:val="00EB7CA6"/>
    <w:rsid w:val="00EB7CCD"/>
    <w:rsid w:val="00EB7D02"/>
    <w:rsid w:val="00EB7DA1"/>
    <w:rsid w:val="00EB7F04"/>
    <w:rsid w:val="00EB7FEF"/>
    <w:rsid w:val="00EC004E"/>
    <w:rsid w:val="00EC01A4"/>
    <w:rsid w:val="00EC0453"/>
    <w:rsid w:val="00EC04DA"/>
    <w:rsid w:val="00EC0583"/>
    <w:rsid w:val="00EC0629"/>
    <w:rsid w:val="00EC0639"/>
    <w:rsid w:val="00EC063A"/>
    <w:rsid w:val="00EC069E"/>
    <w:rsid w:val="00EC06FE"/>
    <w:rsid w:val="00EC0733"/>
    <w:rsid w:val="00EC0758"/>
    <w:rsid w:val="00EC081E"/>
    <w:rsid w:val="00EC098A"/>
    <w:rsid w:val="00EC0A1F"/>
    <w:rsid w:val="00EC0B1A"/>
    <w:rsid w:val="00EC0BDE"/>
    <w:rsid w:val="00EC0C92"/>
    <w:rsid w:val="00EC0CC4"/>
    <w:rsid w:val="00EC0E92"/>
    <w:rsid w:val="00EC10B8"/>
    <w:rsid w:val="00EC10D6"/>
    <w:rsid w:val="00EC11CD"/>
    <w:rsid w:val="00EC12C1"/>
    <w:rsid w:val="00EC135B"/>
    <w:rsid w:val="00EC13CB"/>
    <w:rsid w:val="00EC16AC"/>
    <w:rsid w:val="00EC1757"/>
    <w:rsid w:val="00EC1770"/>
    <w:rsid w:val="00EC177E"/>
    <w:rsid w:val="00EC1B0D"/>
    <w:rsid w:val="00EC1D28"/>
    <w:rsid w:val="00EC1D3F"/>
    <w:rsid w:val="00EC1DEC"/>
    <w:rsid w:val="00EC1E9F"/>
    <w:rsid w:val="00EC1F02"/>
    <w:rsid w:val="00EC2107"/>
    <w:rsid w:val="00EC24AB"/>
    <w:rsid w:val="00EC25F2"/>
    <w:rsid w:val="00EC2668"/>
    <w:rsid w:val="00EC2732"/>
    <w:rsid w:val="00EC2962"/>
    <w:rsid w:val="00EC2A1F"/>
    <w:rsid w:val="00EC2AF1"/>
    <w:rsid w:val="00EC2EDA"/>
    <w:rsid w:val="00EC3090"/>
    <w:rsid w:val="00EC30E4"/>
    <w:rsid w:val="00EC3346"/>
    <w:rsid w:val="00EC34B6"/>
    <w:rsid w:val="00EC3540"/>
    <w:rsid w:val="00EC3574"/>
    <w:rsid w:val="00EC35A0"/>
    <w:rsid w:val="00EC35C3"/>
    <w:rsid w:val="00EC35D1"/>
    <w:rsid w:val="00EC3661"/>
    <w:rsid w:val="00EC36BB"/>
    <w:rsid w:val="00EC375F"/>
    <w:rsid w:val="00EC3767"/>
    <w:rsid w:val="00EC384C"/>
    <w:rsid w:val="00EC38FC"/>
    <w:rsid w:val="00EC391F"/>
    <w:rsid w:val="00EC3A45"/>
    <w:rsid w:val="00EC3C70"/>
    <w:rsid w:val="00EC3D99"/>
    <w:rsid w:val="00EC3EEF"/>
    <w:rsid w:val="00EC3FE8"/>
    <w:rsid w:val="00EC4070"/>
    <w:rsid w:val="00EC40D7"/>
    <w:rsid w:val="00EC4185"/>
    <w:rsid w:val="00EC43C4"/>
    <w:rsid w:val="00EC44E6"/>
    <w:rsid w:val="00EC4618"/>
    <w:rsid w:val="00EC4705"/>
    <w:rsid w:val="00EC472E"/>
    <w:rsid w:val="00EC486E"/>
    <w:rsid w:val="00EC4A70"/>
    <w:rsid w:val="00EC4A9E"/>
    <w:rsid w:val="00EC4AA1"/>
    <w:rsid w:val="00EC4B97"/>
    <w:rsid w:val="00EC4BDC"/>
    <w:rsid w:val="00EC4D3A"/>
    <w:rsid w:val="00EC4D6E"/>
    <w:rsid w:val="00EC4DAA"/>
    <w:rsid w:val="00EC4EC8"/>
    <w:rsid w:val="00EC4ECB"/>
    <w:rsid w:val="00EC50D1"/>
    <w:rsid w:val="00EC522C"/>
    <w:rsid w:val="00EC5378"/>
    <w:rsid w:val="00EC544F"/>
    <w:rsid w:val="00EC5518"/>
    <w:rsid w:val="00EC551A"/>
    <w:rsid w:val="00EC55CD"/>
    <w:rsid w:val="00EC562B"/>
    <w:rsid w:val="00EC57EB"/>
    <w:rsid w:val="00EC5896"/>
    <w:rsid w:val="00EC590F"/>
    <w:rsid w:val="00EC5AB2"/>
    <w:rsid w:val="00EC5B6F"/>
    <w:rsid w:val="00EC5C96"/>
    <w:rsid w:val="00EC5CB1"/>
    <w:rsid w:val="00EC5D33"/>
    <w:rsid w:val="00EC5D3A"/>
    <w:rsid w:val="00EC5D45"/>
    <w:rsid w:val="00EC60F1"/>
    <w:rsid w:val="00EC619B"/>
    <w:rsid w:val="00EC61E9"/>
    <w:rsid w:val="00EC62F4"/>
    <w:rsid w:val="00EC639B"/>
    <w:rsid w:val="00EC63C3"/>
    <w:rsid w:val="00EC64F3"/>
    <w:rsid w:val="00EC6566"/>
    <w:rsid w:val="00EC6654"/>
    <w:rsid w:val="00EC688C"/>
    <w:rsid w:val="00EC6977"/>
    <w:rsid w:val="00EC69A1"/>
    <w:rsid w:val="00EC6A16"/>
    <w:rsid w:val="00EC6C0D"/>
    <w:rsid w:val="00EC6CCF"/>
    <w:rsid w:val="00EC6D58"/>
    <w:rsid w:val="00EC6D7D"/>
    <w:rsid w:val="00EC6F96"/>
    <w:rsid w:val="00EC701C"/>
    <w:rsid w:val="00EC7076"/>
    <w:rsid w:val="00EC70FD"/>
    <w:rsid w:val="00EC729D"/>
    <w:rsid w:val="00EC7695"/>
    <w:rsid w:val="00EC776B"/>
    <w:rsid w:val="00EC77C7"/>
    <w:rsid w:val="00EC78FD"/>
    <w:rsid w:val="00EC7901"/>
    <w:rsid w:val="00EC7919"/>
    <w:rsid w:val="00EC7C61"/>
    <w:rsid w:val="00EC7D23"/>
    <w:rsid w:val="00EC7F1F"/>
    <w:rsid w:val="00EC7F3D"/>
    <w:rsid w:val="00ED00BF"/>
    <w:rsid w:val="00ED0117"/>
    <w:rsid w:val="00ED01BA"/>
    <w:rsid w:val="00ED0265"/>
    <w:rsid w:val="00ED02A7"/>
    <w:rsid w:val="00ED0355"/>
    <w:rsid w:val="00ED0375"/>
    <w:rsid w:val="00ED03B4"/>
    <w:rsid w:val="00ED03F4"/>
    <w:rsid w:val="00ED049F"/>
    <w:rsid w:val="00ED04ED"/>
    <w:rsid w:val="00ED04F3"/>
    <w:rsid w:val="00ED05F8"/>
    <w:rsid w:val="00ED0654"/>
    <w:rsid w:val="00ED0696"/>
    <w:rsid w:val="00ED069F"/>
    <w:rsid w:val="00ED0708"/>
    <w:rsid w:val="00ED080A"/>
    <w:rsid w:val="00ED0812"/>
    <w:rsid w:val="00ED0964"/>
    <w:rsid w:val="00ED0983"/>
    <w:rsid w:val="00ED09EE"/>
    <w:rsid w:val="00ED09F8"/>
    <w:rsid w:val="00ED0A83"/>
    <w:rsid w:val="00ED0BA6"/>
    <w:rsid w:val="00ED0BAD"/>
    <w:rsid w:val="00ED0D3A"/>
    <w:rsid w:val="00ED0E54"/>
    <w:rsid w:val="00ED100F"/>
    <w:rsid w:val="00ED1279"/>
    <w:rsid w:val="00ED140C"/>
    <w:rsid w:val="00ED141E"/>
    <w:rsid w:val="00ED1453"/>
    <w:rsid w:val="00ED1527"/>
    <w:rsid w:val="00ED1543"/>
    <w:rsid w:val="00ED1597"/>
    <w:rsid w:val="00ED173D"/>
    <w:rsid w:val="00ED1787"/>
    <w:rsid w:val="00ED17FA"/>
    <w:rsid w:val="00ED1806"/>
    <w:rsid w:val="00ED1830"/>
    <w:rsid w:val="00ED19B9"/>
    <w:rsid w:val="00ED1A3A"/>
    <w:rsid w:val="00ED1B7A"/>
    <w:rsid w:val="00ED1BCA"/>
    <w:rsid w:val="00ED1CB6"/>
    <w:rsid w:val="00ED1E23"/>
    <w:rsid w:val="00ED1E8F"/>
    <w:rsid w:val="00ED1E98"/>
    <w:rsid w:val="00ED1FF0"/>
    <w:rsid w:val="00ED204E"/>
    <w:rsid w:val="00ED2077"/>
    <w:rsid w:val="00ED21B3"/>
    <w:rsid w:val="00ED21C1"/>
    <w:rsid w:val="00ED21E6"/>
    <w:rsid w:val="00ED235B"/>
    <w:rsid w:val="00ED2370"/>
    <w:rsid w:val="00ED23FC"/>
    <w:rsid w:val="00ED24C8"/>
    <w:rsid w:val="00ED2568"/>
    <w:rsid w:val="00ED25D7"/>
    <w:rsid w:val="00ED2655"/>
    <w:rsid w:val="00ED275B"/>
    <w:rsid w:val="00ED2896"/>
    <w:rsid w:val="00ED28EA"/>
    <w:rsid w:val="00ED2B23"/>
    <w:rsid w:val="00ED2B6F"/>
    <w:rsid w:val="00ED2BFE"/>
    <w:rsid w:val="00ED2C0E"/>
    <w:rsid w:val="00ED2C30"/>
    <w:rsid w:val="00ED2CB0"/>
    <w:rsid w:val="00ED2E9D"/>
    <w:rsid w:val="00ED2EB2"/>
    <w:rsid w:val="00ED2F37"/>
    <w:rsid w:val="00ED2F72"/>
    <w:rsid w:val="00ED3066"/>
    <w:rsid w:val="00ED30C4"/>
    <w:rsid w:val="00ED314A"/>
    <w:rsid w:val="00ED3173"/>
    <w:rsid w:val="00ED31DA"/>
    <w:rsid w:val="00ED31EB"/>
    <w:rsid w:val="00ED32A6"/>
    <w:rsid w:val="00ED34A3"/>
    <w:rsid w:val="00ED36FC"/>
    <w:rsid w:val="00ED378B"/>
    <w:rsid w:val="00ED3A54"/>
    <w:rsid w:val="00ED3B8B"/>
    <w:rsid w:val="00ED3BA8"/>
    <w:rsid w:val="00ED3C75"/>
    <w:rsid w:val="00ED3CB6"/>
    <w:rsid w:val="00ED3D46"/>
    <w:rsid w:val="00ED3EFE"/>
    <w:rsid w:val="00ED408F"/>
    <w:rsid w:val="00ED40EC"/>
    <w:rsid w:val="00ED40F2"/>
    <w:rsid w:val="00ED411B"/>
    <w:rsid w:val="00ED4122"/>
    <w:rsid w:val="00ED422A"/>
    <w:rsid w:val="00ED456D"/>
    <w:rsid w:val="00ED458C"/>
    <w:rsid w:val="00ED45AD"/>
    <w:rsid w:val="00ED478F"/>
    <w:rsid w:val="00ED47BD"/>
    <w:rsid w:val="00ED4839"/>
    <w:rsid w:val="00ED4896"/>
    <w:rsid w:val="00ED4940"/>
    <w:rsid w:val="00ED4948"/>
    <w:rsid w:val="00ED4A12"/>
    <w:rsid w:val="00ED4A18"/>
    <w:rsid w:val="00ED4A20"/>
    <w:rsid w:val="00ED4B02"/>
    <w:rsid w:val="00ED4B2D"/>
    <w:rsid w:val="00ED4B4F"/>
    <w:rsid w:val="00ED4BB1"/>
    <w:rsid w:val="00ED4BCD"/>
    <w:rsid w:val="00ED4F2F"/>
    <w:rsid w:val="00ED4FC1"/>
    <w:rsid w:val="00ED4FEE"/>
    <w:rsid w:val="00ED4FFF"/>
    <w:rsid w:val="00ED530D"/>
    <w:rsid w:val="00ED53FB"/>
    <w:rsid w:val="00ED5465"/>
    <w:rsid w:val="00ED54C9"/>
    <w:rsid w:val="00ED55BA"/>
    <w:rsid w:val="00ED5825"/>
    <w:rsid w:val="00ED59D2"/>
    <w:rsid w:val="00ED5BA2"/>
    <w:rsid w:val="00ED5BD9"/>
    <w:rsid w:val="00ED5CAB"/>
    <w:rsid w:val="00ED5D50"/>
    <w:rsid w:val="00ED5F17"/>
    <w:rsid w:val="00ED60C7"/>
    <w:rsid w:val="00ED6178"/>
    <w:rsid w:val="00ED638E"/>
    <w:rsid w:val="00ED644A"/>
    <w:rsid w:val="00ED6482"/>
    <w:rsid w:val="00ED6498"/>
    <w:rsid w:val="00ED653F"/>
    <w:rsid w:val="00ED679F"/>
    <w:rsid w:val="00ED67EF"/>
    <w:rsid w:val="00ED6925"/>
    <w:rsid w:val="00ED6BD9"/>
    <w:rsid w:val="00ED6D27"/>
    <w:rsid w:val="00ED6FA1"/>
    <w:rsid w:val="00ED74C7"/>
    <w:rsid w:val="00ED74F3"/>
    <w:rsid w:val="00ED7692"/>
    <w:rsid w:val="00ED7716"/>
    <w:rsid w:val="00ED790A"/>
    <w:rsid w:val="00ED796A"/>
    <w:rsid w:val="00ED79BD"/>
    <w:rsid w:val="00ED7A87"/>
    <w:rsid w:val="00ED7C81"/>
    <w:rsid w:val="00ED7D61"/>
    <w:rsid w:val="00ED7E1C"/>
    <w:rsid w:val="00ED7E55"/>
    <w:rsid w:val="00ED7EC8"/>
    <w:rsid w:val="00EE0168"/>
    <w:rsid w:val="00EE0216"/>
    <w:rsid w:val="00EE0226"/>
    <w:rsid w:val="00EE02A8"/>
    <w:rsid w:val="00EE02DF"/>
    <w:rsid w:val="00EE0345"/>
    <w:rsid w:val="00EE0460"/>
    <w:rsid w:val="00EE0479"/>
    <w:rsid w:val="00EE073C"/>
    <w:rsid w:val="00EE077D"/>
    <w:rsid w:val="00EE0924"/>
    <w:rsid w:val="00EE0927"/>
    <w:rsid w:val="00EE09B5"/>
    <w:rsid w:val="00EE0A1F"/>
    <w:rsid w:val="00EE0AA3"/>
    <w:rsid w:val="00EE0B83"/>
    <w:rsid w:val="00EE0E06"/>
    <w:rsid w:val="00EE0E13"/>
    <w:rsid w:val="00EE0EC4"/>
    <w:rsid w:val="00EE0F47"/>
    <w:rsid w:val="00EE107C"/>
    <w:rsid w:val="00EE1081"/>
    <w:rsid w:val="00EE11D1"/>
    <w:rsid w:val="00EE11EC"/>
    <w:rsid w:val="00EE1261"/>
    <w:rsid w:val="00EE12E5"/>
    <w:rsid w:val="00EE1308"/>
    <w:rsid w:val="00EE13BE"/>
    <w:rsid w:val="00EE13C7"/>
    <w:rsid w:val="00EE14A5"/>
    <w:rsid w:val="00EE14E7"/>
    <w:rsid w:val="00EE16AB"/>
    <w:rsid w:val="00EE1804"/>
    <w:rsid w:val="00EE1A12"/>
    <w:rsid w:val="00EE1B7D"/>
    <w:rsid w:val="00EE1BE4"/>
    <w:rsid w:val="00EE1CB0"/>
    <w:rsid w:val="00EE1D8C"/>
    <w:rsid w:val="00EE1F94"/>
    <w:rsid w:val="00EE2115"/>
    <w:rsid w:val="00EE21EC"/>
    <w:rsid w:val="00EE2241"/>
    <w:rsid w:val="00EE22C0"/>
    <w:rsid w:val="00EE22D0"/>
    <w:rsid w:val="00EE23E5"/>
    <w:rsid w:val="00EE2437"/>
    <w:rsid w:val="00EE2460"/>
    <w:rsid w:val="00EE2476"/>
    <w:rsid w:val="00EE256E"/>
    <w:rsid w:val="00EE2613"/>
    <w:rsid w:val="00EE26B0"/>
    <w:rsid w:val="00EE2726"/>
    <w:rsid w:val="00EE277E"/>
    <w:rsid w:val="00EE2793"/>
    <w:rsid w:val="00EE27BA"/>
    <w:rsid w:val="00EE2A59"/>
    <w:rsid w:val="00EE2B35"/>
    <w:rsid w:val="00EE2B50"/>
    <w:rsid w:val="00EE2C83"/>
    <w:rsid w:val="00EE2D18"/>
    <w:rsid w:val="00EE2D6A"/>
    <w:rsid w:val="00EE2E37"/>
    <w:rsid w:val="00EE2E48"/>
    <w:rsid w:val="00EE2F5D"/>
    <w:rsid w:val="00EE2FB1"/>
    <w:rsid w:val="00EE2FFC"/>
    <w:rsid w:val="00EE3094"/>
    <w:rsid w:val="00EE3102"/>
    <w:rsid w:val="00EE31C6"/>
    <w:rsid w:val="00EE3246"/>
    <w:rsid w:val="00EE3289"/>
    <w:rsid w:val="00EE3402"/>
    <w:rsid w:val="00EE36B5"/>
    <w:rsid w:val="00EE370B"/>
    <w:rsid w:val="00EE3714"/>
    <w:rsid w:val="00EE392F"/>
    <w:rsid w:val="00EE3972"/>
    <w:rsid w:val="00EE399E"/>
    <w:rsid w:val="00EE3A61"/>
    <w:rsid w:val="00EE3AA1"/>
    <w:rsid w:val="00EE3CE5"/>
    <w:rsid w:val="00EE3D4F"/>
    <w:rsid w:val="00EE3D6D"/>
    <w:rsid w:val="00EE3D97"/>
    <w:rsid w:val="00EE4021"/>
    <w:rsid w:val="00EE4032"/>
    <w:rsid w:val="00EE408A"/>
    <w:rsid w:val="00EE441C"/>
    <w:rsid w:val="00EE448E"/>
    <w:rsid w:val="00EE45E3"/>
    <w:rsid w:val="00EE463B"/>
    <w:rsid w:val="00EE48AF"/>
    <w:rsid w:val="00EE495F"/>
    <w:rsid w:val="00EE49AC"/>
    <w:rsid w:val="00EE4BBA"/>
    <w:rsid w:val="00EE4C33"/>
    <w:rsid w:val="00EE4CC7"/>
    <w:rsid w:val="00EE4D9B"/>
    <w:rsid w:val="00EE4DBC"/>
    <w:rsid w:val="00EE4F55"/>
    <w:rsid w:val="00EE4F8B"/>
    <w:rsid w:val="00EE5107"/>
    <w:rsid w:val="00EE5130"/>
    <w:rsid w:val="00EE5144"/>
    <w:rsid w:val="00EE51D6"/>
    <w:rsid w:val="00EE525B"/>
    <w:rsid w:val="00EE5329"/>
    <w:rsid w:val="00EE54A8"/>
    <w:rsid w:val="00EE5602"/>
    <w:rsid w:val="00EE583C"/>
    <w:rsid w:val="00EE5891"/>
    <w:rsid w:val="00EE595D"/>
    <w:rsid w:val="00EE5A01"/>
    <w:rsid w:val="00EE5AB0"/>
    <w:rsid w:val="00EE5B7F"/>
    <w:rsid w:val="00EE5CA4"/>
    <w:rsid w:val="00EE5D0C"/>
    <w:rsid w:val="00EE5E26"/>
    <w:rsid w:val="00EE5F09"/>
    <w:rsid w:val="00EE5FF0"/>
    <w:rsid w:val="00EE6081"/>
    <w:rsid w:val="00EE610D"/>
    <w:rsid w:val="00EE6452"/>
    <w:rsid w:val="00EE64CD"/>
    <w:rsid w:val="00EE651A"/>
    <w:rsid w:val="00EE677C"/>
    <w:rsid w:val="00EE68E7"/>
    <w:rsid w:val="00EE690D"/>
    <w:rsid w:val="00EE6A28"/>
    <w:rsid w:val="00EE6A29"/>
    <w:rsid w:val="00EE6AF1"/>
    <w:rsid w:val="00EE6BAC"/>
    <w:rsid w:val="00EE6C35"/>
    <w:rsid w:val="00EE6E28"/>
    <w:rsid w:val="00EE6EF5"/>
    <w:rsid w:val="00EE6F28"/>
    <w:rsid w:val="00EE709F"/>
    <w:rsid w:val="00EE70D7"/>
    <w:rsid w:val="00EE713B"/>
    <w:rsid w:val="00EE71A8"/>
    <w:rsid w:val="00EE72C5"/>
    <w:rsid w:val="00EE7368"/>
    <w:rsid w:val="00EE73E4"/>
    <w:rsid w:val="00EE7458"/>
    <w:rsid w:val="00EE751F"/>
    <w:rsid w:val="00EE78F0"/>
    <w:rsid w:val="00EE7912"/>
    <w:rsid w:val="00EE7934"/>
    <w:rsid w:val="00EE7956"/>
    <w:rsid w:val="00EE797F"/>
    <w:rsid w:val="00EE7992"/>
    <w:rsid w:val="00EE79C9"/>
    <w:rsid w:val="00EE7AC1"/>
    <w:rsid w:val="00EE7B75"/>
    <w:rsid w:val="00EE7BEB"/>
    <w:rsid w:val="00EE7CD9"/>
    <w:rsid w:val="00EE7DEB"/>
    <w:rsid w:val="00EE7E73"/>
    <w:rsid w:val="00EF00CB"/>
    <w:rsid w:val="00EF018E"/>
    <w:rsid w:val="00EF0268"/>
    <w:rsid w:val="00EF02CD"/>
    <w:rsid w:val="00EF02E8"/>
    <w:rsid w:val="00EF0372"/>
    <w:rsid w:val="00EF0388"/>
    <w:rsid w:val="00EF03AB"/>
    <w:rsid w:val="00EF044D"/>
    <w:rsid w:val="00EF04DE"/>
    <w:rsid w:val="00EF0579"/>
    <w:rsid w:val="00EF0666"/>
    <w:rsid w:val="00EF06AC"/>
    <w:rsid w:val="00EF06C6"/>
    <w:rsid w:val="00EF0713"/>
    <w:rsid w:val="00EF0826"/>
    <w:rsid w:val="00EF09E1"/>
    <w:rsid w:val="00EF09F5"/>
    <w:rsid w:val="00EF0A51"/>
    <w:rsid w:val="00EF0AD8"/>
    <w:rsid w:val="00EF0B0F"/>
    <w:rsid w:val="00EF0BBA"/>
    <w:rsid w:val="00EF0CC2"/>
    <w:rsid w:val="00EF0E92"/>
    <w:rsid w:val="00EF0EB6"/>
    <w:rsid w:val="00EF0F3A"/>
    <w:rsid w:val="00EF1031"/>
    <w:rsid w:val="00EF10BD"/>
    <w:rsid w:val="00EF11CE"/>
    <w:rsid w:val="00EF12EA"/>
    <w:rsid w:val="00EF13B6"/>
    <w:rsid w:val="00EF1404"/>
    <w:rsid w:val="00EF1428"/>
    <w:rsid w:val="00EF1490"/>
    <w:rsid w:val="00EF151A"/>
    <w:rsid w:val="00EF155F"/>
    <w:rsid w:val="00EF162B"/>
    <w:rsid w:val="00EF1655"/>
    <w:rsid w:val="00EF199D"/>
    <w:rsid w:val="00EF1A9F"/>
    <w:rsid w:val="00EF1BCD"/>
    <w:rsid w:val="00EF1D73"/>
    <w:rsid w:val="00EF1E55"/>
    <w:rsid w:val="00EF1EBE"/>
    <w:rsid w:val="00EF1F67"/>
    <w:rsid w:val="00EF2121"/>
    <w:rsid w:val="00EF22E8"/>
    <w:rsid w:val="00EF2339"/>
    <w:rsid w:val="00EF2350"/>
    <w:rsid w:val="00EF2481"/>
    <w:rsid w:val="00EF251E"/>
    <w:rsid w:val="00EF2760"/>
    <w:rsid w:val="00EF281D"/>
    <w:rsid w:val="00EF28CA"/>
    <w:rsid w:val="00EF2907"/>
    <w:rsid w:val="00EF291A"/>
    <w:rsid w:val="00EF297B"/>
    <w:rsid w:val="00EF2A75"/>
    <w:rsid w:val="00EF2B4B"/>
    <w:rsid w:val="00EF2B97"/>
    <w:rsid w:val="00EF2C22"/>
    <w:rsid w:val="00EF2D5A"/>
    <w:rsid w:val="00EF2DBC"/>
    <w:rsid w:val="00EF2E34"/>
    <w:rsid w:val="00EF2E7F"/>
    <w:rsid w:val="00EF2F50"/>
    <w:rsid w:val="00EF3291"/>
    <w:rsid w:val="00EF3383"/>
    <w:rsid w:val="00EF341C"/>
    <w:rsid w:val="00EF348B"/>
    <w:rsid w:val="00EF363A"/>
    <w:rsid w:val="00EF36F8"/>
    <w:rsid w:val="00EF3ABC"/>
    <w:rsid w:val="00EF3AD5"/>
    <w:rsid w:val="00EF3CDD"/>
    <w:rsid w:val="00EF3E46"/>
    <w:rsid w:val="00EF3F5F"/>
    <w:rsid w:val="00EF4292"/>
    <w:rsid w:val="00EF42D0"/>
    <w:rsid w:val="00EF44DF"/>
    <w:rsid w:val="00EF4527"/>
    <w:rsid w:val="00EF4713"/>
    <w:rsid w:val="00EF479B"/>
    <w:rsid w:val="00EF4A06"/>
    <w:rsid w:val="00EF4A9E"/>
    <w:rsid w:val="00EF4C1A"/>
    <w:rsid w:val="00EF4D5A"/>
    <w:rsid w:val="00EF4DBD"/>
    <w:rsid w:val="00EF4FB7"/>
    <w:rsid w:val="00EF5010"/>
    <w:rsid w:val="00EF5030"/>
    <w:rsid w:val="00EF5111"/>
    <w:rsid w:val="00EF5173"/>
    <w:rsid w:val="00EF5350"/>
    <w:rsid w:val="00EF54D1"/>
    <w:rsid w:val="00EF5730"/>
    <w:rsid w:val="00EF592B"/>
    <w:rsid w:val="00EF5945"/>
    <w:rsid w:val="00EF5AFC"/>
    <w:rsid w:val="00EF5CAD"/>
    <w:rsid w:val="00EF5D7D"/>
    <w:rsid w:val="00EF5DB0"/>
    <w:rsid w:val="00EF5E1B"/>
    <w:rsid w:val="00EF5EF3"/>
    <w:rsid w:val="00EF6200"/>
    <w:rsid w:val="00EF6209"/>
    <w:rsid w:val="00EF629E"/>
    <w:rsid w:val="00EF62C5"/>
    <w:rsid w:val="00EF630A"/>
    <w:rsid w:val="00EF6404"/>
    <w:rsid w:val="00EF64A2"/>
    <w:rsid w:val="00EF6539"/>
    <w:rsid w:val="00EF6566"/>
    <w:rsid w:val="00EF65DA"/>
    <w:rsid w:val="00EF6762"/>
    <w:rsid w:val="00EF6850"/>
    <w:rsid w:val="00EF6873"/>
    <w:rsid w:val="00EF68C9"/>
    <w:rsid w:val="00EF69C1"/>
    <w:rsid w:val="00EF6AD7"/>
    <w:rsid w:val="00EF6C30"/>
    <w:rsid w:val="00EF6D45"/>
    <w:rsid w:val="00EF6E58"/>
    <w:rsid w:val="00EF6E89"/>
    <w:rsid w:val="00EF6EB2"/>
    <w:rsid w:val="00EF6F9A"/>
    <w:rsid w:val="00EF6FFD"/>
    <w:rsid w:val="00EF70C2"/>
    <w:rsid w:val="00EF70C8"/>
    <w:rsid w:val="00EF70D7"/>
    <w:rsid w:val="00EF7133"/>
    <w:rsid w:val="00EF719E"/>
    <w:rsid w:val="00EF71BB"/>
    <w:rsid w:val="00EF71EF"/>
    <w:rsid w:val="00EF72B0"/>
    <w:rsid w:val="00EF7359"/>
    <w:rsid w:val="00EF738A"/>
    <w:rsid w:val="00EF7395"/>
    <w:rsid w:val="00EF77D9"/>
    <w:rsid w:val="00EF7862"/>
    <w:rsid w:val="00EF78EF"/>
    <w:rsid w:val="00EF7918"/>
    <w:rsid w:val="00EF79B9"/>
    <w:rsid w:val="00EF7A14"/>
    <w:rsid w:val="00EF7BA8"/>
    <w:rsid w:val="00EF7C4E"/>
    <w:rsid w:val="00EF7CC4"/>
    <w:rsid w:val="00EF7CD9"/>
    <w:rsid w:val="00EF7D55"/>
    <w:rsid w:val="00EF7D57"/>
    <w:rsid w:val="00EF7E0D"/>
    <w:rsid w:val="00EF7FE8"/>
    <w:rsid w:val="00F00063"/>
    <w:rsid w:val="00F00072"/>
    <w:rsid w:val="00F00094"/>
    <w:rsid w:val="00F000A2"/>
    <w:rsid w:val="00F000F5"/>
    <w:rsid w:val="00F00113"/>
    <w:rsid w:val="00F001A8"/>
    <w:rsid w:val="00F001D7"/>
    <w:rsid w:val="00F001DB"/>
    <w:rsid w:val="00F001DE"/>
    <w:rsid w:val="00F002D7"/>
    <w:rsid w:val="00F0035A"/>
    <w:rsid w:val="00F003D4"/>
    <w:rsid w:val="00F003F5"/>
    <w:rsid w:val="00F00414"/>
    <w:rsid w:val="00F00717"/>
    <w:rsid w:val="00F007A1"/>
    <w:rsid w:val="00F00818"/>
    <w:rsid w:val="00F0081F"/>
    <w:rsid w:val="00F00953"/>
    <w:rsid w:val="00F0095C"/>
    <w:rsid w:val="00F00BA2"/>
    <w:rsid w:val="00F00C10"/>
    <w:rsid w:val="00F00CD8"/>
    <w:rsid w:val="00F00D23"/>
    <w:rsid w:val="00F00F06"/>
    <w:rsid w:val="00F00F1B"/>
    <w:rsid w:val="00F0102F"/>
    <w:rsid w:val="00F01080"/>
    <w:rsid w:val="00F01220"/>
    <w:rsid w:val="00F01396"/>
    <w:rsid w:val="00F013D8"/>
    <w:rsid w:val="00F01466"/>
    <w:rsid w:val="00F014A4"/>
    <w:rsid w:val="00F014B6"/>
    <w:rsid w:val="00F0179E"/>
    <w:rsid w:val="00F017B5"/>
    <w:rsid w:val="00F01837"/>
    <w:rsid w:val="00F018F8"/>
    <w:rsid w:val="00F01962"/>
    <w:rsid w:val="00F019FA"/>
    <w:rsid w:val="00F01AE9"/>
    <w:rsid w:val="00F01AEC"/>
    <w:rsid w:val="00F01C3A"/>
    <w:rsid w:val="00F01DD4"/>
    <w:rsid w:val="00F01F45"/>
    <w:rsid w:val="00F01FDA"/>
    <w:rsid w:val="00F02076"/>
    <w:rsid w:val="00F020DD"/>
    <w:rsid w:val="00F02379"/>
    <w:rsid w:val="00F0237C"/>
    <w:rsid w:val="00F023C4"/>
    <w:rsid w:val="00F02488"/>
    <w:rsid w:val="00F02657"/>
    <w:rsid w:val="00F0267F"/>
    <w:rsid w:val="00F0270A"/>
    <w:rsid w:val="00F0277B"/>
    <w:rsid w:val="00F02781"/>
    <w:rsid w:val="00F029A7"/>
    <w:rsid w:val="00F029EF"/>
    <w:rsid w:val="00F02C11"/>
    <w:rsid w:val="00F02CA9"/>
    <w:rsid w:val="00F02D48"/>
    <w:rsid w:val="00F02D56"/>
    <w:rsid w:val="00F02D5A"/>
    <w:rsid w:val="00F02E0B"/>
    <w:rsid w:val="00F02E6B"/>
    <w:rsid w:val="00F02EB9"/>
    <w:rsid w:val="00F02F12"/>
    <w:rsid w:val="00F02F84"/>
    <w:rsid w:val="00F02FC3"/>
    <w:rsid w:val="00F030CF"/>
    <w:rsid w:val="00F03188"/>
    <w:rsid w:val="00F03220"/>
    <w:rsid w:val="00F0328E"/>
    <w:rsid w:val="00F032EA"/>
    <w:rsid w:val="00F0330B"/>
    <w:rsid w:val="00F03326"/>
    <w:rsid w:val="00F03359"/>
    <w:rsid w:val="00F0339B"/>
    <w:rsid w:val="00F03424"/>
    <w:rsid w:val="00F03475"/>
    <w:rsid w:val="00F034E4"/>
    <w:rsid w:val="00F035FC"/>
    <w:rsid w:val="00F0363F"/>
    <w:rsid w:val="00F03642"/>
    <w:rsid w:val="00F03763"/>
    <w:rsid w:val="00F0386D"/>
    <w:rsid w:val="00F03927"/>
    <w:rsid w:val="00F0396B"/>
    <w:rsid w:val="00F03D59"/>
    <w:rsid w:val="00F03DED"/>
    <w:rsid w:val="00F03E21"/>
    <w:rsid w:val="00F03FB4"/>
    <w:rsid w:val="00F04541"/>
    <w:rsid w:val="00F0456B"/>
    <w:rsid w:val="00F049BD"/>
    <w:rsid w:val="00F04A51"/>
    <w:rsid w:val="00F04A6D"/>
    <w:rsid w:val="00F04AF0"/>
    <w:rsid w:val="00F04BDE"/>
    <w:rsid w:val="00F04CA8"/>
    <w:rsid w:val="00F04D41"/>
    <w:rsid w:val="00F04DD4"/>
    <w:rsid w:val="00F05007"/>
    <w:rsid w:val="00F05175"/>
    <w:rsid w:val="00F051C7"/>
    <w:rsid w:val="00F05573"/>
    <w:rsid w:val="00F0568C"/>
    <w:rsid w:val="00F05780"/>
    <w:rsid w:val="00F058AF"/>
    <w:rsid w:val="00F058BF"/>
    <w:rsid w:val="00F05B76"/>
    <w:rsid w:val="00F05C19"/>
    <w:rsid w:val="00F05CF0"/>
    <w:rsid w:val="00F05F19"/>
    <w:rsid w:val="00F05F2A"/>
    <w:rsid w:val="00F06051"/>
    <w:rsid w:val="00F0614D"/>
    <w:rsid w:val="00F061C1"/>
    <w:rsid w:val="00F06237"/>
    <w:rsid w:val="00F0629B"/>
    <w:rsid w:val="00F064EB"/>
    <w:rsid w:val="00F06611"/>
    <w:rsid w:val="00F06665"/>
    <w:rsid w:val="00F06924"/>
    <w:rsid w:val="00F06965"/>
    <w:rsid w:val="00F06A50"/>
    <w:rsid w:val="00F06AFC"/>
    <w:rsid w:val="00F06C58"/>
    <w:rsid w:val="00F06E63"/>
    <w:rsid w:val="00F06F40"/>
    <w:rsid w:val="00F06F80"/>
    <w:rsid w:val="00F06FB9"/>
    <w:rsid w:val="00F07108"/>
    <w:rsid w:val="00F0713C"/>
    <w:rsid w:val="00F071ED"/>
    <w:rsid w:val="00F07219"/>
    <w:rsid w:val="00F07354"/>
    <w:rsid w:val="00F0742E"/>
    <w:rsid w:val="00F0770B"/>
    <w:rsid w:val="00F07B83"/>
    <w:rsid w:val="00F07C05"/>
    <w:rsid w:val="00F07CA1"/>
    <w:rsid w:val="00F07CA7"/>
    <w:rsid w:val="00F07D6C"/>
    <w:rsid w:val="00F07EBF"/>
    <w:rsid w:val="00F10053"/>
    <w:rsid w:val="00F10070"/>
    <w:rsid w:val="00F100C8"/>
    <w:rsid w:val="00F100D7"/>
    <w:rsid w:val="00F10178"/>
    <w:rsid w:val="00F101F6"/>
    <w:rsid w:val="00F103F7"/>
    <w:rsid w:val="00F1047E"/>
    <w:rsid w:val="00F10596"/>
    <w:rsid w:val="00F105D3"/>
    <w:rsid w:val="00F10638"/>
    <w:rsid w:val="00F106CC"/>
    <w:rsid w:val="00F10724"/>
    <w:rsid w:val="00F107E0"/>
    <w:rsid w:val="00F10994"/>
    <w:rsid w:val="00F10ACA"/>
    <w:rsid w:val="00F10B10"/>
    <w:rsid w:val="00F10BCC"/>
    <w:rsid w:val="00F10C86"/>
    <w:rsid w:val="00F10CD0"/>
    <w:rsid w:val="00F10D78"/>
    <w:rsid w:val="00F10F1B"/>
    <w:rsid w:val="00F10F5F"/>
    <w:rsid w:val="00F1102B"/>
    <w:rsid w:val="00F11034"/>
    <w:rsid w:val="00F1109F"/>
    <w:rsid w:val="00F11262"/>
    <w:rsid w:val="00F11286"/>
    <w:rsid w:val="00F1130B"/>
    <w:rsid w:val="00F11313"/>
    <w:rsid w:val="00F1139F"/>
    <w:rsid w:val="00F113C3"/>
    <w:rsid w:val="00F113FE"/>
    <w:rsid w:val="00F11417"/>
    <w:rsid w:val="00F1155E"/>
    <w:rsid w:val="00F1160C"/>
    <w:rsid w:val="00F1163E"/>
    <w:rsid w:val="00F11721"/>
    <w:rsid w:val="00F11817"/>
    <w:rsid w:val="00F11850"/>
    <w:rsid w:val="00F1191C"/>
    <w:rsid w:val="00F1192D"/>
    <w:rsid w:val="00F119AE"/>
    <w:rsid w:val="00F11A01"/>
    <w:rsid w:val="00F11A5A"/>
    <w:rsid w:val="00F11AC7"/>
    <w:rsid w:val="00F11B66"/>
    <w:rsid w:val="00F11EAF"/>
    <w:rsid w:val="00F11EBC"/>
    <w:rsid w:val="00F12251"/>
    <w:rsid w:val="00F122AA"/>
    <w:rsid w:val="00F122D0"/>
    <w:rsid w:val="00F1233F"/>
    <w:rsid w:val="00F1235C"/>
    <w:rsid w:val="00F12361"/>
    <w:rsid w:val="00F1241F"/>
    <w:rsid w:val="00F125D4"/>
    <w:rsid w:val="00F125DC"/>
    <w:rsid w:val="00F12649"/>
    <w:rsid w:val="00F12803"/>
    <w:rsid w:val="00F12839"/>
    <w:rsid w:val="00F128D9"/>
    <w:rsid w:val="00F12947"/>
    <w:rsid w:val="00F12A70"/>
    <w:rsid w:val="00F12CDD"/>
    <w:rsid w:val="00F12CF8"/>
    <w:rsid w:val="00F12D0C"/>
    <w:rsid w:val="00F12E19"/>
    <w:rsid w:val="00F12ED4"/>
    <w:rsid w:val="00F12F18"/>
    <w:rsid w:val="00F12FA1"/>
    <w:rsid w:val="00F130E7"/>
    <w:rsid w:val="00F131A5"/>
    <w:rsid w:val="00F13251"/>
    <w:rsid w:val="00F13282"/>
    <w:rsid w:val="00F1378A"/>
    <w:rsid w:val="00F1385A"/>
    <w:rsid w:val="00F138DF"/>
    <w:rsid w:val="00F13A8D"/>
    <w:rsid w:val="00F13AA2"/>
    <w:rsid w:val="00F13B7B"/>
    <w:rsid w:val="00F13C0D"/>
    <w:rsid w:val="00F13C65"/>
    <w:rsid w:val="00F13D4E"/>
    <w:rsid w:val="00F13E7B"/>
    <w:rsid w:val="00F13F8C"/>
    <w:rsid w:val="00F13FCA"/>
    <w:rsid w:val="00F14071"/>
    <w:rsid w:val="00F140CC"/>
    <w:rsid w:val="00F14191"/>
    <w:rsid w:val="00F141A8"/>
    <w:rsid w:val="00F14256"/>
    <w:rsid w:val="00F142DE"/>
    <w:rsid w:val="00F14304"/>
    <w:rsid w:val="00F14328"/>
    <w:rsid w:val="00F1435B"/>
    <w:rsid w:val="00F14421"/>
    <w:rsid w:val="00F144EB"/>
    <w:rsid w:val="00F14623"/>
    <w:rsid w:val="00F14652"/>
    <w:rsid w:val="00F146BA"/>
    <w:rsid w:val="00F14755"/>
    <w:rsid w:val="00F1491C"/>
    <w:rsid w:val="00F1494F"/>
    <w:rsid w:val="00F14A48"/>
    <w:rsid w:val="00F14B70"/>
    <w:rsid w:val="00F14BEC"/>
    <w:rsid w:val="00F14E18"/>
    <w:rsid w:val="00F151AE"/>
    <w:rsid w:val="00F1525D"/>
    <w:rsid w:val="00F15283"/>
    <w:rsid w:val="00F15475"/>
    <w:rsid w:val="00F15479"/>
    <w:rsid w:val="00F154A3"/>
    <w:rsid w:val="00F154A5"/>
    <w:rsid w:val="00F15539"/>
    <w:rsid w:val="00F155B9"/>
    <w:rsid w:val="00F1562D"/>
    <w:rsid w:val="00F1562E"/>
    <w:rsid w:val="00F1567E"/>
    <w:rsid w:val="00F1568D"/>
    <w:rsid w:val="00F156B3"/>
    <w:rsid w:val="00F157BA"/>
    <w:rsid w:val="00F158DD"/>
    <w:rsid w:val="00F15A02"/>
    <w:rsid w:val="00F15B26"/>
    <w:rsid w:val="00F15EAF"/>
    <w:rsid w:val="00F15F7E"/>
    <w:rsid w:val="00F1615C"/>
    <w:rsid w:val="00F16243"/>
    <w:rsid w:val="00F163E8"/>
    <w:rsid w:val="00F1648D"/>
    <w:rsid w:val="00F164A7"/>
    <w:rsid w:val="00F164F6"/>
    <w:rsid w:val="00F166F8"/>
    <w:rsid w:val="00F16718"/>
    <w:rsid w:val="00F16724"/>
    <w:rsid w:val="00F16746"/>
    <w:rsid w:val="00F167B9"/>
    <w:rsid w:val="00F16813"/>
    <w:rsid w:val="00F1685A"/>
    <w:rsid w:val="00F16874"/>
    <w:rsid w:val="00F16ABA"/>
    <w:rsid w:val="00F16AC8"/>
    <w:rsid w:val="00F16ADC"/>
    <w:rsid w:val="00F16B06"/>
    <w:rsid w:val="00F16B5C"/>
    <w:rsid w:val="00F16B99"/>
    <w:rsid w:val="00F16B9A"/>
    <w:rsid w:val="00F16DC2"/>
    <w:rsid w:val="00F16DC3"/>
    <w:rsid w:val="00F16ED9"/>
    <w:rsid w:val="00F17001"/>
    <w:rsid w:val="00F17281"/>
    <w:rsid w:val="00F17367"/>
    <w:rsid w:val="00F173EC"/>
    <w:rsid w:val="00F1745C"/>
    <w:rsid w:val="00F17555"/>
    <w:rsid w:val="00F175D8"/>
    <w:rsid w:val="00F17607"/>
    <w:rsid w:val="00F177CA"/>
    <w:rsid w:val="00F17888"/>
    <w:rsid w:val="00F1799F"/>
    <w:rsid w:val="00F17AE9"/>
    <w:rsid w:val="00F17B63"/>
    <w:rsid w:val="00F17C1D"/>
    <w:rsid w:val="00F17D14"/>
    <w:rsid w:val="00F17D3D"/>
    <w:rsid w:val="00F17E39"/>
    <w:rsid w:val="00F17F6F"/>
    <w:rsid w:val="00F200D6"/>
    <w:rsid w:val="00F2019E"/>
    <w:rsid w:val="00F202F1"/>
    <w:rsid w:val="00F20329"/>
    <w:rsid w:val="00F20385"/>
    <w:rsid w:val="00F20561"/>
    <w:rsid w:val="00F20638"/>
    <w:rsid w:val="00F206B9"/>
    <w:rsid w:val="00F208D6"/>
    <w:rsid w:val="00F208F1"/>
    <w:rsid w:val="00F209D1"/>
    <w:rsid w:val="00F20BA6"/>
    <w:rsid w:val="00F20D7B"/>
    <w:rsid w:val="00F20E68"/>
    <w:rsid w:val="00F2104F"/>
    <w:rsid w:val="00F21069"/>
    <w:rsid w:val="00F21199"/>
    <w:rsid w:val="00F2130B"/>
    <w:rsid w:val="00F21427"/>
    <w:rsid w:val="00F216A5"/>
    <w:rsid w:val="00F217B0"/>
    <w:rsid w:val="00F217BD"/>
    <w:rsid w:val="00F217EE"/>
    <w:rsid w:val="00F21970"/>
    <w:rsid w:val="00F21990"/>
    <w:rsid w:val="00F21B28"/>
    <w:rsid w:val="00F21B2F"/>
    <w:rsid w:val="00F21B79"/>
    <w:rsid w:val="00F21BB7"/>
    <w:rsid w:val="00F21E05"/>
    <w:rsid w:val="00F21E98"/>
    <w:rsid w:val="00F22039"/>
    <w:rsid w:val="00F22169"/>
    <w:rsid w:val="00F2248D"/>
    <w:rsid w:val="00F22556"/>
    <w:rsid w:val="00F225EF"/>
    <w:rsid w:val="00F22717"/>
    <w:rsid w:val="00F22932"/>
    <w:rsid w:val="00F229CD"/>
    <w:rsid w:val="00F22A22"/>
    <w:rsid w:val="00F22D5F"/>
    <w:rsid w:val="00F22E43"/>
    <w:rsid w:val="00F22F0B"/>
    <w:rsid w:val="00F230D3"/>
    <w:rsid w:val="00F23224"/>
    <w:rsid w:val="00F23327"/>
    <w:rsid w:val="00F233DC"/>
    <w:rsid w:val="00F2356A"/>
    <w:rsid w:val="00F235B2"/>
    <w:rsid w:val="00F236A5"/>
    <w:rsid w:val="00F238A7"/>
    <w:rsid w:val="00F23B01"/>
    <w:rsid w:val="00F23B2E"/>
    <w:rsid w:val="00F23BAF"/>
    <w:rsid w:val="00F23BCB"/>
    <w:rsid w:val="00F23C72"/>
    <w:rsid w:val="00F23D69"/>
    <w:rsid w:val="00F23D81"/>
    <w:rsid w:val="00F23F01"/>
    <w:rsid w:val="00F23FF1"/>
    <w:rsid w:val="00F24067"/>
    <w:rsid w:val="00F24120"/>
    <w:rsid w:val="00F242DB"/>
    <w:rsid w:val="00F2479E"/>
    <w:rsid w:val="00F247D0"/>
    <w:rsid w:val="00F24865"/>
    <w:rsid w:val="00F248BE"/>
    <w:rsid w:val="00F2493B"/>
    <w:rsid w:val="00F24961"/>
    <w:rsid w:val="00F24A4E"/>
    <w:rsid w:val="00F24B0E"/>
    <w:rsid w:val="00F24B1D"/>
    <w:rsid w:val="00F24B67"/>
    <w:rsid w:val="00F24DB9"/>
    <w:rsid w:val="00F24EF6"/>
    <w:rsid w:val="00F25362"/>
    <w:rsid w:val="00F253E8"/>
    <w:rsid w:val="00F25521"/>
    <w:rsid w:val="00F25773"/>
    <w:rsid w:val="00F2593A"/>
    <w:rsid w:val="00F25A6E"/>
    <w:rsid w:val="00F25AF2"/>
    <w:rsid w:val="00F25BCC"/>
    <w:rsid w:val="00F25BF6"/>
    <w:rsid w:val="00F25D04"/>
    <w:rsid w:val="00F25D1C"/>
    <w:rsid w:val="00F25DC3"/>
    <w:rsid w:val="00F25DCB"/>
    <w:rsid w:val="00F25E4B"/>
    <w:rsid w:val="00F25EEF"/>
    <w:rsid w:val="00F260F7"/>
    <w:rsid w:val="00F260F8"/>
    <w:rsid w:val="00F261CB"/>
    <w:rsid w:val="00F263FE"/>
    <w:rsid w:val="00F2640F"/>
    <w:rsid w:val="00F26433"/>
    <w:rsid w:val="00F2647E"/>
    <w:rsid w:val="00F265E8"/>
    <w:rsid w:val="00F2669A"/>
    <w:rsid w:val="00F26876"/>
    <w:rsid w:val="00F26965"/>
    <w:rsid w:val="00F26975"/>
    <w:rsid w:val="00F26A22"/>
    <w:rsid w:val="00F26A5A"/>
    <w:rsid w:val="00F26A9B"/>
    <w:rsid w:val="00F26B6D"/>
    <w:rsid w:val="00F26BE9"/>
    <w:rsid w:val="00F26CB5"/>
    <w:rsid w:val="00F26DCD"/>
    <w:rsid w:val="00F26F4A"/>
    <w:rsid w:val="00F26FC0"/>
    <w:rsid w:val="00F27003"/>
    <w:rsid w:val="00F2710F"/>
    <w:rsid w:val="00F271F2"/>
    <w:rsid w:val="00F272D5"/>
    <w:rsid w:val="00F2749B"/>
    <w:rsid w:val="00F275F8"/>
    <w:rsid w:val="00F279FE"/>
    <w:rsid w:val="00F27A26"/>
    <w:rsid w:val="00F27A6A"/>
    <w:rsid w:val="00F27CBA"/>
    <w:rsid w:val="00F27CD7"/>
    <w:rsid w:val="00F27F1B"/>
    <w:rsid w:val="00F27F3E"/>
    <w:rsid w:val="00F302C7"/>
    <w:rsid w:val="00F303A7"/>
    <w:rsid w:val="00F30479"/>
    <w:rsid w:val="00F30499"/>
    <w:rsid w:val="00F304D7"/>
    <w:rsid w:val="00F30544"/>
    <w:rsid w:val="00F30584"/>
    <w:rsid w:val="00F306B7"/>
    <w:rsid w:val="00F306EF"/>
    <w:rsid w:val="00F3090E"/>
    <w:rsid w:val="00F30943"/>
    <w:rsid w:val="00F309F6"/>
    <w:rsid w:val="00F30BE9"/>
    <w:rsid w:val="00F30CA6"/>
    <w:rsid w:val="00F30D55"/>
    <w:rsid w:val="00F30DCA"/>
    <w:rsid w:val="00F30FB2"/>
    <w:rsid w:val="00F31014"/>
    <w:rsid w:val="00F310E1"/>
    <w:rsid w:val="00F31174"/>
    <w:rsid w:val="00F3119F"/>
    <w:rsid w:val="00F314A9"/>
    <w:rsid w:val="00F314D1"/>
    <w:rsid w:val="00F31622"/>
    <w:rsid w:val="00F316FB"/>
    <w:rsid w:val="00F31AD6"/>
    <w:rsid w:val="00F31BD7"/>
    <w:rsid w:val="00F31CD5"/>
    <w:rsid w:val="00F31CFA"/>
    <w:rsid w:val="00F31D3F"/>
    <w:rsid w:val="00F31E1F"/>
    <w:rsid w:val="00F31F2F"/>
    <w:rsid w:val="00F3202C"/>
    <w:rsid w:val="00F32324"/>
    <w:rsid w:val="00F323C0"/>
    <w:rsid w:val="00F323CD"/>
    <w:rsid w:val="00F32422"/>
    <w:rsid w:val="00F32545"/>
    <w:rsid w:val="00F32618"/>
    <w:rsid w:val="00F3264D"/>
    <w:rsid w:val="00F32661"/>
    <w:rsid w:val="00F327BB"/>
    <w:rsid w:val="00F32809"/>
    <w:rsid w:val="00F32834"/>
    <w:rsid w:val="00F3283F"/>
    <w:rsid w:val="00F32873"/>
    <w:rsid w:val="00F32C7E"/>
    <w:rsid w:val="00F32E04"/>
    <w:rsid w:val="00F32E70"/>
    <w:rsid w:val="00F32EE2"/>
    <w:rsid w:val="00F32F71"/>
    <w:rsid w:val="00F32FAF"/>
    <w:rsid w:val="00F33045"/>
    <w:rsid w:val="00F330C7"/>
    <w:rsid w:val="00F33213"/>
    <w:rsid w:val="00F332DD"/>
    <w:rsid w:val="00F33509"/>
    <w:rsid w:val="00F33548"/>
    <w:rsid w:val="00F33557"/>
    <w:rsid w:val="00F3356A"/>
    <w:rsid w:val="00F3360F"/>
    <w:rsid w:val="00F3394D"/>
    <w:rsid w:val="00F339F7"/>
    <w:rsid w:val="00F33B7B"/>
    <w:rsid w:val="00F33CFC"/>
    <w:rsid w:val="00F33D98"/>
    <w:rsid w:val="00F33DFF"/>
    <w:rsid w:val="00F33E18"/>
    <w:rsid w:val="00F340A4"/>
    <w:rsid w:val="00F340D6"/>
    <w:rsid w:val="00F34283"/>
    <w:rsid w:val="00F3432E"/>
    <w:rsid w:val="00F34619"/>
    <w:rsid w:val="00F34785"/>
    <w:rsid w:val="00F34862"/>
    <w:rsid w:val="00F348D9"/>
    <w:rsid w:val="00F34A5D"/>
    <w:rsid w:val="00F34A96"/>
    <w:rsid w:val="00F34CA4"/>
    <w:rsid w:val="00F34D9A"/>
    <w:rsid w:val="00F34DB9"/>
    <w:rsid w:val="00F34E10"/>
    <w:rsid w:val="00F34EB6"/>
    <w:rsid w:val="00F34ECB"/>
    <w:rsid w:val="00F35244"/>
    <w:rsid w:val="00F35313"/>
    <w:rsid w:val="00F353F5"/>
    <w:rsid w:val="00F3543B"/>
    <w:rsid w:val="00F3553A"/>
    <w:rsid w:val="00F3577D"/>
    <w:rsid w:val="00F3578E"/>
    <w:rsid w:val="00F357D7"/>
    <w:rsid w:val="00F3584F"/>
    <w:rsid w:val="00F3593C"/>
    <w:rsid w:val="00F359DC"/>
    <w:rsid w:val="00F35A10"/>
    <w:rsid w:val="00F35C27"/>
    <w:rsid w:val="00F35C82"/>
    <w:rsid w:val="00F35E6F"/>
    <w:rsid w:val="00F35FB7"/>
    <w:rsid w:val="00F36179"/>
    <w:rsid w:val="00F3620E"/>
    <w:rsid w:val="00F3622D"/>
    <w:rsid w:val="00F362B7"/>
    <w:rsid w:val="00F362BA"/>
    <w:rsid w:val="00F362D9"/>
    <w:rsid w:val="00F36512"/>
    <w:rsid w:val="00F36628"/>
    <w:rsid w:val="00F36803"/>
    <w:rsid w:val="00F3681D"/>
    <w:rsid w:val="00F368D1"/>
    <w:rsid w:val="00F36A23"/>
    <w:rsid w:val="00F36B39"/>
    <w:rsid w:val="00F36E3B"/>
    <w:rsid w:val="00F36F42"/>
    <w:rsid w:val="00F36F6B"/>
    <w:rsid w:val="00F3701A"/>
    <w:rsid w:val="00F37029"/>
    <w:rsid w:val="00F3704E"/>
    <w:rsid w:val="00F3707D"/>
    <w:rsid w:val="00F37083"/>
    <w:rsid w:val="00F37206"/>
    <w:rsid w:val="00F372DA"/>
    <w:rsid w:val="00F3730A"/>
    <w:rsid w:val="00F3746E"/>
    <w:rsid w:val="00F37474"/>
    <w:rsid w:val="00F376D1"/>
    <w:rsid w:val="00F37754"/>
    <w:rsid w:val="00F3779D"/>
    <w:rsid w:val="00F37822"/>
    <w:rsid w:val="00F37864"/>
    <w:rsid w:val="00F379D0"/>
    <w:rsid w:val="00F37AF3"/>
    <w:rsid w:val="00F37BBF"/>
    <w:rsid w:val="00F37C02"/>
    <w:rsid w:val="00F37C11"/>
    <w:rsid w:val="00F37C38"/>
    <w:rsid w:val="00F37C5D"/>
    <w:rsid w:val="00F37D25"/>
    <w:rsid w:val="00F37D83"/>
    <w:rsid w:val="00F37E6C"/>
    <w:rsid w:val="00F37F7D"/>
    <w:rsid w:val="00F4006D"/>
    <w:rsid w:val="00F4012C"/>
    <w:rsid w:val="00F401AF"/>
    <w:rsid w:val="00F402F1"/>
    <w:rsid w:val="00F40349"/>
    <w:rsid w:val="00F404B0"/>
    <w:rsid w:val="00F405BE"/>
    <w:rsid w:val="00F40631"/>
    <w:rsid w:val="00F4064D"/>
    <w:rsid w:val="00F4066D"/>
    <w:rsid w:val="00F40722"/>
    <w:rsid w:val="00F4082B"/>
    <w:rsid w:val="00F409BD"/>
    <w:rsid w:val="00F40A11"/>
    <w:rsid w:val="00F40BDB"/>
    <w:rsid w:val="00F40C48"/>
    <w:rsid w:val="00F40CDC"/>
    <w:rsid w:val="00F40CEC"/>
    <w:rsid w:val="00F40EB7"/>
    <w:rsid w:val="00F40F09"/>
    <w:rsid w:val="00F40FE6"/>
    <w:rsid w:val="00F41009"/>
    <w:rsid w:val="00F410BA"/>
    <w:rsid w:val="00F41245"/>
    <w:rsid w:val="00F412AE"/>
    <w:rsid w:val="00F41398"/>
    <w:rsid w:val="00F413BD"/>
    <w:rsid w:val="00F41538"/>
    <w:rsid w:val="00F415AE"/>
    <w:rsid w:val="00F41696"/>
    <w:rsid w:val="00F416ED"/>
    <w:rsid w:val="00F4170F"/>
    <w:rsid w:val="00F41736"/>
    <w:rsid w:val="00F417BB"/>
    <w:rsid w:val="00F4189E"/>
    <w:rsid w:val="00F4189F"/>
    <w:rsid w:val="00F41AAA"/>
    <w:rsid w:val="00F41B74"/>
    <w:rsid w:val="00F41B87"/>
    <w:rsid w:val="00F41BBA"/>
    <w:rsid w:val="00F41D74"/>
    <w:rsid w:val="00F41D97"/>
    <w:rsid w:val="00F41E8D"/>
    <w:rsid w:val="00F41EF3"/>
    <w:rsid w:val="00F42190"/>
    <w:rsid w:val="00F421B5"/>
    <w:rsid w:val="00F42229"/>
    <w:rsid w:val="00F42272"/>
    <w:rsid w:val="00F4233B"/>
    <w:rsid w:val="00F423B6"/>
    <w:rsid w:val="00F42412"/>
    <w:rsid w:val="00F424A5"/>
    <w:rsid w:val="00F4265E"/>
    <w:rsid w:val="00F4271B"/>
    <w:rsid w:val="00F4282C"/>
    <w:rsid w:val="00F428B7"/>
    <w:rsid w:val="00F42959"/>
    <w:rsid w:val="00F42A10"/>
    <w:rsid w:val="00F42AD5"/>
    <w:rsid w:val="00F42D18"/>
    <w:rsid w:val="00F42F62"/>
    <w:rsid w:val="00F42F85"/>
    <w:rsid w:val="00F42FC8"/>
    <w:rsid w:val="00F4330F"/>
    <w:rsid w:val="00F43372"/>
    <w:rsid w:val="00F433A6"/>
    <w:rsid w:val="00F4344E"/>
    <w:rsid w:val="00F4345E"/>
    <w:rsid w:val="00F434ED"/>
    <w:rsid w:val="00F435A1"/>
    <w:rsid w:val="00F4361A"/>
    <w:rsid w:val="00F4367C"/>
    <w:rsid w:val="00F43A3D"/>
    <w:rsid w:val="00F43ABA"/>
    <w:rsid w:val="00F43ABE"/>
    <w:rsid w:val="00F43CB5"/>
    <w:rsid w:val="00F43CC0"/>
    <w:rsid w:val="00F43CE7"/>
    <w:rsid w:val="00F43D14"/>
    <w:rsid w:val="00F43D21"/>
    <w:rsid w:val="00F43F93"/>
    <w:rsid w:val="00F44057"/>
    <w:rsid w:val="00F4413E"/>
    <w:rsid w:val="00F4422A"/>
    <w:rsid w:val="00F443F6"/>
    <w:rsid w:val="00F44490"/>
    <w:rsid w:val="00F44496"/>
    <w:rsid w:val="00F44554"/>
    <w:rsid w:val="00F44622"/>
    <w:rsid w:val="00F4469F"/>
    <w:rsid w:val="00F44705"/>
    <w:rsid w:val="00F44787"/>
    <w:rsid w:val="00F4479F"/>
    <w:rsid w:val="00F44808"/>
    <w:rsid w:val="00F449A5"/>
    <w:rsid w:val="00F44CFB"/>
    <w:rsid w:val="00F44D82"/>
    <w:rsid w:val="00F44FCA"/>
    <w:rsid w:val="00F450FD"/>
    <w:rsid w:val="00F45123"/>
    <w:rsid w:val="00F452BC"/>
    <w:rsid w:val="00F453BA"/>
    <w:rsid w:val="00F45427"/>
    <w:rsid w:val="00F45444"/>
    <w:rsid w:val="00F454AE"/>
    <w:rsid w:val="00F454CA"/>
    <w:rsid w:val="00F45605"/>
    <w:rsid w:val="00F45642"/>
    <w:rsid w:val="00F45680"/>
    <w:rsid w:val="00F4568C"/>
    <w:rsid w:val="00F4574D"/>
    <w:rsid w:val="00F4578A"/>
    <w:rsid w:val="00F457B4"/>
    <w:rsid w:val="00F459A6"/>
    <w:rsid w:val="00F45AB7"/>
    <w:rsid w:val="00F45AE2"/>
    <w:rsid w:val="00F45B23"/>
    <w:rsid w:val="00F45D7E"/>
    <w:rsid w:val="00F45EFA"/>
    <w:rsid w:val="00F45F4D"/>
    <w:rsid w:val="00F460FE"/>
    <w:rsid w:val="00F46198"/>
    <w:rsid w:val="00F46297"/>
    <w:rsid w:val="00F4633F"/>
    <w:rsid w:val="00F46426"/>
    <w:rsid w:val="00F464DB"/>
    <w:rsid w:val="00F465AD"/>
    <w:rsid w:val="00F46688"/>
    <w:rsid w:val="00F4670F"/>
    <w:rsid w:val="00F467FD"/>
    <w:rsid w:val="00F46850"/>
    <w:rsid w:val="00F46928"/>
    <w:rsid w:val="00F46979"/>
    <w:rsid w:val="00F4698A"/>
    <w:rsid w:val="00F469CB"/>
    <w:rsid w:val="00F46AE1"/>
    <w:rsid w:val="00F47185"/>
    <w:rsid w:val="00F47424"/>
    <w:rsid w:val="00F4759F"/>
    <w:rsid w:val="00F47970"/>
    <w:rsid w:val="00F47A02"/>
    <w:rsid w:val="00F47BAD"/>
    <w:rsid w:val="00F47BDF"/>
    <w:rsid w:val="00F47C16"/>
    <w:rsid w:val="00F47C87"/>
    <w:rsid w:val="00F47DF8"/>
    <w:rsid w:val="00F47E09"/>
    <w:rsid w:val="00F47EC3"/>
    <w:rsid w:val="00F47FD9"/>
    <w:rsid w:val="00F50060"/>
    <w:rsid w:val="00F500C6"/>
    <w:rsid w:val="00F50153"/>
    <w:rsid w:val="00F501F4"/>
    <w:rsid w:val="00F50212"/>
    <w:rsid w:val="00F50276"/>
    <w:rsid w:val="00F50343"/>
    <w:rsid w:val="00F5038E"/>
    <w:rsid w:val="00F504C0"/>
    <w:rsid w:val="00F50514"/>
    <w:rsid w:val="00F505F2"/>
    <w:rsid w:val="00F506C2"/>
    <w:rsid w:val="00F50751"/>
    <w:rsid w:val="00F508BA"/>
    <w:rsid w:val="00F508E0"/>
    <w:rsid w:val="00F50BA6"/>
    <w:rsid w:val="00F50BBC"/>
    <w:rsid w:val="00F50CDE"/>
    <w:rsid w:val="00F50D5F"/>
    <w:rsid w:val="00F50D71"/>
    <w:rsid w:val="00F50E92"/>
    <w:rsid w:val="00F50EAB"/>
    <w:rsid w:val="00F50F0E"/>
    <w:rsid w:val="00F50F19"/>
    <w:rsid w:val="00F50F36"/>
    <w:rsid w:val="00F51019"/>
    <w:rsid w:val="00F511FA"/>
    <w:rsid w:val="00F51282"/>
    <w:rsid w:val="00F51338"/>
    <w:rsid w:val="00F51392"/>
    <w:rsid w:val="00F5145C"/>
    <w:rsid w:val="00F514C9"/>
    <w:rsid w:val="00F515C3"/>
    <w:rsid w:val="00F51662"/>
    <w:rsid w:val="00F516B8"/>
    <w:rsid w:val="00F51720"/>
    <w:rsid w:val="00F51740"/>
    <w:rsid w:val="00F517B4"/>
    <w:rsid w:val="00F51936"/>
    <w:rsid w:val="00F519BF"/>
    <w:rsid w:val="00F51CC3"/>
    <w:rsid w:val="00F51E60"/>
    <w:rsid w:val="00F51FF2"/>
    <w:rsid w:val="00F520C9"/>
    <w:rsid w:val="00F520F8"/>
    <w:rsid w:val="00F52223"/>
    <w:rsid w:val="00F522BF"/>
    <w:rsid w:val="00F52413"/>
    <w:rsid w:val="00F5269D"/>
    <w:rsid w:val="00F5289E"/>
    <w:rsid w:val="00F528B1"/>
    <w:rsid w:val="00F528F6"/>
    <w:rsid w:val="00F52B63"/>
    <w:rsid w:val="00F52C0F"/>
    <w:rsid w:val="00F52D47"/>
    <w:rsid w:val="00F52D55"/>
    <w:rsid w:val="00F52ECC"/>
    <w:rsid w:val="00F52ED7"/>
    <w:rsid w:val="00F52F8F"/>
    <w:rsid w:val="00F53036"/>
    <w:rsid w:val="00F531D7"/>
    <w:rsid w:val="00F5337E"/>
    <w:rsid w:val="00F53456"/>
    <w:rsid w:val="00F53468"/>
    <w:rsid w:val="00F53483"/>
    <w:rsid w:val="00F534C8"/>
    <w:rsid w:val="00F534FB"/>
    <w:rsid w:val="00F53535"/>
    <w:rsid w:val="00F53624"/>
    <w:rsid w:val="00F5378B"/>
    <w:rsid w:val="00F53814"/>
    <w:rsid w:val="00F538FD"/>
    <w:rsid w:val="00F53B1A"/>
    <w:rsid w:val="00F53C5B"/>
    <w:rsid w:val="00F53E7F"/>
    <w:rsid w:val="00F5400F"/>
    <w:rsid w:val="00F54038"/>
    <w:rsid w:val="00F5406C"/>
    <w:rsid w:val="00F54199"/>
    <w:rsid w:val="00F5419E"/>
    <w:rsid w:val="00F54272"/>
    <w:rsid w:val="00F5429A"/>
    <w:rsid w:val="00F54484"/>
    <w:rsid w:val="00F5454A"/>
    <w:rsid w:val="00F54658"/>
    <w:rsid w:val="00F546D8"/>
    <w:rsid w:val="00F54703"/>
    <w:rsid w:val="00F547CF"/>
    <w:rsid w:val="00F5481B"/>
    <w:rsid w:val="00F54866"/>
    <w:rsid w:val="00F5486C"/>
    <w:rsid w:val="00F548E7"/>
    <w:rsid w:val="00F54979"/>
    <w:rsid w:val="00F54A56"/>
    <w:rsid w:val="00F54B06"/>
    <w:rsid w:val="00F54C17"/>
    <w:rsid w:val="00F54C92"/>
    <w:rsid w:val="00F54D52"/>
    <w:rsid w:val="00F54DDF"/>
    <w:rsid w:val="00F54EC2"/>
    <w:rsid w:val="00F54ECF"/>
    <w:rsid w:val="00F54F09"/>
    <w:rsid w:val="00F54F6C"/>
    <w:rsid w:val="00F55002"/>
    <w:rsid w:val="00F5504F"/>
    <w:rsid w:val="00F551A2"/>
    <w:rsid w:val="00F551E1"/>
    <w:rsid w:val="00F55273"/>
    <w:rsid w:val="00F55302"/>
    <w:rsid w:val="00F55324"/>
    <w:rsid w:val="00F55366"/>
    <w:rsid w:val="00F55384"/>
    <w:rsid w:val="00F553B3"/>
    <w:rsid w:val="00F55543"/>
    <w:rsid w:val="00F55646"/>
    <w:rsid w:val="00F55694"/>
    <w:rsid w:val="00F556A9"/>
    <w:rsid w:val="00F557EF"/>
    <w:rsid w:val="00F55813"/>
    <w:rsid w:val="00F558D1"/>
    <w:rsid w:val="00F558F0"/>
    <w:rsid w:val="00F55A70"/>
    <w:rsid w:val="00F55CE6"/>
    <w:rsid w:val="00F55D74"/>
    <w:rsid w:val="00F55E68"/>
    <w:rsid w:val="00F560E6"/>
    <w:rsid w:val="00F5610C"/>
    <w:rsid w:val="00F56246"/>
    <w:rsid w:val="00F56371"/>
    <w:rsid w:val="00F563EF"/>
    <w:rsid w:val="00F56718"/>
    <w:rsid w:val="00F568D8"/>
    <w:rsid w:val="00F56A03"/>
    <w:rsid w:val="00F56A08"/>
    <w:rsid w:val="00F56B45"/>
    <w:rsid w:val="00F56B70"/>
    <w:rsid w:val="00F56BB6"/>
    <w:rsid w:val="00F56C12"/>
    <w:rsid w:val="00F56D97"/>
    <w:rsid w:val="00F56DA3"/>
    <w:rsid w:val="00F56E05"/>
    <w:rsid w:val="00F56E30"/>
    <w:rsid w:val="00F56E4C"/>
    <w:rsid w:val="00F570BC"/>
    <w:rsid w:val="00F57102"/>
    <w:rsid w:val="00F572DD"/>
    <w:rsid w:val="00F5730F"/>
    <w:rsid w:val="00F575D2"/>
    <w:rsid w:val="00F575E9"/>
    <w:rsid w:val="00F57A6E"/>
    <w:rsid w:val="00F57A7D"/>
    <w:rsid w:val="00F57A87"/>
    <w:rsid w:val="00F57A89"/>
    <w:rsid w:val="00F57AA2"/>
    <w:rsid w:val="00F57B0D"/>
    <w:rsid w:val="00F57C24"/>
    <w:rsid w:val="00F57CFB"/>
    <w:rsid w:val="00F57D62"/>
    <w:rsid w:val="00F57DF9"/>
    <w:rsid w:val="00F57E3A"/>
    <w:rsid w:val="00F60138"/>
    <w:rsid w:val="00F601D7"/>
    <w:rsid w:val="00F604E3"/>
    <w:rsid w:val="00F604EA"/>
    <w:rsid w:val="00F60583"/>
    <w:rsid w:val="00F60627"/>
    <w:rsid w:val="00F60690"/>
    <w:rsid w:val="00F606EF"/>
    <w:rsid w:val="00F60758"/>
    <w:rsid w:val="00F60804"/>
    <w:rsid w:val="00F609CC"/>
    <w:rsid w:val="00F60A86"/>
    <w:rsid w:val="00F60B88"/>
    <w:rsid w:val="00F60BBC"/>
    <w:rsid w:val="00F60C51"/>
    <w:rsid w:val="00F60DBE"/>
    <w:rsid w:val="00F6100E"/>
    <w:rsid w:val="00F6120D"/>
    <w:rsid w:val="00F61258"/>
    <w:rsid w:val="00F6131B"/>
    <w:rsid w:val="00F61330"/>
    <w:rsid w:val="00F613D4"/>
    <w:rsid w:val="00F614EA"/>
    <w:rsid w:val="00F6158C"/>
    <w:rsid w:val="00F617F2"/>
    <w:rsid w:val="00F6197F"/>
    <w:rsid w:val="00F61BC4"/>
    <w:rsid w:val="00F61EE0"/>
    <w:rsid w:val="00F61F03"/>
    <w:rsid w:val="00F620C3"/>
    <w:rsid w:val="00F62177"/>
    <w:rsid w:val="00F62311"/>
    <w:rsid w:val="00F623BB"/>
    <w:rsid w:val="00F6253B"/>
    <w:rsid w:val="00F62574"/>
    <w:rsid w:val="00F625BF"/>
    <w:rsid w:val="00F62695"/>
    <w:rsid w:val="00F626DC"/>
    <w:rsid w:val="00F62719"/>
    <w:rsid w:val="00F628BE"/>
    <w:rsid w:val="00F629A2"/>
    <w:rsid w:val="00F62A9E"/>
    <w:rsid w:val="00F62B01"/>
    <w:rsid w:val="00F62B12"/>
    <w:rsid w:val="00F62B4B"/>
    <w:rsid w:val="00F62B7D"/>
    <w:rsid w:val="00F62B94"/>
    <w:rsid w:val="00F62E4C"/>
    <w:rsid w:val="00F62F0E"/>
    <w:rsid w:val="00F63044"/>
    <w:rsid w:val="00F63063"/>
    <w:rsid w:val="00F631C0"/>
    <w:rsid w:val="00F63262"/>
    <w:rsid w:val="00F6335E"/>
    <w:rsid w:val="00F63380"/>
    <w:rsid w:val="00F63430"/>
    <w:rsid w:val="00F63441"/>
    <w:rsid w:val="00F634B6"/>
    <w:rsid w:val="00F634BB"/>
    <w:rsid w:val="00F634DB"/>
    <w:rsid w:val="00F635C6"/>
    <w:rsid w:val="00F636A9"/>
    <w:rsid w:val="00F637BC"/>
    <w:rsid w:val="00F63983"/>
    <w:rsid w:val="00F63993"/>
    <w:rsid w:val="00F63ACE"/>
    <w:rsid w:val="00F63B22"/>
    <w:rsid w:val="00F63BF8"/>
    <w:rsid w:val="00F63DC6"/>
    <w:rsid w:val="00F63E61"/>
    <w:rsid w:val="00F63EFE"/>
    <w:rsid w:val="00F63F65"/>
    <w:rsid w:val="00F6405E"/>
    <w:rsid w:val="00F640A2"/>
    <w:rsid w:val="00F640C2"/>
    <w:rsid w:val="00F6410D"/>
    <w:rsid w:val="00F64320"/>
    <w:rsid w:val="00F6434C"/>
    <w:rsid w:val="00F64384"/>
    <w:rsid w:val="00F64481"/>
    <w:rsid w:val="00F64532"/>
    <w:rsid w:val="00F6453B"/>
    <w:rsid w:val="00F6454E"/>
    <w:rsid w:val="00F646A8"/>
    <w:rsid w:val="00F646B1"/>
    <w:rsid w:val="00F648B7"/>
    <w:rsid w:val="00F648D3"/>
    <w:rsid w:val="00F6495D"/>
    <w:rsid w:val="00F649DD"/>
    <w:rsid w:val="00F64AB7"/>
    <w:rsid w:val="00F64D3E"/>
    <w:rsid w:val="00F64D72"/>
    <w:rsid w:val="00F64D92"/>
    <w:rsid w:val="00F64F83"/>
    <w:rsid w:val="00F65049"/>
    <w:rsid w:val="00F651B9"/>
    <w:rsid w:val="00F65302"/>
    <w:rsid w:val="00F65566"/>
    <w:rsid w:val="00F6560D"/>
    <w:rsid w:val="00F65699"/>
    <w:rsid w:val="00F656F9"/>
    <w:rsid w:val="00F65717"/>
    <w:rsid w:val="00F6582A"/>
    <w:rsid w:val="00F65877"/>
    <w:rsid w:val="00F658C8"/>
    <w:rsid w:val="00F659E8"/>
    <w:rsid w:val="00F65BCF"/>
    <w:rsid w:val="00F65BE3"/>
    <w:rsid w:val="00F65C98"/>
    <w:rsid w:val="00F65D2E"/>
    <w:rsid w:val="00F65DC1"/>
    <w:rsid w:val="00F65E17"/>
    <w:rsid w:val="00F66015"/>
    <w:rsid w:val="00F660A1"/>
    <w:rsid w:val="00F660E2"/>
    <w:rsid w:val="00F66182"/>
    <w:rsid w:val="00F662D7"/>
    <w:rsid w:val="00F6637C"/>
    <w:rsid w:val="00F663A1"/>
    <w:rsid w:val="00F664C1"/>
    <w:rsid w:val="00F6671D"/>
    <w:rsid w:val="00F667C4"/>
    <w:rsid w:val="00F667C5"/>
    <w:rsid w:val="00F66805"/>
    <w:rsid w:val="00F66ADC"/>
    <w:rsid w:val="00F66B09"/>
    <w:rsid w:val="00F66B33"/>
    <w:rsid w:val="00F66C19"/>
    <w:rsid w:val="00F66CD2"/>
    <w:rsid w:val="00F66DBB"/>
    <w:rsid w:val="00F66DEA"/>
    <w:rsid w:val="00F66DF3"/>
    <w:rsid w:val="00F6709D"/>
    <w:rsid w:val="00F671EB"/>
    <w:rsid w:val="00F6722C"/>
    <w:rsid w:val="00F67486"/>
    <w:rsid w:val="00F675BB"/>
    <w:rsid w:val="00F67693"/>
    <w:rsid w:val="00F679AE"/>
    <w:rsid w:val="00F67A81"/>
    <w:rsid w:val="00F67AD1"/>
    <w:rsid w:val="00F67AFC"/>
    <w:rsid w:val="00F67B08"/>
    <w:rsid w:val="00F67B78"/>
    <w:rsid w:val="00F67BBC"/>
    <w:rsid w:val="00F67C8A"/>
    <w:rsid w:val="00F67D89"/>
    <w:rsid w:val="00F67F3F"/>
    <w:rsid w:val="00F67F9A"/>
    <w:rsid w:val="00F67FE1"/>
    <w:rsid w:val="00F701A0"/>
    <w:rsid w:val="00F70283"/>
    <w:rsid w:val="00F70314"/>
    <w:rsid w:val="00F70322"/>
    <w:rsid w:val="00F70378"/>
    <w:rsid w:val="00F703F2"/>
    <w:rsid w:val="00F7051A"/>
    <w:rsid w:val="00F70545"/>
    <w:rsid w:val="00F70546"/>
    <w:rsid w:val="00F705D4"/>
    <w:rsid w:val="00F70993"/>
    <w:rsid w:val="00F70AB5"/>
    <w:rsid w:val="00F70B17"/>
    <w:rsid w:val="00F70B63"/>
    <w:rsid w:val="00F70C47"/>
    <w:rsid w:val="00F70D0A"/>
    <w:rsid w:val="00F70DC5"/>
    <w:rsid w:val="00F70E15"/>
    <w:rsid w:val="00F70E5F"/>
    <w:rsid w:val="00F70F42"/>
    <w:rsid w:val="00F70F99"/>
    <w:rsid w:val="00F70FC9"/>
    <w:rsid w:val="00F71009"/>
    <w:rsid w:val="00F71044"/>
    <w:rsid w:val="00F710A3"/>
    <w:rsid w:val="00F7111E"/>
    <w:rsid w:val="00F71172"/>
    <w:rsid w:val="00F71240"/>
    <w:rsid w:val="00F713E8"/>
    <w:rsid w:val="00F71458"/>
    <w:rsid w:val="00F71590"/>
    <w:rsid w:val="00F715B5"/>
    <w:rsid w:val="00F7161F"/>
    <w:rsid w:val="00F71623"/>
    <w:rsid w:val="00F71805"/>
    <w:rsid w:val="00F71901"/>
    <w:rsid w:val="00F719DA"/>
    <w:rsid w:val="00F71D3E"/>
    <w:rsid w:val="00F71D6B"/>
    <w:rsid w:val="00F71DC2"/>
    <w:rsid w:val="00F71E94"/>
    <w:rsid w:val="00F71EA4"/>
    <w:rsid w:val="00F71F3E"/>
    <w:rsid w:val="00F72056"/>
    <w:rsid w:val="00F720E7"/>
    <w:rsid w:val="00F7227D"/>
    <w:rsid w:val="00F722E6"/>
    <w:rsid w:val="00F72367"/>
    <w:rsid w:val="00F7238E"/>
    <w:rsid w:val="00F723EA"/>
    <w:rsid w:val="00F7254A"/>
    <w:rsid w:val="00F725ED"/>
    <w:rsid w:val="00F72621"/>
    <w:rsid w:val="00F726DF"/>
    <w:rsid w:val="00F72749"/>
    <w:rsid w:val="00F728AC"/>
    <w:rsid w:val="00F728CF"/>
    <w:rsid w:val="00F72976"/>
    <w:rsid w:val="00F7298A"/>
    <w:rsid w:val="00F729CA"/>
    <w:rsid w:val="00F72B08"/>
    <w:rsid w:val="00F72BEE"/>
    <w:rsid w:val="00F72F39"/>
    <w:rsid w:val="00F72F50"/>
    <w:rsid w:val="00F72FA2"/>
    <w:rsid w:val="00F73033"/>
    <w:rsid w:val="00F7305F"/>
    <w:rsid w:val="00F73122"/>
    <w:rsid w:val="00F732C6"/>
    <w:rsid w:val="00F733E5"/>
    <w:rsid w:val="00F734A0"/>
    <w:rsid w:val="00F73616"/>
    <w:rsid w:val="00F73926"/>
    <w:rsid w:val="00F73991"/>
    <w:rsid w:val="00F73A63"/>
    <w:rsid w:val="00F73AB5"/>
    <w:rsid w:val="00F73AE9"/>
    <w:rsid w:val="00F73BDB"/>
    <w:rsid w:val="00F73CBF"/>
    <w:rsid w:val="00F73F8B"/>
    <w:rsid w:val="00F74149"/>
    <w:rsid w:val="00F742C8"/>
    <w:rsid w:val="00F7433D"/>
    <w:rsid w:val="00F74433"/>
    <w:rsid w:val="00F74519"/>
    <w:rsid w:val="00F74570"/>
    <w:rsid w:val="00F74661"/>
    <w:rsid w:val="00F746AE"/>
    <w:rsid w:val="00F74894"/>
    <w:rsid w:val="00F74976"/>
    <w:rsid w:val="00F74AD1"/>
    <w:rsid w:val="00F74CB5"/>
    <w:rsid w:val="00F74E34"/>
    <w:rsid w:val="00F750B5"/>
    <w:rsid w:val="00F75256"/>
    <w:rsid w:val="00F753A5"/>
    <w:rsid w:val="00F75482"/>
    <w:rsid w:val="00F7560A"/>
    <w:rsid w:val="00F7566A"/>
    <w:rsid w:val="00F758EE"/>
    <w:rsid w:val="00F7597E"/>
    <w:rsid w:val="00F75A43"/>
    <w:rsid w:val="00F75A79"/>
    <w:rsid w:val="00F75AA0"/>
    <w:rsid w:val="00F75B00"/>
    <w:rsid w:val="00F75C38"/>
    <w:rsid w:val="00F75FA2"/>
    <w:rsid w:val="00F761DC"/>
    <w:rsid w:val="00F762FE"/>
    <w:rsid w:val="00F763C2"/>
    <w:rsid w:val="00F76560"/>
    <w:rsid w:val="00F766A7"/>
    <w:rsid w:val="00F76774"/>
    <w:rsid w:val="00F767DF"/>
    <w:rsid w:val="00F76A6B"/>
    <w:rsid w:val="00F77004"/>
    <w:rsid w:val="00F7738B"/>
    <w:rsid w:val="00F77434"/>
    <w:rsid w:val="00F775D9"/>
    <w:rsid w:val="00F77631"/>
    <w:rsid w:val="00F776FD"/>
    <w:rsid w:val="00F7786C"/>
    <w:rsid w:val="00F77BC3"/>
    <w:rsid w:val="00F77D86"/>
    <w:rsid w:val="00F77D97"/>
    <w:rsid w:val="00F77D9C"/>
    <w:rsid w:val="00F77ED5"/>
    <w:rsid w:val="00F77EDE"/>
    <w:rsid w:val="00F77F10"/>
    <w:rsid w:val="00F77F28"/>
    <w:rsid w:val="00F77F9C"/>
    <w:rsid w:val="00F8020B"/>
    <w:rsid w:val="00F8048A"/>
    <w:rsid w:val="00F8050F"/>
    <w:rsid w:val="00F80533"/>
    <w:rsid w:val="00F80642"/>
    <w:rsid w:val="00F80645"/>
    <w:rsid w:val="00F809B4"/>
    <w:rsid w:val="00F80A2A"/>
    <w:rsid w:val="00F80F63"/>
    <w:rsid w:val="00F81313"/>
    <w:rsid w:val="00F81381"/>
    <w:rsid w:val="00F815B2"/>
    <w:rsid w:val="00F81718"/>
    <w:rsid w:val="00F8172A"/>
    <w:rsid w:val="00F81735"/>
    <w:rsid w:val="00F817F9"/>
    <w:rsid w:val="00F8183D"/>
    <w:rsid w:val="00F81984"/>
    <w:rsid w:val="00F81A64"/>
    <w:rsid w:val="00F81DFB"/>
    <w:rsid w:val="00F81E72"/>
    <w:rsid w:val="00F82069"/>
    <w:rsid w:val="00F82121"/>
    <w:rsid w:val="00F82143"/>
    <w:rsid w:val="00F822B4"/>
    <w:rsid w:val="00F82327"/>
    <w:rsid w:val="00F8242D"/>
    <w:rsid w:val="00F8251E"/>
    <w:rsid w:val="00F825F1"/>
    <w:rsid w:val="00F82774"/>
    <w:rsid w:val="00F827DA"/>
    <w:rsid w:val="00F8285F"/>
    <w:rsid w:val="00F828B0"/>
    <w:rsid w:val="00F828FD"/>
    <w:rsid w:val="00F82993"/>
    <w:rsid w:val="00F82AA3"/>
    <w:rsid w:val="00F82AAC"/>
    <w:rsid w:val="00F82C3E"/>
    <w:rsid w:val="00F82E3D"/>
    <w:rsid w:val="00F8302D"/>
    <w:rsid w:val="00F83074"/>
    <w:rsid w:val="00F830CE"/>
    <w:rsid w:val="00F831B1"/>
    <w:rsid w:val="00F83210"/>
    <w:rsid w:val="00F83299"/>
    <w:rsid w:val="00F832DC"/>
    <w:rsid w:val="00F832EE"/>
    <w:rsid w:val="00F83300"/>
    <w:rsid w:val="00F8335C"/>
    <w:rsid w:val="00F833A2"/>
    <w:rsid w:val="00F8340F"/>
    <w:rsid w:val="00F83512"/>
    <w:rsid w:val="00F83573"/>
    <w:rsid w:val="00F8371F"/>
    <w:rsid w:val="00F83797"/>
    <w:rsid w:val="00F83831"/>
    <w:rsid w:val="00F83832"/>
    <w:rsid w:val="00F83866"/>
    <w:rsid w:val="00F83977"/>
    <w:rsid w:val="00F83C1F"/>
    <w:rsid w:val="00F83CCD"/>
    <w:rsid w:val="00F83D88"/>
    <w:rsid w:val="00F83E53"/>
    <w:rsid w:val="00F83E9F"/>
    <w:rsid w:val="00F83F10"/>
    <w:rsid w:val="00F83F1F"/>
    <w:rsid w:val="00F83F65"/>
    <w:rsid w:val="00F83FE8"/>
    <w:rsid w:val="00F84057"/>
    <w:rsid w:val="00F84199"/>
    <w:rsid w:val="00F84288"/>
    <w:rsid w:val="00F84429"/>
    <w:rsid w:val="00F8446C"/>
    <w:rsid w:val="00F847C2"/>
    <w:rsid w:val="00F84878"/>
    <w:rsid w:val="00F84934"/>
    <w:rsid w:val="00F849C6"/>
    <w:rsid w:val="00F84B17"/>
    <w:rsid w:val="00F84B1F"/>
    <w:rsid w:val="00F84B85"/>
    <w:rsid w:val="00F84DD4"/>
    <w:rsid w:val="00F84E2D"/>
    <w:rsid w:val="00F84E60"/>
    <w:rsid w:val="00F84FBB"/>
    <w:rsid w:val="00F84FDF"/>
    <w:rsid w:val="00F8504C"/>
    <w:rsid w:val="00F85077"/>
    <w:rsid w:val="00F850D1"/>
    <w:rsid w:val="00F852AE"/>
    <w:rsid w:val="00F852F1"/>
    <w:rsid w:val="00F853A5"/>
    <w:rsid w:val="00F85414"/>
    <w:rsid w:val="00F85452"/>
    <w:rsid w:val="00F8545A"/>
    <w:rsid w:val="00F8547A"/>
    <w:rsid w:val="00F856A0"/>
    <w:rsid w:val="00F85769"/>
    <w:rsid w:val="00F857E9"/>
    <w:rsid w:val="00F857EE"/>
    <w:rsid w:val="00F8580A"/>
    <w:rsid w:val="00F85957"/>
    <w:rsid w:val="00F85A01"/>
    <w:rsid w:val="00F85ABB"/>
    <w:rsid w:val="00F85B2A"/>
    <w:rsid w:val="00F85B39"/>
    <w:rsid w:val="00F85BCE"/>
    <w:rsid w:val="00F85C59"/>
    <w:rsid w:val="00F85D61"/>
    <w:rsid w:val="00F85D85"/>
    <w:rsid w:val="00F85DBA"/>
    <w:rsid w:val="00F85DF2"/>
    <w:rsid w:val="00F85E89"/>
    <w:rsid w:val="00F861F7"/>
    <w:rsid w:val="00F86426"/>
    <w:rsid w:val="00F86454"/>
    <w:rsid w:val="00F867A9"/>
    <w:rsid w:val="00F867B9"/>
    <w:rsid w:val="00F868FA"/>
    <w:rsid w:val="00F86935"/>
    <w:rsid w:val="00F869EA"/>
    <w:rsid w:val="00F86A33"/>
    <w:rsid w:val="00F86AA8"/>
    <w:rsid w:val="00F86BB6"/>
    <w:rsid w:val="00F86C3C"/>
    <w:rsid w:val="00F86E72"/>
    <w:rsid w:val="00F86E8B"/>
    <w:rsid w:val="00F86FE0"/>
    <w:rsid w:val="00F87258"/>
    <w:rsid w:val="00F87333"/>
    <w:rsid w:val="00F8752E"/>
    <w:rsid w:val="00F875F2"/>
    <w:rsid w:val="00F87614"/>
    <w:rsid w:val="00F8768B"/>
    <w:rsid w:val="00F876E3"/>
    <w:rsid w:val="00F87741"/>
    <w:rsid w:val="00F87938"/>
    <w:rsid w:val="00F879B6"/>
    <w:rsid w:val="00F87AC2"/>
    <w:rsid w:val="00F87AD7"/>
    <w:rsid w:val="00F87C86"/>
    <w:rsid w:val="00F87CE7"/>
    <w:rsid w:val="00F87CE8"/>
    <w:rsid w:val="00F87D28"/>
    <w:rsid w:val="00F87DC7"/>
    <w:rsid w:val="00F87E82"/>
    <w:rsid w:val="00F87FC7"/>
    <w:rsid w:val="00F87FE5"/>
    <w:rsid w:val="00F87FFE"/>
    <w:rsid w:val="00F901D4"/>
    <w:rsid w:val="00F9028A"/>
    <w:rsid w:val="00F902A6"/>
    <w:rsid w:val="00F902A8"/>
    <w:rsid w:val="00F90329"/>
    <w:rsid w:val="00F9035B"/>
    <w:rsid w:val="00F90476"/>
    <w:rsid w:val="00F9068A"/>
    <w:rsid w:val="00F907F2"/>
    <w:rsid w:val="00F90854"/>
    <w:rsid w:val="00F90857"/>
    <w:rsid w:val="00F90CDE"/>
    <w:rsid w:val="00F90F78"/>
    <w:rsid w:val="00F91020"/>
    <w:rsid w:val="00F910D1"/>
    <w:rsid w:val="00F910F7"/>
    <w:rsid w:val="00F912C1"/>
    <w:rsid w:val="00F9138D"/>
    <w:rsid w:val="00F913BB"/>
    <w:rsid w:val="00F9151E"/>
    <w:rsid w:val="00F91565"/>
    <w:rsid w:val="00F91575"/>
    <w:rsid w:val="00F91650"/>
    <w:rsid w:val="00F916C4"/>
    <w:rsid w:val="00F9186C"/>
    <w:rsid w:val="00F919E3"/>
    <w:rsid w:val="00F91BE2"/>
    <w:rsid w:val="00F91BF0"/>
    <w:rsid w:val="00F91C0E"/>
    <w:rsid w:val="00F91CFC"/>
    <w:rsid w:val="00F91D49"/>
    <w:rsid w:val="00F91F3B"/>
    <w:rsid w:val="00F91FB0"/>
    <w:rsid w:val="00F9203A"/>
    <w:rsid w:val="00F920D4"/>
    <w:rsid w:val="00F920EE"/>
    <w:rsid w:val="00F92118"/>
    <w:rsid w:val="00F9212D"/>
    <w:rsid w:val="00F9220D"/>
    <w:rsid w:val="00F92257"/>
    <w:rsid w:val="00F9239E"/>
    <w:rsid w:val="00F926EA"/>
    <w:rsid w:val="00F928D5"/>
    <w:rsid w:val="00F9298B"/>
    <w:rsid w:val="00F92B46"/>
    <w:rsid w:val="00F92BEB"/>
    <w:rsid w:val="00F92C06"/>
    <w:rsid w:val="00F92C16"/>
    <w:rsid w:val="00F92CB2"/>
    <w:rsid w:val="00F92E10"/>
    <w:rsid w:val="00F92E27"/>
    <w:rsid w:val="00F92EE2"/>
    <w:rsid w:val="00F930A2"/>
    <w:rsid w:val="00F931E4"/>
    <w:rsid w:val="00F931EC"/>
    <w:rsid w:val="00F932F2"/>
    <w:rsid w:val="00F93302"/>
    <w:rsid w:val="00F9331A"/>
    <w:rsid w:val="00F934F7"/>
    <w:rsid w:val="00F936A7"/>
    <w:rsid w:val="00F93784"/>
    <w:rsid w:val="00F93A40"/>
    <w:rsid w:val="00F93A8E"/>
    <w:rsid w:val="00F93BBD"/>
    <w:rsid w:val="00F93C07"/>
    <w:rsid w:val="00F93DFF"/>
    <w:rsid w:val="00F93F44"/>
    <w:rsid w:val="00F93F89"/>
    <w:rsid w:val="00F93FB1"/>
    <w:rsid w:val="00F93FC4"/>
    <w:rsid w:val="00F9403A"/>
    <w:rsid w:val="00F9403D"/>
    <w:rsid w:val="00F94116"/>
    <w:rsid w:val="00F9413A"/>
    <w:rsid w:val="00F941DA"/>
    <w:rsid w:val="00F94564"/>
    <w:rsid w:val="00F946E6"/>
    <w:rsid w:val="00F94921"/>
    <w:rsid w:val="00F94AEE"/>
    <w:rsid w:val="00F94B8E"/>
    <w:rsid w:val="00F94B93"/>
    <w:rsid w:val="00F94B9D"/>
    <w:rsid w:val="00F94BCC"/>
    <w:rsid w:val="00F94C2E"/>
    <w:rsid w:val="00F94CF3"/>
    <w:rsid w:val="00F94D0C"/>
    <w:rsid w:val="00F94D0D"/>
    <w:rsid w:val="00F94E55"/>
    <w:rsid w:val="00F94F6F"/>
    <w:rsid w:val="00F94F77"/>
    <w:rsid w:val="00F94FD1"/>
    <w:rsid w:val="00F9506D"/>
    <w:rsid w:val="00F9510F"/>
    <w:rsid w:val="00F95131"/>
    <w:rsid w:val="00F9516D"/>
    <w:rsid w:val="00F95190"/>
    <w:rsid w:val="00F951C2"/>
    <w:rsid w:val="00F95252"/>
    <w:rsid w:val="00F953CA"/>
    <w:rsid w:val="00F953F0"/>
    <w:rsid w:val="00F954A4"/>
    <w:rsid w:val="00F9551F"/>
    <w:rsid w:val="00F955B7"/>
    <w:rsid w:val="00F956EC"/>
    <w:rsid w:val="00F9575C"/>
    <w:rsid w:val="00F957AC"/>
    <w:rsid w:val="00F958A6"/>
    <w:rsid w:val="00F959B7"/>
    <w:rsid w:val="00F959CB"/>
    <w:rsid w:val="00F959E0"/>
    <w:rsid w:val="00F95A6C"/>
    <w:rsid w:val="00F95B0C"/>
    <w:rsid w:val="00F95DA4"/>
    <w:rsid w:val="00F95E33"/>
    <w:rsid w:val="00F95E8A"/>
    <w:rsid w:val="00F95E98"/>
    <w:rsid w:val="00F95EFB"/>
    <w:rsid w:val="00F9628B"/>
    <w:rsid w:val="00F962F0"/>
    <w:rsid w:val="00F963F2"/>
    <w:rsid w:val="00F9642E"/>
    <w:rsid w:val="00F964A3"/>
    <w:rsid w:val="00F9653F"/>
    <w:rsid w:val="00F9661F"/>
    <w:rsid w:val="00F96730"/>
    <w:rsid w:val="00F9673C"/>
    <w:rsid w:val="00F96910"/>
    <w:rsid w:val="00F9693F"/>
    <w:rsid w:val="00F96A01"/>
    <w:rsid w:val="00F96AE2"/>
    <w:rsid w:val="00F96B04"/>
    <w:rsid w:val="00F96CAD"/>
    <w:rsid w:val="00F96CB6"/>
    <w:rsid w:val="00F96D17"/>
    <w:rsid w:val="00F96D63"/>
    <w:rsid w:val="00F96DBB"/>
    <w:rsid w:val="00F96F60"/>
    <w:rsid w:val="00F970BE"/>
    <w:rsid w:val="00F9719D"/>
    <w:rsid w:val="00F97390"/>
    <w:rsid w:val="00F975D2"/>
    <w:rsid w:val="00F97613"/>
    <w:rsid w:val="00F97BE3"/>
    <w:rsid w:val="00F97DDC"/>
    <w:rsid w:val="00F97EA0"/>
    <w:rsid w:val="00F97F61"/>
    <w:rsid w:val="00FA039E"/>
    <w:rsid w:val="00FA042D"/>
    <w:rsid w:val="00FA0643"/>
    <w:rsid w:val="00FA07C8"/>
    <w:rsid w:val="00FA087B"/>
    <w:rsid w:val="00FA0A79"/>
    <w:rsid w:val="00FA0B00"/>
    <w:rsid w:val="00FA0C0A"/>
    <w:rsid w:val="00FA0D09"/>
    <w:rsid w:val="00FA0D30"/>
    <w:rsid w:val="00FA0EA1"/>
    <w:rsid w:val="00FA0F14"/>
    <w:rsid w:val="00FA0F8D"/>
    <w:rsid w:val="00FA0F92"/>
    <w:rsid w:val="00FA10BE"/>
    <w:rsid w:val="00FA126C"/>
    <w:rsid w:val="00FA1272"/>
    <w:rsid w:val="00FA15CF"/>
    <w:rsid w:val="00FA1729"/>
    <w:rsid w:val="00FA1758"/>
    <w:rsid w:val="00FA17F0"/>
    <w:rsid w:val="00FA195C"/>
    <w:rsid w:val="00FA19D3"/>
    <w:rsid w:val="00FA1A0A"/>
    <w:rsid w:val="00FA1B5F"/>
    <w:rsid w:val="00FA1C56"/>
    <w:rsid w:val="00FA1C7A"/>
    <w:rsid w:val="00FA1CA0"/>
    <w:rsid w:val="00FA1FDD"/>
    <w:rsid w:val="00FA2039"/>
    <w:rsid w:val="00FA2229"/>
    <w:rsid w:val="00FA224E"/>
    <w:rsid w:val="00FA23B5"/>
    <w:rsid w:val="00FA2561"/>
    <w:rsid w:val="00FA257E"/>
    <w:rsid w:val="00FA2785"/>
    <w:rsid w:val="00FA278B"/>
    <w:rsid w:val="00FA2792"/>
    <w:rsid w:val="00FA27CB"/>
    <w:rsid w:val="00FA28C3"/>
    <w:rsid w:val="00FA2B0B"/>
    <w:rsid w:val="00FA2C58"/>
    <w:rsid w:val="00FA2C5E"/>
    <w:rsid w:val="00FA2CC5"/>
    <w:rsid w:val="00FA2CD2"/>
    <w:rsid w:val="00FA2CDB"/>
    <w:rsid w:val="00FA2D3F"/>
    <w:rsid w:val="00FA2D56"/>
    <w:rsid w:val="00FA2DF9"/>
    <w:rsid w:val="00FA2F6C"/>
    <w:rsid w:val="00FA300F"/>
    <w:rsid w:val="00FA306A"/>
    <w:rsid w:val="00FA31E0"/>
    <w:rsid w:val="00FA335D"/>
    <w:rsid w:val="00FA34AC"/>
    <w:rsid w:val="00FA35CA"/>
    <w:rsid w:val="00FA377C"/>
    <w:rsid w:val="00FA3845"/>
    <w:rsid w:val="00FA385C"/>
    <w:rsid w:val="00FA388E"/>
    <w:rsid w:val="00FA3898"/>
    <w:rsid w:val="00FA3B33"/>
    <w:rsid w:val="00FA3B90"/>
    <w:rsid w:val="00FA3CE1"/>
    <w:rsid w:val="00FA3D0F"/>
    <w:rsid w:val="00FA3D32"/>
    <w:rsid w:val="00FA3DE1"/>
    <w:rsid w:val="00FA3E1D"/>
    <w:rsid w:val="00FA3F1B"/>
    <w:rsid w:val="00FA3F8F"/>
    <w:rsid w:val="00FA4034"/>
    <w:rsid w:val="00FA40A4"/>
    <w:rsid w:val="00FA4151"/>
    <w:rsid w:val="00FA4177"/>
    <w:rsid w:val="00FA4197"/>
    <w:rsid w:val="00FA434B"/>
    <w:rsid w:val="00FA4402"/>
    <w:rsid w:val="00FA442C"/>
    <w:rsid w:val="00FA444A"/>
    <w:rsid w:val="00FA44D3"/>
    <w:rsid w:val="00FA467B"/>
    <w:rsid w:val="00FA4733"/>
    <w:rsid w:val="00FA4945"/>
    <w:rsid w:val="00FA499D"/>
    <w:rsid w:val="00FA4AA8"/>
    <w:rsid w:val="00FA4ACB"/>
    <w:rsid w:val="00FA4AEC"/>
    <w:rsid w:val="00FA4B84"/>
    <w:rsid w:val="00FA4C7B"/>
    <w:rsid w:val="00FA4CB5"/>
    <w:rsid w:val="00FA4CD5"/>
    <w:rsid w:val="00FA4DA5"/>
    <w:rsid w:val="00FA5267"/>
    <w:rsid w:val="00FA54C1"/>
    <w:rsid w:val="00FA55AE"/>
    <w:rsid w:val="00FA55DF"/>
    <w:rsid w:val="00FA5801"/>
    <w:rsid w:val="00FA5869"/>
    <w:rsid w:val="00FA5891"/>
    <w:rsid w:val="00FA58E7"/>
    <w:rsid w:val="00FA5969"/>
    <w:rsid w:val="00FA5AD6"/>
    <w:rsid w:val="00FA5B8A"/>
    <w:rsid w:val="00FA5BCF"/>
    <w:rsid w:val="00FA5C22"/>
    <w:rsid w:val="00FA5CB6"/>
    <w:rsid w:val="00FA5E85"/>
    <w:rsid w:val="00FA6112"/>
    <w:rsid w:val="00FA61DD"/>
    <w:rsid w:val="00FA6424"/>
    <w:rsid w:val="00FA654A"/>
    <w:rsid w:val="00FA6739"/>
    <w:rsid w:val="00FA67A1"/>
    <w:rsid w:val="00FA6A03"/>
    <w:rsid w:val="00FA6AEC"/>
    <w:rsid w:val="00FA6BE7"/>
    <w:rsid w:val="00FA6C48"/>
    <w:rsid w:val="00FA6CF3"/>
    <w:rsid w:val="00FA6CFB"/>
    <w:rsid w:val="00FA6D20"/>
    <w:rsid w:val="00FA6F96"/>
    <w:rsid w:val="00FA700B"/>
    <w:rsid w:val="00FA7031"/>
    <w:rsid w:val="00FA73B9"/>
    <w:rsid w:val="00FA746C"/>
    <w:rsid w:val="00FA747B"/>
    <w:rsid w:val="00FA74E6"/>
    <w:rsid w:val="00FA7569"/>
    <w:rsid w:val="00FA7793"/>
    <w:rsid w:val="00FA7945"/>
    <w:rsid w:val="00FA7A40"/>
    <w:rsid w:val="00FA7A88"/>
    <w:rsid w:val="00FA7A8E"/>
    <w:rsid w:val="00FA7AD9"/>
    <w:rsid w:val="00FA7AE1"/>
    <w:rsid w:val="00FA7C23"/>
    <w:rsid w:val="00FA7D07"/>
    <w:rsid w:val="00FA7E72"/>
    <w:rsid w:val="00FA7EDC"/>
    <w:rsid w:val="00FA7F24"/>
    <w:rsid w:val="00FA7F4D"/>
    <w:rsid w:val="00FB033E"/>
    <w:rsid w:val="00FB03D8"/>
    <w:rsid w:val="00FB04C6"/>
    <w:rsid w:val="00FB04FF"/>
    <w:rsid w:val="00FB094D"/>
    <w:rsid w:val="00FB0956"/>
    <w:rsid w:val="00FB0968"/>
    <w:rsid w:val="00FB09F7"/>
    <w:rsid w:val="00FB0ADF"/>
    <w:rsid w:val="00FB0B05"/>
    <w:rsid w:val="00FB0B57"/>
    <w:rsid w:val="00FB0CC6"/>
    <w:rsid w:val="00FB0CF0"/>
    <w:rsid w:val="00FB0D4F"/>
    <w:rsid w:val="00FB0E5A"/>
    <w:rsid w:val="00FB0ED3"/>
    <w:rsid w:val="00FB1097"/>
    <w:rsid w:val="00FB10C0"/>
    <w:rsid w:val="00FB11D0"/>
    <w:rsid w:val="00FB12BE"/>
    <w:rsid w:val="00FB130A"/>
    <w:rsid w:val="00FB131E"/>
    <w:rsid w:val="00FB1405"/>
    <w:rsid w:val="00FB14DC"/>
    <w:rsid w:val="00FB14F2"/>
    <w:rsid w:val="00FB1638"/>
    <w:rsid w:val="00FB1684"/>
    <w:rsid w:val="00FB16AC"/>
    <w:rsid w:val="00FB16B3"/>
    <w:rsid w:val="00FB1712"/>
    <w:rsid w:val="00FB177A"/>
    <w:rsid w:val="00FB17D5"/>
    <w:rsid w:val="00FB190D"/>
    <w:rsid w:val="00FB1992"/>
    <w:rsid w:val="00FB1B02"/>
    <w:rsid w:val="00FB1B20"/>
    <w:rsid w:val="00FB1B8F"/>
    <w:rsid w:val="00FB1BE8"/>
    <w:rsid w:val="00FB1CB1"/>
    <w:rsid w:val="00FB1EDC"/>
    <w:rsid w:val="00FB2183"/>
    <w:rsid w:val="00FB22B4"/>
    <w:rsid w:val="00FB22B6"/>
    <w:rsid w:val="00FB2513"/>
    <w:rsid w:val="00FB251C"/>
    <w:rsid w:val="00FB2541"/>
    <w:rsid w:val="00FB2586"/>
    <w:rsid w:val="00FB25C6"/>
    <w:rsid w:val="00FB2848"/>
    <w:rsid w:val="00FB2D07"/>
    <w:rsid w:val="00FB2D13"/>
    <w:rsid w:val="00FB2D84"/>
    <w:rsid w:val="00FB2DA2"/>
    <w:rsid w:val="00FB2EE3"/>
    <w:rsid w:val="00FB2F6D"/>
    <w:rsid w:val="00FB2FF4"/>
    <w:rsid w:val="00FB30F2"/>
    <w:rsid w:val="00FB33E1"/>
    <w:rsid w:val="00FB349E"/>
    <w:rsid w:val="00FB34A3"/>
    <w:rsid w:val="00FB35CC"/>
    <w:rsid w:val="00FB374E"/>
    <w:rsid w:val="00FB385C"/>
    <w:rsid w:val="00FB3BD5"/>
    <w:rsid w:val="00FB3C84"/>
    <w:rsid w:val="00FB3CFF"/>
    <w:rsid w:val="00FB3D3B"/>
    <w:rsid w:val="00FB3D83"/>
    <w:rsid w:val="00FB3E21"/>
    <w:rsid w:val="00FB3FBC"/>
    <w:rsid w:val="00FB4061"/>
    <w:rsid w:val="00FB4140"/>
    <w:rsid w:val="00FB4162"/>
    <w:rsid w:val="00FB4197"/>
    <w:rsid w:val="00FB4408"/>
    <w:rsid w:val="00FB441D"/>
    <w:rsid w:val="00FB441F"/>
    <w:rsid w:val="00FB4472"/>
    <w:rsid w:val="00FB4489"/>
    <w:rsid w:val="00FB45BE"/>
    <w:rsid w:val="00FB46B4"/>
    <w:rsid w:val="00FB475D"/>
    <w:rsid w:val="00FB485D"/>
    <w:rsid w:val="00FB48E4"/>
    <w:rsid w:val="00FB4901"/>
    <w:rsid w:val="00FB49DE"/>
    <w:rsid w:val="00FB4A61"/>
    <w:rsid w:val="00FB4BE0"/>
    <w:rsid w:val="00FB4CAE"/>
    <w:rsid w:val="00FB50CF"/>
    <w:rsid w:val="00FB511E"/>
    <w:rsid w:val="00FB5276"/>
    <w:rsid w:val="00FB52B8"/>
    <w:rsid w:val="00FB5300"/>
    <w:rsid w:val="00FB5600"/>
    <w:rsid w:val="00FB5787"/>
    <w:rsid w:val="00FB57A2"/>
    <w:rsid w:val="00FB57B9"/>
    <w:rsid w:val="00FB57EA"/>
    <w:rsid w:val="00FB5838"/>
    <w:rsid w:val="00FB5840"/>
    <w:rsid w:val="00FB58D5"/>
    <w:rsid w:val="00FB5A25"/>
    <w:rsid w:val="00FB5AF5"/>
    <w:rsid w:val="00FB5B5C"/>
    <w:rsid w:val="00FB5BD5"/>
    <w:rsid w:val="00FB5CEF"/>
    <w:rsid w:val="00FB5DE1"/>
    <w:rsid w:val="00FB5DFB"/>
    <w:rsid w:val="00FB5EA7"/>
    <w:rsid w:val="00FB5F67"/>
    <w:rsid w:val="00FB5FD2"/>
    <w:rsid w:val="00FB606D"/>
    <w:rsid w:val="00FB607E"/>
    <w:rsid w:val="00FB60ED"/>
    <w:rsid w:val="00FB6147"/>
    <w:rsid w:val="00FB6392"/>
    <w:rsid w:val="00FB653C"/>
    <w:rsid w:val="00FB656D"/>
    <w:rsid w:val="00FB6586"/>
    <w:rsid w:val="00FB66B6"/>
    <w:rsid w:val="00FB6763"/>
    <w:rsid w:val="00FB6841"/>
    <w:rsid w:val="00FB6852"/>
    <w:rsid w:val="00FB68C3"/>
    <w:rsid w:val="00FB6A0E"/>
    <w:rsid w:val="00FB6C4B"/>
    <w:rsid w:val="00FB6C4F"/>
    <w:rsid w:val="00FB6D5C"/>
    <w:rsid w:val="00FB6E38"/>
    <w:rsid w:val="00FB7188"/>
    <w:rsid w:val="00FB71CD"/>
    <w:rsid w:val="00FB7203"/>
    <w:rsid w:val="00FB7400"/>
    <w:rsid w:val="00FB7430"/>
    <w:rsid w:val="00FB77CB"/>
    <w:rsid w:val="00FB7850"/>
    <w:rsid w:val="00FB78EA"/>
    <w:rsid w:val="00FB7AD3"/>
    <w:rsid w:val="00FB7BA2"/>
    <w:rsid w:val="00FB7BBC"/>
    <w:rsid w:val="00FB7BED"/>
    <w:rsid w:val="00FB7C18"/>
    <w:rsid w:val="00FB7C6B"/>
    <w:rsid w:val="00FB7D06"/>
    <w:rsid w:val="00FB7E03"/>
    <w:rsid w:val="00FB7EDF"/>
    <w:rsid w:val="00FB7EF7"/>
    <w:rsid w:val="00FB7F2B"/>
    <w:rsid w:val="00FB7FCD"/>
    <w:rsid w:val="00FC0038"/>
    <w:rsid w:val="00FC0198"/>
    <w:rsid w:val="00FC01D7"/>
    <w:rsid w:val="00FC01E4"/>
    <w:rsid w:val="00FC0228"/>
    <w:rsid w:val="00FC0448"/>
    <w:rsid w:val="00FC04BF"/>
    <w:rsid w:val="00FC04C2"/>
    <w:rsid w:val="00FC0543"/>
    <w:rsid w:val="00FC0687"/>
    <w:rsid w:val="00FC07EA"/>
    <w:rsid w:val="00FC08BD"/>
    <w:rsid w:val="00FC08E9"/>
    <w:rsid w:val="00FC095F"/>
    <w:rsid w:val="00FC09E2"/>
    <w:rsid w:val="00FC0CB6"/>
    <w:rsid w:val="00FC0DB7"/>
    <w:rsid w:val="00FC0F73"/>
    <w:rsid w:val="00FC0F8B"/>
    <w:rsid w:val="00FC1178"/>
    <w:rsid w:val="00FC119B"/>
    <w:rsid w:val="00FC1203"/>
    <w:rsid w:val="00FC1362"/>
    <w:rsid w:val="00FC14F5"/>
    <w:rsid w:val="00FC1583"/>
    <w:rsid w:val="00FC1A3E"/>
    <w:rsid w:val="00FC1A4F"/>
    <w:rsid w:val="00FC1CC8"/>
    <w:rsid w:val="00FC1E47"/>
    <w:rsid w:val="00FC1E63"/>
    <w:rsid w:val="00FC1F0C"/>
    <w:rsid w:val="00FC1F27"/>
    <w:rsid w:val="00FC2091"/>
    <w:rsid w:val="00FC217C"/>
    <w:rsid w:val="00FC22C9"/>
    <w:rsid w:val="00FC23E4"/>
    <w:rsid w:val="00FC23FF"/>
    <w:rsid w:val="00FC2455"/>
    <w:rsid w:val="00FC2852"/>
    <w:rsid w:val="00FC286A"/>
    <w:rsid w:val="00FC290A"/>
    <w:rsid w:val="00FC2A1C"/>
    <w:rsid w:val="00FC2C50"/>
    <w:rsid w:val="00FC2CF1"/>
    <w:rsid w:val="00FC2E86"/>
    <w:rsid w:val="00FC2F54"/>
    <w:rsid w:val="00FC31A9"/>
    <w:rsid w:val="00FC31E8"/>
    <w:rsid w:val="00FC322A"/>
    <w:rsid w:val="00FC3233"/>
    <w:rsid w:val="00FC3263"/>
    <w:rsid w:val="00FC32F1"/>
    <w:rsid w:val="00FC36EC"/>
    <w:rsid w:val="00FC3700"/>
    <w:rsid w:val="00FC3925"/>
    <w:rsid w:val="00FC3AFA"/>
    <w:rsid w:val="00FC3CB8"/>
    <w:rsid w:val="00FC3D0D"/>
    <w:rsid w:val="00FC3E23"/>
    <w:rsid w:val="00FC3EBD"/>
    <w:rsid w:val="00FC3F1A"/>
    <w:rsid w:val="00FC3F8A"/>
    <w:rsid w:val="00FC42CB"/>
    <w:rsid w:val="00FC42D5"/>
    <w:rsid w:val="00FC4342"/>
    <w:rsid w:val="00FC4348"/>
    <w:rsid w:val="00FC4430"/>
    <w:rsid w:val="00FC45B5"/>
    <w:rsid w:val="00FC45E9"/>
    <w:rsid w:val="00FC45EA"/>
    <w:rsid w:val="00FC468A"/>
    <w:rsid w:val="00FC471A"/>
    <w:rsid w:val="00FC47C6"/>
    <w:rsid w:val="00FC495E"/>
    <w:rsid w:val="00FC4977"/>
    <w:rsid w:val="00FC497C"/>
    <w:rsid w:val="00FC4CA0"/>
    <w:rsid w:val="00FC4D38"/>
    <w:rsid w:val="00FC4DCC"/>
    <w:rsid w:val="00FC4DCE"/>
    <w:rsid w:val="00FC4E36"/>
    <w:rsid w:val="00FC500E"/>
    <w:rsid w:val="00FC504D"/>
    <w:rsid w:val="00FC5245"/>
    <w:rsid w:val="00FC537C"/>
    <w:rsid w:val="00FC54AC"/>
    <w:rsid w:val="00FC54CB"/>
    <w:rsid w:val="00FC5548"/>
    <w:rsid w:val="00FC55B2"/>
    <w:rsid w:val="00FC5639"/>
    <w:rsid w:val="00FC583B"/>
    <w:rsid w:val="00FC59DC"/>
    <w:rsid w:val="00FC5A26"/>
    <w:rsid w:val="00FC5AA2"/>
    <w:rsid w:val="00FC5AE6"/>
    <w:rsid w:val="00FC5CF1"/>
    <w:rsid w:val="00FC5EAE"/>
    <w:rsid w:val="00FC5F13"/>
    <w:rsid w:val="00FC6004"/>
    <w:rsid w:val="00FC6041"/>
    <w:rsid w:val="00FC6045"/>
    <w:rsid w:val="00FC60E1"/>
    <w:rsid w:val="00FC6167"/>
    <w:rsid w:val="00FC622B"/>
    <w:rsid w:val="00FC6305"/>
    <w:rsid w:val="00FC6436"/>
    <w:rsid w:val="00FC648A"/>
    <w:rsid w:val="00FC64CD"/>
    <w:rsid w:val="00FC66FA"/>
    <w:rsid w:val="00FC6714"/>
    <w:rsid w:val="00FC67D0"/>
    <w:rsid w:val="00FC6823"/>
    <w:rsid w:val="00FC693D"/>
    <w:rsid w:val="00FC696E"/>
    <w:rsid w:val="00FC6979"/>
    <w:rsid w:val="00FC6A0B"/>
    <w:rsid w:val="00FC6A35"/>
    <w:rsid w:val="00FC6A67"/>
    <w:rsid w:val="00FC6B7C"/>
    <w:rsid w:val="00FC6C9F"/>
    <w:rsid w:val="00FC6DB6"/>
    <w:rsid w:val="00FC6EF0"/>
    <w:rsid w:val="00FC6F7F"/>
    <w:rsid w:val="00FC6FC2"/>
    <w:rsid w:val="00FC719E"/>
    <w:rsid w:val="00FC71CE"/>
    <w:rsid w:val="00FC72A5"/>
    <w:rsid w:val="00FC735D"/>
    <w:rsid w:val="00FC7384"/>
    <w:rsid w:val="00FC73D2"/>
    <w:rsid w:val="00FC7465"/>
    <w:rsid w:val="00FC7496"/>
    <w:rsid w:val="00FC74F6"/>
    <w:rsid w:val="00FC755A"/>
    <w:rsid w:val="00FC759D"/>
    <w:rsid w:val="00FC75C6"/>
    <w:rsid w:val="00FC762A"/>
    <w:rsid w:val="00FC79C1"/>
    <w:rsid w:val="00FC7B82"/>
    <w:rsid w:val="00FC7CC0"/>
    <w:rsid w:val="00FC7CFA"/>
    <w:rsid w:val="00FC7E48"/>
    <w:rsid w:val="00FC7F5B"/>
    <w:rsid w:val="00FC7F9C"/>
    <w:rsid w:val="00FC7FFC"/>
    <w:rsid w:val="00FD0008"/>
    <w:rsid w:val="00FD0018"/>
    <w:rsid w:val="00FD0418"/>
    <w:rsid w:val="00FD0586"/>
    <w:rsid w:val="00FD0975"/>
    <w:rsid w:val="00FD0B5A"/>
    <w:rsid w:val="00FD0CCC"/>
    <w:rsid w:val="00FD0E1D"/>
    <w:rsid w:val="00FD0E91"/>
    <w:rsid w:val="00FD0E9D"/>
    <w:rsid w:val="00FD106A"/>
    <w:rsid w:val="00FD114B"/>
    <w:rsid w:val="00FD1262"/>
    <w:rsid w:val="00FD12C5"/>
    <w:rsid w:val="00FD1465"/>
    <w:rsid w:val="00FD14BA"/>
    <w:rsid w:val="00FD1680"/>
    <w:rsid w:val="00FD16FE"/>
    <w:rsid w:val="00FD1713"/>
    <w:rsid w:val="00FD17BA"/>
    <w:rsid w:val="00FD192D"/>
    <w:rsid w:val="00FD19E6"/>
    <w:rsid w:val="00FD19E8"/>
    <w:rsid w:val="00FD1BB2"/>
    <w:rsid w:val="00FD1BD9"/>
    <w:rsid w:val="00FD1DDF"/>
    <w:rsid w:val="00FD1E91"/>
    <w:rsid w:val="00FD200D"/>
    <w:rsid w:val="00FD2010"/>
    <w:rsid w:val="00FD2038"/>
    <w:rsid w:val="00FD20BC"/>
    <w:rsid w:val="00FD20BE"/>
    <w:rsid w:val="00FD20CB"/>
    <w:rsid w:val="00FD2223"/>
    <w:rsid w:val="00FD2297"/>
    <w:rsid w:val="00FD2554"/>
    <w:rsid w:val="00FD2675"/>
    <w:rsid w:val="00FD2758"/>
    <w:rsid w:val="00FD2801"/>
    <w:rsid w:val="00FD280A"/>
    <w:rsid w:val="00FD2860"/>
    <w:rsid w:val="00FD2A0A"/>
    <w:rsid w:val="00FD2A56"/>
    <w:rsid w:val="00FD2AD7"/>
    <w:rsid w:val="00FD2AD8"/>
    <w:rsid w:val="00FD2B45"/>
    <w:rsid w:val="00FD2B72"/>
    <w:rsid w:val="00FD2BB9"/>
    <w:rsid w:val="00FD2C31"/>
    <w:rsid w:val="00FD2D26"/>
    <w:rsid w:val="00FD2E4E"/>
    <w:rsid w:val="00FD2F17"/>
    <w:rsid w:val="00FD34DB"/>
    <w:rsid w:val="00FD350B"/>
    <w:rsid w:val="00FD35CF"/>
    <w:rsid w:val="00FD37E3"/>
    <w:rsid w:val="00FD388E"/>
    <w:rsid w:val="00FD3BAC"/>
    <w:rsid w:val="00FD3D03"/>
    <w:rsid w:val="00FD3D26"/>
    <w:rsid w:val="00FD3DD7"/>
    <w:rsid w:val="00FD3F0C"/>
    <w:rsid w:val="00FD3F4E"/>
    <w:rsid w:val="00FD3FDA"/>
    <w:rsid w:val="00FD3FE3"/>
    <w:rsid w:val="00FD402B"/>
    <w:rsid w:val="00FD40A3"/>
    <w:rsid w:val="00FD4281"/>
    <w:rsid w:val="00FD43BB"/>
    <w:rsid w:val="00FD446B"/>
    <w:rsid w:val="00FD45D0"/>
    <w:rsid w:val="00FD4601"/>
    <w:rsid w:val="00FD4814"/>
    <w:rsid w:val="00FD484D"/>
    <w:rsid w:val="00FD48C5"/>
    <w:rsid w:val="00FD48D0"/>
    <w:rsid w:val="00FD49CD"/>
    <w:rsid w:val="00FD4AEF"/>
    <w:rsid w:val="00FD4C32"/>
    <w:rsid w:val="00FD4CE2"/>
    <w:rsid w:val="00FD4D25"/>
    <w:rsid w:val="00FD4D98"/>
    <w:rsid w:val="00FD4E24"/>
    <w:rsid w:val="00FD4EC5"/>
    <w:rsid w:val="00FD523A"/>
    <w:rsid w:val="00FD52C5"/>
    <w:rsid w:val="00FD5385"/>
    <w:rsid w:val="00FD539B"/>
    <w:rsid w:val="00FD541A"/>
    <w:rsid w:val="00FD5490"/>
    <w:rsid w:val="00FD55B5"/>
    <w:rsid w:val="00FD55DE"/>
    <w:rsid w:val="00FD5706"/>
    <w:rsid w:val="00FD574C"/>
    <w:rsid w:val="00FD57E4"/>
    <w:rsid w:val="00FD57EA"/>
    <w:rsid w:val="00FD58E3"/>
    <w:rsid w:val="00FD59B3"/>
    <w:rsid w:val="00FD5B0E"/>
    <w:rsid w:val="00FD5B31"/>
    <w:rsid w:val="00FD5B5B"/>
    <w:rsid w:val="00FD5BA2"/>
    <w:rsid w:val="00FD5CC9"/>
    <w:rsid w:val="00FD5CEF"/>
    <w:rsid w:val="00FD5D61"/>
    <w:rsid w:val="00FD5D68"/>
    <w:rsid w:val="00FD5EC5"/>
    <w:rsid w:val="00FD5F0A"/>
    <w:rsid w:val="00FD5FB2"/>
    <w:rsid w:val="00FD6078"/>
    <w:rsid w:val="00FD60F6"/>
    <w:rsid w:val="00FD61FD"/>
    <w:rsid w:val="00FD62F5"/>
    <w:rsid w:val="00FD6426"/>
    <w:rsid w:val="00FD6583"/>
    <w:rsid w:val="00FD65DC"/>
    <w:rsid w:val="00FD65F5"/>
    <w:rsid w:val="00FD660D"/>
    <w:rsid w:val="00FD6813"/>
    <w:rsid w:val="00FD6959"/>
    <w:rsid w:val="00FD697A"/>
    <w:rsid w:val="00FD69B0"/>
    <w:rsid w:val="00FD6AE1"/>
    <w:rsid w:val="00FD6B66"/>
    <w:rsid w:val="00FD6C81"/>
    <w:rsid w:val="00FD6E52"/>
    <w:rsid w:val="00FD7007"/>
    <w:rsid w:val="00FD7014"/>
    <w:rsid w:val="00FD7392"/>
    <w:rsid w:val="00FD747B"/>
    <w:rsid w:val="00FD7492"/>
    <w:rsid w:val="00FD749A"/>
    <w:rsid w:val="00FD7575"/>
    <w:rsid w:val="00FD7649"/>
    <w:rsid w:val="00FD78BE"/>
    <w:rsid w:val="00FD7A93"/>
    <w:rsid w:val="00FD7BDA"/>
    <w:rsid w:val="00FD7C92"/>
    <w:rsid w:val="00FD7D32"/>
    <w:rsid w:val="00FD7E48"/>
    <w:rsid w:val="00FD7F36"/>
    <w:rsid w:val="00FE0005"/>
    <w:rsid w:val="00FE016A"/>
    <w:rsid w:val="00FE02DD"/>
    <w:rsid w:val="00FE0388"/>
    <w:rsid w:val="00FE0433"/>
    <w:rsid w:val="00FE04F2"/>
    <w:rsid w:val="00FE053A"/>
    <w:rsid w:val="00FE05C5"/>
    <w:rsid w:val="00FE05DD"/>
    <w:rsid w:val="00FE0769"/>
    <w:rsid w:val="00FE08A5"/>
    <w:rsid w:val="00FE0ADB"/>
    <w:rsid w:val="00FE0DA3"/>
    <w:rsid w:val="00FE0DE0"/>
    <w:rsid w:val="00FE1012"/>
    <w:rsid w:val="00FE1295"/>
    <w:rsid w:val="00FE1300"/>
    <w:rsid w:val="00FE139A"/>
    <w:rsid w:val="00FE13B1"/>
    <w:rsid w:val="00FE13BB"/>
    <w:rsid w:val="00FE14DE"/>
    <w:rsid w:val="00FE15E8"/>
    <w:rsid w:val="00FE167E"/>
    <w:rsid w:val="00FE16F0"/>
    <w:rsid w:val="00FE18C7"/>
    <w:rsid w:val="00FE192C"/>
    <w:rsid w:val="00FE198A"/>
    <w:rsid w:val="00FE1B78"/>
    <w:rsid w:val="00FE1C85"/>
    <w:rsid w:val="00FE1CE8"/>
    <w:rsid w:val="00FE1CF0"/>
    <w:rsid w:val="00FE1D13"/>
    <w:rsid w:val="00FE1D7A"/>
    <w:rsid w:val="00FE1DB8"/>
    <w:rsid w:val="00FE1F4E"/>
    <w:rsid w:val="00FE2116"/>
    <w:rsid w:val="00FE2227"/>
    <w:rsid w:val="00FE22F5"/>
    <w:rsid w:val="00FE2338"/>
    <w:rsid w:val="00FE23D9"/>
    <w:rsid w:val="00FE2521"/>
    <w:rsid w:val="00FE26ED"/>
    <w:rsid w:val="00FE2A4E"/>
    <w:rsid w:val="00FE2A76"/>
    <w:rsid w:val="00FE2A80"/>
    <w:rsid w:val="00FE2BC2"/>
    <w:rsid w:val="00FE2C37"/>
    <w:rsid w:val="00FE2FFC"/>
    <w:rsid w:val="00FE3029"/>
    <w:rsid w:val="00FE303B"/>
    <w:rsid w:val="00FE32E4"/>
    <w:rsid w:val="00FE331C"/>
    <w:rsid w:val="00FE35DE"/>
    <w:rsid w:val="00FE3663"/>
    <w:rsid w:val="00FE3674"/>
    <w:rsid w:val="00FE36C7"/>
    <w:rsid w:val="00FE37FC"/>
    <w:rsid w:val="00FE3845"/>
    <w:rsid w:val="00FE3906"/>
    <w:rsid w:val="00FE3950"/>
    <w:rsid w:val="00FE3B2F"/>
    <w:rsid w:val="00FE3BDD"/>
    <w:rsid w:val="00FE3C27"/>
    <w:rsid w:val="00FE3C50"/>
    <w:rsid w:val="00FE3CB6"/>
    <w:rsid w:val="00FE3D19"/>
    <w:rsid w:val="00FE3D23"/>
    <w:rsid w:val="00FE3D94"/>
    <w:rsid w:val="00FE3E1F"/>
    <w:rsid w:val="00FE408B"/>
    <w:rsid w:val="00FE40D8"/>
    <w:rsid w:val="00FE4155"/>
    <w:rsid w:val="00FE4231"/>
    <w:rsid w:val="00FE430A"/>
    <w:rsid w:val="00FE4347"/>
    <w:rsid w:val="00FE43C3"/>
    <w:rsid w:val="00FE443A"/>
    <w:rsid w:val="00FE4456"/>
    <w:rsid w:val="00FE4588"/>
    <w:rsid w:val="00FE468A"/>
    <w:rsid w:val="00FE46DB"/>
    <w:rsid w:val="00FE4729"/>
    <w:rsid w:val="00FE472E"/>
    <w:rsid w:val="00FE4814"/>
    <w:rsid w:val="00FE4868"/>
    <w:rsid w:val="00FE498B"/>
    <w:rsid w:val="00FE4D0C"/>
    <w:rsid w:val="00FE4D2B"/>
    <w:rsid w:val="00FE4D46"/>
    <w:rsid w:val="00FE4DED"/>
    <w:rsid w:val="00FE4E04"/>
    <w:rsid w:val="00FE4E57"/>
    <w:rsid w:val="00FE4E5A"/>
    <w:rsid w:val="00FE4E95"/>
    <w:rsid w:val="00FE4F69"/>
    <w:rsid w:val="00FE4F8E"/>
    <w:rsid w:val="00FE5121"/>
    <w:rsid w:val="00FE51E2"/>
    <w:rsid w:val="00FE529F"/>
    <w:rsid w:val="00FE533E"/>
    <w:rsid w:val="00FE540B"/>
    <w:rsid w:val="00FE562B"/>
    <w:rsid w:val="00FE56C8"/>
    <w:rsid w:val="00FE582D"/>
    <w:rsid w:val="00FE5A4C"/>
    <w:rsid w:val="00FE5A8D"/>
    <w:rsid w:val="00FE5A94"/>
    <w:rsid w:val="00FE5CE3"/>
    <w:rsid w:val="00FE5D58"/>
    <w:rsid w:val="00FE5E99"/>
    <w:rsid w:val="00FE5F89"/>
    <w:rsid w:val="00FE60BC"/>
    <w:rsid w:val="00FE60EC"/>
    <w:rsid w:val="00FE6571"/>
    <w:rsid w:val="00FE661F"/>
    <w:rsid w:val="00FE672F"/>
    <w:rsid w:val="00FE685E"/>
    <w:rsid w:val="00FE6A00"/>
    <w:rsid w:val="00FE6A5D"/>
    <w:rsid w:val="00FE6B10"/>
    <w:rsid w:val="00FE6B47"/>
    <w:rsid w:val="00FE6BDB"/>
    <w:rsid w:val="00FE6DD0"/>
    <w:rsid w:val="00FE6DF7"/>
    <w:rsid w:val="00FE6F78"/>
    <w:rsid w:val="00FE70DD"/>
    <w:rsid w:val="00FE7251"/>
    <w:rsid w:val="00FE7301"/>
    <w:rsid w:val="00FE7418"/>
    <w:rsid w:val="00FE741D"/>
    <w:rsid w:val="00FE7496"/>
    <w:rsid w:val="00FE7540"/>
    <w:rsid w:val="00FE7712"/>
    <w:rsid w:val="00FE7844"/>
    <w:rsid w:val="00FE7903"/>
    <w:rsid w:val="00FE794A"/>
    <w:rsid w:val="00FE795B"/>
    <w:rsid w:val="00FE7A08"/>
    <w:rsid w:val="00FE7AB2"/>
    <w:rsid w:val="00FE7C94"/>
    <w:rsid w:val="00FE7CA3"/>
    <w:rsid w:val="00FE7E99"/>
    <w:rsid w:val="00FE7E9C"/>
    <w:rsid w:val="00FF006A"/>
    <w:rsid w:val="00FF0094"/>
    <w:rsid w:val="00FF009B"/>
    <w:rsid w:val="00FF009D"/>
    <w:rsid w:val="00FF01A2"/>
    <w:rsid w:val="00FF021A"/>
    <w:rsid w:val="00FF0295"/>
    <w:rsid w:val="00FF02AA"/>
    <w:rsid w:val="00FF0318"/>
    <w:rsid w:val="00FF033E"/>
    <w:rsid w:val="00FF040B"/>
    <w:rsid w:val="00FF0456"/>
    <w:rsid w:val="00FF05D0"/>
    <w:rsid w:val="00FF062A"/>
    <w:rsid w:val="00FF06C3"/>
    <w:rsid w:val="00FF07B4"/>
    <w:rsid w:val="00FF0858"/>
    <w:rsid w:val="00FF09CC"/>
    <w:rsid w:val="00FF0A33"/>
    <w:rsid w:val="00FF0A5E"/>
    <w:rsid w:val="00FF0B29"/>
    <w:rsid w:val="00FF0B8C"/>
    <w:rsid w:val="00FF0BED"/>
    <w:rsid w:val="00FF0BF8"/>
    <w:rsid w:val="00FF0D59"/>
    <w:rsid w:val="00FF0DC5"/>
    <w:rsid w:val="00FF0ED7"/>
    <w:rsid w:val="00FF11A3"/>
    <w:rsid w:val="00FF1340"/>
    <w:rsid w:val="00FF1517"/>
    <w:rsid w:val="00FF1579"/>
    <w:rsid w:val="00FF1694"/>
    <w:rsid w:val="00FF1AD2"/>
    <w:rsid w:val="00FF1B65"/>
    <w:rsid w:val="00FF1C54"/>
    <w:rsid w:val="00FF22FA"/>
    <w:rsid w:val="00FF2377"/>
    <w:rsid w:val="00FF244A"/>
    <w:rsid w:val="00FF2642"/>
    <w:rsid w:val="00FF28A6"/>
    <w:rsid w:val="00FF28DF"/>
    <w:rsid w:val="00FF28E1"/>
    <w:rsid w:val="00FF29DE"/>
    <w:rsid w:val="00FF2B1C"/>
    <w:rsid w:val="00FF2B4D"/>
    <w:rsid w:val="00FF2B61"/>
    <w:rsid w:val="00FF2CB3"/>
    <w:rsid w:val="00FF2D21"/>
    <w:rsid w:val="00FF2D5D"/>
    <w:rsid w:val="00FF2DE8"/>
    <w:rsid w:val="00FF2E44"/>
    <w:rsid w:val="00FF3089"/>
    <w:rsid w:val="00FF313A"/>
    <w:rsid w:val="00FF3315"/>
    <w:rsid w:val="00FF33B8"/>
    <w:rsid w:val="00FF3554"/>
    <w:rsid w:val="00FF365E"/>
    <w:rsid w:val="00FF37C4"/>
    <w:rsid w:val="00FF38D5"/>
    <w:rsid w:val="00FF39D1"/>
    <w:rsid w:val="00FF3A61"/>
    <w:rsid w:val="00FF3C3B"/>
    <w:rsid w:val="00FF3C8D"/>
    <w:rsid w:val="00FF3F9B"/>
    <w:rsid w:val="00FF3F9C"/>
    <w:rsid w:val="00FF3FE1"/>
    <w:rsid w:val="00FF4024"/>
    <w:rsid w:val="00FF408C"/>
    <w:rsid w:val="00FF40CC"/>
    <w:rsid w:val="00FF40EA"/>
    <w:rsid w:val="00FF41BA"/>
    <w:rsid w:val="00FF4216"/>
    <w:rsid w:val="00FF4258"/>
    <w:rsid w:val="00FF44C2"/>
    <w:rsid w:val="00FF4594"/>
    <w:rsid w:val="00FF45AB"/>
    <w:rsid w:val="00FF48DC"/>
    <w:rsid w:val="00FF4909"/>
    <w:rsid w:val="00FF493D"/>
    <w:rsid w:val="00FF498B"/>
    <w:rsid w:val="00FF4A22"/>
    <w:rsid w:val="00FF4A46"/>
    <w:rsid w:val="00FF4A65"/>
    <w:rsid w:val="00FF4CEA"/>
    <w:rsid w:val="00FF4DA6"/>
    <w:rsid w:val="00FF4E35"/>
    <w:rsid w:val="00FF4F0C"/>
    <w:rsid w:val="00FF4F3C"/>
    <w:rsid w:val="00FF5021"/>
    <w:rsid w:val="00FF5211"/>
    <w:rsid w:val="00FF532E"/>
    <w:rsid w:val="00FF533E"/>
    <w:rsid w:val="00FF54F7"/>
    <w:rsid w:val="00FF5694"/>
    <w:rsid w:val="00FF5963"/>
    <w:rsid w:val="00FF5C2B"/>
    <w:rsid w:val="00FF5D67"/>
    <w:rsid w:val="00FF5D96"/>
    <w:rsid w:val="00FF5DE0"/>
    <w:rsid w:val="00FF5E33"/>
    <w:rsid w:val="00FF5EDA"/>
    <w:rsid w:val="00FF5FA5"/>
    <w:rsid w:val="00FF60D8"/>
    <w:rsid w:val="00FF6119"/>
    <w:rsid w:val="00FF6183"/>
    <w:rsid w:val="00FF6216"/>
    <w:rsid w:val="00FF6505"/>
    <w:rsid w:val="00FF6538"/>
    <w:rsid w:val="00FF65AD"/>
    <w:rsid w:val="00FF673E"/>
    <w:rsid w:val="00FF69AA"/>
    <w:rsid w:val="00FF69C4"/>
    <w:rsid w:val="00FF69D2"/>
    <w:rsid w:val="00FF6BC7"/>
    <w:rsid w:val="00FF6BD1"/>
    <w:rsid w:val="00FF6C98"/>
    <w:rsid w:val="00FF6D0E"/>
    <w:rsid w:val="00FF6E1A"/>
    <w:rsid w:val="00FF70DD"/>
    <w:rsid w:val="00FF716C"/>
    <w:rsid w:val="00FF7190"/>
    <w:rsid w:val="00FF727A"/>
    <w:rsid w:val="00FF734F"/>
    <w:rsid w:val="00FF73B1"/>
    <w:rsid w:val="00FF748A"/>
    <w:rsid w:val="00FF74E9"/>
    <w:rsid w:val="00FF758B"/>
    <w:rsid w:val="00FF7651"/>
    <w:rsid w:val="00FF7773"/>
    <w:rsid w:val="00FF77F2"/>
    <w:rsid w:val="00FF781E"/>
    <w:rsid w:val="00FF783F"/>
    <w:rsid w:val="00FF78DB"/>
    <w:rsid w:val="00FF7AD5"/>
    <w:rsid w:val="00FF7AF6"/>
    <w:rsid w:val="00FF7AF8"/>
    <w:rsid w:val="00FF7B20"/>
    <w:rsid w:val="00FF7B35"/>
    <w:rsid w:val="00FF7C29"/>
    <w:rsid w:val="00FF7C97"/>
    <w:rsid w:val="00FF7D34"/>
    <w:rsid w:val="00FF7D66"/>
    <w:rsid w:val="00FF7DFA"/>
    <w:rsid w:val="00FF7E67"/>
    <w:rsid w:val="00FF7E78"/>
    <w:rsid w:val="00FF7EE2"/>
    <w:rsid w:val="00FF7EF5"/>
    <w:rsid w:val="014BE631"/>
    <w:rsid w:val="01D39D83"/>
    <w:rsid w:val="0267765D"/>
    <w:rsid w:val="0291EB7E"/>
    <w:rsid w:val="0297C379"/>
    <w:rsid w:val="02D8DAAA"/>
    <w:rsid w:val="0339667A"/>
    <w:rsid w:val="03B2FCC1"/>
    <w:rsid w:val="03DCCFB2"/>
    <w:rsid w:val="04A19C7D"/>
    <w:rsid w:val="05103BF1"/>
    <w:rsid w:val="052606EE"/>
    <w:rsid w:val="055BC90B"/>
    <w:rsid w:val="05858461"/>
    <w:rsid w:val="06725D7D"/>
    <w:rsid w:val="072F1950"/>
    <w:rsid w:val="0830D6EC"/>
    <w:rsid w:val="08405DC3"/>
    <w:rsid w:val="08801ECD"/>
    <w:rsid w:val="0882F747"/>
    <w:rsid w:val="08C18186"/>
    <w:rsid w:val="08E2CA68"/>
    <w:rsid w:val="091A5965"/>
    <w:rsid w:val="0971BF6D"/>
    <w:rsid w:val="0A212A8A"/>
    <w:rsid w:val="0B0E71BD"/>
    <w:rsid w:val="0CCCFB78"/>
    <w:rsid w:val="0CF9F140"/>
    <w:rsid w:val="0D3E5B6F"/>
    <w:rsid w:val="0D7D06F3"/>
    <w:rsid w:val="0E50C7EF"/>
    <w:rsid w:val="0E6CF499"/>
    <w:rsid w:val="0E8581A0"/>
    <w:rsid w:val="0E8B3F89"/>
    <w:rsid w:val="0F2364A9"/>
    <w:rsid w:val="0FA39150"/>
    <w:rsid w:val="0FD24592"/>
    <w:rsid w:val="0FEFB37B"/>
    <w:rsid w:val="100C375C"/>
    <w:rsid w:val="10261245"/>
    <w:rsid w:val="105B8172"/>
    <w:rsid w:val="10C8D1B8"/>
    <w:rsid w:val="10EA13E1"/>
    <w:rsid w:val="11001910"/>
    <w:rsid w:val="11A7C70E"/>
    <w:rsid w:val="11C8E06D"/>
    <w:rsid w:val="120846D3"/>
    <w:rsid w:val="12AE2C15"/>
    <w:rsid w:val="131B8ED3"/>
    <w:rsid w:val="134E9528"/>
    <w:rsid w:val="13766A16"/>
    <w:rsid w:val="13A3B556"/>
    <w:rsid w:val="14888927"/>
    <w:rsid w:val="14A57969"/>
    <w:rsid w:val="15C18959"/>
    <w:rsid w:val="164BE3C1"/>
    <w:rsid w:val="17270063"/>
    <w:rsid w:val="177A9CC6"/>
    <w:rsid w:val="178BBD7B"/>
    <w:rsid w:val="17BAB556"/>
    <w:rsid w:val="186CE41D"/>
    <w:rsid w:val="1953CD1F"/>
    <w:rsid w:val="19FCDF80"/>
    <w:rsid w:val="1A405C1E"/>
    <w:rsid w:val="1A94B7B7"/>
    <w:rsid w:val="1A9CEEF3"/>
    <w:rsid w:val="1AEA6EDF"/>
    <w:rsid w:val="1B14AC85"/>
    <w:rsid w:val="1B82F2B0"/>
    <w:rsid w:val="1C04215A"/>
    <w:rsid w:val="1C929E6C"/>
    <w:rsid w:val="1CD15CA2"/>
    <w:rsid w:val="1D5A618F"/>
    <w:rsid w:val="1DC5D2DF"/>
    <w:rsid w:val="1DDF4194"/>
    <w:rsid w:val="1EA26358"/>
    <w:rsid w:val="1ED326F2"/>
    <w:rsid w:val="1F0EAAF5"/>
    <w:rsid w:val="1F46E245"/>
    <w:rsid w:val="1FA6D201"/>
    <w:rsid w:val="1FEDF65B"/>
    <w:rsid w:val="20C263A3"/>
    <w:rsid w:val="218A0C97"/>
    <w:rsid w:val="21C9085D"/>
    <w:rsid w:val="2254AA13"/>
    <w:rsid w:val="22A5B08C"/>
    <w:rsid w:val="235D05E6"/>
    <w:rsid w:val="246AC381"/>
    <w:rsid w:val="24D12355"/>
    <w:rsid w:val="251A056A"/>
    <w:rsid w:val="251DAA4E"/>
    <w:rsid w:val="2522172D"/>
    <w:rsid w:val="267BE029"/>
    <w:rsid w:val="26842920"/>
    <w:rsid w:val="26CC831A"/>
    <w:rsid w:val="26F4F1F7"/>
    <w:rsid w:val="278E0465"/>
    <w:rsid w:val="27A6DFBF"/>
    <w:rsid w:val="29414342"/>
    <w:rsid w:val="295E6FE4"/>
    <w:rsid w:val="29639296"/>
    <w:rsid w:val="2971143C"/>
    <w:rsid w:val="2A75FC60"/>
    <w:rsid w:val="2A8CA4C8"/>
    <w:rsid w:val="2AB5A264"/>
    <w:rsid w:val="2B89F27B"/>
    <w:rsid w:val="2E19DF56"/>
    <w:rsid w:val="2E42FAAD"/>
    <w:rsid w:val="2EDA17F5"/>
    <w:rsid w:val="2EED0496"/>
    <w:rsid w:val="2EF9795D"/>
    <w:rsid w:val="2F10B42E"/>
    <w:rsid w:val="2F5D0EA8"/>
    <w:rsid w:val="2FA9734B"/>
    <w:rsid w:val="2FC193C9"/>
    <w:rsid w:val="2FE1FB7C"/>
    <w:rsid w:val="30074E18"/>
    <w:rsid w:val="30529523"/>
    <w:rsid w:val="3057AC5D"/>
    <w:rsid w:val="308F0A0B"/>
    <w:rsid w:val="30B0083C"/>
    <w:rsid w:val="317EDFF3"/>
    <w:rsid w:val="31EEEF98"/>
    <w:rsid w:val="330641E1"/>
    <w:rsid w:val="3374C3DA"/>
    <w:rsid w:val="33F13621"/>
    <w:rsid w:val="343BA408"/>
    <w:rsid w:val="344F6C4D"/>
    <w:rsid w:val="34BE5987"/>
    <w:rsid w:val="34F2D389"/>
    <w:rsid w:val="35BC8A8C"/>
    <w:rsid w:val="3692839C"/>
    <w:rsid w:val="3699C08A"/>
    <w:rsid w:val="36D76287"/>
    <w:rsid w:val="36EDB526"/>
    <w:rsid w:val="370AA907"/>
    <w:rsid w:val="375977FD"/>
    <w:rsid w:val="378349A8"/>
    <w:rsid w:val="378AE6FC"/>
    <w:rsid w:val="3849A5B4"/>
    <w:rsid w:val="386F0605"/>
    <w:rsid w:val="3936FB9E"/>
    <w:rsid w:val="3BBA7A36"/>
    <w:rsid w:val="3BBCD568"/>
    <w:rsid w:val="3C2DA1B4"/>
    <w:rsid w:val="3C81E589"/>
    <w:rsid w:val="3C829A49"/>
    <w:rsid w:val="3C9BF87C"/>
    <w:rsid w:val="3CACF751"/>
    <w:rsid w:val="3CBAE3EC"/>
    <w:rsid w:val="3D5A71B5"/>
    <w:rsid w:val="3D73222D"/>
    <w:rsid w:val="3DE7178C"/>
    <w:rsid w:val="3EF19E53"/>
    <w:rsid w:val="3F2E7831"/>
    <w:rsid w:val="3F9510D1"/>
    <w:rsid w:val="3F96D61B"/>
    <w:rsid w:val="4061FD46"/>
    <w:rsid w:val="4088E99C"/>
    <w:rsid w:val="41235AD8"/>
    <w:rsid w:val="434C8BFF"/>
    <w:rsid w:val="4384C78E"/>
    <w:rsid w:val="4466C9E3"/>
    <w:rsid w:val="4563FCEC"/>
    <w:rsid w:val="46C5D255"/>
    <w:rsid w:val="471CA2A8"/>
    <w:rsid w:val="489BA9C5"/>
    <w:rsid w:val="489C0706"/>
    <w:rsid w:val="4902B583"/>
    <w:rsid w:val="493D3AF7"/>
    <w:rsid w:val="49F06969"/>
    <w:rsid w:val="4A278962"/>
    <w:rsid w:val="4B5749FA"/>
    <w:rsid w:val="4B6309F2"/>
    <w:rsid w:val="4B79404A"/>
    <w:rsid w:val="4B9E2D29"/>
    <w:rsid w:val="4BEA07DD"/>
    <w:rsid w:val="4BF7A771"/>
    <w:rsid w:val="4C5A5D1A"/>
    <w:rsid w:val="4CC49D54"/>
    <w:rsid w:val="4D40E529"/>
    <w:rsid w:val="4DE45C76"/>
    <w:rsid w:val="4E8E3E5E"/>
    <w:rsid w:val="4EC54D8A"/>
    <w:rsid w:val="4EDA7CF6"/>
    <w:rsid w:val="4F0186DE"/>
    <w:rsid w:val="4F34DCA6"/>
    <w:rsid w:val="4FCA2DAF"/>
    <w:rsid w:val="4FFCB3B9"/>
    <w:rsid w:val="4FFF3882"/>
    <w:rsid w:val="500541D2"/>
    <w:rsid w:val="50BE0FD4"/>
    <w:rsid w:val="511677BB"/>
    <w:rsid w:val="5122D5F7"/>
    <w:rsid w:val="5172FC29"/>
    <w:rsid w:val="517B1BA7"/>
    <w:rsid w:val="51E1DC3B"/>
    <w:rsid w:val="527E32B7"/>
    <w:rsid w:val="53D8AD94"/>
    <w:rsid w:val="543A399E"/>
    <w:rsid w:val="5479DD1F"/>
    <w:rsid w:val="5517286E"/>
    <w:rsid w:val="55EB2132"/>
    <w:rsid w:val="56CCBB72"/>
    <w:rsid w:val="57261C61"/>
    <w:rsid w:val="57350E66"/>
    <w:rsid w:val="574EB401"/>
    <w:rsid w:val="575C2CB6"/>
    <w:rsid w:val="57DF8B6B"/>
    <w:rsid w:val="590B8122"/>
    <w:rsid w:val="593FB591"/>
    <w:rsid w:val="5A94D1BB"/>
    <w:rsid w:val="5A95F7DD"/>
    <w:rsid w:val="5AB57F99"/>
    <w:rsid w:val="5AD88DDD"/>
    <w:rsid w:val="5ADF0077"/>
    <w:rsid w:val="5B199CA6"/>
    <w:rsid w:val="5BD380F3"/>
    <w:rsid w:val="5BD53295"/>
    <w:rsid w:val="5C28A744"/>
    <w:rsid w:val="5C5AE2C1"/>
    <w:rsid w:val="5D041578"/>
    <w:rsid w:val="5D54AFAF"/>
    <w:rsid w:val="5E71295C"/>
    <w:rsid w:val="5F3B8CAB"/>
    <w:rsid w:val="603A3C8F"/>
    <w:rsid w:val="6070A2B6"/>
    <w:rsid w:val="6086E744"/>
    <w:rsid w:val="61160E27"/>
    <w:rsid w:val="623A318C"/>
    <w:rsid w:val="625F7BAC"/>
    <w:rsid w:val="629328A9"/>
    <w:rsid w:val="62A2CE30"/>
    <w:rsid w:val="62EA9EC9"/>
    <w:rsid w:val="63100872"/>
    <w:rsid w:val="641B3ACB"/>
    <w:rsid w:val="645FB0CB"/>
    <w:rsid w:val="648655E5"/>
    <w:rsid w:val="65D3A3E3"/>
    <w:rsid w:val="65F689C0"/>
    <w:rsid w:val="66BD0C1D"/>
    <w:rsid w:val="6730FEE7"/>
    <w:rsid w:val="673886A5"/>
    <w:rsid w:val="6823E5C8"/>
    <w:rsid w:val="69A3E161"/>
    <w:rsid w:val="6A4C0264"/>
    <w:rsid w:val="6ABF16B5"/>
    <w:rsid w:val="6BE51E75"/>
    <w:rsid w:val="6C477B52"/>
    <w:rsid w:val="6D0EA1A1"/>
    <w:rsid w:val="6E26E509"/>
    <w:rsid w:val="6F547EDA"/>
    <w:rsid w:val="6FA09FFD"/>
    <w:rsid w:val="7093D0BF"/>
    <w:rsid w:val="70FDC409"/>
    <w:rsid w:val="7157DE91"/>
    <w:rsid w:val="71FB5F43"/>
    <w:rsid w:val="726D3784"/>
    <w:rsid w:val="73A67A0C"/>
    <w:rsid w:val="755A1317"/>
    <w:rsid w:val="75CB27C9"/>
    <w:rsid w:val="762FC15D"/>
    <w:rsid w:val="765C3BB4"/>
    <w:rsid w:val="766CE944"/>
    <w:rsid w:val="7690E8B4"/>
    <w:rsid w:val="76A57A78"/>
    <w:rsid w:val="771CD9F4"/>
    <w:rsid w:val="78DE289F"/>
    <w:rsid w:val="79AF04D0"/>
    <w:rsid w:val="79E4EE2F"/>
    <w:rsid w:val="7A1D1747"/>
    <w:rsid w:val="7A567133"/>
    <w:rsid w:val="7C8E7DF8"/>
    <w:rsid w:val="7EC1AEF5"/>
    <w:rsid w:val="7EDB61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7286E"/>
  <w15:chartTrackingRefBased/>
  <w15:docId w15:val="{B24E812A-39EE-471C-BBB1-802EACCB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12F"/>
    <w:rPr>
      <w:rFonts w:ascii="Avenir Next LT Pro" w:hAnsi="Avenir Next LT Pro"/>
      <w:color w:val="484B5D" w:themeColor="accent3"/>
      <w:sz w:val="20"/>
      <w:szCs w:val="20"/>
      <w:lang w:val="en-GB"/>
    </w:rPr>
  </w:style>
  <w:style w:type="paragraph" w:styleId="Heading1">
    <w:name w:val="heading 1"/>
    <w:basedOn w:val="Normal"/>
    <w:next w:val="Normal"/>
    <w:link w:val="Heading1Char"/>
    <w:uiPriority w:val="9"/>
    <w:qFormat/>
    <w:rsid w:val="00277D66"/>
    <w:pPr>
      <w:numPr>
        <w:numId w:val="5"/>
      </w:numPr>
      <w:pBdr>
        <w:bottom w:val="single" w:sz="4" w:space="1" w:color="220054"/>
      </w:pBdr>
      <w:spacing w:after="0" w:line="240" w:lineRule="auto"/>
      <w:contextualSpacing/>
      <w:outlineLvl w:val="0"/>
    </w:pPr>
    <w:rPr>
      <w:rFonts w:ascii="Avenir Next LT Pro Demi" w:eastAsia="Times New Roman" w:hAnsi="Avenir Next LT Pro Demi" w:cs="Times New Roman"/>
      <w:color w:val="220054"/>
      <w:spacing w:val="-10"/>
      <w:kern w:val="28"/>
      <w:sz w:val="48"/>
      <w:szCs w:val="40"/>
      <w:lang w:eastAsia="en-US"/>
      <w14:ligatures w14:val="standardContextual"/>
    </w:rPr>
  </w:style>
  <w:style w:type="paragraph" w:styleId="Heading2">
    <w:name w:val="heading 2"/>
    <w:basedOn w:val="Heading1"/>
    <w:next w:val="Normal"/>
    <w:link w:val="Heading2Char"/>
    <w:uiPriority w:val="9"/>
    <w:unhideWhenUsed/>
    <w:qFormat/>
    <w:rsid w:val="00277D66"/>
    <w:pPr>
      <w:keepNext/>
      <w:keepLines/>
      <w:numPr>
        <w:ilvl w:val="1"/>
      </w:numPr>
      <w:pBdr>
        <w:bottom w:val="none" w:sz="0" w:space="0" w:color="auto"/>
      </w:pBdr>
      <w:spacing w:before="120" w:after="240"/>
      <w:outlineLvl w:val="1"/>
    </w:pPr>
    <w:rPr>
      <w:rFonts w:asciiTheme="minorHAnsi" w:hAnsiTheme="minorHAnsi"/>
      <w:color w:val="464E7E" w:themeColor="accent2"/>
      <w:kern w:val="2"/>
      <w:sz w:val="28"/>
      <w:lang w:val="en-AU"/>
    </w:rPr>
  </w:style>
  <w:style w:type="paragraph" w:styleId="Heading3">
    <w:name w:val="heading 3"/>
    <w:basedOn w:val="Normal"/>
    <w:next w:val="Normal"/>
    <w:link w:val="Heading3Char"/>
    <w:uiPriority w:val="9"/>
    <w:unhideWhenUsed/>
    <w:qFormat/>
    <w:rsid w:val="00B20C7C"/>
    <w:pPr>
      <w:keepNext/>
      <w:spacing w:before="120"/>
      <w:outlineLvl w:val="2"/>
    </w:pPr>
    <w:rPr>
      <w:b/>
    </w:rPr>
  </w:style>
  <w:style w:type="paragraph" w:styleId="Heading4">
    <w:name w:val="heading 4"/>
    <w:basedOn w:val="Normal"/>
    <w:next w:val="Normal"/>
    <w:link w:val="Heading4Char"/>
    <w:uiPriority w:val="9"/>
    <w:unhideWhenUsed/>
    <w:qFormat/>
    <w:rsid w:val="003E7B29"/>
    <w:pPr>
      <w:keepNext/>
      <w:keepLines/>
      <w:spacing w:before="80" w:after="40"/>
      <w:outlineLvl w:val="3"/>
    </w:pPr>
    <w:rPr>
      <w:rFonts w:eastAsiaTheme="majorEastAsia" w:cstheme="majorBidi"/>
      <w:i/>
      <w:iCs/>
      <w:color w:val="464E7E" w:themeColor="accent2"/>
    </w:rPr>
  </w:style>
  <w:style w:type="paragraph" w:styleId="Heading5">
    <w:name w:val="heading 5"/>
    <w:basedOn w:val="Normal"/>
    <w:next w:val="Normal"/>
    <w:link w:val="Heading5Char"/>
    <w:uiPriority w:val="9"/>
    <w:unhideWhenUsed/>
    <w:qFormat/>
    <w:rsid w:val="003E7B29"/>
    <w:pPr>
      <w:keepNext/>
      <w:keepLines/>
      <w:spacing w:before="80" w:after="40"/>
      <w:outlineLvl w:val="4"/>
    </w:pPr>
    <w:rPr>
      <w:rFonts w:eastAsiaTheme="majorEastAsia" w:cstheme="majorBidi"/>
      <w:color w:val="464E7E" w:themeColor="accent2"/>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D66"/>
    <w:rPr>
      <w:rFonts w:ascii="Avenir Next LT Pro Demi" w:eastAsia="Times New Roman" w:hAnsi="Avenir Next LT Pro Demi" w:cs="Times New Roman"/>
      <w:color w:val="220054"/>
      <w:spacing w:val="-10"/>
      <w:kern w:val="28"/>
      <w:sz w:val="48"/>
      <w:szCs w:val="40"/>
      <w:lang w:val="en-GB" w:eastAsia="en-US"/>
      <w14:ligatures w14:val="standardContextual"/>
    </w:rPr>
  </w:style>
  <w:style w:type="character" w:customStyle="1" w:styleId="Heading2Char">
    <w:name w:val="Heading 2 Char"/>
    <w:basedOn w:val="DefaultParagraphFont"/>
    <w:link w:val="Heading2"/>
    <w:uiPriority w:val="9"/>
    <w:rsid w:val="00277D66"/>
    <w:rPr>
      <w:rFonts w:eastAsia="Times New Roman" w:cs="Times New Roman"/>
      <w:color w:val="464E7E" w:themeColor="accent2"/>
      <w:spacing w:val="-10"/>
      <w:kern w:val="2"/>
      <w:sz w:val="28"/>
      <w:szCs w:val="40"/>
      <w:lang w:val="en-AU" w:eastAsia="en-US"/>
      <w14:ligatures w14:val="standardContextual"/>
    </w:rPr>
  </w:style>
  <w:style w:type="character" w:customStyle="1" w:styleId="Heading3Char">
    <w:name w:val="Heading 3 Char"/>
    <w:basedOn w:val="DefaultParagraphFont"/>
    <w:link w:val="Heading3"/>
    <w:uiPriority w:val="9"/>
    <w:rsid w:val="00B20C7C"/>
    <w:rPr>
      <w:rFonts w:ascii="Avenir Next LT Pro" w:hAnsi="Avenir Next LT Pro"/>
      <w:b/>
      <w:color w:val="484B5D" w:themeColor="accent3"/>
      <w:sz w:val="20"/>
      <w:szCs w:val="20"/>
      <w:lang w:val="en-GB"/>
    </w:rPr>
  </w:style>
  <w:style w:type="character" w:customStyle="1" w:styleId="Heading4Char">
    <w:name w:val="Heading 4 Char"/>
    <w:basedOn w:val="DefaultParagraphFont"/>
    <w:link w:val="Heading4"/>
    <w:uiPriority w:val="9"/>
    <w:rsid w:val="003E7B29"/>
    <w:rPr>
      <w:rFonts w:eastAsiaTheme="majorEastAsia" w:cstheme="majorBidi"/>
      <w:i/>
      <w:iCs/>
      <w:color w:val="464E7E" w:themeColor="accent2"/>
      <w:sz w:val="20"/>
      <w:szCs w:val="20"/>
    </w:rPr>
  </w:style>
  <w:style w:type="character" w:customStyle="1" w:styleId="Heading5Char">
    <w:name w:val="Heading 5 Char"/>
    <w:basedOn w:val="DefaultParagraphFont"/>
    <w:link w:val="Heading5"/>
    <w:uiPriority w:val="9"/>
    <w:rsid w:val="003E7B29"/>
    <w:rPr>
      <w:rFonts w:eastAsiaTheme="majorEastAsia" w:cstheme="majorBidi"/>
      <w:color w:val="464E7E" w:themeColor="accent2"/>
      <w:sz w:val="20"/>
      <w:szCs w:val="20"/>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rPr>
      <w:i/>
      <w:iCs/>
      <w:color w:val="19003E"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sid w:val="008B31AB"/>
    <w:rPr>
      <w:rFonts w:asciiTheme="majorHAnsi" w:hAnsiTheme="majorHAnsi"/>
      <w:b/>
      <w:iCs/>
      <w:color w:val="000000" w:themeColor="text1"/>
      <w:sz w:val="20"/>
      <w:szCs w:val="20"/>
      <w:shd w:val="clear" w:color="auto" w:fill="EFF0F7" w:themeFill="accent4" w:themeFillTint="33"/>
      <w:lang w:val="en-GB"/>
    </w:rPr>
  </w:style>
  <w:style w:type="paragraph" w:styleId="IntenseQuote">
    <w:name w:val="Intense Quote"/>
    <w:basedOn w:val="Normal"/>
    <w:next w:val="Normal"/>
    <w:link w:val="IntenseQuoteChar"/>
    <w:uiPriority w:val="30"/>
    <w:rsid w:val="008B31AB"/>
    <w:pPr>
      <w:shd w:val="clear" w:color="auto" w:fill="EFF0F7" w:themeFill="accent4" w:themeFillTint="33"/>
      <w:spacing w:before="240" w:after="240"/>
      <w:ind w:left="227" w:right="227"/>
      <w:jc w:val="center"/>
    </w:pPr>
    <w:rPr>
      <w:rFonts w:asciiTheme="majorHAnsi" w:hAnsiTheme="majorHAnsi"/>
      <w:b/>
      <w:iCs/>
      <w:color w:val="000000" w:themeColor="text1"/>
    </w:rPr>
  </w:style>
  <w:style w:type="character" w:styleId="IntenseReference">
    <w:name w:val="Intense Reference"/>
    <w:basedOn w:val="DefaultParagraphFont"/>
    <w:uiPriority w:val="32"/>
    <w:rPr>
      <w:b/>
      <w:bCs/>
      <w:smallCaps/>
      <w:color w:val="19003E" w:themeColor="accent1" w:themeShade="BF"/>
      <w:spacing w:val="5"/>
    </w:rPr>
  </w:style>
  <w:style w:type="paragraph" w:styleId="Header">
    <w:name w:val="header"/>
    <w:basedOn w:val="Normal"/>
    <w:link w:val="HeaderChar"/>
    <w:uiPriority w:val="99"/>
    <w:unhideWhenUsed/>
    <w:rsid w:val="004B7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B47"/>
  </w:style>
  <w:style w:type="paragraph" w:styleId="Footer">
    <w:name w:val="footer"/>
    <w:basedOn w:val="Normal"/>
    <w:link w:val="FooterChar"/>
    <w:uiPriority w:val="99"/>
    <w:unhideWhenUsed/>
    <w:rsid w:val="004B7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B47"/>
  </w:style>
  <w:style w:type="paragraph" w:styleId="ListParagraph">
    <w:name w:val="List Paragraph"/>
    <w:aliases w:val="CAB - List Bullet,Recommendation,List Paragraph1,List Paragraph11,Bullet point,Figure_name,Numbered Indented Text,Bullet- First level,List NUmber,Listenabsatz1,lp1,Body text,NAST Quote,standard lewis,List Number1,Body Text1,List Number11"/>
    <w:basedOn w:val="Normal"/>
    <w:link w:val="ListParagraphChar"/>
    <w:uiPriority w:val="34"/>
    <w:qFormat/>
    <w:rsid w:val="00C63500"/>
    <w:pPr>
      <w:ind w:left="720"/>
      <w:contextualSpacing/>
    </w:pPr>
  </w:style>
  <w:style w:type="paragraph" w:styleId="EndnoteText">
    <w:name w:val="endnote text"/>
    <w:basedOn w:val="Normal"/>
    <w:link w:val="EndnoteTextChar"/>
    <w:uiPriority w:val="99"/>
    <w:semiHidden/>
    <w:unhideWhenUsed/>
    <w:rsid w:val="00B02AC1"/>
    <w:pPr>
      <w:spacing w:after="0" w:line="240" w:lineRule="auto"/>
    </w:pPr>
  </w:style>
  <w:style w:type="character" w:customStyle="1" w:styleId="EndnoteTextChar">
    <w:name w:val="Endnote Text Char"/>
    <w:basedOn w:val="DefaultParagraphFont"/>
    <w:link w:val="EndnoteText"/>
    <w:uiPriority w:val="99"/>
    <w:semiHidden/>
    <w:rsid w:val="00B02AC1"/>
    <w:rPr>
      <w:color w:val="484B5D" w:themeColor="accent3"/>
      <w:sz w:val="20"/>
      <w:szCs w:val="20"/>
    </w:rPr>
  </w:style>
  <w:style w:type="character" w:styleId="EndnoteReference">
    <w:name w:val="endnote reference"/>
    <w:basedOn w:val="DefaultParagraphFont"/>
    <w:uiPriority w:val="99"/>
    <w:semiHidden/>
    <w:unhideWhenUsed/>
    <w:rsid w:val="00B02AC1"/>
    <w:rPr>
      <w:vertAlign w:val="superscript"/>
    </w:rPr>
  </w:style>
  <w:style w:type="paragraph" w:styleId="FootnoteText">
    <w:name w:val="footnote text"/>
    <w:basedOn w:val="Normal"/>
    <w:link w:val="FootnoteTextChar"/>
    <w:uiPriority w:val="99"/>
    <w:unhideWhenUsed/>
    <w:rsid w:val="002202C1"/>
    <w:pPr>
      <w:spacing w:after="0" w:line="240" w:lineRule="auto"/>
    </w:pPr>
  </w:style>
  <w:style w:type="character" w:customStyle="1" w:styleId="FootnoteTextChar">
    <w:name w:val="Footnote Text Char"/>
    <w:basedOn w:val="DefaultParagraphFont"/>
    <w:link w:val="FootnoteText"/>
    <w:uiPriority w:val="99"/>
    <w:rsid w:val="002202C1"/>
    <w:rPr>
      <w:color w:val="484B5D" w:themeColor="accent3"/>
      <w:sz w:val="20"/>
      <w:szCs w:val="20"/>
    </w:rPr>
  </w:style>
  <w:style w:type="character" w:styleId="FootnoteReference">
    <w:name w:val="footnote reference"/>
    <w:basedOn w:val="DefaultParagraphFont"/>
    <w:uiPriority w:val="39"/>
    <w:unhideWhenUsed/>
    <w:rsid w:val="002202C1"/>
    <w:rPr>
      <w:vertAlign w:val="superscript"/>
    </w:rPr>
  </w:style>
  <w:style w:type="paragraph" w:styleId="TOCHeading">
    <w:name w:val="TOC Heading"/>
    <w:next w:val="Normal"/>
    <w:uiPriority w:val="39"/>
    <w:unhideWhenUsed/>
    <w:qFormat/>
    <w:rsid w:val="00277D66"/>
    <w:rPr>
      <w:rFonts w:ascii="Avenir Next LT Pro Demi" w:eastAsia="Times New Roman" w:hAnsi="Avenir Next LT Pro Demi" w:cs="Times New Roman"/>
      <w:color w:val="220054"/>
      <w:spacing w:val="-10"/>
      <w:kern w:val="28"/>
      <w:sz w:val="48"/>
      <w:szCs w:val="40"/>
      <w:lang w:val="en-AU" w:eastAsia="en-US"/>
      <w14:ligatures w14:val="standardContextual"/>
    </w:rPr>
  </w:style>
  <w:style w:type="paragraph" w:styleId="TOC1">
    <w:name w:val="toc 1"/>
    <w:basedOn w:val="Normal"/>
    <w:next w:val="Normal"/>
    <w:autoRedefine/>
    <w:uiPriority w:val="39"/>
    <w:unhideWhenUsed/>
    <w:rsid w:val="00653848"/>
    <w:pPr>
      <w:tabs>
        <w:tab w:val="left" w:pos="600"/>
        <w:tab w:val="left" w:pos="9072"/>
      </w:tabs>
      <w:kinsoku w:val="0"/>
      <w:overflowPunct w:val="0"/>
      <w:autoSpaceDE w:val="0"/>
      <w:autoSpaceDN w:val="0"/>
      <w:adjustRightInd w:val="0"/>
      <w:snapToGrid w:val="0"/>
      <w:spacing w:before="360" w:after="0"/>
      <w:ind w:right="-613"/>
    </w:pPr>
    <w:rPr>
      <w:rFonts w:asciiTheme="majorHAnsi" w:hAnsiTheme="majorHAnsi"/>
      <w:b/>
      <w:bCs/>
      <w:caps/>
      <w:sz w:val="24"/>
      <w:szCs w:val="24"/>
    </w:rPr>
  </w:style>
  <w:style w:type="paragraph" w:styleId="TOC2">
    <w:name w:val="toc 2"/>
    <w:basedOn w:val="Normal"/>
    <w:next w:val="Normal"/>
    <w:autoRedefine/>
    <w:uiPriority w:val="39"/>
    <w:unhideWhenUsed/>
    <w:rsid w:val="001D0416"/>
    <w:pPr>
      <w:spacing w:before="240" w:after="0"/>
    </w:pPr>
    <w:rPr>
      <w:rFonts w:asciiTheme="minorHAnsi" w:hAnsiTheme="minorHAnsi"/>
      <w:b/>
      <w:bCs/>
    </w:rPr>
  </w:style>
  <w:style w:type="character" w:styleId="Hyperlink">
    <w:name w:val="Hyperlink"/>
    <w:basedOn w:val="DefaultParagraphFont"/>
    <w:uiPriority w:val="99"/>
    <w:unhideWhenUsed/>
    <w:qFormat/>
    <w:rsid w:val="00AC4A19"/>
    <w:rPr>
      <w:color w:val="5F4AFF" w:themeColor="accent6"/>
      <w:u w:val="single"/>
    </w:rPr>
  </w:style>
  <w:style w:type="paragraph" w:styleId="TOC3">
    <w:name w:val="toc 3"/>
    <w:basedOn w:val="Normal"/>
    <w:next w:val="Normal"/>
    <w:autoRedefine/>
    <w:uiPriority w:val="39"/>
    <w:unhideWhenUsed/>
    <w:rsid w:val="002709C1"/>
    <w:pPr>
      <w:spacing w:after="0"/>
      <w:ind w:left="200"/>
    </w:pPr>
    <w:rPr>
      <w:rFonts w:asciiTheme="minorHAnsi" w:hAnsiTheme="minorHAnsi"/>
    </w:rPr>
  </w:style>
  <w:style w:type="paragraph" w:styleId="TOC4">
    <w:name w:val="toc 4"/>
    <w:basedOn w:val="Normal"/>
    <w:next w:val="Normal"/>
    <w:autoRedefine/>
    <w:uiPriority w:val="39"/>
    <w:unhideWhenUsed/>
    <w:rsid w:val="002709C1"/>
    <w:pPr>
      <w:spacing w:after="0"/>
      <w:ind w:left="400"/>
    </w:pPr>
    <w:rPr>
      <w:rFonts w:asciiTheme="minorHAnsi" w:hAnsiTheme="minorHAnsi"/>
    </w:rPr>
  </w:style>
  <w:style w:type="paragraph" w:styleId="TOC5">
    <w:name w:val="toc 5"/>
    <w:basedOn w:val="Normal"/>
    <w:next w:val="Normal"/>
    <w:autoRedefine/>
    <w:uiPriority w:val="39"/>
    <w:unhideWhenUsed/>
    <w:rsid w:val="002709C1"/>
    <w:pPr>
      <w:spacing w:after="0"/>
      <w:ind w:left="600"/>
    </w:pPr>
    <w:rPr>
      <w:rFonts w:asciiTheme="minorHAnsi" w:hAnsiTheme="minorHAnsi"/>
    </w:rPr>
  </w:style>
  <w:style w:type="paragraph" w:styleId="TOC6">
    <w:name w:val="toc 6"/>
    <w:basedOn w:val="Normal"/>
    <w:next w:val="Normal"/>
    <w:autoRedefine/>
    <w:uiPriority w:val="39"/>
    <w:unhideWhenUsed/>
    <w:rsid w:val="002709C1"/>
    <w:pPr>
      <w:spacing w:after="0"/>
      <w:ind w:left="800"/>
    </w:pPr>
    <w:rPr>
      <w:rFonts w:asciiTheme="minorHAnsi" w:hAnsiTheme="minorHAnsi"/>
    </w:rPr>
  </w:style>
  <w:style w:type="paragraph" w:styleId="TOC7">
    <w:name w:val="toc 7"/>
    <w:basedOn w:val="Normal"/>
    <w:next w:val="Normal"/>
    <w:autoRedefine/>
    <w:uiPriority w:val="39"/>
    <w:unhideWhenUsed/>
    <w:rsid w:val="002709C1"/>
    <w:pPr>
      <w:spacing w:after="0"/>
      <w:ind w:left="1000"/>
    </w:pPr>
    <w:rPr>
      <w:rFonts w:asciiTheme="minorHAnsi" w:hAnsiTheme="minorHAnsi"/>
    </w:rPr>
  </w:style>
  <w:style w:type="paragraph" w:styleId="TOC8">
    <w:name w:val="toc 8"/>
    <w:basedOn w:val="Normal"/>
    <w:next w:val="Normal"/>
    <w:autoRedefine/>
    <w:uiPriority w:val="39"/>
    <w:unhideWhenUsed/>
    <w:rsid w:val="002709C1"/>
    <w:pPr>
      <w:spacing w:after="0"/>
      <w:ind w:left="1200"/>
    </w:pPr>
    <w:rPr>
      <w:rFonts w:asciiTheme="minorHAnsi" w:hAnsiTheme="minorHAnsi"/>
    </w:rPr>
  </w:style>
  <w:style w:type="paragraph" w:styleId="TOC9">
    <w:name w:val="toc 9"/>
    <w:basedOn w:val="Normal"/>
    <w:next w:val="Normal"/>
    <w:autoRedefine/>
    <w:uiPriority w:val="39"/>
    <w:unhideWhenUsed/>
    <w:rsid w:val="002709C1"/>
    <w:pPr>
      <w:spacing w:after="0"/>
      <w:ind w:left="1400"/>
    </w:pPr>
    <w:rPr>
      <w:rFonts w:asciiTheme="minorHAnsi" w:hAnsiTheme="minorHAnsi"/>
    </w:rPr>
  </w:style>
  <w:style w:type="character" w:styleId="CommentReference">
    <w:name w:val="annotation reference"/>
    <w:basedOn w:val="DefaultParagraphFont"/>
    <w:uiPriority w:val="99"/>
    <w:semiHidden/>
    <w:unhideWhenUsed/>
    <w:rsid w:val="006828BC"/>
    <w:rPr>
      <w:sz w:val="16"/>
      <w:szCs w:val="16"/>
    </w:rPr>
  </w:style>
  <w:style w:type="paragraph" w:styleId="CommentText">
    <w:name w:val="annotation text"/>
    <w:basedOn w:val="Normal"/>
    <w:link w:val="CommentTextChar"/>
    <w:uiPriority w:val="99"/>
    <w:unhideWhenUsed/>
    <w:rsid w:val="006828BC"/>
    <w:pPr>
      <w:spacing w:line="240" w:lineRule="auto"/>
    </w:pPr>
  </w:style>
  <w:style w:type="character" w:customStyle="1" w:styleId="CommentTextChar">
    <w:name w:val="Comment Text Char"/>
    <w:basedOn w:val="DefaultParagraphFont"/>
    <w:link w:val="CommentText"/>
    <w:uiPriority w:val="99"/>
    <w:rsid w:val="006828BC"/>
    <w:rPr>
      <w:color w:val="484B5D" w:themeColor="accent3"/>
      <w:sz w:val="20"/>
      <w:szCs w:val="20"/>
    </w:rPr>
  </w:style>
  <w:style w:type="paragraph" w:styleId="CommentSubject">
    <w:name w:val="annotation subject"/>
    <w:basedOn w:val="CommentText"/>
    <w:next w:val="CommentText"/>
    <w:link w:val="CommentSubjectChar"/>
    <w:uiPriority w:val="99"/>
    <w:semiHidden/>
    <w:unhideWhenUsed/>
    <w:rsid w:val="006828BC"/>
    <w:rPr>
      <w:b/>
      <w:bCs/>
    </w:rPr>
  </w:style>
  <w:style w:type="character" w:customStyle="1" w:styleId="CommentSubjectChar">
    <w:name w:val="Comment Subject Char"/>
    <w:basedOn w:val="CommentTextChar"/>
    <w:link w:val="CommentSubject"/>
    <w:uiPriority w:val="99"/>
    <w:semiHidden/>
    <w:rsid w:val="006828BC"/>
    <w:rPr>
      <w:b/>
      <w:bCs/>
      <w:color w:val="484B5D" w:themeColor="accent3"/>
      <w:sz w:val="20"/>
      <w:szCs w:val="20"/>
    </w:rPr>
  </w:style>
  <w:style w:type="character" w:styleId="PlaceholderText">
    <w:name w:val="Placeholder Text"/>
    <w:basedOn w:val="DefaultParagraphFont"/>
    <w:uiPriority w:val="99"/>
    <w:semiHidden/>
    <w:rsid w:val="00E95DC3"/>
    <w:rPr>
      <w:color w:val="666666"/>
    </w:rPr>
  </w:style>
  <w:style w:type="character" w:customStyle="1" w:styleId="ListParagraphChar">
    <w:name w:val="List Paragraph Char"/>
    <w:aliases w:val="CAB - List Bullet Char,Recommendation Char,List Paragraph1 Char,List Paragraph11 Char,Bullet point Char,Figure_name Char,Numbered Indented Text Char,Bullet- First level Char,List NUmber Char,Listenabsatz1 Char,lp1 Char,Body text Char"/>
    <w:link w:val="ListParagraph"/>
    <w:uiPriority w:val="34"/>
    <w:qFormat/>
    <w:locked/>
    <w:rsid w:val="002571BC"/>
    <w:rPr>
      <w:color w:val="484B5D" w:themeColor="accent3"/>
    </w:rPr>
  </w:style>
  <w:style w:type="paragraph" w:customStyle="1" w:styleId="Tablebodytext">
    <w:name w:val="Table body text"/>
    <w:qFormat/>
    <w:rsid w:val="00AC4A19"/>
    <w:pPr>
      <w:framePr w:hSpace="180" w:wrap="around" w:vAnchor="text" w:hAnchor="margin" w:y="778"/>
      <w:spacing w:before="120" w:after="120" w:line="240" w:lineRule="auto"/>
    </w:pPr>
    <w:rPr>
      <w:rFonts w:ascii="Avenir Next LT Pro" w:eastAsiaTheme="minorHAnsi" w:hAnsi="Avenir Next LT Pro" w:cs="Times New Roman (Body CS)"/>
      <w:color w:val="484B5D" w:themeColor="accent3"/>
      <w:sz w:val="22"/>
      <w:szCs w:val="22"/>
      <w:lang w:val="en-AU" w:eastAsia="en-US"/>
    </w:rPr>
  </w:style>
  <w:style w:type="paragraph" w:customStyle="1" w:styleId="TableNormalBullet1">
    <w:name w:val="Table Normal Bullet 1"/>
    <w:basedOn w:val="Normal"/>
    <w:uiPriority w:val="14"/>
    <w:rsid w:val="002571BC"/>
    <w:pPr>
      <w:numPr>
        <w:numId w:val="2"/>
      </w:numPr>
      <w:spacing w:before="40" w:after="40" w:line="264" w:lineRule="auto"/>
    </w:pPr>
    <w:rPr>
      <w:rFonts w:eastAsia="Times New Roman" w:cs="Arial"/>
      <w:snapToGrid w:val="0"/>
      <w:color w:val="auto"/>
      <w:sz w:val="18"/>
      <w:lang w:val="en-AU" w:eastAsia="en-US"/>
    </w:rPr>
  </w:style>
  <w:style w:type="paragraph" w:customStyle="1" w:styleId="TableNormalBullet3">
    <w:name w:val="Table Normal Bullet 3"/>
    <w:basedOn w:val="TableNormalBullet2"/>
    <w:uiPriority w:val="14"/>
    <w:rsid w:val="002571BC"/>
    <w:pPr>
      <w:numPr>
        <w:ilvl w:val="2"/>
      </w:numPr>
    </w:pPr>
  </w:style>
  <w:style w:type="paragraph" w:customStyle="1" w:styleId="TableNormalBullet2">
    <w:name w:val="Table Normal Bullet 2"/>
    <w:basedOn w:val="TableNormalBullet1"/>
    <w:uiPriority w:val="14"/>
    <w:rsid w:val="002571BC"/>
    <w:pPr>
      <w:numPr>
        <w:ilvl w:val="1"/>
      </w:numPr>
    </w:pPr>
  </w:style>
  <w:style w:type="paragraph" w:customStyle="1" w:styleId="CVbullets">
    <w:name w:val="CV bullets"/>
    <w:basedOn w:val="ListParagraph"/>
    <w:qFormat/>
    <w:rsid w:val="00C5488E"/>
    <w:pPr>
      <w:numPr>
        <w:numId w:val="4"/>
      </w:numPr>
      <w:kinsoku w:val="0"/>
      <w:overflowPunct w:val="0"/>
      <w:autoSpaceDE w:val="0"/>
      <w:autoSpaceDN w:val="0"/>
      <w:adjustRightInd w:val="0"/>
      <w:snapToGrid w:val="0"/>
      <w:spacing w:after="0"/>
    </w:pPr>
    <w:rPr>
      <w:rFonts w:asciiTheme="minorHAnsi" w:eastAsia="Times New Roman" w:hAnsiTheme="minorHAnsi" w:cs="Arial"/>
      <w:lang w:val="en-AU" w:eastAsia="en-AU"/>
    </w:rPr>
  </w:style>
  <w:style w:type="paragraph" w:customStyle="1" w:styleId="CVHeading">
    <w:name w:val="CV Heading"/>
    <w:basedOn w:val="CVbodygreybground"/>
    <w:qFormat/>
    <w:rsid w:val="00203A52"/>
    <w:pPr>
      <w:pBdr>
        <w:top w:val="single" w:sz="12" w:space="1" w:color="464E7E" w:themeColor="accent2"/>
        <w:left w:val="single" w:sz="12" w:space="4" w:color="464E7E" w:themeColor="accent2"/>
        <w:bottom w:val="single" w:sz="12" w:space="1" w:color="464E7E" w:themeColor="accent2"/>
        <w:right w:val="single" w:sz="12" w:space="4" w:color="464E7E" w:themeColor="accent2"/>
      </w:pBdr>
      <w:shd w:val="clear" w:color="auto" w:fill="464E7E" w:themeFill="accent2"/>
      <w:ind w:left="284" w:right="284"/>
      <w:jc w:val="center"/>
    </w:pPr>
    <w:rPr>
      <w:rFonts w:asciiTheme="majorHAnsi" w:hAnsiTheme="majorHAnsi"/>
      <w:color w:val="FFFFFF" w:themeColor="background1"/>
    </w:rPr>
  </w:style>
  <w:style w:type="paragraph" w:customStyle="1" w:styleId="TableNormalText">
    <w:name w:val="Table Normal Text"/>
    <w:basedOn w:val="Normal"/>
    <w:uiPriority w:val="13"/>
    <w:rsid w:val="008226E8"/>
    <w:pPr>
      <w:spacing w:before="40" w:after="40" w:line="264" w:lineRule="auto"/>
    </w:pPr>
    <w:rPr>
      <w:rFonts w:eastAsia="Times New Roman" w:cs="Arial"/>
      <w:snapToGrid w:val="0"/>
      <w:color w:val="000000" w:themeColor="text1"/>
      <w:sz w:val="18"/>
      <w:lang w:val="en-AU" w:eastAsia="en-US"/>
    </w:rPr>
  </w:style>
  <w:style w:type="paragraph" w:customStyle="1" w:styleId="TableNormalColumnHeading">
    <w:name w:val="Table Normal Column Heading"/>
    <w:basedOn w:val="TableNormalText"/>
    <w:uiPriority w:val="14"/>
    <w:rsid w:val="008226E8"/>
    <w:pPr>
      <w:keepNext/>
      <w:keepLines/>
    </w:pPr>
    <w:rPr>
      <w:b/>
      <w:color w:val="FFFFFF" w:themeColor="background1"/>
    </w:rPr>
  </w:style>
  <w:style w:type="table" w:customStyle="1" w:styleId="ScyneTable">
    <w:name w:val="Scyne Table"/>
    <w:basedOn w:val="TableNormal"/>
    <w:rsid w:val="008226E8"/>
    <w:pPr>
      <w:spacing w:after="0" w:line="240" w:lineRule="auto"/>
    </w:pPr>
    <w:rPr>
      <w:rFonts w:eastAsia="Times New Roman" w:cs="Times New Roman"/>
      <w:sz w:val="20"/>
      <w:szCs w:val="20"/>
      <w:lang w:val="en-AU" w:eastAsia="en-AU"/>
    </w:rPr>
    <w:tblPr>
      <w:tblStyleRowBandSize w:val="1"/>
      <w:tblStyleColBandSize w:val="1"/>
    </w:tblPr>
    <w:tcPr>
      <w:tcBorders>
        <w:top w:val="nil"/>
        <w:left w:val="nil"/>
        <w:bottom w:val="single" w:sz="8" w:space="0" w:color="FFFFFF" w:themeColor="background1"/>
        <w:right w:val="nil"/>
        <w:insideH w:val="nil"/>
        <w:insideV w:val="nil"/>
        <w:tl2br w:val="nil"/>
        <w:tr2bl w:val="nil"/>
      </w:tcBorders>
      <w:shd w:val="clear" w:color="auto" w:fill="auto"/>
    </w:tcPr>
    <w:tblStylePr w:type="firstRow">
      <w:pPr>
        <w:jc w:val="left"/>
      </w:pPr>
      <w:rPr>
        <w:rFonts w:asciiTheme="minorHAnsi" w:hAnsiTheme="minorHAnsi"/>
        <w:b w:val="0"/>
        <w:color w:val="auto"/>
      </w:rPr>
    </w:tblStylePr>
    <w:tblStylePr w:type="lastRow">
      <w:rPr>
        <w:b/>
        <w:color w:val="auto"/>
      </w:rPr>
    </w:tblStylePr>
    <w:tblStylePr w:type="nwCell">
      <w:pPr>
        <w:jc w:val="left"/>
      </w:pPr>
      <w:tblPr/>
      <w:tcPr>
        <w:vAlign w:val="bottom"/>
      </w:tcPr>
    </w:tblStylePr>
  </w:style>
  <w:style w:type="paragraph" w:customStyle="1" w:styleId="TableNormalTopic">
    <w:name w:val="Table Normal Topic"/>
    <w:basedOn w:val="TableNormalText"/>
    <w:uiPriority w:val="39"/>
    <w:rsid w:val="008226E8"/>
    <w:pPr>
      <w:keepNext/>
      <w:keepLines/>
    </w:pPr>
    <w:rPr>
      <w:rFonts w:eastAsia="Georgia"/>
      <w:b/>
    </w:rPr>
  </w:style>
  <w:style w:type="table" w:styleId="TableGrid">
    <w:name w:val="Table Grid"/>
    <w:aliases w:val="HLSD Table"/>
    <w:basedOn w:val="TableNormal"/>
    <w:uiPriority w:val="39"/>
    <w:rsid w:val="00BD4EEB"/>
    <w:pPr>
      <w:kinsoku w:val="0"/>
      <w:overflowPunct w:val="0"/>
      <w:autoSpaceDE w:val="0"/>
      <w:autoSpaceDN w:val="0"/>
      <w:adjustRightInd w:val="0"/>
      <w:snapToGrid w:val="0"/>
      <w:spacing w:after="0" w:line="240" w:lineRule="auto"/>
    </w:pPr>
    <w:rPr>
      <w:rFonts w:ascii="Georgia" w:eastAsia="Times New Roman" w:hAnsi="Georgia" w:cs="Times New Roman"/>
      <w:sz w:val="20"/>
      <w:szCs w:val="20"/>
      <w:lang w:val="en-AU" w:eastAsia="en-AU"/>
    </w:rPr>
    <w:tblPr/>
    <w:tblStylePr w:type="firstRow">
      <w:rPr>
        <w:rFonts w:asciiTheme="majorHAnsi" w:hAnsiTheme="majorHAnsi"/>
        <w:color w:val="FFFFFF" w:themeColor="background1"/>
        <w:sz w:val="20"/>
      </w:rPr>
      <w:tblPr/>
      <w:tcPr>
        <w:shd w:val="clear" w:color="auto" w:fill="464E7E" w:themeFill="accent2"/>
      </w:tcPr>
    </w:tblStylePr>
    <w:tblStylePr w:type="firstCol">
      <w:tblPr/>
      <w:tcPr>
        <w:shd w:val="clear" w:color="auto" w:fill="D6D9E8" w:themeFill="accent2" w:themeFillTint="33"/>
      </w:tcPr>
    </w:tblStylePr>
  </w:style>
  <w:style w:type="paragraph" w:customStyle="1" w:styleId="TableHeadingtext">
    <w:name w:val="Table Heading text"/>
    <w:basedOn w:val="Tablebodytext"/>
    <w:rsid w:val="008B67C1"/>
    <w:pPr>
      <w:framePr w:wrap="around"/>
    </w:pPr>
    <w:rPr>
      <w:b/>
      <w:bCs/>
    </w:rPr>
  </w:style>
  <w:style w:type="paragraph" w:styleId="Caption">
    <w:name w:val="caption"/>
    <w:basedOn w:val="Normal"/>
    <w:next w:val="Normal"/>
    <w:uiPriority w:val="4"/>
    <w:unhideWhenUsed/>
    <w:qFormat/>
    <w:rsid w:val="00277D66"/>
    <w:pPr>
      <w:keepNext/>
      <w:spacing w:after="200" w:line="240" w:lineRule="auto"/>
    </w:pPr>
    <w:rPr>
      <w:iCs/>
      <w:color w:val="44546A" w:themeColor="text2"/>
      <w:sz w:val="18"/>
      <w:szCs w:val="18"/>
    </w:rPr>
  </w:style>
  <w:style w:type="paragraph" w:customStyle="1" w:styleId="TableHeader">
    <w:name w:val="Table Header"/>
    <w:basedOn w:val="Normal"/>
    <w:qFormat/>
    <w:rsid w:val="006D3034"/>
    <w:pPr>
      <w:spacing w:before="60" w:after="60" w:line="240" w:lineRule="auto"/>
    </w:pPr>
    <w:rPr>
      <w:rFonts w:asciiTheme="majorHAnsi" w:eastAsia="Times New Roman" w:hAnsiTheme="majorHAnsi" w:cs="Arial"/>
      <w:color w:val="000000" w:themeColor="text1"/>
      <w:szCs w:val="24"/>
      <w:lang w:val="en-AU" w:eastAsia="en-US"/>
    </w:rPr>
  </w:style>
  <w:style w:type="paragraph" w:customStyle="1" w:styleId="TableText">
    <w:name w:val="Table Text"/>
    <w:basedOn w:val="Normal"/>
    <w:link w:val="TableTextChar"/>
    <w:qFormat/>
    <w:rsid w:val="00623F06"/>
    <w:pPr>
      <w:spacing w:before="60" w:after="60" w:line="240" w:lineRule="auto"/>
    </w:pPr>
    <w:rPr>
      <w:rFonts w:eastAsia="Times New Roman" w:cs="Times New Roman"/>
      <w:szCs w:val="24"/>
      <w:lang w:val="en-AU" w:eastAsia="en-US"/>
    </w:rPr>
  </w:style>
  <w:style w:type="table" w:customStyle="1" w:styleId="IMSTable">
    <w:name w:val="IMS Table"/>
    <w:basedOn w:val="TableNormal"/>
    <w:uiPriority w:val="99"/>
    <w:rsid w:val="00F13251"/>
    <w:pPr>
      <w:spacing w:before="120" w:after="120" w:line="240" w:lineRule="auto"/>
    </w:pPr>
    <w:rPr>
      <w:rFonts w:ascii="Public Sans (NSW)" w:eastAsia="Times New Roman" w:hAnsi="Public Sans (NSW)" w:cs="Times New Roman"/>
      <w:color w:val="484B5D" w:themeColor="accent3"/>
      <w:sz w:val="20"/>
      <w:szCs w:val="20"/>
      <w:lang w:val="en-AU" w:eastAsia="en-AU"/>
    </w:rPr>
    <w:tblPr/>
    <w:tcPr>
      <w:shd w:val="clear" w:color="auto" w:fill="FDF1E6" w:themeFill="accent5" w:themeFillTint="33"/>
    </w:tcPr>
    <w:tblStylePr w:type="firstRow">
      <w:pPr>
        <w:wordWrap/>
        <w:spacing w:beforeLines="0" w:before="0" w:beforeAutospacing="0" w:afterLines="0" w:after="120" w:afterAutospacing="0"/>
      </w:pPr>
      <w:rPr>
        <w:rFonts w:asciiTheme="majorHAnsi" w:hAnsiTheme="majorHAnsi"/>
        <w:b/>
        <w:color w:val="auto"/>
        <w:sz w:val="20"/>
      </w:rPr>
      <w:tblPr/>
      <w:tcPr>
        <w:shd w:val="clear" w:color="auto" w:fill="F7BE85" w:themeFill="accent5"/>
      </w:tcPr>
    </w:tblStylePr>
    <w:tblStylePr w:type="lastRow">
      <w:pPr>
        <w:wordWrap/>
        <w:spacing w:beforeLines="0" w:before="120" w:beforeAutospacing="0"/>
        <w:jc w:val="left"/>
      </w:pPr>
      <w:rPr>
        <w:color w:val="FFFFFF" w:themeColor="background1"/>
      </w:rPr>
      <w:tblPr/>
      <w:tcPr>
        <w:shd w:val="clear" w:color="auto" w:fill="220054" w:themeFill="accent1"/>
        <w:vAlign w:val="center"/>
      </w:tcPr>
    </w:tblStylePr>
  </w:style>
  <w:style w:type="character" w:customStyle="1" w:styleId="TableTextChar">
    <w:name w:val="Table Text Char"/>
    <w:link w:val="TableText"/>
    <w:rsid w:val="00623F06"/>
    <w:rPr>
      <w:rFonts w:ascii="Avenir Next LT Pro" w:eastAsia="Times New Roman" w:hAnsi="Avenir Next LT Pro" w:cs="Times New Roman"/>
      <w:color w:val="484B5D" w:themeColor="accent3"/>
      <w:sz w:val="20"/>
      <w:lang w:val="en-AU" w:eastAsia="en-US"/>
    </w:rPr>
  </w:style>
  <w:style w:type="character" w:styleId="Mention">
    <w:name w:val="Mention"/>
    <w:basedOn w:val="DefaultParagraphFont"/>
    <w:uiPriority w:val="99"/>
    <w:unhideWhenUsed/>
    <w:rsid w:val="005556F3"/>
    <w:rPr>
      <w:color w:val="2B579A"/>
      <w:shd w:val="clear" w:color="auto" w:fill="E1DFDD"/>
    </w:rPr>
  </w:style>
  <w:style w:type="numbering" w:customStyle="1" w:styleId="Style1">
    <w:name w:val="Style1"/>
    <w:uiPriority w:val="99"/>
    <w:rsid w:val="00FF4A65"/>
    <w:pPr>
      <w:numPr>
        <w:numId w:val="6"/>
      </w:numPr>
    </w:pPr>
  </w:style>
  <w:style w:type="numbering" w:customStyle="1" w:styleId="Style2">
    <w:name w:val="Style2"/>
    <w:uiPriority w:val="99"/>
    <w:rsid w:val="00205DD3"/>
    <w:pPr>
      <w:numPr>
        <w:numId w:val="8"/>
      </w:numPr>
    </w:pPr>
  </w:style>
  <w:style w:type="numbering" w:customStyle="1" w:styleId="Style3">
    <w:name w:val="Style3"/>
    <w:uiPriority w:val="99"/>
    <w:rsid w:val="006A0C40"/>
    <w:pPr>
      <w:numPr>
        <w:numId w:val="11"/>
      </w:numPr>
    </w:pPr>
  </w:style>
  <w:style w:type="numbering" w:customStyle="1" w:styleId="Style4">
    <w:name w:val="Style4"/>
    <w:uiPriority w:val="99"/>
    <w:rsid w:val="0084704A"/>
    <w:pPr>
      <w:numPr>
        <w:numId w:val="12"/>
      </w:numPr>
    </w:pPr>
  </w:style>
  <w:style w:type="numbering" w:customStyle="1" w:styleId="Style5">
    <w:name w:val="Style5"/>
    <w:uiPriority w:val="99"/>
    <w:rsid w:val="0084704A"/>
    <w:pPr>
      <w:numPr>
        <w:numId w:val="13"/>
      </w:numPr>
    </w:pPr>
  </w:style>
  <w:style w:type="numbering" w:customStyle="1" w:styleId="Style6">
    <w:name w:val="Style6"/>
    <w:uiPriority w:val="99"/>
    <w:rsid w:val="0084704A"/>
    <w:pPr>
      <w:numPr>
        <w:numId w:val="14"/>
      </w:numPr>
    </w:pPr>
  </w:style>
  <w:style w:type="numbering" w:customStyle="1" w:styleId="Style7">
    <w:name w:val="Style7"/>
    <w:uiPriority w:val="99"/>
    <w:rsid w:val="0084704A"/>
  </w:style>
  <w:style w:type="numbering" w:customStyle="1" w:styleId="Style8">
    <w:name w:val="Style8"/>
    <w:uiPriority w:val="99"/>
    <w:rsid w:val="00CA0CE1"/>
    <w:pPr>
      <w:numPr>
        <w:numId w:val="62"/>
      </w:numPr>
    </w:pPr>
  </w:style>
  <w:style w:type="character" w:styleId="UnresolvedMention">
    <w:name w:val="Unresolved Mention"/>
    <w:basedOn w:val="DefaultParagraphFont"/>
    <w:uiPriority w:val="99"/>
    <w:semiHidden/>
    <w:unhideWhenUsed/>
    <w:rsid w:val="007B30A1"/>
    <w:rPr>
      <w:color w:val="605E5C"/>
      <w:shd w:val="clear" w:color="auto" w:fill="E1DFDD"/>
    </w:rPr>
  </w:style>
  <w:style w:type="paragraph" w:customStyle="1" w:styleId="TableParagraph">
    <w:name w:val="Table Paragraph"/>
    <w:basedOn w:val="Normal"/>
    <w:uiPriority w:val="1"/>
    <w:qFormat/>
    <w:rsid w:val="009A00F7"/>
    <w:pPr>
      <w:widowControl w:val="0"/>
      <w:autoSpaceDE w:val="0"/>
      <w:autoSpaceDN w:val="0"/>
      <w:spacing w:before="75" w:after="0" w:line="240" w:lineRule="auto"/>
    </w:pPr>
    <w:rPr>
      <w:rFonts w:ascii="Avenir Next" w:eastAsia="Avenir Next" w:hAnsi="Avenir Next" w:cs="Avenir Next"/>
      <w:color w:val="auto"/>
      <w:sz w:val="22"/>
      <w:szCs w:val="22"/>
      <w:lang w:eastAsia="en-US"/>
    </w:rPr>
  </w:style>
  <w:style w:type="table" w:customStyle="1" w:styleId="GridTable1Light-Accent31">
    <w:name w:val="Grid Table 1 Light - Accent 31"/>
    <w:basedOn w:val="TableNormal"/>
    <w:next w:val="GridTable1Light-Accent3"/>
    <w:uiPriority w:val="46"/>
    <w:rsid w:val="005B1D82"/>
    <w:pPr>
      <w:spacing w:after="0" w:line="240" w:lineRule="auto"/>
    </w:pPr>
    <w:rPr>
      <w:rFonts w:ascii="Georgia" w:eastAsia="Times New Roman" w:hAnsi="Georgia" w:cs="Times New Roman"/>
      <w:sz w:val="20"/>
      <w:szCs w:val="20"/>
      <w:lang w:val="en-AU" w:eastAsia="en-AU"/>
    </w:rPr>
    <w:tblPr>
      <w:tblStyleRowBandSize w:val="1"/>
      <w:tblStyleColBandSize w:val="1"/>
    </w:tblPr>
    <w:tcPr>
      <w:tcBorders>
        <w:top w:val="double" w:sz="2" w:space="0" w:color="6600FE"/>
      </w:tcBorders>
    </w:tcPr>
    <w:tblStylePr w:type="firstRow">
      <w:rPr>
        <w:b w:val="0"/>
        <w:bCs/>
      </w:rPr>
      <w:tblPr/>
      <w:tcPr>
        <w:tcBorders>
          <w:bottom w:val="single" w:sz="12" w:space="0" w:color="6600FE"/>
        </w:tcBorders>
      </w:tcPr>
    </w:tblStylePr>
    <w:tblStylePr w:type="lastRow">
      <w:rPr>
        <w:b/>
        <w:bCs/>
      </w:rPr>
    </w:tblStylePr>
    <w:tblStylePr w:type="firstCol">
      <w:rPr>
        <w:b/>
        <w:bCs/>
      </w:rPr>
    </w:tblStylePr>
    <w:tblStylePr w:type="lastCol">
      <w:rPr>
        <w:b/>
        <w:bCs/>
      </w:rPr>
    </w:tblStylePr>
  </w:style>
  <w:style w:type="table" w:styleId="GridTable1Light-Accent3">
    <w:name w:val="Grid Table 1 Light Accent 3"/>
    <w:basedOn w:val="TableNormal"/>
    <w:uiPriority w:val="46"/>
    <w:rsid w:val="00117556"/>
    <w:pPr>
      <w:spacing w:after="0" w:line="240" w:lineRule="auto"/>
    </w:pPr>
    <w:tblPr>
      <w:tblStyleRowBandSize w:val="1"/>
      <w:tblStyleColBandSize w:val="1"/>
    </w:tblPr>
    <w:tcPr>
      <w:tcBorders>
        <w:top w:val="double" w:sz="2" w:space="0" w:color="8A8EA4" w:themeColor="accent3" w:themeTint="99"/>
      </w:tcBorders>
    </w:tcPr>
    <w:tblStylePr w:type="firstRow">
      <w:rPr>
        <w:b/>
        <w:bCs/>
      </w:rPr>
      <w:tblPr/>
      <w:tcPr>
        <w:tcBorders>
          <w:bottom w:val="single" w:sz="12" w:space="0" w:color="8A8EA4" w:themeColor="accent3" w:themeTint="99"/>
        </w:tcBorders>
      </w:tcPr>
    </w:tblStylePr>
    <w:tblStylePr w:type="lastRow">
      <w:rPr>
        <w:b/>
        <w:bCs/>
      </w:rPr>
    </w:tblStylePr>
    <w:tblStylePr w:type="firstCol">
      <w:rPr>
        <w:b/>
        <w:bCs/>
      </w:rPr>
    </w:tblStylePr>
    <w:tblStylePr w:type="lastCol">
      <w:rPr>
        <w:b/>
        <w:bCs/>
      </w:rPr>
    </w:tblStylePr>
  </w:style>
  <w:style w:type="table" w:customStyle="1" w:styleId="GridTable1Light-Accent32">
    <w:name w:val="Grid Table 1 Light - Accent 32"/>
    <w:basedOn w:val="TableNormal"/>
    <w:next w:val="GridTable1Light-Accent3"/>
    <w:uiPriority w:val="46"/>
    <w:rsid w:val="004B61FB"/>
    <w:pPr>
      <w:spacing w:after="0" w:line="240" w:lineRule="auto"/>
    </w:pPr>
    <w:rPr>
      <w:rFonts w:ascii="Georgia" w:eastAsia="Times New Roman" w:hAnsi="Georgia" w:cs="Times New Roman"/>
      <w:sz w:val="20"/>
      <w:szCs w:val="20"/>
      <w:lang w:val="en-AU" w:eastAsia="en-AU"/>
    </w:rPr>
    <w:tblPr>
      <w:tblStyleRowBandSize w:val="1"/>
      <w:tblStyleColBandSize w:val="1"/>
    </w:tblPr>
    <w:tcPr>
      <w:tcBorders>
        <w:top w:val="double" w:sz="2" w:space="0" w:color="6600FE"/>
      </w:tcBorders>
    </w:tcPr>
    <w:tblStylePr w:type="firstRow">
      <w:rPr>
        <w:b w:val="0"/>
        <w:bCs/>
      </w:rPr>
      <w:tblPr/>
      <w:tcPr>
        <w:tcBorders>
          <w:bottom w:val="single" w:sz="12" w:space="0" w:color="6600FE"/>
        </w:tcBorders>
      </w:tcPr>
    </w:tblStylePr>
    <w:tblStylePr w:type="lastRow">
      <w:rPr>
        <w:b/>
        <w:bCs/>
      </w:rPr>
    </w:tblStylePr>
    <w:tblStylePr w:type="firstCol">
      <w:rPr>
        <w:b/>
        <w:bCs/>
      </w:rPr>
    </w:tblStylePr>
    <w:tblStylePr w:type="lastCol">
      <w:rPr>
        <w:b/>
        <w:bCs/>
      </w:rPr>
    </w:tblStylePr>
  </w:style>
  <w:style w:type="table" w:customStyle="1" w:styleId="GridTable1Light-Accent33">
    <w:name w:val="Grid Table 1 Light - Accent 33"/>
    <w:basedOn w:val="TableNormal"/>
    <w:next w:val="GridTable1Light-Accent3"/>
    <w:uiPriority w:val="46"/>
    <w:rsid w:val="00A57CA5"/>
    <w:pPr>
      <w:spacing w:after="0" w:line="240" w:lineRule="auto"/>
    </w:pPr>
    <w:rPr>
      <w:rFonts w:ascii="Georgia" w:eastAsia="Times New Roman" w:hAnsi="Georgia" w:cs="Times New Roman"/>
      <w:sz w:val="20"/>
      <w:szCs w:val="20"/>
      <w:lang w:val="en-AU" w:eastAsia="en-AU"/>
    </w:rPr>
    <w:tblPr>
      <w:tblStyleRowBandSize w:val="1"/>
      <w:tblStyleColBandSize w:val="1"/>
    </w:tblPr>
    <w:tcPr>
      <w:tcBorders>
        <w:top w:val="double" w:sz="2" w:space="0" w:color="6600FE"/>
      </w:tcBorders>
    </w:tcPr>
    <w:tblStylePr w:type="firstRow">
      <w:pPr>
        <w:jc w:val="center"/>
      </w:pPr>
      <w:rPr>
        <w:rFonts w:asciiTheme="majorHAnsi" w:hAnsiTheme="majorHAnsi"/>
        <w:b w:val="0"/>
        <w:bCs/>
        <w:sz w:val="18"/>
      </w:rPr>
      <w:tblPr/>
      <w:tcPr>
        <w:tcBorders>
          <w:bottom w:val="single" w:sz="12" w:space="0" w:color="6600FE"/>
        </w:tcBorders>
      </w:tcPr>
    </w:tblStylePr>
    <w:tblStylePr w:type="lastRow">
      <w:rPr>
        <w:b/>
        <w:bCs/>
      </w:rPr>
    </w:tblStylePr>
    <w:tblStylePr w:type="firstCol">
      <w:pPr>
        <w:jc w:val="left"/>
      </w:pPr>
      <w:rPr>
        <w:b/>
        <w:bCs/>
      </w:rPr>
    </w:tblStylePr>
    <w:tblStylePr w:type="lastCol">
      <w:rPr>
        <w:b/>
        <w:bCs/>
      </w:rPr>
    </w:tblStylePr>
  </w:style>
  <w:style w:type="paragraph" w:styleId="Revision">
    <w:name w:val="Revision"/>
    <w:hidden/>
    <w:uiPriority w:val="99"/>
    <w:semiHidden/>
    <w:rsid w:val="00ED4BB1"/>
    <w:pPr>
      <w:spacing w:after="0" w:line="240" w:lineRule="auto"/>
    </w:pPr>
    <w:rPr>
      <w:rFonts w:ascii="Avenir Next LT Pro" w:hAnsi="Avenir Next LT Pro"/>
      <w:color w:val="484B5D" w:themeColor="accent3"/>
      <w:sz w:val="20"/>
      <w:szCs w:val="20"/>
    </w:rPr>
  </w:style>
  <w:style w:type="table" w:styleId="ListTable7ColourfulAccent4">
    <w:name w:val="List Table 7 Colorful Accent 4"/>
    <w:basedOn w:val="TableNormal"/>
    <w:uiPriority w:val="52"/>
    <w:rsid w:val="00A633F7"/>
    <w:pPr>
      <w:spacing w:after="0" w:line="240" w:lineRule="auto"/>
    </w:pPr>
    <w:rPr>
      <w:color w:val="7071BA" w:themeColor="accent4" w:themeShade="BF"/>
    </w:rPr>
    <w:tblPr>
      <w:tblStyleRowBandSize w:val="1"/>
      <w:tblStyleColBandSize w:val="1"/>
    </w:tblPr>
    <w:tcPr>
      <w:shd w:val="clear" w:color="auto" w:fill="EFF0F7" w:themeFill="accent4" w:themeFillTint="33"/>
    </w:tcPr>
    <w:tblStylePr w:type="firstRow">
      <w:rPr>
        <w:rFonts w:asciiTheme="majorHAnsi" w:eastAsiaTheme="majorEastAsia" w:hAnsiTheme="majorHAnsi" w:cstheme="majorBidi"/>
        <w:i/>
        <w:iCs/>
        <w:sz w:val="26"/>
      </w:rPr>
      <w:tblPr/>
      <w:tcPr>
        <w:tcBorders>
          <w:bottom w:val="single" w:sz="4" w:space="0" w:color="B4B5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4B5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6">
    <w:name w:val="Grid Table 4 Accent 6"/>
    <w:basedOn w:val="TableNormal"/>
    <w:uiPriority w:val="49"/>
    <w:rsid w:val="0046250D"/>
    <w:pPr>
      <w:spacing w:after="0" w:line="240" w:lineRule="auto"/>
    </w:pPr>
    <w:tblPr>
      <w:tblStyleRowBandSize w:val="1"/>
      <w:tblStyleColBandSize w:val="1"/>
    </w:tblPr>
    <w:tcPr>
      <w:tcBorders>
        <w:right w:val="single" w:sz="4" w:space="0" w:color="5F4AFF" w:themeColor="accent6"/>
      </w:tcBorders>
      <w:shd w:val="clear" w:color="auto" w:fill="DEDAFF" w:themeFill="accent6"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1Light-Accent6">
    <w:name w:val="List Table 1 Light Accent 6"/>
    <w:basedOn w:val="TableNormal"/>
    <w:uiPriority w:val="46"/>
    <w:rsid w:val="0046250D"/>
    <w:pPr>
      <w:spacing w:after="0" w:line="240" w:lineRule="auto"/>
    </w:pPr>
    <w:tblPr>
      <w:tblStyleRowBandSize w:val="1"/>
      <w:tblStyleColBandSize w:val="1"/>
    </w:tblPr>
    <w:tcPr>
      <w:shd w:val="clear" w:color="auto" w:fill="DEDAFF" w:themeFill="accent6" w:themeFillTint="33"/>
    </w:tcPr>
    <w:tblStylePr w:type="firstRow">
      <w:rPr>
        <w:b/>
        <w:bCs/>
      </w:rPr>
      <w:tblPr/>
      <w:tcPr>
        <w:tcBorders>
          <w:bottom w:val="single" w:sz="4" w:space="0" w:color="9E92FF" w:themeColor="accent6" w:themeTint="99"/>
        </w:tcBorders>
      </w:tcPr>
    </w:tblStylePr>
    <w:tblStylePr w:type="lastRow">
      <w:rPr>
        <w:b/>
        <w:bCs/>
      </w:rPr>
      <w:tblPr/>
      <w:tcPr>
        <w:tcBorders>
          <w:top w:val="single" w:sz="4" w:space="0" w:color="9E92FF" w:themeColor="accent6"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07F60"/>
    <w:pPr>
      <w:spacing w:after="0" w:line="240" w:lineRule="auto"/>
    </w:pPr>
    <w:tblPr>
      <w:tblStyleRowBandSize w:val="1"/>
      <w:tblStyleColBandSize w:val="1"/>
    </w:tblPr>
    <w:tcPr>
      <w:tcBorders>
        <w:bottom w:val="single" w:sz="12" w:space="0" w:color="9E92FF" w:themeColor="accent6" w:themeTint="99"/>
      </w:tcBorders>
    </w:tcPr>
    <w:tblStylePr w:type="firstRow">
      <w:rPr>
        <w:b/>
        <w:bCs/>
      </w:rPr>
    </w:tblStylePr>
    <w:tblStylePr w:type="lastRow">
      <w:rPr>
        <w:b/>
        <w:bCs/>
      </w:rPr>
    </w:tblStylePr>
    <w:tblStylePr w:type="firstCol">
      <w:rPr>
        <w:b/>
        <w:bCs/>
      </w:rPr>
    </w:tblStylePr>
    <w:tblStylePr w:type="lastCol">
      <w:rPr>
        <w:b/>
        <w:bCs/>
      </w:rPr>
    </w:tblStylePr>
  </w:style>
  <w:style w:type="paragraph" w:styleId="NormalWeb">
    <w:name w:val="Normal (Web)"/>
    <w:basedOn w:val="Normal"/>
    <w:uiPriority w:val="99"/>
    <w:semiHidden/>
    <w:unhideWhenUsed/>
    <w:rsid w:val="007703EB"/>
    <w:rPr>
      <w:rFonts w:ascii="Times New Roman" w:hAnsi="Times New Roman" w:cs="Times New Roman"/>
      <w:sz w:val="24"/>
      <w:szCs w:val="24"/>
    </w:rPr>
  </w:style>
  <w:style w:type="table" w:styleId="PlainTable5">
    <w:name w:val="Plain Table 5"/>
    <w:basedOn w:val="TableNormal"/>
    <w:uiPriority w:val="45"/>
    <w:rsid w:val="00847E6F"/>
    <w:pPr>
      <w:spacing w:after="0" w:line="240" w:lineRule="auto"/>
    </w:p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511A42"/>
    <w:pPr>
      <w:spacing w:after="0" w:line="240" w:lineRule="auto"/>
    </w:pPr>
    <w:tblPr>
      <w:tblStyleRowBandSize w:val="1"/>
      <w:tblStyleColBandSize w:val="1"/>
    </w:tblPr>
    <w:tcPr>
      <w:tcBorders>
        <w:bottom w:val="single" w:sz="12" w:space="0" w:color="858DBB" w:themeColor="accent2" w:themeTint="99"/>
      </w:tcBorders>
    </w:tcPr>
    <w:tblStylePr w:type="firstRow">
      <w:rPr>
        <w:b/>
        <w:bCs/>
      </w:rPr>
    </w:tblStylePr>
    <w:tblStylePr w:type="lastRow">
      <w:rPr>
        <w:b/>
        <w:bCs/>
      </w:rPr>
    </w:tblStylePr>
    <w:tblStylePr w:type="firstCol">
      <w:rPr>
        <w:b/>
        <w:bCs/>
      </w:rPr>
    </w:tblStylePr>
    <w:tblStylePr w:type="lastCol">
      <w:rPr>
        <w:b/>
        <w:bCs/>
      </w:rPr>
    </w:tblStylePr>
  </w:style>
  <w:style w:type="table" w:styleId="GridTable1Light-Accent4">
    <w:name w:val="Grid Table 1 Light Accent 4"/>
    <w:basedOn w:val="TableNormal"/>
    <w:uiPriority w:val="46"/>
    <w:rsid w:val="00A57CA5"/>
    <w:pPr>
      <w:spacing w:after="0" w:line="240" w:lineRule="auto"/>
    </w:pPr>
    <w:tblPr>
      <w:tblStyleRowBandSize w:val="1"/>
      <w:tblStyleColBandSize w:val="1"/>
      <w:tblBorders>
        <w:top w:val="single" w:sz="4" w:space="0" w:color="DEDAFF" w:themeColor="accent6" w:themeTint="33"/>
        <w:left w:val="single" w:sz="4" w:space="0" w:color="DEDAFF" w:themeColor="accent6" w:themeTint="33"/>
        <w:bottom w:val="single" w:sz="4" w:space="0" w:color="DEDAFF" w:themeColor="accent6" w:themeTint="33"/>
        <w:right w:val="single" w:sz="4" w:space="0" w:color="DEDAFF" w:themeColor="accent6" w:themeTint="33"/>
        <w:insideH w:val="single" w:sz="4" w:space="0" w:color="DEDAFF" w:themeColor="accent6" w:themeTint="33"/>
        <w:insideV w:val="single" w:sz="4" w:space="0" w:color="DEDAFF" w:themeColor="accent6" w:themeTint="33"/>
      </w:tblBorders>
    </w:tblPr>
    <w:tcPr>
      <w:tcBorders>
        <w:bottom w:val="single" w:sz="12" w:space="0" w:color="D1D2E9" w:themeColor="accent4" w:themeTint="99"/>
      </w:tcBorders>
    </w:tcPr>
    <w:tblStylePr w:type="firstRow">
      <w:rPr>
        <w:b/>
        <w:bCs/>
      </w:rPr>
      <w:tblPr/>
      <w:tcPr>
        <w:shd w:val="clear" w:color="auto" w:fill="DEDAFF" w:themeFill="accent6" w:themeFillTint="33"/>
      </w:tcPr>
    </w:tblStylePr>
    <w:tblStylePr w:type="lastRow">
      <w:rPr>
        <w:b/>
        <w:bCs/>
      </w:r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DB22C2"/>
    <w:rPr>
      <w:color w:val="F2EFED" w:themeColor="followedHyperlink"/>
      <w:u w:val="single"/>
    </w:rPr>
  </w:style>
  <w:style w:type="paragraph" w:styleId="NoSpacing">
    <w:name w:val="No Spacing"/>
    <w:uiPriority w:val="1"/>
    <w:rsid w:val="00316C8D"/>
    <w:pPr>
      <w:kinsoku w:val="0"/>
      <w:overflowPunct w:val="0"/>
      <w:autoSpaceDE w:val="0"/>
      <w:autoSpaceDN w:val="0"/>
      <w:adjustRightInd w:val="0"/>
      <w:snapToGrid w:val="0"/>
      <w:spacing w:after="0" w:line="240" w:lineRule="auto"/>
    </w:pPr>
    <w:rPr>
      <w:rFonts w:ascii="Georgia" w:eastAsia="Times New Roman" w:hAnsi="Georgia" w:cs="Arial"/>
      <w:snapToGrid w:val="0"/>
      <w:sz w:val="20"/>
      <w:szCs w:val="20"/>
      <w:lang w:val="en-AU" w:eastAsia="en-US"/>
    </w:rPr>
  </w:style>
  <w:style w:type="paragraph" w:customStyle="1" w:styleId="PwCNormal">
    <w:name w:val="PwC Normal"/>
    <w:basedOn w:val="Normal"/>
    <w:link w:val="PwCNormalChar"/>
    <w:rsid w:val="00316C8D"/>
    <w:pPr>
      <w:kinsoku w:val="0"/>
      <w:overflowPunct w:val="0"/>
      <w:autoSpaceDE w:val="0"/>
      <w:autoSpaceDN w:val="0"/>
      <w:adjustRightInd w:val="0"/>
      <w:snapToGrid w:val="0"/>
      <w:spacing w:after="240" w:line="240" w:lineRule="auto"/>
    </w:pPr>
    <w:rPr>
      <w:rFonts w:ascii="Georgia" w:eastAsia="Times New Roman" w:hAnsi="Georgia" w:cs="Arial"/>
      <w:snapToGrid w:val="0"/>
      <w:color w:val="auto"/>
      <w:lang w:val="en-AU" w:eastAsia="en-US"/>
    </w:rPr>
  </w:style>
  <w:style w:type="character" w:customStyle="1" w:styleId="PwCNormalChar">
    <w:name w:val="PwC Normal Char"/>
    <w:basedOn w:val="DefaultParagraphFont"/>
    <w:link w:val="PwCNormal"/>
    <w:rsid w:val="00316C8D"/>
    <w:rPr>
      <w:rFonts w:ascii="Georgia" w:eastAsia="Times New Roman" w:hAnsi="Georgia" w:cs="Arial"/>
      <w:snapToGrid w:val="0"/>
      <w:sz w:val="20"/>
      <w:szCs w:val="20"/>
      <w:lang w:val="en-AU" w:eastAsia="en-US"/>
    </w:rPr>
  </w:style>
  <w:style w:type="table" w:styleId="GridTable5Dark-Accent1">
    <w:name w:val="Grid Table 5 Dark Accent 1"/>
    <w:basedOn w:val="TableNormal"/>
    <w:uiPriority w:val="50"/>
    <w:rsid w:val="00316C8D"/>
    <w:pPr>
      <w:spacing w:after="0" w:line="240" w:lineRule="auto"/>
    </w:pPr>
    <w:rPr>
      <w:rFonts w:eastAsiaTheme="minorHAnsi"/>
      <w:sz w:val="22"/>
      <w:szCs w:val="22"/>
      <w:lang w:eastAsia="en-US"/>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A9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200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20054" w:themeFill="accent1"/>
      </w:tcPr>
    </w:tblStylePr>
    <w:tblStylePr w:type="firstCol">
      <w:rPr>
        <w:b/>
        <w:bCs/>
        <w:color w:val="FFFFFF" w:themeColor="background1"/>
      </w:rPr>
    </w:tblStylePr>
    <w:tblStylePr w:type="lastCol">
      <w:rPr>
        <w:b/>
        <w:bCs/>
        <w:color w:val="FFFFFF" w:themeColor="background1"/>
      </w:rPr>
    </w:tblStylePr>
  </w:style>
  <w:style w:type="paragraph" w:styleId="BodyText">
    <w:name w:val="Body Text"/>
    <w:basedOn w:val="Normal"/>
    <w:link w:val="BodyTextChar"/>
    <w:uiPriority w:val="1"/>
    <w:qFormat/>
    <w:rsid w:val="00524704"/>
    <w:pPr>
      <w:widowControl w:val="0"/>
      <w:autoSpaceDE w:val="0"/>
      <w:autoSpaceDN w:val="0"/>
      <w:spacing w:after="0" w:line="240" w:lineRule="auto"/>
    </w:pPr>
    <w:rPr>
      <w:rFonts w:ascii="Avenir Next" w:eastAsia="Avenir Next" w:hAnsi="Avenir Next" w:cs="Avenir Next"/>
      <w:color w:val="auto"/>
      <w:sz w:val="24"/>
      <w:szCs w:val="24"/>
      <w:lang w:eastAsia="en-US"/>
    </w:rPr>
  </w:style>
  <w:style w:type="character" w:customStyle="1" w:styleId="BodyTextChar">
    <w:name w:val="Body Text Char"/>
    <w:basedOn w:val="DefaultParagraphFont"/>
    <w:link w:val="BodyText"/>
    <w:uiPriority w:val="1"/>
    <w:rsid w:val="00524704"/>
    <w:rPr>
      <w:rFonts w:ascii="Avenir Next" w:eastAsia="Avenir Next" w:hAnsi="Avenir Next" w:cs="Avenir Next"/>
      <w:lang w:eastAsia="en-US"/>
    </w:rPr>
  </w:style>
  <w:style w:type="paragraph" w:customStyle="1" w:styleId="ScyneNormal">
    <w:name w:val="Scyne Normal"/>
    <w:link w:val="ScyneNormalChar"/>
    <w:qFormat/>
    <w:rsid w:val="00421181"/>
    <w:pPr>
      <w:spacing w:before="200" w:after="200" w:line="264" w:lineRule="auto"/>
    </w:pPr>
    <w:rPr>
      <w:rFonts w:eastAsia="Times New Roman" w:cs="Arial"/>
      <w:snapToGrid w:val="0"/>
      <w:color w:val="000000" w:themeColor="text1"/>
      <w:sz w:val="18"/>
      <w:szCs w:val="20"/>
      <w:lang w:val="en-AU" w:eastAsia="en-US"/>
    </w:rPr>
  </w:style>
  <w:style w:type="character" w:customStyle="1" w:styleId="ScyneNormalChar">
    <w:name w:val="Scyne Normal Char"/>
    <w:basedOn w:val="DefaultParagraphFont"/>
    <w:link w:val="ScyneNormal"/>
    <w:rsid w:val="00421181"/>
    <w:rPr>
      <w:rFonts w:eastAsia="Times New Roman" w:cs="Arial"/>
      <w:snapToGrid w:val="0"/>
      <w:color w:val="000000" w:themeColor="text1"/>
      <w:sz w:val="18"/>
      <w:szCs w:val="20"/>
      <w:lang w:val="en-AU" w:eastAsia="en-US"/>
    </w:rPr>
  </w:style>
  <w:style w:type="paragraph" w:customStyle="1" w:styleId="ScyneNormal-Single">
    <w:name w:val="Scyne Normal - Single"/>
    <w:basedOn w:val="ScyneNormal"/>
    <w:qFormat/>
    <w:rsid w:val="00421181"/>
    <w:pPr>
      <w:spacing w:before="0" w:after="0" w:line="240" w:lineRule="auto"/>
    </w:pPr>
  </w:style>
  <w:style w:type="paragraph" w:styleId="ListBullet">
    <w:name w:val="List Bullet"/>
    <w:basedOn w:val="Normal"/>
    <w:uiPriority w:val="2"/>
    <w:qFormat/>
    <w:rsid w:val="0090602D"/>
    <w:pPr>
      <w:numPr>
        <w:numId w:val="108"/>
      </w:numPr>
      <w:kinsoku w:val="0"/>
      <w:overflowPunct w:val="0"/>
      <w:autoSpaceDE w:val="0"/>
      <w:autoSpaceDN w:val="0"/>
      <w:adjustRightInd w:val="0"/>
      <w:snapToGrid w:val="0"/>
      <w:spacing w:before="120" w:after="120" w:line="264" w:lineRule="auto"/>
      <w:ind w:left="511" w:hanging="284"/>
    </w:pPr>
    <w:rPr>
      <w:rFonts w:asciiTheme="minorHAnsi" w:eastAsia="Times New Roman" w:hAnsiTheme="minorHAnsi" w:cs="Arial"/>
      <w:snapToGrid w:val="0"/>
      <w:lang w:val="en-AU" w:eastAsia="en-US"/>
    </w:rPr>
  </w:style>
  <w:style w:type="numbering" w:customStyle="1" w:styleId="ChapterNumberingList">
    <w:name w:val="Chapter Numbering List"/>
    <w:uiPriority w:val="99"/>
    <w:rsid w:val="00421181"/>
    <w:pPr>
      <w:numPr>
        <w:numId w:val="109"/>
      </w:numPr>
    </w:pPr>
  </w:style>
  <w:style w:type="numbering" w:customStyle="1" w:styleId="Style9">
    <w:name w:val="Style9"/>
    <w:uiPriority w:val="99"/>
    <w:rsid w:val="009B68A1"/>
    <w:pPr>
      <w:numPr>
        <w:numId w:val="118"/>
      </w:numPr>
    </w:pPr>
  </w:style>
  <w:style w:type="numbering" w:customStyle="1" w:styleId="Style10">
    <w:name w:val="Style10"/>
    <w:uiPriority w:val="99"/>
    <w:rsid w:val="007275D2"/>
    <w:pPr>
      <w:numPr>
        <w:numId w:val="119"/>
      </w:numPr>
    </w:pPr>
  </w:style>
  <w:style w:type="paragraph" w:customStyle="1" w:styleId="Heading1nonumbers">
    <w:name w:val="Heading 1 (no numbers)"/>
    <w:link w:val="Heading1nonumbersChar"/>
    <w:qFormat/>
    <w:rsid w:val="005B1D82"/>
    <w:pPr>
      <w:pBdr>
        <w:bottom w:val="single" w:sz="4" w:space="1" w:color="220054" w:themeColor="accent1"/>
      </w:pBdr>
      <w:outlineLvl w:val="0"/>
    </w:pPr>
    <w:rPr>
      <w:rFonts w:ascii="Avenir Next LT Pro Demi" w:eastAsia="Times New Roman" w:hAnsi="Avenir Next LT Pro Demi" w:cs="Times New Roman"/>
      <w:color w:val="220054"/>
      <w:spacing w:val="-10"/>
      <w:kern w:val="28"/>
      <w:sz w:val="48"/>
      <w:szCs w:val="40"/>
      <w:lang w:val="en-GB" w:eastAsia="en-US"/>
      <w14:ligatures w14:val="standardContextual"/>
    </w:rPr>
  </w:style>
  <w:style w:type="character" w:customStyle="1" w:styleId="Heading1nonumbersChar">
    <w:name w:val="Heading 1 (no numbers) Char"/>
    <w:basedOn w:val="DefaultParagraphFont"/>
    <w:link w:val="Heading1nonumbers"/>
    <w:rsid w:val="005B1D82"/>
    <w:rPr>
      <w:rFonts w:ascii="Avenir Next LT Pro Demi" w:eastAsia="Times New Roman" w:hAnsi="Avenir Next LT Pro Demi" w:cs="Times New Roman"/>
      <w:color w:val="220054"/>
      <w:spacing w:val="-10"/>
      <w:kern w:val="28"/>
      <w:sz w:val="48"/>
      <w:szCs w:val="40"/>
      <w:lang w:val="en-GB" w:eastAsia="en-US"/>
      <w14:ligatures w14:val="standardContextual"/>
    </w:rPr>
  </w:style>
  <w:style w:type="paragraph" w:customStyle="1" w:styleId="Heading2nonumbers">
    <w:name w:val="Heading 2 (no numbers)"/>
    <w:basedOn w:val="Heading1nonumbers"/>
    <w:link w:val="Heading2nonumbersChar"/>
    <w:qFormat/>
    <w:rsid w:val="005B1D82"/>
    <w:pPr>
      <w:pBdr>
        <w:bottom w:val="none" w:sz="0" w:space="0" w:color="auto"/>
      </w:pBdr>
      <w:spacing w:before="160"/>
      <w:outlineLvl w:val="1"/>
    </w:pPr>
    <w:rPr>
      <w:rFonts w:asciiTheme="minorHAnsi" w:hAnsiTheme="minorHAnsi"/>
      <w:sz w:val="28"/>
    </w:rPr>
  </w:style>
  <w:style w:type="character" w:customStyle="1" w:styleId="Heading2nonumbersChar">
    <w:name w:val="Heading 2 (no numbers) Char"/>
    <w:basedOn w:val="Heading1nonumbersChar"/>
    <w:link w:val="Heading2nonumbers"/>
    <w:rsid w:val="005B1D82"/>
    <w:rPr>
      <w:rFonts w:ascii="Avenir Next LT Pro Demi" w:eastAsia="Times New Roman" w:hAnsi="Avenir Next LT Pro Demi" w:cs="Times New Roman"/>
      <w:color w:val="220054"/>
      <w:spacing w:val="-10"/>
      <w:kern w:val="28"/>
      <w:sz w:val="28"/>
      <w:szCs w:val="40"/>
      <w:lang w:val="en-GB" w:eastAsia="en-US"/>
      <w14:ligatures w14:val="standardContextual"/>
    </w:rPr>
  </w:style>
  <w:style w:type="paragraph" w:styleId="ListNumber">
    <w:name w:val="List Number"/>
    <w:basedOn w:val="Normal"/>
    <w:uiPriority w:val="99"/>
    <w:unhideWhenUsed/>
    <w:rsid w:val="006950EE"/>
    <w:pPr>
      <w:numPr>
        <w:numId w:val="69"/>
      </w:numPr>
    </w:pPr>
  </w:style>
  <w:style w:type="character" w:styleId="SubtleEmphasis">
    <w:name w:val="Subtle Emphasis"/>
    <w:basedOn w:val="DefaultParagraphFont"/>
    <w:uiPriority w:val="19"/>
    <w:rsid w:val="00B20C7C"/>
    <w:rPr>
      <w:i/>
      <w:iCs/>
      <w:color w:val="404040" w:themeColor="text1" w:themeTint="BF"/>
      <w:sz w:val="16"/>
    </w:rPr>
  </w:style>
  <w:style w:type="character" w:styleId="SubtleReference">
    <w:name w:val="Subtle Reference"/>
    <w:basedOn w:val="DefaultParagraphFont"/>
    <w:uiPriority w:val="31"/>
    <w:rsid w:val="006950EE"/>
    <w:rPr>
      <w:smallCaps/>
      <w:color w:val="5A5A5A" w:themeColor="text1" w:themeTint="A5"/>
    </w:rPr>
  </w:style>
  <w:style w:type="paragraph" w:customStyle="1" w:styleId="CVbodygreybground">
    <w:name w:val="CV body (grey bground)"/>
    <w:basedOn w:val="Normal"/>
    <w:link w:val="CVbodygreybgroundChar"/>
    <w:qFormat/>
    <w:rsid w:val="00B20C7C"/>
    <w:pPr>
      <w:pBdr>
        <w:top w:val="single" w:sz="4" w:space="1" w:color="F2F2F2" w:themeColor="background1" w:themeShade="F2"/>
        <w:left w:val="single" w:sz="4" w:space="4" w:color="F2F2F2" w:themeColor="background1" w:themeShade="F2"/>
        <w:bottom w:val="single" w:sz="4" w:space="1" w:color="F2F2F2" w:themeColor="background1" w:themeShade="F2"/>
        <w:right w:val="single" w:sz="4" w:space="4" w:color="F2F2F2" w:themeColor="background1" w:themeShade="F2"/>
      </w:pBdr>
      <w:shd w:val="clear" w:color="auto" w:fill="F2F2F2" w:themeFill="background1" w:themeFillShade="F2"/>
    </w:pPr>
  </w:style>
  <w:style w:type="character" w:customStyle="1" w:styleId="CVbodygreybgroundChar">
    <w:name w:val="CV body (grey bground) Char"/>
    <w:basedOn w:val="DefaultParagraphFont"/>
    <w:link w:val="CVbodygreybground"/>
    <w:rsid w:val="00B20C7C"/>
    <w:rPr>
      <w:rFonts w:ascii="Avenir Next LT Pro" w:hAnsi="Avenir Next LT Pro"/>
      <w:color w:val="484B5D" w:themeColor="accent3"/>
      <w:sz w:val="20"/>
      <w:szCs w:val="20"/>
      <w:shd w:val="clear" w:color="auto" w:fill="F2F2F2" w:themeFill="background1" w:themeFillShade="F2"/>
      <w:lang w:val="en-GB"/>
    </w:rPr>
  </w:style>
  <w:style w:type="paragraph" w:styleId="ListNumber2">
    <w:name w:val="List Number 2"/>
    <w:basedOn w:val="ListParagraph"/>
    <w:uiPriority w:val="99"/>
    <w:unhideWhenUsed/>
    <w:rsid w:val="00B20C7C"/>
    <w:pPr>
      <w:numPr>
        <w:numId w:val="65"/>
      </w:numPr>
    </w:pPr>
  </w:style>
  <w:style w:type="character" w:styleId="Strong">
    <w:name w:val="Strong"/>
    <w:basedOn w:val="DefaultParagraphFont"/>
    <w:uiPriority w:val="22"/>
    <w:rsid w:val="0088712F"/>
    <w:rPr>
      <w:rFonts w:asciiTheme="majorHAnsi" w:hAnsiTheme="majorHAnsi"/>
      <w:b/>
      <w:bCs/>
      <w:sz w:val="20"/>
    </w:rPr>
  </w:style>
  <w:style w:type="paragraph" w:customStyle="1" w:styleId="Tablehead">
    <w:name w:val="Table head"/>
    <w:basedOn w:val="Normal"/>
    <w:link w:val="TableheadChar"/>
    <w:qFormat/>
    <w:rsid w:val="00A57CA5"/>
    <w:pPr>
      <w:spacing w:after="0" w:line="240" w:lineRule="auto"/>
      <w:jc w:val="center"/>
    </w:pPr>
    <w:rPr>
      <w:rFonts w:asciiTheme="majorHAnsi" w:eastAsia="Times New Roman" w:hAnsiTheme="majorHAnsi" w:cs="Times New Roman"/>
      <w:bCs/>
      <w:sz w:val="18"/>
      <w:lang w:eastAsia="en-US"/>
    </w:rPr>
  </w:style>
  <w:style w:type="character" w:customStyle="1" w:styleId="TableheadChar">
    <w:name w:val="Table head Char"/>
    <w:basedOn w:val="DefaultParagraphFont"/>
    <w:link w:val="Tablehead"/>
    <w:rsid w:val="00A57CA5"/>
    <w:rPr>
      <w:rFonts w:asciiTheme="majorHAnsi" w:eastAsia="Times New Roman" w:hAnsiTheme="majorHAnsi" w:cs="Times New Roman"/>
      <w:bCs/>
      <w:color w:val="484B5D" w:themeColor="accent3"/>
      <w:sz w:val="18"/>
      <w:szCs w:val="20"/>
      <w:lang w:val="en-GB" w:eastAsia="en-US"/>
    </w:rPr>
  </w:style>
  <w:style w:type="paragraph" w:customStyle="1" w:styleId="Tablefooterwhite">
    <w:name w:val="Table footer (white)"/>
    <w:basedOn w:val="Normal"/>
    <w:link w:val="TablefooterwhiteChar"/>
    <w:qFormat/>
    <w:rsid w:val="00F646A8"/>
    <w:pPr>
      <w:spacing w:before="120" w:after="0" w:line="360" w:lineRule="auto"/>
    </w:pPr>
    <w:rPr>
      <w:rFonts w:eastAsia="Times New Roman" w:cs="Times New Roman"/>
      <w:color w:val="FFFFFF" w:themeColor="background1"/>
      <w:lang w:eastAsia="en-AU"/>
    </w:rPr>
  </w:style>
  <w:style w:type="character" w:customStyle="1" w:styleId="TablefooterwhiteChar">
    <w:name w:val="Table footer (white) Char"/>
    <w:basedOn w:val="DefaultParagraphFont"/>
    <w:link w:val="Tablefooterwhite"/>
    <w:rsid w:val="00F646A8"/>
    <w:rPr>
      <w:rFonts w:ascii="Avenir Next LT Pro" w:eastAsia="Times New Roman" w:hAnsi="Avenir Next LT Pro" w:cs="Times New Roman"/>
      <w:color w:val="FFFFFF" w:themeColor="background1"/>
      <w:sz w:val="20"/>
      <w:szCs w:val="2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4761">
      <w:bodyDiv w:val="1"/>
      <w:marLeft w:val="0"/>
      <w:marRight w:val="0"/>
      <w:marTop w:val="0"/>
      <w:marBottom w:val="0"/>
      <w:divBdr>
        <w:top w:val="none" w:sz="0" w:space="0" w:color="auto"/>
        <w:left w:val="none" w:sz="0" w:space="0" w:color="auto"/>
        <w:bottom w:val="none" w:sz="0" w:space="0" w:color="auto"/>
        <w:right w:val="none" w:sz="0" w:space="0" w:color="auto"/>
      </w:divBdr>
    </w:div>
    <w:div w:id="18286820">
      <w:bodyDiv w:val="1"/>
      <w:marLeft w:val="0"/>
      <w:marRight w:val="0"/>
      <w:marTop w:val="0"/>
      <w:marBottom w:val="0"/>
      <w:divBdr>
        <w:top w:val="none" w:sz="0" w:space="0" w:color="auto"/>
        <w:left w:val="none" w:sz="0" w:space="0" w:color="auto"/>
        <w:bottom w:val="none" w:sz="0" w:space="0" w:color="auto"/>
        <w:right w:val="none" w:sz="0" w:space="0" w:color="auto"/>
      </w:divBdr>
    </w:div>
    <w:div w:id="19821486">
      <w:bodyDiv w:val="1"/>
      <w:marLeft w:val="0"/>
      <w:marRight w:val="0"/>
      <w:marTop w:val="0"/>
      <w:marBottom w:val="0"/>
      <w:divBdr>
        <w:top w:val="none" w:sz="0" w:space="0" w:color="auto"/>
        <w:left w:val="none" w:sz="0" w:space="0" w:color="auto"/>
        <w:bottom w:val="none" w:sz="0" w:space="0" w:color="auto"/>
        <w:right w:val="none" w:sz="0" w:space="0" w:color="auto"/>
      </w:divBdr>
      <w:divsChild>
        <w:div w:id="117576326">
          <w:marLeft w:val="0"/>
          <w:marRight w:val="0"/>
          <w:marTop w:val="0"/>
          <w:marBottom w:val="0"/>
          <w:divBdr>
            <w:top w:val="none" w:sz="0" w:space="0" w:color="auto"/>
            <w:left w:val="none" w:sz="0" w:space="0" w:color="auto"/>
            <w:bottom w:val="none" w:sz="0" w:space="0" w:color="auto"/>
            <w:right w:val="none" w:sz="0" w:space="0" w:color="auto"/>
          </w:divBdr>
        </w:div>
        <w:div w:id="805315450">
          <w:marLeft w:val="0"/>
          <w:marRight w:val="0"/>
          <w:marTop w:val="0"/>
          <w:marBottom w:val="0"/>
          <w:divBdr>
            <w:top w:val="none" w:sz="0" w:space="0" w:color="auto"/>
            <w:left w:val="none" w:sz="0" w:space="0" w:color="auto"/>
            <w:bottom w:val="none" w:sz="0" w:space="0" w:color="auto"/>
            <w:right w:val="none" w:sz="0" w:space="0" w:color="auto"/>
          </w:divBdr>
        </w:div>
        <w:div w:id="847913349">
          <w:marLeft w:val="0"/>
          <w:marRight w:val="0"/>
          <w:marTop w:val="0"/>
          <w:marBottom w:val="0"/>
          <w:divBdr>
            <w:top w:val="none" w:sz="0" w:space="0" w:color="auto"/>
            <w:left w:val="none" w:sz="0" w:space="0" w:color="auto"/>
            <w:bottom w:val="none" w:sz="0" w:space="0" w:color="auto"/>
            <w:right w:val="none" w:sz="0" w:space="0" w:color="auto"/>
          </w:divBdr>
        </w:div>
      </w:divsChild>
    </w:div>
    <w:div w:id="99447870">
      <w:bodyDiv w:val="1"/>
      <w:marLeft w:val="0"/>
      <w:marRight w:val="0"/>
      <w:marTop w:val="0"/>
      <w:marBottom w:val="0"/>
      <w:divBdr>
        <w:top w:val="none" w:sz="0" w:space="0" w:color="auto"/>
        <w:left w:val="none" w:sz="0" w:space="0" w:color="auto"/>
        <w:bottom w:val="none" w:sz="0" w:space="0" w:color="auto"/>
        <w:right w:val="none" w:sz="0" w:space="0" w:color="auto"/>
      </w:divBdr>
      <w:divsChild>
        <w:div w:id="165290560">
          <w:marLeft w:val="0"/>
          <w:marRight w:val="0"/>
          <w:marTop w:val="0"/>
          <w:marBottom w:val="0"/>
          <w:divBdr>
            <w:top w:val="none" w:sz="0" w:space="0" w:color="auto"/>
            <w:left w:val="none" w:sz="0" w:space="0" w:color="auto"/>
            <w:bottom w:val="none" w:sz="0" w:space="0" w:color="auto"/>
            <w:right w:val="none" w:sz="0" w:space="0" w:color="auto"/>
          </w:divBdr>
          <w:divsChild>
            <w:div w:id="345445498">
              <w:marLeft w:val="0"/>
              <w:marRight w:val="0"/>
              <w:marTop w:val="0"/>
              <w:marBottom w:val="0"/>
              <w:divBdr>
                <w:top w:val="none" w:sz="0" w:space="0" w:color="auto"/>
                <w:left w:val="none" w:sz="0" w:space="0" w:color="auto"/>
                <w:bottom w:val="none" w:sz="0" w:space="0" w:color="auto"/>
                <w:right w:val="none" w:sz="0" w:space="0" w:color="auto"/>
              </w:divBdr>
            </w:div>
          </w:divsChild>
        </w:div>
        <w:div w:id="271593548">
          <w:marLeft w:val="0"/>
          <w:marRight w:val="0"/>
          <w:marTop w:val="0"/>
          <w:marBottom w:val="0"/>
          <w:divBdr>
            <w:top w:val="none" w:sz="0" w:space="0" w:color="auto"/>
            <w:left w:val="none" w:sz="0" w:space="0" w:color="auto"/>
            <w:bottom w:val="none" w:sz="0" w:space="0" w:color="auto"/>
            <w:right w:val="none" w:sz="0" w:space="0" w:color="auto"/>
          </w:divBdr>
          <w:divsChild>
            <w:div w:id="1100641812">
              <w:marLeft w:val="0"/>
              <w:marRight w:val="0"/>
              <w:marTop w:val="0"/>
              <w:marBottom w:val="0"/>
              <w:divBdr>
                <w:top w:val="none" w:sz="0" w:space="0" w:color="auto"/>
                <w:left w:val="none" w:sz="0" w:space="0" w:color="auto"/>
                <w:bottom w:val="none" w:sz="0" w:space="0" w:color="auto"/>
                <w:right w:val="none" w:sz="0" w:space="0" w:color="auto"/>
              </w:divBdr>
            </w:div>
          </w:divsChild>
        </w:div>
        <w:div w:id="447700506">
          <w:marLeft w:val="0"/>
          <w:marRight w:val="0"/>
          <w:marTop w:val="0"/>
          <w:marBottom w:val="0"/>
          <w:divBdr>
            <w:top w:val="none" w:sz="0" w:space="0" w:color="auto"/>
            <w:left w:val="none" w:sz="0" w:space="0" w:color="auto"/>
            <w:bottom w:val="none" w:sz="0" w:space="0" w:color="auto"/>
            <w:right w:val="none" w:sz="0" w:space="0" w:color="auto"/>
          </w:divBdr>
          <w:divsChild>
            <w:div w:id="1642231710">
              <w:marLeft w:val="0"/>
              <w:marRight w:val="0"/>
              <w:marTop w:val="0"/>
              <w:marBottom w:val="0"/>
              <w:divBdr>
                <w:top w:val="none" w:sz="0" w:space="0" w:color="auto"/>
                <w:left w:val="none" w:sz="0" w:space="0" w:color="auto"/>
                <w:bottom w:val="none" w:sz="0" w:space="0" w:color="auto"/>
                <w:right w:val="none" w:sz="0" w:space="0" w:color="auto"/>
              </w:divBdr>
            </w:div>
          </w:divsChild>
        </w:div>
        <w:div w:id="717583386">
          <w:marLeft w:val="0"/>
          <w:marRight w:val="0"/>
          <w:marTop w:val="0"/>
          <w:marBottom w:val="0"/>
          <w:divBdr>
            <w:top w:val="none" w:sz="0" w:space="0" w:color="auto"/>
            <w:left w:val="none" w:sz="0" w:space="0" w:color="auto"/>
            <w:bottom w:val="none" w:sz="0" w:space="0" w:color="auto"/>
            <w:right w:val="none" w:sz="0" w:space="0" w:color="auto"/>
          </w:divBdr>
          <w:divsChild>
            <w:div w:id="1039548892">
              <w:marLeft w:val="0"/>
              <w:marRight w:val="0"/>
              <w:marTop w:val="0"/>
              <w:marBottom w:val="0"/>
              <w:divBdr>
                <w:top w:val="none" w:sz="0" w:space="0" w:color="auto"/>
                <w:left w:val="none" w:sz="0" w:space="0" w:color="auto"/>
                <w:bottom w:val="none" w:sz="0" w:space="0" w:color="auto"/>
                <w:right w:val="none" w:sz="0" w:space="0" w:color="auto"/>
              </w:divBdr>
            </w:div>
          </w:divsChild>
        </w:div>
        <w:div w:id="813373367">
          <w:marLeft w:val="0"/>
          <w:marRight w:val="0"/>
          <w:marTop w:val="0"/>
          <w:marBottom w:val="0"/>
          <w:divBdr>
            <w:top w:val="none" w:sz="0" w:space="0" w:color="auto"/>
            <w:left w:val="none" w:sz="0" w:space="0" w:color="auto"/>
            <w:bottom w:val="none" w:sz="0" w:space="0" w:color="auto"/>
            <w:right w:val="none" w:sz="0" w:space="0" w:color="auto"/>
          </w:divBdr>
          <w:divsChild>
            <w:div w:id="773669614">
              <w:marLeft w:val="0"/>
              <w:marRight w:val="0"/>
              <w:marTop w:val="0"/>
              <w:marBottom w:val="0"/>
              <w:divBdr>
                <w:top w:val="none" w:sz="0" w:space="0" w:color="auto"/>
                <w:left w:val="none" w:sz="0" w:space="0" w:color="auto"/>
                <w:bottom w:val="none" w:sz="0" w:space="0" w:color="auto"/>
                <w:right w:val="none" w:sz="0" w:space="0" w:color="auto"/>
              </w:divBdr>
            </w:div>
          </w:divsChild>
        </w:div>
        <w:div w:id="833033076">
          <w:marLeft w:val="0"/>
          <w:marRight w:val="0"/>
          <w:marTop w:val="0"/>
          <w:marBottom w:val="0"/>
          <w:divBdr>
            <w:top w:val="none" w:sz="0" w:space="0" w:color="auto"/>
            <w:left w:val="none" w:sz="0" w:space="0" w:color="auto"/>
            <w:bottom w:val="none" w:sz="0" w:space="0" w:color="auto"/>
            <w:right w:val="none" w:sz="0" w:space="0" w:color="auto"/>
          </w:divBdr>
          <w:divsChild>
            <w:div w:id="919217206">
              <w:marLeft w:val="0"/>
              <w:marRight w:val="0"/>
              <w:marTop w:val="0"/>
              <w:marBottom w:val="0"/>
              <w:divBdr>
                <w:top w:val="none" w:sz="0" w:space="0" w:color="auto"/>
                <w:left w:val="none" w:sz="0" w:space="0" w:color="auto"/>
                <w:bottom w:val="none" w:sz="0" w:space="0" w:color="auto"/>
                <w:right w:val="none" w:sz="0" w:space="0" w:color="auto"/>
              </w:divBdr>
            </w:div>
          </w:divsChild>
        </w:div>
        <w:div w:id="923686152">
          <w:marLeft w:val="0"/>
          <w:marRight w:val="0"/>
          <w:marTop w:val="0"/>
          <w:marBottom w:val="0"/>
          <w:divBdr>
            <w:top w:val="none" w:sz="0" w:space="0" w:color="auto"/>
            <w:left w:val="none" w:sz="0" w:space="0" w:color="auto"/>
            <w:bottom w:val="none" w:sz="0" w:space="0" w:color="auto"/>
            <w:right w:val="none" w:sz="0" w:space="0" w:color="auto"/>
          </w:divBdr>
          <w:divsChild>
            <w:div w:id="1725448835">
              <w:marLeft w:val="0"/>
              <w:marRight w:val="0"/>
              <w:marTop w:val="0"/>
              <w:marBottom w:val="0"/>
              <w:divBdr>
                <w:top w:val="none" w:sz="0" w:space="0" w:color="auto"/>
                <w:left w:val="none" w:sz="0" w:space="0" w:color="auto"/>
                <w:bottom w:val="none" w:sz="0" w:space="0" w:color="auto"/>
                <w:right w:val="none" w:sz="0" w:space="0" w:color="auto"/>
              </w:divBdr>
            </w:div>
          </w:divsChild>
        </w:div>
        <w:div w:id="981617436">
          <w:marLeft w:val="0"/>
          <w:marRight w:val="0"/>
          <w:marTop w:val="0"/>
          <w:marBottom w:val="0"/>
          <w:divBdr>
            <w:top w:val="none" w:sz="0" w:space="0" w:color="auto"/>
            <w:left w:val="none" w:sz="0" w:space="0" w:color="auto"/>
            <w:bottom w:val="none" w:sz="0" w:space="0" w:color="auto"/>
            <w:right w:val="none" w:sz="0" w:space="0" w:color="auto"/>
          </w:divBdr>
          <w:divsChild>
            <w:div w:id="621424638">
              <w:marLeft w:val="0"/>
              <w:marRight w:val="0"/>
              <w:marTop w:val="0"/>
              <w:marBottom w:val="0"/>
              <w:divBdr>
                <w:top w:val="none" w:sz="0" w:space="0" w:color="auto"/>
                <w:left w:val="none" w:sz="0" w:space="0" w:color="auto"/>
                <w:bottom w:val="none" w:sz="0" w:space="0" w:color="auto"/>
                <w:right w:val="none" w:sz="0" w:space="0" w:color="auto"/>
              </w:divBdr>
            </w:div>
          </w:divsChild>
        </w:div>
        <w:div w:id="1063604267">
          <w:marLeft w:val="0"/>
          <w:marRight w:val="0"/>
          <w:marTop w:val="0"/>
          <w:marBottom w:val="0"/>
          <w:divBdr>
            <w:top w:val="none" w:sz="0" w:space="0" w:color="auto"/>
            <w:left w:val="none" w:sz="0" w:space="0" w:color="auto"/>
            <w:bottom w:val="none" w:sz="0" w:space="0" w:color="auto"/>
            <w:right w:val="none" w:sz="0" w:space="0" w:color="auto"/>
          </w:divBdr>
          <w:divsChild>
            <w:div w:id="1479835285">
              <w:marLeft w:val="0"/>
              <w:marRight w:val="0"/>
              <w:marTop w:val="0"/>
              <w:marBottom w:val="0"/>
              <w:divBdr>
                <w:top w:val="none" w:sz="0" w:space="0" w:color="auto"/>
                <w:left w:val="none" w:sz="0" w:space="0" w:color="auto"/>
                <w:bottom w:val="none" w:sz="0" w:space="0" w:color="auto"/>
                <w:right w:val="none" w:sz="0" w:space="0" w:color="auto"/>
              </w:divBdr>
            </w:div>
          </w:divsChild>
        </w:div>
        <w:div w:id="1089888808">
          <w:marLeft w:val="0"/>
          <w:marRight w:val="0"/>
          <w:marTop w:val="0"/>
          <w:marBottom w:val="0"/>
          <w:divBdr>
            <w:top w:val="none" w:sz="0" w:space="0" w:color="auto"/>
            <w:left w:val="none" w:sz="0" w:space="0" w:color="auto"/>
            <w:bottom w:val="none" w:sz="0" w:space="0" w:color="auto"/>
            <w:right w:val="none" w:sz="0" w:space="0" w:color="auto"/>
          </w:divBdr>
          <w:divsChild>
            <w:div w:id="103502195">
              <w:marLeft w:val="0"/>
              <w:marRight w:val="0"/>
              <w:marTop w:val="0"/>
              <w:marBottom w:val="0"/>
              <w:divBdr>
                <w:top w:val="none" w:sz="0" w:space="0" w:color="auto"/>
                <w:left w:val="none" w:sz="0" w:space="0" w:color="auto"/>
                <w:bottom w:val="none" w:sz="0" w:space="0" w:color="auto"/>
                <w:right w:val="none" w:sz="0" w:space="0" w:color="auto"/>
              </w:divBdr>
            </w:div>
          </w:divsChild>
        </w:div>
        <w:div w:id="1096942263">
          <w:marLeft w:val="0"/>
          <w:marRight w:val="0"/>
          <w:marTop w:val="0"/>
          <w:marBottom w:val="0"/>
          <w:divBdr>
            <w:top w:val="none" w:sz="0" w:space="0" w:color="auto"/>
            <w:left w:val="none" w:sz="0" w:space="0" w:color="auto"/>
            <w:bottom w:val="none" w:sz="0" w:space="0" w:color="auto"/>
            <w:right w:val="none" w:sz="0" w:space="0" w:color="auto"/>
          </w:divBdr>
          <w:divsChild>
            <w:div w:id="1458639598">
              <w:marLeft w:val="0"/>
              <w:marRight w:val="0"/>
              <w:marTop w:val="0"/>
              <w:marBottom w:val="0"/>
              <w:divBdr>
                <w:top w:val="none" w:sz="0" w:space="0" w:color="auto"/>
                <w:left w:val="none" w:sz="0" w:space="0" w:color="auto"/>
                <w:bottom w:val="none" w:sz="0" w:space="0" w:color="auto"/>
                <w:right w:val="none" w:sz="0" w:space="0" w:color="auto"/>
              </w:divBdr>
            </w:div>
          </w:divsChild>
        </w:div>
        <w:div w:id="1362129160">
          <w:marLeft w:val="0"/>
          <w:marRight w:val="0"/>
          <w:marTop w:val="0"/>
          <w:marBottom w:val="0"/>
          <w:divBdr>
            <w:top w:val="none" w:sz="0" w:space="0" w:color="auto"/>
            <w:left w:val="none" w:sz="0" w:space="0" w:color="auto"/>
            <w:bottom w:val="none" w:sz="0" w:space="0" w:color="auto"/>
            <w:right w:val="none" w:sz="0" w:space="0" w:color="auto"/>
          </w:divBdr>
          <w:divsChild>
            <w:div w:id="562720714">
              <w:marLeft w:val="0"/>
              <w:marRight w:val="0"/>
              <w:marTop w:val="0"/>
              <w:marBottom w:val="0"/>
              <w:divBdr>
                <w:top w:val="none" w:sz="0" w:space="0" w:color="auto"/>
                <w:left w:val="none" w:sz="0" w:space="0" w:color="auto"/>
                <w:bottom w:val="none" w:sz="0" w:space="0" w:color="auto"/>
                <w:right w:val="none" w:sz="0" w:space="0" w:color="auto"/>
              </w:divBdr>
            </w:div>
          </w:divsChild>
        </w:div>
        <w:div w:id="1537156521">
          <w:marLeft w:val="0"/>
          <w:marRight w:val="0"/>
          <w:marTop w:val="0"/>
          <w:marBottom w:val="0"/>
          <w:divBdr>
            <w:top w:val="none" w:sz="0" w:space="0" w:color="auto"/>
            <w:left w:val="none" w:sz="0" w:space="0" w:color="auto"/>
            <w:bottom w:val="none" w:sz="0" w:space="0" w:color="auto"/>
            <w:right w:val="none" w:sz="0" w:space="0" w:color="auto"/>
          </w:divBdr>
          <w:divsChild>
            <w:div w:id="1900896075">
              <w:marLeft w:val="0"/>
              <w:marRight w:val="0"/>
              <w:marTop w:val="0"/>
              <w:marBottom w:val="0"/>
              <w:divBdr>
                <w:top w:val="none" w:sz="0" w:space="0" w:color="auto"/>
                <w:left w:val="none" w:sz="0" w:space="0" w:color="auto"/>
                <w:bottom w:val="none" w:sz="0" w:space="0" w:color="auto"/>
                <w:right w:val="none" w:sz="0" w:space="0" w:color="auto"/>
              </w:divBdr>
            </w:div>
          </w:divsChild>
        </w:div>
        <w:div w:id="1644507215">
          <w:marLeft w:val="0"/>
          <w:marRight w:val="0"/>
          <w:marTop w:val="0"/>
          <w:marBottom w:val="0"/>
          <w:divBdr>
            <w:top w:val="none" w:sz="0" w:space="0" w:color="auto"/>
            <w:left w:val="none" w:sz="0" w:space="0" w:color="auto"/>
            <w:bottom w:val="none" w:sz="0" w:space="0" w:color="auto"/>
            <w:right w:val="none" w:sz="0" w:space="0" w:color="auto"/>
          </w:divBdr>
          <w:divsChild>
            <w:div w:id="1641426176">
              <w:marLeft w:val="0"/>
              <w:marRight w:val="0"/>
              <w:marTop w:val="0"/>
              <w:marBottom w:val="0"/>
              <w:divBdr>
                <w:top w:val="none" w:sz="0" w:space="0" w:color="auto"/>
                <w:left w:val="none" w:sz="0" w:space="0" w:color="auto"/>
                <w:bottom w:val="none" w:sz="0" w:space="0" w:color="auto"/>
                <w:right w:val="none" w:sz="0" w:space="0" w:color="auto"/>
              </w:divBdr>
            </w:div>
          </w:divsChild>
        </w:div>
        <w:div w:id="1697922229">
          <w:marLeft w:val="0"/>
          <w:marRight w:val="0"/>
          <w:marTop w:val="0"/>
          <w:marBottom w:val="0"/>
          <w:divBdr>
            <w:top w:val="none" w:sz="0" w:space="0" w:color="auto"/>
            <w:left w:val="none" w:sz="0" w:space="0" w:color="auto"/>
            <w:bottom w:val="none" w:sz="0" w:space="0" w:color="auto"/>
            <w:right w:val="none" w:sz="0" w:space="0" w:color="auto"/>
          </w:divBdr>
          <w:divsChild>
            <w:div w:id="984629919">
              <w:marLeft w:val="0"/>
              <w:marRight w:val="0"/>
              <w:marTop w:val="0"/>
              <w:marBottom w:val="0"/>
              <w:divBdr>
                <w:top w:val="none" w:sz="0" w:space="0" w:color="auto"/>
                <w:left w:val="none" w:sz="0" w:space="0" w:color="auto"/>
                <w:bottom w:val="none" w:sz="0" w:space="0" w:color="auto"/>
                <w:right w:val="none" w:sz="0" w:space="0" w:color="auto"/>
              </w:divBdr>
            </w:div>
          </w:divsChild>
        </w:div>
        <w:div w:id="2028291992">
          <w:marLeft w:val="0"/>
          <w:marRight w:val="0"/>
          <w:marTop w:val="0"/>
          <w:marBottom w:val="0"/>
          <w:divBdr>
            <w:top w:val="none" w:sz="0" w:space="0" w:color="auto"/>
            <w:left w:val="none" w:sz="0" w:space="0" w:color="auto"/>
            <w:bottom w:val="none" w:sz="0" w:space="0" w:color="auto"/>
            <w:right w:val="none" w:sz="0" w:space="0" w:color="auto"/>
          </w:divBdr>
          <w:divsChild>
            <w:div w:id="1182628005">
              <w:marLeft w:val="0"/>
              <w:marRight w:val="0"/>
              <w:marTop w:val="0"/>
              <w:marBottom w:val="0"/>
              <w:divBdr>
                <w:top w:val="none" w:sz="0" w:space="0" w:color="auto"/>
                <w:left w:val="none" w:sz="0" w:space="0" w:color="auto"/>
                <w:bottom w:val="none" w:sz="0" w:space="0" w:color="auto"/>
                <w:right w:val="none" w:sz="0" w:space="0" w:color="auto"/>
              </w:divBdr>
            </w:div>
          </w:divsChild>
        </w:div>
        <w:div w:id="2030988734">
          <w:marLeft w:val="0"/>
          <w:marRight w:val="0"/>
          <w:marTop w:val="0"/>
          <w:marBottom w:val="0"/>
          <w:divBdr>
            <w:top w:val="none" w:sz="0" w:space="0" w:color="auto"/>
            <w:left w:val="none" w:sz="0" w:space="0" w:color="auto"/>
            <w:bottom w:val="none" w:sz="0" w:space="0" w:color="auto"/>
            <w:right w:val="none" w:sz="0" w:space="0" w:color="auto"/>
          </w:divBdr>
          <w:divsChild>
            <w:div w:id="983780901">
              <w:marLeft w:val="0"/>
              <w:marRight w:val="0"/>
              <w:marTop w:val="0"/>
              <w:marBottom w:val="0"/>
              <w:divBdr>
                <w:top w:val="none" w:sz="0" w:space="0" w:color="auto"/>
                <w:left w:val="none" w:sz="0" w:space="0" w:color="auto"/>
                <w:bottom w:val="none" w:sz="0" w:space="0" w:color="auto"/>
                <w:right w:val="none" w:sz="0" w:space="0" w:color="auto"/>
              </w:divBdr>
            </w:div>
          </w:divsChild>
        </w:div>
        <w:div w:id="2072607107">
          <w:marLeft w:val="0"/>
          <w:marRight w:val="0"/>
          <w:marTop w:val="0"/>
          <w:marBottom w:val="0"/>
          <w:divBdr>
            <w:top w:val="none" w:sz="0" w:space="0" w:color="auto"/>
            <w:left w:val="none" w:sz="0" w:space="0" w:color="auto"/>
            <w:bottom w:val="none" w:sz="0" w:space="0" w:color="auto"/>
            <w:right w:val="none" w:sz="0" w:space="0" w:color="auto"/>
          </w:divBdr>
          <w:divsChild>
            <w:div w:id="107894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7120">
      <w:bodyDiv w:val="1"/>
      <w:marLeft w:val="0"/>
      <w:marRight w:val="0"/>
      <w:marTop w:val="0"/>
      <w:marBottom w:val="0"/>
      <w:divBdr>
        <w:top w:val="none" w:sz="0" w:space="0" w:color="auto"/>
        <w:left w:val="none" w:sz="0" w:space="0" w:color="auto"/>
        <w:bottom w:val="none" w:sz="0" w:space="0" w:color="auto"/>
        <w:right w:val="none" w:sz="0" w:space="0" w:color="auto"/>
      </w:divBdr>
    </w:div>
    <w:div w:id="106315102">
      <w:bodyDiv w:val="1"/>
      <w:marLeft w:val="0"/>
      <w:marRight w:val="0"/>
      <w:marTop w:val="0"/>
      <w:marBottom w:val="0"/>
      <w:divBdr>
        <w:top w:val="none" w:sz="0" w:space="0" w:color="auto"/>
        <w:left w:val="none" w:sz="0" w:space="0" w:color="auto"/>
        <w:bottom w:val="none" w:sz="0" w:space="0" w:color="auto"/>
        <w:right w:val="none" w:sz="0" w:space="0" w:color="auto"/>
      </w:divBdr>
    </w:div>
    <w:div w:id="123281706">
      <w:bodyDiv w:val="1"/>
      <w:marLeft w:val="0"/>
      <w:marRight w:val="0"/>
      <w:marTop w:val="0"/>
      <w:marBottom w:val="0"/>
      <w:divBdr>
        <w:top w:val="none" w:sz="0" w:space="0" w:color="auto"/>
        <w:left w:val="none" w:sz="0" w:space="0" w:color="auto"/>
        <w:bottom w:val="none" w:sz="0" w:space="0" w:color="auto"/>
        <w:right w:val="none" w:sz="0" w:space="0" w:color="auto"/>
      </w:divBdr>
      <w:divsChild>
        <w:div w:id="1726879888">
          <w:marLeft w:val="0"/>
          <w:marRight w:val="0"/>
          <w:marTop w:val="0"/>
          <w:marBottom w:val="0"/>
          <w:divBdr>
            <w:top w:val="none" w:sz="0" w:space="0" w:color="auto"/>
            <w:left w:val="none" w:sz="0" w:space="0" w:color="auto"/>
            <w:bottom w:val="none" w:sz="0" w:space="0" w:color="auto"/>
            <w:right w:val="none" w:sz="0" w:space="0" w:color="auto"/>
          </w:divBdr>
        </w:div>
        <w:div w:id="1832482204">
          <w:marLeft w:val="0"/>
          <w:marRight w:val="0"/>
          <w:marTop w:val="0"/>
          <w:marBottom w:val="0"/>
          <w:divBdr>
            <w:top w:val="none" w:sz="0" w:space="0" w:color="auto"/>
            <w:left w:val="none" w:sz="0" w:space="0" w:color="auto"/>
            <w:bottom w:val="none" w:sz="0" w:space="0" w:color="auto"/>
            <w:right w:val="none" w:sz="0" w:space="0" w:color="auto"/>
          </w:divBdr>
        </w:div>
      </w:divsChild>
    </w:div>
    <w:div w:id="131795055">
      <w:bodyDiv w:val="1"/>
      <w:marLeft w:val="0"/>
      <w:marRight w:val="0"/>
      <w:marTop w:val="0"/>
      <w:marBottom w:val="0"/>
      <w:divBdr>
        <w:top w:val="none" w:sz="0" w:space="0" w:color="auto"/>
        <w:left w:val="none" w:sz="0" w:space="0" w:color="auto"/>
        <w:bottom w:val="none" w:sz="0" w:space="0" w:color="auto"/>
        <w:right w:val="none" w:sz="0" w:space="0" w:color="auto"/>
      </w:divBdr>
    </w:div>
    <w:div w:id="155848569">
      <w:bodyDiv w:val="1"/>
      <w:marLeft w:val="0"/>
      <w:marRight w:val="0"/>
      <w:marTop w:val="0"/>
      <w:marBottom w:val="0"/>
      <w:divBdr>
        <w:top w:val="none" w:sz="0" w:space="0" w:color="auto"/>
        <w:left w:val="none" w:sz="0" w:space="0" w:color="auto"/>
        <w:bottom w:val="none" w:sz="0" w:space="0" w:color="auto"/>
        <w:right w:val="none" w:sz="0" w:space="0" w:color="auto"/>
      </w:divBdr>
      <w:divsChild>
        <w:div w:id="121390817">
          <w:marLeft w:val="0"/>
          <w:marRight w:val="0"/>
          <w:marTop w:val="0"/>
          <w:marBottom w:val="0"/>
          <w:divBdr>
            <w:top w:val="none" w:sz="0" w:space="0" w:color="auto"/>
            <w:left w:val="none" w:sz="0" w:space="0" w:color="auto"/>
            <w:bottom w:val="none" w:sz="0" w:space="0" w:color="auto"/>
            <w:right w:val="none" w:sz="0" w:space="0" w:color="auto"/>
          </w:divBdr>
          <w:divsChild>
            <w:div w:id="675351469">
              <w:marLeft w:val="0"/>
              <w:marRight w:val="0"/>
              <w:marTop w:val="0"/>
              <w:marBottom w:val="0"/>
              <w:divBdr>
                <w:top w:val="none" w:sz="0" w:space="0" w:color="auto"/>
                <w:left w:val="none" w:sz="0" w:space="0" w:color="auto"/>
                <w:bottom w:val="none" w:sz="0" w:space="0" w:color="auto"/>
                <w:right w:val="none" w:sz="0" w:space="0" w:color="auto"/>
              </w:divBdr>
            </w:div>
          </w:divsChild>
        </w:div>
        <w:div w:id="188033289">
          <w:marLeft w:val="0"/>
          <w:marRight w:val="0"/>
          <w:marTop w:val="0"/>
          <w:marBottom w:val="0"/>
          <w:divBdr>
            <w:top w:val="none" w:sz="0" w:space="0" w:color="auto"/>
            <w:left w:val="none" w:sz="0" w:space="0" w:color="auto"/>
            <w:bottom w:val="none" w:sz="0" w:space="0" w:color="auto"/>
            <w:right w:val="none" w:sz="0" w:space="0" w:color="auto"/>
          </w:divBdr>
          <w:divsChild>
            <w:div w:id="299727387">
              <w:marLeft w:val="0"/>
              <w:marRight w:val="0"/>
              <w:marTop w:val="0"/>
              <w:marBottom w:val="0"/>
              <w:divBdr>
                <w:top w:val="none" w:sz="0" w:space="0" w:color="auto"/>
                <w:left w:val="none" w:sz="0" w:space="0" w:color="auto"/>
                <w:bottom w:val="none" w:sz="0" w:space="0" w:color="auto"/>
                <w:right w:val="none" w:sz="0" w:space="0" w:color="auto"/>
              </w:divBdr>
            </w:div>
          </w:divsChild>
        </w:div>
        <w:div w:id="269972923">
          <w:marLeft w:val="0"/>
          <w:marRight w:val="0"/>
          <w:marTop w:val="0"/>
          <w:marBottom w:val="0"/>
          <w:divBdr>
            <w:top w:val="none" w:sz="0" w:space="0" w:color="auto"/>
            <w:left w:val="none" w:sz="0" w:space="0" w:color="auto"/>
            <w:bottom w:val="none" w:sz="0" w:space="0" w:color="auto"/>
            <w:right w:val="none" w:sz="0" w:space="0" w:color="auto"/>
          </w:divBdr>
          <w:divsChild>
            <w:div w:id="1716615360">
              <w:marLeft w:val="0"/>
              <w:marRight w:val="0"/>
              <w:marTop w:val="0"/>
              <w:marBottom w:val="0"/>
              <w:divBdr>
                <w:top w:val="none" w:sz="0" w:space="0" w:color="auto"/>
                <w:left w:val="none" w:sz="0" w:space="0" w:color="auto"/>
                <w:bottom w:val="none" w:sz="0" w:space="0" w:color="auto"/>
                <w:right w:val="none" w:sz="0" w:space="0" w:color="auto"/>
              </w:divBdr>
            </w:div>
          </w:divsChild>
        </w:div>
        <w:div w:id="339895264">
          <w:marLeft w:val="0"/>
          <w:marRight w:val="0"/>
          <w:marTop w:val="0"/>
          <w:marBottom w:val="0"/>
          <w:divBdr>
            <w:top w:val="none" w:sz="0" w:space="0" w:color="auto"/>
            <w:left w:val="none" w:sz="0" w:space="0" w:color="auto"/>
            <w:bottom w:val="none" w:sz="0" w:space="0" w:color="auto"/>
            <w:right w:val="none" w:sz="0" w:space="0" w:color="auto"/>
          </w:divBdr>
          <w:divsChild>
            <w:div w:id="1070494045">
              <w:marLeft w:val="0"/>
              <w:marRight w:val="0"/>
              <w:marTop w:val="0"/>
              <w:marBottom w:val="0"/>
              <w:divBdr>
                <w:top w:val="none" w:sz="0" w:space="0" w:color="auto"/>
                <w:left w:val="none" w:sz="0" w:space="0" w:color="auto"/>
                <w:bottom w:val="none" w:sz="0" w:space="0" w:color="auto"/>
                <w:right w:val="none" w:sz="0" w:space="0" w:color="auto"/>
              </w:divBdr>
            </w:div>
          </w:divsChild>
        </w:div>
        <w:div w:id="340132007">
          <w:marLeft w:val="0"/>
          <w:marRight w:val="0"/>
          <w:marTop w:val="0"/>
          <w:marBottom w:val="0"/>
          <w:divBdr>
            <w:top w:val="none" w:sz="0" w:space="0" w:color="auto"/>
            <w:left w:val="none" w:sz="0" w:space="0" w:color="auto"/>
            <w:bottom w:val="none" w:sz="0" w:space="0" w:color="auto"/>
            <w:right w:val="none" w:sz="0" w:space="0" w:color="auto"/>
          </w:divBdr>
          <w:divsChild>
            <w:div w:id="852689777">
              <w:marLeft w:val="0"/>
              <w:marRight w:val="0"/>
              <w:marTop w:val="0"/>
              <w:marBottom w:val="0"/>
              <w:divBdr>
                <w:top w:val="none" w:sz="0" w:space="0" w:color="auto"/>
                <w:left w:val="none" w:sz="0" w:space="0" w:color="auto"/>
                <w:bottom w:val="none" w:sz="0" w:space="0" w:color="auto"/>
                <w:right w:val="none" w:sz="0" w:space="0" w:color="auto"/>
              </w:divBdr>
            </w:div>
          </w:divsChild>
        </w:div>
        <w:div w:id="352806431">
          <w:marLeft w:val="0"/>
          <w:marRight w:val="0"/>
          <w:marTop w:val="0"/>
          <w:marBottom w:val="0"/>
          <w:divBdr>
            <w:top w:val="none" w:sz="0" w:space="0" w:color="auto"/>
            <w:left w:val="none" w:sz="0" w:space="0" w:color="auto"/>
            <w:bottom w:val="none" w:sz="0" w:space="0" w:color="auto"/>
            <w:right w:val="none" w:sz="0" w:space="0" w:color="auto"/>
          </w:divBdr>
          <w:divsChild>
            <w:div w:id="383337921">
              <w:marLeft w:val="0"/>
              <w:marRight w:val="0"/>
              <w:marTop w:val="0"/>
              <w:marBottom w:val="0"/>
              <w:divBdr>
                <w:top w:val="none" w:sz="0" w:space="0" w:color="auto"/>
                <w:left w:val="none" w:sz="0" w:space="0" w:color="auto"/>
                <w:bottom w:val="none" w:sz="0" w:space="0" w:color="auto"/>
                <w:right w:val="none" w:sz="0" w:space="0" w:color="auto"/>
              </w:divBdr>
            </w:div>
          </w:divsChild>
        </w:div>
        <w:div w:id="383988339">
          <w:marLeft w:val="0"/>
          <w:marRight w:val="0"/>
          <w:marTop w:val="0"/>
          <w:marBottom w:val="0"/>
          <w:divBdr>
            <w:top w:val="none" w:sz="0" w:space="0" w:color="auto"/>
            <w:left w:val="none" w:sz="0" w:space="0" w:color="auto"/>
            <w:bottom w:val="none" w:sz="0" w:space="0" w:color="auto"/>
            <w:right w:val="none" w:sz="0" w:space="0" w:color="auto"/>
          </w:divBdr>
          <w:divsChild>
            <w:div w:id="1078212649">
              <w:marLeft w:val="0"/>
              <w:marRight w:val="0"/>
              <w:marTop w:val="0"/>
              <w:marBottom w:val="0"/>
              <w:divBdr>
                <w:top w:val="none" w:sz="0" w:space="0" w:color="auto"/>
                <w:left w:val="none" w:sz="0" w:space="0" w:color="auto"/>
                <w:bottom w:val="none" w:sz="0" w:space="0" w:color="auto"/>
                <w:right w:val="none" w:sz="0" w:space="0" w:color="auto"/>
              </w:divBdr>
            </w:div>
          </w:divsChild>
        </w:div>
        <w:div w:id="388383386">
          <w:marLeft w:val="0"/>
          <w:marRight w:val="0"/>
          <w:marTop w:val="0"/>
          <w:marBottom w:val="0"/>
          <w:divBdr>
            <w:top w:val="none" w:sz="0" w:space="0" w:color="auto"/>
            <w:left w:val="none" w:sz="0" w:space="0" w:color="auto"/>
            <w:bottom w:val="none" w:sz="0" w:space="0" w:color="auto"/>
            <w:right w:val="none" w:sz="0" w:space="0" w:color="auto"/>
          </w:divBdr>
          <w:divsChild>
            <w:div w:id="1595236990">
              <w:marLeft w:val="0"/>
              <w:marRight w:val="0"/>
              <w:marTop w:val="0"/>
              <w:marBottom w:val="0"/>
              <w:divBdr>
                <w:top w:val="none" w:sz="0" w:space="0" w:color="auto"/>
                <w:left w:val="none" w:sz="0" w:space="0" w:color="auto"/>
                <w:bottom w:val="none" w:sz="0" w:space="0" w:color="auto"/>
                <w:right w:val="none" w:sz="0" w:space="0" w:color="auto"/>
              </w:divBdr>
            </w:div>
          </w:divsChild>
        </w:div>
        <w:div w:id="415399882">
          <w:marLeft w:val="0"/>
          <w:marRight w:val="0"/>
          <w:marTop w:val="0"/>
          <w:marBottom w:val="0"/>
          <w:divBdr>
            <w:top w:val="none" w:sz="0" w:space="0" w:color="auto"/>
            <w:left w:val="none" w:sz="0" w:space="0" w:color="auto"/>
            <w:bottom w:val="none" w:sz="0" w:space="0" w:color="auto"/>
            <w:right w:val="none" w:sz="0" w:space="0" w:color="auto"/>
          </w:divBdr>
          <w:divsChild>
            <w:div w:id="101803059">
              <w:marLeft w:val="0"/>
              <w:marRight w:val="0"/>
              <w:marTop w:val="0"/>
              <w:marBottom w:val="0"/>
              <w:divBdr>
                <w:top w:val="none" w:sz="0" w:space="0" w:color="auto"/>
                <w:left w:val="none" w:sz="0" w:space="0" w:color="auto"/>
                <w:bottom w:val="none" w:sz="0" w:space="0" w:color="auto"/>
                <w:right w:val="none" w:sz="0" w:space="0" w:color="auto"/>
              </w:divBdr>
            </w:div>
          </w:divsChild>
        </w:div>
        <w:div w:id="440220763">
          <w:marLeft w:val="0"/>
          <w:marRight w:val="0"/>
          <w:marTop w:val="0"/>
          <w:marBottom w:val="0"/>
          <w:divBdr>
            <w:top w:val="none" w:sz="0" w:space="0" w:color="auto"/>
            <w:left w:val="none" w:sz="0" w:space="0" w:color="auto"/>
            <w:bottom w:val="none" w:sz="0" w:space="0" w:color="auto"/>
            <w:right w:val="none" w:sz="0" w:space="0" w:color="auto"/>
          </w:divBdr>
          <w:divsChild>
            <w:div w:id="736822173">
              <w:marLeft w:val="0"/>
              <w:marRight w:val="0"/>
              <w:marTop w:val="0"/>
              <w:marBottom w:val="0"/>
              <w:divBdr>
                <w:top w:val="none" w:sz="0" w:space="0" w:color="auto"/>
                <w:left w:val="none" w:sz="0" w:space="0" w:color="auto"/>
                <w:bottom w:val="none" w:sz="0" w:space="0" w:color="auto"/>
                <w:right w:val="none" w:sz="0" w:space="0" w:color="auto"/>
              </w:divBdr>
            </w:div>
          </w:divsChild>
        </w:div>
        <w:div w:id="483933768">
          <w:marLeft w:val="0"/>
          <w:marRight w:val="0"/>
          <w:marTop w:val="0"/>
          <w:marBottom w:val="0"/>
          <w:divBdr>
            <w:top w:val="none" w:sz="0" w:space="0" w:color="auto"/>
            <w:left w:val="none" w:sz="0" w:space="0" w:color="auto"/>
            <w:bottom w:val="none" w:sz="0" w:space="0" w:color="auto"/>
            <w:right w:val="none" w:sz="0" w:space="0" w:color="auto"/>
          </w:divBdr>
          <w:divsChild>
            <w:div w:id="193619926">
              <w:marLeft w:val="0"/>
              <w:marRight w:val="0"/>
              <w:marTop w:val="0"/>
              <w:marBottom w:val="0"/>
              <w:divBdr>
                <w:top w:val="none" w:sz="0" w:space="0" w:color="auto"/>
                <w:left w:val="none" w:sz="0" w:space="0" w:color="auto"/>
                <w:bottom w:val="none" w:sz="0" w:space="0" w:color="auto"/>
                <w:right w:val="none" w:sz="0" w:space="0" w:color="auto"/>
              </w:divBdr>
            </w:div>
          </w:divsChild>
        </w:div>
        <w:div w:id="498619786">
          <w:marLeft w:val="0"/>
          <w:marRight w:val="0"/>
          <w:marTop w:val="0"/>
          <w:marBottom w:val="0"/>
          <w:divBdr>
            <w:top w:val="none" w:sz="0" w:space="0" w:color="auto"/>
            <w:left w:val="none" w:sz="0" w:space="0" w:color="auto"/>
            <w:bottom w:val="none" w:sz="0" w:space="0" w:color="auto"/>
            <w:right w:val="none" w:sz="0" w:space="0" w:color="auto"/>
          </w:divBdr>
          <w:divsChild>
            <w:div w:id="40135578">
              <w:marLeft w:val="0"/>
              <w:marRight w:val="0"/>
              <w:marTop w:val="0"/>
              <w:marBottom w:val="0"/>
              <w:divBdr>
                <w:top w:val="none" w:sz="0" w:space="0" w:color="auto"/>
                <w:left w:val="none" w:sz="0" w:space="0" w:color="auto"/>
                <w:bottom w:val="none" w:sz="0" w:space="0" w:color="auto"/>
                <w:right w:val="none" w:sz="0" w:space="0" w:color="auto"/>
              </w:divBdr>
            </w:div>
          </w:divsChild>
        </w:div>
        <w:div w:id="550964736">
          <w:marLeft w:val="0"/>
          <w:marRight w:val="0"/>
          <w:marTop w:val="0"/>
          <w:marBottom w:val="0"/>
          <w:divBdr>
            <w:top w:val="none" w:sz="0" w:space="0" w:color="auto"/>
            <w:left w:val="none" w:sz="0" w:space="0" w:color="auto"/>
            <w:bottom w:val="none" w:sz="0" w:space="0" w:color="auto"/>
            <w:right w:val="none" w:sz="0" w:space="0" w:color="auto"/>
          </w:divBdr>
          <w:divsChild>
            <w:div w:id="1839080078">
              <w:marLeft w:val="0"/>
              <w:marRight w:val="0"/>
              <w:marTop w:val="0"/>
              <w:marBottom w:val="0"/>
              <w:divBdr>
                <w:top w:val="none" w:sz="0" w:space="0" w:color="auto"/>
                <w:left w:val="none" w:sz="0" w:space="0" w:color="auto"/>
                <w:bottom w:val="none" w:sz="0" w:space="0" w:color="auto"/>
                <w:right w:val="none" w:sz="0" w:space="0" w:color="auto"/>
              </w:divBdr>
            </w:div>
          </w:divsChild>
        </w:div>
        <w:div w:id="720520508">
          <w:marLeft w:val="0"/>
          <w:marRight w:val="0"/>
          <w:marTop w:val="0"/>
          <w:marBottom w:val="0"/>
          <w:divBdr>
            <w:top w:val="none" w:sz="0" w:space="0" w:color="auto"/>
            <w:left w:val="none" w:sz="0" w:space="0" w:color="auto"/>
            <w:bottom w:val="none" w:sz="0" w:space="0" w:color="auto"/>
            <w:right w:val="none" w:sz="0" w:space="0" w:color="auto"/>
          </w:divBdr>
          <w:divsChild>
            <w:div w:id="737476626">
              <w:marLeft w:val="0"/>
              <w:marRight w:val="0"/>
              <w:marTop w:val="0"/>
              <w:marBottom w:val="0"/>
              <w:divBdr>
                <w:top w:val="none" w:sz="0" w:space="0" w:color="auto"/>
                <w:left w:val="none" w:sz="0" w:space="0" w:color="auto"/>
                <w:bottom w:val="none" w:sz="0" w:space="0" w:color="auto"/>
                <w:right w:val="none" w:sz="0" w:space="0" w:color="auto"/>
              </w:divBdr>
            </w:div>
          </w:divsChild>
        </w:div>
        <w:div w:id="779567880">
          <w:marLeft w:val="0"/>
          <w:marRight w:val="0"/>
          <w:marTop w:val="0"/>
          <w:marBottom w:val="0"/>
          <w:divBdr>
            <w:top w:val="none" w:sz="0" w:space="0" w:color="auto"/>
            <w:left w:val="none" w:sz="0" w:space="0" w:color="auto"/>
            <w:bottom w:val="none" w:sz="0" w:space="0" w:color="auto"/>
            <w:right w:val="none" w:sz="0" w:space="0" w:color="auto"/>
          </w:divBdr>
          <w:divsChild>
            <w:div w:id="760682078">
              <w:marLeft w:val="0"/>
              <w:marRight w:val="0"/>
              <w:marTop w:val="0"/>
              <w:marBottom w:val="0"/>
              <w:divBdr>
                <w:top w:val="none" w:sz="0" w:space="0" w:color="auto"/>
                <w:left w:val="none" w:sz="0" w:space="0" w:color="auto"/>
                <w:bottom w:val="none" w:sz="0" w:space="0" w:color="auto"/>
                <w:right w:val="none" w:sz="0" w:space="0" w:color="auto"/>
              </w:divBdr>
            </w:div>
          </w:divsChild>
        </w:div>
        <w:div w:id="825243725">
          <w:marLeft w:val="0"/>
          <w:marRight w:val="0"/>
          <w:marTop w:val="0"/>
          <w:marBottom w:val="0"/>
          <w:divBdr>
            <w:top w:val="none" w:sz="0" w:space="0" w:color="auto"/>
            <w:left w:val="none" w:sz="0" w:space="0" w:color="auto"/>
            <w:bottom w:val="none" w:sz="0" w:space="0" w:color="auto"/>
            <w:right w:val="none" w:sz="0" w:space="0" w:color="auto"/>
          </w:divBdr>
          <w:divsChild>
            <w:div w:id="1173684485">
              <w:marLeft w:val="0"/>
              <w:marRight w:val="0"/>
              <w:marTop w:val="0"/>
              <w:marBottom w:val="0"/>
              <w:divBdr>
                <w:top w:val="none" w:sz="0" w:space="0" w:color="auto"/>
                <w:left w:val="none" w:sz="0" w:space="0" w:color="auto"/>
                <w:bottom w:val="none" w:sz="0" w:space="0" w:color="auto"/>
                <w:right w:val="none" w:sz="0" w:space="0" w:color="auto"/>
              </w:divBdr>
            </w:div>
          </w:divsChild>
        </w:div>
        <w:div w:id="918828654">
          <w:marLeft w:val="0"/>
          <w:marRight w:val="0"/>
          <w:marTop w:val="0"/>
          <w:marBottom w:val="0"/>
          <w:divBdr>
            <w:top w:val="none" w:sz="0" w:space="0" w:color="auto"/>
            <w:left w:val="none" w:sz="0" w:space="0" w:color="auto"/>
            <w:bottom w:val="none" w:sz="0" w:space="0" w:color="auto"/>
            <w:right w:val="none" w:sz="0" w:space="0" w:color="auto"/>
          </w:divBdr>
          <w:divsChild>
            <w:div w:id="334722177">
              <w:marLeft w:val="0"/>
              <w:marRight w:val="0"/>
              <w:marTop w:val="0"/>
              <w:marBottom w:val="0"/>
              <w:divBdr>
                <w:top w:val="none" w:sz="0" w:space="0" w:color="auto"/>
                <w:left w:val="none" w:sz="0" w:space="0" w:color="auto"/>
                <w:bottom w:val="none" w:sz="0" w:space="0" w:color="auto"/>
                <w:right w:val="none" w:sz="0" w:space="0" w:color="auto"/>
              </w:divBdr>
            </w:div>
          </w:divsChild>
        </w:div>
        <w:div w:id="929922901">
          <w:marLeft w:val="0"/>
          <w:marRight w:val="0"/>
          <w:marTop w:val="0"/>
          <w:marBottom w:val="0"/>
          <w:divBdr>
            <w:top w:val="none" w:sz="0" w:space="0" w:color="auto"/>
            <w:left w:val="none" w:sz="0" w:space="0" w:color="auto"/>
            <w:bottom w:val="none" w:sz="0" w:space="0" w:color="auto"/>
            <w:right w:val="none" w:sz="0" w:space="0" w:color="auto"/>
          </w:divBdr>
          <w:divsChild>
            <w:div w:id="912399774">
              <w:marLeft w:val="0"/>
              <w:marRight w:val="0"/>
              <w:marTop w:val="0"/>
              <w:marBottom w:val="0"/>
              <w:divBdr>
                <w:top w:val="none" w:sz="0" w:space="0" w:color="auto"/>
                <w:left w:val="none" w:sz="0" w:space="0" w:color="auto"/>
                <w:bottom w:val="none" w:sz="0" w:space="0" w:color="auto"/>
                <w:right w:val="none" w:sz="0" w:space="0" w:color="auto"/>
              </w:divBdr>
            </w:div>
          </w:divsChild>
        </w:div>
        <w:div w:id="958800118">
          <w:marLeft w:val="0"/>
          <w:marRight w:val="0"/>
          <w:marTop w:val="0"/>
          <w:marBottom w:val="0"/>
          <w:divBdr>
            <w:top w:val="none" w:sz="0" w:space="0" w:color="auto"/>
            <w:left w:val="none" w:sz="0" w:space="0" w:color="auto"/>
            <w:bottom w:val="none" w:sz="0" w:space="0" w:color="auto"/>
            <w:right w:val="none" w:sz="0" w:space="0" w:color="auto"/>
          </w:divBdr>
          <w:divsChild>
            <w:div w:id="1393384866">
              <w:marLeft w:val="0"/>
              <w:marRight w:val="0"/>
              <w:marTop w:val="0"/>
              <w:marBottom w:val="0"/>
              <w:divBdr>
                <w:top w:val="none" w:sz="0" w:space="0" w:color="auto"/>
                <w:left w:val="none" w:sz="0" w:space="0" w:color="auto"/>
                <w:bottom w:val="none" w:sz="0" w:space="0" w:color="auto"/>
                <w:right w:val="none" w:sz="0" w:space="0" w:color="auto"/>
              </w:divBdr>
            </w:div>
          </w:divsChild>
        </w:div>
        <w:div w:id="984119914">
          <w:marLeft w:val="0"/>
          <w:marRight w:val="0"/>
          <w:marTop w:val="0"/>
          <w:marBottom w:val="0"/>
          <w:divBdr>
            <w:top w:val="none" w:sz="0" w:space="0" w:color="auto"/>
            <w:left w:val="none" w:sz="0" w:space="0" w:color="auto"/>
            <w:bottom w:val="none" w:sz="0" w:space="0" w:color="auto"/>
            <w:right w:val="none" w:sz="0" w:space="0" w:color="auto"/>
          </w:divBdr>
          <w:divsChild>
            <w:div w:id="1916239722">
              <w:marLeft w:val="0"/>
              <w:marRight w:val="0"/>
              <w:marTop w:val="0"/>
              <w:marBottom w:val="0"/>
              <w:divBdr>
                <w:top w:val="none" w:sz="0" w:space="0" w:color="auto"/>
                <w:left w:val="none" w:sz="0" w:space="0" w:color="auto"/>
                <w:bottom w:val="none" w:sz="0" w:space="0" w:color="auto"/>
                <w:right w:val="none" w:sz="0" w:space="0" w:color="auto"/>
              </w:divBdr>
            </w:div>
          </w:divsChild>
        </w:div>
        <w:div w:id="1003899457">
          <w:marLeft w:val="0"/>
          <w:marRight w:val="0"/>
          <w:marTop w:val="0"/>
          <w:marBottom w:val="0"/>
          <w:divBdr>
            <w:top w:val="none" w:sz="0" w:space="0" w:color="auto"/>
            <w:left w:val="none" w:sz="0" w:space="0" w:color="auto"/>
            <w:bottom w:val="none" w:sz="0" w:space="0" w:color="auto"/>
            <w:right w:val="none" w:sz="0" w:space="0" w:color="auto"/>
          </w:divBdr>
          <w:divsChild>
            <w:div w:id="46924892">
              <w:marLeft w:val="0"/>
              <w:marRight w:val="0"/>
              <w:marTop w:val="0"/>
              <w:marBottom w:val="0"/>
              <w:divBdr>
                <w:top w:val="none" w:sz="0" w:space="0" w:color="auto"/>
                <w:left w:val="none" w:sz="0" w:space="0" w:color="auto"/>
                <w:bottom w:val="none" w:sz="0" w:space="0" w:color="auto"/>
                <w:right w:val="none" w:sz="0" w:space="0" w:color="auto"/>
              </w:divBdr>
            </w:div>
          </w:divsChild>
        </w:div>
        <w:div w:id="1141266299">
          <w:marLeft w:val="0"/>
          <w:marRight w:val="0"/>
          <w:marTop w:val="0"/>
          <w:marBottom w:val="0"/>
          <w:divBdr>
            <w:top w:val="none" w:sz="0" w:space="0" w:color="auto"/>
            <w:left w:val="none" w:sz="0" w:space="0" w:color="auto"/>
            <w:bottom w:val="none" w:sz="0" w:space="0" w:color="auto"/>
            <w:right w:val="none" w:sz="0" w:space="0" w:color="auto"/>
          </w:divBdr>
          <w:divsChild>
            <w:div w:id="391854519">
              <w:marLeft w:val="0"/>
              <w:marRight w:val="0"/>
              <w:marTop w:val="0"/>
              <w:marBottom w:val="0"/>
              <w:divBdr>
                <w:top w:val="none" w:sz="0" w:space="0" w:color="auto"/>
                <w:left w:val="none" w:sz="0" w:space="0" w:color="auto"/>
                <w:bottom w:val="none" w:sz="0" w:space="0" w:color="auto"/>
                <w:right w:val="none" w:sz="0" w:space="0" w:color="auto"/>
              </w:divBdr>
            </w:div>
          </w:divsChild>
        </w:div>
        <w:div w:id="1229269833">
          <w:marLeft w:val="0"/>
          <w:marRight w:val="0"/>
          <w:marTop w:val="0"/>
          <w:marBottom w:val="0"/>
          <w:divBdr>
            <w:top w:val="none" w:sz="0" w:space="0" w:color="auto"/>
            <w:left w:val="none" w:sz="0" w:space="0" w:color="auto"/>
            <w:bottom w:val="none" w:sz="0" w:space="0" w:color="auto"/>
            <w:right w:val="none" w:sz="0" w:space="0" w:color="auto"/>
          </w:divBdr>
          <w:divsChild>
            <w:div w:id="1450539976">
              <w:marLeft w:val="0"/>
              <w:marRight w:val="0"/>
              <w:marTop w:val="0"/>
              <w:marBottom w:val="0"/>
              <w:divBdr>
                <w:top w:val="none" w:sz="0" w:space="0" w:color="auto"/>
                <w:left w:val="none" w:sz="0" w:space="0" w:color="auto"/>
                <w:bottom w:val="none" w:sz="0" w:space="0" w:color="auto"/>
                <w:right w:val="none" w:sz="0" w:space="0" w:color="auto"/>
              </w:divBdr>
            </w:div>
          </w:divsChild>
        </w:div>
        <w:div w:id="1231231707">
          <w:marLeft w:val="0"/>
          <w:marRight w:val="0"/>
          <w:marTop w:val="0"/>
          <w:marBottom w:val="0"/>
          <w:divBdr>
            <w:top w:val="none" w:sz="0" w:space="0" w:color="auto"/>
            <w:left w:val="none" w:sz="0" w:space="0" w:color="auto"/>
            <w:bottom w:val="none" w:sz="0" w:space="0" w:color="auto"/>
            <w:right w:val="none" w:sz="0" w:space="0" w:color="auto"/>
          </w:divBdr>
          <w:divsChild>
            <w:div w:id="447626880">
              <w:marLeft w:val="0"/>
              <w:marRight w:val="0"/>
              <w:marTop w:val="0"/>
              <w:marBottom w:val="0"/>
              <w:divBdr>
                <w:top w:val="none" w:sz="0" w:space="0" w:color="auto"/>
                <w:left w:val="none" w:sz="0" w:space="0" w:color="auto"/>
                <w:bottom w:val="none" w:sz="0" w:space="0" w:color="auto"/>
                <w:right w:val="none" w:sz="0" w:space="0" w:color="auto"/>
              </w:divBdr>
            </w:div>
          </w:divsChild>
        </w:div>
        <w:div w:id="1248073945">
          <w:marLeft w:val="0"/>
          <w:marRight w:val="0"/>
          <w:marTop w:val="0"/>
          <w:marBottom w:val="0"/>
          <w:divBdr>
            <w:top w:val="none" w:sz="0" w:space="0" w:color="auto"/>
            <w:left w:val="none" w:sz="0" w:space="0" w:color="auto"/>
            <w:bottom w:val="none" w:sz="0" w:space="0" w:color="auto"/>
            <w:right w:val="none" w:sz="0" w:space="0" w:color="auto"/>
          </w:divBdr>
          <w:divsChild>
            <w:div w:id="2063599155">
              <w:marLeft w:val="0"/>
              <w:marRight w:val="0"/>
              <w:marTop w:val="0"/>
              <w:marBottom w:val="0"/>
              <w:divBdr>
                <w:top w:val="none" w:sz="0" w:space="0" w:color="auto"/>
                <w:left w:val="none" w:sz="0" w:space="0" w:color="auto"/>
                <w:bottom w:val="none" w:sz="0" w:space="0" w:color="auto"/>
                <w:right w:val="none" w:sz="0" w:space="0" w:color="auto"/>
              </w:divBdr>
            </w:div>
          </w:divsChild>
        </w:div>
        <w:div w:id="1338769883">
          <w:marLeft w:val="0"/>
          <w:marRight w:val="0"/>
          <w:marTop w:val="0"/>
          <w:marBottom w:val="0"/>
          <w:divBdr>
            <w:top w:val="none" w:sz="0" w:space="0" w:color="auto"/>
            <w:left w:val="none" w:sz="0" w:space="0" w:color="auto"/>
            <w:bottom w:val="none" w:sz="0" w:space="0" w:color="auto"/>
            <w:right w:val="none" w:sz="0" w:space="0" w:color="auto"/>
          </w:divBdr>
          <w:divsChild>
            <w:div w:id="879434979">
              <w:marLeft w:val="0"/>
              <w:marRight w:val="0"/>
              <w:marTop w:val="0"/>
              <w:marBottom w:val="0"/>
              <w:divBdr>
                <w:top w:val="none" w:sz="0" w:space="0" w:color="auto"/>
                <w:left w:val="none" w:sz="0" w:space="0" w:color="auto"/>
                <w:bottom w:val="none" w:sz="0" w:space="0" w:color="auto"/>
                <w:right w:val="none" w:sz="0" w:space="0" w:color="auto"/>
              </w:divBdr>
            </w:div>
          </w:divsChild>
        </w:div>
        <w:div w:id="1564440840">
          <w:marLeft w:val="0"/>
          <w:marRight w:val="0"/>
          <w:marTop w:val="0"/>
          <w:marBottom w:val="0"/>
          <w:divBdr>
            <w:top w:val="none" w:sz="0" w:space="0" w:color="auto"/>
            <w:left w:val="none" w:sz="0" w:space="0" w:color="auto"/>
            <w:bottom w:val="none" w:sz="0" w:space="0" w:color="auto"/>
            <w:right w:val="none" w:sz="0" w:space="0" w:color="auto"/>
          </w:divBdr>
          <w:divsChild>
            <w:div w:id="279923966">
              <w:marLeft w:val="0"/>
              <w:marRight w:val="0"/>
              <w:marTop w:val="0"/>
              <w:marBottom w:val="0"/>
              <w:divBdr>
                <w:top w:val="none" w:sz="0" w:space="0" w:color="auto"/>
                <w:left w:val="none" w:sz="0" w:space="0" w:color="auto"/>
                <w:bottom w:val="none" w:sz="0" w:space="0" w:color="auto"/>
                <w:right w:val="none" w:sz="0" w:space="0" w:color="auto"/>
              </w:divBdr>
            </w:div>
          </w:divsChild>
        </w:div>
        <w:div w:id="1603221165">
          <w:marLeft w:val="0"/>
          <w:marRight w:val="0"/>
          <w:marTop w:val="0"/>
          <w:marBottom w:val="0"/>
          <w:divBdr>
            <w:top w:val="none" w:sz="0" w:space="0" w:color="auto"/>
            <w:left w:val="none" w:sz="0" w:space="0" w:color="auto"/>
            <w:bottom w:val="none" w:sz="0" w:space="0" w:color="auto"/>
            <w:right w:val="none" w:sz="0" w:space="0" w:color="auto"/>
          </w:divBdr>
          <w:divsChild>
            <w:div w:id="774637334">
              <w:marLeft w:val="0"/>
              <w:marRight w:val="0"/>
              <w:marTop w:val="0"/>
              <w:marBottom w:val="0"/>
              <w:divBdr>
                <w:top w:val="none" w:sz="0" w:space="0" w:color="auto"/>
                <w:left w:val="none" w:sz="0" w:space="0" w:color="auto"/>
                <w:bottom w:val="none" w:sz="0" w:space="0" w:color="auto"/>
                <w:right w:val="none" w:sz="0" w:space="0" w:color="auto"/>
              </w:divBdr>
            </w:div>
          </w:divsChild>
        </w:div>
        <w:div w:id="1788740134">
          <w:marLeft w:val="0"/>
          <w:marRight w:val="0"/>
          <w:marTop w:val="0"/>
          <w:marBottom w:val="0"/>
          <w:divBdr>
            <w:top w:val="none" w:sz="0" w:space="0" w:color="auto"/>
            <w:left w:val="none" w:sz="0" w:space="0" w:color="auto"/>
            <w:bottom w:val="none" w:sz="0" w:space="0" w:color="auto"/>
            <w:right w:val="none" w:sz="0" w:space="0" w:color="auto"/>
          </w:divBdr>
          <w:divsChild>
            <w:div w:id="930048751">
              <w:marLeft w:val="0"/>
              <w:marRight w:val="0"/>
              <w:marTop w:val="0"/>
              <w:marBottom w:val="0"/>
              <w:divBdr>
                <w:top w:val="none" w:sz="0" w:space="0" w:color="auto"/>
                <w:left w:val="none" w:sz="0" w:space="0" w:color="auto"/>
                <w:bottom w:val="none" w:sz="0" w:space="0" w:color="auto"/>
                <w:right w:val="none" w:sz="0" w:space="0" w:color="auto"/>
              </w:divBdr>
            </w:div>
          </w:divsChild>
        </w:div>
        <w:div w:id="1982347692">
          <w:marLeft w:val="0"/>
          <w:marRight w:val="0"/>
          <w:marTop w:val="0"/>
          <w:marBottom w:val="0"/>
          <w:divBdr>
            <w:top w:val="none" w:sz="0" w:space="0" w:color="auto"/>
            <w:left w:val="none" w:sz="0" w:space="0" w:color="auto"/>
            <w:bottom w:val="none" w:sz="0" w:space="0" w:color="auto"/>
            <w:right w:val="none" w:sz="0" w:space="0" w:color="auto"/>
          </w:divBdr>
          <w:divsChild>
            <w:div w:id="479999113">
              <w:marLeft w:val="0"/>
              <w:marRight w:val="0"/>
              <w:marTop w:val="0"/>
              <w:marBottom w:val="0"/>
              <w:divBdr>
                <w:top w:val="none" w:sz="0" w:space="0" w:color="auto"/>
                <w:left w:val="none" w:sz="0" w:space="0" w:color="auto"/>
                <w:bottom w:val="none" w:sz="0" w:space="0" w:color="auto"/>
                <w:right w:val="none" w:sz="0" w:space="0" w:color="auto"/>
              </w:divBdr>
            </w:div>
          </w:divsChild>
        </w:div>
        <w:div w:id="2138642171">
          <w:marLeft w:val="0"/>
          <w:marRight w:val="0"/>
          <w:marTop w:val="0"/>
          <w:marBottom w:val="0"/>
          <w:divBdr>
            <w:top w:val="none" w:sz="0" w:space="0" w:color="auto"/>
            <w:left w:val="none" w:sz="0" w:space="0" w:color="auto"/>
            <w:bottom w:val="none" w:sz="0" w:space="0" w:color="auto"/>
            <w:right w:val="none" w:sz="0" w:space="0" w:color="auto"/>
          </w:divBdr>
          <w:divsChild>
            <w:div w:id="139979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840">
      <w:bodyDiv w:val="1"/>
      <w:marLeft w:val="0"/>
      <w:marRight w:val="0"/>
      <w:marTop w:val="0"/>
      <w:marBottom w:val="0"/>
      <w:divBdr>
        <w:top w:val="none" w:sz="0" w:space="0" w:color="auto"/>
        <w:left w:val="none" w:sz="0" w:space="0" w:color="auto"/>
        <w:bottom w:val="none" w:sz="0" w:space="0" w:color="auto"/>
        <w:right w:val="none" w:sz="0" w:space="0" w:color="auto"/>
      </w:divBdr>
      <w:divsChild>
        <w:div w:id="165630545">
          <w:marLeft w:val="0"/>
          <w:marRight w:val="0"/>
          <w:marTop w:val="0"/>
          <w:marBottom w:val="0"/>
          <w:divBdr>
            <w:top w:val="none" w:sz="0" w:space="0" w:color="auto"/>
            <w:left w:val="none" w:sz="0" w:space="0" w:color="auto"/>
            <w:bottom w:val="none" w:sz="0" w:space="0" w:color="auto"/>
            <w:right w:val="none" w:sz="0" w:space="0" w:color="auto"/>
          </w:divBdr>
          <w:divsChild>
            <w:div w:id="225723680">
              <w:marLeft w:val="0"/>
              <w:marRight w:val="0"/>
              <w:marTop w:val="0"/>
              <w:marBottom w:val="0"/>
              <w:divBdr>
                <w:top w:val="none" w:sz="0" w:space="0" w:color="auto"/>
                <w:left w:val="none" w:sz="0" w:space="0" w:color="auto"/>
                <w:bottom w:val="none" w:sz="0" w:space="0" w:color="auto"/>
                <w:right w:val="none" w:sz="0" w:space="0" w:color="auto"/>
              </w:divBdr>
            </w:div>
          </w:divsChild>
        </w:div>
        <w:div w:id="205029229">
          <w:marLeft w:val="0"/>
          <w:marRight w:val="0"/>
          <w:marTop w:val="0"/>
          <w:marBottom w:val="0"/>
          <w:divBdr>
            <w:top w:val="none" w:sz="0" w:space="0" w:color="auto"/>
            <w:left w:val="none" w:sz="0" w:space="0" w:color="auto"/>
            <w:bottom w:val="none" w:sz="0" w:space="0" w:color="auto"/>
            <w:right w:val="none" w:sz="0" w:space="0" w:color="auto"/>
          </w:divBdr>
          <w:divsChild>
            <w:div w:id="242373328">
              <w:marLeft w:val="0"/>
              <w:marRight w:val="0"/>
              <w:marTop w:val="0"/>
              <w:marBottom w:val="0"/>
              <w:divBdr>
                <w:top w:val="none" w:sz="0" w:space="0" w:color="auto"/>
                <w:left w:val="none" w:sz="0" w:space="0" w:color="auto"/>
                <w:bottom w:val="none" w:sz="0" w:space="0" w:color="auto"/>
                <w:right w:val="none" w:sz="0" w:space="0" w:color="auto"/>
              </w:divBdr>
            </w:div>
          </w:divsChild>
        </w:div>
        <w:div w:id="209996532">
          <w:marLeft w:val="0"/>
          <w:marRight w:val="0"/>
          <w:marTop w:val="0"/>
          <w:marBottom w:val="0"/>
          <w:divBdr>
            <w:top w:val="none" w:sz="0" w:space="0" w:color="auto"/>
            <w:left w:val="none" w:sz="0" w:space="0" w:color="auto"/>
            <w:bottom w:val="none" w:sz="0" w:space="0" w:color="auto"/>
            <w:right w:val="none" w:sz="0" w:space="0" w:color="auto"/>
          </w:divBdr>
          <w:divsChild>
            <w:div w:id="1712729748">
              <w:marLeft w:val="0"/>
              <w:marRight w:val="0"/>
              <w:marTop w:val="0"/>
              <w:marBottom w:val="0"/>
              <w:divBdr>
                <w:top w:val="none" w:sz="0" w:space="0" w:color="auto"/>
                <w:left w:val="none" w:sz="0" w:space="0" w:color="auto"/>
                <w:bottom w:val="none" w:sz="0" w:space="0" w:color="auto"/>
                <w:right w:val="none" w:sz="0" w:space="0" w:color="auto"/>
              </w:divBdr>
            </w:div>
          </w:divsChild>
        </w:div>
        <w:div w:id="244073994">
          <w:marLeft w:val="0"/>
          <w:marRight w:val="0"/>
          <w:marTop w:val="0"/>
          <w:marBottom w:val="0"/>
          <w:divBdr>
            <w:top w:val="none" w:sz="0" w:space="0" w:color="auto"/>
            <w:left w:val="none" w:sz="0" w:space="0" w:color="auto"/>
            <w:bottom w:val="none" w:sz="0" w:space="0" w:color="auto"/>
            <w:right w:val="none" w:sz="0" w:space="0" w:color="auto"/>
          </w:divBdr>
          <w:divsChild>
            <w:div w:id="316347831">
              <w:marLeft w:val="0"/>
              <w:marRight w:val="0"/>
              <w:marTop w:val="0"/>
              <w:marBottom w:val="0"/>
              <w:divBdr>
                <w:top w:val="none" w:sz="0" w:space="0" w:color="auto"/>
                <w:left w:val="none" w:sz="0" w:space="0" w:color="auto"/>
                <w:bottom w:val="none" w:sz="0" w:space="0" w:color="auto"/>
                <w:right w:val="none" w:sz="0" w:space="0" w:color="auto"/>
              </w:divBdr>
            </w:div>
          </w:divsChild>
        </w:div>
        <w:div w:id="374739634">
          <w:marLeft w:val="0"/>
          <w:marRight w:val="0"/>
          <w:marTop w:val="0"/>
          <w:marBottom w:val="0"/>
          <w:divBdr>
            <w:top w:val="none" w:sz="0" w:space="0" w:color="auto"/>
            <w:left w:val="none" w:sz="0" w:space="0" w:color="auto"/>
            <w:bottom w:val="none" w:sz="0" w:space="0" w:color="auto"/>
            <w:right w:val="none" w:sz="0" w:space="0" w:color="auto"/>
          </w:divBdr>
          <w:divsChild>
            <w:div w:id="762653222">
              <w:marLeft w:val="0"/>
              <w:marRight w:val="0"/>
              <w:marTop w:val="0"/>
              <w:marBottom w:val="0"/>
              <w:divBdr>
                <w:top w:val="none" w:sz="0" w:space="0" w:color="auto"/>
                <w:left w:val="none" w:sz="0" w:space="0" w:color="auto"/>
                <w:bottom w:val="none" w:sz="0" w:space="0" w:color="auto"/>
                <w:right w:val="none" w:sz="0" w:space="0" w:color="auto"/>
              </w:divBdr>
            </w:div>
          </w:divsChild>
        </w:div>
        <w:div w:id="581377513">
          <w:marLeft w:val="0"/>
          <w:marRight w:val="0"/>
          <w:marTop w:val="0"/>
          <w:marBottom w:val="0"/>
          <w:divBdr>
            <w:top w:val="none" w:sz="0" w:space="0" w:color="auto"/>
            <w:left w:val="none" w:sz="0" w:space="0" w:color="auto"/>
            <w:bottom w:val="none" w:sz="0" w:space="0" w:color="auto"/>
            <w:right w:val="none" w:sz="0" w:space="0" w:color="auto"/>
          </w:divBdr>
          <w:divsChild>
            <w:div w:id="392237875">
              <w:marLeft w:val="0"/>
              <w:marRight w:val="0"/>
              <w:marTop w:val="0"/>
              <w:marBottom w:val="0"/>
              <w:divBdr>
                <w:top w:val="none" w:sz="0" w:space="0" w:color="auto"/>
                <w:left w:val="none" w:sz="0" w:space="0" w:color="auto"/>
                <w:bottom w:val="none" w:sz="0" w:space="0" w:color="auto"/>
                <w:right w:val="none" w:sz="0" w:space="0" w:color="auto"/>
              </w:divBdr>
            </w:div>
          </w:divsChild>
        </w:div>
        <w:div w:id="623460719">
          <w:marLeft w:val="0"/>
          <w:marRight w:val="0"/>
          <w:marTop w:val="0"/>
          <w:marBottom w:val="0"/>
          <w:divBdr>
            <w:top w:val="none" w:sz="0" w:space="0" w:color="auto"/>
            <w:left w:val="none" w:sz="0" w:space="0" w:color="auto"/>
            <w:bottom w:val="none" w:sz="0" w:space="0" w:color="auto"/>
            <w:right w:val="none" w:sz="0" w:space="0" w:color="auto"/>
          </w:divBdr>
          <w:divsChild>
            <w:div w:id="510922253">
              <w:marLeft w:val="0"/>
              <w:marRight w:val="0"/>
              <w:marTop w:val="0"/>
              <w:marBottom w:val="0"/>
              <w:divBdr>
                <w:top w:val="none" w:sz="0" w:space="0" w:color="auto"/>
                <w:left w:val="none" w:sz="0" w:space="0" w:color="auto"/>
                <w:bottom w:val="none" w:sz="0" w:space="0" w:color="auto"/>
                <w:right w:val="none" w:sz="0" w:space="0" w:color="auto"/>
              </w:divBdr>
            </w:div>
          </w:divsChild>
        </w:div>
        <w:div w:id="690758925">
          <w:marLeft w:val="0"/>
          <w:marRight w:val="0"/>
          <w:marTop w:val="0"/>
          <w:marBottom w:val="0"/>
          <w:divBdr>
            <w:top w:val="none" w:sz="0" w:space="0" w:color="auto"/>
            <w:left w:val="none" w:sz="0" w:space="0" w:color="auto"/>
            <w:bottom w:val="none" w:sz="0" w:space="0" w:color="auto"/>
            <w:right w:val="none" w:sz="0" w:space="0" w:color="auto"/>
          </w:divBdr>
          <w:divsChild>
            <w:div w:id="283968980">
              <w:marLeft w:val="0"/>
              <w:marRight w:val="0"/>
              <w:marTop w:val="0"/>
              <w:marBottom w:val="0"/>
              <w:divBdr>
                <w:top w:val="none" w:sz="0" w:space="0" w:color="auto"/>
                <w:left w:val="none" w:sz="0" w:space="0" w:color="auto"/>
                <w:bottom w:val="none" w:sz="0" w:space="0" w:color="auto"/>
                <w:right w:val="none" w:sz="0" w:space="0" w:color="auto"/>
              </w:divBdr>
            </w:div>
          </w:divsChild>
        </w:div>
        <w:div w:id="790318532">
          <w:marLeft w:val="0"/>
          <w:marRight w:val="0"/>
          <w:marTop w:val="0"/>
          <w:marBottom w:val="0"/>
          <w:divBdr>
            <w:top w:val="none" w:sz="0" w:space="0" w:color="auto"/>
            <w:left w:val="none" w:sz="0" w:space="0" w:color="auto"/>
            <w:bottom w:val="none" w:sz="0" w:space="0" w:color="auto"/>
            <w:right w:val="none" w:sz="0" w:space="0" w:color="auto"/>
          </w:divBdr>
          <w:divsChild>
            <w:div w:id="1412197515">
              <w:marLeft w:val="0"/>
              <w:marRight w:val="0"/>
              <w:marTop w:val="0"/>
              <w:marBottom w:val="0"/>
              <w:divBdr>
                <w:top w:val="none" w:sz="0" w:space="0" w:color="auto"/>
                <w:left w:val="none" w:sz="0" w:space="0" w:color="auto"/>
                <w:bottom w:val="none" w:sz="0" w:space="0" w:color="auto"/>
                <w:right w:val="none" w:sz="0" w:space="0" w:color="auto"/>
              </w:divBdr>
            </w:div>
          </w:divsChild>
        </w:div>
        <w:div w:id="794761682">
          <w:marLeft w:val="0"/>
          <w:marRight w:val="0"/>
          <w:marTop w:val="0"/>
          <w:marBottom w:val="0"/>
          <w:divBdr>
            <w:top w:val="none" w:sz="0" w:space="0" w:color="auto"/>
            <w:left w:val="none" w:sz="0" w:space="0" w:color="auto"/>
            <w:bottom w:val="none" w:sz="0" w:space="0" w:color="auto"/>
            <w:right w:val="none" w:sz="0" w:space="0" w:color="auto"/>
          </w:divBdr>
          <w:divsChild>
            <w:div w:id="1096748317">
              <w:marLeft w:val="0"/>
              <w:marRight w:val="0"/>
              <w:marTop w:val="0"/>
              <w:marBottom w:val="0"/>
              <w:divBdr>
                <w:top w:val="none" w:sz="0" w:space="0" w:color="auto"/>
                <w:left w:val="none" w:sz="0" w:space="0" w:color="auto"/>
                <w:bottom w:val="none" w:sz="0" w:space="0" w:color="auto"/>
                <w:right w:val="none" w:sz="0" w:space="0" w:color="auto"/>
              </w:divBdr>
            </w:div>
          </w:divsChild>
        </w:div>
        <w:div w:id="1018853942">
          <w:marLeft w:val="0"/>
          <w:marRight w:val="0"/>
          <w:marTop w:val="0"/>
          <w:marBottom w:val="0"/>
          <w:divBdr>
            <w:top w:val="none" w:sz="0" w:space="0" w:color="auto"/>
            <w:left w:val="none" w:sz="0" w:space="0" w:color="auto"/>
            <w:bottom w:val="none" w:sz="0" w:space="0" w:color="auto"/>
            <w:right w:val="none" w:sz="0" w:space="0" w:color="auto"/>
          </w:divBdr>
          <w:divsChild>
            <w:div w:id="1108311287">
              <w:marLeft w:val="0"/>
              <w:marRight w:val="0"/>
              <w:marTop w:val="0"/>
              <w:marBottom w:val="0"/>
              <w:divBdr>
                <w:top w:val="none" w:sz="0" w:space="0" w:color="auto"/>
                <w:left w:val="none" w:sz="0" w:space="0" w:color="auto"/>
                <w:bottom w:val="none" w:sz="0" w:space="0" w:color="auto"/>
                <w:right w:val="none" w:sz="0" w:space="0" w:color="auto"/>
              </w:divBdr>
            </w:div>
          </w:divsChild>
        </w:div>
        <w:div w:id="1034430067">
          <w:marLeft w:val="0"/>
          <w:marRight w:val="0"/>
          <w:marTop w:val="0"/>
          <w:marBottom w:val="0"/>
          <w:divBdr>
            <w:top w:val="none" w:sz="0" w:space="0" w:color="auto"/>
            <w:left w:val="none" w:sz="0" w:space="0" w:color="auto"/>
            <w:bottom w:val="none" w:sz="0" w:space="0" w:color="auto"/>
            <w:right w:val="none" w:sz="0" w:space="0" w:color="auto"/>
          </w:divBdr>
          <w:divsChild>
            <w:div w:id="362488562">
              <w:marLeft w:val="0"/>
              <w:marRight w:val="0"/>
              <w:marTop w:val="0"/>
              <w:marBottom w:val="0"/>
              <w:divBdr>
                <w:top w:val="none" w:sz="0" w:space="0" w:color="auto"/>
                <w:left w:val="none" w:sz="0" w:space="0" w:color="auto"/>
                <w:bottom w:val="none" w:sz="0" w:space="0" w:color="auto"/>
                <w:right w:val="none" w:sz="0" w:space="0" w:color="auto"/>
              </w:divBdr>
            </w:div>
          </w:divsChild>
        </w:div>
        <w:div w:id="1145315456">
          <w:marLeft w:val="0"/>
          <w:marRight w:val="0"/>
          <w:marTop w:val="0"/>
          <w:marBottom w:val="0"/>
          <w:divBdr>
            <w:top w:val="none" w:sz="0" w:space="0" w:color="auto"/>
            <w:left w:val="none" w:sz="0" w:space="0" w:color="auto"/>
            <w:bottom w:val="none" w:sz="0" w:space="0" w:color="auto"/>
            <w:right w:val="none" w:sz="0" w:space="0" w:color="auto"/>
          </w:divBdr>
          <w:divsChild>
            <w:div w:id="993996618">
              <w:marLeft w:val="0"/>
              <w:marRight w:val="0"/>
              <w:marTop w:val="0"/>
              <w:marBottom w:val="0"/>
              <w:divBdr>
                <w:top w:val="none" w:sz="0" w:space="0" w:color="auto"/>
                <w:left w:val="none" w:sz="0" w:space="0" w:color="auto"/>
                <w:bottom w:val="none" w:sz="0" w:space="0" w:color="auto"/>
                <w:right w:val="none" w:sz="0" w:space="0" w:color="auto"/>
              </w:divBdr>
            </w:div>
          </w:divsChild>
        </w:div>
        <w:div w:id="1248148678">
          <w:marLeft w:val="0"/>
          <w:marRight w:val="0"/>
          <w:marTop w:val="0"/>
          <w:marBottom w:val="0"/>
          <w:divBdr>
            <w:top w:val="none" w:sz="0" w:space="0" w:color="auto"/>
            <w:left w:val="none" w:sz="0" w:space="0" w:color="auto"/>
            <w:bottom w:val="none" w:sz="0" w:space="0" w:color="auto"/>
            <w:right w:val="none" w:sz="0" w:space="0" w:color="auto"/>
          </w:divBdr>
          <w:divsChild>
            <w:div w:id="239409142">
              <w:marLeft w:val="0"/>
              <w:marRight w:val="0"/>
              <w:marTop w:val="0"/>
              <w:marBottom w:val="0"/>
              <w:divBdr>
                <w:top w:val="none" w:sz="0" w:space="0" w:color="auto"/>
                <w:left w:val="none" w:sz="0" w:space="0" w:color="auto"/>
                <w:bottom w:val="none" w:sz="0" w:space="0" w:color="auto"/>
                <w:right w:val="none" w:sz="0" w:space="0" w:color="auto"/>
              </w:divBdr>
            </w:div>
          </w:divsChild>
        </w:div>
        <w:div w:id="1248805736">
          <w:marLeft w:val="0"/>
          <w:marRight w:val="0"/>
          <w:marTop w:val="0"/>
          <w:marBottom w:val="0"/>
          <w:divBdr>
            <w:top w:val="none" w:sz="0" w:space="0" w:color="auto"/>
            <w:left w:val="none" w:sz="0" w:space="0" w:color="auto"/>
            <w:bottom w:val="none" w:sz="0" w:space="0" w:color="auto"/>
            <w:right w:val="none" w:sz="0" w:space="0" w:color="auto"/>
          </w:divBdr>
          <w:divsChild>
            <w:div w:id="1733574435">
              <w:marLeft w:val="0"/>
              <w:marRight w:val="0"/>
              <w:marTop w:val="0"/>
              <w:marBottom w:val="0"/>
              <w:divBdr>
                <w:top w:val="none" w:sz="0" w:space="0" w:color="auto"/>
                <w:left w:val="none" w:sz="0" w:space="0" w:color="auto"/>
                <w:bottom w:val="none" w:sz="0" w:space="0" w:color="auto"/>
                <w:right w:val="none" w:sz="0" w:space="0" w:color="auto"/>
              </w:divBdr>
            </w:div>
          </w:divsChild>
        </w:div>
        <w:div w:id="1578324478">
          <w:marLeft w:val="0"/>
          <w:marRight w:val="0"/>
          <w:marTop w:val="0"/>
          <w:marBottom w:val="0"/>
          <w:divBdr>
            <w:top w:val="none" w:sz="0" w:space="0" w:color="auto"/>
            <w:left w:val="none" w:sz="0" w:space="0" w:color="auto"/>
            <w:bottom w:val="none" w:sz="0" w:space="0" w:color="auto"/>
            <w:right w:val="none" w:sz="0" w:space="0" w:color="auto"/>
          </w:divBdr>
          <w:divsChild>
            <w:div w:id="239951988">
              <w:marLeft w:val="0"/>
              <w:marRight w:val="0"/>
              <w:marTop w:val="0"/>
              <w:marBottom w:val="0"/>
              <w:divBdr>
                <w:top w:val="none" w:sz="0" w:space="0" w:color="auto"/>
                <w:left w:val="none" w:sz="0" w:space="0" w:color="auto"/>
                <w:bottom w:val="none" w:sz="0" w:space="0" w:color="auto"/>
                <w:right w:val="none" w:sz="0" w:space="0" w:color="auto"/>
              </w:divBdr>
            </w:div>
          </w:divsChild>
        </w:div>
        <w:div w:id="1587810579">
          <w:marLeft w:val="0"/>
          <w:marRight w:val="0"/>
          <w:marTop w:val="0"/>
          <w:marBottom w:val="0"/>
          <w:divBdr>
            <w:top w:val="none" w:sz="0" w:space="0" w:color="auto"/>
            <w:left w:val="none" w:sz="0" w:space="0" w:color="auto"/>
            <w:bottom w:val="none" w:sz="0" w:space="0" w:color="auto"/>
            <w:right w:val="none" w:sz="0" w:space="0" w:color="auto"/>
          </w:divBdr>
          <w:divsChild>
            <w:div w:id="1688479749">
              <w:marLeft w:val="0"/>
              <w:marRight w:val="0"/>
              <w:marTop w:val="0"/>
              <w:marBottom w:val="0"/>
              <w:divBdr>
                <w:top w:val="none" w:sz="0" w:space="0" w:color="auto"/>
                <w:left w:val="none" w:sz="0" w:space="0" w:color="auto"/>
                <w:bottom w:val="none" w:sz="0" w:space="0" w:color="auto"/>
                <w:right w:val="none" w:sz="0" w:space="0" w:color="auto"/>
              </w:divBdr>
            </w:div>
          </w:divsChild>
        </w:div>
        <w:div w:id="1613128496">
          <w:marLeft w:val="0"/>
          <w:marRight w:val="0"/>
          <w:marTop w:val="0"/>
          <w:marBottom w:val="0"/>
          <w:divBdr>
            <w:top w:val="none" w:sz="0" w:space="0" w:color="auto"/>
            <w:left w:val="none" w:sz="0" w:space="0" w:color="auto"/>
            <w:bottom w:val="none" w:sz="0" w:space="0" w:color="auto"/>
            <w:right w:val="none" w:sz="0" w:space="0" w:color="auto"/>
          </w:divBdr>
          <w:divsChild>
            <w:div w:id="581960780">
              <w:marLeft w:val="0"/>
              <w:marRight w:val="0"/>
              <w:marTop w:val="0"/>
              <w:marBottom w:val="0"/>
              <w:divBdr>
                <w:top w:val="none" w:sz="0" w:space="0" w:color="auto"/>
                <w:left w:val="none" w:sz="0" w:space="0" w:color="auto"/>
                <w:bottom w:val="none" w:sz="0" w:space="0" w:color="auto"/>
                <w:right w:val="none" w:sz="0" w:space="0" w:color="auto"/>
              </w:divBdr>
            </w:div>
          </w:divsChild>
        </w:div>
        <w:div w:id="1638880189">
          <w:marLeft w:val="0"/>
          <w:marRight w:val="0"/>
          <w:marTop w:val="0"/>
          <w:marBottom w:val="0"/>
          <w:divBdr>
            <w:top w:val="none" w:sz="0" w:space="0" w:color="auto"/>
            <w:left w:val="none" w:sz="0" w:space="0" w:color="auto"/>
            <w:bottom w:val="none" w:sz="0" w:space="0" w:color="auto"/>
            <w:right w:val="none" w:sz="0" w:space="0" w:color="auto"/>
          </w:divBdr>
          <w:divsChild>
            <w:div w:id="528495619">
              <w:marLeft w:val="0"/>
              <w:marRight w:val="0"/>
              <w:marTop w:val="0"/>
              <w:marBottom w:val="0"/>
              <w:divBdr>
                <w:top w:val="none" w:sz="0" w:space="0" w:color="auto"/>
                <w:left w:val="none" w:sz="0" w:space="0" w:color="auto"/>
                <w:bottom w:val="none" w:sz="0" w:space="0" w:color="auto"/>
                <w:right w:val="none" w:sz="0" w:space="0" w:color="auto"/>
              </w:divBdr>
            </w:div>
          </w:divsChild>
        </w:div>
        <w:div w:id="1668171983">
          <w:marLeft w:val="0"/>
          <w:marRight w:val="0"/>
          <w:marTop w:val="0"/>
          <w:marBottom w:val="0"/>
          <w:divBdr>
            <w:top w:val="none" w:sz="0" w:space="0" w:color="auto"/>
            <w:left w:val="none" w:sz="0" w:space="0" w:color="auto"/>
            <w:bottom w:val="none" w:sz="0" w:space="0" w:color="auto"/>
            <w:right w:val="none" w:sz="0" w:space="0" w:color="auto"/>
          </w:divBdr>
          <w:divsChild>
            <w:div w:id="852914416">
              <w:marLeft w:val="0"/>
              <w:marRight w:val="0"/>
              <w:marTop w:val="0"/>
              <w:marBottom w:val="0"/>
              <w:divBdr>
                <w:top w:val="none" w:sz="0" w:space="0" w:color="auto"/>
                <w:left w:val="none" w:sz="0" w:space="0" w:color="auto"/>
                <w:bottom w:val="none" w:sz="0" w:space="0" w:color="auto"/>
                <w:right w:val="none" w:sz="0" w:space="0" w:color="auto"/>
              </w:divBdr>
            </w:div>
          </w:divsChild>
        </w:div>
        <w:div w:id="1696150903">
          <w:marLeft w:val="0"/>
          <w:marRight w:val="0"/>
          <w:marTop w:val="0"/>
          <w:marBottom w:val="0"/>
          <w:divBdr>
            <w:top w:val="none" w:sz="0" w:space="0" w:color="auto"/>
            <w:left w:val="none" w:sz="0" w:space="0" w:color="auto"/>
            <w:bottom w:val="none" w:sz="0" w:space="0" w:color="auto"/>
            <w:right w:val="none" w:sz="0" w:space="0" w:color="auto"/>
          </w:divBdr>
          <w:divsChild>
            <w:div w:id="133837089">
              <w:marLeft w:val="0"/>
              <w:marRight w:val="0"/>
              <w:marTop w:val="0"/>
              <w:marBottom w:val="0"/>
              <w:divBdr>
                <w:top w:val="none" w:sz="0" w:space="0" w:color="auto"/>
                <w:left w:val="none" w:sz="0" w:space="0" w:color="auto"/>
                <w:bottom w:val="none" w:sz="0" w:space="0" w:color="auto"/>
                <w:right w:val="none" w:sz="0" w:space="0" w:color="auto"/>
              </w:divBdr>
            </w:div>
          </w:divsChild>
        </w:div>
        <w:div w:id="1814322830">
          <w:marLeft w:val="0"/>
          <w:marRight w:val="0"/>
          <w:marTop w:val="0"/>
          <w:marBottom w:val="0"/>
          <w:divBdr>
            <w:top w:val="none" w:sz="0" w:space="0" w:color="auto"/>
            <w:left w:val="none" w:sz="0" w:space="0" w:color="auto"/>
            <w:bottom w:val="none" w:sz="0" w:space="0" w:color="auto"/>
            <w:right w:val="none" w:sz="0" w:space="0" w:color="auto"/>
          </w:divBdr>
          <w:divsChild>
            <w:div w:id="562259474">
              <w:marLeft w:val="0"/>
              <w:marRight w:val="0"/>
              <w:marTop w:val="0"/>
              <w:marBottom w:val="0"/>
              <w:divBdr>
                <w:top w:val="none" w:sz="0" w:space="0" w:color="auto"/>
                <w:left w:val="none" w:sz="0" w:space="0" w:color="auto"/>
                <w:bottom w:val="none" w:sz="0" w:space="0" w:color="auto"/>
                <w:right w:val="none" w:sz="0" w:space="0" w:color="auto"/>
              </w:divBdr>
            </w:div>
          </w:divsChild>
        </w:div>
        <w:div w:id="1867332179">
          <w:marLeft w:val="0"/>
          <w:marRight w:val="0"/>
          <w:marTop w:val="0"/>
          <w:marBottom w:val="0"/>
          <w:divBdr>
            <w:top w:val="none" w:sz="0" w:space="0" w:color="auto"/>
            <w:left w:val="none" w:sz="0" w:space="0" w:color="auto"/>
            <w:bottom w:val="none" w:sz="0" w:space="0" w:color="auto"/>
            <w:right w:val="none" w:sz="0" w:space="0" w:color="auto"/>
          </w:divBdr>
          <w:divsChild>
            <w:div w:id="740562855">
              <w:marLeft w:val="0"/>
              <w:marRight w:val="0"/>
              <w:marTop w:val="0"/>
              <w:marBottom w:val="0"/>
              <w:divBdr>
                <w:top w:val="none" w:sz="0" w:space="0" w:color="auto"/>
                <w:left w:val="none" w:sz="0" w:space="0" w:color="auto"/>
                <w:bottom w:val="none" w:sz="0" w:space="0" w:color="auto"/>
                <w:right w:val="none" w:sz="0" w:space="0" w:color="auto"/>
              </w:divBdr>
            </w:div>
          </w:divsChild>
        </w:div>
        <w:div w:id="2075933695">
          <w:marLeft w:val="0"/>
          <w:marRight w:val="0"/>
          <w:marTop w:val="0"/>
          <w:marBottom w:val="0"/>
          <w:divBdr>
            <w:top w:val="none" w:sz="0" w:space="0" w:color="auto"/>
            <w:left w:val="none" w:sz="0" w:space="0" w:color="auto"/>
            <w:bottom w:val="none" w:sz="0" w:space="0" w:color="auto"/>
            <w:right w:val="none" w:sz="0" w:space="0" w:color="auto"/>
          </w:divBdr>
          <w:divsChild>
            <w:div w:id="1747335405">
              <w:marLeft w:val="0"/>
              <w:marRight w:val="0"/>
              <w:marTop w:val="0"/>
              <w:marBottom w:val="0"/>
              <w:divBdr>
                <w:top w:val="none" w:sz="0" w:space="0" w:color="auto"/>
                <w:left w:val="none" w:sz="0" w:space="0" w:color="auto"/>
                <w:bottom w:val="none" w:sz="0" w:space="0" w:color="auto"/>
                <w:right w:val="none" w:sz="0" w:space="0" w:color="auto"/>
              </w:divBdr>
            </w:div>
          </w:divsChild>
        </w:div>
        <w:div w:id="2146003689">
          <w:marLeft w:val="0"/>
          <w:marRight w:val="0"/>
          <w:marTop w:val="0"/>
          <w:marBottom w:val="0"/>
          <w:divBdr>
            <w:top w:val="none" w:sz="0" w:space="0" w:color="auto"/>
            <w:left w:val="none" w:sz="0" w:space="0" w:color="auto"/>
            <w:bottom w:val="none" w:sz="0" w:space="0" w:color="auto"/>
            <w:right w:val="none" w:sz="0" w:space="0" w:color="auto"/>
          </w:divBdr>
          <w:divsChild>
            <w:div w:id="4206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3112">
      <w:bodyDiv w:val="1"/>
      <w:marLeft w:val="0"/>
      <w:marRight w:val="0"/>
      <w:marTop w:val="0"/>
      <w:marBottom w:val="0"/>
      <w:divBdr>
        <w:top w:val="none" w:sz="0" w:space="0" w:color="auto"/>
        <w:left w:val="none" w:sz="0" w:space="0" w:color="auto"/>
        <w:bottom w:val="none" w:sz="0" w:space="0" w:color="auto"/>
        <w:right w:val="none" w:sz="0" w:space="0" w:color="auto"/>
      </w:divBdr>
    </w:div>
    <w:div w:id="191573862">
      <w:bodyDiv w:val="1"/>
      <w:marLeft w:val="0"/>
      <w:marRight w:val="0"/>
      <w:marTop w:val="0"/>
      <w:marBottom w:val="0"/>
      <w:divBdr>
        <w:top w:val="none" w:sz="0" w:space="0" w:color="auto"/>
        <w:left w:val="none" w:sz="0" w:space="0" w:color="auto"/>
        <w:bottom w:val="none" w:sz="0" w:space="0" w:color="auto"/>
        <w:right w:val="none" w:sz="0" w:space="0" w:color="auto"/>
      </w:divBdr>
    </w:div>
    <w:div w:id="192231547">
      <w:bodyDiv w:val="1"/>
      <w:marLeft w:val="0"/>
      <w:marRight w:val="0"/>
      <w:marTop w:val="0"/>
      <w:marBottom w:val="0"/>
      <w:divBdr>
        <w:top w:val="none" w:sz="0" w:space="0" w:color="auto"/>
        <w:left w:val="none" w:sz="0" w:space="0" w:color="auto"/>
        <w:bottom w:val="none" w:sz="0" w:space="0" w:color="auto"/>
        <w:right w:val="none" w:sz="0" w:space="0" w:color="auto"/>
      </w:divBdr>
      <w:divsChild>
        <w:div w:id="8145707">
          <w:marLeft w:val="274"/>
          <w:marRight w:val="0"/>
          <w:marTop w:val="0"/>
          <w:marBottom w:val="0"/>
          <w:divBdr>
            <w:top w:val="none" w:sz="0" w:space="0" w:color="auto"/>
            <w:left w:val="none" w:sz="0" w:space="0" w:color="auto"/>
            <w:bottom w:val="none" w:sz="0" w:space="0" w:color="auto"/>
            <w:right w:val="none" w:sz="0" w:space="0" w:color="auto"/>
          </w:divBdr>
        </w:div>
        <w:div w:id="133253999">
          <w:marLeft w:val="274"/>
          <w:marRight w:val="0"/>
          <w:marTop w:val="0"/>
          <w:marBottom w:val="0"/>
          <w:divBdr>
            <w:top w:val="none" w:sz="0" w:space="0" w:color="auto"/>
            <w:left w:val="none" w:sz="0" w:space="0" w:color="auto"/>
            <w:bottom w:val="none" w:sz="0" w:space="0" w:color="auto"/>
            <w:right w:val="none" w:sz="0" w:space="0" w:color="auto"/>
          </w:divBdr>
        </w:div>
        <w:div w:id="1613130715">
          <w:marLeft w:val="274"/>
          <w:marRight w:val="0"/>
          <w:marTop w:val="0"/>
          <w:marBottom w:val="0"/>
          <w:divBdr>
            <w:top w:val="none" w:sz="0" w:space="0" w:color="auto"/>
            <w:left w:val="none" w:sz="0" w:space="0" w:color="auto"/>
            <w:bottom w:val="none" w:sz="0" w:space="0" w:color="auto"/>
            <w:right w:val="none" w:sz="0" w:space="0" w:color="auto"/>
          </w:divBdr>
        </w:div>
        <w:div w:id="1929389990">
          <w:marLeft w:val="274"/>
          <w:marRight w:val="0"/>
          <w:marTop w:val="0"/>
          <w:marBottom w:val="0"/>
          <w:divBdr>
            <w:top w:val="none" w:sz="0" w:space="0" w:color="auto"/>
            <w:left w:val="none" w:sz="0" w:space="0" w:color="auto"/>
            <w:bottom w:val="none" w:sz="0" w:space="0" w:color="auto"/>
            <w:right w:val="none" w:sz="0" w:space="0" w:color="auto"/>
          </w:divBdr>
        </w:div>
      </w:divsChild>
    </w:div>
    <w:div w:id="204997710">
      <w:bodyDiv w:val="1"/>
      <w:marLeft w:val="0"/>
      <w:marRight w:val="0"/>
      <w:marTop w:val="0"/>
      <w:marBottom w:val="0"/>
      <w:divBdr>
        <w:top w:val="none" w:sz="0" w:space="0" w:color="auto"/>
        <w:left w:val="none" w:sz="0" w:space="0" w:color="auto"/>
        <w:bottom w:val="none" w:sz="0" w:space="0" w:color="auto"/>
        <w:right w:val="none" w:sz="0" w:space="0" w:color="auto"/>
      </w:divBdr>
    </w:div>
    <w:div w:id="227307789">
      <w:bodyDiv w:val="1"/>
      <w:marLeft w:val="0"/>
      <w:marRight w:val="0"/>
      <w:marTop w:val="0"/>
      <w:marBottom w:val="0"/>
      <w:divBdr>
        <w:top w:val="none" w:sz="0" w:space="0" w:color="auto"/>
        <w:left w:val="none" w:sz="0" w:space="0" w:color="auto"/>
        <w:bottom w:val="none" w:sz="0" w:space="0" w:color="auto"/>
        <w:right w:val="none" w:sz="0" w:space="0" w:color="auto"/>
      </w:divBdr>
    </w:div>
    <w:div w:id="232349370">
      <w:bodyDiv w:val="1"/>
      <w:marLeft w:val="0"/>
      <w:marRight w:val="0"/>
      <w:marTop w:val="0"/>
      <w:marBottom w:val="0"/>
      <w:divBdr>
        <w:top w:val="none" w:sz="0" w:space="0" w:color="auto"/>
        <w:left w:val="none" w:sz="0" w:space="0" w:color="auto"/>
        <w:bottom w:val="none" w:sz="0" w:space="0" w:color="auto"/>
        <w:right w:val="none" w:sz="0" w:space="0" w:color="auto"/>
      </w:divBdr>
    </w:div>
    <w:div w:id="279801752">
      <w:bodyDiv w:val="1"/>
      <w:marLeft w:val="0"/>
      <w:marRight w:val="0"/>
      <w:marTop w:val="0"/>
      <w:marBottom w:val="0"/>
      <w:divBdr>
        <w:top w:val="none" w:sz="0" w:space="0" w:color="auto"/>
        <w:left w:val="none" w:sz="0" w:space="0" w:color="auto"/>
        <w:bottom w:val="none" w:sz="0" w:space="0" w:color="auto"/>
        <w:right w:val="none" w:sz="0" w:space="0" w:color="auto"/>
      </w:divBdr>
    </w:div>
    <w:div w:id="298463384">
      <w:bodyDiv w:val="1"/>
      <w:marLeft w:val="0"/>
      <w:marRight w:val="0"/>
      <w:marTop w:val="0"/>
      <w:marBottom w:val="0"/>
      <w:divBdr>
        <w:top w:val="none" w:sz="0" w:space="0" w:color="auto"/>
        <w:left w:val="none" w:sz="0" w:space="0" w:color="auto"/>
        <w:bottom w:val="none" w:sz="0" w:space="0" w:color="auto"/>
        <w:right w:val="none" w:sz="0" w:space="0" w:color="auto"/>
      </w:divBdr>
    </w:div>
    <w:div w:id="303900201">
      <w:bodyDiv w:val="1"/>
      <w:marLeft w:val="0"/>
      <w:marRight w:val="0"/>
      <w:marTop w:val="0"/>
      <w:marBottom w:val="0"/>
      <w:divBdr>
        <w:top w:val="none" w:sz="0" w:space="0" w:color="auto"/>
        <w:left w:val="none" w:sz="0" w:space="0" w:color="auto"/>
        <w:bottom w:val="none" w:sz="0" w:space="0" w:color="auto"/>
        <w:right w:val="none" w:sz="0" w:space="0" w:color="auto"/>
      </w:divBdr>
    </w:div>
    <w:div w:id="304088809">
      <w:bodyDiv w:val="1"/>
      <w:marLeft w:val="0"/>
      <w:marRight w:val="0"/>
      <w:marTop w:val="0"/>
      <w:marBottom w:val="0"/>
      <w:divBdr>
        <w:top w:val="none" w:sz="0" w:space="0" w:color="auto"/>
        <w:left w:val="none" w:sz="0" w:space="0" w:color="auto"/>
        <w:bottom w:val="none" w:sz="0" w:space="0" w:color="auto"/>
        <w:right w:val="none" w:sz="0" w:space="0" w:color="auto"/>
      </w:divBdr>
      <w:divsChild>
        <w:div w:id="189533592">
          <w:marLeft w:val="0"/>
          <w:marRight w:val="0"/>
          <w:marTop w:val="0"/>
          <w:marBottom w:val="0"/>
          <w:divBdr>
            <w:top w:val="none" w:sz="0" w:space="0" w:color="auto"/>
            <w:left w:val="none" w:sz="0" w:space="0" w:color="auto"/>
            <w:bottom w:val="none" w:sz="0" w:space="0" w:color="auto"/>
            <w:right w:val="none" w:sz="0" w:space="0" w:color="auto"/>
          </w:divBdr>
        </w:div>
        <w:div w:id="777871195">
          <w:marLeft w:val="0"/>
          <w:marRight w:val="0"/>
          <w:marTop w:val="0"/>
          <w:marBottom w:val="0"/>
          <w:divBdr>
            <w:top w:val="none" w:sz="0" w:space="0" w:color="auto"/>
            <w:left w:val="none" w:sz="0" w:space="0" w:color="auto"/>
            <w:bottom w:val="none" w:sz="0" w:space="0" w:color="auto"/>
            <w:right w:val="none" w:sz="0" w:space="0" w:color="auto"/>
          </w:divBdr>
        </w:div>
        <w:div w:id="924458373">
          <w:marLeft w:val="0"/>
          <w:marRight w:val="0"/>
          <w:marTop w:val="0"/>
          <w:marBottom w:val="0"/>
          <w:divBdr>
            <w:top w:val="none" w:sz="0" w:space="0" w:color="auto"/>
            <w:left w:val="none" w:sz="0" w:space="0" w:color="auto"/>
            <w:bottom w:val="none" w:sz="0" w:space="0" w:color="auto"/>
            <w:right w:val="none" w:sz="0" w:space="0" w:color="auto"/>
          </w:divBdr>
        </w:div>
        <w:div w:id="1084373681">
          <w:marLeft w:val="0"/>
          <w:marRight w:val="0"/>
          <w:marTop w:val="0"/>
          <w:marBottom w:val="0"/>
          <w:divBdr>
            <w:top w:val="none" w:sz="0" w:space="0" w:color="auto"/>
            <w:left w:val="none" w:sz="0" w:space="0" w:color="auto"/>
            <w:bottom w:val="none" w:sz="0" w:space="0" w:color="auto"/>
            <w:right w:val="none" w:sz="0" w:space="0" w:color="auto"/>
          </w:divBdr>
        </w:div>
        <w:div w:id="1654211196">
          <w:marLeft w:val="0"/>
          <w:marRight w:val="0"/>
          <w:marTop w:val="0"/>
          <w:marBottom w:val="0"/>
          <w:divBdr>
            <w:top w:val="none" w:sz="0" w:space="0" w:color="auto"/>
            <w:left w:val="none" w:sz="0" w:space="0" w:color="auto"/>
            <w:bottom w:val="none" w:sz="0" w:space="0" w:color="auto"/>
            <w:right w:val="none" w:sz="0" w:space="0" w:color="auto"/>
          </w:divBdr>
        </w:div>
        <w:div w:id="1829243044">
          <w:marLeft w:val="0"/>
          <w:marRight w:val="0"/>
          <w:marTop w:val="0"/>
          <w:marBottom w:val="0"/>
          <w:divBdr>
            <w:top w:val="none" w:sz="0" w:space="0" w:color="auto"/>
            <w:left w:val="none" w:sz="0" w:space="0" w:color="auto"/>
            <w:bottom w:val="none" w:sz="0" w:space="0" w:color="auto"/>
            <w:right w:val="none" w:sz="0" w:space="0" w:color="auto"/>
          </w:divBdr>
        </w:div>
        <w:div w:id="2146893916">
          <w:marLeft w:val="0"/>
          <w:marRight w:val="0"/>
          <w:marTop w:val="0"/>
          <w:marBottom w:val="0"/>
          <w:divBdr>
            <w:top w:val="none" w:sz="0" w:space="0" w:color="auto"/>
            <w:left w:val="none" w:sz="0" w:space="0" w:color="auto"/>
            <w:bottom w:val="none" w:sz="0" w:space="0" w:color="auto"/>
            <w:right w:val="none" w:sz="0" w:space="0" w:color="auto"/>
          </w:divBdr>
        </w:div>
      </w:divsChild>
    </w:div>
    <w:div w:id="309139265">
      <w:bodyDiv w:val="1"/>
      <w:marLeft w:val="0"/>
      <w:marRight w:val="0"/>
      <w:marTop w:val="0"/>
      <w:marBottom w:val="0"/>
      <w:divBdr>
        <w:top w:val="none" w:sz="0" w:space="0" w:color="auto"/>
        <w:left w:val="none" w:sz="0" w:space="0" w:color="auto"/>
        <w:bottom w:val="none" w:sz="0" w:space="0" w:color="auto"/>
        <w:right w:val="none" w:sz="0" w:space="0" w:color="auto"/>
      </w:divBdr>
      <w:divsChild>
        <w:div w:id="1781990297">
          <w:marLeft w:val="0"/>
          <w:marRight w:val="0"/>
          <w:marTop w:val="0"/>
          <w:marBottom w:val="0"/>
          <w:divBdr>
            <w:top w:val="none" w:sz="0" w:space="0" w:color="auto"/>
            <w:left w:val="none" w:sz="0" w:space="0" w:color="auto"/>
            <w:bottom w:val="none" w:sz="0" w:space="0" w:color="auto"/>
            <w:right w:val="none" w:sz="0" w:space="0" w:color="auto"/>
          </w:divBdr>
        </w:div>
      </w:divsChild>
    </w:div>
    <w:div w:id="351148653">
      <w:bodyDiv w:val="1"/>
      <w:marLeft w:val="0"/>
      <w:marRight w:val="0"/>
      <w:marTop w:val="0"/>
      <w:marBottom w:val="0"/>
      <w:divBdr>
        <w:top w:val="none" w:sz="0" w:space="0" w:color="auto"/>
        <w:left w:val="none" w:sz="0" w:space="0" w:color="auto"/>
        <w:bottom w:val="none" w:sz="0" w:space="0" w:color="auto"/>
        <w:right w:val="none" w:sz="0" w:space="0" w:color="auto"/>
      </w:divBdr>
    </w:div>
    <w:div w:id="393814399">
      <w:bodyDiv w:val="1"/>
      <w:marLeft w:val="0"/>
      <w:marRight w:val="0"/>
      <w:marTop w:val="0"/>
      <w:marBottom w:val="0"/>
      <w:divBdr>
        <w:top w:val="none" w:sz="0" w:space="0" w:color="auto"/>
        <w:left w:val="none" w:sz="0" w:space="0" w:color="auto"/>
        <w:bottom w:val="none" w:sz="0" w:space="0" w:color="auto"/>
        <w:right w:val="none" w:sz="0" w:space="0" w:color="auto"/>
      </w:divBdr>
      <w:divsChild>
        <w:div w:id="629095886">
          <w:marLeft w:val="0"/>
          <w:marRight w:val="0"/>
          <w:marTop w:val="0"/>
          <w:marBottom w:val="0"/>
          <w:divBdr>
            <w:top w:val="none" w:sz="0" w:space="0" w:color="auto"/>
            <w:left w:val="none" w:sz="0" w:space="0" w:color="auto"/>
            <w:bottom w:val="none" w:sz="0" w:space="0" w:color="auto"/>
            <w:right w:val="none" w:sz="0" w:space="0" w:color="auto"/>
          </w:divBdr>
        </w:div>
      </w:divsChild>
    </w:div>
    <w:div w:id="436290121">
      <w:bodyDiv w:val="1"/>
      <w:marLeft w:val="0"/>
      <w:marRight w:val="0"/>
      <w:marTop w:val="0"/>
      <w:marBottom w:val="0"/>
      <w:divBdr>
        <w:top w:val="none" w:sz="0" w:space="0" w:color="auto"/>
        <w:left w:val="none" w:sz="0" w:space="0" w:color="auto"/>
        <w:bottom w:val="none" w:sz="0" w:space="0" w:color="auto"/>
        <w:right w:val="none" w:sz="0" w:space="0" w:color="auto"/>
      </w:divBdr>
    </w:div>
    <w:div w:id="464397985">
      <w:bodyDiv w:val="1"/>
      <w:marLeft w:val="0"/>
      <w:marRight w:val="0"/>
      <w:marTop w:val="0"/>
      <w:marBottom w:val="0"/>
      <w:divBdr>
        <w:top w:val="none" w:sz="0" w:space="0" w:color="auto"/>
        <w:left w:val="none" w:sz="0" w:space="0" w:color="auto"/>
        <w:bottom w:val="none" w:sz="0" w:space="0" w:color="auto"/>
        <w:right w:val="none" w:sz="0" w:space="0" w:color="auto"/>
      </w:divBdr>
    </w:div>
    <w:div w:id="470901918">
      <w:bodyDiv w:val="1"/>
      <w:marLeft w:val="0"/>
      <w:marRight w:val="0"/>
      <w:marTop w:val="0"/>
      <w:marBottom w:val="0"/>
      <w:divBdr>
        <w:top w:val="none" w:sz="0" w:space="0" w:color="auto"/>
        <w:left w:val="none" w:sz="0" w:space="0" w:color="auto"/>
        <w:bottom w:val="none" w:sz="0" w:space="0" w:color="auto"/>
        <w:right w:val="none" w:sz="0" w:space="0" w:color="auto"/>
      </w:divBdr>
    </w:div>
    <w:div w:id="478696585">
      <w:bodyDiv w:val="1"/>
      <w:marLeft w:val="0"/>
      <w:marRight w:val="0"/>
      <w:marTop w:val="0"/>
      <w:marBottom w:val="0"/>
      <w:divBdr>
        <w:top w:val="none" w:sz="0" w:space="0" w:color="auto"/>
        <w:left w:val="none" w:sz="0" w:space="0" w:color="auto"/>
        <w:bottom w:val="none" w:sz="0" w:space="0" w:color="auto"/>
        <w:right w:val="none" w:sz="0" w:space="0" w:color="auto"/>
      </w:divBdr>
    </w:div>
    <w:div w:id="533805903">
      <w:bodyDiv w:val="1"/>
      <w:marLeft w:val="0"/>
      <w:marRight w:val="0"/>
      <w:marTop w:val="0"/>
      <w:marBottom w:val="0"/>
      <w:divBdr>
        <w:top w:val="none" w:sz="0" w:space="0" w:color="auto"/>
        <w:left w:val="none" w:sz="0" w:space="0" w:color="auto"/>
        <w:bottom w:val="none" w:sz="0" w:space="0" w:color="auto"/>
        <w:right w:val="none" w:sz="0" w:space="0" w:color="auto"/>
      </w:divBdr>
      <w:divsChild>
        <w:div w:id="91052470">
          <w:marLeft w:val="0"/>
          <w:marRight w:val="0"/>
          <w:marTop w:val="0"/>
          <w:marBottom w:val="0"/>
          <w:divBdr>
            <w:top w:val="none" w:sz="0" w:space="0" w:color="auto"/>
            <w:left w:val="none" w:sz="0" w:space="0" w:color="auto"/>
            <w:bottom w:val="none" w:sz="0" w:space="0" w:color="auto"/>
            <w:right w:val="none" w:sz="0" w:space="0" w:color="auto"/>
          </w:divBdr>
        </w:div>
        <w:div w:id="122386618">
          <w:marLeft w:val="0"/>
          <w:marRight w:val="0"/>
          <w:marTop w:val="0"/>
          <w:marBottom w:val="0"/>
          <w:divBdr>
            <w:top w:val="none" w:sz="0" w:space="0" w:color="auto"/>
            <w:left w:val="none" w:sz="0" w:space="0" w:color="auto"/>
            <w:bottom w:val="none" w:sz="0" w:space="0" w:color="auto"/>
            <w:right w:val="none" w:sz="0" w:space="0" w:color="auto"/>
          </w:divBdr>
        </w:div>
        <w:div w:id="148862861">
          <w:marLeft w:val="0"/>
          <w:marRight w:val="0"/>
          <w:marTop w:val="0"/>
          <w:marBottom w:val="0"/>
          <w:divBdr>
            <w:top w:val="none" w:sz="0" w:space="0" w:color="auto"/>
            <w:left w:val="none" w:sz="0" w:space="0" w:color="auto"/>
            <w:bottom w:val="none" w:sz="0" w:space="0" w:color="auto"/>
            <w:right w:val="none" w:sz="0" w:space="0" w:color="auto"/>
          </w:divBdr>
        </w:div>
        <w:div w:id="184752101">
          <w:marLeft w:val="0"/>
          <w:marRight w:val="0"/>
          <w:marTop w:val="0"/>
          <w:marBottom w:val="0"/>
          <w:divBdr>
            <w:top w:val="none" w:sz="0" w:space="0" w:color="auto"/>
            <w:left w:val="none" w:sz="0" w:space="0" w:color="auto"/>
            <w:bottom w:val="none" w:sz="0" w:space="0" w:color="auto"/>
            <w:right w:val="none" w:sz="0" w:space="0" w:color="auto"/>
          </w:divBdr>
        </w:div>
        <w:div w:id="190923013">
          <w:marLeft w:val="0"/>
          <w:marRight w:val="0"/>
          <w:marTop w:val="0"/>
          <w:marBottom w:val="0"/>
          <w:divBdr>
            <w:top w:val="none" w:sz="0" w:space="0" w:color="auto"/>
            <w:left w:val="none" w:sz="0" w:space="0" w:color="auto"/>
            <w:bottom w:val="none" w:sz="0" w:space="0" w:color="auto"/>
            <w:right w:val="none" w:sz="0" w:space="0" w:color="auto"/>
          </w:divBdr>
        </w:div>
        <w:div w:id="277375715">
          <w:marLeft w:val="0"/>
          <w:marRight w:val="0"/>
          <w:marTop w:val="0"/>
          <w:marBottom w:val="0"/>
          <w:divBdr>
            <w:top w:val="none" w:sz="0" w:space="0" w:color="auto"/>
            <w:left w:val="none" w:sz="0" w:space="0" w:color="auto"/>
            <w:bottom w:val="none" w:sz="0" w:space="0" w:color="auto"/>
            <w:right w:val="none" w:sz="0" w:space="0" w:color="auto"/>
          </w:divBdr>
        </w:div>
        <w:div w:id="309332158">
          <w:marLeft w:val="0"/>
          <w:marRight w:val="0"/>
          <w:marTop w:val="0"/>
          <w:marBottom w:val="0"/>
          <w:divBdr>
            <w:top w:val="none" w:sz="0" w:space="0" w:color="auto"/>
            <w:left w:val="none" w:sz="0" w:space="0" w:color="auto"/>
            <w:bottom w:val="none" w:sz="0" w:space="0" w:color="auto"/>
            <w:right w:val="none" w:sz="0" w:space="0" w:color="auto"/>
          </w:divBdr>
        </w:div>
        <w:div w:id="410663394">
          <w:marLeft w:val="0"/>
          <w:marRight w:val="0"/>
          <w:marTop w:val="0"/>
          <w:marBottom w:val="0"/>
          <w:divBdr>
            <w:top w:val="none" w:sz="0" w:space="0" w:color="auto"/>
            <w:left w:val="none" w:sz="0" w:space="0" w:color="auto"/>
            <w:bottom w:val="none" w:sz="0" w:space="0" w:color="auto"/>
            <w:right w:val="none" w:sz="0" w:space="0" w:color="auto"/>
          </w:divBdr>
        </w:div>
        <w:div w:id="414740625">
          <w:marLeft w:val="0"/>
          <w:marRight w:val="0"/>
          <w:marTop w:val="0"/>
          <w:marBottom w:val="0"/>
          <w:divBdr>
            <w:top w:val="none" w:sz="0" w:space="0" w:color="auto"/>
            <w:left w:val="none" w:sz="0" w:space="0" w:color="auto"/>
            <w:bottom w:val="none" w:sz="0" w:space="0" w:color="auto"/>
            <w:right w:val="none" w:sz="0" w:space="0" w:color="auto"/>
          </w:divBdr>
        </w:div>
        <w:div w:id="472328641">
          <w:marLeft w:val="0"/>
          <w:marRight w:val="0"/>
          <w:marTop w:val="0"/>
          <w:marBottom w:val="0"/>
          <w:divBdr>
            <w:top w:val="none" w:sz="0" w:space="0" w:color="auto"/>
            <w:left w:val="none" w:sz="0" w:space="0" w:color="auto"/>
            <w:bottom w:val="none" w:sz="0" w:space="0" w:color="auto"/>
            <w:right w:val="none" w:sz="0" w:space="0" w:color="auto"/>
          </w:divBdr>
        </w:div>
        <w:div w:id="485363351">
          <w:marLeft w:val="0"/>
          <w:marRight w:val="0"/>
          <w:marTop w:val="0"/>
          <w:marBottom w:val="0"/>
          <w:divBdr>
            <w:top w:val="none" w:sz="0" w:space="0" w:color="auto"/>
            <w:left w:val="none" w:sz="0" w:space="0" w:color="auto"/>
            <w:bottom w:val="none" w:sz="0" w:space="0" w:color="auto"/>
            <w:right w:val="none" w:sz="0" w:space="0" w:color="auto"/>
          </w:divBdr>
        </w:div>
        <w:div w:id="529102083">
          <w:marLeft w:val="0"/>
          <w:marRight w:val="0"/>
          <w:marTop w:val="0"/>
          <w:marBottom w:val="0"/>
          <w:divBdr>
            <w:top w:val="none" w:sz="0" w:space="0" w:color="auto"/>
            <w:left w:val="none" w:sz="0" w:space="0" w:color="auto"/>
            <w:bottom w:val="none" w:sz="0" w:space="0" w:color="auto"/>
            <w:right w:val="none" w:sz="0" w:space="0" w:color="auto"/>
          </w:divBdr>
        </w:div>
        <w:div w:id="595671416">
          <w:marLeft w:val="0"/>
          <w:marRight w:val="0"/>
          <w:marTop w:val="0"/>
          <w:marBottom w:val="0"/>
          <w:divBdr>
            <w:top w:val="none" w:sz="0" w:space="0" w:color="auto"/>
            <w:left w:val="none" w:sz="0" w:space="0" w:color="auto"/>
            <w:bottom w:val="none" w:sz="0" w:space="0" w:color="auto"/>
            <w:right w:val="none" w:sz="0" w:space="0" w:color="auto"/>
          </w:divBdr>
        </w:div>
        <w:div w:id="601497405">
          <w:marLeft w:val="0"/>
          <w:marRight w:val="0"/>
          <w:marTop w:val="0"/>
          <w:marBottom w:val="0"/>
          <w:divBdr>
            <w:top w:val="none" w:sz="0" w:space="0" w:color="auto"/>
            <w:left w:val="none" w:sz="0" w:space="0" w:color="auto"/>
            <w:bottom w:val="none" w:sz="0" w:space="0" w:color="auto"/>
            <w:right w:val="none" w:sz="0" w:space="0" w:color="auto"/>
          </w:divBdr>
        </w:div>
        <w:div w:id="606159605">
          <w:marLeft w:val="0"/>
          <w:marRight w:val="0"/>
          <w:marTop w:val="0"/>
          <w:marBottom w:val="0"/>
          <w:divBdr>
            <w:top w:val="none" w:sz="0" w:space="0" w:color="auto"/>
            <w:left w:val="none" w:sz="0" w:space="0" w:color="auto"/>
            <w:bottom w:val="none" w:sz="0" w:space="0" w:color="auto"/>
            <w:right w:val="none" w:sz="0" w:space="0" w:color="auto"/>
          </w:divBdr>
        </w:div>
        <w:div w:id="629701907">
          <w:marLeft w:val="-75"/>
          <w:marRight w:val="0"/>
          <w:marTop w:val="30"/>
          <w:marBottom w:val="30"/>
          <w:divBdr>
            <w:top w:val="none" w:sz="0" w:space="0" w:color="auto"/>
            <w:left w:val="none" w:sz="0" w:space="0" w:color="auto"/>
            <w:bottom w:val="none" w:sz="0" w:space="0" w:color="auto"/>
            <w:right w:val="none" w:sz="0" w:space="0" w:color="auto"/>
          </w:divBdr>
          <w:divsChild>
            <w:div w:id="28334370">
              <w:marLeft w:val="0"/>
              <w:marRight w:val="0"/>
              <w:marTop w:val="0"/>
              <w:marBottom w:val="0"/>
              <w:divBdr>
                <w:top w:val="none" w:sz="0" w:space="0" w:color="auto"/>
                <w:left w:val="none" w:sz="0" w:space="0" w:color="auto"/>
                <w:bottom w:val="none" w:sz="0" w:space="0" w:color="auto"/>
                <w:right w:val="none" w:sz="0" w:space="0" w:color="auto"/>
              </w:divBdr>
              <w:divsChild>
                <w:div w:id="1929803200">
                  <w:marLeft w:val="0"/>
                  <w:marRight w:val="0"/>
                  <w:marTop w:val="0"/>
                  <w:marBottom w:val="0"/>
                  <w:divBdr>
                    <w:top w:val="none" w:sz="0" w:space="0" w:color="auto"/>
                    <w:left w:val="none" w:sz="0" w:space="0" w:color="auto"/>
                    <w:bottom w:val="none" w:sz="0" w:space="0" w:color="auto"/>
                    <w:right w:val="none" w:sz="0" w:space="0" w:color="auto"/>
                  </w:divBdr>
                </w:div>
              </w:divsChild>
            </w:div>
            <w:div w:id="62340648">
              <w:marLeft w:val="0"/>
              <w:marRight w:val="0"/>
              <w:marTop w:val="0"/>
              <w:marBottom w:val="0"/>
              <w:divBdr>
                <w:top w:val="none" w:sz="0" w:space="0" w:color="auto"/>
                <w:left w:val="none" w:sz="0" w:space="0" w:color="auto"/>
                <w:bottom w:val="none" w:sz="0" w:space="0" w:color="auto"/>
                <w:right w:val="none" w:sz="0" w:space="0" w:color="auto"/>
              </w:divBdr>
              <w:divsChild>
                <w:div w:id="1662734215">
                  <w:marLeft w:val="0"/>
                  <w:marRight w:val="0"/>
                  <w:marTop w:val="0"/>
                  <w:marBottom w:val="0"/>
                  <w:divBdr>
                    <w:top w:val="none" w:sz="0" w:space="0" w:color="auto"/>
                    <w:left w:val="none" w:sz="0" w:space="0" w:color="auto"/>
                    <w:bottom w:val="none" w:sz="0" w:space="0" w:color="auto"/>
                    <w:right w:val="none" w:sz="0" w:space="0" w:color="auto"/>
                  </w:divBdr>
                </w:div>
              </w:divsChild>
            </w:div>
            <w:div w:id="166289063">
              <w:marLeft w:val="0"/>
              <w:marRight w:val="0"/>
              <w:marTop w:val="0"/>
              <w:marBottom w:val="0"/>
              <w:divBdr>
                <w:top w:val="none" w:sz="0" w:space="0" w:color="auto"/>
                <w:left w:val="none" w:sz="0" w:space="0" w:color="auto"/>
                <w:bottom w:val="none" w:sz="0" w:space="0" w:color="auto"/>
                <w:right w:val="none" w:sz="0" w:space="0" w:color="auto"/>
              </w:divBdr>
              <w:divsChild>
                <w:div w:id="426771089">
                  <w:marLeft w:val="0"/>
                  <w:marRight w:val="0"/>
                  <w:marTop w:val="0"/>
                  <w:marBottom w:val="0"/>
                  <w:divBdr>
                    <w:top w:val="none" w:sz="0" w:space="0" w:color="auto"/>
                    <w:left w:val="none" w:sz="0" w:space="0" w:color="auto"/>
                    <w:bottom w:val="none" w:sz="0" w:space="0" w:color="auto"/>
                    <w:right w:val="none" w:sz="0" w:space="0" w:color="auto"/>
                  </w:divBdr>
                </w:div>
              </w:divsChild>
            </w:div>
            <w:div w:id="241840287">
              <w:marLeft w:val="0"/>
              <w:marRight w:val="0"/>
              <w:marTop w:val="0"/>
              <w:marBottom w:val="0"/>
              <w:divBdr>
                <w:top w:val="none" w:sz="0" w:space="0" w:color="auto"/>
                <w:left w:val="none" w:sz="0" w:space="0" w:color="auto"/>
                <w:bottom w:val="none" w:sz="0" w:space="0" w:color="auto"/>
                <w:right w:val="none" w:sz="0" w:space="0" w:color="auto"/>
              </w:divBdr>
              <w:divsChild>
                <w:div w:id="1110049779">
                  <w:marLeft w:val="0"/>
                  <w:marRight w:val="0"/>
                  <w:marTop w:val="0"/>
                  <w:marBottom w:val="0"/>
                  <w:divBdr>
                    <w:top w:val="none" w:sz="0" w:space="0" w:color="auto"/>
                    <w:left w:val="none" w:sz="0" w:space="0" w:color="auto"/>
                    <w:bottom w:val="none" w:sz="0" w:space="0" w:color="auto"/>
                    <w:right w:val="none" w:sz="0" w:space="0" w:color="auto"/>
                  </w:divBdr>
                </w:div>
              </w:divsChild>
            </w:div>
            <w:div w:id="254480168">
              <w:marLeft w:val="0"/>
              <w:marRight w:val="0"/>
              <w:marTop w:val="0"/>
              <w:marBottom w:val="0"/>
              <w:divBdr>
                <w:top w:val="none" w:sz="0" w:space="0" w:color="auto"/>
                <w:left w:val="none" w:sz="0" w:space="0" w:color="auto"/>
                <w:bottom w:val="none" w:sz="0" w:space="0" w:color="auto"/>
                <w:right w:val="none" w:sz="0" w:space="0" w:color="auto"/>
              </w:divBdr>
              <w:divsChild>
                <w:div w:id="1308434615">
                  <w:marLeft w:val="0"/>
                  <w:marRight w:val="0"/>
                  <w:marTop w:val="0"/>
                  <w:marBottom w:val="0"/>
                  <w:divBdr>
                    <w:top w:val="none" w:sz="0" w:space="0" w:color="auto"/>
                    <w:left w:val="none" w:sz="0" w:space="0" w:color="auto"/>
                    <w:bottom w:val="none" w:sz="0" w:space="0" w:color="auto"/>
                    <w:right w:val="none" w:sz="0" w:space="0" w:color="auto"/>
                  </w:divBdr>
                </w:div>
              </w:divsChild>
            </w:div>
            <w:div w:id="347416011">
              <w:marLeft w:val="0"/>
              <w:marRight w:val="0"/>
              <w:marTop w:val="0"/>
              <w:marBottom w:val="0"/>
              <w:divBdr>
                <w:top w:val="none" w:sz="0" w:space="0" w:color="auto"/>
                <w:left w:val="none" w:sz="0" w:space="0" w:color="auto"/>
                <w:bottom w:val="none" w:sz="0" w:space="0" w:color="auto"/>
                <w:right w:val="none" w:sz="0" w:space="0" w:color="auto"/>
              </w:divBdr>
              <w:divsChild>
                <w:div w:id="675234701">
                  <w:marLeft w:val="0"/>
                  <w:marRight w:val="0"/>
                  <w:marTop w:val="0"/>
                  <w:marBottom w:val="0"/>
                  <w:divBdr>
                    <w:top w:val="none" w:sz="0" w:space="0" w:color="auto"/>
                    <w:left w:val="none" w:sz="0" w:space="0" w:color="auto"/>
                    <w:bottom w:val="none" w:sz="0" w:space="0" w:color="auto"/>
                    <w:right w:val="none" w:sz="0" w:space="0" w:color="auto"/>
                  </w:divBdr>
                </w:div>
              </w:divsChild>
            </w:div>
            <w:div w:id="467017248">
              <w:marLeft w:val="0"/>
              <w:marRight w:val="0"/>
              <w:marTop w:val="0"/>
              <w:marBottom w:val="0"/>
              <w:divBdr>
                <w:top w:val="none" w:sz="0" w:space="0" w:color="auto"/>
                <w:left w:val="none" w:sz="0" w:space="0" w:color="auto"/>
                <w:bottom w:val="none" w:sz="0" w:space="0" w:color="auto"/>
                <w:right w:val="none" w:sz="0" w:space="0" w:color="auto"/>
              </w:divBdr>
              <w:divsChild>
                <w:div w:id="935669607">
                  <w:marLeft w:val="0"/>
                  <w:marRight w:val="0"/>
                  <w:marTop w:val="0"/>
                  <w:marBottom w:val="0"/>
                  <w:divBdr>
                    <w:top w:val="none" w:sz="0" w:space="0" w:color="auto"/>
                    <w:left w:val="none" w:sz="0" w:space="0" w:color="auto"/>
                    <w:bottom w:val="none" w:sz="0" w:space="0" w:color="auto"/>
                    <w:right w:val="none" w:sz="0" w:space="0" w:color="auto"/>
                  </w:divBdr>
                </w:div>
              </w:divsChild>
            </w:div>
            <w:div w:id="494687073">
              <w:marLeft w:val="0"/>
              <w:marRight w:val="0"/>
              <w:marTop w:val="0"/>
              <w:marBottom w:val="0"/>
              <w:divBdr>
                <w:top w:val="none" w:sz="0" w:space="0" w:color="auto"/>
                <w:left w:val="none" w:sz="0" w:space="0" w:color="auto"/>
                <w:bottom w:val="none" w:sz="0" w:space="0" w:color="auto"/>
                <w:right w:val="none" w:sz="0" w:space="0" w:color="auto"/>
              </w:divBdr>
              <w:divsChild>
                <w:div w:id="657416396">
                  <w:marLeft w:val="0"/>
                  <w:marRight w:val="0"/>
                  <w:marTop w:val="0"/>
                  <w:marBottom w:val="0"/>
                  <w:divBdr>
                    <w:top w:val="none" w:sz="0" w:space="0" w:color="auto"/>
                    <w:left w:val="none" w:sz="0" w:space="0" w:color="auto"/>
                    <w:bottom w:val="none" w:sz="0" w:space="0" w:color="auto"/>
                    <w:right w:val="none" w:sz="0" w:space="0" w:color="auto"/>
                  </w:divBdr>
                </w:div>
              </w:divsChild>
            </w:div>
            <w:div w:id="500707698">
              <w:marLeft w:val="0"/>
              <w:marRight w:val="0"/>
              <w:marTop w:val="0"/>
              <w:marBottom w:val="0"/>
              <w:divBdr>
                <w:top w:val="none" w:sz="0" w:space="0" w:color="auto"/>
                <w:left w:val="none" w:sz="0" w:space="0" w:color="auto"/>
                <w:bottom w:val="none" w:sz="0" w:space="0" w:color="auto"/>
                <w:right w:val="none" w:sz="0" w:space="0" w:color="auto"/>
              </w:divBdr>
              <w:divsChild>
                <w:div w:id="1760907637">
                  <w:marLeft w:val="0"/>
                  <w:marRight w:val="0"/>
                  <w:marTop w:val="0"/>
                  <w:marBottom w:val="0"/>
                  <w:divBdr>
                    <w:top w:val="none" w:sz="0" w:space="0" w:color="auto"/>
                    <w:left w:val="none" w:sz="0" w:space="0" w:color="auto"/>
                    <w:bottom w:val="none" w:sz="0" w:space="0" w:color="auto"/>
                    <w:right w:val="none" w:sz="0" w:space="0" w:color="auto"/>
                  </w:divBdr>
                </w:div>
              </w:divsChild>
            </w:div>
            <w:div w:id="550309423">
              <w:marLeft w:val="0"/>
              <w:marRight w:val="0"/>
              <w:marTop w:val="0"/>
              <w:marBottom w:val="0"/>
              <w:divBdr>
                <w:top w:val="none" w:sz="0" w:space="0" w:color="auto"/>
                <w:left w:val="none" w:sz="0" w:space="0" w:color="auto"/>
                <w:bottom w:val="none" w:sz="0" w:space="0" w:color="auto"/>
                <w:right w:val="none" w:sz="0" w:space="0" w:color="auto"/>
              </w:divBdr>
              <w:divsChild>
                <w:div w:id="2056807942">
                  <w:marLeft w:val="0"/>
                  <w:marRight w:val="0"/>
                  <w:marTop w:val="0"/>
                  <w:marBottom w:val="0"/>
                  <w:divBdr>
                    <w:top w:val="none" w:sz="0" w:space="0" w:color="auto"/>
                    <w:left w:val="none" w:sz="0" w:space="0" w:color="auto"/>
                    <w:bottom w:val="none" w:sz="0" w:space="0" w:color="auto"/>
                    <w:right w:val="none" w:sz="0" w:space="0" w:color="auto"/>
                  </w:divBdr>
                </w:div>
              </w:divsChild>
            </w:div>
            <w:div w:id="591743079">
              <w:marLeft w:val="0"/>
              <w:marRight w:val="0"/>
              <w:marTop w:val="0"/>
              <w:marBottom w:val="0"/>
              <w:divBdr>
                <w:top w:val="none" w:sz="0" w:space="0" w:color="auto"/>
                <w:left w:val="none" w:sz="0" w:space="0" w:color="auto"/>
                <w:bottom w:val="none" w:sz="0" w:space="0" w:color="auto"/>
                <w:right w:val="none" w:sz="0" w:space="0" w:color="auto"/>
              </w:divBdr>
              <w:divsChild>
                <w:div w:id="1657680570">
                  <w:marLeft w:val="0"/>
                  <w:marRight w:val="0"/>
                  <w:marTop w:val="0"/>
                  <w:marBottom w:val="0"/>
                  <w:divBdr>
                    <w:top w:val="none" w:sz="0" w:space="0" w:color="auto"/>
                    <w:left w:val="none" w:sz="0" w:space="0" w:color="auto"/>
                    <w:bottom w:val="none" w:sz="0" w:space="0" w:color="auto"/>
                    <w:right w:val="none" w:sz="0" w:space="0" w:color="auto"/>
                  </w:divBdr>
                </w:div>
              </w:divsChild>
            </w:div>
            <w:div w:id="656424675">
              <w:marLeft w:val="0"/>
              <w:marRight w:val="0"/>
              <w:marTop w:val="0"/>
              <w:marBottom w:val="0"/>
              <w:divBdr>
                <w:top w:val="none" w:sz="0" w:space="0" w:color="auto"/>
                <w:left w:val="none" w:sz="0" w:space="0" w:color="auto"/>
                <w:bottom w:val="none" w:sz="0" w:space="0" w:color="auto"/>
                <w:right w:val="none" w:sz="0" w:space="0" w:color="auto"/>
              </w:divBdr>
              <w:divsChild>
                <w:div w:id="665976986">
                  <w:marLeft w:val="0"/>
                  <w:marRight w:val="0"/>
                  <w:marTop w:val="0"/>
                  <w:marBottom w:val="0"/>
                  <w:divBdr>
                    <w:top w:val="none" w:sz="0" w:space="0" w:color="auto"/>
                    <w:left w:val="none" w:sz="0" w:space="0" w:color="auto"/>
                    <w:bottom w:val="none" w:sz="0" w:space="0" w:color="auto"/>
                    <w:right w:val="none" w:sz="0" w:space="0" w:color="auto"/>
                  </w:divBdr>
                </w:div>
              </w:divsChild>
            </w:div>
            <w:div w:id="939798706">
              <w:marLeft w:val="0"/>
              <w:marRight w:val="0"/>
              <w:marTop w:val="0"/>
              <w:marBottom w:val="0"/>
              <w:divBdr>
                <w:top w:val="none" w:sz="0" w:space="0" w:color="auto"/>
                <w:left w:val="none" w:sz="0" w:space="0" w:color="auto"/>
                <w:bottom w:val="none" w:sz="0" w:space="0" w:color="auto"/>
                <w:right w:val="none" w:sz="0" w:space="0" w:color="auto"/>
              </w:divBdr>
              <w:divsChild>
                <w:div w:id="419302339">
                  <w:marLeft w:val="0"/>
                  <w:marRight w:val="0"/>
                  <w:marTop w:val="0"/>
                  <w:marBottom w:val="0"/>
                  <w:divBdr>
                    <w:top w:val="none" w:sz="0" w:space="0" w:color="auto"/>
                    <w:left w:val="none" w:sz="0" w:space="0" w:color="auto"/>
                    <w:bottom w:val="none" w:sz="0" w:space="0" w:color="auto"/>
                    <w:right w:val="none" w:sz="0" w:space="0" w:color="auto"/>
                  </w:divBdr>
                </w:div>
              </w:divsChild>
            </w:div>
            <w:div w:id="980771610">
              <w:marLeft w:val="0"/>
              <w:marRight w:val="0"/>
              <w:marTop w:val="0"/>
              <w:marBottom w:val="0"/>
              <w:divBdr>
                <w:top w:val="none" w:sz="0" w:space="0" w:color="auto"/>
                <w:left w:val="none" w:sz="0" w:space="0" w:color="auto"/>
                <w:bottom w:val="none" w:sz="0" w:space="0" w:color="auto"/>
                <w:right w:val="none" w:sz="0" w:space="0" w:color="auto"/>
              </w:divBdr>
              <w:divsChild>
                <w:div w:id="309485232">
                  <w:marLeft w:val="0"/>
                  <w:marRight w:val="0"/>
                  <w:marTop w:val="0"/>
                  <w:marBottom w:val="0"/>
                  <w:divBdr>
                    <w:top w:val="none" w:sz="0" w:space="0" w:color="auto"/>
                    <w:left w:val="none" w:sz="0" w:space="0" w:color="auto"/>
                    <w:bottom w:val="none" w:sz="0" w:space="0" w:color="auto"/>
                    <w:right w:val="none" w:sz="0" w:space="0" w:color="auto"/>
                  </w:divBdr>
                </w:div>
              </w:divsChild>
            </w:div>
            <w:div w:id="1054353546">
              <w:marLeft w:val="0"/>
              <w:marRight w:val="0"/>
              <w:marTop w:val="0"/>
              <w:marBottom w:val="0"/>
              <w:divBdr>
                <w:top w:val="none" w:sz="0" w:space="0" w:color="auto"/>
                <w:left w:val="none" w:sz="0" w:space="0" w:color="auto"/>
                <w:bottom w:val="none" w:sz="0" w:space="0" w:color="auto"/>
                <w:right w:val="none" w:sz="0" w:space="0" w:color="auto"/>
              </w:divBdr>
              <w:divsChild>
                <w:div w:id="214896980">
                  <w:marLeft w:val="0"/>
                  <w:marRight w:val="0"/>
                  <w:marTop w:val="0"/>
                  <w:marBottom w:val="0"/>
                  <w:divBdr>
                    <w:top w:val="none" w:sz="0" w:space="0" w:color="auto"/>
                    <w:left w:val="none" w:sz="0" w:space="0" w:color="auto"/>
                    <w:bottom w:val="none" w:sz="0" w:space="0" w:color="auto"/>
                    <w:right w:val="none" w:sz="0" w:space="0" w:color="auto"/>
                  </w:divBdr>
                </w:div>
              </w:divsChild>
            </w:div>
            <w:div w:id="1069232759">
              <w:marLeft w:val="0"/>
              <w:marRight w:val="0"/>
              <w:marTop w:val="0"/>
              <w:marBottom w:val="0"/>
              <w:divBdr>
                <w:top w:val="none" w:sz="0" w:space="0" w:color="auto"/>
                <w:left w:val="none" w:sz="0" w:space="0" w:color="auto"/>
                <w:bottom w:val="none" w:sz="0" w:space="0" w:color="auto"/>
                <w:right w:val="none" w:sz="0" w:space="0" w:color="auto"/>
              </w:divBdr>
              <w:divsChild>
                <w:div w:id="1863979351">
                  <w:marLeft w:val="0"/>
                  <w:marRight w:val="0"/>
                  <w:marTop w:val="0"/>
                  <w:marBottom w:val="0"/>
                  <w:divBdr>
                    <w:top w:val="none" w:sz="0" w:space="0" w:color="auto"/>
                    <w:left w:val="none" w:sz="0" w:space="0" w:color="auto"/>
                    <w:bottom w:val="none" w:sz="0" w:space="0" w:color="auto"/>
                    <w:right w:val="none" w:sz="0" w:space="0" w:color="auto"/>
                  </w:divBdr>
                </w:div>
              </w:divsChild>
            </w:div>
            <w:div w:id="1084765035">
              <w:marLeft w:val="0"/>
              <w:marRight w:val="0"/>
              <w:marTop w:val="0"/>
              <w:marBottom w:val="0"/>
              <w:divBdr>
                <w:top w:val="none" w:sz="0" w:space="0" w:color="auto"/>
                <w:left w:val="none" w:sz="0" w:space="0" w:color="auto"/>
                <w:bottom w:val="none" w:sz="0" w:space="0" w:color="auto"/>
                <w:right w:val="none" w:sz="0" w:space="0" w:color="auto"/>
              </w:divBdr>
              <w:divsChild>
                <w:div w:id="144471583">
                  <w:marLeft w:val="0"/>
                  <w:marRight w:val="0"/>
                  <w:marTop w:val="0"/>
                  <w:marBottom w:val="0"/>
                  <w:divBdr>
                    <w:top w:val="none" w:sz="0" w:space="0" w:color="auto"/>
                    <w:left w:val="none" w:sz="0" w:space="0" w:color="auto"/>
                    <w:bottom w:val="none" w:sz="0" w:space="0" w:color="auto"/>
                    <w:right w:val="none" w:sz="0" w:space="0" w:color="auto"/>
                  </w:divBdr>
                </w:div>
              </w:divsChild>
            </w:div>
            <w:div w:id="1105350530">
              <w:marLeft w:val="0"/>
              <w:marRight w:val="0"/>
              <w:marTop w:val="0"/>
              <w:marBottom w:val="0"/>
              <w:divBdr>
                <w:top w:val="none" w:sz="0" w:space="0" w:color="auto"/>
                <w:left w:val="none" w:sz="0" w:space="0" w:color="auto"/>
                <w:bottom w:val="none" w:sz="0" w:space="0" w:color="auto"/>
                <w:right w:val="none" w:sz="0" w:space="0" w:color="auto"/>
              </w:divBdr>
              <w:divsChild>
                <w:div w:id="1522359754">
                  <w:marLeft w:val="0"/>
                  <w:marRight w:val="0"/>
                  <w:marTop w:val="0"/>
                  <w:marBottom w:val="0"/>
                  <w:divBdr>
                    <w:top w:val="none" w:sz="0" w:space="0" w:color="auto"/>
                    <w:left w:val="none" w:sz="0" w:space="0" w:color="auto"/>
                    <w:bottom w:val="none" w:sz="0" w:space="0" w:color="auto"/>
                    <w:right w:val="none" w:sz="0" w:space="0" w:color="auto"/>
                  </w:divBdr>
                </w:div>
              </w:divsChild>
            </w:div>
            <w:div w:id="1174026780">
              <w:marLeft w:val="0"/>
              <w:marRight w:val="0"/>
              <w:marTop w:val="0"/>
              <w:marBottom w:val="0"/>
              <w:divBdr>
                <w:top w:val="none" w:sz="0" w:space="0" w:color="auto"/>
                <w:left w:val="none" w:sz="0" w:space="0" w:color="auto"/>
                <w:bottom w:val="none" w:sz="0" w:space="0" w:color="auto"/>
                <w:right w:val="none" w:sz="0" w:space="0" w:color="auto"/>
              </w:divBdr>
              <w:divsChild>
                <w:div w:id="621378981">
                  <w:marLeft w:val="0"/>
                  <w:marRight w:val="0"/>
                  <w:marTop w:val="0"/>
                  <w:marBottom w:val="0"/>
                  <w:divBdr>
                    <w:top w:val="none" w:sz="0" w:space="0" w:color="auto"/>
                    <w:left w:val="none" w:sz="0" w:space="0" w:color="auto"/>
                    <w:bottom w:val="none" w:sz="0" w:space="0" w:color="auto"/>
                    <w:right w:val="none" w:sz="0" w:space="0" w:color="auto"/>
                  </w:divBdr>
                </w:div>
              </w:divsChild>
            </w:div>
            <w:div w:id="1202592337">
              <w:marLeft w:val="0"/>
              <w:marRight w:val="0"/>
              <w:marTop w:val="0"/>
              <w:marBottom w:val="0"/>
              <w:divBdr>
                <w:top w:val="none" w:sz="0" w:space="0" w:color="auto"/>
                <w:left w:val="none" w:sz="0" w:space="0" w:color="auto"/>
                <w:bottom w:val="none" w:sz="0" w:space="0" w:color="auto"/>
                <w:right w:val="none" w:sz="0" w:space="0" w:color="auto"/>
              </w:divBdr>
              <w:divsChild>
                <w:div w:id="1221020909">
                  <w:marLeft w:val="0"/>
                  <w:marRight w:val="0"/>
                  <w:marTop w:val="0"/>
                  <w:marBottom w:val="0"/>
                  <w:divBdr>
                    <w:top w:val="none" w:sz="0" w:space="0" w:color="auto"/>
                    <w:left w:val="none" w:sz="0" w:space="0" w:color="auto"/>
                    <w:bottom w:val="none" w:sz="0" w:space="0" w:color="auto"/>
                    <w:right w:val="none" w:sz="0" w:space="0" w:color="auto"/>
                  </w:divBdr>
                </w:div>
              </w:divsChild>
            </w:div>
            <w:div w:id="1226256690">
              <w:marLeft w:val="0"/>
              <w:marRight w:val="0"/>
              <w:marTop w:val="0"/>
              <w:marBottom w:val="0"/>
              <w:divBdr>
                <w:top w:val="none" w:sz="0" w:space="0" w:color="auto"/>
                <w:left w:val="none" w:sz="0" w:space="0" w:color="auto"/>
                <w:bottom w:val="none" w:sz="0" w:space="0" w:color="auto"/>
                <w:right w:val="none" w:sz="0" w:space="0" w:color="auto"/>
              </w:divBdr>
              <w:divsChild>
                <w:div w:id="237709253">
                  <w:marLeft w:val="0"/>
                  <w:marRight w:val="0"/>
                  <w:marTop w:val="0"/>
                  <w:marBottom w:val="0"/>
                  <w:divBdr>
                    <w:top w:val="none" w:sz="0" w:space="0" w:color="auto"/>
                    <w:left w:val="none" w:sz="0" w:space="0" w:color="auto"/>
                    <w:bottom w:val="none" w:sz="0" w:space="0" w:color="auto"/>
                    <w:right w:val="none" w:sz="0" w:space="0" w:color="auto"/>
                  </w:divBdr>
                </w:div>
              </w:divsChild>
            </w:div>
            <w:div w:id="1342512840">
              <w:marLeft w:val="0"/>
              <w:marRight w:val="0"/>
              <w:marTop w:val="0"/>
              <w:marBottom w:val="0"/>
              <w:divBdr>
                <w:top w:val="none" w:sz="0" w:space="0" w:color="auto"/>
                <w:left w:val="none" w:sz="0" w:space="0" w:color="auto"/>
                <w:bottom w:val="none" w:sz="0" w:space="0" w:color="auto"/>
                <w:right w:val="none" w:sz="0" w:space="0" w:color="auto"/>
              </w:divBdr>
              <w:divsChild>
                <w:div w:id="1103917696">
                  <w:marLeft w:val="0"/>
                  <w:marRight w:val="0"/>
                  <w:marTop w:val="0"/>
                  <w:marBottom w:val="0"/>
                  <w:divBdr>
                    <w:top w:val="none" w:sz="0" w:space="0" w:color="auto"/>
                    <w:left w:val="none" w:sz="0" w:space="0" w:color="auto"/>
                    <w:bottom w:val="none" w:sz="0" w:space="0" w:color="auto"/>
                    <w:right w:val="none" w:sz="0" w:space="0" w:color="auto"/>
                  </w:divBdr>
                </w:div>
              </w:divsChild>
            </w:div>
            <w:div w:id="1381399681">
              <w:marLeft w:val="0"/>
              <w:marRight w:val="0"/>
              <w:marTop w:val="0"/>
              <w:marBottom w:val="0"/>
              <w:divBdr>
                <w:top w:val="none" w:sz="0" w:space="0" w:color="auto"/>
                <w:left w:val="none" w:sz="0" w:space="0" w:color="auto"/>
                <w:bottom w:val="none" w:sz="0" w:space="0" w:color="auto"/>
                <w:right w:val="none" w:sz="0" w:space="0" w:color="auto"/>
              </w:divBdr>
              <w:divsChild>
                <w:div w:id="2118212009">
                  <w:marLeft w:val="0"/>
                  <w:marRight w:val="0"/>
                  <w:marTop w:val="0"/>
                  <w:marBottom w:val="0"/>
                  <w:divBdr>
                    <w:top w:val="none" w:sz="0" w:space="0" w:color="auto"/>
                    <w:left w:val="none" w:sz="0" w:space="0" w:color="auto"/>
                    <w:bottom w:val="none" w:sz="0" w:space="0" w:color="auto"/>
                    <w:right w:val="none" w:sz="0" w:space="0" w:color="auto"/>
                  </w:divBdr>
                </w:div>
              </w:divsChild>
            </w:div>
            <w:div w:id="1408110348">
              <w:marLeft w:val="0"/>
              <w:marRight w:val="0"/>
              <w:marTop w:val="0"/>
              <w:marBottom w:val="0"/>
              <w:divBdr>
                <w:top w:val="none" w:sz="0" w:space="0" w:color="auto"/>
                <w:left w:val="none" w:sz="0" w:space="0" w:color="auto"/>
                <w:bottom w:val="none" w:sz="0" w:space="0" w:color="auto"/>
                <w:right w:val="none" w:sz="0" w:space="0" w:color="auto"/>
              </w:divBdr>
              <w:divsChild>
                <w:div w:id="1327629691">
                  <w:marLeft w:val="0"/>
                  <w:marRight w:val="0"/>
                  <w:marTop w:val="0"/>
                  <w:marBottom w:val="0"/>
                  <w:divBdr>
                    <w:top w:val="none" w:sz="0" w:space="0" w:color="auto"/>
                    <w:left w:val="none" w:sz="0" w:space="0" w:color="auto"/>
                    <w:bottom w:val="none" w:sz="0" w:space="0" w:color="auto"/>
                    <w:right w:val="none" w:sz="0" w:space="0" w:color="auto"/>
                  </w:divBdr>
                </w:div>
              </w:divsChild>
            </w:div>
            <w:div w:id="1501584262">
              <w:marLeft w:val="0"/>
              <w:marRight w:val="0"/>
              <w:marTop w:val="0"/>
              <w:marBottom w:val="0"/>
              <w:divBdr>
                <w:top w:val="none" w:sz="0" w:space="0" w:color="auto"/>
                <w:left w:val="none" w:sz="0" w:space="0" w:color="auto"/>
                <w:bottom w:val="none" w:sz="0" w:space="0" w:color="auto"/>
                <w:right w:val="none" w:sz="0" w:space="0" w:color="auto"/>
              </w:divBdr>
              <w:divsChild>
                <w:div w:id="2052529456">
                  <w:marLeft w:val="0"/>
                  <w:marRight w:val="0"/>
                  <w:marTop w:val="0"/>
                  <w:marBottom w:val="0"/>
                  <w:divBdr>
                    <w:top w:val="none" w:sz="0" w:space="0" w:color="auto"/>
                    <w:left w:val="none" w:sz="0" w:space="0" w:color="auto"/>
                    <w:bottom w:val="none" w:sz="0" w:space="0" w:color="auto"/>
                    <w:right w:val="none" w:sz="0" w:space="0" w:color="auto"/>
                  </w:divBdr>
                </w:div>
              </w:divsChild>
            </w:div>
            <w:div w:id="1527140142">
              <w:marLeft w:val="0"/>
              <w:marRight w:val="0"/>
              <w:marTop w:val="0"/>
              <w:marBottom w:val="0"/>
              <w:divBdr>
                <w:top w:val="none" w:sz="0" w:space="0" w:color="auto"/>
                <w:left w:val="none" w:sz="0" w:space="0" w:color="auto"/>
                <w:bottom w:val="none" w:sz="0" w:space="0" w:color="auto"/>
                <w:right w:val="none" w:sz="0" w:space="0" w:color="auto"/>
              </w:divBdr>
              <w:divsChild>
                <w:div w:id="1223060133">
                  <w:marLeft w:val="0"/>
                  <w:marRight w:val="0"/>
                  <w:marTop w:val="0"/>
                  <w:marBottom w:val="0"/>
                  <w:divBdr>
                    <w:top w:val="none" w:sz="0" w:space="0" w:color="auto"/>
                    <w:left w:val="none" w:sz="0" w:space="0" w:color="auto"/>
                    <w:bottom w:val="none" w:sz="0" w:space="0" w:color="auto"/>
                    <w:right w:val="none" w:sz="0" w:space="0" w:color="auto"/>
                  </w:divBdr>
                </w:div>
              </w:divsChild>
            </w:div>
            <w:div w:id="1681543657">
              <w:marLeft w:val="0"/>
              <w:marRight w:val="0"/>
              <w:marTop w:val="0"/>
              <w:marBottom w:val="0"/>
              <w:divBdr>
                <w:top w:val="none" w:sz="0" w:space="0" w:color="auto"/>
                <w:left w:val="none" w:sz="0" w:space="0" w:color="auto"/>
                <w:bottom w:val="none" w:sz="0" w:space="0" w:color="auto"/>
                <w:right w:val="none" w:sz="0" w:space="0" w:color="auto"/>
              </w:divBdr>
              <w:divsChild>
                <w:div w:id="178276763">
                  <w:marLeft w:val="0"/>
                  <w:marRight w:val="0"/>
                  <w:marTop w:val="0"/>
                  <w:marBottom w:val="0"/>
                  <w:divBdr>
                    <w:top w:val="none" w:sz="0" w:space="0" w:color="auto"/>
                    <w:left w:val="none" w:sz="0" w:space="0" w:color="auto"/>
                    <w:bottom w:val="none" w:sz="0" w:space="0" w:color="auto"/>
                    <w:right w:val="none" w:sz="0" w:space="0" w:color="auto"/>
                  </w:divBdr>
                </w:div>
              </w:divsChild>
            </w:div>
            <w:div w:id="1746757056">
              <w:marLeft w:val="0"/>
              <w:marRight w:val="0"/>
              <w:marTop w:val="0"/>
              <w:marBottom w:val="0"/>
              <w:divBdr>
                <w:top w:val="none" w:sz="0" w:space="0" w:color="auto"/>
                <w:left w:val="none" w:sz="0" w:space="0" w:color="auto"/>
                <w:bottom w:val="none" w:sz="0" w:space="0" w:color="auto"/>
                <w:right w:val="none" w:sz="0" w:space="0" w:color="auto"/>
              </w:divBdr>
              <w:divsChild>
                <w:div w:id="1169172215">
                  <w:marLeft w:val="0"/>
                  <w:marRight w:val="0"/>
                  <w:marTop w:val="0"/>
                  <w:marBottom w:val="0"/>
                  <w:divBdr>
                    <w:top w:val="none" w:sz="0" w:space="0" w:color="auto"/>
                    <w:left w:val="none" w:sz="0" w:space="0" w:color="auto"/>
                    <w:bottom w:val="none" w:sz="0" w:space="0" w:color="auto"/>
                    <w:right w:val="none" w:sz="0" w:space="0" w:color="auto"/>
                  </w:divBdr>
                </w:div>
              </w:divsChild>
            </w:div>
            <w:div w:id="1804695519">
              <w:marLeft w:val="0"/>
              <w:marRight w:val="0"/>
              <w:marTop w:val="0"/>
              <w:marBottom w:val="0"/>
              <w:divBdr>
                <w:top w:val="none" w:sz="0" w:space="0" w:color="auto"/>
                <w:left w:val="none" w:sz="0" w:space="0" w:color="auto"/>
                <w:bottom w:val="none" w:sz="0" w:space="0" w:color="auto"/>
                <w:right w:val="none" w:sz="0" w:space="0" w:color="auto"/>
              </w:divBdr>
              <w:divsChild>
                <w:div w:id="1587348486">
                  <w:marLeft w:val="0"/>
                  <w:marRight w:val="0"/>
                  <w:marTop w:val="0"/>
                  <w:marBottom w:val="0"/>
                  <w:divBdr>
                    <w:top w:val="none" w:sz="0" w:space="0" w:color="auto"/>
                    <w:left w:val="none" w:sz="0" w:space="0" w:color="auto"/>
                    <w:bottom w:val="none" w:sz="0" w:space="0" w:color="auto"/>
                    <w:right w:val="none" w:sz="0" w:space="0" w:color="auto"/>
                  </w:divBdr>
                </w:div>
              </w:divsChild>
            </w:div>
            <w:div w:id="1899629405">
              <w:marLeft w:val="0"/>
              <w:marRight w:val="0"/>
              <w:marTop w:val="0"/>
              <w:marBottom w:val="0"/>
              <w:divBdr>
                <w:top w:val="none" w:sz="0" w:space="0" w:color="auto"/>
                <w:left w:val="none" w:sz="0" w:space="0" w:color="auto"/>
                <w:bottom w:val="none" w:sz="0" w:space="0" w:color="auto"/>
                <w:right w:val="none" w:sz="0" w:space="0" w:color="auto"/>
              </w:divBdr>
              <w:divsChild>
                <w:div w:id="644746110">
                  <w:marLeft w:val="0"/>
                  <w:marRight w:val="0"/>
                  <w:marTop w:val="0"/>
                  <w:marBottom w:val="0"/>
                  <w:divBdr>
                    <w:top w:val="none" w:sz="0" w:space="0" w:color="auto"/>
                    <w:left w:val="none" w:sz="0" w:space="0" w:color="auto"/>
                    <w:bottom w:val="none" w:sz="0" w:space="0" w:color="auto"/>
                    <w:right w:val="none" w:sz="0" w:space="0" w:color="auto"/>
                  </w:divBdr>
                </w:div>
              </w:divsChild>
            </w:div>
            <w:div w:id="1917936815">
              <w:marLeft w:val="0"/>
              <w:marRight w:val="0"/>
              <w:marTop w:val="0"/>
              <w:marBottom w:val="0"/>
              <w:divBdr>
                <w:top w:val="none" w:sz="0" w:space="0" w:color="auto"/>
                <w:left w:val="none" w:sz="0" w:space="0" w:color="auto"/>
                <w:bottom w:val="none" w:sz="0" w:space="0" w:color="auto"/>
                <w:right w:val="none" w:sz="0" w:space="0" w:color="auto"/>
              </w:divBdr>
              <w:divsChild>
                <w:div w:id="905994773">
                  <w:marLeft w:val="0"/>
                  <w:marRight w:val="0"/>
                  <w:marTop w:val="0"/>
                  <w:marBottom w:val="0"/>
                  <w:divBdr>
                    <w:top w:val="none" w:sz="0" w:space="0" w:color="auto"/>
                    <w:left w:val="none" w:sz="0" w:space="0" w:color="auto"/>
                    <w:bottom w:val="none" w:sz="0" w:space="0" w:color="auto"/>
                    <w:right w:val="none" w:sz="0" w:space="0" w:color="auto"/>
                  </w:divBdr>
                </w:div>
              </w:divsChild>
            </w:div>
            <w:div w:id="2028865766">
              <w:marLeft w:val="0"/>
              <w:marRight w:val="0"/>
              <w:marTop w:val="0"/>
              <w:marBottom w:val="0"/>
              <w:divBdr>
                <w:top w:val="none" w:sz="0" w:space="0" w:color="auto"/>
                <w:left w:val="none" w:sz="0" w:space="0" w:color="auto"/>
                <w:bottom w:val="none" w:sz="0" w:space="0" w:color="auto"/>
                <w:right w:val="none" w:sz="0" w:space="0" w:color="auto"/>
              </w:divBdr>
              <w:divsChild>
                <w:div w:id="14827">
                  <w:marLeft w:val="0"/>
                  <w:marRight w:val="0"/>
                  <w:marTop w:val="0"/>
                  <w:marBottom w:val="0"/>
                  <w:divBdr>
                    <w:top w:val="none" w:sz="0" w:space="0" w:color="auto"/>
                    <w:left w:val="none" w:sz="0" w:space="0" w:color="auto"/>
                    <w:bottom w:val="none" w:sz="0" w:space="0" w:color="auto"/>
                    <w:right w:val="none" w:sz="0" w:space="0" w:color="auto"/>
                  </w:divBdr>
                </w:div>
              </w:divsChild>
            </w:div>
            <w:div w:id="2116091977">
              <w:marLeft w:val="0"/>
              <w:marRight w:val="0"/>
              <w:marTop w:val="0"/>
              <w:marBottom w:val="0"/>
              <w:divBdr>
                <w:top w:val="none" w:sz="0" w:space="0" w:color="auto"/>
                <w:left w:val="none" w:sz="0" w:space="0" w:color="auto"/>
                <w:bottom w:val="none" w:sz="0" w:space="0" w:color="auto"/>
                <w:right w:val="none" w:sz="0" w:space="0" w:color="auto"/>
              </w:divBdr>
              <w:divsChild>
                <w:div w:id="442380591">
                  <w:marLeft w:val="0"/>
                  <w:marRight w:val="0"/>
                  <w:marTop w:val="0"/>
                  <w:marBottom w:val="0"/>
                  <w:divBdr>
                    <w:top w:val="none" w:sz="0" w:space="0" w:color="auto"/>
                    <w:left w:val="none" w:sz="0" w:space="0" w:color="auto"/>
                    <w:bottom w:val="none" w:sz="0" w:space="0" w:color="auto"/>
                    <w:right w:val="none" w:sz="0" w:space="0" w:color="auto"/>
                  </w:divBdr>
                </w:div>
              </w:divsChild>
            </w:div>
            <w:div w:id="2126535036">
              <w:marLeft w:val="0"/>
              <w:marRight w:val="0"/>
              <w:marTop w:val="0"/>
              <w:marBottom w:val="0"/>
              <w:divBdr>
                <w:top w:val="none" w:sz="0" w:space="0" w:color="auto"/>
                <w:left w:val="none" w:sz="0" w:space="0" w:color="auto"/>
                <w:bottom w:val="none" w:sz="0" w:space="0" w:color="auto"/>
                <w:right w:val="none" w:sz="0" w:space="0" w:color="auto"/>
              </w:divBdr>
              <w:divsChild>
                <w:div w:id="210425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5015">
          <w:marLeft w:val="0"/>
          <w:marRight w:val="0"/>
          <w:marTop w:val="0"/>
          <w:marBottom w:val="0"/>
          <w:divBdr>
            <w:top w:val="none" w:sz="0" w:space="0" w:color="auto"/>
            <w:left w:val="none" w:sz="0" w:space="0" w:color="auto"/>
            <w:bottom w:val="none" w:sz="0" w:space="0" w:color="auto"/>
            <w:right w:val="none" w:sz="0" w:space="0" w:color="auto"/>
          </w:divBdr>
        </w:div>
        <w:div w:id="689601628">
          <w:marLeft w:val="0"/>
          <w:marRight w:val="0"/>
          <w:marTop w:val="0"/>
          <w:marBottom w:val="0"/>
          <w:divBdr>
            <w:top w:val="none" w:sz="0" w:space="0" w:color="auto"/>
            <w:left w:val="none" w:sz="0" w:space="0" w:color="auto"/>
            <w:bottom w:val="none" w:sz="0" w:space="0" w:color="auto"/>
            <w:right w:val="none" w:sz="0" w:space="0" w:color="auto"/>
          </w:divBdr>
        </w:div>
        <w:div w:id="694769141">
          <w:marLeft w:val="0"/>
          <w:marRight w:val="0"/>
          <w:marTop w:val="0"/>
          <w:marBottom w:val="0"/>
          <w:divBdr>
            <w:top w:val="none" w:sz="0" w:space="0" w:color="auto"/>
            <w:left w:val="none" w:sz="0" w:space="0" w:color="auto"/>
            <w:bottom w:val="none" w:sz="0" w:space="0" w:color="auto"/>
            <w:right w:val="none" w:sz="0" w:space="0" w:color="auto"/>
          </w:divBdr>
        </w:div>
        <w:div w:id="756563918">
          <w:marLeft w:val="0"/>
          <w:marRight w:val="0"/>
          <w:marTop w:val="0"/>
          <w:marBottom w:val="0"/>
          <w:divBdr>
            <w:top w:val="none" w:sz="0" w:space="0" w:color="auto"/>
            <w:left w:val="none" w:sz="0" w:space="0" w:color="auto"/>
            <w:bottom w:val="none" w:sz="0" w:space="0" w:color="auto"/>
            <w:right w:val="none" w:sz="0" w:space="0" w:color="auto"/>
          </w:divBdr>
        </w:div>
        <w:div w:id="773013447">
          <w:marLeft w:val="0"/>
          <w:marRight w:val="0"/>
          <w:marTop w:val="0"/>
          <w:marBottom w:val="0"/>
          <w:divBdr>
            <w:top w:val="none" w:sz="0" w:space="0" w:color="auto"/>
            <w:left w:val="none" w:sz="0" w:space="0" w:color="auto"/>
            <w:bottom w:val="none" w:sz="0" w:space="0" w:color="auto"/>
            <w:right w:val="none" w:sz="0" w:space="0" w:color="auto"/>
          </w:divBdr>
        </w:div>
        <w:div w:id="787772237">
          <w:marLeft w:val="0"/>
          <w:marRight w:val="0"/>
          <w:marTop w:val="0"/>
          <w:marBottom w:val="0"/>
          <w:divBdr>
            <w:top w:val="none" w:sz="0" w:space="0" w:color="auto"/>
            <w:left w:val="none" w:sz="0" w:space="0" w:color="auto"/>
            <w:bottom w:val="none" w:sz="0" w:space="0" w:color="auto"/>
            <w:right w:val="none" w:sz="0" w:space="0" w:color="auto"/>
          </w:divBdr>
        </w:div>
        <w:div w:id="788202886">
          <w:marLeft w:val="0"/>
          <w:marRight w:val="0"/>
          <w:marTop w:val="0"/>
          <w:marBottom w:val="0"/>
          <w:divBdr>
            <w:top w:val="none" w:sz="0" w:space="0" w:color="auto"/>
            <w:left w:val="none" w:sz="0" w:space="0" w:color="auto"/>
            <w:bottom w:val="none" w:sz="0" w:space="0" w:color="auto"/>
            <w:right w:val="none" w:sz="0" w:space="0" w:color="auto"/>
          </w:divBdr>
        </w:div>
        <w:div w:id="872153506">
          <w:marLeft w:val="0"/>
          <w:marRight w:val="0"/>
          <w:marTop w:val="0"/>
          <w:marBottom w:val="0"/>
          <w:divBdr>
            <w:top w:val="none" w:sz="0" w:space="0" w:color="auto"/>
            <w:left w:val="none" w:sz="0" w:space="0" w:color="auto"/>
            <w:bottom w:val="none" w:sz="0" w:space="0" w:color="auto"/>
            <w:right w:val="none" w:sz="0" w:space="0" w:color="auto"/>
          </w:divBdr>
        </w:div>
        <w:div w:id="974483535">
          <w:marLeft w:val="0"/>
          <w:marRight w:val="0"/>
          <w:marTop w:val="0"/>
          <w:marBottom w:val="0"/>
          <w:divBdr>
            <w:top w:val="none" w:sz="0" w:space="0" w:color="auto"/>
            <w:left w:val="none" w:sz="0" w:space="0" w:color="auto"/>
            <w:bottom w:val="none" w:sz="0" w:space="0" w:color="auto"/>
            <w:right w:val="none" w:sz="0" w:space="0" w:color="auto"/>
          </w:divBdr>
        </w:div>
        <w:div w:id="1028919693">
          <w:marLeft w:val="0"/>
          <w:marRight w:val="0"/>
          <w:marTop w:val="0"/>
          <w:marBottom w:val="0"/>
          <w:divBdr>
            <w:top w:val="none" w:sz="0" w:space="0" w:color="auto"/>
            <w:left w:val="none" w:sz="0" w:space="0" w:color="auto"/>
            <w:bottom w:val="none" w:sz="0" w:space="0" w:color="auto"/>
            <w:right w:val="none" w:sz="0" w:space="0" w:color="auto"/>
          </w:divBdr>
        </w:div>
        <w:div w:id="1034035717">
          <w:marLeft w:val="0"/>
          <w:marRight w:val="0"/>
          <w:marTop w:val="0"/>
          <w:marBottom w:val="0"/>
          <w:divBdr>
            <w:top w:val="none" w:sz="0" w:space="0" w:color="auto"/>
            <w:left w:val="none" w:sz="0" w:space="0" w:color="auto"/>
            <w:bottom w:val="none" w:sz="0" w:space="0" w:color="auto"/>
            <w:right w:val="none" w:sz="0" w:space="0" w:color="auto"/>
          </w:divBdr>
        </w:div>
        <w:div w:id="1036391660">
          <w:marLeft w:val="0"/>
          <w:marRight w:val="0"/>
          <w:marTop w:val="0"/>
          <w:marBottom w:val="0"/>
          <w:divBdr>
            <w:top w:val="none" w:sz="0" w:space="0" w:color="auto"/>
            <w:left w:val="none" w:sz="0" w:space="0" w:color="auto"/>
            <w:bottom w:val="none" w:sz="0" w:space="0" w:color="auto"/>
            <w:right w:val="none" w:sz="0" w:space="0" w:color="auto"/>
          </w:divBdr>
        </w:div>
        <w:div w:id="1122193332">
          <w:marLeft w:val="-75"/>
          <w:marRight w:val="0"/>
          <w:marTop w:val="30"/>
          <w:marBottom w:val="30"/>
          <w:divBdr>
            <w:top w:val="none" w:sz="0" w:space="0" w:color="auto"/>
            <w:left w:val="none" w:sz="0" w:space="0" w:color="auto"/>
            <w:bottom w:val="none" w:sz="0" w:space="0" w:color="auto"/>
            <w:right w:val="none" w:sz="0" w:space="0" w:color="auto"/>
          </w:divBdr>
          <w:divsChild>
            <w:div w:id="39521821">
              <w:marLeft w:val="0"/>
              <w:marRight w:val="0"/>
              <w:marTop w:val="0"/>
              <w:marBottom w:val="0"/>
              <w:divBdr>
                <w:top w:val="none" w:sz="0" w:space="0" w:color="auto"/>
                <w:left w:val="none" w:sz="0" w:space="0" w:color="auto"/>
                <w:bottom w:val="none" w:sz="0" w:space="0" w:color="auto"/>
                <w:right w:val="none" w:sz="0" w:space="0" w:color="auto"/>
              </w:divBdr>
              <w:divsChild>
                <w:div w:id="29427018">
                  <w:marLeft w:val="0"/>
                  <w:marRight w:val="0"/>
                  <w:marTop w:val="0"/>
                  <w:marBottom w:val="0"/>
                  <w:divBdr>
                    <w:top w:val="none" w:sz="0" w:space="0" w:color="auto"/>
                    <w:left w:val="none" w:sz="0" w:space="0" w:color="auto"/>
                    <w:bottom w:val="none" w:sz="0" w:space="0" w:color="auto"/>
                    <w:right w:val="none" w:sz="0" w:space="0" w:color="auto"/>
                  </w:divBdr>
                </w:div>
              </w:divsChild>
            </w:div>
            <w:div w:id="45297785">
              <w:marLeft w:val="0"/>
              <w:marRight w:val="0"/>
              <w:marTop w:val="0"/>
              <w:marBottom w:val="0"/>
              <w:divBdr>
                <w:top w:val="none" w:sz="0" w:space="0" w:color="auto"/>
                <w:left w:val="none" w:sz="0" w:space="0" w:color="auto"/>
                <w:bottom w:val="none" w:sz="0" w:space="0" w:color="auto"/>
                <w:right w:val="none" w:sz="0" w:space="0" w:color="auto"/>
              </w:divBdr>
              <w:divsChild>
                <w:div w:id="147983077">
                  <w:marLeft w:val="0"/>
                  <w:marRight w:val="0"/>
                  <w:marTop w:val="0"/>
                  <w:marBottom w:val="0"/>
                  <w:divBdr>
                    <w:top w:val="none" w:sz="0" w:space="0" w:color="auto"/>
                    <w:left w:val="none" w:sz="0" w:space="0" w:color="auto"/>
                    <w:bottom w:val="none" w:sz="0" w:space="0" w:color="auto"/>
                    <w:right w:val="none" w:sz="0" w:space="0" w:color="auto"/>
                  </w:divBdr>
                </w:div>
              </w:divsChild>
            </w:div>
            <w:div w:id="48770021">
              <w:marLeft w:val="0"/>
              <w:marRight w:val="0"/>
              <w:marTop w:val="0"/>
              <w:marBottom w:val="0"/>
              <w:divBdr>
                <w:top w:val="none" w:sz="0" w:space="0" w:color="auto"/>
                <w:left w:val="none" w:sz="0" w:space="0" w:color="auto"/>
                <w:bottom w:val="none" w:sz="0" w:space="0" w:color="auto"/>
                <w:right w:val="none" w:sz="0" w:space="0" w:color="auto"/>
              </w:divBdr>
              <w:divsChild>
                <w:div w:id="1751582804">
                  <w:marLeft w:val="0"/>
                  <w:marRight w:val="0"/>
                  <w:marTop w:val="0"/>
                  <w:marBottom w:val="0"/>
                  <w:divBdr>
                    <w:top w:val="none" w:sz="0" w:space="0" w:color="auto"/>
                    <w:left w:val="none" w:sz="0" w:space="0" w:color="auto"/>
                    <w:bottom w:val="none" w:sz="0" w:space="0" w:color="auto"/>
                    <w:right w:val="none" w:sz="0" w:space="0" w:color="auto"/>
                  </w:divBdr>
                </w:div>
              </w:divsChild>
            </w:div>
            <w:div w:id="62024117">
              <w:marLeft w:val="0"/>
              <w:marRight w:val="0"/>
              <w:marTop w:val="0"/>
              <w:marBottom w:val="0"/>
              <w:divBdr>
                <w:top w:val="none" w:sz="0" w:space="0" w:color="auto"/>
                <w:left w:val="none" w:sz="0" w:space="0" w:color="auto"/>
                <w:bottom w:val="none" w:sz="0" w:space="0" w:color="auto"/>
                <w:right w:val="none" w:sz="0" w:space="0" w:color="auto"/>
              </w:divBdr>
              <w:divsChild>
                <w:div w:id="2024360321">
                  <w:marLeft w:val="0"/>
                  <w:marRight w:val="0"/>
                  <w:marTop w:val="0"/>
                  <w:marBottom w:val="0"/>
                  <w:divBdr>
                    <w:top w:val="none" w:sz="0" w:space="0" w:color="auto"/>
                    <w:left w:val="none" w:sz="0" w:space="0" w:color="auto"/>
                    <w:bottom w:val="none" w:sz="0" w:space="0" w:color="auto"/>
                    <w:right w:val="none" w:sz="0" w:space="0" w:color="auto"/>
                  </w:divBdr>
                </w:div>
              </w:divsChild>
            </w:div>
            <w:div w:id="189224080">
              <w:marLeft w:val="0"/>
              <w:marRight w:val="0"/>
              <w:marTop w:val="0"/>
              <w:marBottom w:val="0"/>
              <w:divBdr>
                <w:top w:val="none" w:sz="0" w:space="0" w:color="auto"/>
                <w:left w:val="none" w:sz="0" w:space="0" w:color="auto"/>
                <w:bottom w:val="none" w:sz="0" w:space="0" w:color="auto"/>
                <w:right w:val="none" w:sz="0" w:space="0" w:color="auto"/>
              </w:divBdr>
              <w:divsChild>
                <w:div w:id="366567618">
                  <w:marLeft w:val="0"/>
                  <w:marRight w:val="0"/>
                  <w:marTop w:val="0"/>
                  <w:marBottom w:val="0"/>
                  <w:divBdr>
                    <w:top w:val="none" w:sz="0" w:space="0" w:color="auto"/>
                    <w:left w:val="none" w:sz="0" w:space="0" w:color="auto"/>
                    <w:bottom w:val="none" w:sz="0" w:space="0" w:color="auto"/>
                    <w:right w:val="none" w:sz="0" w:space="0" w:color="auto"/>
                  </w:divBdr>
                </w:div>
              </w:divsChild>
            </w:div>
            <w:div w:id="213472324">
              <w:marLeft w:val="0"/>
              <w:marRight w:val="0"/>
              <w:marTop w:val="0"/>
              <w:marBottom w:val="0"/>
              <w:divBdr>
                <w:top w:val="none" w:sz="0" w:space="0" w:color="auto"/>
                <w:left w:val="none" w:sz="0" w:space="0" w:color="auto"/>
                <w:bottom w:val="none" w:sz="0" w:space="0" w:color="auto"/>
                <w:right w:val="none" w:sz="0" w:space="0" w:color="auto"/>
              </w:divBdr>
              <w:divsChild>
                <w:div w:id="2060472613">
                  <w:marLeft w:val="0"/>
                  <w:marRight w:val="0"/>
                  <w:marTop w:val="0"/>
                  <w:marBottom w:val="0"/>
                  <w:divBdr>
                    <w:top w:val="none" w:sz="0" w:space="0" w:color="auto"/>
                    <w:left w:val="none" w:sz="0" w:space="0" w:color="auto"/>
                    <w:bottom w:val="none" w:sz="0" w:space="0" w:color="auto"/>
                    <w:right w:val="none" w:sz="0" w:space="0" w:color="auto"/>
                  </w:divBdr>
                </w:div>
              </w:divsChild>
            </w:div>
            <w:div w:id="284193433">
              <w:marLeft w:val="0"/>
              <w:marRight w:val="0"/>
              <w:marTop w:val="0"/>
              <w:marBottom w:val="0"/>
              <w:divBdr>
                <w:top w:val="none" w:sz="0" w:space="0" w:color="auto"/>
                <w:left w:val="none" w:sz="0" w:space="0" w:color="auto"/>
                <w:bottom w:val="none" w:sz="0" w:space="0" w:color="auto"/>
                <w:right w:val="none" w:sz="0" w:space="0" w:color="auto"/>
              </w:divBdr>
              <w:divsChild>
                <w:div w:id="868567536">
                  <w:marLeft w:val="0"/>
                  <w:marRight w:val="0"/>
                  <w:marTop w:val="0"/>
                  <w:marBottom w:val="0"/>
                  <w:divBdr>
                    <w:top w:val="none" w:sz="0" w:space="0" w:color="auto"/>
                    <w:left w:val="none" w:sz="0" w:space="0" w:color="auto"/>
                    <w:bottom w:val="none" w:sz="0" w:space="0" w:color="auto"/>
                    <w:right w:val="none" w:sz="0" w:space="0" w:color="auto"/>
                  </w:divBdr>
                </w:div>
              </w:divsChild>
            </w:div>
            <w:div w:id="317197352">
              <w:marLeft w:val="0"/>
              <w:marRight w:val="0"/>
              <w:marTop w:val="0"/>
              <w:marBottom w:val="0"/>
              <w:divBdr>
                <w:top w:val="none" w:sz="0" w:space="0" w:color="auto"/>
                <w:left w:val="none" w:sz="0" w:space="0" w:color="auto"/>
                <w:bottom w:val="none" w:sz="0" w:space="0" w:color="auto"/>
                <w:right w:val="none" w:sz="0" w:space="0" w:color="auto"/>
              </w:divBdr>
              <w:divsChild>
                <w:div w:id="972488961">
                  <w:marLeft w:val="0"/>
                  <w:marRight w:val="0"/>
                  <w:marTop w:val="0"/>
                  <w:marBottom w:val="0"/>
                  <w:divBdr>
                    <w:top w:val="none" w:sz="0" w:space="0" w:color="auto"/>
                    <w:left w:val="none" w:sz="0" w:space="0" w:color="auto"/>
                    <w:bottom w:val="none" w:sz="0" w:space="0" w:color="auto"/>
                    <w:right w:val="none" w:sz="0" w:space="0" w:color="auto"/>
                  </w:divBdr>
                </w:div>
              </w:divsChild>
            </w:div>
            <w:div w:id="386992475">
              <w:marLeft w:val="0"/>
              <w:marRight w:val="0"/>
              <w:marTop w:val="0"/>
              <w:marBottom w:val="0"/>
              <w:divBdr>
                <w:top w:val="none" w:sz="0" w:space="0" w:color="auto"/>
                <w:left w:val="none" w:sz="0" w:space="0" w:color="auto"/>
                <w:bottom w:val="none" w:sz="0" w:space="0" w:color="auto"/>
                <w:right w:val="none" w:sz="0" w:space="0" w:color="auto"/>
              </w:divBdr>
              <w:divsChild>
                <w:div w:id="1260526955">
                  <w:marLeft w:val="0"/>
                  <w:marRight w:val="0"/>
                  <w:marTop w:val="0"/>
                  <w:marBottom w:val="0"/>
                  <w:divBdr>
                    <w:top w:val="none" w:sz="0" w:space="0" w:color="auto"/>
                    <w:left w:val="none" w:sz="0" w:space="0" w:color="auto"/>
                    <w:bottom w:val="none" w:sz="0" w:space="0" w:color="auto"/>
                    <w:right w:val="none" w:sz="0" w:space="0" w:color="auto"/>
                  </w:divBdr>
                </w:div>
              </w:divsChild>
            </w:div>
            <w:div w:id="472988293">
              <w:marLeft w:val="0"/>
              <w:marRight w:val="0"/>
              <w:marTop w:val="0"/>
              <w:marBottom w:val="0"/>
              <w:divBdr>
                <w:top w:val="none" w:sz="0" w:space="0" w:color="auto"/>
                <w:left w:val="none" w:sz="0" w:space="0" w:color="auto"/>
                <w:bottom w:val="none" w:sz="0" w:space="0" w:color="auto"/>
                <w:right w:val="none" w:sz="0" w:space="0" w:color="auto"/>
              </w:divBdr>
              <w:divsChild>
                <w:div w:id="1351949094">
                  <w:marLeft w:val="0"/>
                  <w:marRight w:val="0"/>
                  <w:marTop w:val="0"/>
                  <w:marBottom w:val="0"/>
                  <w:divBdr>
                    <w:top w:val="none" w:sz="0" w:space="0" w:color="auto"/>
                    <w:left w:val="none" w:sz="0" w:space="0" w:color="auto"/>
                    <w:bottom w:val="none" w:sz="0" w:space="0" w:color="auto"/>
                    <w:right w:val="none" w:sz="0" w:space="0" w:color="auto"/>
                  </w:divBdr>
                </w:div>
              </w:divsChild>
            </w:div>
            <w:div w:id="555240393">
              <w:marLeft w:val="0"/>
              <w:marRight w:val="0"/>
              <w:marTop w:val="0"/>
              <w:marBottom w:val="0"/>
              <w:divBdr>
                <w:top w:val="none" w:sz="0" w:space="0" w:color="auto"/>
                <w:left w:val="none" w:sz="0" w:space="0" w:color="auto"/>
                <w:bottom w:val="none" w:sz="0" w:space="0" w:color="auto"/>
                <w:right w:val="none" w:sz="0" w:space="0" w:color="auto"/>
              </w:divBdr>
              <w:divsChild>
                <w:div w:id="264387679">
                  <w:marLeft w:val="0"/>
                  <w:marRight w:val="0"/>
                  <w:marTop w:val="0"/>
                  <w:marBottom w:val="0"/>
                  <w:divBdr>
                    <w:top w:val="none" w:sz="0" w:space="0" w:color="auto"/>
                    <w:left w:val="none" w:sz="0" w:space="0" w:color="auto"/>
                    <w:bottom w:val="none" w:sz="0" w:space="0" w:color="auto"/>
                    <w:right w:val="none" w:sz="0" w:space="0" w:color="auto"/>
                  </w:divBdr>
                </w:div>
              </w:divsChild>
            </w:div>
            <w:div w:id="560555223">
              <w:marLeft w:val="0"/>
              <w:marRight w:val="0"/>
              <w:marTop w:val="0"/>
              <w:marBottom w:val="0"/>
              <w:divBdr>
                <w:top w:val="none" w:sz="0" w:space="0" w:color="auto"/>
                <w:left w:val="none" w:sz="0" w:space="0" w:color="auto"/>
                <w:bottom w:val="none" w:sz="0" w:space="0" w:color="auto"/>
                <w:right w:val="none" w:sz="0" w:space="0" w:color="auto"/>
              </w:divBdr>
              <w:divsChild>
                <w:div w:id="184636012">
                  <w:marLeft w:val="0"/>
                  <w:marRight w:val="0"/>
                  <w:marTop w:val="0"/>
                  <w:marBottom w:val="0"/>
                  <w:divBdr>
                    <w:top w:val="none" w:sz="0" w:space="0" w:color="auto"/>
                    <w:left w:val="none" w:sz="0" w:space="0" w:color="auto"/>
                    <w:bottom w:val="none" w:sz="0" w:space="0" w:color="auto"/>
                    <w:right w:val="none" w:sz="0" w:space="0" w:color="auto"/>
                  </w:divBdr>
                </w:div>
              </w:divsChild>
            </w:div>
            <w:div w:id="717822881">
              <w:marLeft w:val="0"/>
              <w:marRight w:val="0"/>
              <w:marTop w:val="0"/>
              <w:marBottom w:val="0"/>
              <w:divBdr>
                <w:top w:val="none" w:sz="0" w:space="0" w:color="auto"/>
                <w:left w:val="none" w:sz="0" w:space="0" w:color="auto"/>
                <w:bottom w:val="none" w:sz="0" w:space="0" w:color="auto"/>
                <w:right w:val="none" w:sz="0" w:space="0" w:color="auto"/>
              </w:divBdr>
              <w:divsChild>
                <w:div w:id="2089493544">
                  <w:marLeft w:val="0"/>
                  <w:marRight w:val="0"/>
                  <w:marTop w:val="0"/>
                  <w:marBottom w:val="0"/>
                  <w:divBdr>
                    <w:top w:val="none" w:sz="0" w:space="0" w:color="auto"/>
                    <w:left w:val="none" w:sz="0" w:space="0" w:color="auto"/>
                    <w:bottom w:val="none" w:sz="0" w:space="0" w:color="auto"/>
                    <w:right w:val="none" w:sz="0" w:space="0" w:color="auto"/>
                  </w:divBdr>
                </w:div>
              </w:divsChild>
            </w:div>
            <w:div w:id="724109683">
              <w:marLeft w:val="0"/>
              <w:marRight w:val="0"/>
              <w:marTop w:val="0"/>
              <w:marBottom w:val="0"/>
              <w:divBdr>
                <w:top w:val="none" w:sz="0" w:space="0" w:color="auto"/>
                <w:left w:val="none" w:sz="0" w:space="0" w:color="auto"/>
                <w:bottom w:val="none" w:sz="0" w:space="0" w:color="auto"/>
                <w:right w:val="none" w:sz="0" w:space="0" w:color="auto"/>
              </w:divBdr>
              <w:divsChild>
                <w:div w:id="566301612">
                  <w:marLeft w:val="0"/>
                  <w:marRight w:val="0"/>
                  <w:marTop w:val="0"/>
                  <w:marBottom w:val="0"/>
                  <w:divBdr>
                    <w:top w:val="none" w:sz="0" w:space="0" w:color="auto"/>
                    <w:left w:val="none" w:sz="0" w:space="0" w:color="auto"/>
                    <w:bottom w:val="none" w:sz="0" w:space="0" w:color="auto"/>
                    <w:right w:val="none" w:sz="0" w:space="0" w:color="auto"/>
                  </w:divBdr>
                </w:div>
              </w:divsChild>
            </w:div>
            <w:div w:id="751507051">
              <w:marLeft w:val="0"/>
              <w:marRight w:val="0"/>
              <w:marTop w:val="0"/>
              <w:marBottom w:val="0"/>
              <w:divBdr>
                <w:top w:val="none" w:sz="0" w:space="0" w:color="auto"/>
                <w:left w:val="none" w:sz="0" w:space="0" w:color="auto"/>
                <w:bottom w:val="none" w:sz="0" w:space="0" w:color="auto"/>
                <w:right w:val="none" w:sz="0" w:space="0" w:color="auto"/>
              </w:divBdr>
              <w:divsChild>
                <w:div w:id="1701279099">
                  <w:marLeft w:val="0"/>
                  <w:marRight w:val="0"/>
                  <w:marTop w:val="0"/>
                  <w:marBottom w:val="0"/>
                  <w:divBdr>
                    <w:top w:val="none" w:sz="0" w:space="0" w:color="auto"/>
                    <w:left w:val="none" w:sz="0" w:space="0" w:color="auto"/>
                    <w:bottom w:val="none" w:sz="0" w:space="0" w:color="auto"/>
                    <w:right w:val="none" w:sz="0" w:space="0" w:color="auto"/>
                  </w:divBdr>
                </w:div>
              </w:divsChild>
            </w:div>
            <w:div w:id="811024676">
              <w:marLeft w:val="0"/>
              <w:marRight w:val="0"/>
              <w:marTop w:val="0"/>
              <w:marBottom w:val="0"/>
              <w:divBdr>
                <w:top w:val="none" w:sz="0" w:space="0" w:color="auto"/>
                <w:left w:val="none" w:sz="0" w:space="0" w:color="auto"/>
                <w:bottom w:val="none" w:sz="0" w:space="0" w:color="auto"/>
                <w:right w:val="none" w:sz="0" w:space="0" w:color="auto"/>
              </w:divBdr>
              <w:divsChild>
                <w:div w:id="1627466923">
                  <w:marLeft w:val="0"/>
                  <w:marRight w:val="0"/>
                  <w:marTop w:val="0"/>
                  <w:marBottom w:val="0"/>
                  <w:divBdr>
                    <w:top w:val="none" w:sz="0" w:space="0" w:color="auto"/>
                    <w:left w:val="none" w:sz="0" w:space="0" w:color="auto"/>
                    <w:bottom w:val="none" w:sz="0" w:space="0" w:color="auto"/>
                    <w:right w:val="none" w:sz="0" w:space="0" w:color="auto"/>
                  </w:divBdr>
                </w:div>
              </w:divsChild>
            </w:div>
            <w:div w:id="888495540">
              <w:marLeft w:val="0"/>
              <w:marRight w:val="0"/>
              <w:marTop w:val="0"/>
              <w:marBottom w:val="0"/>
              <w:divBdr>
                <w:top w:val="none" w:sz="0" w:space="0" w:color="auto"/>
                <w:left w:val="none" w:sz="0" w:space="0" w:color="auto"/>
                <w:bottom w:val="none" w:sz="0" w:space="0" w:color="auto"/>
                <w:right w:val="none" w:sz="0" w:space="0" w:color="auto"/>
              </w:divBdr>
              <w:divsChild>
                <w:div w:id="1392074223">
                  <w:marLeft w:val="0"/>
                  <w:marRight w:val="0"/>
                  <w:marTop w:val="0"/>
                  <w:marBottom w:val="0"/>
                  <w:divBdr>
                    <w:top w:val="none" w:sz="0" w:space="0" w:color="auto"/>
                    <w:left w:val="none" w:sz="0" w:space="0" w:color="auto"/>
                    <w:bottom w:val="none" w:sz="0" w:space="0" w:color="auto"/>
                    <w:right w:val="none" w:sz="0" w:space="0" w:color="auto"/>
                  </w:divBdr>
                </w:div>
              </w:divsChild>
            </w:div>
            <w:div w:id="963386336">
              <w:marLeft w:val="0"/>
              <w:marRight w:val="0"/>
              <w:marTop w:val="0"/>
              <w:marBottom w:val="0"/>
              <w:divBdr>
                <w:top w:val="none" w:sz="0" w:space="0" w:color="auto"/>
                <w:left w:val="none" w:sz="0" w:space="0" w:color="auto"/>
                <w:bottom w:val="none" w:sz="0" w:space="0" w:color="auto"/>
                <w:right w:val="none" w:sz="0" w:space="0" w:color="auto"/>
              </w:divBdr>
              <w:divsChild>
                <w:div w:id="1576433143">
                  <w:marLeft w:val="0"/>
                  <w:marRight w:val="0"/>
                  <w:marTop w:val="0"/>
                  <w:marBottom w:val="0"/>
                  <w:divBdr>
                    <w:top w:val="none" w:sz="0" w:space="0" w:color="auto"/>
                    <w:left w:val="none" w:sz="0" w:space="0" w:color="auto"/>
                    <w:bottom w:val="none" w:sz="0" w:space="0" w:color="auto"/>
                    <w:right w:val="none" w:sz="0" w:space="0" w:color="auto"/>
                  </w:divBdr>
                </w:div>
              </w:divsChild>
            </w:div>
            <w:div w:id="1027364033">
              <w:marLeft w:val="0"/>
              <w:marRight w:val="0"/>
              <w:marTop w:val="0"/>
              <w:marBottom w:val="0"/>
              <w:divBdr>
                <w:top w:val="none" w:sz="0" w:space="0" w:color="auto"/>
                <w:left w:val="none" w:sz="0" w:space="0" w:color="auto"/>
                <w:bottom w:val="none" w:sz="0" w:space="0" w:color="auto"/>
                <w:right w:val="none" w:sz="0" w:space="0" w:color="auto"/>
              </w:divBdr>
              <w:divsChild>
                <w:div w:id="31730766">
                  <w:marLeft w:val="0"/>
                  <w:marRight w:val="0"/>
                  <w:marTop w:val="0"/>
                  <w:marBottom w:val="0"/>
                  <w:divBdr>
                    <w:top w:val="none" w:sz="0" w:space="0" w:color="auto"/>
                    <w:left w:val="none" w:sz="0" w:space="0" w:color="auto"/>
                    <w:bottom w:val="none" w:sz="0" w:space="0" w:color="auto"/>
                    <w:right w:val="none" w:sz="0" w:space="0" w:color="auto"/>
                  </w:divBdr>
                </w:div>
              </w:divsChild>
            </w:div>
            <w:div w:id="1125658492">
              <w:marLeft w:val="0"/>
              <w:marRight w:val="0"/>
              <w:marTop w:val="0"/>
              <w:marBottom w:val="0"/>
              <w:divBdr>
                <w:top w:val="none" w:sz="0" w:space="0" w:color="auto"/>
                <w:left w:val="none" w:sz="0" w:space="0" w:color="auto"/>
                <w:bottom w:val="none" w:sz="0" w:space="0" w:color="auto"/>
                <w:right w:val="none" w:sz="0" w:space="0" w:color="auto"/>
              </w:divBdr>
              <w:divsChild>
                <w:div w:id="1680499837">
                  <w:marLeft w:val="0"/>
                  <w:marRight w:val="0"/>
                  <w:marTop w:val="0"/>
                  <w:marBottom w:val="0"/>
                  <w:divBdr>
                    <w:top w:val="none" w:sz="0" w:space="0" w:color="auto"/>
                    <w:left w:val="none" w:sz="0" w:space="0" w:color="auto"/>
                    <w:bottom w:val="none" w:sz="0" w:space="0" w:color="auto"/>
                    <w:right w:val="none" w:sz="0" w:space="0" w:color="auto"/>
                  </w:divBdr>
                </w:div>
              </w:divsChild>
            </w:div>
            <w:div w:id="1282106567">
              <w:marLeft w:val="0"/>
              <w:marRight w:val="0"/>
              <w:marTop w:val="0"/>
              <w:marBottom w:val="0"/>
              <w:divBdr>
                <w:top w:val="none" w:sz="0" w:space="0" w:color="auto"/>
                <w:left w:val="none" w:sz="0" w:space="0" w:color="auto"/>
                <w:bottom w:val="none" w:sz="0" w:space="0" w:color="auto"/>
                <w:right w:val="none" w:sz="0" w:space="0" w:color="auto"/>
              </w:divBdr>
              <w:divsChild>
                <w:div w:id="329260780">
                  <w:marLeft w:val="0"/>
                  <w:marRight w:val="0"/>
                  <w:marTop w:val="0"/>
                  <w:marBottom w:val="0"/>
                  <w:divBdr>
                    <w:top w:val="none" w:sz="0" w:space="0" w:color="auto"/>
                    <w:left w:val="none" w:sz="0" w:space="0" w:color="auto"/>
                    <w:bottom w:val="none" w:sz="0" w:space="0" w:color="auto"/>
                    <w:right w:val="none" w:sz="0" w:space="0" w:color="auto"/>
                  </w:divBdr>
                </w:div>
              </w:divsChild>
            </w:div>
            <w:div w:id="1369722141">
              <w:marLeft w:val="0"/>
              <w:marRight w:val="0"/>
              <w:marTop w:val="0"/>
              <w:marBottom w:val="0"/>
              <w:divBdr>
                <w:top w:val="none" w:sz="0" w:space="0" w:color="auto"/>
                <w:left w:val="none" w:sz="0" w:space="0" w:color="auto"/>
                <w:bottom w:val="none" w:sz="0" w:space="0" w:color="auto"/>
                <w:right w:val="none" w:sz="0" w:space="0" w:color="auto"/>
              </w:divBdr>
              <w:divsChild>
                <w:div w:id="910962310">
                  <w:marLeft w:val="0"/>
                  <w:marRight w:val="0"/>
                  <w:marTop w:val="0"/>
                  <w:marBottom w:val="0"/>
                  <w:divBdr>
                    <w:top w:val="none" w:sz="0" w:space="0" w:color="auto"/>
                    <w:left w:val="none" w:sz="0" w:space="0" w:color="auto"/>
                    <w:bottom w:val="none" w:sz="0" w:space="0" w:color="auto"/>
                    <w:right w:val="none" w:sz="0" w:space="0" w:color="auto"/>
                  </w:divBdr>
                </w:div>
              </w:divsChild>
            </w:div>
            <w:div w:id="1465195265">
              <w:marLeft w:val="0"/>
              <w:marRight w:val="0"/>
              <w:marTop w:val="0"/>
              <w:marBottom w:val="0"/>
              <w:divBdr>
                <w:top w:val="none" w:sz="0" w:space="0" w:color="auto"/>
                <w:left w:val="none" w:sz="0" w:space="0" w:color="auto"/>
                <w:bottom w:val="none" w:sz="0" w:space="0" w:color="auto"/>
                <w:right w:val="none" w:sz="0" w:space="0" w:color="auto"/>
              </w:divBdr>
              <w:divsChild>
                <w:div w:id="193807340">
                  <w:marLeft w:val="0"/>
                  <w:marRight w:val="0"/>
                  <w:marTop w:val="0"/>
                  <w:marBottom w:val="0"/>
                  <w:divBdr>
                    <w:top w:val="none" w:sz="0" w:space="0" w:color="auto"/>
                    <w:left w:val="none" w:sz="0" w:space="0" w:color="auto"/>
                    <w:bottom w:val="none" w:sz="0" w:space="0" w:color="auto"/>
                    <w:right w:val="none" w:sz="0" w:space="0" w:color="auto"/>
                  </w:divBdr>
                </w:div>
              </w:divsChild>
            </w:div>
            <w:div w:id="1499617066">
              <w:marLeft w:val="0"/>
              <w:marRight w:val="0"/>
              <w:marTop w:val="0"/>
              <w:marBottom w:val="0"/>
              <w:divBdr>
                <w:top w:val="none" w:sz="0" w:space="0" w:color="auto"/>
                <w:left w:val="none" w:sz="0" w:space="0" w:color="auto"/>
                <w:bottom w:val="none" w:sz="0" w:space="0" w:color="auto"/>
                <w:right w:val="none" w:sz="0" w:space="0" w:color="auto"/>
              </w:divBdr>
              <w:divsChild>
                <w:div w:id="1112019248">
                  <w:marLeft w:val="0"/>
                  <w:marRight w:val="0"/>
                  <w:marTop w:val="0"/>
                  <w:marBottom w:val="0"/>
                  <w:divBdr>
                    <w:top w:val="none" w:sz="0" w:space="0" w:color="auto"/>
                    <w:left w:val="none" w:sz="0" w:space="0" w:color="auto"/>
                    <w:bottom w:val="none" w:sz="0" w:space="0" w:color="auto"/>
                    <w:right w:val="none" w:sz="0" w:space="0" w:color="auto"/>
                  </w:divBdr>
                </w:div>
              </w:divsChild>
            </w:div>
            <w:div w:id="1658806260">
              <w:marLeft w:val="0"/>
              <w:marRight w:val="0"/>
              <w:marTop w:val="0"/>
              <w:marBottom w:val="0"/>
              <w:divBdr>
                <w:top w:val="none" w:sz="0" w:space="0" w:color="auto"/>
                <w:left w:val="none" w:sz="0" w:space="0" w:color="auto"/>
                <w:bottom w:val="none" w:sz="0" w:space="0" w:color="auto"/>
                <w:right w:val="none" w:sz="0" w:space="0" w:color="auto"/>
              </w:divBdr>
              <w:divsChild>
                <w:div w:id="19623232">
                  <w:marLeft w:val="0"/>
                  <w:marRight w:val="0"/>
                  <w:marTop w:val="0"/>
                  <w:marBottom w:val="0"/>
                  <w:divBdr>
                    <w:top w:val="none" w:sz="0" w:space="0" w:color="auto"/>
                    <w:left w:val="none" w:sz="0" w:space="0" w:color="auto"/>
                    <w:bottom w:val="none" w:sz="0" w:space="0" w:color="auto"/>
                    <w:right w:val="none" w:sz="0" w:space="0" w:color="auto"/>
                  </w:divBdr>
                </w:div>
              </w:divsChild>
            </w:div>
            <w:div w:id="1745911592">
              <w:marLeft w:val="0"/>
              <w:marRight w:val="0"/>
              <w:marTop w:val="0"/>
              <w:marBottom w:val="0"/>
              <w:divBdr>
                <w:top w:val="none" w:sz="0" w:space="0" w:color="auto"/>
                <w:left w:val="none" w:sz="0" w:space="0" w:color="auto"/>
                <w:bottom w:val="none" w:sz="0" w:space="0" w:color="auto"/>
                <w:right w:val="none" w:sz="0" w:space="0" w:color="auto"/>
              </w:divBdr>
              <w:divsChild>
                <w:div w:id="1973096135">
                  <w:marLeft w:val="0"/>
                  <w:marRight w:val="0"/>
                  <w:marTop w:val="0"/>
                  <w:marBottom w:val="0"/>
                  <w:divBdr>
                    <w:top w:val="none" w:sz="0" w:space="0" w:color="auto"/>
                    <w:left w:val="none" w:sz="0" w:space="0" w:color="auto"/>
                    <w:bottom w:val="none" w:sz="0" w:space="0" w:color="auto"/>
                    <w:right w:val="none" w:sz="0" w:space="0" w:color="auto"/>
                  </w:divBdr>
                </w:div>
              </w:divsChild>
            </w:div>
            <w:div w:id="1771702233">
              <w:marLeft w:val="0"/>
              <w:marRight w:val="0"/>
              <w:marTop w:val="0"/>
              <w:marBottom w:val="0"/>
              <w:divBdr>
                <w:top w:val="none" w:sz="0" w:space="0" w:color="auto"/>
                <w:left w:val="none" w:sz="0" w:space="0" w:color="auto"/>
                <w:bottom w:val="none" w:sz="0" w:space="0" w:color="auto"/>
                <w:right w:val="none" w:sz="0" w:space="0" w:color="auto"/>
              </w:divBdr>
              <w:divsChild>
                <w:div w:id="1899045943">
                  <w:marLeft w:val="0"/>
                  <w:marRight w:val="0"/>
                  <w:marTop w:val="0"/>
                  <w:marBottom w:val="0"/>
                  <w:divBdr>
                    <w:top w:val="none" w:sz="0" w:space="0" w:color="auto"/>
                    <w:left w:val="none" w:sz="0" w:space="0" w:color="auto"/>
                    <w:bottom w:val="none" w:sz="0" w:space="0" w:color="auto"/>
                    <w:right w:val="none" w:sz="0" w:space="0" w:color="auto"/>
                  </w:divBdr>
                </w:div>
              </w:divsChild>
            </w:div>
            <w:div w:id="1812164027">
              <w:marLeft w:val="0"/>
              <w:marRight w:val="0"/>
              <w:marTop w:val="0"/>
              <w:marBottom w:val="0"/>
              <w:divBdr>
                <w:top w:val="none" w:sz="0" w:space="0" w:color="auto"/>
                <w:left w:val="none" w:sz="0" w:space="0" w:color="auto"/>
                <w:bottom w:val="none" w:sz="0" w:space="0" w:color="auto"/>
                <w:right w:val="none" w:sz="0" w:space="0" w:color="auto"/>
              </w:divBdr>
              <w:divsChild>
                <w:div w:id="335231710">
                  <w:marLeft w:val="0"/>
                  <w:marRight w:val="0"/>
                  <w:marTop w:val="0"/>
                  <w:marBottom w:val="0"/>
                  <w:divBdr>
                    <w:top w:val="none" w:sz="0" w:space="0" w:color="auto"/>
                    <w:left w:val="none" w:sz="0" w:space="0" w:color="auto"/>
                    <w:bottom w:val="none" w:sz="0" w:space="0" w:color="auto"/>
                    <w:right w:val="none" w:sz="0" w:space="0" w:color="auto"/>
                  </w:divBdr>
                </w:div>
              </w:divsChild>
            </w:div>
            <w:div w:id="1921526632">
              <w:marLeft w:val="0"/>
              <w:marRight w:val="0"/>
              <w:marTop w:val="0"/>
              <w:marBottom w:val="0"/>
              <w:divBdr>
                <w:top w:val="none" w:sz="0" w:space="0" w:color="auto"/>
                <w:left w:val="none" w:sz="0" w:space="0" w:color="auto"/>
                <w:bottom w:val="none" w:sz="0" w:space="0" w:color="auto"/>
                <w:right w:val="none" w:sz="0" w:space="0" w:color="auto"/>
              </w:divBdr>
              <w:divsChild>
                <w:div w:id="528880834">
                  <w:marLeft w:val="0"/>
                  <w:marRight w:val="0"/>
                  <w:marTop w:val="0"/>
                  <w:marBottom w:val="0"/>
                  <w:divBdr>
                    <w:top w:val="none" w:sz="0" w:space="0" w:color="auto"/>
                    <w:left w:val="none" w:sz="0" w:space="0" w:color="auto"/>
                    <w:bottom w:val="none" w:sz="0" w:space="0" w:color="auto"/>
                    <w:right w:val="none" w:sz="0" w:space="0" w:color="auto"/>
                  </w:divBdr>
                </w:div>
              </w:divsChild>
            </w:div>
            <w:div w:id="2034845250">
              <w:marLeft w:val="0"/>
              <w:marRight w:val="0"/>
              <w:marTop w:val="0"/>
              <w:marBottom w:val="0"/>
              <w:divBdr>
                <w:top w:val="none" w:sz="0" w:space="0" w:color="auto"/>
                <w:left w:val="none" w:sz="0" w:space="0" w:color="auto"/>
                <w:bottom w:val="none" w:sz="0" w:space="0" w:color="auto"/>
                <w:right w:val="none" w:sz="0" w:space="0" w:color="auto"/>
              </w:divBdr>
              <w:divsChild>
                <w:div w:id="1540704397">
                  <w:marLeft w:val="0"/>
                  <w:marRight w:val="0"/>
                  <w:marTop w:val="0"/>
                  <w:marBottom w:val="0"/>
                  <w:divBdr>
                    <w:top w:val="none" w:sz="0" w:space="0" w:color="auto"/>
                    <w:left w:val="none" w:sz="0" w:space="0" w:color="auto"/>
                    <w:bottom w:val="none" w:sz="0" w:space="0" w:color="auto"/>
                    <w:right w:val="none" w:sz="0" w:space="0" w:color="auto"/>
                  </w:divBdr>
                </w:div>
              </w:divsChild>
            </w:div>
            <w:div w:id="2036617158">
              <w:marLeft w:val="0"/>
              <w:marRight w:val="0"/>
              <w:marTop w:val="0"/>
              <w:marBottom w:val="0"/>
              <w:divBdr>
                <w:top w:val="none" w:sz="0" w:space="0" w:color="auto"/>
                <w:left w:val="none" w:sz="0" w:space="0" w:color="auto"/>
                <w:bottom w:val="none" w:sz="0" w:space="0" w:color="auto"/>
                <w:right w:val="none" w:sz="0" w:space="0" w:color="auto"/>
              </w:divBdr>
              <w:divsChild>
                <w:div w:id="10265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92859">
          <w:marLeft w:val="0"/>
          <w:marRight w:val="0"/>
          <w:marTop w:val="0"/>
          <w:marBottom w:val="0"/>
          <w:divBdr>
            <w:top w:val="none" w:sz="0" w:space="0" w:color="auto"/>
            <w:left w:val="none" w:sz="0" w:space="0" w:color="auto"/>
            <w:bottom w:val="none" w:sz="0" w:space="0" w:color="auto"/>
            <w:right w:val="none" w:sz="0" w:space="0" w:color="auto"/>
          </w:divBdr>
        </w:div>
        <w:div w:id="1229612513">
          <w:marLeft w:val="0"/>
          <w:marRight w:val="0"/>
          <w:marTop w:val="0"/>
          <w:marBottom w:val="0"/>
          <w:divBdr>
            <w:top w:val="none" w:sz="0" w:space="0" w:color="auto"/>
            <w:left w:val="none" w:sz="0" w:space="0" w:color="auto"/>
            <w:bottom w:val="none" w:sz="0" w:space="0" w:color="auto"/>
            <w:right w:val="none" w:sz="0" w:space="0" w:color="auto"/>
          </w:divBdr>
        </w:div>
        <w:div w:id="1234395443">
          <w:marLeft w:val="0"/>
          <w:marRight w:val="0"/>
          <w:marTop w:val="0"/>
          <w:marBottom w:val="0"/>
          <w:divBdr>
            <w:top w:val="none" w:sz="0" w:space="0" w:color="auto"/>
            <w:left w:val="none" w:sz="0" w:space="0" w:color="auto"/>
            <w:bottom w:val="none" w:sz="0" w:space="0" w:color="auto"/>
            <w:right w:val="none" w:sz="0" w:space="0" w:color="auto"/>
          </w:divBdr>
        </w:div>
        <w:div w:id="1266769306">
          <w:marLeft w:val="0"/>
          <w:marRight w:val="0"/>
          <w:marTop w:val="0"/>
          <w:marBottom w:val="0"/>
          <w:divBdr>
            <w:top w:val="none" w:sz="0" w:space="0" w:color="auto"/>
            <w:left w:val="none" w:sz="0" w:space="0" w:color="auto"/>
            <w:bottom w:val="none" w:sz="0" w:space="0" w:color="auto"/>
            <w:right w:val="none" w:sz="0" w:space="0" w:color="auto"/>
          </w:divBdr>
        </w:div>
        <w:div w:id="1288777136">
          <w:marLeft w:val="0"/>
          <w:marRight w:val="0"/>
          <w:marTop w:val="0"/>
          <w:marBottom w:val="0"/>
          <w:divBdr>
            <w:top w:val="none" w:sz="0" w:space="0" w:color="auto"/>
            <w:left w:val="none" w:sz="0" w:space="0" w:color="auto"/>
            <w:bottom w:val="none" w:sz="0" w:space="0" w:color="auto"/>
            <w:right w:val="none" w:sz="0" w:space="0" w:color="auto"/>
          </w:divBdr>
        </w:div>
        <w:div w:id="1316102284">
          <w:marLeft w:val="0"/>
          <w:marRight w:val="0"/>
          <w:marTop w:val="0"/>
          <w:marBottom w:val="0"/>
          <w:divBdr>
            <w:top w:val="none" w:sz="0" w:space="0" w:color="auto"/>
            <w:left w:val="none" w:sz="0" w:space="0" w:color="auto"/>
            <w:bottom w:val="none" w:sz="0" w:space="0" w:color="auto"/>
            <w:right w:val="none" w:sz="0" w:space="0" w:color="auto"/>
          </w:divBdr>
        </w:div>
        <w:div w:id="1328821813">
          <w:marLeft w:val="0"/>
          <w:marRight w:val="0"/>
          <w:marTop w:val="0"/>
          <w:marBottom w:val="0"/>
          <w:divBdr>
            <w:top w:val="none" w:sz="0" w:space="0" w:color="auto"/>
            <w:left w:val="none" w:sz="0" w:space="0" w:color="auto"/>
            <w:bottom w:val="none" w:sz="0" w:space="0" w:color="auto"/>
            <w:right w:val="none" w:sz="0" w:space="0" w:color="auto"/>
          </w:divBdr>
        </w:div>
        <w:div w:id="1335449593">
          <w:marLeft w:val="0"/>
          <w:marRight w:val="0"/>
          <w:marTop w:val="0"/>
          <w:marBottom w:val="0"/>
          <w:divBdr>
            <w:top w:val="none" w:sz="0" w:space="0" w:color="auto"/>
            <w:left w:val="none" w:sz="0" w:space="0" w:color="auto"/>
            <w:bottom w:val="none" w:sz="0" w:space="0" w:color="auto"/>
            <w:right w:val="none" w:sz="0" w:space="0" w:color="auto"/>
          </w:divBdr>
        </w:div>
        <w:div w:id="1352535215">
          <w:marLeft w:val="0"/>
          <w:marRight w:val="0"/>
          <w:marTop w:val="0"/>
          <w:marBottom w:val="0"/>
          <w:divBdr>
            <w:top w:val="none" w:sz="0" w:space="0" w:color="auto"/>
            <w:left w:val="none" w:sz="0" w:space="0" w:color="auto"/>
            <w:bottom w:val="none" w:sz="0" w:space="0" w:color="auto"/>
            <w:right w:val="none" w:sz="0" w:space="0" w:color="auto"/>
          </w:divBdr>
        </w:div>
        <w:div w:id="1440678133">
          <w:marLeft w:val="0"/>
          <w:marRight w:val="0"/>
          <w:marTop w:val="0"/>
          <w:marBottom w:val="0"/>
          <w:divBdr>
            <w:top w:val="none" w:sz="0" w:space="0" w:color="auto"/>
            <w:left w:val="none" w:sz="0" w:space="0" w:color="auto"/>
            <w:bottom w:val="none" w:sz="0" w:space="0" w:color="auto"/>
            <w:right w:val="none" w:sz="0" w:space="0" w:color="auto"/>
          </w:divBdr>
        </w:div>
        <w:div w:id="1464153381">
          <w:marLeft w:val="0"/>
          <w:marRight w:val="0"/>
          <w:marTop w:val="0"/>
          <w:marBottom w:val="0"/>
          <w:divBdr>
            <w:top w:val="none" w:sz="0" w:space="0" w:color="auto"/>
            <w:left w:val="none" w:sz="0" w:space="0" w:color="auto"/>
            <w:bottom w:val="none" w:sz="0" w:space="0" w:color="auto"/>
            <w:right w:val="none" w:sz="0" w:space="0" w:color="auto"/>
          </w:divBdr>
        </w:div>
        <w:div w:id="1560441400">
          <w:marLeft w:val="0"/>
          <w:marRight w:val="0"/>
          <w:marTop w:val="0"/>
          <w:marBottom w:val="0"/>
          <w:divBdr>
            <w:top w:val="none" w:sz="0" w:space="0" w:color="auto"/>
            <w:left w:val="none" w:sz="0" w:space="0" w:color="auto"/>
            <w:bottom w:val="none" w:sz="0" w:space="0" w:color="auto"/>
            <w:right w:val="none" w:sz="0" w:space="0" w:color="auto"/>
          </w:divBdr>
        </w:div>
        <w:div w:id="1614748056">
          <w:marLeft w:val="0"/>
          <w:marRight w:val="0"/>
          <w:marTop w:val="0"/>
          <w:marBottom w:val="0"/>
          <w:divBdr>
            <w:top w:val="none" w:sz="0" w:space="0" w:color="auto"/>
            <w:left w:val="none" w:sz="0" w:space="0" w:color="auto"/>
            <w:bottom w:val="none" w:sz="0" w:space="0" w:color="auto"/>
            <w:right w:val="none" w:sz="0" w:space="0" w:color="auto"/>
          </w:divBdr>
        </w:div>
        <w:div w:id="1649825586">
          <w:marLeft w:val="0"/>
          <w:marRight w:val="0"/>
          <w:marTop w:val="0"/>
          <w:marBottom w:val="0"/>
          <w:divBdr>
            <w:top w:val="none" w:sz="0" w:space="0" w:color="auto"/>
            <w:left w:val="none" w:sz="0" w:space="0" w:color="auto"/>
            <w:bottom w:val="none" w:sz="0" w:space="0" w:color="auto"/>
            <w:right w:val="none" w:sz="0" w:space="0" w:color="auto"/>
          </w:divBdr>
        </w:div>
        <w:div w:id="1683242502">
          <w:marLeft w:val="-75"/>
          <w:marRight w:val="0"/>
          <w:marTop w:val="30"/>
          <w:marBottom w:val="30"/>
          <w:divBdr>
            <w:top w:val="none" w:sz="0" w:space="0" w:color="auto"/>
            <w:left w:val="none" w:sz="0" w:space="0" w:color="auto"/>
            <w:bottom w:val="none" w:sz="0" w:space="0" w:color="auto"/>
            <w:right w:val="none" w:sz="0" w:space="0" w:color="auto"/>
          </w:divBdr>
          <w:divsChild>
            <w:div w:id="13700236">
              <w:marLeft w:val="0"/>
              <w:marRight w:val="0"/>
              <w:marTop w:val="0"/>
              <w:marBottom w:val="0"/>
              <w:divBdr>
                <w:top w:val="none" w:sz="0" w:space="0" w:color="auto"/>
                <w:left w:val="none" w:sz="0" w:space="0" w:color="auto"/>
                <w:bottom w:val="none" w:sz="0" w:space="0" w:color="auto"/>
                <w:right w:val="none" w:sz="0" w:space="0" w:color="auto"/>
              </w:divBdr>
              <w:divsChild>
                <w:div w:id="1515416997">
                  <w:marLeft w:val="0"/>
                  <w:marRight w:val="0"/>
                  <w:marTop w:val="0"/>
                  <w:marBottom w:val="0"/>
                  <w:divBdr>
                    <w:top w:val="none" w:sz="0" w:space="0" w:color="auto"/>
                    <w:left w:val="none" w:sz="0" w:space="0" w:color="auto"/>
                    <w:bottom w:val="none" w:sz="0" w:space="0" w:color="auto"/>
                    <w:right w:val="none" w:sz="0" w:space="0" w:color="auto"/>
                  </w:divBdr>
                </w:div>
                <w:div w:id="2040082548">
                  <w:marLeft w:val="0"/>
                  <w:marRight w:val="0"/>
                  <w:marTop w:val="0"/>
                  <w:marBottom w:val="0"/>
                  <w:divBdr>
                    <w:top w:val="none" w:sz="0" w:space="0" w:color="auto"/>
                    <w:left w:val="none" w:sz="0" w:space="0" w:color="auto"/>
                    <w:bottom w:val="none" w:sz="0" w:space="0" w:color="auto"/>
                    <w:right w:val="none" w:sz="0" w:space="0" w:color="auto"/>
                  </w:divBdr>
                </w:div>
              </w:divsChild>
            </w:div>
            <w:div w:id="1473862991">
              <w:marLeft w:val="0"/>
              <w:marRight w:val="0"/>
              <w:marTop w:val="0"/>
              <w:marBottom w:val="0"/>
              <w:divBdr>
                <w:top w:val="none" w:sz="0" w:space="0" w:color="auto"/>
                <w:left w:val="none" w:sz="0" w:space="0" w:color="auto"/>
                <w:bottom w:val="none" w:sz="0" w:space="0" w:color="auto"/>
                <w:right w:val="none" w:sz="0" w:space="0" w:color="auto"/>
              </w:divBdr>
              <w:divsChild>
                <w:div w:id="102962496">
                  <w:marLeft w:val="0"/>
                  <w:marRight w:val="0"/>
                  <w:marTop w:val="0"/>
                  <w:marBottom w:val="0"/>
                  <w:divBdr>
                    <w:top w:val="none" w:sz="0" w:space="0" w:color="auto"/>
                    <w:left w:val="none" w:sz="0" w:space="0" w:color="auto"/>
                    <w:bottom w:val="none" w:sz="0" w:space="0" w:color="auto"/>
                    <w:right w:val="none" w:sz="0" w:space="0" w:color="auto"/>
                  </w:divBdr>
                </w:div>
              </w:divsChild>
            </w:div>
            <w:div w:id="2103648949">
              <w:marLeft w:val="0"/>
              <w:marRight w:val="0"/>
              <w:marTop w:val="0"/>
              <w:marBottom w:val="0"/>
              <w:divBdr>
                <w:top w:val="none" w:sz="0" w:space="0" w:color="auto"/>
                <w:left w:val="none" w:sz="0" w:space="0" w:color="auto"/>
                <w:bottom w:val="none" w:sz="0" w:space="0" w:color="auto"/>
                <w:right w:val="none" w:sz="0" w:space="0" w:color="auto"/>
              </w:divBdr>
              <w:divsChild>
                <w:div w:id="18282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949572">
          <w:marLeft w:val="0"/>
          <w:marRight w:val="0"/>
          <w:marTop w:val="0"/>
          <w:marBottom w:val="0"/>
          <w:divBdr>
            <w:top w:val="none" w:sz="0" w:space="0" w:color="auto"/>
            <w:left w:val="none" w:sz="0" w:space="0" w:color="auto"/>
            <w:bottom w:val="none" w:sz="0" w:space="0" w:color="auto"/>
            <w:right w:val="none" w:sz="0" w:space="0" w:color="auto"/>
          </w:divBdr>
        </w:div>
        <w:div w:id="1694837637">
          <w:marLeft w:val="0"/>
          <w:marRight w:val="0"/>
          <w:marTop w:val="0"/>
          <w:marBottom w:val="0"/>
          <w:divBdr>
            <w:top w:val="none" w:sz="0" w:space="0" w:color="auto"/>
            <w:left w:val="none" w:sz="0" w:space="0" w:color="auto"/>
            <w:bottom w:val="none" w:sz="0" w:space="0" w:color="auto"/>
            <w:right w:val="none" w:sz="0" w:space="0" w:color="auto"/>
          </w:divBdr>
        </w:div>
        <w:div w:id="1845779732">
          <w:marLeft w:val="0"/>
          <w:marRight w:val="0"/>
          <w:marTop w:val="0"/>
          <w:marBottom w:val="0"/>
          <w:divBdr>
            <w:top w:val="none" w:sz="0" w:space="0" w:color="auto"/>
            <w:left w:val="none" w:sz="0" w:space="0" w:color="auto"/>
            <w:bottom w:val="none" w:sz="0" w:space="0" w:color="auto"/>
            <w:right w:val="none" w:sz="0" w:space="0" w:color="auto"/>
          </w:divBdr>
        </w:div>
        <w:div w:id="1920284564">
          <w:marLeft w:val="0"/>
          <w:marRight w:val="0"/>
          <w:marTop w:val="0"/>
          <w:marBottom w:val="0"/>
          <w:divBdr>
            <w:top w:val="none" w:sz="0" w:space="0" w:color="auto"/>
            <w:left w:val="none" w:sz="0" w:space="0" w:color="auto"/>
            <w:bottom w:val="none" w:sz="0" w:space="0" w:color="auto"/>
            <w:right w:val="none" w:sz="0" w:space="0" w:color="auto"/>
          </w:divBdr>
        </w:div>
        <w:div w:id="1932204447">
          <w:marLeft w:val="0"/>
          <w:marRight w:val="0"/>
          <w:marTop w:val="0"/>
          <w:marBottom w:val="0"/>
          <w:divBdr>
            <w:top w:val="none" w:sz="0" w:space="0" w:color="auto"/>
            <w:left w:val="none" w:sz="0" w:space="0" w:color="auto"/>
            <w:bottom w:val="none" w:sz="0" w:space="0" w:color="auto"/>
            <w:right w:val="none" w:sz="0" w:space="0" w:color="auto"/>
          </w:divBdr>
        </w:div>
        <w:div w:id="2041735749">
          <w:marLeft w:val="0"/>
          <w:marRight w:val="0"/>
          <w:marTop w:val="0"/>
          <w:marBottom w:val="0"/>
          <w:divBdr>
            <w:top w:val="none" w:sz="0" w:space="0" w:color="auto"/>
            <w:left w:val="none" w:sz="0" w:space="0" w:color="auto"/>
            <w:bottom w:val="none" w:sz="0" w:space="0" w:color="auto"/>
            <w:right w:val="none" w:sz="0" w:space="0" w:color="auto"/>
          </w:divBdr>
        </w:div>
        <w:div w:id="2060127143">
          <w:marLeft w:val="0"/>
          <w:marRight w:val="0"/>
          <w:marTop w:val="0"/>
          <w:marBottom w:val="0"/>
          <w:divBdr>
            <w:top w:val="none" w:sz="0" w:space="0" w:color="auto"/>
            <w:left w:val="none" w:sz="0" w:space="0" w:color="auto"/>
            <w:bottom w:val="none" w:sz="0" w:space="0" w:color="auto"/>
            <w:right w:val="none" w:sz="0" w:space="0" w:color="auto"/>
          </w:divBdr>
        </w:div>
        <w:div w:id="2089956826">
          <w:marLeft w:val="0"/>
          <w:marRight w:val="0"/>
          <w:marTop w:val="0"/>
          <w:marBottom w:val="0"/>
          <w:divBdr>
            <w:top w:val="none" w:sz="0" w:space="0" w:color="auto"/>
            <w:left w:val="none" w:sz="0" w:space="0" w:color="auto"/>
            <w:bottom w:val="none" w:sz="0" w:space="0" w:color="auto"/>
            <w:right w:val="none" w:sz="0" w:space="0" w:color="auto"/>
          </w:divBdr>
        </w:div>
        <w:div w:id="2102798670">
          <w:marLeft w:val="0"/>
          <w:marRight w:val="0"/>
          <w:marTop w:val="0"/>
          <w:marBottom w:val="0"/>
          <w:divBdr>
            <w:top w:val="none" w:sz="0" w:space="0" w:color="auto"/>
            <w:left w:val="none" w:sz="0" w:space="0" w:color="auto"/>
            <w:bottom w:val="none" w:sz="0" w:space="0" w:color="auto"/>
            <w:right w:val="none" w:sz="0" w:space="0" w:color="auto"/>
          </w:divBdr>
        </w:div>
        <w:div w:id="2115050535">
          <w:marLeft w:val="0"/>
          <w:marRight w:val="0"/>
          <w:marTop w:val="0"/>
          <w:marBottom w:val="0"/>
          <w:divBdr>
            <w:top w:val="none" w:sz="0" w:space="0" w:color="auto"/>
            <w:left w:val="none" w:sz="0" w:space="0" w:color="auto"/>
            <w:bottom w:val="none" w:sz="0" w:space="0" w:color="auto"/>
            <w:right w:val="none" w:sz="0" w:space="0" w:color="auto"/>
          </w:divBdr>
        </w:div>
        <w:div w:id="2140344466">
          <w:marLeft w:val="0"/>
          <w:marRight w:val="0"/>
          <w:marTop w:val="0"/>
          <w:marBottom w:val="0"/>
          <w:divBdr>
            <w:top w:val="none" w:sz="0" w:space="0" w:color="auto"/>
            <w:left w:val="none" w:sz="0" w:space="0" w:color="auto"/>
            <w:bottom w:val="none" w:sz="0" w:space="0" w:color="auto"/>
            <w:right w:val="none" w:sz="0" w:space="0" w:color="auto"/>
          </w:divBdr>
        </w:div>
        <w:div w:id="2144614065">
          <w:marLeft w:val="0"/>
          <w:marRight w:val="0"/>
          <w:marTop w:val="0"/>
          <w:marBottom w:val="0"/>
          <w:divBdr>
            <w:top w:val="none" w:sz="0" w:space="0" w:color="auto"/>
            <w:left w:val="none" w:sz="0" w:space="0" w:color="auto"/>
            <w:bottom w:val="none" w:sz="0" w:space="0" w:color="auto"/>
            <w:right w:val="none" w:sz="0" w:space="0" w:color="auto"/>
          </w:divBdr>
        </w:div>
      </w:divsChild>
    </w:div>
    <w:div w:id="535317631">
      <w:bodyDiv w:val="1"/>
      <w:marLeft w:val="0"/>
      <w:marRight w:val="0"/>
      <w:marTop w:val="0"/>
      <w:marBottom w:val="0"/>
      <w:divBdr>
        <w:top w:val="none" w:sz="0" w:space="0" w:color="auto"/>
        <w:left w:val="none" w:sz="0" w:space="0" w:color="auto"/>
        <w:bottom w:val="none" w:sz="0" w:space="0" w:color="auto"/>
        <w:right w:val="none" w:sz="0" w:space="0" w:color="auto"/>
      </w:divBdr>
    </w:div>
    <w:div w:id="535852289">
      <w:bodyDiv w:val="1"/>
      <w:marLeft w:val="0"/>
      <w:marRight w:val="0"/>
      <w:marTop w:val="0"/>
      <w:marBottom w:val="0"/>
      <w:divBdr>
        <w:top w:val="none" w:sz="0" w:space="0" w:color="auto"/>
        <w:left w:val="none" w:sz="0" w:space="0" w:color="auto"/>
        <w:bottom w:val="none" w:sz="0" w:space="0" w:color="auto"/>
        <w:right w:val="none" w:sz="0" w:space="0" w:color="auto"/>
      </w:divBdr>
    </w:div>
    <w:div w:id="536697797">
      <w:bodyDiv w:val="1"/>
      <w:marLeft w:val="0"/>
      <w:marRight w:val="0"/>
      <w:marTop w:val="0"/>
      <w:marBottom w:val="0"/>
      <w:divBdr>
        <w:top w:val="none" w:sz="0" w:space="0" w:color="auto"/>
        <w:left w:val="none" w:sz="0" w:space="0" w:color="auto"/>
        <w:bottom w:val="none" w:sz="0" w:space="0" w:color="auto"/>
        <w:right w:val="none" w:sz="0" w:space="0" w:color="auto"/>
      </w:divBdr>
    </w:div>
    <w:div w:id="545875969">
      <w:bodyDiv w:val="1"/>
      <w:marLeft w:val="0"/>
      <w:marRight w:val="0"/>
      <w:marTop w:val="0"/>
      <w:marBottom w:val="0"/>
      <w:divBdr>
        <w:top w:val="none" w:sz="0" w:space="0" w:color="auto"/>
        <w:left w:val="none" w:sz="0" w:space="0" w:color="auto"/>
        <w:bottom w:val="none" w:sz="0" w:space="0" w:color="auto"/>
        <w:right w:val="none" w:sz="0" w:space="0" w:color="auto"/>
      </w:divBdr>
      <w:divsChild>
        <w:div w:id="1587812181">
          <w:marLeft w:val="0"/>
          <w:marRight w:val="0"/>
          <w:marTop w:val="0"/>
          <w:marBottom w:val="0"/>
          <w:divBdr>
            <w:top w:val="none" w:sz="0" w:space="0" w:color="auto"/>
            <w:left w:val="none" w:sz="0" w:space="0" w:color="auto"/>
            <w:bottom w:val="none" w:sz="0" w:space="0" w:color="auto"/>
            <w:right w:val="none" w:sz="0" w:space="0" w:color="auto"/>
          </w:divBdr>
        </w:div>
      </w:divsChild>
    </w:div>
    <w:div w:id="562528149">
      <w:bodyDiv w:val="1"/>
      <w:marLeft w:val="0"/>
      <w:marRight w:val="0"/>
      <w:marTop w:val="0"/>
      <w:marBottom w:val="0"/>
      <w:divBdr>
        <w:top w:val="none" w:sz="0" w:space="0" w:color="auto"/>
        <w:left w:val="none" w:sz="0" w:space="0" w:color="auto"/>
        <w:bottom w:val="none" w:sz="0" w:space="0" w:color="auto"/>
        <w:right w:val="none" w:sz="0" w:space="0" w:color="auto"/>
      </w:divBdr>
    </w:div>
    <w:div w:id="564534472">
      <w:bodyDiv w:val="1"/>
      <w:marLeft w:val="0"/>
      <w:marRight w:val="0"/>
      <w:marTop w:val="0"/>
      <w:marBottom w:val="0"/>
      <w:divBdr>
        <w:top w:val="none" w:sz="0" w:space="0" w:color="auto"/>
        <w:left w:val="none" w:sz="0" w:space="0" w:color="auto"/>
        <w:bottom w:val="none" w:sz="0" w:space="0" w:color="auto"/>
        <w:right w:val="none" w:sz="0" w:space="0" w:color="auto"/>
      </w:divBdr>
    </w:div>
    <w:div w:id="588268698">
      <w:bodyDiv w:val="1"/>
      <w:marLeft w:val="0"/>
      <w:marRight w:val="0"/>
      <w:marTop w:val="0"/>
      <w:marBottom w:val="0"/>
      <w:divBdr>
        <w:top w:val="none" w:sz="0" w:space="0" w:color="auto"/>
        <w:left w:val="none" w:sz="0" w:space="0" w:color="auto"/>
        <w:bottom w:val="none" w:sz="0" w:space="0" w:color="auto"/>
        <w:right w:val="none" w:sz="0" w:space="0" w:color="auto"/>
      </w:divBdr>
    </w:div>
    <w:div w:id="604073333">
      <w:bodyDiv w:val="1"/>
      <w:marLeft w:val="0"/>
      <w:marRight w:val="0"/>
      <w:marTop w:val="0"/>
      <w:marBottom w:val="0"/>
      <w:divBdr>
        <w:top w:val="none" w:sz="0" w:space="0" w:color="auto"/>
        <w:left w:val="none" w:sz="0" w:space="0" w:color="auto"/>
        <w:bottom w:val="none" w:sz="0" w:space="0" w:color="auto"/>
        <w:right w:val="none" w:sz="0" w:space="0" w:color="auto"/>
      </w:divBdr>
    </w:div>
    <w:div w:id="632029265">
      <w:bodyDiv w:val="1"/>
      <w:marLeft w:val="0"/>
      <w:marRight w:val="0"/>
      <w:marTop w:val="0"/>
      <w:marBottom w:val="0"/>
      <w:divBdr>
        <w:top w:val="none" w:sz="0" w:space="0" w:color="auto"/>
        <w:left w:val="none" w:sz="0" w:space="0" w:color="auto"/>
        <w:bottom w:val="none" w:sz="0" w:space="0" w:color="auto"/>
        <w:right w:val="none" w:sz="0" w:space="0" w:color="auto"/>
      </w:divBdr>
    </w:div>
    <w:div w:id="636496504">
      <w:bodyDiv w:val="1"/>
      <w:marLeft w:val="0"/>
      <w:marRight w:val="0"/>
      <w:marTop w:val="0"/>
      <w:marBottom w:val="0"/>
      <w:divBdr>
        <w:top w:val="none" w:sz="0" w:space="0" w:color="auto"/>
        <w:left w:val="none" w:sz="0" w:space="0" w:color="auto"/>
        <w:bottom w:val="none" w:sz="0" w:space="0" w:color="auto"/>
        <w:right w:val="none" w:sz="0" w:space="0" w:color="auto"/>
      </w:divBdr>
      <w:divsChild>
        <w:div w:id="159977607">
          <w:marLeft w:val="0"/>
          <w:marRight w:val="0"/>
          <w:marTop w:val="0"/>
          <w:marBottom w:val="0"/>
          <w:divBdr>
            <w:top w:val="none" w:sz="0" w:space="0" w:color="auto"/>
            <w:left w:val="none" w:sz="0" w:space="0" w:color="auto"/>
            <w:bottom w:val="none" w:sz="0" w:space="0" w:color="auto"/>
            <w:right w:val="none" w:sz="0" w:space="0" w:color="auto"/>
          </w:divBdr>
        </w:div>
        <w:div w:id="204413223">
          <w:marLeft w:val="0"/>
          <w:marRight w:val="0"/>
          <w:marTop w:val="0"/>
          <w:marBottom w:val="0"/>
          <w:divBdr>
            <w:top w:val="none" w:sz="0" w:space="0" w:color="auto"/>
            <w:left w:val="none" w:sz="0" w:space="0" w:color="auto"/>
            <w:bottom w:val="none" w:sz="0" w:space="0" w:color="auto"/>
            <w:right w:val="none" w:sz="0" w:space="0" w:color="auto"/>
          </w:divBdr>
        </w:div>
        <w:div w:id="483087474">
          <w:marLeft w:val="0"/>
          <w:marRight w:val="0"/>
          <w:marTop w:val="0"/>
          <w:marBottom w:val="0"/>
          <w:divBdr>
            <w:top w:val="none" w:sz="0" w:space="0" w:color="auto"/>
            <w:left w:val="none" w:sz="0" w:space="0" w:color="auto"/>
            <w:bottom w:val="none" w:sz="0" w:space="0" w:color="auto"/>
            <w:right w:val="none" w:sz="0" w:space="0" w:color="auto"/>
          </w:divBdr>
        </w:div>
        <w:div w:id="785731740">
          <w:marLeft w:val="0"/>
          <w:marRight w:val="0"/>
          <w:marTop w:val="0"/>
          <w:marBottom w:val="0"/>
          <w:divBdr>
            <w:top w:val="none" w:sz="0" w:space="0" w:color="auto"/>
            <w:left w:val="none" w:sz="0" w:space="0" w:color="auto"/>
            <w:bottom w:val="none" w:sz="0" w:space="0" w:color="auto"/>
            <w:right w:val="none" w:sz="0" w:space="0" w:color="auto"/>
          </w:divBdr>
          <w:divsChild>
            <w:div w:id="1468427393">
              <w:marLeft w:val="-75"/>
              <w:marRight w:val="0"/>
              <w:marTop w:val="30"/>
              <w:marBottom w:val="30"/>
              <w:divBdr>
                <w:top w:val="none" w:sz="0" w:space="0" w:color="auto"/>
                <w:left w:val="none" w:sz="0" w:space="0" w:color="auto"/>
                <w:bottom w:val="none" w:sz="0" w:space="0" w:color="auto"/>
                <w:right w:val="none" w:sz="0" w:space="0" w:color="auto"/>
              </w:divBdr>
              <w:divsChild>
                <w:div w:id="595343">
                  <w:marLeft w:val="0"/>
                  <w:marRight w:val="0"/>
                  <w:marTop w:val="0"/>
                  <w:marBottom w:val="0"/>
                  <w:divBdr>
                    <w:top w:val="none" w:sz="0" w:space="0" w:color="auto"/>
                    <w:left w:val="none" w:sz="0" w:space="0" w:color="auto"/>
                    <w:bottom w:val="none" w:sz="0" w:space="0" w:color="auto"/>
                    <w:right w:val="none" w:sz="0" w:space="0" w:color="auto"/>
                  </w:divBdr>
                  <w:divsChild>
                    <w:div w:id="737216909">
                      <w:marLeft w:val="0"/>
                      <w:marRight w:val="0"/>
                      <w:marTop w:val="0"/>
                      <w:marBottom w:val="0"/>
                      <w:divBdr>
                        <w:top w:val="none" w:sz="0" w:space="0" w:color="auto"/>
                        <w:left w:val="none" w:sz="0" w:space="0" w:color="auto"/>
                        <w:bottom w:val="none" w:sz="0" w:space="0" w:color="auto"/>
                        <w:right w:val="none" w:sz="0" w:space="0" w:color="auto"/>
                      </w:divBdr>
                    </w:div>
                  </w:divsChild>
                </w:div>
                <w:div w:id="24912323">
                  <w:marLeft w:val="0"/>
                  <w:marRight w:val="0"/>
                  <w:marTop w:val="0"/>
                  <w:marBottom w:val="0"/>
                  <w:divBdr>
                    <w:top w:val="none" w:sz="0" w:space="0" w:color="auto"/>
                    <w:left w:val="none" w:sz="0" w:space="0" w:color="auto"/>
                    <w:bottom w:val="none" w:sz="0" w:space="0" w:color="auto"/>
                    <w:right w:val="none" w:sz="0" w:space="0" w:color="auto"/>
                  </w:divBdr>
                  <w:divsChild>
                    <w:div w:id="701636043">
                      <w:marLeft w:val="0"/>
                      <w:marRight w:val="0"/>
                      <w:marTop w:val="0"/>
                      <w:marBottom w:val="0"/>
                      <w:divBdr>
                        <w:top w:val="none" w:sz="0" w:space="0" w:color="auto"/>
                        <w:left w:val="none" w:sz="0" w:space="0" w:color="auto"/>
                        <w:bottom w:val="none" w:sz="0" w:space="0" w:color="auto"/>
                        <w:right w:val="none" w:sz="0" w:space="0" w:color="auto"/>
                      </w:divBdr>
                    </w:div>
                  </w:divsChild>
                </w:div>
                <w:div w:id="25911445">
                  <w:marLeft w:val="0"/>
                  <w:marRight w:val="0"/>
                  <w:marTop w:val="0"/>
                  <w:marBottom w:val="0"/>
                  <w:divBdr>
                    <w:top w:val="none" w:sz="0" w:space="0" w:color="auto"/>
                    <w:left w:val="none" w:sz="0" w:space="0" w:color="auto"/>
                    <w:bottom w:val="none" w:sz="0" w:space="0" w:color="auto"/>
                    <w:right w:val="none" w:sz="0" w:space="0" w:color="auto"/>
                  </w:divBdr>
                  <w:divsChild>
                    <w:div w:id="728921416">
                      <w:marLeft w:val="0"/>
                      <w:marRight w:val="0"/>
                      <w:marTop w:val="0"/>
                      <w:marBottom w:val="0"/>
                      <w:divBdr>
                        <w:top w:val="none" w:sz="0" w:space="0" w:color="auto"/>
                        <w:left w:val="none" w:sz="0" w:space="0" w:color="auto"/>
                        <w:bottom w:val="none" w:sz="0" w:space="0" w:color="auto"/>
                        <w:right w:val="none" w:sz="0" w:space="0" w:color="auto"/>
                      </w:divBdr>
                    </w:div>
                  </w:divsChild>
                </w:div>
                <w:div w:id="47926649">
                  <w:marLeft w:val="0"/>
                  <w:marRight w:val="0"/>
                  <w:marTop w:val="0"/>
                  <w:marBottom w:val="0"/>
                  <w:divBdr>
                    <w:top w:val="none" w:sz="0" w:space="0" w:color="auto"/>
                    <w:left w:val="none" w:sz="0" w:space="0" w:color="auto"/>
                    <w:bottom w:val="none" w:sz="0" w:space="0" w:color="auto"/>
                    <w:right w:val="none" w:sz="0" w:space="0" w:color="auto"/>
                  </w:divBdr>
                  <w:divsChild>
                    <w:div w:id="1526989584">
                      <w:marLeft w:val="0"/>
                      <w:marRight w:val="0"/>
                      <w:marTop w:val="0"/>
                      <w:marBottom w:val="0"/>
                      <w:divBdr>
                        <w:top w:val="none" w:sz="0" w:space="0" w:color="auto"/>
                        <w:left w:val="none" w:sz="0" w:space="0" w:color="auto"/>
                        <w:bottom w:val="none" w:sz="0" w:space="0" w:color="auto"/>
                        <w:right w:val="none" w:sz="0" w:space="0" w:color="auto"/>
                      </w:divBdr>
                    </w:div>
                  </w:divsChild>
                </w:div>
                <w:div w:id="49502870">
                  <w:marLeft w:val="0"/>
                  <w:marRight w:val="0"/>
                  <w:marTop w:val="0"/>
                  <w:marBottom w:val="0"/>
                  <w:divBdr>
                    <w:top w:val="none" w:sz="0" w:space="0" w:color="auto"/>
                    <w:left w:val="none" w:sz="0" w:space="0" w:color="auto"/>
                    <w:bottom w:val="none" w:sz="0" w:space="0" w:color="auto"/>
                    <w:right w:val="none" w:sz="0" w:space="0" w:color="auto"/>
                  </w:divBdr>
                  <w:divsChild>
                    <w:div w:id="1623270583">
                      <w:marLeft w:val="0"/>
                      <w:marRight w:val="0"/>
                      <w:marTop w:val="0"/>
                      <w:marBottom w:val="0"/>
                      <w:divBdr>
                        <w:top w:val="none" w:sz="0" w:space="0" w:color="auto"/>
                        <w:left w:val="none" w:sz="0" w:space="0" w:color="auto"/>
                        <w:bottom w:val="none" w:sz="0" w:space="0" w:color="auto"/>
                        <w:right w:val="none" w:sz="0" w:space="0" w:color="auto"/>
                      </w:divBdr>
                    </w:div>
                  </w:divsChild>
                </w:div>
                <w:div w:id="50161202">
                  <w:marLeft w:val="0"/>
                  <w:marRight w:val="0"/>
                  <w:marTop w:val="0"/>
                  <w:marBottom w:val="0"/>
                  <w:divBdr>
                    <w:top w:val="none" w:sz="0" w:space="0" w:color="auto"/>
                    <w:left w:val="none" w:sz="0" w:space="0" w:color="auto"/>
                    <w:bottom w:val="none" w:sz="0" w:space="0" w:color="auto"/>
                    <w:right w:val="none" w:sz="0" w:space="0" w:color="auto"/>
                  </w:divBdr>
                  <w:divsChild>
                    <w:div w:id="456027340">
                      <w:marLeft w:val="0"/>
                      <w:marRight w:val="0"/>
                      <w:marTop w:val="0"/>
                      <w:marBottom w:val="0"/>
                      <w:divBdr>
                        <w:top w:val="none" w:sz="0" w:space="0" w:color="auto"/>
                        <w:left w:val="none" w:sz="0" w:space="0" w:color="auto"/>
                        <w:bottom w:val="none" w:sz="0" w:space="0" w:color="auto"/>
                        <w:right w:val="none" w:sz="0" w:space="0" w:color="auto"/>
                      </w:divBdr>
                    </w:div>
                  </w:divsChild>
                </w:div>
                <w:div w:id="69156395">
                  <w:marLeft w:val="0"/>
                  <w:marRight w:val="0"/>
                  <w:marTop w:val="0"/>
                  <w:marBottom w:val="0"/>
                  <w:divBdr>
                    <w:top w:val="none" w:sz="0" w:space="0" w:color="auto"/>
                    <w:left w:val="none" w:sz="0" w:space="0" w:color="auto"/>
                    <w:bottom w:val="none" w:sz="0" w:space="0" w:color="auto"/>
                    <w:right w:val="none" w:sz="0" w:space="0" w:color="auto"/>
                  </w:divBdr>
                  <w:divsChild>
                    <w:div w:id="380516389">
                      <w:marLeft w:val="0"/>
                      <w:marRight w:val="0"/>
                      <w:marTop w:val="0"/>
                      <w:marBottom w:val="0"/>
                      <w:divBdr>
                        <w:top w:val="none" w:sz="0" w:space="0" w:color="auto"/>
                        <w:left w:val="none" w:sz="0" w:space="0" w:color="auto"/>
                        <w:bottom w:val="none" w:sz="0" w:space="0" w:color="auto"/>
                        <w:right w:val="none" w:sz="0" w:space="0" w:color="auto"/>
                      </w:divBdr>
                    </w:div>
                  </w:divsChild>
                </w:div>
                <w:div w:id="86734852">
                  <w:marLeft w:val="0"/>
                  <w:marRight w:val="0"/>
                  <w:marTop w:val="0"/>
                  <w:marBottom w:val="0"/>
                  <w:divBdr>
                    <w:top w:val="none" w:sz="0" w:space="0" w:color="auto"/>
                    <w:left w:val="none" w:sz="0" w:space="0" w:color="auto"/>
                    <w:bottom w:val="none" w:sz="0" w:space="0" w:color="auto"/>
                    <w:right w:val="none" w:sz="0" w:space="0" w:color="auto"/>
                  </w:divBdr>
                  <w:divsChild>
                    <w:div w:id="276719073">
                      <w:marLeft w:val="0"/>
                      <w:marRight w:val="0"/>
                      <w:marTop w:val="0"/>
                      <w:marBottom w:val="0"/>
                      <w:divBdr>
                        <w:top w:val="none" w:sz="0" w:space="0" w:color="auto"/>
                        <w:left w:val="none" w:sz="0" w:space="0" w:color="auto"/>
                        <w:bottom w:val="none" w:sz="0" w:space="0" w:color="auto"/>
                        <w:right w:val="none" w:sz="0" w:space="0" w:color="auto"/>
                      </w:divBdr>
                    </w:div>
                  </w:divsChild>
                </w:div>
                <w:div w:id="163715613">
                  <w:marLeft w:val="0"/>
                  <w:marRight w:val="0"/>
                  <w:marTop w:val="0"/>
                  <w:marBottom w:val="0"/>
                  <w:divBdr>
                    <w:top w:val="none" w:sz="0" w:space="0" w:color="auto"/>
                    <w:left w:val="none" w:sz="0" w:space="0" w:color="auto"/>
                    <w:bottom w:val="none" w:sz="0" w:space="0" w:color="auto"/>
                    <w:right w:val="none" w:sz="0" w:space="0" w:color="auto"/>
                  </w:divBdr>
                  <w:divsChild>
                    <w:div w:id="1524973589">
                      <w:marLeft w:val="0"/>
                      <w:marRight w:val="0"/>
                      <w:marTop w:val="0"/>
                      <w:marBottom w:val="0"/>
                      <w:divBdr>
                        <w:top w:val="none" w:sz="0" w:space="0" w:color="auto"/>
                        <w:left w:val="none" w:sz="0" w:space="0" w:color="auto"/>
                        <w:bottom w:val="none" w:sz="0" w:space="0" w:color="auto"/>
                        <w:right w:val="none" w:sz="0" w:space="0" w:color="auto"/>
                      </w:divBdr>
                    </w:div>
                  </w:divsChild>
                </w:div>
                <w:div w:id="167142210">
                  <w:marLeft w:val="0"/>
                  <w:marRight w:val="0"/>
                  <w:marTop w:val="0"/>
                  <w:marBottom w:val="0"/>
                  <w:divBdr>
                    <w:top w:val="none" w:sz="0" w:space="0" w:color="auto"/>
                    <w:left w:val="none" w:sz="0" w:space="0" w:color="auto"/>
                    <w:bottom w:val="none" w:sz="0" w:space="0" w:color="auto"/>
                    <w:right w:val="none" w:sz="0" w:space="0" w:color="auto"/>
                  </w:divBdr>
                  <w:divsChild>
                    <w:div w:id="307589775">
                      <w:marLeft w:val="0"/>
                      <w:marRight w:val="0"/>
                      <w:marTop w:val="0"/>
                      <w:marBottom w:val="0"/>
                      <w:divBdr>
                        <w:top w:val="none" w:sz="0" w:space="0" w:color="auto"/>
                        <w:left w:val="none" w:sz="0" w:space="0" w:color="auto"/>
                        <w:bottom w:val="none" w:sz="0" w:space="0" w:color="auto"/>
                        <w:right w:val="none" w:sz="0" w:space="0" w:color="auto"/>
                      </w:divBdr>
                    </w:div>
                  </w:divsChild>
                </w:div>
                <w:div w:id="181823699">
                  <w:marLeft w:val="0"/>
                  <w:marRight w:val="0"/>
                  <w:marTop w:val="0"/>
                  <w:marBottom w:val="0"/>
                  <w:divBdr>
                    <w:top w:val="none" w:sz="0" w:space="0" w:color="auto"/>
                    <w:left w:val="none" w:sz="0" w:space="0" w:color="auto"/>
                    <w:bottom w:val="none" w:sz="0" w:space="0" w:color="auto"/>
                    <w:right w:val="none" w:sz="0" w:space="0" w:color="auto"/>
                  </w:divBdr>
                  <w:divsChild>
                    <w:div w:id="666593207">
                      <w:marLeft w:val="0"/>
                      <w:marRight w:val="0"/>
                      <w:marTop w:val="0"/>
                      <w:marBottom w:val="0"/>
                      <w:divBdr>
                        <w:top w:val="none" w:sz="0" w:space="0" w:color="auto"/>
                        <w:left w:val="none" w:sz="0" w:space="0" w:color="auto"/>
                        <w:bottom w:val="none" w:sz="0" w:space="0" w:color="auto"/>
                        <w:right w:val="none" w:sz="0" w:space="0" w:color="auto"/>
                      </w:divBdr>
                    </w:div>
                  </w:divsChild>
                </w:div>
                <w:div w:id="211236144">
                  <w:marLeft w:val="0"/>
                  <w:marRight w:val="0"/>
                  <w:marTop w:val="0"/>
                  <w:marBottom w:val="0"/>
                  <w:divBdr>
                    <w:top w:val="none" w:sz="0" w:space="0" w:color="auto"/>
                    <w:left w:val="none" w:sz="0" w:space="0" w:color="auto"/>
                    <w:bottom w:val="none" w:sz="0" w:space="0" w:color="auto"/>
                    <w:right w:val="none" w:sz="0" w:space="0" w:color="auto"/>
                  </w:divBdr>
                  <w:divsChild>
                    <w:div w:id="1761097655">
                      <w:marLeft w:val="0"/>
                      <w:marRight w:val="0"/>
                      <w:marTop w:val="0"/>
                      <w:marBottom w:val="0"/>
                      <w:divBdr>
                        <w:top w:val="none" w:sz="0" w:space="0" w:color="auto"/>
                        <w:left w:val="none" w:sz="0" w:space="0" w:color="auto"/>
                        <w:bottom w:val="none" w:sz="0" w:space="0" w:color="auto"/>
                        <w:right w:val="none" w:sz="0" w:space="0" w:color="auto"/>
                      </w:divBdr>
                    </w:div>
                  </w:divsChild>
                </w:div>
                <w:div w:id="219096904">
                  <w:marLeft w:val="0"/>
                  <w:marRight w:val="0"/>
                  <w:marTop w:val="0"/>
                  <w:marBottom w:val="0"/>
                  <w:divBdr>
                    <w:top w:val="none" w:sz="0" w:space="0" w:color="auto"/>
                    <w:left w:val="none" w:sz="0" w:space="0" w:color="auto"/>
                    <w:bottom w:val="none" w:sz="0" w:space="0" w:color="auto"/>
                    <w:right w:val="none" w:sz="0" w:space="0" w:color="auto"/>
                  </w:divBdr>
                  <w:divsChild>
                    <w:div w:id="1879120197">
                      <w:marLeft w:val="0"/>
                      <w:marRight w:val="0"/>
                      <w:marTop w:val="0"/>
                      <w:marBottom w:val="0"/>
                      <w:divBdr>
                        <w:top w:val="none" w:sz="0" w:space="0" w:color="auto"/>
                        <w:left w:val="none" w:sz="0" w:space="0" w:color="auto"/>
                        <w:bottom w:val="none" w:sz="0" w:space="0" w:color="auto"/>
                        <w:right w:val="none" w:sz="0" w:space="0" w:color="auto"/>
                      </w:divBdr>
                    </w:div>
                  </w:divsChild>
                </w:div>
                <w:div w:id="263802813">
                  <w:marLeft w:val="0"/>
                  <w:marRight w:val="0"/>
                  <w:marTop w:val="0"/>
                  <w:marBottom w:val="0"/>
                  <w:divBdr>
                    <w:top w:val="none" w:sz="0" w:space="0" w:color="auto"/>
                    <w:left w:val="none" w:sz="0" w:space="0" w:color="auto"/>
                    <w:bottom w:val="none" w:sz="0" w:space="0" w:color="auto"/>
                    <w:right w:val="none" w:sz="0" w:space="0" w:color="auto"/>
                  </w:divBdr>
                  <w:divsChild>
                    <w:div w:id="1228688676">
                      <w:marLeft w:val="0"/>
                      <w:marRight w:val="0"/>
                      <w:marTop w:val="0"/>
                      <w:marBottom w:val="0"/>
                      <w:divBdr>
                        <w:top w:val="none" w:sz="0" w:space="0" w:color="auto"/>
                        <w:left w:val="none" w:sz="0" w:space="0" w:color="auto"/>
                        <w:bottom w:val="none" w:sz="0" w:space="0" w:color="auto"/>
                        <w:right w:val="none" w:sz="0" w:space="0" w:color="auto"/>
                      </w:divBdr>
                    </w:div>
                  </w:divsChild>
                </w:div>
                <w:div w:id="276915819">
                  <w:marLeft w:val="0"/>
                  <w:marRight w:val="0"/>
                  <w:marTop w:val="0"/>
                  <w:marBottom w:val="0"/>
                  <w:divBdr>
                    <w:top w:val="none" w:sz="0" w:space="0" w:color="auto"/>
                    <w:left w:val="none" w:sz="0" w:space="0" w:color="auto"/>
                    <w:bottom w:val="none" w:sz="0" w:space="0" w:color="auto"/>
                    <w:right w:val="none" w:sz="0" w:space="0" w:color="auto"/>
                  </w:divBdr>
                  <w:divsChild>
                    <w:div w:id="1238899607">
                      <w:marLeft w:val="0"/>
                      <w:marRight w:val="0"/>
                      <w:marTop w:val="0"/>
                      <w:marBottom w:val="0"/>
                      <w:divBdr>
                        <w:top w:val="none" w:sz="0" w:space="0" w:color="auto"/>
                        <w:left w:val="none" w:sz="0" w:space="0" w:color="auto"/>
                        <w:bottom w:val="none" w:sz="0" w:space="0" w:color="auto"/>
                        <w:right w:val="none" w:sz="0" w:space="0" w:color="auto"/>
                      </w:divBdr>
                    </w:div>
                  </w:divsChild>
                </w:div>
                <w:div w:id="279535966">
                  <w:marLeft w:val="0"/>
                  <w:marRight w:val="0"/>
                  <w:marTop w:val="0"/>
                  <w:marBottom w:val="0"/>
                  <w:divBdr>
                    <w:top w:val="none" w:sz="0" w:space="0" w:color="auto"/>
                    <w:left w:val="none" w:sz="0" w:space="0" w:color="auto"/>
                    <w:bottom w:val="none" w:sz="0" w:space="0" w:color="auto"/>
                    <w:right w:val="none" w:sz="0" w:space="0" w:color="auto"/>
                  </w:divBdr>
                  <w:divsChild>
                    <w:div w:id="474222643">
                      <w:marLeft w:val="0"/>
                      <w:marRight w:val="0"/>
                      <w:marTop w:val="0"/>
                      <w:marBottom w:val="0"/>
                      <w:divBdr>
                        <w:top w:val="none" w:sz="0" w:space="0" w:color="auto"/>
                        <w:left w:val="none" w:sz="0" w:space="0" w:color="auto"/>
                        <w:bottom w:val="none" w:sz="0" w:space="0" w:color="auto"/>
                        <w:right w:val="none" w:sz="0" w:space="0" w:color="auto"/>
                      </w:divBdr>
                    </w:div>
                  </w:divsChild>
                </w:div>
                <w:div w:id="287509629">
                  <w:marLeft w:val="0"/>
                  <w:marRight w:val="0"/>
                  <w:marTop w:val="0"/>
                  <w:marBottom w:val="0"/>
                  <w:divBdr>
                    <w:top w:val="none" w:sz="0" w:space="0" w:color="auto"/>
                    <w:left w:val="none" w:sz="0" w:space="0" w:color="auto"/>
                    <w:bottom w:val="none" w:sz="0" w:space="0" w:color="auto"/>
                    <w:right w:val="none" w:sz="0" w:space="0" w:color="auto"/>
                  </w:divBdr>
                  <w:divsChild>
                    <w:div w:id="1612476387">
                      <w:marLeft w:val="0"/>
                      <w:marRight w:val="0"/>
                      <w:marTop w:val="0"/>
                      <w:marBottom w:val="0"/>
                      <w:divBdr>
                        <w:top w:val="none" w:sz="0" w:space="0" w:color="auto"/>
                        <w:left w:val="none" w:sz="0" w:space="0" w:color="auto"/>
                        <w:bottom w:val="none" w:sz="0" w:space="0" w:color="auto"/>
                        <w:right w:val="none" w:sz="0" w:space="0" w:color="auto"/>
                      </w:divBdr>
                    </w:div>
                  </w:divsChild>
                </w:div>
                <w:div w:id="291179366">
                  <w:marLeft w:val="0"/>
                  <w:marRight w:val="0"/>
                  <w:marTop w:val="0"/>
                  <w:marBottom w:val="0"/>
                  <w:divBdr>
                    <w:top w:val="none" w:sz="0" w:space="0" w:color="auto"/>
                    <w:left w:val="none" w:sz="0" w:space="0" w:color="auto"/>
                    <w:bottom w:val="none" w:sz="0" w:space="0" w:color="auto"/>
                    <w:right w:val="none" w:sz="0" w:space="0" w:color="auto"/>
                  </w:divBdr>
                  <w:divsChild>
                    <w:div w:id="509491144">
                      <w:marLeft w:val="0"/>
                      <w:marRight w:val="0"/>
                      <w:marTop w:val="0"/>
                      <w:marBottom w:val="0"/>
                      <w:divBdr>
                        <w:top w:val="none" w:sz="0" w:space="0" w:color="auto"/>
                        <w:left w:val="none" w:sz="0" w:space="0" w:color="auto"/>
                        <w:bottom w:val="none" w:sz="0" w:space="0" w:color="auto"/>
                        <w:right w:val="none" w:sz="0" w:space="0" w:color="auto"/>
                      </w:divBdr>
                    </w:div>
                  </w:divsChild>
                </w:div>
                <w:div w:id="297079580">
                  <w:marLeft w:val="0"/>
                  <w:marRight w:val="0"/>
                  <w:marTop w:val="0"/>
                  <w:marBottom w:val="0"/>
                  <w:divBdr>
                    <w:top w:val="none" w:sz="0" w:space="0" w:color="auto"/>
                    <w:left w:val="none" w:sz="0" w:space="0" w:color="auto"/>
                    <w:bottom w:val="none" w:sz="0" w:space="0" w:color="auto"/>
                    <w:right w:val="none" w:sz="0" w:space="0" w:color="auto"/>
                  </w:divBdr>
                  <w:divsChild>
                    <w:div w:id="551386191">
                      <w:marLeft w:val="0"/>
                      <w:marRight w:val="0"/>
                      <w:marTop w:val="0"/>
                      <w:marBottom w:val="0"/>
                      <w:divBdr>
                        <w:top w:val="none" w:sz="0" w:space="0" w:color="auto"/>
                        <w:left w:val="none" w:sz="0" w:space="0" w:color="auto"/>
                        <w:bottom w:val="none" w:sz="0" w:space="0" w:color="auto"/>
                        <w:right w:val="none" w:sz="0" w:space="0" w:color="auto"/>
                      </w:divBdr>
                    </w:div>
                  </w:divsChild>
                </w:div>
                <w:div w:id="312102785">
                  <w:marLeft w:val="0"/>
                  <w:marRight w:val="0"/>
                  <w:marTop w:val="0"/>
                  <w:marBottom w:val="0"/>
                  <w:divBdr>
                    <w:top w:val="none" w:sz="0" w:space="0" w:color="auto"/>
                    <w:left w:val="none" w:sz="0" w:space="0" w:color="auto"/>
                    <w:bottom w:val="none" w:sz="0" w:space="0" w:color="auto"/>
                    <w:right w:val="none" w:sz="0" w:space="0" w:color="auto"/>
                  </w:divBdr>
                  <w:divsChild>
                    <w:div w:id="1096024702">
                      <w:marLeft w:val="0"/>
                      <w:marRight w:val="0"/>
                      <w:marTop w:val="0"/>
                      <w:marBottom w:val="0"/>
                      <w:divBdr>
                        <w:top w:val="none" w:sz="0" w:space="0" w:color="auto"/>
                        <w:left w:val="none" w:sz="0" w:space="0" w:color="auto"/>
                        <w:bottom w:val="none" w:sz="0" w:space="0" w:color="auto"/>
                        <w:right w:val="none" w:sz="0" w:space="0" w:color="auto"/>
                      </w:divBdr>
                    </w:div>
                  </w:divsChild>
                </w:div>
                <w:div w:id="323240648">
                  <w:marLeft w:val="0"/>
                  <w:marRight w:val="0"/>
                  <w:marTop w:val="0"/>
                  <w:marBottom w:val="0"/>
                  <w:divBdr>
                    <w:top w:val="none" w:sz="0" w:space="0" w:color="auto"/>
                    <w:left w:val="none" w:sz="0" w:space="0" w:color="auto"/>
                    <w:bottom w:val="none" w:sz="0" w:space="0" w:color="auto"/>
                    <w:right w:val="none" w:sz="0" w:space="0" w:color="auto"/>
                  </w:divBdr>
                  <w:divsChild>
                    <w:div w:id="1229613501">
                      <w:marLeft w:val="0"/>
                      <w:marRight w:val="0"/>
                      <w:marTop w:val="0"/>
                      <w:marBottom w:val="0"/>
                      <w:divBdr>
                        <w:top w:val="none" w:sz="0" w:space="0" w:color="auto"/>
                        <w:left w:val="none" w:sz="0" w:space="0" w:color="auto"/>
                        <w:bottom w:val="none" w:sz="0" w:space="0" w:color="auto"/>
                        <w:right w:val="none" w:sz="0" w:space="0" w:color="auto"/>
                      </w:divBdr>
                    </w:div>
                  </w:divsChild>
                </w:div>
                <w:div w:id="344211223">
                  <w:marLeft w:val="0"/>
                  <w:marRight w:val="0"/>
                  <w:marTop w:val="0"/>
                  <w:marBottom w:val="0"/>
                  <w:divBdr>
                    <w:top w:val="none" w:sz="0" w:space="0" w:color="auto"/>
                    <w:left w:val="none" w:sz="0" w:space="0" w:color="auto"/>
                    <w:bottom w:val="none" w:sz="0" w:space="0" w:color="auto"/>
                    <w:right w:val="none" w:sz="0" w:space="0" w:color="auto"/>
                  </w:divBdr>
                  <w:divsChild>
                    <w:div w:id="2048293380">
                      <w:marLeft w:val="0"/>
                      <w:marRight w:val="0"/>
                      <w:marTop w:val="0"/>
                      <w:marBottom w:val="0"/>
                      <w:divBdr>
                        <w:top w:val="none" w:sz="0" w:space="0" w:color="auto"/>
                        <w:left w:val="none" w:sz="0" w:space="0" w:color="auto"/>
                        <w:bottom w:val="none" w:sz="0" w:space="0" w:color="auto"/>
                        <w:right w:val="none" w:sz="0" w:space="0" w:color="auto"/>
                      </w:divBdr>
                    </w:div>
                  </w:divsChild>
                </w:div>
                <w:div w:id="353919917">
                  <w:marLeft w:val="0"/>
                  <w:marRight w:val="0"/>
                  <w:marTop w:val="0"/>
                  <w:marBottom w:val="0"/>
                  <w:divBdr>
                    <w:top w:val="none" w:sz="0" w:space="0" w:color="auto"/>
                    <w:left w:val="none" w:sz="0" w:space="0" w:color="auto"/>
                    <w:bottom w:val="none" w:sz="0" w:space="0" w:color="auto"/>
                    <w:right w:val="none" w:sz="0" w:space="0" w:color="auto"/>
                  </w:divBdr>
                  <w:divsChild>
                    <w:div w:id="530648242">
                      <w:marLeft w:val="0"/>
                      <w:marRight w:val="0"/>
                      <w:marTop w:val="0"/>
                      <w:marBottom w:val="0"/>
                      <w:divBdr>
                        <w:top w:val="none" w:sz="0" w:space="0" w:color="auto"/>
                        <w:left w:val="none" w:sz="0" w:space="0" w:color="auto"/>
                        <w:bottom w:val="none" w:sz="0" w:space="0" w:color="auto"/>
                        <w:right w:val="none" w:sz="0" w:space="0" w:color="auto"/>
                      </w:divBdr>
                    </w:div>
                  </w:divsChild>
                </w:div>
                <w:div w:id="355741327">
                  <w:marLeft w:val="0"/>
                  <w:marRight w:val="0"/>
                  <w:marTop w:val="0"/>
                  <w:marBottom w:val="0"/>
                  <w:divBdr>
                    <w:top w:val="none" w:sz="0" w:space="0" w:color="auto"/>
                    <w:left w:val="none" w:sz="0" w:space="0" w:color="auto"/>
                    <w:bottom w:val="none" w:sz="0" w:space="0" w:color="auto"/>
                    <w:right w:val="none" w:sz="0" w:space="0" w:color="auto"/>
                  </w:divBdr>
                  <w:divsChild>
                    <w:div w:id="1445688198">
                      <w:marLeft w:val="0"/>
                      <w:marRight w:val="0"/>
                      <w:marTop w:val="0"/>
                      <w:marBottom w:val="0"/>
                      <w:divBdr>
                        <w:top w:val="none" w:sz="0" w:space="0" w:color="auto"/>
                        <w:left w:val="none" w:sz="0" w:space="0" w:color="auto"/>
                        <w:bottom w:val="none" w:sz="0" w:space="0" w:color="auto"/>
                        <w:right w:val="none" w:sz="0" w:space="0" w:color="auto"/>
                      </w:divBdr>
                    </w:div>
                  </w:divsChild>
                </w:div>
                <w:div w:id="368140698">
                  <w:marLeft w:val="0"/>
                  <w:marRight w:val="0"/>
                  <w:marTop w:val="0"/>
                  <w:marBottom w:val="0"/>
                  <w:divBdr>
                    <w:top w:val="none" w:sz="0" w:space="0" w:color="auto"/>
                    <w:left w:val="none" w:sz="0" w:space="0" w:color="auto"/>
                    <w:bottom w:val="none" w:sz="0" w:space="0" w:color="auto"/>
                    <w:right w:val="none" w:sz="0" w:space="0" w:color="auto"/>
                  </w:divBdr>
                  <w:divsChild>
                    <w:div w:id="2133093995">
                      <w:marLeft w:val="0"/>
                      <w:marRight w:val="0"/>
                      <w:marTop w:val="0"/>
                      <w:marBottom w:val="0"/>
                      <w:divBdr>
                        <w:top w:val="none" w:sz="0" w:space="0" w:color="auto"/>
                        <w:left w:val="none" w:sz="0" w:space="0" w:color="auto"/>
                        <w:bottom w:val="none" w:sz="0" w:space="0" w:color="auto"/>
                        <w:right w:val="none" w:sz="0" w:space="0" w:color="auto"/>
                      </w:divBdr>
                    </w:div>
                  </w:divsChild>
                </w:div>
                <w:div w:id="373891230">
                  <w:marLeft w:val="0"/>
                  <w:marRight w:val="0"/>
                  <w:marTop w:val="0"/>
                  <w:marBottom w:val="0"/>
                  <w:divBdr>
                    <w:top w:val="none" w:sz="0" w:space="0" w:color="auto"/>
                    <w:left w:val="none" w:sz="0" w:space="0" w:color="auto"/>
                    <w:bottom w:val="none" w:sz="0" w:space="0" w:color="auto"/>
                    <w:right w:val="none" w:sz="0" w:space="0" w:color="auto"/>
                  </w:divBdr>
                  <w:divsChild>
                    <w:div w:id="262421058">
                      <w:marLeft w:val="0"/>
                      <w:marRight w:val="0"/>
                      <w:marTop w:val="0"/>
                      <w:marBottom w:val="0"/>
                      <w:divBdr>
                        <w:top w:val="none" w:sz="0" w:space="0" w:color="auto"/>
                        <w:left w:val="none" w:sz="0" w:space="0" w:color="auto"/>
                        <w:bottom w:val="none" w:sz="0" w:space="0" w:color="auto"/>
                        <w:right w:val="none" w:sz="0" w:space="0" w:color="auto"/>
                      </w:divBdr>
                    </w:div>
                  </w:divsChild>
                </w:div>
                <w:div w:id="377167419">
                  <w:marLeft w:val="0"/>
                  <w:marRight w:val="0"/>
                  <w:marTop w:val="0"/>
                  <w:marBottom w:val="0"/>
                  <w:divBdr>
                    <w:top w:val="none" w:sz="0" w:space="0" w:color="auto"/>
                    <w:left w:val="none" w:sz="0" w:space="0" w:color="auto"/>
                    <w:bottom w:val="none" w:sz="0" w:space="0" w:color="auto"/>
                    <w:right w:val="none" w:sz="0" w:space="0" w:color="auto"/>
                  </w:divBdr>
                  <w:divsChild>
                    <w:div w:id="379284895">
                      <w:marLeft w:val="0"/>
                      <w:marRight w:val="0"/>
                      <w:marTop w:val="0"/>
                      <w:marBottom w:val="0"/>
                      <w:divBdr>
                        <w:top w:val="none" w:sz="0" w:space="0" w:color="auto"/>
                        <w:left w:val="none" w:sz="0" w:space="0" w:color="auto"/>
                        <w:bottom w:val="none" w:sz="0" w:space="0" w:color="auto"/>
                        <w:right w:val="none" w:sz="0" w:space="0" w:color="auto"/>
                      </w:divBdr>
                    </w:div>
                  </w:divsChild>
                </w:div>
                <w:div w:id="399904681">
                  <w:marLeft w:val="0"/>
                  <w:marRight w:val="0"/>
                  <w:marTop w:val="0"/>
                  <w:marBottom w:val="0"/>
                  <w:divBdr>
                    <w:top w:val="none" w:sz="0" w:space="0" w:color="auto"/>
                    <w:left w:val="none" w:sz="0" w:space="0" w:color="auto"/>
                    <w:bottom w:val="none" w:sz="0" w:space="0" w:color="auto"/>
                    <w:right w:val="none" w:sz="0" w:space="0" w:color="auto"/>
                  </w:divBdr>
                  <w:divsChild>
                    <w:div w:id="230308942">
                      <w:marLeft w:val="0"/>
                      <w:marRight w:val="0"/>
                      <w:marTop w:val="0"/>
                      <w:marBottom w:val="0"/>
                      <w:divBdr>
                        <w:top w:val="none" w:sz="0" w:space="0" w:color="auto"/>
                        <w:left w:val="none" w:sz="0" w:space="0" w:color="auto"/>
                        <w:bottom w:val="none" w:sz="0" w:space="0" w:color="auto"/>
                        <w:right w:val="none" w:sz="0" w:space="0" w:color="auto"/>
                      </w:divBdr>
                    </w:div>
                  </w:divsChild>
                </w:div>
                <w:div w:id="412119767">
                  <w:marLeft w:val="0"/>
                  <w:marRight w:val="0"/>
                  <w:marTop w:val="0"/>
                  <w:marBottom w:val="0"/>
                  <w:divBdr>
                    <w:top w:val="none" w:sz="0" w:space="0" w:color="auto"/>
                    <w:left w:val="none" w:sz="0" w:space="0" w:color="auto"/>
                    <w:bottom w:val="none" w:sz="0" w:space="0" w:color="auto"/>
                    <w:right w:val="none" w:sz="0" w:space="0" w:color="auto"/>
                  </w:divBdr>
                  <w:divsChild>
                    <w:div w:id="1862861881">
                      <w:marLeft w:val="0"/>
                      <w:marRight w:val="0"/>
                      <w:marTop w:val="0"/>
                      <w:marBottom w:val="0"/>
                      <w:divBdr>
                        <w:top w:val="none" w:sz="0" w:space="0" w:color="auto"/>
                        <w:left w:val="none" w:sz="0" w:space="0" w:color="auto"/>
                        <w:bottom w:val="none" w:sz="0" w:space="0" w:color="auto"/>
                        <w:right w:val="none" w:sz="0" w:space="0" w:color="auto"/>
                      </w:divBdr>
                    </w:div>
                  </w:divsChild>
                </w:div>
                <w:div w:id="416168786">
                  <w:marLeft w:val="0"/>
                  <w:marRight w:val="0"/>
                  <w:marTop w:val="0"/>
                  <w:marBottom w:val="0"/>
                  <w:divBdr>
                    <w:top w:val="none" w:sz="0" w:space="0" w:color="auto"/>
                    <w:left w:val="none" w:sz="0" w:space="0" w:color="auto"/>
                    <w:bottom w:val="none" w:sz="0" w:space="0" w:color="auto"/>
                    <w:right w:val="none" w:sz="0" w:space="0" w:color="auto"/>
                  </w:divBdr>
                  <w:divsChild>
                    <w:div w:id="639265166">
                      <w:marLeft w:val="0"/>
                      <w:marRight w:val="0"/>
                      <w:marTop w:val="0"/>
                      <w:marBottom w:val="0"/>
                      <w:divBdr>
                        <w:top w:val="none" w:sz="0" w:space="0" w:color="auto"/>
                        <w:left w:val="none" w:sz="0" w:space="0" w:color="auto"/>
                        <w:bottom w:val="none" w:sz="0" w:space="0" w:color="auto"/>
                        <w:right w:val="none" w:sz="0" w:space="0" w:color="auto"/>
                      </w:divBdr>
                    </w:div>
                  </w:divsChild>
                </w:div>
                <w:div w:id="431365671">
                  <w:marLeft w:val="0"/>
                  <w:marRight w:val="0"/>
                  <w:marTop w:val="0"/>
                  <w:marBottom w:val="0"/>
                  <w:divBdr>
                    <w:top w:val="none" w:sz="0" w:space="0" w:color="auto"/>
                    <w:left w:val="none" w:sz="0" w:space="0" w:color="auto"/>
                    <w:bottom w:val="none" w:sz="0" w:space="0" w:color="auto"/>
                    <w:right w:val="none" w:sz="0" w:space="0" w:color="auto"/>
                  </w:divBdr>
                  <w:divsChild>
                    <w:div w:id="428936157">
                      <w:marLeft w:val="0"/>
                      <w:marRight w:val="0"/>
                      <w:marTop w:val="0"/>
                      <w:marBottom w:val="0"/>
                      <w:divBdr>
                        <w:top w:val="none" w:sz="0" w:space="0" w:color="auto"/>
                        <w:left w:val="none" w:sz="0" w:space="0" w:color="auto"/>
                        <w:bottom w:val="none" w:sz="0" w:space="0" w:color="auto"/>
                        <w:right w:val="none" w:sz="0" w:space="0" w:color="auto"/>
                      </w:divBdr>
                    </w:div>
                  </w:divsChild>
                </w:div>
                <w:div w:id="468405246">
                  <w:marLeft w:val="0"/>
                  <w:marRight w:val="0"/>
                  <w:marTop w:val="0"/>
                  <w:marBottom w:val="0"/>
                  <w:divBdr>
                    <w:top w:val="none" w:sz="0" w:space="0" w:color="auto"/>
                    <w:left w:val="none" w:sz="0" w:space="0" w:color="auto"/>
                    <w:bottom w:val="none" w:sz="0" w:space="0" w:color="auto"/>
                    <w:right w:val="none" w:sz="0" w:space="0" w:color="auto"/>
                  </w:divBdr>
                  <w:divsChild>
                    <w:div w:id="1485119024">
                      <w:marLeft w:val="0"/>
                      <w:marRight w:val="0"/>
                      <w:marTop w:val="0"/>
                      <w:marBottom w:val="0"/>
                      <w:divBdr>
                        <w:top w:val="none" w:sz="0" w:space="0" w:color="auto"/>
                        <w:left w:val="none" w:sz="0" w:space="0" w:color="auto"/>
                        <w:bottom w:val="none" w:sz="0" w:space="0" w:color="auto"/>
                        <w:right w:val="none" w:sz="0" w:space="0" w:color="auto"/>
                      </w:divBdr>
                    </w:div>
                  </w:divsChild>
                </w:div>
                <w:div w:id="476725544">
                  <w:marLeft w:val="0"/>
                  <w:marRight w:val="0"/>
                  <w:marTop w:val="0"/>
                  <w:marBottom w:val="0"/>
                  <w:divBdr>
                    <w:top w:val="none" w:sz="0" w:space="0" w:color="auto"/>
                    <w:left w:val="none" w:sz="0" w:space="0" w:color="auto"/>
                    <w:bottom w:val="none" w:sz="0" w:space="0" w:color="auto"/>
                    <w:right w:val="none" w:sz="0" w:space="0" w:color="auto"/>
                  </w:divBdr>
                  <w:divsChild>
                    <w:div w:id="1195925011">
                      <w:marLeft w:val="0"/>
                      <w:marRight w:val="0"/>
                      <w:marTop w:val="0"/>
                      <w:marBottom w:val="0"/>
                      <w:divBdr>
                        <w:top w:val="none" w:sz="0" w:space="0" w:color="auto"/>
                        <w:left w:val="none" w:sz="0" w:space="0" w:color="auto"/>
                        <w:bottom w:val="none" w:sz="0" w:space="0" w:color="auto"/>
                        <w:right w:val="none" w:sz="0" w:space="0" w:color="auto"/>
                      </w:divBdr>
                    </w:div>
                  </w:divsChild>
                </w:div>
                <w:div w:id="478419715">
                  <w:marLeft w:val="0"/>
                  <w:marRight w:val="0"/>
                  <w:marTop w:val="0"/>
                  <w:marBottom w:val="0"/>
                  <w:divBdr>
                    <w:top w:val="none" w:sz="0" w:space="0" w:color="auto"/>
                    <w:left w:val="none" w:sz="0" w:space="0" w:color="auto"/>
                    <w:bottom w:val="none" w:sz="0" w:space="0" w:color="auto"/>
                    <w:right w:val="none" w:sz="0" w:space="0" w:color="auto"/>
                  </w:divBdr>
                  <w:divsChild>
                    <w:div w:id="2145468047">
                      <w:marLeft w:val="0"/>
                      <w:marRight w:val="0"/>
                      <w:marTop w:val="0"/>
                      <w:marBottom w:val="0"/>
                      <w:divBdr>
                        <w:top w:val="none" w:sz="0" w:space="0" w:color="auto"/>
                        <w:left w:val="none" w:sz="0" w:space="0" w:color="auto"/>
                        <w:bottom w:val="none" w:sz="0" w:space="0" w:color="auto"/>
                        <w:right w:val="none" w:sz="0" w:space="0" w:color="auto"/>
                      </w:divBdr>
                    </w:div>
                  </w:divsChild>
                </w:div>
                <w:div w:id="484081284">
                  <w:marLeft w:val="0"/>
                  <w:marRight w:val="0"/>
                  <w:marTop w:val="0"/>
                  <w:marBottom w:val="0"/>
                  <w:divBdr>
                    <w:top w:val="none" w:sz="0" w:space="0" w:color="auto"/>
                    <w:left w:val="none" w:sz="0" w:space="0" w:color="auto"/>
                    <w:bottom w:val="none" w:sz="0" w:space="0" w:color="auto"/>
                    <w:right w:val="none" w:sz="0" w:space="0" w:color="auto"/>
                  </w:divBdr>
                  <w:divsChild>
                    <w:div w:id="1645504106">
                      <w:marLeft w:val="0"/>
                      <w:marRight w:val="0"/>
                      <w:marTop w:val="0"/>
                      <w:marBottom w:val="0"/>
                      <w:divBdr>
                        <w:top w:val="none" w:sz="0" w:space="0" w:color="auto"/>
                        <w:left w:val="none" w:sz="0" w:space="0" w:color="auto"/>
                        <w:bottom w:val="none" w:sz="0" w:space="0" w:color="auto"/>
                        <w:right w:val="none" w:sz="0" w:space="0" w:color="auto"/>
                      </w:divBdr>
                    </w:div>
                  </w:divsChild>
                </w:div>
                <w:div w:id="489444233">
                  <w:marLeft w:val="0"/>
                  <w:marRight w:val="0"/>
                  <w:marTop w:val="0"/>
                  <w:marBottom w:val="0"/>
                  <w:divBdr>
                    <w:top w:val="none" w:sz="0" w:space="0" w:color="auto"/>
                    <w:left w:val="none" w:sz="0" w:space="0" w:color="auto"/>
                    <w:bottom w:val="none" w:sz="0" w:space="0" w:color="auto"/>
                    <w:right w:val="none" w:sz="0" w:space="0" w:color="auto"/>
                  </w:divBdr>
                  <w:divsChild>
                    <w:div w:id="1836147189">
                      <w:marLeft w:val="0"/>
                      <w:marRight w:val="0"/>
                      <w:marTop w:val="0"/>
                      <w:marBottom w:val="0"/>
                      <w:divBdr>
                        <w:top w:val="none" w:sz="0" w:space="0" w:color="auto"/>
                        <w:left w:val="none" w:sz="0" w:space="0" w:color="auto"/>
                        <w:bottom w:val="none" w:sz="0" w:space="0" w:color="auto"/>
                        <w:right w:val="none" w:sz="0" w:space="0" w:color="auto"/>
                      </w:divBdr>
                    </w:div>
                  </w:divsChild>
                </w:div>
                <w:div w:id="524514747">
                  <w:marLeft w:val="0"/>
                  <w:marRight w:val="0"/>
                  <w:marTop w:val="0"/>
                  <w:marBottom w:val="0"/>
                  <w:divBdr>
                    <w:top w:val="none" w:sz="0" w:space="0" w:color="auto"/>
                    <w:left w:val="none" w:sz="0" w:space="0" w:color="auto"/>
                    <w:bottom w:val="none" w:sz="0" w:space="0" w:color="auto"/>
                    <w:right w:val="none" w:sz="0" w:space="0" w:color="auto"/>
                  </w:divBdr>
                  <w:divsChild>
                    <w:div w:id="1678268159">
                      <w:marLeft w:val="0"/>
                      <w:marRight w:val="0"/>
                      <w:marTop w:val="0"/>
                      <w:marBottom w:val="0"/>
                      <w:divBdr>
                        <w:top w:val="none" w:sz="0" w:space="0" w:color="auto"/>
                        <w:left w:val="none" w:sz="0" w:space="0" w:color="auto"/>
                        <w:bottom w:val="none" w:sz="0" w:space="0" w:color="auto"/>
                        <w:right w:val="none" w:sz="0" w:space="0" w:color="auto"/>
                      </w:divBdr>
                    </w:div>
                  </w:divsChild>
                </w:div>
                <w:div w:id="526523843">
                  <w:marLeft w:val="0"/>
                  <w:marRight w:val="0"/>
                  <w:marTop w:val="0"/>
                  <w:marBottom w:val="0"/>
                  <w:divBdr>
                    <w:top w:val="none" w:sz="0" w:space="0" w:color="auto"/>
                    <w:left w:val="none" w:sz="0" w:space="0" w:color="auto"/>
                    <w:bottom w:val="none" w:sz="0" w:space="0" w:color="auto"/>
                    <w:right w:val="none" w:sz="0" w:space="0" w:color="auto"/>
                  </w:divBdr>
                  <w:divsChild>
                    <w:div w:id="817065525">
                      <w:marLeft w:val="0"/>
                      <w:marRight w:val="0"/>
                      <w:marTop w:val="0"/>
                      <w:marBottom w:val="0"/>
                      <w:divBdr>
                        <w:top w:val="none" w:sz="0" w:space="0" w:color="auto"/>
                        <w:left w:val="none" w:sz="0" w:space="0" w:color="auto"/>
                        <w:bottom w:val="none" w:sz="0" w:space="0" w:color="auto"/>
                        <w:right w:val="none" w:sz="0" w:space="0" w:color="auto"/>
                      </w:divBdr>
                    </w:div>
                  </w:divsChild>
                </w:div>
                <w:div w:id="533691468">
                  <w:marLeft w:val="0"/>
                  <w:marRight w:val="0"/>
                  <w:marTop w:val="0"/>
                  <w:marBottom w:val="0"/>
                  <w:divBdr>
                    <w:top w:val="none" w:sz="0" w:space="0" w:color="auto"/>
                    <w:left w:val="none" w:sz="0" w:space="0" w:color="auto"/>
                    <w:bottom w:val="none" w:sz="0" w:space="0" w:color="auto"/>
                    <w:right w:val="none" w:sz="0" w:space="0" w:color="auto"/>
                  </w:divBdr>
                  <w:divsChild>
                    <w:div w:id="1339193436">
                      <w:marLeft w:val="0"/>
                      <w:marRight w:val="0"/>
                      <w:marTop w:val="0"/>
                      <w:marBottom w:val="0"/>
                      <w:divBdr>
                        <w:top w:val="none" w:sz="0" w:space="0" w:color="auto"/>
                        <w:left w:val="none" w:sz="0" w:space="0" w:color="auto"/>
                        <w:bottom w:val="none" w:sz="0" w:space="0" w:color="auto"/>
                        <w:right w:val="none" w:sz="0" w:space="0" w:color="auto"/>
                      </w:divBdr>
                    </w:div>
                  </w:divsChild>
                </w:div>
                <w:div w:id="574172771">
                  <w:marLeft w:val="0"/>
                  <w:marRight w:val="0"/>
                  <w:marTop w:val="0"/>
                  <w:marBottom w:val="0"/>
                  <w:divBdr>
                    <w:top w:val="none" w:sz="0" w:space="0" w:color="auto"/>
                    <w:left w:val="none" w:sz="0" w:space="0" w:color="auto"/>
                    <w:bottom w:val="none" w:sz="0" w:space="0" w:color="auto"/>
                    <w:right w:val="none" w:sz="0" w:space="0" w:color="auto"/>
                  </w:divBdr>
                  <w:divsChild>
                    <w:div w:id="1833595546">
                      <w:marLeft w:val="0"/>
                      <w:marRight w:val="0"/>
                      <w:marTop w:val="0"/>
                      <w:marBottom w:val="0"/>
                      <w:divBdr>
                        <w:top w:val="none" w:sz="0" w:space="0" w:color="auto"/>
                        <w:left w:val="none" w:sz="0" w:space="0" w:color="auto"/>
                        <w:bottom w:val="none" w:sz="0" w:space="0" w:color="auto"/>
                        <w:right w:val="none" w:sz="0" w:space="0" w:color="auto"/>
                      </w:divBdr>
                    </w:div>
                  </w:divsChild>
                </w:div>
                <w:div w:id="578833981">
                  <w:marLeft w:val="0"/>
                  <w:marRight w:val="0"/>
                  <w:marTop w:val="0"/>
                  <w:marBottom w:val="0"/>
                  <w:divBdr>
                    <w:top w:val="none" w:sz="0" w:space="0" w:color="auto"/>
                    <w:left w:val="none" w:sz="0" w:space="0" w:color="auto"/>
                    <w:bottom w:val="none" w:sz="0" w:space="0" w:color="auto"/>
                    <w:right w:val="none" w:sz="0" w:space="0" w:color="auto"/>
                  </w:divBdr>
                  <w:divsChild>
                    <w:div w:id="1501311577">
                      <w:marLeft w:val="0"/>
                      <w:marRight w:val="0"/>
                      <w:marTop w:val="0"/>
                      <w:marBottom w:val="0"/>
                      <w:divBdr>
                        <w:top w:val="none" w:sz="0" w:space="0" w:color="auto"/>
                        <w:left w:val="none" w:sz="0" w:space="0" w:color="auto"/>
                        <w:bottom w:val="none" w:sz="0" w:space="0" w:color="auto"/>
                        <w:right w:val="none" w:sz="0" w:space="0" w:color="auto"/>
                      </w:divBdr>
                    </w:div>
                  </w:divsChild>
                </w:div>
                <w:div w:id="579218489">
                  <w:marLeft w:val="0"/>
                  <w:marRight w:val="0"/>
                  <w:marTop w:val="0"/>
                  <w:marBottom w:val="0"/>
                  <w:divBdr>
                    <w:top w:val="none" w:sz="0" w:space="0" w:color="auto"/>
                    <w:left w:val="none" w:sz="0" w:space="0" w:color="auto"/>
                    <w:bottom w:val="none" w:sz="0" w:space="0" w:color="auto"/>
                    <w:right w:val="none" w:sz="0" w:space="0" w:color="auto"/>
                  </w:divBdr>
                  <w:divsChild>
                    <w:div w:id="869880005">
                      <w:marLeft w:val="0"/>
                      <w:marRight w:val="0"/>
                      <w:marTop w:val="0"/>
                      <w:marBottom w:val="0"/>
                      <w:divBdr>
                        <w:top w:val="none" w:sz="0" w:space="0" w:color="auto"/>
                        <w:left w:val="none" w:sz="0" w:space="0" w:color="auto"/>
                        <w:bottom w:val="none" w:sz="0" w:space="0" w:color="auto"/>
                        <w:right w:val="none" w:sz="0" w:space="0" w:color="auto"/>
                      </w:divBdr>
                    </w:div>
                  </w:divsChild>
                </w:div>
                <w:div w:id="585069906">
                  <w:marLeft w:val="0"/>
                  <w:marRight w:val="0"/>
                  <w:marTop w:val="0"/>
                  <w:marBottom w:val="0"/>
                  <w:divBdr>
                    <w:top w:val="none" w:sz="0" w:space="0" w:color="auto"/>
                    <w:left w:val="none" w:sz="0" w:space="0" w:color="auto"/>
                    <w:bottom w:val="none" w:sz="0" w:space="0" w:color="auto"/>
                    <w:right w:val="none" w:sz="0" w:space="0" w:color="auto"/>
                  </w:divBdr>
                  <w:divsChild>
                    <w:div w:id="1766612262">
                      <w:marLeft w:val="0"/>
                      <w:marRight w:val="0"/>
                      <w:marTop w:val="0"/>
                      <w:marBottom w:val="0"/>
                      <w:divBdr>
                        <w:top w:val="none" w:sz="0" w:space="0" w:color="auto"/>
                        <w:left w:val="none" w:sz="0" w:space="0" w:color="auto"/>
                        <w:bottom w:val="none" w:sz="0" w:space="0" w:color="auto"/>
                        <w:right w:val="none" w:sz="0" w:space="0" w:color="auto"/>
                      </w:divBdr>
                    </w:div>
                  </w:divsChild>
                </w:div>
                <w:div w:id="592713663">
                  <w:marLeft w:val="0"/>
                  <w:marRight w:val="0"/>
                  <w:marTop w:val="0"/>
                  <w:marBottom w:val="0"/>
                  <w:divBdr>
                    <w:top w:val="none" w:sz="0" w:space="0" w:color="auto"/>
                    <w:left w:val="none" w:sz="0" w:space="0" w:color="auto"/>
                    <w:bottom w:val="none" w:sz="0" w:space="0" w:color="auto"/>
                    <w:right w:val="none" w:sz="0" w:space="0" w:color="auto"/>
                  </w:divBdr>
                  <w:divsChild>
                    <w:div w:id="1056901148">
                      <w:marLeft w:val="0"/>
                      <w:marRight w:val="0"/>
                      <w:marTop w:val="0"/>
                      <w:marBottom w:val="0"/>
                      <w:divBdr>
                        <w:top w:val="none" w:sz="0" w:space="0" w:color="auto"/>
                        <w:left w:val="none" w:sz="0" w:space="0" w:color="auto"/>
                        <w:bottom w:val="none" w:sz="0" w:space="0" w:color="auto"/>
                        <w:right w:val="none" w:sz="0" w:space="0" w:color="auto"/>
                      </w:divBdr>
                    </w:div>
                  </w:divsChild>
                </w:div>
                <w:div w:id="643001437">
                  <w:marLeft w:val="0"/>
                  <w:marRight w:val="0"/>
                  <w:marTop w:val="0"/>
                  <w:marBottom w:val="0"/>
                  <w:divBdr>
                    <w:top w:val="none" w:sz="0" w:space="0" w:color="auto"/>
                    <w:left w:val="none" w:sz="0" w:space="0" w:color="auto"/>
                    <w:bottom w:val="none" w:sz="0" w:space="0" w:color="auto"/>
                    <w:right w:val="none" w:sz="0" w:space="0" w:color="auto"/>
                  </w:divBdr>
                  <w:divsChild>
                    <w:div w:id="1515918972">
                      <w:marLeft w:val="0"/>
                      <w:marRight w:val="0"/>
                      <w:marTop w:val="0"/>
                      <w:marBottom w:val="0"/>
                      <w:divBdr>
                        <w:top w:val="none" w:sz="0" w:space="0" w:color="auto"/>
                        <w:left w:val="none" w:sz="0" w:space="0" w:color="auto"/>
                        <w:bottom w:val="none" w:sz="0" w:space="0" w:color="auto"/>
                        <w:right w:val="none" w:sz="0" w:space="0" w:color="auto"/>
                      </w:divBdr>
                    </w:div>
                  </w:divsChild>
                </w:div>
                <w:div w:id="665979384">
                  <w:marLeft w:val="0"/>
                  <w:marRight w:val="0"/>
                  <w:marTop w:val="0"/>
                  <w:marBottom w:val="0"/>
                  <w:divBdr>
                    <w:top w:val="none" w:sz="0" w:space="0" w:color="auto"/>
                    <w:left w:val="none" w:sz="0" w:space="0" w:color="auto"/>
                    <w:bottom w:val="none" w:sz="0" w:space="0" w:color="auto"/>
                    <w:right w:val="none" w:sz="0" w:space="0" w:color="auto"/>
                  </w:divBdr>
                  <w:divsChild>
                    <w:div w:id="1528790239">
                      <w:marLeft w:val="0"/>
                      <w:marRight w:val="0"/>
                      <w:marTop w:val="0"/>
                      <w:marBottom w:val="0"/>
                      <w:divBdr>
                        <w:top w:val="none" w:sz="0" w:space="0" w:color="auto"/>
                        <w:left w:val="none" w:sz="0" w:space="0" w:color="auto"/>
                        <w:bottom w:val="none" w:sz="0" w:space="0" w:color="auto"/>
                        <w:right w:val="none" w:sz="0" w:space="0" w:color="auto"/>
                      </w:divBdr>
                    </w:div>
                  </w:divsChild>
                </w:div>
                <w:div w:id="671303453">
                  <w:marLeft w:val="0"/>
                  <w:marRight w:val="0"/>
                  <w:marTop w:val="0"/>
                  <w:marBottom w:val="0"/>
                  <w:divBdr>
                    <w:top w:val="none" w:sz="0" w:space="0" w:color="auto"/>
                    <w:left w:val="none" w:sz="0" w:space="0" w:color="auto"/>
                    <w:bottom w:val="none" w:sz="0" w:space="0" w:color="auto"/>
                    <w:right w:val="none" w:sz="0" w:space="0" w:color="auto"/>
                  </w:divBdr>
                  <w:divsChild>
                    <w:div w:id="830172729">
                      <w:marLeft w:val="0"/>
                      <w:marRight w:val="0"/>
                      <w:marTop w:val="0"/>
                      <w:marBottom w:val="0"/>
                      <w:divBdr>
                        <w:top w:val="none" w:sz="0" w:space="0" w:color="auto"/>
                        <w:left w:val="none" w:sz="0" w:space="0" w:color="auto"/>
                        <w:bottom w:val="none" w:sz="0" w:space="0" w:color="auto"/>
                        <w:right w:val="none" w:sz="0" w:space="0" w:color="auto"/>
                      </w:divBdr>
                    </w:div>
                  </w:divsChild>
                </w:div>
                <w:div w:id="737287188">
                  <w:marLeft w:val="0"/>
                  <w:marRight w:val="0"/>
                  <w:marTop w:val="0"/>
                  <w:marBottom w:val="0"/>
                  <w:divBdr>
                    <w:top w:val="none" w:sz="0" w:space="0" w:color="auto"/>
                    <w:left w:val="none" w:sz="0" w:space="0" w:color="auto"/>
                    <w:bottom w:val="none" w:sz="0" w:space="0" w:color="auto"/>
                    <w:right w:val="none" w:sz="0" w:space="0" w:color="auto"/>
                  </w:divBdr>
                  <w:divsChild>
                    <w:div w:id="1026784429">
                      <w:marLeft w:val="0"/>
                      <w:marRight w:val="0"/>
                      <w:marTop w:val="0"/>
                      <w:marBottom w:val="0"/>
                      <w:divBdr>
                        <w:top w:val="none" w:sz="0" w:space="0" w:color="auto"/>
                        <w:left w:val="none" w:sz="0" w:space="0" w:color="auto"/>
                        <w:bottom w:val="none" w:sz="0" w:space="0" w:color="auto"/>
                        <w:right w:val="none" w:sz="0" w:space="0" w:color="auto"/>
                      </w:divBdr>
                    </w:div>
                  </w:divsChild>
                </w:div>
                <w:div w:id="774135725">
                  <w:marLeft w:val="0"/>
                  <w:marRight w:val="0"/>
                  <w:marTop w:val="0"/>
                  <w:marBottom w:val="0"/>
                  <w:divBdr>
                    <w:top w:val="none" w:sz="0" w:space="0" w:color="auto"/>
                    <w:left w:val="none" w:sz="0" w:space="0" w:color="auto"/>
                    <w:bottom w:val="none" w:sz="0" w:space="0" w:color="auto"/>
                    <w:right w:val="none" w:sz="0" w:space="0" w:color="auto"/>
                  </w:divBdr>
                  <w:divsChild>
                    <w:div w:id="569729682">
                      <w:marLeft w:val="0"/>
                      <w:marRight w:val="0"/>
                      <w:marTop w:val="0"/>
                      <w:marBottom w:val="0"/>
                      <w:divBdr>
                        <w:top w:val="none" w:sz="0" w:space="0" w:color="auto"/>
                        <w:left w:val="none" w:sz="0" w:space="0" w:color="auto"/>
                        <w:bottom w:val="none" w:sz="0" w:space="0" w:color="auto"/>
                        <w:right w:val="none" w:sz="0" w:space="0" w:color="auto"/>
                      </w:divBdr>
                    </w:div>
                  </w:divsChild>
                </w:div>
                <w:div w:id="775247406">
                  <w:marLeft w:val="0"/>
                  <w:marRight w:val="0"/>
                  <w:marTop w:val="0"/>
                  <w:marBottom w:val="0"/>
                  <w:divBdr>
                    <w:top w:val="none" w:sz="0" w:space="0" w:color="auto"/>
                    <w:left w:val="none" w:sz="0" w:space="0" w:color="auto"/>
                    <w:bottom w:val="none" w:sz="0" w:space="0" w:color="auto"/>
                    <w:right w:val="none" w:sz="0" w:space="0" w:color="auto"/>
                  </w:divBdr>
                  <w:divsChild>
                    <w:div w:id="1466896443">
                      <w:marLeft w:val="0"/>
                      <w:marRight w:val="0"/>
                      <w:marTop w:val="0"/>
                      <w:marBottom w:val="0"/>
                      <w:divBdr>
                        <w:top w:val="none" w:sz="0" w:space="0" w:color="auto"/>
                        <w:left w:val="none" w:sz="0" w:space="0" w:color="auto"/>
                        <w:bottom w:val="none" w:sz="0" w:space="0" w:color="auto"/>
                        <w:right w:val="none" w:sz="0" w:space="0" w:color="auto"/>
                      </w:divBdr>
                    </w:div>
                  </w:divsChild>
                </w:div>
                <w:div w:id="785272913">
                  <w:marLeft w:val="0"/>
                  <w:marRight w:val="0"/>
                  <w:marTop w:val="0"/>
                  <w:marBottom w:val="0"/>
                  <w:divBdr>
                    <w:top w:val="none" w:sz="0" w:space="0" w:color="auto"/>
                    <w:left w:val="none" w:sz="0" w:space="0" w:color="auto"/>
                    <w:bottom w:val="none" w:sz="0" w:space="0" w:color="auto"/>
                    <w:right w:val="none" w:sz="0" w:space="0" w:color="auto"/>
                  </w:divBdr>
                  <w:divsChild>
                    <w:div w:id="1692534759">
                      <w:marLeft w:val="0"/>
                      <w:marRight w:val="0"/>
                      <w:marTop w:val="0"/>
                      <w:marBottom w:val="0"/>
                      <w:divBdr>
                        <w:top w:val="none" w:sz="0" w:space="0" w:color="auto"/>
                        <w:left w:val="none" w:sz="0" w:space="0" w:color="auto"/>
                        <w:bottom w:val="none" w:sz="0" w:space="0" w:color="auto"/>
                        <w:right w:val="none" w:sz="0" w:space="0" w:color="auto"/>
                      </w:divBdr>
                    </w:div>
                  </w:divsChild>
                </w:div>
                <w:div w:id="805242021">
                  <w:marLeft w:val="0"/>
                  <w:marRight w:val="0"/>
                  <w:marTop w:val="0"/>
                  <w:marBottom w:val="0"/>
                  <w:divBdr>
                    <w:top w:val="none" w:sz="0" w:space="0" w:color="auto"/>
                    <w:left w:val="none" w:sz="0" w:space="0" w:color="auto"/>
                    <w:bottom w:val="none" w:sz="0" w:space="0" w:color="auto"/>
                    <w:right w:val="none" w:sz="0" w:space="0" w:color="auto"/>
                  </w:divBdr>
                  <w:divsChild>
                    <w:div w:id="865019217">
                      <w:marLeft w:val="0"/>
                      <w:marRight w:val="0"/>
                      <w:marTop w:val="0"/>
                      <w:marBottom w:val="0"/>
                      <w:divBdr>
                        <w:top w:val="none" w:sz="0" w:space="0" w:color="auto"/>
                        <w:left w:val="none" w:sz="0" w:space="0" w:color="auto"/>
                        <w:bottom w:val="none" w:sz="0" w:space="0" w:color="auto"/>
                        <w:right w:val="none" w:sz="0" w:space="0" w:color="auto"/>
                      </w:divBdr>
                    </w:div>
                  </w:divsChild>
                </w:div>
                <w:div w:id="846942284">
                  <w:marLeft w:val="0"/>
                  <w:marRight w:val="0"/>
                  <w:marTop w:val="0"/>
                  <w:marBottom w:val="0"/>
                  <w:divBdr>
                    <w:top w:val="none" w:sz="0" w:space="0" w:color="auto"/>
                    <w:left w:val="none" w:sz="0" w:space="0" w:color="auto"/>
                    <w:bottom w:val="none" w:sz="0" w:space="0" w:color="auto"/>
                    <w:right w:val="none" w:sz="0" w:space="0" w:color="auto"/>
                  </w:divBdr>
                  <w:divsChild>
                    <w:div w:id="1197743014">
                      <w:marLeft w:val="0"/>
                      <w:marRight w:val="0"/>
                      <w:marTop w:val="0"/>
                      <w:marBottom w:val="0"/>
                      <w:divBdr>
                        <w:top w:val="none" w:sz="0" w:space="0" w:color="auto"/>
                        <w:left w:val="none" w:sz="0" w:space="0" w:color="auto"/>
                        <w:bottom w:val="none" w:sz="0" w:space="0" w:color="auto"/>
                        <w:right w:val="none" w:sz="0" w:space="0" w:color="auto"/>
                      </w:divBdr>
                    </w:div>
                  </w:divsChild>
                </w:div>
                <w:div w:id="858396068">
                  <w:marLeft w:val="0"/>
                  <w:marRight w:val="0"/>
                  <w:marTop w:val="0"/>
                  <w:marBottom w:val="0"/>
                  <w:divBdr>
                    <w:top w:val="none" w:sz="0" w:space="0" w:color="auto"/>
                    <w:left w:val="none" w:sz="0" w:space="0" w:color="auto"/>
                    <w:bottom w:val="none" w:sz="0" w:space="0" w:color="auto"/>
                    <w:right w:val="none" w:sz="0" w:space="0" w:color="auto"/>
                  </w:divBdr>
                  <w:divsChild>
                    <w:div w:id="272710218">
                      <w:marLeft w:val="0"/>
                      <w:marRight w:val="0"/>
                      <w:marTop w:val="0"/>
                      <w:marBottom w:val="0"/>
                      <w:divBdr>
                        <w:top w:val="none" w:sz="0" w:space="0" w:color="auto"/>
                        <w:left w:val="none" w:sz="0" w:space="0" w:color="auto"/>
                        <w:bottom w:val="none" w:sz="0" w:space="0" w:color="auto"/>
                        <w:right w:val="none" w:sz="0" w:space="0" w:color="auto"/>
                      </w:divBdr>
                    </w:div>
                  </w:divsChild>
                </w:div>
                <w:div w:id="873006408">
                  <w:marLeft w:val="0"/>
                  <w:marRight w:val="0"/>
                  <w:marTop w:val="0"/>
                  <w:marBottom w:val="0"/>
                  <w:divBdr>
                    <w:top w:val="none" w:sz="0" w:space="0" w:color="auto"/>
                    <w:left w:val="none" w:sz="0" w:space="0" w:color="auto"/>
                    <w:bottom w:val="none" w:sz="0" w:space="0" w:color="auto"/>
                    <w:right w:val="none" w:sz="0" w:space="0" w:color="auto"/>
                  </w:divBdr>
                  <w:divsChild>
                    <w:div w:id="1800683589">
                      <w:marLeft w:val="0"/>
                      <w:marRight w:val="0"/>
                      <w:marTop w:val="0"/>
                      <w:marBottom w:val="0"/>
                      <w:divBdr>
                        <w:top w:val="none" w:sz="0" w:space="0" w:color="auto"/>
                        <w:left w:val="none" w:sz="0" w:space="0" w:color="auto"/>
                        <w:bottom w:val="none" w:sz="0" w:space="0" w:color="auto"/>
                        <w:right w:val="none" w:sz="0" w:space="0" w:color="auto"/>
                      </w:divBdr>
                    </w:div>
                  </w:divsChild>
                </w:div>
                <w:div w:id="893538380">
                  <w:marLeft w:val="0"/>
                  <w:marRight w:val="0"/>
                  <w:marTop w:val="0"/>
                  <w:marBottom w:val="0"/>
                  <w:divBdr>
                    <w:top w:val="none" w:sz="0" w:space="0" w:color="auto"/>
                    <w:left w:val="none" w:sz="0" w:space="0" w:color="auto"/>
                    <w:bottom w:val="none" w:sz="0" w:space="0" w:color="auto"/>
                    <w:right w:val="none" w:sz="0" w:space="0" w:color="auto"/>
                  </w:divBdr>
                  <w:divsChild>
                    <w:div w:id="2031176457">
                      <w:marLeft w:val="0"/>
                      <w:marRight w:val="0"/>
                      <w:marTop w:val="0"/>
                      <w:marBottom w:val="0"/>
                      <w:divBdr>
                        <w:top w:val="none" w:sz="0" w:space="0" w:color="auto"/>
                        <w:left w:val="none" w:sz="0" w:space="0" w:color="auto"/>
                        <w:bottom w:val="none" w:sz="0" w:space="0" w:color="auto"/>
                        <w:right w:val="none" w:sz="0" w:space="0" w:color="auto"/>
                      </w:divBdr>
                    </w:div>
                  </w:divsChild>
                </w:div>
                <w:div w:id="920678996">
                  <w:marLeft w:val="0"/>
                  <w:marRight w:val="0"/>
                  <w:marTop w:val="0"/>
                  <w:marBottom w:val="0"/>
                  <w:divBdr>
                    <w:top w:val="none" w:sz="0" w:space="0" w:color="auto"/>
                    <w:left w:val="none" w:sz="0" w:space="0" w:color="auto"/>
                    <w:bottom w:val="none" w:sz="0" w:space="0" w:color="auto"/>
                    <w:right w:val="none" w:sz="0" w:space="0" w:color="auto"/>
                  </w:divBdr>
                  <w:divsChild>
                    <w:div w:id="1760298569">
                      <w:marLeft w:val="0"/>
                      <w:marRight w:val="0"/>
                      <w:marTop w:val="0"/>
                      <w:marBottom w:val="0"/>
                      <w:divBdr>
                        <w:top w:val="none" w:sz="0" w:space="0" w:color="auto"/>
                        <w:left w:val="none" w:sz="0" w:space="0" w:color="auto"/>
                        <w:bottom w:val="none" w:sz="0" w:space="0" w:color="auto"/>
                        <w:right w:val="none" w:sz="0" w:space="0" w:color="auto"/>
                      </w:divBdr>
                    </w:div>
                  </w:divsChild>
                </w:div>
                <w:div w:id="942759735">
                  <w:marLeft w:val="0"/>
                  <w:marRight w:val="0"/>
                  <w:marTop w:val="0"/>
                  <w:marBottom w:val="0"/>
                  <w:divBdr>
                    <w:top w:val="none" w:sz="0" w:space="0" w:color="auto"/>
                    <w:left w:val="none" w:sz="0" w:space="0" w:color="auto"/>
                    <w:bottom w:val="none" w:sz="0" w:space="0" w:color="auto"/>
                    <w:right w:val="none" w:sz="0" w:space="0" w:color="auto"/>
                  </w:divBdr>
                  <w:divsChild>
                    <w:div w:id="867521637">
                      <w:marLeft w:val="0"/>
                      <w:marRight w:val="0"/>
                      <w:marTop w:val="0"/>
                      <w:marBottom w:val="0"/>
                      <w:divBdr>
                        <w:top w:val="none" w:sz="0" w:space="0" w:color="auto"/>
                        <w:left w:val="none" w:sz="0" w:space="0" w:color="auto"/>
                        <w:bottom w:val="none" w:sz="0" w:space="0" w:color="auto"/>
                        <w:right w:val="none" w:sz="0" w:space="0" w:color="auto"/>
                      </w:divBdr>
                    </w:div>
                  </w:divsChild>
                </w:div>
                <w:div w:id="960720558">
                  <w:marLeft w:val="0"/>
                  <w:marRight w:val="0"/>
                  <w:marTop w:val="0"/>
                  <w:marBottom w:val="0"/>
                  <w:divBdr>
                    <w:top w:val="none" w:sz="0" w:space="0" w:color="auto"/>
                    <w:left w:val="none" w:sz="0" w:space="0" w:color="auto"/>
                    <w:bottom w:val="none" w:sz="0" w:space="0" w:color="auto"/>
                    <w:right w:val="none" w:sz="0" w:space="0" w:color="auto"/>
                  </w:divBdr>
                  <w:divsChild>
                    <w:div w:id="470750678">
                      <w:marLeft w:val="0"/>
                      <w:marRight w:val="0"/>
                      <w:marTop w:val="0"/>
                      <w:marBottom w:val="0"/>
                      <w:divBdr>
                        <w:top w:val="none" w:sz="0" w:space="0" w:color="auto"/>
                        <w:left w:val="none" w:sz="0" w:space="0" w:color="auto"/>
                        <w:bottom w:val="none" w:sz="0" w:space="0" w:color="auto"/>
                        <w:right w:val="none" w:sz="0" w:space="0" w:color="auto"/>
                      </w:divBdr>
                    </w:div>
                  </w:divsChild>
                </w:div>
                <w:div w:id="966472994">
                  <w:marLeft w:val="0"/>
                  <w:marRight w:val="0"/>
                  <w:marTop w:val="0"/>
                  <w:marBottom w:val="0"/>
                  <w:divBdr>
                    <w:top w:val="none" w:sz="0" w:space="0" w:color="auto"/>
                    <w:left w:val="none" w:sz="0" w:space="0" w:color="auto"/>
                    <w:bottom w:val="none" w:sz="0" w:space="0" w:color="auto"/>
                    <w:right w:val="none" w:sz="0" w:space="0" w:color="auto"/>
                  </w:divBdr>
                  <w:divsChild>
                    <w:div w:id="1566910695">
                      <w:marLeft w:val="0"/>
                      <w:marRight w:val="0"/>
                      <w:marTop w:val="0"/>
                      <w:marBottom w:val="0"/>
                      <w:divBdr>
                        <w:top w:val="none" w:sz="0" w:space="0" w:color="auto"/>
                        <w:left w:val="none" w:sz="0" w:space="0" w:color="auto"/>
                        <w:bottom w:val="none" w:sz="0" w:space="0" w:color="auto"/>
                        <w:right w:val="none" w:sz="0" w:space="0" w:color="auto"/>
                      </w:divBdr>
                    </w:div>
                  </w:divsChild>
                </w:div>
                <w:div w:id="967902121">
                  <w:marLeft w:val="0"/>
                  <w:marRight w:val="0"/>
                  <w:marTop w:val="0"/>
                  <w:marBottom w:val="0"/>
                  <w:divBdr>
                    <w:top w:val="none" w:sz="0" w:space="0" w:color="auto"/>
                    <w:left w:val="none" w:sz="0" w:space="0" w:color="auto"/>
                    <w:bottom w:val="none" w:sz="0" w:space="0" w:color="auto"/>
                    <w:right w:val="none" w:sz="0" w:space="0" w:color="auto"/>
                  </w:divBdr>
                  <w:divsChild>
                    <w:div w:id="625551568">
                      <w:marLeft w:val="0"/>
                      <w:marRight w:val="0"/>
                      <w:marTop w:val="0"/>
                      <w:marBottom w:val="0"/>
                      <w:divBdr>
                        <w:top w:val="none" w:sz="0" w:space="0" w:color="auto"/>
                        <w:left w:val="none" w:sz="0" w:space="0" w:color="auto"/>
                        <w:bottom w:val="none" w:sz="0" w:space="0" w:color="auto"/>
                        <w:right w:val="none" w:sz="0" w:space="0" w:color="auto"/>
                      </w:divBdr>
                    </w:div>
                  </w:divsChild>
                </w:div>
                <w:div w:id="996884616">
                  <w:marLeft w:val="0"/>
                  <w:marRight w:val="0"/>
                  <w:marTop w:val="0"/>
                  <w:marBottom w:val="0"/>
                  <w:divBdr>
                    <w:top w:val="none" w:sz="0" w:space="0" w:color="auto"/>
                    <w:left w:val="none" w:sz="0" w:space="0" w:color="auto"/>
                    <w:bottom w:val="none" w:sz="0" w:space="0" w:color="auto"/>
                    <w:right w:val="none" w:sz="0" w:space="0" w:color="auto"/>
                  </w:divBdr>
                  <w:divsChild>
                    <w:div w:id="1462193676">
                      <w:marLeft w:val="0"/>
                      <w:marRight w:val="0"/>
                      <w:marTop w:val="0"/>
                      <w:marBottom w:val="0"/>
                      <w:divBdr>
                        <w:top w:val="none" w:sz="0" w:space="0" w:color="auto"/>
                        <w:left w:val="none" w:sz="0" w:space="0" w:color="auto"/>
                        <w:bottom w:val="none" w:sz="0" w:space="0" w:color="auto"/>
                        <w:right w:val="none" w:sz="0" w:space="0" w:color="auto"/>
                      </w:divBdr>
                    </w:div>
                  </w:divsChild>
                </w:div>
                <w:div w:id="1011030454">
                  <w:marLeft w:val="0"/>
                  <w:marRight w:val="0"/>
                  <w:marTop w:val="0"/>
                  <w:marBottom w:val="0"/>
                  <w:divBdr>
                    <w:top w:val="none" w:sz="0" w:space="0" w:color="auto"/>
                    <w:left w:val="none" w:sz="0" w:space="0" w:color="auto"/>
                    <w:bottom w:val="none" w:sz="0" w:space="0" w:color="auto"/>
                    <w:right w:val="none" w:sz="0" w:space="0" w:color="auto"/>
                  </w:divBdr>
                  <w:divsChild>
                    <w:div w:id="982346871">
                      <w:marLeft w:val="0"/>
                      <w:marRight w:val="0"/>
                      <w:marTop w:val="0"/>
                      <w:marBottom w:val="0"/>
                      <w:divBdr>
                        <w:top w:val="none" w:sz="0" w:space="0" w:color="auto"/>
                        <w:left w:val="none" w:sz="0" w:space="0" w:color="auto"/>
                        <w:bottom w:val="none" w:sz="0" w:space="0" w:color="auto"/>
                        <w:right w:val="none" w:sz="0" w:space="0" w:color="auto"/>
                      </w:divBdr>
                    </w:div>
                  </w:divsChild>
                </w:div>
                <w:div w:id="1056514071">
                  <w:marLeft w:val="0"/>
                  <w:marRight w:val="0"/>
                  <w:marTop w:val="0"/>
                  <w:marBottom w:val="0"/>
                  <w:divBdr>
                    <w:top w:val="none" w:sz="0" w:space="0" w:color="auto"/>
                    <w:left w:val="none" w:sz="0" w:space="0" w:color="auto"/>
                    <w:bottom w:val="none" w:sz="0" w:space="0" w:color="auto"/>
                    <w:right w:val="none" w:sz="0" w:space="0" w:color="auto"/>
                  </w:divBdr>
                  <w:divsChild>
                    <w:div w:id="2075933782">
                      <w:marLeft w:val="0"/>
                      <w:marRight w:val="0"/>
                      <w:marTop w:val="0"/>
                      <w:marBottom w:val="0"/>
                      <w:divBdr>
                        <w:top w:val="none" w:sz="0" w:space="0" w:color="auto"/>
                        <w:left w:val="none" w:sz="0" w:space="0" w:color="auto"/>
                        <w:bottom w:val="none" w:sz="0" w:space="0" w:color="auto"/>
                        <w:right w:val="none" w:sz="0" w:space="0" w:color="auto"/>
                      </w:divBdr>
                    </w:div>
                  </w:divsChild>
                </w:div>
                <w:div w:id="1061051283">
                  <w:marLeft w:val="0"/>
                  <w:marRight w:val="0"/>
                  <w:marTop w:val="0"/>
                  <w:marBottom w:val="0"/>
                  <w:divBdr>
                    <w:top w:val="none" w:sz="0" w:space="0" w:color="auto"/>
                    <w:left w:val="none" w:sz="0" w:space="0" w:color="auto"/>
                    <w:bottom w:val="none" w:sz="0" w:space="0" w:color="auto"/>
                    <w:right w:val="none" w:sz="0" w:space="0" w:color="auto"/>
                  </w:divBdr>
                  <w:divsChild>
                    <w:div w:id="2126998377">
                      <w:marLeft w:val="0"/>
                      <w:marRight w:val="0"/>
                      <w:marTop w:val="0"/>
                      <w:marBottom w:val="0"/>
                      <w:divBdr>
                        <w:top w:val="none" w:sz="0" w:space="0" w:color="auto"/>
                        <w:left w:val="none" w:sz="0" w:space="0" w:color="auto"/>
                        <w:bottom w:val="none" w:sz="0" w:space="0" w:color="auto"/>
                        <w:right w:val="none" w:sz="0" w:space="0" w:color="auto"/>
                      </w:divBdr>
                    </w:div>
                  </w:divsChild>
                </w:div>
                <w:div w:id="1068461787">
                  <w:marLeft w:val="0"/>
                  <w:marRight w:val="0"/>
                  <w:marTop w:val="0"/>
                  <w:marBottom w:val="0"/>
                  <w:divBdr>
                    <w:top w:val="none" w:sz="0" w:space="0" w:color="auto"/>
                    <w:left w:val="none" w:sz="0" w:space="0" w:color="auto"/>
                    <w:bottom w:val="none" w:sz="0" w:space="0" w:color="auto"/>
                    <w:right w:val="none" w:sz="0" w:space="0" w:color="auto"/>
                  </w:divBdr>
                  <w:divsChild>
                    <w:div w:id="399523466">
                      <w:marLeft w:val="0"/>
                      <w:marRight w:val="0"/>
                      <w:marTop w:val="0"/>
                      <w:marBottom w:val="0"/>
                      <w:divBdr>
                        <w:top w:val="none" w:sz="0" w:space="0" w:color="auto"/>
                        <w:left w:val="none" w:sz="0" w:space="0" w:color="auto"/>
                        <w:bottom w:val="none" w:sz="0" w:space="0" w:color="auto"/>
                        <w:right w:val="none" w:sz="0" w:space="0" w:color="auto"/>
                      </w:divBdr>
                    </w:div>
                  </w:divsChild>
                </w:div>
                <w:div w:id="1072317012">
                  <w:marLeft w:val="0"/>
                  <w:marRight w:val="0"/>
                  <w:marTop w:val="0"/>
                  <w:marBottom w:val="0"/>
                  <w:divBdr>
                    <w:top w:val="none" w:sz="0" w:space="0" w:color="auto"/>
                    <w:left w:val="none" w:sz="0" w:space="0" w:color="auto"/>
                    <w:bottom w:val="none" w:sz="0" w:space="0" w:color="auto"/>
                    <w:right w:val="none" w:sz="0" w:space="0" w:color="auto"/>
                  </w:divBdr>
                  <w:divsChild>
                    <w:div w:id="228229074">
                      <w:marLeft w:val="0"/>
                      <w:marRight w:val="0"/>
                      <w:marTop w:val="0"/>
                      <w:marBottom w:val="0"/>
                      <w:divBdr>
                        <w:top w:val="none" w:sz="0" w:space="0" w:color="auto"/>
                        <w:left w:val="none" w:sz="0" w:space="0" w:color="auto"/>
                        <w:bottom w:val="none" w:sz="0" w:space="0" w:color="auto"/>
                        <w:right w:val="none" w:sz="0" w:space="0" w:color="auto"/>
                      </w:divBdr>
                    </w:div>
                  </w:divsChild>
                </w:div>
                <w:div w:id="1078795536">
                  <w:marLeft w:val="0"/>
                  <w:marRight w:val="0"/>
                  <w:marTop w:val="0"/>
                  <w:marBottom w:val="0"/>
                  <w:divBdr>
                    <w:top w:val="none" w:sz="0" w:space="0" w:color="auto"/>
                    <w:left w:val="none" w:sz="0" w:space="0" w:color="auto"/>
                    <w:bottom w:val="none" w:sz="0" w:space="0" w:color="auto"/>
                    <w:right w:val="none" w:sz="0" w:space="0" w:color="auto"/>
                  </w:divBdr>
                  <w:divsChild>
                    <w:div w:id="451437840">
                      <w:marLeft w:val="0"/>
                      <w:marRight w:val="0"/>
                      <w:marTop w:val="0"/>
                      <w:marBottom w:val="0"/>
                      <w:divBdr>
                        <w:top w:val="none" w:sz="0" w:space="0" w:color="auto"/>
                        <w:left w:val="none" w:sz="0" w:space="0" w:color="auto"/>
                        <w:bottom w:val="none" w:sz="0" w:space="0" w:color="auto"/>
                        <w:right w:val="none" w:sz="0" w:space="0" w:color="auto"/>
                      </w:divBdr>
                    </w:div>
                  </w:divsChild>
                </w:div>
                <w:div w:id="1112701190">
                  <w:marLeft w:val="0"/>
                  <w:marRight w:val="0"/>
                  <w:marTop w:val="0"/>
                  <w:marBottom w:val="0"/>
                  <w:divBdr>
                    <w:top w:val="none" w:sz="0" w:space="0" w:color="auto"/>
                    <w:left w:val="none" w:sz="0" w:space="0" w:color="auto"/>
                    <w:bottom w:val="none" w:sz="0" w:space="0" w:color="auto"/>
                    <w:right w:val="none" w:sz="0" w:space="0" w:color="auto"/>
                  </w:divBdr>
                  <w:divsChild>
                    <w:div w:id="146017199">
                      <w:marLeft w:val="0"/>
                      <w:marRight w:val="0"/>
                      <w:marTop w:val="0"/>
                      <w:marBottom w:val="0"/>
                      <w:divBdr>
                        <w:top w:val="none" w:sz="0" w:space="0" w:color="auto"/>
                        <w:left w:val="none" w:sz="0" w:space="0" w:color="auto"/>
                        <w:bottom w:val="none" w:sz="0" w:space="0" w:color="auto"/>
                        <w:right w:val="none" w:sz="0" w:space="0" w:color="auto"/>
                      </w:divBdr>
                    </w:div>
                  </w:divsChild>
                </w:div>
                <w:div w:id="1143424474">
                  <w:marLeft w:val="0"/>
                  <w:marRight w:val="0"/>
                  <w:marTop w:val="0"/>
                  <w:marBottom w:val="0"/>
                  <w:divBdr>
                    <w:top w:val="none" w:sz="0" w:space="0" w:color="auto"/>
                    <w:left w:val="none" w:sz="0" w:space="0" w:color="auto"/>
                    <w:bottom w:val="none" w:sz="0" w:space="0" w:color="auto"/>
                    <w:right w:val="none" w:sz="0" w:space="0" w:color="auto"/>
                  </w:divBdr>
                  <w:divsChild>
                    <w:div w:id="1003583631">
                      <w:marLeft w:val="0"/>
                      <w:marRight w:val="0"/>
                      <w:marTop w:val="0"/>
                      <w:marBottom w:val="0"/>
                      <w:divBdr>
                        <w:top w:val="none" w:sz="0" w:space="0" w:color="auto"/>
                        <w:left w:val="none" w:sz="0" w:space="0" w:color="auto"/>
                        <w:bottom w:val="none" w:sz="0" w:space="0" w:color="auto"/>
                        <w:right w:val="none" w:sz="0" w:space="0" w:color="auto"/>
                      </w:divBdr>
                    </w:div>
                  </w:divsChild>
                </w:div>
                <w:div w:id="1165827627">
                  <w:marLeft w:val="0"/>
                  <w:marRight w:val="0"/>
                  <w:marTop w:val="0"/>
                  <w:marBottom w:val="0"/>
                  <w:divBdr>
                    <w:top w:val="none" w:sz="0" w:space="0" w:color="auto"/>
                    <w:left w:val="none" w:sz="0" w:space="0" w:color="auto"/>
                    <w:bottom w:val="none" w:sz="0" w:space="0" w:color="auto"/>
                    <w:right w:val="none" w:sz="0" w:space="0" w:color="auto"/>
                  </w:divBdr>
                  <w:divsChild>
                    <w:div w:id="1258556018">
                      <w:marLeft w:val="0"/>
                      <w:marRight w:val="0"/>
                      <w:marTop w:val="0"/>
                      <w:marBottom w:val="0"/>
                      <w:divBdr>
                        <w:top w:val="none" w:sz="0" w:space="0" w:color="auto"/>
                        <w:left w:val="none" w:sz="0" w:space="0" w:color="auto"/>
                        <w:bottom w:val="none" w:sz="0" w:space="0" w:color="auto"/>
                        <w:right w:val="none" w:sz="0" w:space="0" w:color="auto"/>
                      </w:divBdr>
                    </w:div>
                  </w:divsChild>
                </w:div>
                <w:div w:id="1176656744">
                  <w:marLeft w:val="0"/>
                  <w:marRight w:val="0"/>
                  <w:marTop w:val="0"/>
                  <w:marBottom w:val="0"/>
                  <w:divBdr>
                    <w:top w:val="none" w:sz="0" w:space="0" w:color="auto"/>
                    <w:left w:val="none" w:sz="0" w:space="0" w:color="auto"/>
                    <w:bottom w:val="none" w:sz="0" w:space="0" w:color="auto"/>
                    <w:right w:val="none" w:sz="0" w:space="0" w:color="auto"/>
                  </w:divBdr>
                  <w:divsChild>
                    <w:div w:id="1228148639">
                      <w:marLeft w:val="0"/>
                      <w:marRight w:val="0"/>
                      <w:marTop w:val="0"/>
                      <w:marBottom w:val="0"/>
                      <w:divBdr>
                        <w:top w:val="none" w:sz="0" w:space="0" w:color="auto"/>
                        <w:left w:val="none" w:sz="0" w:space="0" w:color="auto"/>
                        <w:bottom w:val="none" w:sz="0" w:space="0" w:color="auto"/>
                        <w:right w:val="none" w:sz="0" w:space="0" w:color="auto"/>
                      </w:divBdr>
                    </w:div>
                  </w:divsChild>
                </w:div>
                <w:div w:id="1178348025">
                  <w:marLeft w:val="0"/>
                  <w:marRight w:val="0"/>
                  <w:marTop w:val="0"/>
                  <w:marBottom w:val="0"/>
                  <w:divBdr>
                    <w:top w:val="none" w:sz="0" w:space="0" w:color="auto"/>
                    <w:left w:val="none" w:sz="0" w:space="0" w:color="auto"/>
                    <w:bottom w:val="none" w:sz="0" w:space="0" w:color="auto"/>
                    <w:right w:val="none" w:sz="0" w:space="0" w:color="auto"/>
                  </w:divBdr>
                  <w:divsChild>
                    <w:div w:id="1280406328">
                      <w:marLeft w:val="0"/>
                      <w:marRight w:val="0"/>
                      <w:marTop w:val="0"/>
                      <w:marBottom w:val="0"/>
                      <w:divBdr>
                        <w:top w:val="none" w:sz="0" w:space="0" w:color="auto"/>
                        <w:left w:val="none" w:sz="0" w:space="0" w:color="auto"/>
                        <w:bottom w:val="none" w:sz="0" w:space="0" w:color="auto"/>
                        <w:right w:val="none" w:sz="0" w:space="0" w:color="auto"/>
                      </w:divBdr>
                    </w:div>
                  </w:divsChild>
                </w:div>
                <w:div w:id="1185707184">
                  <w:marLeft w:val="0"/>
                  <w:marRight w:val="0"/>
                  <w:marTop w:val="0"/>
                  <w:marBottom w:val="0"/>
                  <w:divBdr>
                    <w:top w:val="none" w:sz="0" w:space="0" w:color="auto"/>
                    <w:left w:val="none" w:sz="0" w:space="0" w:color="auto"/>
                    <w:bottom w:val="none" w:sz="0" w:space="0" w:color="auto"/>
                    <w:right w:val="none" w:sz="0" w:space="0" w:color="auto"/>
                  </w:divBdr>
                  <w:divsChild>
                    <w:div w:id="498811060">
                      <w:marLeft w:val="0"/>
                      <w:marRight w:val="0"/>
                      <w:marTop w:val="0"/>
                      <w:marBottom w:val="0"/>
                      <w:divBdr>
                        <w:top w:val="none" w:sz="0" w:space="0" w:color="auto"/>
                        <w:left w:val="none" w:sz="0" w:space="0" w:color="auto"/>
                        <w:bottom w:val="none" w:sz="0" w:space="0" w:color="auto"/>
                        <w:right w:val="none" w:sz="0" w:space="0" w:color="auto"/>
                      </w:divBdr>
                    </w:div>
                  </w:divsChild>
                </w:div>
                <w:div w:id="1208955421">
                  <w:marLeft w:val="0"/>
                  <w:marRight w:val="0"/>
                  <w:marTop w:val="0"/>
                  <w:marBottom w:val="0"/>
                  <w:divBdr>
                    <w:top w:val="none" w:sz="0" w:space="0" w:color="auto"/>
                    <w:left w:val="none" w:sz="0" w:space="0" w:color="auto"/>
                    <w:bottom w:val="none" w:sz="0" w:space="0" w:color="auto"/>
                    <w:right w:val="none" w:sz="0" w:space="0" w:color="auto"/>
                  </w:divBdr>
                  <w:divsChild>
                    <w:div w:id="737872325">
                      <w:marLeft w:val="0"/>
                      <w:marRight w:val="0"/>
                      <w:marTop w:val="0"/>
                      <w:marBottom w:val="0"/>
                      <w:divBdr>
                        <w:top w:val="none" w:sz="0" w:space="0" w:color="auto"/>
                        <w:left w:val="none" w:sz="0" w:space="0" w:color="auto"/>
                        <w:bottom w:val="none" w:sz="0" w:space="0" w:color="auto"/>
                        <w:right w:val="none" w:sz="0" w:space="0" w:color="auto"/>
                      </w:divBdr>
                    </w:div>
                  </w:divsChild>
                </w:div>
                <w:div w:id="1210603696">
                  <w:marLeft w:val="0"/>
                  <w:marRight w:val="0"/>
                  <w:marTop w:val="0"/>
                  <w:marBottom w:val="0"/>
                  <w:divBdr>
                    <w:top w:val="none" w:sz="0" w:space="0" w:color="auto"/>
                    <w:left w:val="none" w:sz="0" w:space="0" w:color="auto"/>
                    <w:bottom w:val="none" w:sz="0" w:space="0" w:color="auto"/>
                    <w:right w:val="none" w:sz="0" w:space="0" w:color="auto"/>
                  </w:divBdr>
                  <w:divsChild>
                    <w:div w:id="422995507">
                      <w:marLeft w:val="0"/>
                      <w:marRight w:val="0"/>
                      <w:marTop w:val="0"/>
                      <w:marBottom w:val="0"/>
                      <w:divBdr>
                        <w:top w:val="none" w:sz="0" w:space="0" w:color="auto"/>
                        <w:left w:val="none" w:sz="0" w:space="0" w:color="auto"/>
                        <w:bottom w:val="none" w:sz="0" w:space="0" w:color="auto"/>
                        <w:right w:val="none" w:sz="0" w:space="0" w:color="auto"/>
                      </w:divBdr>
                    </w:div>
                  </w:divsChild>
                </w:div>
                <w:div w:id="1247610064">
                  <w:marLeft w:val="0"/>
                  <w:marRight w:val="0"/>
                  <w:marTop w:val="0"/>
                  <w:marBottom w:val="0"/>
                  <w:divBdr>
                    <w:top w:val="none" w:sz="0" w:space="0" w:color="auto"/>
                    <w:left w:val="none" w:sz="0" w:space="0" w:color="auto"/>
                    <w:bottom w:val="none" w:sz="0" w:space="0" w:color="auto"/>
                    <w:right w:val="none" w:sz="0" w:space="0" w:color="auto"/>
                  </w:divBdr>
                  <w:divsChild>
                    <w:div w:id="2004434857">
                      <w:marLeft w:val="0"/>
                      <w:marRight w:val="0"/>
                      <w:marTop w:val="0"/>
                      <w:marBottom w:val="0"/>
                      <w:divBdr>
                        <w:top w:val="none" w:sz="0" w:space="0" w:color="auto"/>
                        <w:left w:val="none" w:sz="0" w:space="0" w:color="auto"/>
                        <w:bottom w:val="none" w:sz="0" w:space="0" w:color="auto"/>
                        <w:right w:val="none" w:sz="0" w:space="0" w:color="auto"/>
                      </w:divBdr>
                    </w:div>
                  </w:divsChild>
                </w:div>
                <w:div w:id="1248266007">
                  <w:marLeft w:val="0"/>
                  <w:marRight w:val="0"/>
                  <w:marTop w:val="0"/>
                  <w:marBottom w:val="0"/>
                  <w:divBdr>
                    <w:top w:val="none" w:sz="0" w:space="0" w:color="auto"/>
                    <w:left w:val="none" w:sz="0" w:space="0" w:color="auto"/>
                    <w:bottom w:val="none" w:sz="0" w:space="0" w:color="auto"/>
                    <w:right w:val="none" w:sz="0" w:space="0" w:color="auto"/>
                  </w:divBdr>
                  <w:divsChild>
                    <w:div w:id="1659573792">
                      <w:marLeft w:val="0"/>
                      <w:marRight w:val="0"/>
                      <w:marTop w:val="0"/>
                      <w:marBottom w:val="0"/>
                      <w:divBdr>
                        <w:top w:val="none" w:sz="0" w:space="0" w:color="auto"/>
                        <w:left w:val="none" w:sz="0" w:space="0" w:color="auto"/>
                        <w:bottom w:val="none" w:sz="0" w:space="0" w:color="auto"/>
                        <w:right w:val="none" w:sz="0" w:space="0" w:color="auto"/>
                      </w:divBdr>
                    </w:div>
                  </w:divsChild>
                </w:div>
                <w:div w:id="1258296252">
                  <w:marLeft w:val="0"/>
                  <w:marRight w:val="0"/>
                  <w:marTop w:val="0"/>
                  <w:marBottom w:val="0"/>
                  <w:divBdr>
                    <w:top w:val="none" w:sz="0" w:space="0" w:color="auto"/>
                    <w:left w:val="none" w:sz="0" w:space="0" w:color="auto"/>
                    <w:bottom w:val="none" w:sz="0" w:space="0" w:color="auto"/>
                    <w:right w:val="none" w:sz="0" w:space="0" w:color="auto"/>
                  </w:divBdr>
                  <w:divsChild>
                    <w:div w:id="1736318543">
                      <w:marLeft w:val="0"/>
                      <w:marRight w:val="0"/>
                      <w:marTop w:val="0"/>
                      <w:marBottom w:val="0"/>
                      <w:divBdr>
                        <w:top w:val="none" w:sz="0" w:space="0" w:color="auto"/>
                        <w:left w:val="none" w:sz="0" w:space="0" w:color="auto"/>
                        <w:bottom w:val="none" w:sz="0" w:space="0" w:color="auto"/>
                        <w:right w:val="none" w:sz="0" w:space="0" w:color="auto"/>
                      </w:divBdr>
                    </w:div>
                  </w:divsChild>
                </w:div>
                <w:div w:id="1280331449">
                  <w:marLeft w:val="0"/>
                  <w:marRight w:val="0"/>
                  <w:marTop w:val="0"/>
                  <w:marBottom w:val="0"/>
                  <w:divBdr>
                    <w:top w:val="none" w:sz="0" w:space="0" w:color="auto"/>
                    <w:left w:val="none" w:sz="0" w:space="0" w:color="auto"/>
                    <w:bottom w:val="none" w:sz="0" w:space="0" w:color="auto"/>
                    <w:right w:val="none" w:sz="0" w:space="0" w:color="auto"/>
                  </w:divBdr>
                  <w:divsChild>
                    <w:div w:id="427579914">
                      <w:marLeft w:val="0"/>
                      <w:marRight w:val="0"/>
                      <w:marTop w:val="0"/>
                      <w:marBottom w:val="0"/>
                      <w:divBdr>
                        <w:top w:val="none" w:sz="0" w:space="0" w:color="auto"/>
                        <w:left w:val="none" w:sz="0" w:space="0" w:color="auto"/>
                        <w:bottom w:val="none" w:sz="0" w:space="0" w:color="auto"/>
                        <w:right w:val="none" w:sz="0" w:space="0" w:color="auto"/>
                      </w:divBdr>
                    </w:div>
                  </w:divsChild>
                </w:div>
                <w:div w:id="1319386784">
                  <w:marLeft w:val="0"/>
                  <w:marRight w:val="0"/>
                  <w:marTop w:val="0"/>
                  <w:marBottom w:val="0"/>
                  <w:divBdr>
                    <w:top w:val="none" w:sz="0" w:space="0" w:color="auto"/>
                    <w:left w:val="none" w:sz="0" w:space="0" w:color="auto"/>
                    <w:bottom w:val="none" w:sz="0" w:space="0" w:color="auto"/>
                    <w:right w:val="none" w:sz="0" w:space="0" w:color="auto"/>
                  </w:divBdr>
                  <w:divsChild>
                    <w:div w:id="1110247690">
                      <w:marLeft w:val="0"/>
                      <w:marRight w:val="0"/>
                      <w:marTop w:val="0"/>
                      <w:marBottom w:val="0"/>
                      <w:divBdr>
                        <w:top w:val="none" w:sz="0" w:space="0" w:color="auto"/>
                        <w:left w:val="none" w:sz="0" w:space="0" w:color="auto"/>
                        <w:bottom w:val="none" w:sz="0" w:space="0" w:color="auto"/>
                        <w:right w:val="none" w:sz="0" w:space="0" w:color="auto"/>
                      </w:divBdr>
                    </w:div>
                  </w:divsChild>
                </w:div>
                <w:div w:id="1331561383">
                  <w:marLeft w:val="0"/>
                  <w:marRight w:val="0"/>
                  <w:marTop w:val="0"/>
                  <w:marBottom w:val="0"/>
                  <w:divBdr>
                    <w:top w:val="none" w:sz="0" w:space="0" w:color="auto"/>
                    <w:left w:val="none" w:sz="0" w:space="0" w:color="auto"/>
                    <w:bottom w:val="none" w:sz="0" w:space="0" w:color="auto"/>
                    <w:right w:val="none" w:sz="0" w:space="0" w:color="auto"/>
                  </w:divBdr>
                  <w:divsChild>
                    <w:div w:id="1535463201">
                      <w:marLeft w:val="0"/>
                      <w:marRight w:val="0"/>
                      <w:marTop w:val="0"/>
                      <w:marBottom w:val="0"/>
                      <w:divBdr>
                        <w:top w:val="none" w:sz="0" w:space="0" w:color="auto"/>
                        <w:left w:val="none" w:sz="0" w:space="0" w:color="auto"/>
                        <w:bottom w:val="none" w:sz="0" w:space="0" w:color="auto"/>
                        <w:right w:val="none" w:sz="0" w:space="0" w:color="auto"/>
                      </w:divBdr>
                    </w:div>
                  </w:divsChild>
                </w:div>
                <w:div w:id="1333486878">
                  <w:marLeft w:val="0"/>
                  <w:marRight w:val="0"/>
                  <w:marTop w:val="0"/>
                  <w:marBottom w:val="0"/>
                  <w:divBdr>
                    <w:top w:val="none" w:sz="0" w:space="0" w:color="auto"/>
                    <w:left w:val="none" w:sz="0" w:space="0" w:color="auto"/>
                    <w:bottom w:val="none" w:sz="0" w:space="0" w:color="auto"/>
                    <w:right w:val="none" w:sz="0" w:space="0" w:color="auto"/>
                  </w:divBdr>
                  <w:divsChild>
                    <w:div w:id="14314649">
                      <w:marLeft w:val="0"/>
                      <w:marRight w:val="0"/>
                      <w:marTop w:val="0"/>
                      <w:marBottom w:val="0"/>
                      <w:divBdr>
                        <w:top w:val="none" w:sz="0" w:space="0" w:color="auto"/>
                        <w:left w:val="none" w:sz="0" w:space="0" w:color="auto"/>
                        <w:bottom w:val="none" w:sz="0" w:space="0" w:color="auto"/>
                        <w:right w:val="none" w:sz="0" w:space="0" w:color="auto"/>
                      </w:divBdr>
                    </w:div>
                  </w:divsChild>
                </w:div>
                <w:div w:id="1338338531">
                  <w:marLeft w:val="0"/>
                  <w:marRight w:val="0"/>
                  <w:marTop w:val="0"/>
                  <w:marBottom w:val="0"/>
                  <w:divBdr>
                    <w:top w:val="none" w:sz="0" w:space="0" w:color="auto"/>
                    <w:left w:val="none" w:sz="0" w:space="0" w:color="auto"/>
                    <w:bottom w:val="none" w:sz="0" w:space="0" w:color="auto"/>
                    <w:right w:val="none" w:sz="0" w:space="0" w:color="auto"/>
                  </w:divBdr>
                  <w:divsChild>
                    <w:div w:id="2104568807">
                      <w:marLeft w:val="0"/>
                      <w:marRight w:val="0"/>
                      <w:marTop w:val="0"/>
                      <w:marBottom w:val="0"/>
                      <w:divBdr>
                        <w:top w:val="none" w:sz="0" w:space="0" w:color="auto"/>
                        <w:left w:val="none" w:sz="0" w:space="0" w:color="auto"/>
                        <w:bottom w:val="none" w:sz="0" w:space="0" w:color="auto"/>
                        <w:right w:val="none" w:sz="0" w:space="0" w:color="auto"/>
                      </w:divBdr>
                    </w:div>
                  </w:divsChild>
                </w:div>
                <w:div w:id="1351445664">
                  <w:marLeft w:val="0"/>
                  <w:marRight w:val="0"/>
                  <w:marTop w:val="0"/>
                  <w:marBottom w:val="0"/>
                  <w:divBdr>
                    <w:top w:val="none" w:sz="0" w:space="0" w:color="auto"/>
                    <w:left w:val="none" w:sz="0" w:space="0" w:color="auto"/>
                    <w:bottom w:val="none" w:sz="0" w:space="0" w:color="auto"/>
                    <w:right w:val="none" w:sz="0" w:space="0" w:color="auto"/>
                  </w:divBdr>
                  <w:divsChild>
                    <w:div w:id="1164399310">
                      <w:marLeft w:val="0"/>
                      <w:marRight w:val="0"/>
                      <w:marTop w:val="0"/>
                      <w:marBottom w:val="0"/>
                      <w:divBdr>
                        <w:top w:val="none" w:sz="0" w:space="0" w:color="auto"/>
                        <w:left w:val="none" w:sz="0" w:space="0" w:color="auto"/>
                        <w:bottom w:val="none" w:sz="0" w:space="0" w:color="auto"/>
                        <w:right w:val="none" w:sz="0" w:space="0" w:color="auto"/>
                      </w:divBdr>
                    </w:div>
                  </w:divsChild>
                </w:div>
                <w:div w:id="1367170614">
                  <w:marLeft w:val="0"/>
                  <w:marRight w:val="0"/>
                  <w:marTop w:val="0"/>
                  <w:marBottom w:val="0"/>
                  <w:divBdr>
                    <w:top w:val="none" w:sz="0" w:space="0" w:color="auto"/>
                    <w:left w:val="none" w:sz="0" w:space="0" w:color="auto"/>
                    <w:bottom w:val="none" w:sz="0" w:space="0" w:color="auto"/>
                    <w:right w:val="none" w:sz="0" w:space="0" w:color="auto"/>
                  </w:divBdr>
                  <w:divsChild>
                    <w:div w:id="1290671094">
                      <w:marLeft w:val="0"/>
                      <w:marRight w:val="0"/>
                      <w:marTop w:val="0"/>
                      <w:marBottom w:val="0"/>
                      <w:divBdr>
                        <w:top w:val="none" w:sz="0" w:space="0" w:color="auto"/>
                        <w:left w:val="none" w:sz="0" w:space="0" w:color="auto"/>
                        <w:bottom w:val="none" w:sz="0" w:space="0" w:color="auto"/>
                        <w:right w:val="none" w:sz="0" w:space="0" w:color="auto"/>
                      </w:divBdr>
                    </w:div>
                  </w:divsChild>
                </w:div>
                <w:div w:id="1372916885">
                  <w:marLeft w:val="0"/>
                  <w:marRight w:val="0"/>
                  <w:marTop w:val="0"/>
                  <w:marBottom w:val="0"/>
                  <w:divBdr>
                    <w:top w:val="none" w:sz="0" w:space="0" w:color="auto"/>
                    <w:left w:val="none" w:sz="0" w:space="0" w:color="auto"/>
                    <w:bottom w:val="none" w:sz="0" w:space="0" w:color="auto"/>
                    <w:right w:val="none" w:sz="0" w:space="0" w:color="auto"/>
                  </w:divBdr>
                  <w:divsChild>
                    <w:div w:id="1889687136">
                      <w:marLeft w:val="0"/>
                      <w:marRight w:val="0"/>
                      <w:marTop w:val="0"/>
                      <w:marBottom w:val="0"/>
                      <w:divBdr>
                        <w:top w:val="none" w:sz="0" w:space="0" w:color="auto"/>
                        <w:left w:val="none" w:sz="0" w:space="0" w:color="auto"/>
                        <w:bottom w:val="none" w:sz="0" w:space="0" w:color="auto"/>
                        <w:right w:val="none" w:sz="0" w:space="0" w:color="auto"/>
                      </w:divBdr>
                    </w:div>
                  </w:divsChild>
                </w:div>
                <w:div w:id="1373069695">
                  <w:marLeft w:val="0"/>
                  <w:marRight w:val="0"/>
                  <w:marTop w:val="0"/>
                  <w:marBottom w:val="0"/>
                  <w:divBdr>
                    <w:top w:val="none" w:sz="0" w:space="0" w:color="auto"/>
                    <w:left w:val="none" w:sz="0" w:space="0" w:color="auto"/>
                    <w:bottom w:val="none" w:sz="0" w:space="0" w:color="auto"/>
                    <w:right w:val="none" w:sz="0" w:space="0" w:color="auto"/>
                  </w:divBdr>
                  <w:divsChild>
                    <w:div w:id="1432124190">
                      <w:marLeft w:val="0"/>
                      <w:marRight w:val="0"/>
                      <w:marTop w:val="0"/>
                      <w:marBottom w:val="0"/>
                      <w:divBdr>
                        <w:top w:val="none" w:sz="0" w:space="0" w:color="auto"/>
                        <w:left w:val="none" w:sz="0" w:space="0" w:color="auto"/>
                        <w:bottom w:val="none" w:sz="0" w:space="0" w:color="auto"/>
                        <w:right w:val="none" w:sz="0" w:space="0" w:color="auto"/>
                      </w:divBdr>
                    </w:div>
                  </w:divsChild>
                </w:div>
                <w:div w:id="1378621654">
                  <w:marLeft w:val="0"/>
                  <w:marRight w:val="0"/>
                  <w:marTop w:val="0"/>
                  <w:marBottom w:val="0"/>
                  <w:divBdr>
                    <w:top w:val="none" w:sz="0" w:space="0" w:color="auto"/>
                    <w:left w:val="none" w:sz="0" w:space="0" w:color="auto"/>
                    <w:bottom w:val="none" w:sz="0" w:space="0" w:color="auto"/>
                    <w:right w:val="none" w:sz="0" w:space="0" w:color="auto"/>
                  </w:divBdr>
                  <w:divsChild>
                    <w:div w:id="646739758">
                      <w:marLeft w:val="0"/>
                      <w:marRight w:val="0"/>
                      <w:marTop w:val="0"/>
                      <w:marBottom w:val="0"/>
                      <w:divBdr>
                        <w:top w:val="none" w:sz="0" w:space="0" w:color="auto"/>
                        <w:left w:val="none" w:sz="0" w:space="0" w:color="auto"/>
                        <w:bottom w:val="none" w:sz="0" w:space="0" w:color="auto"/>
                        <w:right w:val="none" w:sz="0" w:space="0" w:color="auto"/>
                      </w:divBdr>
                    </w:div>
                  </w:divsChild>
                </w:div>
                <w:div w:id="1382830438">
                  <w:marLeft w:val="0"/>
                  <w:marRight w:val="0"/>
                  <w:marTop w:val="0"/>
                  <w:marBottom w:val="0"/>
                  <w:divBdr>
                    <w:top w:val="none" w:sz="0" w:space="0" w:color="auto"/>
                    <w:left w:val="none" w:sz="0" w:space="0" w:color="auto"/>
                    <w:bottom w:val="none" w:sz="0" w:space="0" w:color="auto"/>
                    <w:right w:val="none" w:sz="0" w:space="0" w:color="auto"/>
                  </w:divBdr>
                  <w:divsChild>
                    <w:div w:id="1509295543">
                      <w:marLeft w:val="0"/>
                      <w:marRight w:val="0"/>
                      <w:marTop w:val="0"/>
                      <w:marBottom w:val="0"/>
                      <w:divBdr>
                        <w:top w:val="none" w:sz="0" w:space="0" w:color="auto"/>
                        <w:left w:val="none" w:sz="0" w:space="0" w:color="auto"/>
                        <w:bottom w:val="none" w:sz="0" w:space="0" w:color="auto"/>
                        <w:right w:val="none" w:sz="0" w:space="0" w:color="auto"/>
                      </w:divBdr>
                    </w:div>
                  </w:divsChild>
                </w:div>
                <w:div w:id="1425302451">
                  <w:marLeft w:val="0"/>
                  <w:marRight w:val="0"/>
                  <w:marTop w:val="0"/>
                  <w:marBottom w:val="0"/>
                  <w:divBdr>
                    <w:top w:val="none" w:sz="0" w:space="0" w:color="auto"/>
                    <w:left w:val="none" w:sz="0" w:space="0" w:color="auto"/>
                    <w:bottom w:val="none" w:sz="0" w:space="0" w:color="auto"/>
                    <w:right w:val="none" w:sz="0" w:space="0" w:color="auto"/>
                  </w:divBdr>
                  <w:divsChild>
                    <w:div w:id="106582871">
                      <w:marLeft w:val="0"/>
                      <w:marRight w:val="0"/>
                      <w:marTop w:val="0"/>
                      <w:marBottom w:val="0"/>
                      <w:divBdr>
                        <w:top w:val="none" w:sz="0" w:space="0" w:color="auto"/>
                        <w:left w:val="none" w:sz="0" w:space="0" w:color="auto"/>
                        <w:bottom w:val="none" w:sz="0" w:space="0" w:color="auto"/>
                        <w:right w:val="none" w:sz="0" w:space="0" w:color="auto"/>
                      </w:divBdr>
                    </w:div>
                  </w:divsChild>
                </w:div>
                <w:div w:id="1427651118">
                  <w:marLeft w:val="0"/>
                  <w:marRight w:val="0"/>
                  <w:marTop w:val="0"/>
                  <w:marBottom w:val="0"/>
                  <w:divBdr>
                    <w:top w:val="none" w:sz="0" w:space="0" w:color="auto"/>
                    <w:left w:val="none" w:sz="0" w:space="0" w:color="auto"/>
                    <w:bottom w:val="none" w:sz="0" w:space="0" w:color="auto"/>
                    <w:right w:val="none" w:sz="0" w:space="0" w:color="auto"/>
                  </w:divBdr>
                  <w:divsChild>
                    <w:div w:id="1959138931">
                      <w:marLeft w:val="0"/>
                      <w:marRight w:val="0"/>
                      <w:marTop w:val="0"/>
                      <w:marBottom w:val="0"/>
                      <w:divBdr>
                        <w:top w:val="none" w:sz="0" w:space="0" w:color="auto"/>
                        <w:left w:val="none" w:sz="0" w:space="0" w:color="auto"/>
                        <w:bottom w:val="none" w:sz="0" w:space="0" w:color="auto"/>
                        <w:right w:val="none" w:sz="0" w:space="0" w:color="auto"/>
                      </w:divBdr>
                    </w:div>
                  </w:divsChild>
                </w:div>
                <w:div w:id="1455904800">
                  <w:marLeft w:val="0"/>
                  <w:marRight w:val="0"/>
                  <w:marTop w:val="0"/>
                  <w:marBottom w:val="0"/>
                  <w:divBdr>
                    <w:top w:val="none" w:sz="0" w:space="0" w:color="auto"/>
                    <w:left w:val="none" w:sz="0" w:space="0" w:color="auto"/>
                    <w:bottom w:val="none" w:sz="0" w:space="0" w:color="auto"/>
                    <w:right w:val="none" w:sz="0" w:space="0" w:color="auto"/>
                  </w:divBdr>
                  <w:divsChild>
                    <w:div w:id="1465730695">
                      <w:marLeft w:val="0"/>
                      <w:marRight w:val="0"/>
                      <w:marTop w:val="0"/>
                      <w:marBottom w:val="0"/>
                      <w:divBdr>
                        <w:top w:val="none" w:sz="0" w:space="0" w:color="auto"/>
                        <w:left w:val="none" w:sz="0" w:space="0" w:color="auto"/>
                        <w:bottom w:val="none" w:sz="0" w:space="0" w:color="auto"/>
                        <w:right w:val="none" w:sz="0" w:space="0" w:color="auto"/>
                      </w:divBdr>
                    </w:div>
                  </w:divsChild>
                </w:div>
                <w:div w:id="1470436093">
                  <w:marLeft w:val="0"/>
                  <w:marRight w:val="0"/>
                  <w:marTop w:val="0"/>
                  <w:marBottom w:val="0"/>
                  <w:divBdr>
                    <w:top w:val="none" w:sz="0" w:space="0" w:color="auto"/>
                    <w:left w:val="none" w:sz="0" w:space="0" w:color="auto"/>
                    <w:bottom w:val="none" w:sz="0" w:space="0" w:color="auto"/>
                    <w:right w:val="none" w:sz="0" w:space="0" w:color="auto"/>
                  </w:divBdr>
                  <w:divsChild>
                    <w:div w:id="215050470">
                      <w:marLeft w:val="0"/>
                      <w:marRight w:val="0"/>
                      <w:marTop w:val="0"/>
                      <w:marBottom w:val="0"/>
                      <w:divBdr>
                        <w:top w:val="none" w:sz="0" w:space="0" w:color="auto"/>
                        <w:left w:val="none" w:sz="0" w:space="0" w:color="auto"/>
                        <w:bottom w:val="none" w:sz="0" w:space="0" w:color="auto"/>
                        <w:right w:val="none" w:sz="0" w:space="0" w:color="auto"/>
                      </w:divBdr>
                    </w:div>
                  </w:divsChild>
                </w:div>
                <w:div w:id="1471555585">
                  <w:marLeft w:val="0"/>
                  <w:marRight w:val="0"/>
                  <w:marTop w:val="0"/>
                  <w:marBottom w:val="0"/>
                  <w:divBdr>
                    <w:top w:val="none" w:sz="0" w:space="0" w:color="auto"/>
                    <w:left w:val="none" w:sz="0" w:space="0" w:color="auto"/>
                    <w:bottom w:val="none" w:sz="0" w:space="0" w:color="auto"/>
                    <w:right w:val="none" w:sz="0" w:space="0" w:color="auto"/>
                  </w:divBdr>
                  <w:divsChild>
                    <w:div w:id="1862206923">
                      <w:marLeft w:val="0"/>
                      <w:marRight w:val="0"/>
                      <w:marTop w:val="0"/>
                      <w:marBottom w:val="0"/>
                      <w:divBdr>
                        <w:top w:val="none" w:sz="0" w:space="0" w:color="auto"/>
                        <w:left w:val="none" w:sz="0" w:space="0" w:color="auto"/>
                        <w:bottom w:val="none" w:sz="0" w:space="0" w:color="auto"/>
                        <w:right w:val="none" w:sz="0" w:space="0" w:color="auto"/>
                      </w:divBdr>
                    </w:div>
                  </w:divsChild>
                </w:div>
                <w:div w:id="1478646503">
                  <w:marLeft w:val="0"/>
                  <w:marRight w:val="0"/>
                  <w:marTop w:val="0"/>
                  <w:marBottom w:val="0"/>
                  <w:divBdr>
                    <w:top w:val="none" w:sz="0" w:space="0" w:color="auto"/>
                    <w:left w:val="none" w:sz="0" w:space="0" w:color="auto"/>
                    <w:bottom w:val="none" w:sz="0" w:space="0" w:color="auto"/>
                    <w:right w:val="none" w:sz="0" w:space="0" w:color="auto"/>
                  </w:divBdr>
                  <w:divsChild>
                    <w:div w:id="643312201">
                      <w:marLeft w:val="0"/>
                      <w:marRight w:val="0"/>
                      <w:marTop w:val="0"/>
                      <w:marBottom w:val="0"/>
                      <w:divBdr>
                        <w:top w:val="none" w:sz="0" w:space="0" w:color="auto"/>
                        <w:left w:val="none" w:sz="0" w:space="0" w:color="auto"/>
                        <w:bottom w:val="none" w:sz="0" w:space="0" w:color="auto"/>
                        <w:right w:val="none" w:sz="0" w:space="0" w:color="auto"/>
                      </w:divBdr>
                    </w:div>
                  </w:divsChild>
                </w:div>
                <w:div w:id="1495536093">
                  <w:marLeft w:val="0"/>
                  <w:marRight w:val="0"/>
                  <w:marTop w:val="0"/>
                  <w:marBottom w:val="0"/>
                  <w:divBdr>
                    <w:top w:val="none" w:sz="0" w:space="0" w:color="auto"/>
                    <w:left w:val="none" w:sz="0" w:space="0" w:color="auto"/>
                    <w:bottom w:val="none" w:sz="0" w:space="0" w:color="auto"/>
                    <w:right w:val="none" w:sz="0" w:space="0" w:color="auto"/>
                  </w:divBdr>
                  <w:divsChild>
                    <w:div w:id="508957399">
                      <w:marLeft w:val="0"/>
                      <w:marRight w:val="0"/>
                      <w:marTop w:val="0"/>
                      <w:marBottom w:val="0"/>
                      <w:divBdr>
                        <w:top w:val="none" w:sz="0" w:space="0" w:color="auto"/>
                        <w:left w:val="none" w:sz="0" w:space="0" w:color="auto"/>
                        <w:bottom w:val="none" w:sz="0" w:space="0" w:color="auto"/>
                        <w:right w:val="none" w:sz="0" w:space="0" w:color="auto"/>
                      </w:divBdr>
                    </w:div>
                  </w:divsChild>
                </w:div>
                <w:div w:id="1508640350">
                  <w:marLeft w:val="0"/>
                  <w:marRight w:val="0"/>
                  <w:marTop w:val="0"/>
                  <w:marBottom w:val="0"/>
                  <w:divBdr>
                    <w:top w:val="none" w:sz="0" w:space="0" w:color="auto"/>
                    <w:left w:val="none" w:sz="0" w:space="0" w:color="auto"/>
                    <w:bottom w:val="none" w:sz="0" w:space="0" w:color="auto"/>
                    <w:right w:val="none" w:sz="0" w:space="0" w:color="auto"/>
                  </w:divBdr>
                  <w:divsChild>
                    <w:div w:id="1236014934">
                      <w:marLeft w:val="0"/>
                      <w:marRight w:val="0"/>
                      <w:marTop w:val="0"/>
                      <w:marBottom w:val="0"/>
                      <w:divBdr>
                        <w:top w:val="none" w:sz="0" w:space="0" w:color="auto"/>
                        <w:left w:val="none" w:sz="0" w:space="0" w:color="auto"/>
                        <w:bottom w:val="none" w:sz="0" w:space="0" w:color="auto"/>
                        <w:right w:val="none" w:sz="0" w:space="0" w:color="auto"/>
                      </w:divBdr>
                    </w:div>
                  </w:divsChild>
                </w:div>
                <w:div w:id="1522931566">
                  <w:marLeft w:val="0"/>
                  <w:marRight w:val="0"/>
                  <w:marTop w:val="0"/>
                  <w:marBottom w:val="0"/>
                  <w:divBdr>
                    <w:top w:val="none" w:sz="0" w:space="0" w:color="auto"/>
                    <w:left w:val="none" w:sz="0" w:space="0" w:color="auto"/>
                    <w:bottom w:val="none" w:sz="0" w:space="0" w:color="auto"/>
                    <w:right w:val="none" w:sz="0" w:space="0" w:color="auto"/>
                  </w:divBdr>
                  <w:divsChild>
                    <w:div w:id="2087265268">
                      <w:marLeft w:val="0"/>
                      <w:marRight w:val="0"/>
                      <w:marTop w:val="0"/>
                      <w:marBottom w:val="0"/>
                      <w:divBdr>
                        <w:top w:val="none" w:sz="0" w:space="0" w:color="auto"/>
                        <w:left w:val="none" w:sz="0" w:space="0" w:color="auto"/>
                        <w:bottom w:val="none" w:sz="0" w:space="0" w:color="auto"/>
                        <w:right w:val="none" w:sz="0" w:space="0" w:color="auto"/>
                      </w:divBdr>
                    </w:div>
                  </w:divsChild>
                </w:div>
                <w:div w:id="1574386538">
                  <w:marLeft w:val="0"/>
                  <w:marRight w:val="0"/>
                  <w:marTop w:val="0"/>
                  <w:marBottom w:val="0"/>
                  <w:divBdr>
                    <w:top w:val="none" w:sz="0" w:space="0" w:color="auto"/>
                    <w:left w:val="none" w:sz="0" w:space="0" w:color="auto"/>
                    <w:bottom w:val="none" w:sz="0" w:space="0" w:color="auto"/>
                    <w:right w:val="none" w:sz="0" w:space="0" w:color="auto"/>
                  </w:divBdr>
                  <w:divsChild>
                    <w:div w:id="774522157">
                      <w:marLeft w:val="0"/>
                      <w:marRight w:val="0"/>
                      <w:marTop w:val="0"/>
                      <w:marBottom w:val="0"/>
                      <w:divBdr>
                        <w:top w:val="none" w:sz="0" w:space="0" w:color="auto"/>
                        <w:left w:val="none" w:sz="0" w:space="0" w:color="auto"/>
                        <w:bottom w:val="none" w:sz="0" w:space="0" w:color="auto"/>
                        <w:right w:val="none" w:sz="0" w:space="0" w:color="auto"/>
                      </w:divBdr>
                    </w:div>
                  </w:divsChild>
                </w:div>
                <w:div w:id="1612278995">
                  <w:marLeft w:val="0"/>
                  <w:marRight w:val="0"/>
                  <w:marTop w:val="0"/>
                  <w:marBottom w:val="0"/>
                  <w:divBdr>
                    <w:top w:val="none" w:sz="0" w:space="0" w:color="auto"/>
                    <w:left w:val="none" w:sz="0" w:space="0" w:color="auto"/>
                    <w:bottom w:val="none" w:sz="0" w:space="0" w:color="auto"/>
                    <w:right w:val="none" w:sz="0" w:space="0" w:color="auto"/>
                  </w:divBdr>
                  <w:divsChild>
                    <w:div w:id="1590655067">
                      <w:marLeft w:val="0"/>
                      <w:marRight w:val="0"/>
                      <w:marTop w:val="0"/>
                      <w:marBottom w:val="0"/>
                      <w:divBdr>
                        <w:top w:val="none" w:sz="0" w:space="0" w:color="auto"/>
                        <w:left w:val="none" w:sz="0" w:space="0" w:color="auto"/>
                        <w:bottom w:val="none" w:sz="0" w:space="0" w:color="auto"/>
                        <w:right w:val="none" w:sz="0" w:space="0" w:color="auto"/>
                      </w:divBdr>
                    </w:div>
                  </w:divsChild>
                </w:div>
                <w:div w:id="1628193886">
                  <w:marLeft w:val="0"/>
                  <w:marRight w:val="0"/>
                  <w:marTop w:val="0"/>
                  <w:marBottom w:val="0"/>
                  <w:divBdr>
                    <w:top w:val="none" w:sz="0" w:space="0" w:color="auto"/>
                    <w:left w:val="none" w:sz="0" w:space="0" w:color="auto"/>
                    <w:bottom w:val="none" w:sz="0" w:space="0" w:color="auto"/>
                    <w:right w:val="none" w:sz="0" w:space="0" w:color="auto"/>
                  </w:divBdr>
                  <w:divsChild>
                    <w:div w:id="1344239347">
                      <w:marLeft w:val="0"/>
                      <w:marRight w:val="0"/>
                      <w:marTop w:val="0"/>
                      <w:marBottom w:val="0"/>
                      <w:divBdr>
                        <w:top w:val="none" w:sz="0" w:space="0" w:color="auto"/>
                        <w:left w:val="none" w:sz="0" w:space="0" w:color="auto"/>
                        <w:bottom w:val="none" w:sz="0" w:space="0" w:color="auto"/>
                        <w:right w:val="none" w:sz="0" w:space="0" w:color="auto"/>
                      </w:divBdr>
                    </w:div>
                  </w:divsChild>
                </w:div>
                <w:div w:id="1672832960">
                  <w:marLeft w:val="0"/>
                  <w:marRight w:val="0"/>
                  <w:marTop w:val="0"/>
                  <w:marBottom w:val="0"/>
                  <w:divBdr>
                    <w:top w:val="none" w:sz="0" w:space="0" w:color="auto"/>
                    <w:left w:val="none" w:sz="0" w:space="0" w:color="auto"/>
                    <w:bottom w:val="none" w:sz="0" w:space="0" w:color="auto"/>
                    <w:right w:val="none" w:sz="0" w:space="0" w:color="auto"/>
                  </w:divBdr>
                  <w:divsChild>
                    <w:div w:id="1863743869">
                      <w:marLeft w:val="0"/>
                      <w:marRight w:val="0"/>
                      <w:marTop w:val="0"/>
                      <w:marBottom w:val="0"/>
                      <w:divBdr>
                        <w:top w:val="none" w:sz="0" w:space="0" w:color="auto"/>
                        <w:left w:val="none" w:sz="0" w:space="0" w:color="auto"/>
                        <w:bottom w:val="none" w:sz="0" w:space="0" w:color="auto"/>
                        <w:right w:val="none" w:sz="0" w:space="0" w:color="auto"/>
                      </w:divBdr>
                    </w:div>
                  </w:divsChild>
                </w:div>
                <w:div w:id="1692611849">
                  <w:marLeft w:val="0"/>
                  <w:marRight w:val="0"/>
                  <w:marTop w:val="0"/>
                  <w:marBottom w:val="0"/>
                  <w:divBdr>
                    <w:top w:val="none" w:sz="0" w:space="0" w:color="auto"/>
                    <w:left w:val="none" w:sz="0" w:space="0" w:color="auto"/>
                    <w:bottom w:val="none" w:sz="0" w:space="0" w:color="auto"/>
                    <w:right w:val="none" w:sz="0" w:space="0" w:color="auto"/>
                  </w:divBdr>
                  <w:divsChild>
                    <w:div w:id="630866821">
                      <w:marLeft w:val="0"/>
                      <w:marRight w:val="0"/>
                      <w:marTop w:val="0"/>
                      <w:marBottom w:val="0"/>
                      <w:divBdr>
                        <w:top w:val="none" w:sz="0" w:space="0" w:color="auto"/>
                        <w:left w:val="none" w:sz="0" w:space="0" w:color="auto"/>
                        <w:bottom w:val="none" w:sz="0" w:space="0" w:color="auto"/>
                        <w:right w:val="none" w:sz="0" w:space="0" w:color="auto"/>
                      </w:divBdr>
                    </w:div>
                  </w:divsChild>
                </w:div>
                <w:div w:id="1714651053">
                  <w:marLeft w:val="0"/>
                  <w:marRight w:val="0"/>
                  <w:marTop w:val="0"/>
                  <w:marBottom w:val="0"/>
                  <w:divBdr>
                    <w:top w:val="none" w:sz="0" w:space="0" w:color="auto"/>
                    <w:left w:val="none" w:sz="0" w:space="0" w:color="auto"/>
                    <w:bottom w:val="none" w:sz="0" w:space="0" w:color="auto"/>
                    <w:right w:val="none" w:sz="0" w:space="0" w:color="auto"/>
                  </w:divBdr>
                  <w:divsChild>
                    <w:div w:id="294221888">
                      <w:marLeft w:val="0"/>
                      <w:marRight w:val="0"/>
                      <w:marTop w:val="0"/>
                      <w:marBottom w:val="0"/>
                      <w:divBdr>
                        <w:top w:val="none" w:sz="0" w:space="0" w:color="auto"/>
                        <w:left w:val="none" w:sz="0" w:space="0" w:color="auto"/>
                        <w:bottom w:val="none" w:sz="0" w:space="0" w:color="auto"/>
                        <w:right w:val="none" w:sz="0" w:space="0" w:color="auto"/>
                      </w:divBdr>
                    </w:div>
                  </w:divsChild>
                </w:div>
                <w:div w:id="1715228151">
                  <w:marLeft w:val="0"/>
                  <w:marRight w:val="0"/>
                  <w:marTop w:val="0"/>
                  <w:marBottom w:val="0"/>
                  <w:divBdr>
                    <w:top w:val="none" w:sz="0" w:space="0" w:color="auto"/>
                    <w:left w:val="none" w:sz="0" w:space="0" w:color="auto"/>
                    <w:bottom w:val="none" w:sz="0" w:space="0" w:color="auto"/>
                    <w:right w:val="none" w:sz="0" w:space="0" w:color="auto"/>
                  </w:divBdr>
                  <w:divsChild>
                    <w:div w:id="1436949098">
                      <w:marLeft w:val="0"/>
                      <w:marRight w:val="0"/>
                      <w:marTop w:val="0"/>
                      <w:marBottom w:val="0"/>
                      <w:divBdr>
                        <w:top w:val="none" w:sz="0" w:space="0" w:color="auto"/>
                        <w:left w:val="none" w:sz="0" w:space="0" w:color="auto"/>
                        <w:bottom w:val="none" w:sz="0" w:space="0" w:color="auto"/>
                        <w:right w:val="none" w:sz="0" w:space="0" w:color="auto"/>
                      </w:divBdr>
                    </w:div>
                  </w:divsChild>
                </w:div>
                <w:div w:id="1723597570">
                  <w:marLeft w:val="0"/>
                  <w:marRight w:val="0"/>
                  <w:marTop w:val="0"/>
                  <w:marBottom w:val="0"/>
                  <w:divBdr>
                    <w:top w:val="none" w:sz="0" w:space="0" w:color="auto"/>
                    <w:left w:val="none" w:sz="0" w:space="0" w:color="auto"/>
                    <w:bottom w:val="none" w:sz="0" w:space="0" w:color="auto"/>
                    <w:right w:val="none" w:sz="0" w:space="0" w:color="auto"/>
                  </w:divBdr>
                  <w:divsChild>
                    <w:div w:id="1328947218">
                      <w:marLeft w:val="0"/>
                      <w:marRight w:val="0"/>
                      <w:marTop w:val="0"/>
                      <w:marBottom w:val="0"/>
                      <w:divBdr>
                        <w:top w:val="none" w:sz="0" w:space="0" w:color="auto"/>
                        <w:left w:val="none" w:sz="0" w:space="0" w:color="auto"/>
                        <w:bottom w:val="none" w:sz="0" w:space="0" w:color="auto"/>
                        <w:right w:val="none" w:sz="0" w:space="0" w:color="auto"/>
                      </w:divBdr>
                    </w:div>
                  </w:divsChild>
                </w:div>
                <w:div w:id="1726641989">
                  <w:marLeft w:val="0"/>
                  <w:marRight w:val="0"/>
                  <w:marTop w:val="0"/>
                  <w:marBottom w:val="0"/>
                  <w:divBdr>
                    <w:top w:val="none" w:sz="0" w:space="0" w:color="auto"/>
                    <w:left w:val="none" w:sz="0" w:space="0" w:color="auto"/>
                    <w:bottom w:val="none" w:sz="0" w:space="0" w:color="auto"/>
                    <w:right w:val="none" w:sz="0" w:space="0" w:color="auto"/>
                  </w:divBdr>
                  <w:divsChild>
                    <w:div w:id="1063790651">
                      <w:marLeft w:val="0"/>
                      <w:marRight w:val="0"/>
                      <w:marTop w:val="0"/>
                      <w:marBottom w:val="0"/>
                      <w:divBdr>
                        <w:top w:val="none" w:sz="0" w:space="0" w:color="auto"/>
                        <w:left w:val="none" w:sz="0" w:space="0" w:color="auto"/>
                        <w:bottom w:val="none" w:sz="0" w:space="0" w:color="auto"/>
                        <w:right w:val="none" w:sz="0" w:space="0" w:color="auto"/>
                      </w:divBdr>
                    </w:div>
                  </w:divsChild>
                </w:div>
                <w:div w:id="1738361215">
                  <w:marLeft w:val="0"/>
                  <w:marRight w:val="0"/>
                  <w:marTop w:val="0"/>
                  <w:marBottom w:val="0"/>
                  <w:divBdr>
                    <w:top w:val="none" w:sz="0" w:space="0" w:color="auto"/>
                    <w:left w:val="none" w:sz="0" w:space="0" w:color="auto"/>
                    <w:bottom w:val="none" w:sz="0" w:space="0" w:color="auto"/>
                    <w:right w:val="none" w:sz="0" w:space="0" w:color="auto"/>
                  </w:divBdr>
                  <w:divsChild>
                    <w:div w:id="1621065629">
                      <w:marLeft w:val="0"/>
                      <w:marRight w:val="0"/>
                      <w:marTop w:val="0"/>
                      <w:marBottom w:val="0"/>
                      <w:divBdr>
                        <w:top w:val="none" w:sz="0" w:space="0" w:color="auto"/>
                        <w:left w:val="none" w:sz="0" w:space="0" w:color="auto"/>
                        <w:bottom w:val="none" w:sz="0" w:space="0" w:color="auto"/>
                        <w:right w:val="none" w:sz="0" w:space="0" w:color="auto"/>
                      </w:divBdr>
                    </w:div>
                  </w:divsChild>
                </w:div>
                <w:div w:id="1743134963">
                  <w:marLeft w:val="0"/>
                  <w:marRight w:val="0"/>
                  <w:marTop w:val="0"/>
                  <w:marBottom w:val="0"/>
                  <w:divBdr>
                    <w:top w:val="none" w:sz="0" w:space="0" w:color="auto"/>
                    <w:left w:val="none" w:sz="0" w:space="0" w:color="auto"/>
                    <w:bottom w:val="none" w:sz="0" w:space="0" w:color="auto"/>
                    <w:right w:val="none" w:sz="0" w:space="0" w:color="auto"/>
                  </w:divBdr>
                  <w:divsChild>
                    <w:div w:id="626543030">
                      <w:marLeft w:val="0"/>
                      <w:marRight w:val="0"/>
                      <w:marTop w:val="0"/>
                      <w:marBottom w:val="0"/>
                      <w:divBdr>
                        <w:top w:val="none" w:sz="0" w:space="0" w:color="auto"/>
                        <w:left w:val="none" w:sz="0" w:space="0" w:color="auto"/>
                        <w:bottom w:val="none" w:sz="0" w:space="0" w:color="auto"/>
                        <w:right w:val="none" w:sz="0" w:space="0" w:color="auto"/>
                      </w:divBdr>
                    </w:div>
                  </w:divsChild>
                </w:div>
                <w:div w:id="1751350784">
                  <w:marLeft w:val="0"/>
                  <w:marRight w:val="0"/>
                  <w:marTop w:val="0"/>
                  <w:marBottom w:val="0"/>
                  <w:divBdr>
                    <w:top w:val="none" w:sz="0" w:space="0" w:color="auto"/>
                    <w:left w:val="none" w:sz="0" w:space="0" w:color="auto"/>
                    <w:bottom w:val="none" w:sz="0" w:space="0" w:color="auto"/>
                    <w:right w:val="none" w:sz="0" w:space="0" w:color="auto"/>
                  </w:divBdr>
                  <w:divsChild>
                    <w:div w:id="1363171577">
                      <w:marLeft w:val="0"/>
                      <w:marRight w:val="0"/>
                      <w:marTop w:val="0"/>
                      <w:marBottom w:val="0"/>
                      <w:divBdr>
                        <w:top w:val="none" w:sz="0" w:space="0" w:color="auto"/>
                        <w:left w:val="none" w:sz="0" w:space="0" w:color="auto"/>
                        <w:bottom w:val="none" w:sz="0" w:space="0" w:color="auto"/>
                        <w:right w:val="none" w:sz="0" w:space="0" w:color="auto"/>
                      </w:divBdr>
                    </w:div>
                  </w:divsChild>
                </w:div>
                <w:div w:id="1763523268">
                  <w:marLeft w:val="0"/>
                  <w:marRight w:val="0"/>
                  <w:marTop w:val="0"/>
                  <w:marBottom w:val="0"/>
                  <w:divBdr>
                    <w:top w:val="none" w:sz="0" w:space="0" w:color="auto"/>
                    <w:left w:val="none" w:sz="0" w:space="0" w:color="auto"/>
                    <w:bottom w:val="none" w:sz="0" w:space="0" w:color="auto"/>
                    <w:right w:val="none" w:sz="0" w:space="0" w:color="auto"/>
                  </w:divBdr>
                  <w:divsChild>
                    <w:div w:id="620376580">
                      <w:marLeft w:val="0"/>
                      <w:marRight w:val="0"/>
                      <w:marTop w:val="0"/>
                      <w:marBottom w:val="0"/>
                      <w:divBdr>
                        <w:top w:val="none" w:sz="0" w:space="0" w:color="auto"/>
                        <w:left w:val="none" w:sz="0" w:space="0" w:color="auto"/>
                        <w:bottom w:val="none" w:sz="0" w:space="0" w:color="auto"/>
                        <w:right w:val="none" w:sz="0" w:space="0" w:color="auto"/>
                      </w:divBdr>
                    </w:div>
                  </w:divsChild>
                </w:div>
                <w:div w:id="1776290640">
                  <w:marLeft w:val="0"/>
                  <w:marRight w:val="0"/>
                  <w:marTop w:val="0"/>
                  <w:marBottom w:val="0"/>
                  <w:divBdr>
                    <w:top w:val="none" w:sz="0" w:space="0" w:color="auto"/>
                    <w:left w:val="none" w:sz="0" w:space="0" w:color="auto"/>
                    <w:bottom w:val="none" w:sz="0" w:space="0" w:color="auto"/>
                    <w:right w:val="none" w:sz="0" w:space="0" w:color="auto"/>
                  </w:divBdr>
                  <w:divsChild>
                    <w:div w:id="1619951484">
                      <w:marLeft w:val="0"/>
                      <w:marRight w:val="0"/>
                      <w:marTop w:val="0"/>
                      <w:marBottom w:val="0"/>
                      <w:divBdr>
                        <w:top w:val="none" w:sz="0" w:space="0" w:color="auto"/>
                        <w:left w:val="none" w:sz="0" w:space="0" w:color="auto"/>
                        <w:bottom w:val="none" w:sz="0" w:space="0" w:color="auto"/>
                        <w:right w:val="none" w:sz="0" w:space="0" w:color="auto"/>
                      </w:divBdr>
                    </w:div>
                  </w:divsChild>
                </w:div>
                <w:div w:id="1782457792">
                  <w:marLeft w:val="0"/>
                  <w:marRight w:val="0"/>
                  <w:marTop w:val="0"/>
                  <w:marBottom w:val="0"/>
                  <w:divBdr>
                    <w:top w:val="none" w:sz="0" w:space="0" w:color="auto"/>
                    <w:left w:val="none" w:sz="0" w:space="0" w:color="auto"/>
                    <w:bottom w:val="none" w:sz="0" w:space="0" w:color="auto"/>
                    <w:right w:val="none" w:sz="0" w:space="0" w:color="auto"/>
                  </w:divBdr>
                  <w:divsChild>
                    <w:div w:id="1778331804">
                      <w:marLeft w:val="0"/>
                      <w:marRight w:val="0"/>
                      <w:marTop w:val="0"/>
                      <w:marBottom w:val="0"/>
                      <w:divBdr>
                        <w:top w:val="none" w:sz="0" w:space="0" w:color="auto"/>
                        <w:left w:val="none" w:sz="0" w:space="0" w:color="auto"/>
                        <w:bottom w:val="none" w:sz="0" w:space="0" w:color="auto"/>
                        <w:right w:val="none" w:sz="0" w:space="0" w:color="auto"/>
                      </w:divBdr>
                    </w:div>
                  </w:divsChild>
                </w:div>
                <w:div w:id="1786774243">
                  <w:marLeft w:val="0"/>
                  <w:marRight w:val="0"/>
                  <w:marTop w:val="0"/>
                  <w:marBottom w:val="0"/>
                  <w:divBdr>
                    <w:top w:val="none" w:sz="0" w:space="0" w:color="auto"/>
                    <w:left w:val="none" w:sz="0" w:space="0" w:color="auto"/>
                    <w:bottom w:val="none" w:sz="0" w:space="0" w:color="auto"/>
                    <w:right w:val="none" w:sz="0" w:space="0" w:color="auto"/>
                  </w:divBdr>
                  <w:divsChild>
                    <w:div w:id="364987343">
                      <w:marLeft w:val="0"/>
                      <w:marRight w:val="0"/>
                      <w:marTop w:val="0"/>
                      <w:marBottom w:val="0"/>
                      <w:divBdr>
                        <w:top w:val="none" w:sz="0" w:space="0" w:color="auto"/>
                        <w:left w:val="none" w:sz="0" w:space="0" w:color="auto"/>
                        <w:bottom w:val="none" w:sz="0" w:space="0" w:color="auto"/>
                        <w:right w:val="none" w:sz="0" w:space="0" w:color="auto"/>
                      </w:divBdr>
                    </w:div>
                  </w:divsChild>
                </w:div>
                <w:div w:id="1817407031">
                  <w:marLeft w:val="0"/>
                  <w:marRight w:val="0"/>
                  <w:marTop w:val="0"/>
                  <w:marBottom w:val="0"/>
                  <w:divBdr>
                    <w:top w:val="none" w:sz="0" w:space="0" w:color="auto"/>
                    <w:left w:val="none" w:sz="0" w:space="0" w:color="auto"/>
                    <w:bottom w:val="none" w:sz="0" w:space="0" w:color="auto"/>
                    <w:right w:val="none" w:sz="0" w:space="0" w:color="auto"/>
                  </w:divBdr>
                  <w:divsChild>
                    <w:div w:id="1840000893">
                      <w:marLeft w:val="0"/>
                      <w:marRight w:val="0"/>
                      <w:marTop w:val="0"/>
                      <w:marBottom w:val="0"/>
                      <w:divBdr>
                        <w:top w:val="none" w:sz="0" w:space="0" w:color="auto"/>
                        <w:left w:val="none" w:sz="0" w:space="0" w:color="auto"/>
                        <w:bottom w:val="none" w:sz="0" w:space="0" w:color="auto"/>
                        <w:right w:val="none" w:sz="0" w:space="0" w:color="auto"/>
                      </w:divBdr>
                    </w:div>
                  </w:divsChild>
                </w:div>
                <w:div w:id="1824470619">
                  <w:marLeft w:val="0"/>
                  <w:marRight w:val="0"/>
                  <w:marTop w:val="0"/>
                  <w:marBottom w:val="0"/>
                  <w:divBdr>
                    <w:top w:val="none" w:sz="0" w:space="0" w:color="auto"/>
                    <w:left w:val="none" w:sz="0" w:space="0" w:color="auto"/>
                    <w:bottom w:val="none" w:sz="0" w:space="0" w:color="auto"/>
                    <w:right w:val="none" w:sz="0" w:space="0" w:color="auto"/>
                  </w:divBdr>
                  <w:divsChild>
                    <w:div w:id="623316866">
                      <w:marLeft w:val="0"/>
                      <w:marRight w:val="0"/>
                      <w:marTop w:val="0"/>
                      <w:marBottom w:val="0"/>
                      <w:divBdr>
                        <w:top w:val="none" w:sz="0" w:space="0" w:color="auto"/>
                        <w:left w:val="none" w:sz="0" w:space="0" w:color="auto"/>
                        <w:bottom w:val="none" w:sz="0" w:space="0" w:color="auto"/>
                        <w:right w:val="none" w:sz="0" w:space="0" w:color="auto"/>
                      </w:divBdr>
                    </w:div>
                  </w:divsChild>
                </w:div>
                <w:div w:id="1825509221">
                  <w:marLeft w:val="0"/>
                  <w:marRight w:val="0"/>
                  <w:marTop w:val="0"/>
                  <w:marBottom w:val="0"/>
                  <w:divBdr>
                    <w:top w:val="none" w:sz="0" w:space="0" w:color="auto"/>
                    <w:left w:val="none" w:sz="0" w:space="0" w:color="auto"/>
                    <w:bottom w:val="none" w:sz="0" w:space="0" w:color="auto"/>
                    <w:right w:val="none" w:sz="0" w:space="0" w:color="auto"/>
                  </w:divBdr>
                  <w:divsChild>
                    <w:div w:id="1421174120">
                      <w:marLeft w:val="0"/>
                      <w:marRight w:val="0"/>
                      <w:marTop w:val="0"/>
                      <w:marBottom w:val="0"/>
                      <w:divBdr>
                        <w:top w:val="none" w:sz="0" w:space="0" w:color="auto"/>
                        <w:left w:val="none" w:sz="0" w:space="0" w:color="auto"/>
                        <w:bottom w:val="none" w:sz="0" w:space="0" w:color="auto"/>
                        <w:right w:val="none" w:sz="0" w:space="0" w:color="auto"/>
                      </w:divBdr>
                    </w:div>
                  </w:divsChild>
                </w:div>
                <w:div w:id="1828741694">
                  <w:marLeft w:val="0"/>
                  <w:marRight w:val="0"/>
                  <w:marTop w:val="0"/>
                  <w:marBottom w:val="0"/>
                  <w:divBdr>
                    <w:top w:val="none" w:sz="0" w:space="0" w:color="auto"/>
                    <w:left w:val="none" w:sz="0" w:space="0" w:color="auto"/>
                    <w:bottom w:val="none" w:sz="0" w:space="0" w:color="auto"/>
                    <w:right w:val="none" w:sz="0" w:space="0" w:color="auto"/>
                  </w:divBdr>
                  <w:divsChild>
                    <w:div w:id="1481537110">
                      <w:marLeft w:val="0"/>
                      <w:marRight w:val="0"/>
                      <w:marTop w:val="0"/>
                      <w:marBottom w:val="0"/>
                      <w:divBdr>
                        <w:top w:val="none" w:sz="0" w:space="0" w:color="auto"/>
                        <w:left w:val="none" w:sz="0" w:space="0" w:color="auto"/>
                        <w:bottom w:val="none" w:sz="0" w:space="0" w:color="auto"/>
                        <w:right w:val="none" w:sz="0" w:space="0" w:color="auto"/>
                      </w:divBdr>
                    </w:div>
                  </w:divsChild>
                </w:div>
                <w:div w:id="1835991224">
                  <w:marLeft w:val="0"/>
                  <w:marRight w:val="0"/>
                  <w:marTop w:val="0"/>
                  <w:marBottom w:val="0"/>
                  <w:divBdr>
                    <w:top w:val="none" w:sz="0" w:space="0" w:color="auto"/>
                    <w:left w:val="none" w:sz="0" w:space="0" w:color="auto"/>
                    <w:bottom w:val="none" w:sz="0" w:space="0" w:color="auto"/>
                    <w:right w:val="none" w:sz="0" w:space="0" w:color="auto"/>
                  </w:divBdr>
                  <w:divsChild>
                    <w:div w:id="347218025">
                      <w:marLeft w:val="0"/>
                      <w:marRight w:val="0"/>
                      <w:marTop w:val="0"/>
                      <w:marBottom w:val="0"/>
                      <w:divBdr>
                        <w:top w:val="none" w:sz="0" w:space="0" w:color="auto"/>
                        <w:left w:val="none" w:sz="0" w:space="0" w:color="auto"/>
                        <w:bottom w:val="none" w:sz="0" w:space="0" w:color="auto"/>
                        <w:right w:val="none" w:sz="0" w:space="0" w:color="auto"/>
                      </w:divBdr>
                    </w:div>
                  </w:divsChild>
                </w:div>
                <w:div w:id="1836530865">
                  <w:marLeft w:val="0"/>
                  <w:marRight w:val="0"/>
                  <w:marTop w:val="0"/>
                  <w:marBottom w:val="0"/>
                  <w:divBdr>
                    <w:top w:val="none" w:sz="0" w:space="0" w:color="auto"/>
                    <w:left w:val="none" w:sz="0" w:space="0" w:color="auto"/>
                    <w:bottom w:val="none" w:sz="0" w:space="0" w:color="auto"/>
                    <w:right w:val="none" w:sz="0" w:space="0" w:color="auto"/>
                  </w:divBdr>
                  <w:divsChild>
                    <w:div w:id="475419713">
                      <w:marLeft w:val="0"/>
                      <w:marRight w:val="0"/>
                      <w:marTop w:val="0"/>
                      <w:marBottom w:val="0"/>
                      <w:divBdr>
                        <w:top w:val="none" w:sz="0" w:space="0" w:color="auto"/>
                        <w:left w:val="none" w:sz="0" w:space="0" w:color="auto"/>
                        <w:bottom w:val="none" w:sz="0" w:space="0" w:color="auto"/>
                        <w:right w:val="none" w:sz="0" w:space="0" w:color="auto"/>
                      </w:divBdr>
                    </w:div>
                  </w:divsChild>
                </w:div>
                <w:div w:id="1870557842">
                  <w:marLeft w:val="0"/>
                  <w:marRight w:val="0"/>
                  <w:marTop w:val="0"/>
                  <w:marBottom w:val="0"/>
                  <w:divBdr>
                    <w:top w:val="none" w:sz="0" w:space="0" w:color="auto"/>
                    <w:left w:val="none" w:sz="0" w:space="0" w:color="auto"/>
                    <w:bottom w:val="none" w:sz="0" w:space="0" w:color="auto"/>
                    <w:right w:val="none" w:sz="0" w:space="0" w:color="auto"/>
                  </w:divBdr>
                  <w:divsChild>
                    <w:div w:id="362874233">
                      <w:marLeft w:val="0"/>
                      <w:marRight w:val="0"/>
                      <w:marTop w:val="0"/>
                      <w:marBottom w:val="0"/>
                      <w:divBdr>
                        <w:top w:val="none" w:sz="0" w:space="0" w:color="auto"/>
                        <w:left w:val="none" w:sz="0" w:space="0" w:color="auto"/>
                        <w:bottom w:val="none" w:sz="0" w:space="0" w:color="auto"/>
                        <w:right w:val="none" w:sz="0" w:space="0" w:color="auto"/>
                      </w:divBdr>
                    </w:div>
                  </w:divsChild>
                </w:div>
                <w:div w:id="1880241281">
                  <w:marLeft w:val="0"/>
                  <w:marRight w:val="0"/>
                  <w:marTop w:val="0"/>
                  <w:marBottom w:val="0"/>
                  <w:divBdr>
                    <w:top w:val="none" w:sz="0" w:space="0" w:color="auto"/>
                    <w:left w:val="none" w:sz="0" w:space="0" w:color="auto"/>
                    <w:bottom w:val="none" w:sz="0" w:space="0" w:color="auto"/>
                    <w:right w:val="none" w:sz="0" w:space="0" w:color="auto"/>
                  </w:divBdr>
                  <w:divsChild>
                    <w:div w:id="1333484817">
                      <w:marLeft w:val="0"/>
                      <w:marRight w:val="0"/>
                      <w:marTop w:val="0"/>
                      <w:marBottom w:val="0"/>
                      <w:divBdr>
                        <w:top w:val="none" w:sz="0" w:space="0" w:color="auto"/>
                        <w:left w:val="none" w:sz="0" w:space="0" w:color="auto"/>
                        <w:bottom w:val="none" w:sz="0" w:space="0" w:color="auto"/>
                        <w:right w:val="none" w:sz="0" w:space="0" w:color="auto"/>
                      </w:divBdr>
                    </w:div>
                  </w:divsChild>
                </w:div>
                <w:div w:id="1887333764">
                  <w:marLeft w:val="0"/>
                  <w:marRight w:val="0"/>
                  <w:marTop w:val="0"/>
                  <w:marBottom w:val="0"/>
                  <w:divBdr>
                    <w:top w:val="none" w:sz="0" w:space="0" w:color="auto"/>
                    <w:left w:val="none" w:sz="0" w:space="0" w:color="auto"/>
                    <w:bottom w:val="none" w:sz="0" w:space="0" w:color="auto"/>
                    <w:right w:val="none" w:sz="0" w:space="0" w:color="auto"/>
                  </w:divBdr>
                  <w:divsChild>
                    <w:div w:id="881862662">
                      <w:marLeft w:val="0"/>
                      <w:marRight w:val="0"/>
                      <w:marTop w:val="0"/>
                      <w:marBottom w:val="0"/>
                      <w:divBdr>
                        <w:top w:val="none" w:sz="0" w:space="0" w:color="auto"/>
                        <w:left w:val="none" w:sz="0" w:space="0" w:color="auto"/>
                        <w:bottom w:val="none" w:sz="0" w:space="0" w:color="auto"/>
                        <w:right w:val="none" w:sz="0" w:space="0" w:color="auto"/>
                      </w:divBdr>
                    </w:div>
                  </w:divsChild>
                </w:div>
                <w:div w:id="1904216639">
                  <w:marLeft w:val="0"/>
                  <w:marRight w:val="0"/>
                  <w:marTop w:val="0"/>
                  <w:marBottom w:val="0"/>
                  <w:divBdr>
                    <w:top w:val="none" w:sz="0" w:space="0" w:color="auto"/>
                    <w:left w:val="none" w:sz="0" w:space="0" w:color="auto"/>
                    <w:bottom w:val="none" w:sz="0" w:space="0" w:color="auto"/>
                    <w:right w:val="none" w:sz="0" w:space="0" w:color="auto"/>
                  </w:divBdr>
                  <w:divsChild>
                    <w:div w:id="1312054268">
                      <w:marLeft w:val="0"/>
                      <w:marRight w:val="0"/>
                      <w:marTop w:val="0"/>
                      <w:marBottom w:val="0"/>
                      <w:divBdr>
                        <w:top w:val="none" w:sz="0" w:space="0" w:color="auto"/>
                        <w:left w:val="none" w:sz="0" w:space="0" w:color="auto"/>
                        <w:bottom w:val="none" w:sz="0" w:space="0" w:color="auto"/>
                        <w:right w:val="none" w:sz="0" w:space="0" w:color="auto"/>
                      </w:divBdr>
                    </w:div>
                  </w:divsChild>
                </w:div>
                <w:div w:id="1921593917">
                  <w:marLeft w:val="0"/>
                  <w:marRight w:val="0"/>
                  <w:marTop w:val="0"/>
                  <w:marBottom w:val="0"/>
                  <w:divBdr>
                    <w:top w:val="none" w:sz="0" w:space="0" w:color="auto"/>
                    <w:left w:val="none" w:sz="0" w:space="0" w:color="auto"/>
                    <w:bottom w:val="none" w:sz="0" w:space="0" w:color="auto"/>
                    <w:right w:val="none" w:sz="0" w:space="0" w:color="auto"/>
                  </w:divBdr>
                  <w:divsChild>
                    <w:div w:id="1060833964">
                      <w:marLeft w:val="0"/>
                      <w:marRight w:val="0"/>
                      <w:marTop w:val="0"/>
                      <w:marBottom w:val="0"/>
                      <w:divBdr>
                        <w:top w:val="none" w:sz="0" w:space="0" w:color="auto"/>
                        <w:left w:val="none" w:sz="0" w:space="0" w:color="auto"/>
                        <w:bottom w:val="none" w:sz="0" w:space="0" w:color="auto"/>
                        <w:right w:val="none" w:sz="0" w:space="0" w:color="auto"/>
                      </w:divBdr>
                    </w:div>
                  </w:divsChild>
                </w:div>
                <w:div w:id="1943299260">
                  <w:marLeft w:val="0"/>
                  <w:marRight w:val="0"/>
                  <w:marTop w:val="0"/>
                  <w:marBottom w:val="0"/>
                  <w:divBdr>
                    <w:top w:val="none" w:sz="0" w:space="0" w:color="auto"/>
                    <w:left w:val="none" w:sz="0" w:space="0" w:color="auto"/>
                    <w:bottom w:val="none" w:sz="0" w:space="0" w:color="auto"/>
                    <w:right w:val="none" w:sz="0" w:space="0" w:color="auto"/>
                  </w:divBdr>
                  <w:divsChild>
                    <w:div w:id="2127649117">
                      <w:marLeft w:val="0"/>
                      <w:marRight w:val="0"/>
                      <w:marTop w:val="0"/>
                      <w:marBottom w:val="0"/>
                      <w:divBdr>
                        <w:top w:val="none" w:sz="0" w:space="0" w:color="auto"/>
                        <w:left w:val="none" w:sz="0" w:space="0" w:color="auto"/>
                        <w:bottom w:val="none" w:sz="0" w:space="0" w:color="auto"/>
                        <w:right w:val="none" w:sz="0" w:space="0" w:color="auto"/>
                      </w:divBdr>
                    </w:div>
                  </w:divsChild>
                </w:div>
                <w:div w:id="2015184051">
                  <w:marLeft w:val="0"/>
                  <w:marRight w:val="0"/>
                  <w:marTop w:val="0"/>
                  <w:marBottom w:val="0"/>
                  <w:divBdr>
                    <w:top w:val="none" w:sz="0" w:space="0" w:color="auto"/>
                    <w:left w:val="none" w:sz="0" w:space="0" w:color="auto"/>
                    <w:bottom w:val="none" w:sz="0" w:space="0" w:color="auto"/>
                    <w:right w:val="none" w:sz="0" w:space="0" w:color="auto"/>
                  </w:divBdr>
                  <w:divsChild>
                    <w:div w:id="929972101">
                      <w:marLeft w:val="0"/>
                      <w:marRight w:val="0"/>
                      <w:marTop w:val="0"/>
                      <w:marBottom w:val="0"/>
                      <w:divBdr>
                        <w:top w:val="none" w:sz="0" w:space="0" w:color="auto"/>
                        <w:left w:val="none" w:sz="0" w:space="0" w:color="auto"/>
                        <w:bottom w:val="none" w:sz="0" w:space="0" w:color="auto"/>
                        <w:right w:val="none" w:sz="0" w:space="0" w:color="auto"/>
                      </w:divBdr>
                    </w:div>
                  </w:divsChild>
                </w:div>
                <w:div w:id="2025477178">
                  <w:marLeft w:val="0"/>
                  <w:marRight w:val="0"/>
                  <w:marTop w:val="0"/>
                  <w:marBottom w:val="0"/>
                  <w:divBdr>
                    <w:top w:val="none" w:sz="0" w:space="0" w:color="auto"/>
                    <w:left w:val="none" w:sz="0" w:space="0" w:color="auto"/>
                    <w:bottom w:val="none" w:sz="0" w:space="0" w:color="auto"/>
                    <w:right w:val="none" w:sz="0" w:space="0" w:color="auto"/>
                  </w:divBdr>
                  <w:divsChild>
                    <w:div w:id="1367297076">
                      <w:marLeft w:val="0"/>
                      <w:marRight w:val="0"/>
                      <w:marTop w:val="0"/>
                      <w:marBottom w:val="0"/>
                      <w:divBdr>
                        <w:top w:val="none" w:sz="0" w:space="0" w:color="auto"/>
                        <w:left w:val="none" w:sz="0" w:space="0" w:color="auto"/>
                        <w:bottom w:val="none" w:sz="0" w:space="0" w:color="auto"/>
                        <w:right w:val="none" w:sz="0" w:space="0" w:color="auto"/>
                      </w:divBdr>
                    </w:div>
                  </w:divsChild>
                </w:div>
                <w:div w:id="2035838329">
                  <w:marLeft w:val="0"/>
                  <w:marRight w:val="0"/>
                  <w:marTop w:val="0"/>
                  <w:marBottom w:val="0"/>
                  <w:divBdr>
                    <w:top w:val="none" w:sz="0" w:space="0" w:color="auto"/>
                    <w:left w:val="none" w:sz="0" w:space="0" w:color="auto"/>
                    <w:bottom w:val="none" w:sz="0" w:space="0" w:color="auto"/>
                    <w:right w:val="none" w:sz="0" w:space="0" w:color="auto"/>
                  </w:divBdr>
                  <w:divsChild>
                    <w:div w:id="92677623">
                      <w:marLeft w:val="0"/>
                      <w:marRight w:val="0"/>
                      <w:marTop w:val="0"/>
                      <w:marBottom w:val="0"/>
                      <w:divBdr>
                        <w:top w:val="none" w:sz="0" w:space="0" w:color="auto"/>
                        <w:left w:val="none" w:sz="0" w:space="0" w:color="auto"/>
                        <w:bottom w:val="none" w:sz="0" w:space="0" w:color="auto"/>
                        <w:right w:val="none" w:sz="0" w:space="0" w:color="auto"/>
                      </w:divBdr>
                    </w:div>
                  </w:divsChild>
                </w:div>
                <w:div w:id="2042313696">
                  <w:marLeft w:val="0"/>
                  <w:marRight w:val="0"/>
                  <w:marTop w:val="0"/>
                  <w:marBottom w:val="0"/>
                  <w:divBdr>
                    <w:top w:val="none" w:sz="0" w:space="0" w:color="auto"/>
                    <w:left w:val="none" w:sz="0" w:space="0" w:color="auto"/>
                    <w:bottom w:val="none" w:sz="0" w:space="0" w:color="auto"/>
                    <w:right w:val="none" w:sz="0" w:space="0" w:color="auto"/>
                  </w:divBdr>
                  <w:divsChild>
                    <w:div w:id="425226658">
                      <w:marLeft w:val="0"/>
                      <w:marRight w:val="0"/>
                      <w:marTop w:val="0"/>
                      <w:marBottom w:val="0"/>
                      <w:divBdr>
                        <w:top w:val="none" w:sz="0" w:space="0" w:color="auto"/>
                        <w:left w:val="none" w:sz="0" w:space="0" w:color="auto"/>
                        <w:bottom w:val="none" w:sz="0" w:space="0" w:color="auto"/>
                        <w:right w:val="none" w:sz="0" w:space="0" w:color="auto"/>
                      </w:divBdr>
                    </w:div>
                  </w:divsChild>
                </w:div>
                <w:div w:id="2062827757">
                  <w:marLeft w:val="0"/>
                  <w:marRight w:val="0"/>
                  <w:marTop w:val="0"/>
                  <w:marBottom w:val="0"/>
                  <w:divBdr>
                    <w:top w:val="none" w:sz="0" w:space="0" w:color="auto"/>
                    <w:left w:val="none" w:sz="0" w:space="0" w:color="auto"/>
                    <w:bottom w:val="none" w:sz="0" w:space="0" w:color="auto"/>
                    <w:right w:val="none" w:sz="0" w:space="0" w:color="auto"/>
                  </w:divBdr>
                  <w:divsChild>
                    <w:div w:id="516234308">
                      <w:marLeft w:val="0"/>
                      <w:marRight w:val="0"/>
                      <w:marTop w:val="0"/>
                      <w:marBottom w:val="0"/>
                      <w:divBdr>
                        <w:top w:val="none" w:sz="0" w:space="0" w:color="auto"/>
                        <w:left w:val="none" w:sz="0" w:space="0" w:color="auto"/>
                        <w:bottom w:val="none" w:sz="0" w:space="0" w:color="auto"/>
                        <w:right w:val="none" w:sz="0" w:space="0" w:color="auto"/>
                      </w:divBdr>
                    </w:div>
                  </w:divsChild>
                </w:div>
                <w:div w:id="2065249143">
                  <w:marLeft w:val="0"/>
                  <w:marRight w:val="0"/>
                  <w:marTop w:val="0"/>
                  <w:marBottom w:val="0"/>
                  <w:divBdr>
                    <w:top w:val="none" w:sz="0" w:space="0" w:color="auto"/>
                    <w:left w:val="none" w:sz="0" w:space="0" w:color="auto"/>
                    <w:bottom w:val="none" w:sz="0" w:space="0" w:color="auto"/>
                    <w:right w:val="none" w:sz="0" w:space="0" w:color="auto"/>
                  </w:divBdr>
                  <w:divsChild>
                    <w:div w:id="1726685263">
                      <w:marLeft w:val="0"/>
                      <w:marRight w:val="0"/>
                      <w:marTop w:val="0"/>
                      <w:marBottom w:val="0"/>
                      <w:divBdr>
                        <w:top w:val="none" w:sz="0" w:space="0" w:color="auto"/>
                        <w:left w:val="none" w:sz="0" w:space="0" w:color="auto"/>
                        <w:bottom w:val="none" w:sz="0" w:space="0" w:color="auto"/>
                        <w:right w:val="none" w:sz="0" w:space="0" w:color="auto"/>
                      </w:divBdr>
                    </w:div>
                  </w:divsChild>
                </w:div>
                <w:div w:id="2078017669">
                  <w:marLeft w:val="0"/>
                  <w:marRight w:val="0"/>
                  <w:marTop w:val="0"/>
                  <w:marBottom w:val="0"/>
                  <w:divBdr>
                    <w:top w:val="none" w:sz="0" w:space="0" w:color="auto"/>
                    <w:left w:val="none" w:sz="0" w:space="0" w:color="auto"/>
                    <w:bottom w:val="none" w:sz="0" w:space="0" w:color="auto"/>
                    <w:right w:val="none" w:sz="0" w:space="0" w:color="auto"/>
                  </w:divBdr>
                  <w:divsChild>
                    <w:div w:id="1619799707">
                      <w:marLeft w:val="0"/>
                      <w:marRight w:val="0"/>
                      <w:marTop w:val="0"/>
                      <w:marBottom w:val="0"/>
                      <w:divBdr>
                        <w:top w:val="none" w:sz="0" w:space="0" w:color="auto"/>
                        <w:left w:val="none" w:sz="0" w:space="0" w:color="auto"/>
                        <w:bottom w:val="none" w:sz="0" w:space="0" w:color="auto"/>
                        <w:right w:val="none" w:sz="0" w:space="0" w:color="auto"/>
                      </w:divBdr>
                    </w:div>
                  </w:divsChild>
                </w:div>
                <w:div w:id="2090957104">
                  <w:marLeft w:val="0"/>
                  <w:marRight w:val="0"/>
                  <w:marTop w:val="0"/>
                  <w:marBottom w:val="0"/>
                  <w:divBdr>
                    <w:top w:val="none" w:sz="0" w:space="0" w:color="auto"/>
                    <w:left w:val="none" w:sz="0" w:space="0" w:color="auto"/>
                    <w:bottom w:val="none" w:sz="0" w:space="0" w:color="auto"/>
                    <w:right w:val="none" w:sz="0" w:space="0" w:color="auto"/>
                  </w:divBdr>
                  <w:divsChild>
                    <w:div w:id="109015348">
                      <w:marLeft w:val="0"/>
                      <w:marRight w:val="0"/>
                      <w:marTop w:val="0"/>
                      <w:marBottom w:val="0"/>
                      <w:divBdr>
                        <w:top w:val="none" w:sz="0" w:space="0" w:color="auto"/>
                        <w:left w:val="none" w:sz="0" w:space="0" w:color="auto"/>
                        <w:bottom w:val="none" w:sz="0" w:space="0" w:color="auto"/>
                        <w:right w:val="none" w:sz="0" w:space="0" w:color="auto"/>
                      </w:divBdr>
                    </w:div>
                  </w:divsChild>
                </w:div>
                <w:div w:id="2095121490">
                  <w:marLeft w:val="0"/>
                  <w:marRight w:val="0"/>
                  <w:marTop w:val="0"/>
                  <w:marBottom w:val="0"/>
                  <w:divBdr>
                    <w:top w:val="none" w:sz="0" w:space="0" w:color="auto"/>
                    <w:left w:val="none" w:sz="0" w:space="0" w:color="auto"/>
                    <w:bottom w:val="none" w:sz="0" w:space="0" w:color="auto"/>
                    <w:right w:val="none" w:sz="0" w:space="0" w:color="auto"/>
                  </w:divBdr>
                  <w:divsChild>
                    <w:div w:id="2039700887">
                      <w:marLeft w:val="0"/>
                      <w:marRight w:val="0"/>
                      <w:marTop w:val="0"/>
                      <w:marBottom w:val="0"/>
                      <w:divBdr>
                        <w:top w:val="none" w:sz="0" w:space="0" w:color="auto"/>
                        <w:left w:val="none" w:sz="0" w:space="0" w:color="auto"/>
                        <w:bottom w:val="none" w:sz="0" w:space="0" w:color="auto"/>
                        <w:right w:val="none" w:sz="0" w:space="0" w:color="auto"/>
                      </w:divBdr>
                    </w:div>
                  </w:divsChild>
                </w:div>
                <w:div w:id="2119176679">
                  <w:marLeft w:val="0"/>
                  <w:marRight w:val="0"/>
                  <w:marTop w:val="0"/>
                  <w:marBottom w:val="0"/>
                  <w:divBdr>
                    <w:top w:val="none" w:sz="0" w:space="0" w:color="auto"/>
                    <w:left w:val="none" w:sz="0" w:space="0" w:color="auto"/>
                    <w:bottom w:val="none" w:sz="0" w:space="0" w:color="auto"/>
                    <w:right w:val="none" w:sz="0" w:space="0" w:color="auto"/>
                  </w:divBdr>
                  <w:divsChild>
                    <w:div w:id="125515009">
                      <w:marLeft w:val="0"/>
                      <w:marRight w:val="0"/>
                      <w:marTop w:val="0"/>
                      <w:marBottom w:val="0"/>
                      <w:divBdr>
                        <w:top w:val="none" w:sz="0" w:space="0" w:color="auto"/>
                        <w:left w:val="none" w:sz="0" w:space="0" w:color="auto"/>
                        <w:bottom w:val="none" w:sz="0" w:space="0" w:color="auto"/>
                        <w:right w:val="none" w:sz="0" w:space="0" w:color="auto"/>
                      </w:divBdr>
                    </w:div>
                  </w:divsChild>
                </w:div>
                <w:div w:id="2120221089">
                  <w:marLeft w:val="0"/>
                  <w:marRight w:val="0"/>
                  <w:marTop w:val="0"/>
                  <w:marBottom w:val="0"/>
                  <w:divBdr>
                    <w:top w:val="none" w:sz="0" w:space="0" w:color="auto"/>
                    <w:left w:val="none" w:sz="0" w:space="0" w:color="auto"/>
                    <w:bottom w:val="none" w:sz="0" w:space="0" w:color="auto"/>
                    <w:right w:val="none" w:sz="0" w:space="0" w:color="auto"/>
                  </w:divBdr>
                  <w:divsChild>
                    <w:div w:id="13155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112549">
          <w:marLeft w:val="0"/>
          <w:marRight w:val="0"/>
          <w:marTop w:val="0"/>
          <w:marBottom w:val="0"/>
          <w:divBdr>
            <w:top w:val="none" w:sz="0" w:space="0" w:color="auto"/>
            <w:left w:val="none" w:sz="0" w:space="0" w:color="auto"/>
            <w:bottom w:val="none" w:sz="0" w:space="0" w:color="auto"/>
            <w:right w:val="none" w:sz="0" w:space="0" w:color="auto"/>
          </w:divBdr>
        </w:div>
      </w:divsChild>
    </w:div>
    <w:div w:id="648051047">
      <w:bodyDiv w:val="1"/>
      <w:marLeft w:val="0"/>
      <w:marRight w:val="0"/>
      <w:marTop w:val="0"/>
      <w:marBottom w:val="0"/>
      <w:divBdr>
        <w:top w:val="none" w:sz="0" w:space="0" w:color="auto"/>
        <w:left w:val="none" w:sz="0" w:space="0" w:color="auto"/>
        <w:bottom w:val="none" w:sz="0" w:space="0" w:color="auto"/>
        <w:right w:val="none" w:sz="0" w:space="0" w:color="auto"/>
      </w:divBdr>
    </w:div>
    <w:div w:id="656954437">
      <w:bodyDiv w:val="1"/>
      <w:marLeft w:val="0"/>
      <w:marRight w:val="0"/>
      <w:marTop w:val="0"/>
      <w:marBottom w:val="0"/>
      <w:divBdr>
        <w:top w:val="none" w:sz="0" w:space="0" w:color="auto"/>
        <w:left w:val="none" w:sz="0" w:space="0" w:color="auto"/>
        <w:bottom w:val="none" w:sz="0" w:space="0" w:color="auto"/>
        <w:right w:val="none" w:sz="0" w:space="0" w:color="auto"/>
      </w:divBdr>
    </w:div>
    <w:div w:id="664668996">
      <w:bodyDiv w:val="1"/>
      <w:marLeft w:val="0"/>
      <w:marRight w:val="0"/>
      <w:marTop w:val="0"/>
      <w:marBottom w:val="0"/>
      <w:divBdr>
        <w:top w:val="none" w:sz="0" w:space="0" w:color="auto"/>
        <w:left w:val="none" w:sz="0" w:space="0" w:color="auto"/>
        <w:bottom w:val="none" w:sz="0" w:space="0" w:color="auto"/>
        <w:right w:val="none" w:sz="0" w:space="0" w:color="auto"/>
      </w:divBdr>
    </w:div>
    <w:div w:id="669062846">
      <w:bodyDiv w:val="1"/>
      <w:marLeft w:val="0"/>
      <w:marRight w:val="0"/>
      <w:marTop w:val="0"/>
      <w:marBottom w:val="0"/>
      <w:divBdr>
        <w:top w:val="none" w:sz="0" w:space="0" w:color="auto"/>
        <w:left w:val="none" w:sz="0" w:space="0" w:color="auto"/>
        <w:bottom w:val="none" w:sz="0" w:space="0" w:color="auto"/>
        <w:right w:val="none" w:sz="0" w:space="0" w:color="auto"/>
      </w:divBdr>
    </w:div>
    <w:div w:id="691150183">
      <w:bodyDiv w:val="1"/>
      <w:marLeft w:val="0"/>
      <w:marRight w:val="0"/>
      <w:marTop w:val="0"/>
      <w:marBottom w:val="0"/>
      <w:divBdr>
        <w:top w:val="none" w:sz="0" w:space="0" w:color="auto"/>
        <w:left w:val="none" w:sz="0" w:space="0" w:color="auto"/>
        <w:bottom w:val="none" w:sz="0" w:space="0" w:color="auto"/>
        <w:right w:val="none" w:sz="0" w:space="0" w:color="auto"/>
      </w:divBdr>
      <w:divsChild>
        <w:div w:id="205260649">
          <w:marLeft w:val="0"/>
          <w:marRight w:val="0"/>
          <w:marTop w:val="0"/>
          <w:marBottom w:val="0"/>
          <w:divBdr>
            <w:top w:val="none" w:sz="0" w:space="0" w:color="auto"/>
            <w:left w:val="none" w:sz="0" w:space="0" w:color="auto"/>
            <w:bottom w:val="none" w:sz="0" w:space="0" w:color="auto"/>
            <w:right w:val="none" w:sz="0" w:space="0" w:color="auto"/>
          </w:divBdr>
        </w:div>
        <w:div w:id="937906504">
          <w:marLeft w:val="0"/>
          <w:marRight w:val="0"/>
          <w:marTop w:val="0"/>
          <w:marBottom w:val="0"/>
          <w:divBdr>
            <w:top w:val="none" w:sz="0" w:space="0" w:color="auto"/>
            <w:left w:val="none" w:sz="0" w:space="0" w:color="auto"/>
            <w:bottom w:val="none" w:sz="0" w:space="0" w:color="auto"/>
            <w:right w:val="none" w:sz="0" w:space="0" w:color="auto"/>
          </w:divBdr>
        </w:div>
        <w:div w:id="1360157548">
          <w:marLeft w:val="0"/>
          <w:marRight w:val="0"/>
          <w:marTop w:val="0"/>
          <w:marBottom w:val="0"/>
          <w:divBdr>
            <w:top w:val="none" w:sz="0" w:space="0" w:color="auto"/>
            <w:left w:val="none" w:sz="0" w:space="0" w:color="auto"/>
            <w:bottom w:val="none" w:sz="0" w:space="0" w:color="auto"/>
            <w:right w:val="none" w:sz="0" w:space="0" w:color="auto"/>
          </w:divBdr>
        </w:div>
        <w:div w:id="1437290754">
          <w:marLeft w:val="0"/>
          <w:marRight w:val="0"/>
          <w:marTop w:val="0"/>
          <w:marBottom w:val="0"/>
          <w:divBdr>
            <w:top w:val="none" w:sz="0" w:space="0" w:color="auto"/>
            <w:left w:val="none" w:sz="0" w:space="0" w:color="auto"/>
            <w:bottom w:val="none" w:sz="0" w:space="0" w:color="auto"/>
            <w:right w:val="none" w:sz="0" w:space="0" w:color="auto"/>
          </w:divBdr>
        </w:div>
        <w:div w:id="1492796600">
          <w:marLeft w:val="0"/>
          <w:marRight w:val="0"/>
          <w:marTop w:val="0"/>
          <w:marBottom w:val="0"/>
          <w:divBdr>
            <w:top w:val="none" w:sz="0" w:space="0" w:color="auto"/>
            <w:left w:val="none" w:sz="0" w:space="0" w:color="auto"/>
            <w:bottom w:val="none" w:sz="0" w:space="0" w:color="auto"/>
            <w:right w:val="none" w:sz="0" w:space="0" w:color="auto"/>
          </w:divBdr>
        </w:div>
        <w:div w:id="1530485634">
          <w:marLeft w:val="0"/>
          <w:marRight w:val="0"/>
          <w:marTop w:val="0"/>
          <w:marBottom w:val="0"/>
          <w:divBdr>
            <w:top w:val="none" w:sz="0" w:space="0" w:color="auto"/>
            <w:left w:val="none" w:sz="0" w:space="0" w:color="auto"/>
            <w:bottom w:val="none" w:sz="0" w:space="0" w:color="auto"/>
            <w:right w:val="none" w:sz="0" w:space="0" w:color="auto"/>
          </w:divBdr>
        </w:div>
        <w:div w:id="1691570696">
          <w:marLeft w:val="0"/>
          <w:marRight w:val="0"/>
          <w:marTop w:val="0"/>
          <w:marBottom w:val="0"/>
          <w:divBdr>
            <w:top w:val="none" w:sz="0" w:space="0" w:color="auto"/>
            <w:left w:val="none" w:sz="0" w:space="0" w:color="auto"/>
            <w:bottom w:val="none" w:sz="0" w:space="0" w:color="auto"/>
            <w:right w:val="none" w:sz="0" w:space="0" w:color="auto"/>
          </w:divBdr>
        </w:div>
      </w:divsChild>
    </w:div>
    <w:div w:id="736712151">
      <w:bodyDiv w:val="1"/>
      <w:marLeft w:val="0"/>
      <w:marRight w:val="0"/>
      <w:marTop w:val="0"/>
      <w:marBottom w:val="0"/>
      <w:divBdr>
        <w:top w:val="none" w:sz="0" w:space="0" w:color="auto"/>
        <w:left w:val="none" w:sz="0" w:space="0" w:color="auto"/>
        <w:bottom w:val="none" w:sz="0" w:space="0" w:color="auto"/>
        <w:right w:val="none" w:sz="0" w:space="0" w:color="auto"/>
      </w:divBdr>
    </w:div>
    <w:div w:id="740560718">
      <w:bodyDiv w:val="1"/>
      <w:marLeft w:val="0"/>
      <w:marRight w:val="0"/>
      <w:marTop w:val="0"/>
      <w:marBottom w:val="0"/>
      <w:divBdr>
        <w:top w:val="none" w:sz="0" w:space="0" w:color="auto"/>
        <w:left w:val="none" w:sz="0" w:space="0" w:color="auto"/>
        <w:bottom w:val="none" w:sz="0" w:space="0" w:color="auto"/>
        <w:right w:val="none" w:sz="0" w:space="0" w:color="auto"/>
      </w:divBdr>
    </w:div>
    <w:div w:id="759178784">
      <w:bodyDiv w:val="1"/>
      <w:marLeft w:val="0"/>
      <w:marRight w:val="0"/>
      <w:marTop w:val="0"/>
      <w:marBottom w:val="0"/>
      <w:divBdr>
        <w:top w:val="none" w:sz="0" w:space="0" w:color="auto"/>
        <w:left w:val="none" w:sz="0" w:space="0" w:color="auto"/>
        <w:bottom w:val="none" w:sz="0" w:space="0" w:color="auto"/>
        <w:right w:val="none" w:sz="0" w:space="0" w:color="auto"/>
      </w:divBdr>
    </w:div>
    <w:div w:id="775250041">
      <w:bodyDiv w:val="1"/>
      <w:marLeft w:val="0"/>
      <w:marRight w:val="0"/>
      <w:marTop w:val="0"/>
      <w:marBottom w:val="0"/>
      <w:divBdr>
        <w:top w:val="none" w:sz="0" w:space="0" w:color="auto"/>
        <w:left w:val="none" w:sz="0" w:space="0" w:color="auto"/>
        <w:bottom w:val="none" w:sz="0" w:space="0" w:color="auto"/>
        <w:right w:val="none" w:sz="0" w:space="0" w:color="auto"/>
      </w:divBdr>
    </w:div>
    <w:div w:id="777679545">
      <w:bodyDiv w:val="1"/>
      <w:marLeft w:val="0"/>
      <w:marRight w:val="0"/>
      <w:marTop w:val="0"/>
      <w:marBottom w:val="0"/>
      <w:divBdr>
        <w:top w:val="none" w:sz="0" w:space="0" w:color="auto"/>
        <w:left w:val="none" w:sz="0" w:space="0" w:color="auto"/>
        <w:bottom w:val="none" w:sz="0" w:space="0" w:color="auto"/>
        <w:right w:val="none" w:sz="0" w:space="0" w:color="auto"/>
      </w:divBdr>
    </w:div>
    <w:div w:id="780808576">
      <w:bodyDiv w:val="1"/>
      <w:marLeft w:val="0"/>
      <w:marRight w:val="0"/>
      <w:marTop w:val="0"/>
      <w:marBottom w:val="0"/>
      <w:divBdr>
        <w:top w:val="none" w:sz="0" w:space="0" w:color="auto"/>
        <w:left w:val="none" w:sz="0" w:space="0" w:color="auto"/>
        <w:bottom w:val="none" w:sz="0" w:space="0" w:color="auto"/>
        <w:right w:val="none" w:sz="0" w:space="0" w:color="auto"/>
      </w:divBdr>
    </w:div>
    <w:div w:id="781728638">
      <w:bodyDiv w:val="1"/>
      <w:marLeft w:val="0"/>
      <w:marRight w:val="0"/>
      <w:marTop w:val="0"/>
      <w:marBottom w:val="0"/>
      <w:divBdr>
        <w:top w:val="none" w:sz="0" w:space="0" w:color="auto"/>
        <w:left w:val="none" w:sz="0" w:space="0" w:color="auto"/>
        <w:bottom w:val="none" w:sz="0" w:space="0" w:color="auto"/>
        <w:right w:val="none" w:sz="0" w:space="0" w:color="auto"/>
      </w:divBdr>
    </w:div>
    <w:div w:id="842738798">
      <w:bodyDiv w:val="1"/>
      <w:marLeft w:val="0"/>
      <w:marRight w:val="0"/>
      <w:marTop w:val="0"/>
      <w:marBottom w:val="0"/>
      <w:divBdr>
        <w:top w:val="none" w:sz="0" w:space="0" w:color="auto"/>
        <w:left w:val="none" w:sz="0" w:space="0" w:color="auto"/>
        <w:bottom w:val="none" w:sz="0" w:space="0" w:color="auto"/>
        <w:right w:val="none" w:sz="0" w:space="0" w:color="auto"/>
      </w:divBdr>
    </w:div>
    <w:div w:id="869149410">
      <w:bodyDiv w:val="1"/>
      <w:marLeft w:val="0"/>
      <w:marRight w:val="0"/>
      <w:marTop w:val="0"/>
      <w:marBottom w:val="0"/>
      <w:divBdr>
        <w:top w:val="none" w:sz="0" w:space="0" w:color="auto"/>
        <w:left w:val="none" w:sz="0" w:space="0" w:color="auto"/>
        <w:bottom w:val="none" w:sz="0" w:space="0" w:color="auto"/>
        <w:right w:val="none" w:sz="0" w:space="0" w:color="auto"/>
      </w:divBdr>
    </w:div>
    <w:div w:id="870607116">
      <w:bodyDiv w:val="1"/>
      <w:marLeft w:val="0"/>
      <w:marRight w:val="0"/>
      <w:marTop w:val="0"/>
      <w:marBottom w:val="0"/>
      <w:divBdr>
        <w:top w:val="none" w:sz="0" w:space="0" w:color="auto"/>
        <w:left w:val="none" w:sz="0" w:space="0" w:color="auto"/>
        <w:bottom w:val="none" w:sz="0" w:space="0" w:color="auto"/>
        <w:right w:val="none" w:sz="0" w:space="0" w:color="auto"/>
      </w:divBdr>
    </w:div>
    <w:div w:id="892934114">
      <w:bodyDiv w:val="1"/>
      <w:marLeft w:val="0"/>
      <w:marRight w:val="0"/>
      <w:marTop w:val="0"/>
      <w:marBottom w:val="0"/>
      <w:divBdr>
        <w:top w:val="none" w:sz="0" w:space="0" w:color="auto"/>
        <w:left w:val="none" w:sz="0" w:space="0" w:color="auto"/>
        <w:bottom w:val="none" w:sz="0" w:space="0" w:color="auto"/>
        <w:right w:val="none" w:sz="0" w:space="0" w:color="auto"/>
      </w:divBdr>
      <w:divsChild>
        <w:div w:id="1414859234">
          <w:marLeft w:val="0"/>
          <w:marRight w:val="0"/>
          <w:marTop w:val="0"/>
          <w:marBottom w:val="0"/>
          <w:divBdr>
            <w:top w:val="none" w:sz="0" w:space="0" w:color="auto"/>
            <w:left w:val="none" w:sz="0" w:space="0" w:color="auto"/>
            <w:bottom w:val="none" w:sz="0" w:space="0" w:color="auto"/>
            <w:right w:val="none" w:sz="0" w:space="0" w:color="auto"/>
          </w:divBdr>
        </w:div>
      </w:divsChild>
    </w:div>
    <w:div w:id="900559180">
      <w:bodyDiv w:val="1"/>
      <w:marLeft w:val="0"/>
      <w:marRight w:val="0"/>
      <w:marTop w:val="0"/>
      <w:marBottom w:val="0"/>
      <w:divBdr>
        <w:top w:val="none" w:sz="0" w:space="0" w:color="auto"/>
        <w:left w:val="none" w:sz="0" w:space="0" w:color="auto"/>
        <w:bottom w:val="none" w:sz="0" w:space="0" w:color="auto"/>
        <w:right w:val="none" w:sz="0" w:space="0" w:color="auto"/>
      </w:divBdr>
      <w:divsChild>
        <w:div w:id="298919757">
          <w:marLeft w:val="0"/>
          <w:marRight w:val="0"/>
          <w:marTop w:val="0"/>
          <w:marBottom w:val="0"/>
          <w:divBdr>
            <w:top w:val="none" w:sz="0" w:space="0" w:color="auto"/>
            <w:left w:val="none" w:sz="0" w:space="0" w:color="auto"/>
            <w:bottom w:val="none" w:sz="0" w:space="0" w:color="auto"/>
            <w:right w:val="none" w:sz="0" w:space="0" w:color="auto"/>
          </w:divBdr>
        </w:div>
      </w:divsChild>
    </w:div>
    <w:div w:id="945230206">
      <w:bodyDiv w:val="1"/>
      <w:marLeft w:val="0"/>
      <w:marRight w:val="0"/>
      <w:marTop w:val="0"/>
      <w:marBottom w:val="0"/>
      <w:divBdr>
        <w:top w:val="none" w:sz="0" w:space="0" w:color="auto"/>
        <w:left w:val="none" w:sz="0" w:space="0" w:color="auto"/>
        <w:bottom w:val="none" w:sz="0" w:space="0" w:color="auto"/>
        <w:right w:val="none" w:sz="0" w:space="0" w:color="auto"/>
      </w:divBdr>
      <w:divsChild>
        <w:div w:id="16398180">
          <w:marLeft w:val="-75"/>
          <w:marRight w:val="0"/>
          <w:marTop w:val="30"/>
          <w:marBottom w:val="30"/>
          <w:divBdr>
            <w:top w:val="none" w:sz="0" w:space="0" w:color="auto"/>
            <w:left w:val="none" w:sz="0" w:space="0" w:color="auto"/>
            <w:bottom w:val="none" w:sz="0" w:space="0" w:color="auto"/>
            <w:right w:val="none" w:sz="0" w:space="0" w:color="auto"/>
          </w:divBdr>
          <w:divsChild>
            <w:div w:id="573704457">
              <w:marLeft w:val="0"/>
              <w:marRight w:val="0"/>
              <w:marTop w:val="0"/>
              <w:marBottom w:val="0"/>
              <w:divBdr>
                <w:top w:val="none" w:sz="0" w:space="0" w:color="auto"/>
                <w:left w:val="none" w:sz="0" w:space="0" w:color="auto"/>
                <w:bottom w:val="none" w:sz="0" w:space="0" w:color="auto"/>
                <w:right w:val="none" w:sz="0" w:space="0" w:color="auto"/>
              </w:divBdr>
              <w:divsChild>
                <w:div w:id="2129883792">
                  <w:marLeft w:val="0"/>
                  <w:marRight w:val="0"/>
                  <w:marTop w:val="0"/>
                  <w:marBottom w:val="0"/>
                  <w:divBdr>
                    <w:top w:val="none" w:sz="0" w:space="0" w:color="auto"/>
                    <w:left w:val="none" w:sz="0" w:space="0" w:color="auto"/>
                    <w:bottom w:val="none" w:sz="0" w:space="0" w:color="auto"/>
                    <w:right w:val="none" w:sz="0" w:space="0" w:color="auto"/>
                  </w:divBdr>
                </w:div>
              </w:divsChild>
            </w:div>
            <w:div w:id="1570337653">
              <w:marLeft w:val="0"/>
              <w:marRight w:val="0"/>
              <w:marTop w:val="0"/>
              <w:marBottom w:val="0"/>
              <w:divBdr>
                <w:top w:val="none" w:sz="0" w:space="0" w:color="auto"/>
                <w:left w:val="none" w:sz="0" w:space="0" w:color="auto"/>
                <w:bottom w:val="none" w:sz="0" w:space="0" w:color="auto"/>
                <w:right w:val="none" w:sz="0" w:space="0" w:color="auto"/>
              </w:divBdr>
              <w:divsChild>
                <w:div w:id="431324203">
                  <w:marLeft w:val="0"/>
                  <w:marRight w:val="0"/>
                  <w:marTop w:val="0"/>
                  <w:marBottom w:val="0"/>
                  <w:divBdr>
                    <w:top w:val="none" w:sz="0" w:space="0" w:color="auto"/>
                    <w:left w:val="none" w:sz="0" w:space="0" w:color="auto"/>
                    <w:bottom w:val="none" w:sz="0" w:space="0" w:color="auto"/>
                    <w:right w:val="none" w:sz="0" w:space="0" w:color="auto"/>
                  </w:divBdr>
                </w:div>
                <w:div w:id="923343412">
                  <w:marLeft w:val="0"/>
                  <w:marRight w:val="0"/>
                  <w:marTop w:val="0"/>
                  <w:marBottom w:val="0"/>
                  <w:divBdr>
                    <w:top w:val="none" w:sz="0" w:space="0" w:color="auto"/>
                    <w:left w:val="none" w:sz="0" w:space="0" w:color="auto"/>
                    <w:bottom w:val="none" w:sz="0" w:space="0" w:color="auto"/>
                    <w:right w:val="none" w:sz="0" w:space="0" w:color="auto"/>
                  </w:divBdr>
                </w:div>
              </w:divsChild>
            </w:div>
            <w:div w:id="1776442564">
              <w:marLeft w:val="0"/>
              <w:marRight w:val="0"/>
              <w:marTop w:val="0"/>
              <w:marBottom w:val="0"/>
              <w:divBdr>
                <w:top w:val="none" w:sz="0" w:space="0" w:color="auto"/>
                <w:left w:val="none" w:sz="0" w:space="0" w:color="auto"/>
                <w:bottom w:val="none" w:sz="0" w:space="0" w:color="auto"/>
                <w:right w:val="none" w:sz="0" w:space="0" w:color="auto"/>
              </w:divBdr>
              <w:divsChild>
                <w:div w:id="1771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2776">
          <w:marLeft w:val="-75"/>
          <w:marRight w:val="0"/>
          <w:marTop w:val="30"/>
          <w:marBottom w:val="30"/>
          <w:divBdr>
            <w:top w:val="none" w:sz="0" w:space="0" w:color="auto"/>
            <w:left w:val="none" w:sz="0" w:space="0" w:color="auto"/>
            <w:bottom w:val="none" w:sz="0" w:space="0" w:color="auto"/>
            <w:right w:val="none" w:sz="0" w:space="0" w:color="auto"/>
          </w:divBdr>
          <w:divsChild>
            <w:div w:id="98792431">
              <w:marLeft w:val="0"/>
              <w:marRight w:val="0"/>
              <w:marTop w:val="0"/>
              <w:marBottom w:val="0"/>
              <w:divBdr>
                <w:top w:val="none" w:sz="0" w:space="0" w:color="auto"/>
                <w:left w:val="none" w:sz="0" w:space="0" w:color="auto"/>
                <w:bottom w:val="none" w:sz="0" w:space="0" w:color="auto"/>
                <w:right w:val="none" w:sz="0" w:space="0" w:color="auto"/>
              </w:divBdr>
              <w:divsChild>
                <w:div w:id="1888485673">
                  <w:marLeft w:val="0"/>
                  <w:marRight w:val="0"/>
                  <w:marTop w:val="0"/>
                  <w:marBottom w:val="0"/>
                  <w:divBdr>
                    <w:top w:val="none" w:sz="0" w:space="0" w:color="auto"/>
                    <w:left w:val="none" w:sz="0" w:space="0" w:color="auto"/>
                    <w:bottom w:val="none" w:sz="0" w:space="0" w:color="auto"/>
                    <w:right w:val="none" w:sz="0" w:space="0" w:color="auto"/>
                  </w:divBdr>
                </w:div>
              </w:divsChild>
            </w:div>
            <w:div w:id="119107418">
              <w:marLeft w:val="0"/>
              <w:marRight w:val="0"/>
              <w:marTop w:val="0"/>
              <w:marBottom w:val="0"/>
              <w:divBdr>
                <w:top w:val="none" w:sz="0" w:space="0" w:color="auto"/>
                <w:left w:val="none" w:sz="0" w:space="0" w:color="auto"/>
                <w:bottom w:val="none" w:sz="0" w:space="0" w:color="auto"/>
                <w:right w:val="none" w:sz="0" w:space="0" w:color="auto"/>
              </w:divBdr>
              <w:divsChild>
                <w:div w:id="1658460776">
                  <w:marLeft w:val="0"/>
                  <w:marRight w:val="0"/>
                  <w:marTop w:val="0"/>
                  <w:marBottom w:val="0"/>
                  <w:divBdr>
                    <w:top w:val="none" w:sz="0" w:space="0" w:color="auto"/>
                    <w:left w:val="none" w:sz="0" w:space="0" w:color="auto"/>
                    <w:bottom w:val="none" w:sz="0" w:space="0" w:color="auto"/>
                    <w:right w:val="none" w:sz="0" w:space="0" w:color="auto"/>
                  </w:divBdr>
                </w:div>
              </w:divsChild>
            </w:div>
            <w:div w:id="180359939">
              <w:marLeft w:val="0"/>
              <w:marRight w:val="0"/>
              <w:marTop w:val="0"/>
              <w:marBottom w:val="0"/>
              <w:divBdr>
                <w:top w:val="none" w:sz="0" w:space="0" w:color="auto"/>
                <w:left w:val="none" w:sz="0" w:space="0" w:color="auto"/>
                <w:bottom w:val="none" w:sz="0" w:space="0" w:color="auto"/>
                <w:right w:val="none" w:sz="0" w:space="0" w:color="auto"/>
              </w:divBdr>
              <w:divsChild>
                <w:div w:id="1330673886">
                  <w:marLeft w:val="0"/>
                  <w:marRight w:val="0"/>
                  <w:marTop w:val="0"/>
                  <w:marBottom w:val="0"/>
                  <w:divBdr>
                    <w:top w:val="none" w:sz="0" w:space="0" w:color="auto"/>
                    <w:left w:val="none" w:sz="0" w:space="0" w:color="auto"/>
                    <w:bottom w:val="none" w:sz="0" w:space="0" w:color="auto"/>
                    <w:right w:val="none" w:sz="0" w:space="0" w:color="auto"/>
                  </w:divBdr>
                </w:div>
              </w:divsChild>
            </w:div>
            <w:div w:id="180777161">
              <w:marLeft w:val="0"/>
              <w:marRight w:val="0"/>
              <w:marTop w:val="0"/>
              <w:marBottom w:val="0"/>
              <w:divBdr>
                <w:top w:val="none" w:sz="0" w:space="0" w:color="auto"/>
                <w:left w:val="none" w:sz="0" w:space="0" w:color="auto"/>
                <w:bottom w:val="none" w:sz="0" w:space="0" w:color="auto"/>
                <w:right w:val="none" w:sz="0" w:space="0" w:color="auto"/>
              </w:divBdr>
              <w:divsChild>
                <w:div w:id="9600426">
                  <w:marLeft w:val="0"/>
                  <w:marRight w:val="0"/>
                  <w:marTop w:val="0"/>
                  <w:marBottom w:val="0"/>
                  <w:divBdr>
                    <w:top w:val="none" w:sz="0" w:space="0" w:color="auto"/>
                    <w:left w:val="none" w:sz="0" w:space="0" w:color="auto"/>
                    <w:bottom w:val="none" w:sz="0" w:space="0" w:color="auto"/>
                    <w:right w:val="none" w:sz="0" w:space="0" w:color="auto"/>
                  </w:divBdr>
                </w:div>
              </w:divsChild>
            </w:div>
            <w:div w:id="210072583">
              <w:marLeft w:val="0"/>
              <w:marRight w:val="0"/>
              <w:marTop w:val="0"/>
              <w:marBottom w:val="0"/>
              <w:divBdr>
                <w:top w:val="none" w:sz="0" w:space="0" w:color="auto"/>
                <w:left w:val="none" w:sz="0" w:space="0" w:color="auto"/>
                <w:bottom w:val="none" w:sz="0" w:space="0" w:color="auto"/>
                <w:right w:val="none" w:sz="0" w:space="0" w:color="auto"/>
              </w:divBdr>
              <w:divsChild>
                <w:div w:id="1846046698">
                  <w:marLeft w:val="0"/>
                  <w:marRight w:val="0"/>
                  <w:marTop w:val="0"/>
                  <w:marBottom w:val="0"/>
                  <w:divBdr>
                    <w:top w:val="none" w:sz="0" w:space="0" w:color="auto"/>
                    <w:left w:val="none" w:sz="0" w:space="0" w:color="auto"/>
                    <w:bottom w:val="none" w:sz="0" w:space="0" w:color="auto"/>
                    <w:right w:val="none" w:sz="0" w:space="0" w:color="auto"/>
                  </w:divBdr>
                </w:div>
              </w:divsChild>
            </w:div>
            <w:div w:id="330373527">
              <w:marLeft w:val="0"/>
              <w:marRight w:val="0"/>
              <w:marTop w:val="0"/>
              <w:marBottom w:val="0"/>
              <w:divBdr>
                <w:top w:val="none" w:sz="0" w:space="0" w:color="auto"/>
                <w:left w:val="none" w:sz="0" w:space="0" w:color="auto"/>
                <w:bottom w:val="none" w:sz="0" w:space="0" w:color="auto"/>
                <w:right w:val="none" w:sz="0" w:space="0" w:color="auto"/>
              </w:divBdr>
              <w:divsChild>
                <w:div w:id="2007130399">
                  <w:marLeft w:val="0"/>
                  <w:marRight w:val="0"/>
                  <w:marTop w:val="0"/>
                  <w:marBottom w:val="0"/>
                  <w:divBdr>
                    <w:top w:val="none" w:sz="0" w:space="0" w:color="auto"/>
                    <w:left w:val="none" w:sz="0" w:space="0" w:color="auto"/>
                    <w:bottom w:val="none" w:sz="0" w:space="0" w:color="auto"/>
                    <w:right w:val="none" w:sz="0" w:space="0" w:color="auto"/>
                  </w:divBdr>
                </w:div>
              </w:divsChild>
            </w:div>
            <w:div w:id="364646614">
              <w:marLeft w:val="0"/>
              <w:marRight w:val="0"/>
              <w:marTop w:val="0"/>
              <w:marBottom w:val="0"/>
              <w:divBdr>
                <w:top w:val="none" w:sz="0" w:space="0" w:color="auto"/>
                <w:left w:val="none" w:sz="0" w:space="0" w:color="auto"/>
                <w:bottom w:val="none" w:sz="0" w:space="0" w:color="auto"/>
                <w:right w:val="none" w:sz="0" w:space="0" w:color="auto"/>
              </w:divBdr>
              <w:divsChild>
                <w:div w:id="2016302326">
                  <w:marLeft w:val="0"/>
                  <w:marRight w:val="0"/>
                  <w:marTop w:val="0"/>
                  <w:marBottom w:val="0"/>
                  <w:divBdr>
                    <w:top w:val="none" w:sz="0" w:space="0" w:color="auto"/>
                    <w:left w:val="none" w:sz="0" w:space="0" w:color="auto"/>
                    <w:bottom w:val="none" w:sz="0" w:space="0" w:color="auto"/>
                    <w:right w:val="none" w:sz="0" w:space="0" w:color="auto"/>
                  </w:divBdr>
                </w:div>
              </w:divsChild>
            </w:div>
            <w:div w:id="382483756">
              <w:marLeft w:val="0"/>
              <w:marRight w:val="0"/>
              <w:marTop w:val="0"/>
              <w:marBottom w:val="0"/>
              <w:divBdr>
                <w:top w:val="none" w:sz="0" w:space="0" w:color="auto"/>
                <w:left w:val="none" w:sz="0" w:space="0" w:color="auto"/>
                <w:bottom w:val="none" w:sz="0" w:space="0" w:color="auto"/>
                <w:right w:val="none" w:sz="0" w:space="0" w:color="auto"/>
              </w:divBdr>
              <w:divsChild>
                <w:div w:id="408501543">
                  <w:marLeft w:val="0"/>
                  <w:marRight w:val="0"/>
                  <w:marTop w:val="0"/>
                  <w:marBottom w:val="0"/>
                  <w:divBdr>
                    <w:top w:val="none" w:sz="0" w:space="0" w:color="auto"/>
                    <w:left w:val="none" w:sz="0" w:space="0" w:color="auto"/>
                    <w:bottom w:val="none" w:sz="0" w:space="0" w:color="auto"/>
                    <w:right w:val="none" w:sz="0" w:space="0" w:color="auto"/>
                  </w:divBdr>
                </w:div>
              </w:divsChild>
            </w:div>
            <w:div w:id="456948886">
              <w:marLeft w:val="0"/>
              <w:marRight w:val="0"/>
              <w:marTop w:val="0"/>
              <w:marBottom w:val="0"/>
              <w:divBdr>
                <w:top w:val="none" w:sz="0" w:space="0" w:color="auto"/>
                <w:left w:val="none" w:sz="0" w:space="0" w:color="auto"/>
                <w:bottom w:val="none" w:sz="0" w:space="0" w:color="auto"/>
                <w:right w:val="none" w:sz="0" w:space="0" w:color="auto"/>
              </w:divBdr>
              <w:divsChild>
                <w:div w:id="1428228624">
                  <w:marLeft w:val="0"/>
                  <w:marRight w:val="0"/>
                  <w:marTop w:val="0"/>
                  <w:marBottom w:val="0"/>
                  <w:divBdr>
                    <w:top w:val="none" w:sz="0" w:space="0" w:color="auto"/>
                    <w:left w:val="none" w:sz="0" w:space="0" w:color="auto"/>
                    <w:bottom w:val="none" w:sz="0" w:space="0" w:color="auto"/>
                    <w:right w:val="none" w:sz="0" w:space="0" w:color="auto"/>
                  </w:divBdr>
                </w:div>
              </w:divsChild>
            </w:div>
            <w:div w:id="486671232">
              <w:marLeft w:val="0"/>
              <w:marRight w:val="0"/>
              <w:marTop w:val="0"/>
              <w:marBottom w:val="0"/>
              <w:divBdr>
                <w:top w:val="none" w:sz="0" w:space="0" w:color="auto"/>
                <w:left w:val="none" w:sz="0" w:space="0" w:color="auto"/>
                <w:bottom w:val="none" w:sz="0" w:space="0" w:color="auto"/>
                <w:right w:val="none" w:sz="0" w:space="0" w:color="auto"/>
              </w:divBdr>
              <w:divsChild>
                <w:div w:id="1419323325">
                  <w:marLeft w:val="0"/>
                  <w:marRight w:val="0"/>
                  <w:marTop w:val="0"/>
                  <w:marBottom w:val="0"/>
                  <w:divBdr>
                    <w:top w:val="none" w:sz="0" w:space="0" w:color="auto"/>
                    <w:left w:val="none" w:sz="0" w:space="0" w:color="auto"/>
                    <w:bottom w:val="none" w:sz="0" w:space="0" w:color="auto"/>
                    <w:right w:val="none" w:sz="0" w:space="0" w:color="auto"/>
                  </w:divBdr>
                </w:div>
              </w:divsChild>
            </w:div>
            <w:div w:id="508719598">
              <w:marLeft w:val="0"/>
              <w:marRight w:val="0"/>
              <w:marTop w:val="0"/>
              <w:marBottom w:val="0"/>
              <w:divBdr>
                <w:top w:val="none" w:sz="0" w:space="0" w:color="auto"/>
                <w:left w:val="none" w:sz="0" w:space="0" w:color="auto"/>
                <w:bottom w:val="none" w:sz="0" w:space="0" w:color="auto"/>
                <w:right w:val="none" w:sz="0" w:space="0" w:color="auto"/>
              </w:divBdr>
              <w:divsChild>
                <w:div w:id="1743454712">
                  <w:marLeft w:val="0"/>
                  <w:marRight w:val="0"/>
                  <w:marTop w:val="0"/>
                  <w:marBottom w:val="0"/>
                  <w:divBdr>
                    <w:top w:val="none" w:sz="0" w:space="0" w:color="auto"/>
                    <w:left w:val="none" w:sz="0" w:space="0" w:color="auto"/>
                    <w:bottom w:val="none" w:sz="0" w:space="0" w:color="auto"/>
                    <w:right w:val="none" w:sz="0" w:space="0" w:color="auto"/>
                  </w:divBdr>
                </w:div>
              </w:divsChild>
            </w:div>
            <w:div w:id="631861535">
              <w:marLeft w:val="0"/>
              <w:marRight w:val="0"/>
              <w:marTop w:val="0"/>
              <w:marBottom w:val="0"/>
              <w:divBdr>
                <w:top w:val="none" w:sz="0" w:space="0" w:color="auto"/>
                <w:left w:val="none" w:sz="0" w:space="0" w:color="auto"/>
                <w:bottom w:val="none" w:sz="0" w:space="0" w:color="auto"/>
                <w:right w:val="none" w:sz="0" w:space="0" w:color="auto"/>
              </w:divBdr>
              <w:divsChild>
                <w:div w:id="1251768833">
                  <w:marLeft w:val="0"/>
                  <w:marRight w:val="0"/>
                  <w:marTop w:val="0"/>
                  <w:marBottom w:val="0"/>
                  <w:divBdr>
                    <w:top w:val="none" w:sz="0" w:space="0" w:color="auto"/>
                    <w:left w:val="none" w:sz="0" w:space="0" w:color="auto"/>
                    <w:bottom w:val="none" w:sz="0" w:space="0" w:color="auto"/>
                    <w:right w:val="none" w:sz="0" w:space="0" w:color="auto"/>
                  </w:divBdr>
                </w:div>
              </w:divsChild>
            </w:div>
            <w:div w:id="643239716">
              <w:marLeft w:val="0"/>
              <w:marRight w:val="0"/>
              <w:marTop w:val="0"/>
              <w:marBottom w:val="0"/>
              <w:divBdr>
                <w:top w:val="none" w:sz="0" w:space="0" w:color="auto"/>
                <w:left w:val="none" w:sz="0" w:space="0" w:color="auto"/>
                <w:bottom w:val="none" w:sz="0" w:space="0" w:color="auto"/>
                <w:right w:val="none" w:sz="0" w:space="0" w:color="auto"/>
              </w:divBdr>
              <w:divsChild>
                <w:div w:id="1393384455">
                  <w:marLeft w:val="0"/>
                  <w:marRight w:val="0"/>
                  <w:marTop w:val="0"/>
                  <w:marBottom w:val="0"/>
                  <w:divBdr>
                    <w:top w:val="none" w:sz="0" w:space="0" w:color="auto"/>
                    <w:left w:val="none" w:sz="0" w:space="0" w:color="auto"/>
                    <w:bottom w:val="none" w:sz="0" w:space="0" w:color="auto"/>
                    <w:right w:val="none" w:sz="0" w:space="0" w:color="auto"/>
                  </w:divBdr>
                </w:div>
              </w:divsChild>
            </w:div>
            <w:div w:id="701129817">
              <w:marLeft w:val="0"/>
              <w:marRight w:val="0"/>
              <w:marTop w:val="0"/>
              <w:marBottom w:val="0"/>
              <w:divBdr>
                <w:top w:val="none" w:sz="0" w:space="0" w:color="auto"/>
                <w:left w:val="none" w:sz="0" w:space="0" w:color="auto"/>
                <w:bottom w:val="none" w:sz="0" w:space="0" w:color="auto"/>
                <w:right w:val="none" w:sz="0" w:space="0" w:color="auto"/>
              </w:divBdr>
              <w:divsChild>
                <w:div w:id="1531409687">
                  <w:marLeft w:val="0"/>
                  <w:marRight w:val="0"/>
                  <w:marTop w:val="0"/>
                  <w:marBottom w:val="0"/>
                  <w:divBdr>
                    <w:top w:val="none" w:sz="0" w:space="0" w:color="auto"/>
                    <w:left w:val="none" w:sz="0" w:space="0" w:color="auto"/>
                    <w:bottom w:val="none" w:sz="0" w:space="0" w:color="auto"/>
                    <w:right w:val="none" w:sz="0" w:space="0" w:color="auto"/>
                  </w:divBdr>
                </w:div>
              </w:divsChild>
            </w:div>
            <w:div w:id="710301750">
              <w:marLeft w:val="0"/>
              <w:marRight w:val="0"/>
              <w:marTop w:val="0"/>
              <w:marBottom w:val="0"/>
              <w:divBdr>
                <w:top w:val="none" w:sz="0" w:space="0" w:color="auto"/>
                <w:left w:val="none" w:sz="0" w:space="0" w:color="auto"/>
                <w:bottom w:val="none" w:sz="0" w:space="0" w:color="auto"/>
                <w:right w:val="none" w:sz="0" w:space="0" w:color="auto"/>
              </w:divBdr>
              <w:divsChild>
                <w:div w:id="249974447">
                  <w:marLeft w:val="0"/>
                  <w:marRight w:val="0"/>
                  <w:marTop w:val="0"/>
                  <w:marBottom w:val="0"/>
                  <w:divBdr>
                    <w:top w:val="none" w:sz="0" w:space="0" w:color="auto"/>
                    <w:left w:val="none" w:sz="0" w:space="0" w:color="auto"/>
                    <w:bottom w:val="none" w:sz="0" w:space="0" w:color="auto"/>
                    <w:right w:val="none" w:sz="0" w:space="0" w:color="auto"/>
                  </w:divBdr>
                </w:div>
              </w:divsChild>
            </w:div>
            <w:div w:id="714431238">
              <w:marLeft w:val="0"/>
              <w:marRight w:val="0"/>
              <w:marTop w:val="0"/>
              <w:marBottom w:val="0"/>
              <w:divBdr>
                <w:top w:val="none" w:sz="0" w:space="0" w:color="auto"/>
                <w:left w:val="none" w:sz="0" w:space="0" w:color="auto"/>
                <w:bottom w:val="none" w:sz="0" w:space="0" w:color="auto"/>
                <w:right w:val="none" w:sz="0" w:space="0" w:color="auto"/>
              </w:divBdr>
              <w:divsChild>
                <w:div w:id="236522574">
                  <w:marLeft w:val="0"/>
                  <w:marRight w:val="0"/>
                  <w:marTop w:val="0"/>
                  <w:marBottom w:val="0"/>
                  <w:divBdr>
                    <w:top w:val="none" w:sz="0" w:space="0" w:color="auto"/>
                    <w:left w:val="none" w:sz="0" w:space="0" w:color="auto"/>
                    <w:bottom w:val="none" w:sz="0" w:space="0" w:color="auto"/>
                    <w:right w:val="none" w:sz="0" w:space="0" w:color="auto"/>
                  </w:divBdr>
                </w:div>
              </w:divsChild>
            </w:div>
            <w:div w:id="715086544">
              <w:marLeft w:val="0"/>
              <w:marRight w:val="0"/>
              <w:marTop w:val="0"/>
              <w:marBottom w:val="0"/>
              <w:divBdr>
                <w:top w:val="none" w:sz="0" w:space="0" w:color="auto"/>
                <w:left w:val="none" w:sz="0" w:space="0" w:color="auto"/>
                <w:bottom w:val="none" w:sz="0" w:space="0" w:color="auto"/>
                <w:right w:val="none" w:sz="0" w:space="0" w:color="auto"/>
              </w:divBdr>
              <w:divsChild>
                <w:div w:id="1812289900">
                  <w:marLeft w:val="0"/>
                  <w:marRight w:val="0"/>
                  <w:marTop w:val="0"/>
                  <w:marBottom w:val="0"/>
                  <w:divBdr>
                    <w:top w:val="none" w:sz="0" w:space="0" w:color="auto"/>
                    <w:left w:val="none" w:sz="0" w:space="0" w:color="auto"/>
                    <w:bottom w:val="none" w:sz="0" w:space="0" w:color="auto"/>
                    <w:right w:val="none" w:sz="0" w:space="0" w:color="auto"/>
                  </w:divBdr>
                </w:div>
              </w:divsChild>
            </w:div>
            <w:div w:id="787354135">
              <w:marLeft w:val="0"/>
              <w:marRight w:val="0"/>
              <w:marTop w:val="0"/>
              <w:marBottom w:val="0"/>
              <w:divBdr>
                <w:top w:val="none" w:sz="0" w:space="0" w:color="auto"/>
                <w:left w:val="none" w:sz="0" w:space="0" w:color="auto"/>
                <w:bottom w:val="none" w:sz="0" w:space="0" w:color="auto"/>
                <w:right w:val="none" w:sz="0" w:space="0" w:color="auto"/>
              </w:divBdr>
              <w:divsChild>
                <w:div w:id="34741875">
                  <w:marLeft w:val="0"/>
                  <w:marRight w:val="0"/>
                  <w:marTop w:val="0"/>
                  <w:marBottom w:val="0"/>
                  <w:divBdr>
                    <w:top w:val="none" w:sz="0" w:space="0" w:color="auto"/>
                    <w:left w:val="none" w:sz="0" w:space="0" w:color="auto"/>
                    <w:bottom w:val="none" w:sz="0" w:space="0" w:color="auto"/>
                    <w:right w:val="none" w:sz="0" w:space="0" w:color="auto"/>
                  </w:divBdr>
                </w:div>
              </w:divsChild>
            </w:div>
            <w:div w:id="931746395">
              <w:marLeft w:val="0"/>
              <w:marRight w:val="0"/>
              <w:marTop w:val="0"/>
              <w:marBottom w:val="0"/>
              <w:divBdr>
                <w:top w:val="none" w:sz="0" w:space="0" w:color="auto"/>
                <w:left w:val="none" w:sz="0" w:space="0" w:color="auto"/>
                <w:bottom w:val="none" w:sz="0" w:space="0" w:color="auto"/>
                <w:right w:val="none" w:sz="0" w:space="0" w:color="auto"/>
              </w:divBdr>
              <w:divsChild>
                <w:div w:id="642085287">
                  <w:marLeft w:val="0"/>
                  <w:marRight w:val="0"/>
                  <w:marTop w:val="0"/>
                  <w:marBottom w:val="0"/>
                  <w:divBdr>
                    <w:top w:val="none" w:sz="0" w:space="0" w:color="auto"/>
                    <w:left w:val="none" w:sz="0" w:space="0" w:color="auto"/>
                    <w:bottom w:val="none" w:sz="0" w:space="0" w:color="auto"/>
                    <w:right w:val="none" w:sz="0" w:space="0" w:color="auto"/>
                  </w:divBdr>
                </w:div>
              </w:divsChild>
            </w:div>
            <w:div w:id="950865808">
              <w:marLeft w:val="0"/>
              <w:marRight w:val="0"/>
              <w:marTop w:val="0"/>
              <w:marBottom w:val="0"/>
              <w:divBdr>
                <w:top w:val="none" w:sz="0" w:space="0" w:color="auto"/>
                <w:left w:val="none" w:sz="0" w:space="0" w:color="auto"/>
                <w:bottom w:val="none" w:sz="0" w:space="0" w:color="auto"/>
                <w:right w:val="none" w:sz="0" w:space="0" w:color="auto"/>
              </w:divBdr>
              <w:divsChild>
                <w:div w:id="870919776">
                  <w:marLeft w:val="0"/>
                  <w:marRight w:val="0"/>
                  <w:marTop w:val="0"/>
                  <w:marBottom w:val="0"/>
                  <w:divBdr>
                    <w:top w:val="none" w:sz="0" w:space="0" w:color="auto"/>
                    <w:left w:val="none" w:sz="0" w:space="0" w:color="auto"/>
                    <w:bottom w:val="none" w:sz="0" w:space="0" w:color="auto"/>
                    <w:right w:val="none" w:sz="0" w:space="0" w:color="auto"/>
                  </w:divBdr>
                </w:div>
              </w:divsChild>
            </w:div>
            <w:div w:id="1019090194">
              <w:marLeft w:val="0"/>
              <w:marRight w:val="0"/>
              <w:marTop w:val="0"/>
              <w:marBottom w:val="0"/>
              <w:divBdr>
                <w:top w:val="none" w:sz="0" w:space="0" w:color="auto"/>
                <w:left w:val="none" w:sz="0" w:space="0" w:color="auto"/>
                <w:bottom w:val="none" w:sz="0" w:space="0" w:color="auto"/>
                <w:right w:val="none" w:sz="0" w:space="0" w:color="auto"/>
              </w:divBdr>
              <w:divsChild>
                <w:div w:id="266549634">
                  <w:marLeft w:val="0"/>
                  <w:marRight w:val="0"/>
                  <w:marTop w:val="0"/>
                  <w:marBottom w:val="0"/>
                  <w:divBdr>
                    <w:top w:val="none" w:sz="0" w:space="0" w:color="auto"/>
                    <w:left w:val="none" w:sz="0" w:space="0" w:color="auto"/>
                    <w:bottom w:val="none" w:sz="0" w:space="0" w:color="auto"/>
                    <w:right w:val="none" w:sz="0" w:space="0" w:color="auto"/>
                  </w:divBdr>
                </w:div>
              </w:divsChild>
            </w:div>
            <w:div w:id="1134181421">
              <w:marLeft w:val="0"/>
              <w:marRight w:val="0"/>
              <w:marTop w:val="0"/>
              <w:marBottom w:val="0"/>
              <w:divBdr>
                <w:top w:val="none" w:sz="0" w:space="0" w:color="auto"/>
                <w:left w:val="none" w:sz="0" w:space="0" w:color="auto"/>
                <w:bottom w:val="none" w:sz="0" w:space="0" w:color="auto"/>
                <w:right w:val="none" w:sz="0" w:space="0" w:color="auto"/>
              </w:divBdr>
              <w:divsChild>
                <w:div w:id="1211966261">
                  <w:marLeft w:val="0"/>
                  <w:marRight w:val="0"/>
                  <w:marTop w:val="0"/>
                  <w:marBottom w:val="0"/>
                  <w:divBdr>
                    <w:top w:val="none" w:sz="0" w:space="0" w:color="auto"/>
                    <w:left w:val="none" w:sz="0" w:space="0" w:color="auto"/>
                    <w:bottom w:val="none" w:sz="0" w:space="0" w:color="auto"/>
                    <w:right w:val="none" w:sz="0" w:space="0" w:color="auto"/>
                  </w:divBdr>
                </w:div>
              </w:divsChild>
            </w:div>
            <w:div w:id="1144275776">
              <w:marLeft w:val="0"/>
              <w:marRight w:val="0"/>
              <w:marTop w:val="0"/>
              <w:marBottom w:val="0"/>
              <w:divBdr>
                <w:top w:val="none" w:sz="0" w:space="0" w:color="auto"/>
                <w:left w:val="none" w:sz="0" w:space="0" w:color="auto"/>
                <w:bottom w:val="none" w:sz="0" w:space="0" w:color="auto"/>
                <w:right w:val="none" w:sz="0" w:space="0" w:color="auto"/>
              </w:divBdr>
              <w:divsChild>
                <w:div w:id="1241521853">
                  <w:marLeft w:val="0"/>
                  <w:marRight w:val="0"/>
                  <w:marTop w:val="0"/>
                  <w:marBottom w:val="0"/>
                  <w:divBdr>
                    <w:top w:val="none" w:sz="0" w:space="0" w:color="auto"/>
                    <w:left w:val="none" w:sz="0" w:space="0" w:color="auto"/>
                    <w:bottom w:val="none" w:sz="0" w:space="0" w:color="auto"/>
                    <w:right w:val="none" w:sz="0" w:space="0" w:color="auto"/>
                  </w:divBdr>
                </w:div>
              </w:divsChild>
            </w:div>
            <w:div w:id="1178738373">
              <w:marLeft w:val="0"/>
              <w:marRight w:val="0"/>
              <w:marTop w:val="0"/>
              <w:marBottom w:val="0"/>
              <w:divBdr>
                <w:top w:val="none" w:sz="0" w:space="0" w:color="auto"/>
                <w:left w:val="none" w:sz="0" w:space="0" w:color="auto"/>
                <w:bottom w:val="none" w:sz="0" w:space="0" w:color="auto"/>
                <w:right w:val="none" w:sz="0" w:space="0" w:color="auto"/>
              </w:divBdr>
              <w:divsChild>
                <w:div w:id="1548488300">
                  <w:marLeft w:val="0"/>
                  <w:marRight w:val="0"/>
                  <w:marTop w:val="0"/>
                  <w:marBottom w:val="0"/>
                  <w:divBdr>
                    <w:top w:val="none" w:sz="0" w:space="0" w:color="auto"/>
                    <w:left w:val="none" w:sz="0" w:space="0" w:color="auto"/>
                    <w:bottom w:val="none" w:sz="0" w:space="0" w:color="auto"/>
                    <w:right w:val="none" w:sz="0" w:space="0" w:color="auto"/>
                  </w:divBdr>
                </w:div>
              </w:divsChild>
            </w:div>
            <w:div w:id="1208834460">
              <w:marLeft w:val="0"/>
              <w:marRight w:val="0"/>
              <w:marTop w:val="0"/>
              <w:marBottom w:val="0"/>
              <w:divBdr>
                <w:top w:val="none" w:sz="0" w:space="0" w:color="auto"/>
                <w:left w:val="none" w:sz="0" w:space="0" w:color="auto"/>
                <w:bottom w:val="none" w:sz="0" w:space="0" w:color="auto"/>
                <w:right w:val="none" w:sz="0" w:space="0" w:color="auto"/>
              </w:divBdr>
              <w:divsChild>
                <w:div w:id="368847717">
                  <w:marLeft w:val="0"/>
                  <w:marRight w:val="0"/>
                  <w:marTop w:val="0"/>
                  <w:marBottom w:val="0"/>
                  <w:divBdr>
                    <w:top w:val="none" w:sz="0" w:space="0" w:color="auto"/>
                    <w:left w:val="none" w:sz="0" w:space="0" w:color="auto"/>
                    <w:bottom w:val="none" w:sz="0" w:space="0" w:color="auto"/>
                    <w:right w:val="none" w:sz="0" w:space="0" w:color="auto"/>
                  </w:divBdr>
                </w:div>
              </w:divsChild>
            </w:div>
            <w:div w:id="1225918560">
              <w:marLeft w:val="0"/>
              <w:marRight w:val="0"/>
              <w:marTop w:val="0"/>
              <w:marBottom w:val="0"/>
              <w:divBdr>
                <w:top w:val="none" w:sz="0" w:space="0" w:color="auto"/>
                <w:left w:val="none" w:sz="0" w:space="0" w:color="auto"/>
                <w:bottom w:val="none" w:sz="0" w:space="0" w:color="auto"/>
                <w:right w:val="none" w:sz="0" w:space="0" w:color="auto"/>
              </w:divBdr>
              <w:divsChild>
                <w:div w:id="1949389244">
                  <w:marLeft w:val="0"/>
                  <w:marRight w:val="0"/>
                  <w:marTop w:val="0"/>
                  <w:marBottom w:val="0"/>
                  <w:divBdr>
                    <w:top w:val="none" w:sz="0" w:space="0" w:color="auto"/>
                    <w:left w:val="none" w:sz="0" w:space="0" w:color="auto"/>
                    <w:bottom w:val="none" w:sz="0" w:space="0" w:color="auto"/>
                    <w:right w:val="none" w:sz="0" w:space="0" w:color="auto"/>
                  </w:divBdr>
                </w:div>
              </w:divsChild>
            </w:div>
            <w:div w:id="1300266741">
              <w:marLeft w:val="0"/>
              <w:marRight w:val="0"/>
              <w:marTop w:val="0"/>
              <w:marBottom w:val="0"/>
              <w:divBdr>
                <w:top w:val="none" w:sz="0" w:space="0" w:color="auto"/>
                <w:left w:val="none" w:sz="0" w:space="0" w:color="auto"/>
                <w:bottom w:val="none" w:sz="0" w:space="0" w:color="auto"/>
                <w:right w:val="none" w:sz="0" w:space="0" w:color="auto"/>
              </w:divBdr>
              <w:divsChild>
                <w:div w:id="1701711021">
                  <w:marLeft w:val="0"/>
                  <w:marRight w:val="0"/>
                  <w:marTop w:val="0"/>
                  <w:marBottom w:val="0"/>
                  <w:divBdr>
                    <w:top w:val="none" w:sz="0" w:space="0" w:color="auto"/>
                    <w:left w:val="none" w:sz="0" w:space="0" w:color="auto"/>
                    <w:bottom w:val="none" w:sz="0" w:space="0" w:color="auto"/>
                    <w:right w:val="none" w:sz="0" w:space="0" w:color="auto"/>
                  </w:divBdr>
                </w:div>
              </w:divsChild>
            </w:div>
            <w:div w:id="1471247304">
              <w:marLeft w:val="0"/>
              <w:marRight w:val="0"/>
              <w:marTop w:val="0"/>
              <w:marBottom w:val="0"/>
              <w:divBdr>
                <w:top w:val="none" w:sz="0" w:space="0" w:color="auto"/>
                <w:left w:val="none" w:sz="0" w:space="0" w:color="auto"/>
                <w:bottom w:val="none" w:sz="0" w:space="0" w:color="auto"/>
                <w:right w:val="none" w:sz="0" w:space="0" w:color="auto"/>
              </w:divBdr>
              <w:divsChild>
                <w:div w:id="353195863">
                  <w:marLeft w:val="0"/>
                  <w:marRight w:val="0"/>
                  <w:marTop w:val="0"/>
                  <w:marBottom w:val="0"/>
                  <w:divBdr>
                    <w:top w:val="none" w:sz="0" w:space="0" w:color="auto"/>
                    <w:left w:val="none" w:sz="0" w:space="0" w:color="auto"/>
                    <w:bottom w:val="none" w:sz="0" w:space="0" w:color="auto"/>
                    <w:right w:val="none" w:sz="0" w:space="0" w:color="auto"/>
                  </w:divBdr>
                </w:div>
              </w:divsChild>
            </w:div>
            <w:div w:id="1478298732">
              <w:marLeft w:val="0"/>
              <w:marRight w:val="0"/>
              <w:marTop w:val="0"/>
              <w:marBottom w:val="0"/>
              <w:divBdr>
                <w:top w:val="none" w:sz="0" w:space="0" w:color="auto"/>
                <w:left w:val="none" w:sz="0" w:space="0" w:color="auto"/>
                <w:bottom w:val="none" w:sz="0" w:space="0" w:color="auto"/>
                <w:right w:val="none" w:sz="0" w:space="0" w:color="auto"/>
              </w:divBdr>
              <w:divsChild>
                <w:div w:id="968122067">
                  <w:marLeft w:val="0"/>
                  <w:marRight w:val="0"/>
                  <w:marTop w:val="0"/>
                  <w:marBottom w:val="0"/>
                  <w:divBdr>
                    <w:top w:val="none" w:sz="0" w:space="0" w:color="auto"/>
                    <w:left w:val="none" w:sz="0" w:space="0" w:color="auto"/>
                    <w:bottom w:val="none" w:sz="0" w:space="0" w:color="auto"/>
                    <w:right w:val="none" w:sz="0" w:space="0" w:color="auto"/>
                  </w:divBdr>
                </w:div>
              </w:divsChild>
            </w:div>
            <w:div w:id="1685086818">
              <w:marLeft w:val="0"/>
              <w:marRight w:val="0"/>
              <w:marTop w:val="0"/>
              <w:marBottom w:val="0"/>
              <w:divBdr>
                <w:top w:val="none" w:sz="0" w:space="0" w:color="auto"/>
                <w:left w:val="none" w:sz="0" w:space="0" w:color="auto"/>
                <w:bottom w:val="none" w:sz="0" w:space="0" w:color="auto"/>
                <w:right w:val="none" w:sz="0" w:space="0" w:color="auto"/>
              </w:divBdr>
              <w:divsChild>
                <w:div w:id="1020470757">
                  <w:marLeft w:val="0"/>
                  <w:marRight w:val="0"/>
                  <w:marTop w:val="0"/>
                  <w:marBottom w:val="0"/>
                  <w:divBdr>
                    <w:top w:val="none" w:sz="0" w:space="0" w:color="auto"/>
                    <w:left w:val="none" w:sz="0" w:space="0" w:color="auto"/>
                    <w:bottom w:val="none" w:sz="0" w:space="0" w:color="auto"/>
                    <w:right w:val="none" w:sz="0" w:space="0" w:color="auto"/>
                  </w:divBdr>
                </w:div>
              </w:divsChild>
            </w:div>
            <w:div w:id="1765875308">
              <w:marLeft w:val="0"/>
              <w:marRight w:val="0"/>
              <w:marTop w:val="0"/>
              <w:marBottom w:val="0"/>
              <w:divBdr>
                <w:top w:val="none" w:sz="0" w:space="0" w:color="auto"/>
                <w:left w:val="none" w:sz="0" w:space="0" w:color="auto"/>
                <w:bottom w:val="none" w:sz="0" w:space="0" w:color="auto"/>
                <w:right w:val="none" w:sz="0" w:space="0" w:color="auto"/>
              </w:divBdr>
              <w:divsChild>
                <w:div w:id="305403925">
                  <w:marLeft w:val="0"/>
                  <w:marRight w:val="0"/>
                  <w:marTop w:val="0"/>
                  <w:marBottom w:val="0"/>
                  <w:divBdr>
                    <w:top w:val="none" w:sz="0" w:space="0" w:color="auto"/>
                    <w:left w:val="none" w:sz="0" w:space="0" w:color="auto"/>
                    <w:bottom w:val="none" w:sz="0" w:space="0" w:color="auto"/>
                    <w:right w:val="none" w:sz="0" w:space="0" w:color="auto"/>
                  </w:divBdr>
                </w:div>
              </w:divsChild>
            </w:div>
            <w:div w:id="1779136486">
              <w:marLeft w:val="0"/>
              <w:marRight w:val="0"/>
              <w:marTop w:val="0"/>
              <w:marBottom w:val="0"/>
              <w:divBdr>
                <w:top w:val="none" w:sz="0" w:space="0" w:color="auto"/>
                <w:left w:val="none" w:sz="0" w:space="0" w:color="auto"/>
                <w:bottom w:val="none" w:sz="0" w:space="0" w:color="auto"/>
                <w:right w:val="none" w:sz="0" w:space="0" w:color="auto"/>
              </w:divBdr>
              <w:divsChild>
                <w:div w:id="1851874623">
                  <w:marLeft w:val="0"/>
                  <w:marRight w:val="0"/>
                  <w:marTop w:val="0"/>
                  <w:marBottom w:val="0"/>
                  <w:divBdr>
                    <w:top w:val="none" w:sz="0" w:space="0" w:color="auto"/>
                    <w:left w:val="none" w:sz="0" w:space="0" w:color="auto"/>
                    <w:bottom w:val="none" w:sz="0" w:space="0" w:color="auto"/>
                    <w:right w:val="none" w:sz="0" w:space="0" w:color="auto"/>
                  </w:divBdr>
                </w:div>
              </w:divsChild>
            </w:div>
            <w:div w:id="1841311107">
              <w:marLeft w:val="0"/>
              <w:marRight w:val="0"/>
              <w:marTop w:val="0"/>
              <w:marBottom w:val="0"/>
              <w:divBdr>
                <w:top w:val="none" w:sz="0" w:space="0" w:color="auto"/>
                <w:left w:val="none" w:sz="0" w:space="0" w:color="auto"/>
                <w:bottom w:val="none" w:sz="0" w:space="0" w:color="auto"/>
                <w:right w:val="none" w:sz="0" w:space="0" w:color="auto"/>
              </w:divBdr>
              <w:divsChild>
                <w:div w:id="1732849096">
                  <w:marLeft w:val="0"/>
                  <w:marRight w:val="0"/>
                  <w:marTop w:val="0"/>
                  <w:marBottom w:val="0"/>
                  <w:divBdr>
                    <w:top w:val="none" w:sz="0" w:space="0" w:color="auto"/>
                    <w:left w:val="none" w:sz="0" w:space="0" w:color="auto"/>
                    <w:bottom w:val="none" w:sz="0" w:space="0" w:color="auto"/>
                    <w:right w:val="none" w:sz="0" w:space="0" w:color="auto"/>
                  </w:divBdr>
                </w:div>
              </w:divsChild>
            </w:div>
            <w:div w:id="2078046713">
              <w:marLeft w:val="0"/>
              <w:marRight w:val="0"/>
              <w:marTop w:val="0"/>
              <w:marBottom w:val="0"/>
              <w:divBdr>
                <w:top w:val="none" w:sz="0" w:space="0" w:color="auto"/>
                <w:left w:val="none" w:sz="0" w:space="0" w:color="auto"/>
                <w:bottom w:val="none" w:sz="0" w:space="0" w:color="auto"/>
                <w:right w:val="none" w:sz="0" w:space="0" w:color="auto"/>
              </w:divBdr>
              <w:divsChild>
                <w:div w:id="15508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5070">
          <w:marLeft w:val="0"/>
          <w:marRight w:val="0"/>
          <w:marTop w:val="0"/>
          <w:marBottom w:val="0"/>
          <w:divBdr>
            <w:top w:val="none" w:sz="0" w:space="0" w:color="auto"/>
            <w:left w:val="none" w:sz="0" w:space="0" w:color="auto"/>
            <w:bottom w:val="none" w:sz="0" w:space="0" w:color="auto"/>
            <w:right w:val="none" w:sz="0" w:space="0" w:color="auto"/>
          </w:divBdr>
        </w:div>
        <w:div w:id="64228996">
          <w:marLeft w:val="0"/>
          <w:marRight w:val="0"/>
          <w:marTop w:val="0"/>
          <w:marBottom w:val="0"/>
          <w:divBdr>
            <w:top w:val="none" w:sz="0" w:space="0" w:color="auto"/>
            <w:left w:val="none" w:sz="0" w:space="0" w:color="auto"/>
            <w:bottom w:val="none" w:sz="0" w:space="0" w:color="auto"/>
            <w:right w:val="none" w:sz="0" w:space="0" w:color="auto"/>
          </w:divBdr>
        </w:div>
        <w:div w:id="105007333">
          <w:marLeft w:val="0"/>
          <w:marRight w:val="0"/>
          <w:marTop w:val="0"/>
          <w:marBottom w:val="0"/>
          <w:divBdr>
            <w:top w:val="none" w:sz="0" w:space="0" w:color="auto"/>
            <w:left w:val="none" w:sz="0" w:space="0" w:color="auto"/>
            <w:bottom w:val="none" w:sz="0" w:space="0" w:color="auto"/>
            <w:right w:val="none" w:sz="0" w:space="0" w:color="auto"/>
          </w:divBdr>
        </w:div>
        <w:div w:id="122578425">
          <w:marLeft w:val="0"/>
          <w:marRight w:val="0"/>
          <w:marTop w:val="0"/>
          <w:marBottom w:val="0"/>
          <w:divBdr>
            <w:top w:val="none" w:sz="0" w:space="0" w:color="auto"/>
            <w:left w:val="none" w:sz="0" w:space="0" w:color="auto"/>
            <w:bottom w:val="none" w:sz="0" w:space="0" w:color="auto"/>
            <w:right w:val="none" w:sz="0" w:space="0" w:color="auto"/>
          </w:divBdr>
        </w:div>
        <w:div w:id="150873617">
          <w:marLeft w:val="0"/>
          <w:marRight w:val="0"/>
          <w:marTop w:val="0"/>
          <w:marBottom w:val="0"/>
          <w:divBdr>
            <w:top w:val="none" w:sz="0" w:space="0" w:color="auto"/>
            <w:left w:val="none" w:sz="0" w:space="0" w:color="auto"/>
            <w:bottom w:val="none" w:sz="0" w:space="0" w:color="auto"/>
            <w:right w:val="none" w:sz="0" w:space="0" w:color="auto"/>
          </w:divBdr>
        </w:div>
        <w:div w:id="174810477">
          <w:marLeft w:val="0"/>
          <w:marRight w:val="0"/>
          <w:marTop w:val="0"/>
          <w:marBottom w:val="0"/>
          <w:divBdr>
            <w:top w:val="none" w:sz="0" w:space="0" w:color="auto"/>
            <w:left w:val="none" w:sz="0" w:space="0" w:color="auto"/>
            <w:bottom w:val="none" w:sz="0" w:space="0" w:color="auto"/>
            <w:right w:val="none" w:sz="0" w:space="0" w:color="auto"/>
          </w:divBdr>
        </w:div>
        <w:div w:id="201674521">
          <w:marLeft w:val="0"/>
          <w:marRight w:val="0"/>
          <w:marTop w:val="0"/>
          <w:marBottom w:val="0"/>
          <w:divBdr>
            <w:top w:val="none" w:sz="0" w:space="0" w:color="auto"/>
            <w:left w:val="none" w:sz="0" w:space="0" w:color="auto"/>
            <w:bottom w:val="none" w:sz="0" w:space="0" w:color="auto"/>
            <w:right w:val="none" w:sz="0" w:space="0" w:color="auto"/>
          </w:divBdr>
        </w:div>
        <w:div w:id="208763356">
          <w:marLeft w:val="0"/>
          <w:marRight w:val="0"/>
          <w:marTop w:val="0"/>
          <w:marBottom w:val="0"/>
          <w:divBdr>
            <w:top w:val="none" w:sz="0" w:space="0" w:color="auto"/>
            <w:left w:val="none" w:sz="0" w:space="0" w:color="auto"/>
            <w:bottom w:val="none" w:sz="0" w:space="0" w:color="auto"/>
            <w:right w:val="none" w:sz="0" w:space="0" w:color="auto"/>
          </w:divBdr>
        </w:div>
        <w:div w:id="213784244">
          <w:marLeft w:val="0"/>
          <w:marRight w:val="0"/>
          <w:marTop w:val="0"/>
          <w:marBottom w:val="0"/>
          <w:divBdr>
            <w:top w:val="none" w:sz="0" w:space="0" w:color="auto"/>
            <w:left w:val="none" w:sz="0" w:space="0" w:color="auto"/>
            <w:bottom w:val="none" w:sz="0" w:space="0" w:color="auto"/>
            <w:right w:val="none" w:sz="0" w:space="0" w:color="auto"/>
          </w:divBdr>
        </w:div>
        <w:div w:id="216168152">
          <w:marLeft w:val="0"/>
          <w:marRight w:val="0"/>
          <w:marTop w:val="0"/>
          <w:marBottom w:val="0"/>
          <w:divBdr>
            <w:top w:val="none" w:sz="0" w:space="0" w:color="auto"/>
            <w:left w:val="none" w:sz="0" w:space="0" w:color="auto"/>
            <w:bottom w:val="none" w:sz="0" w:space="0" w:color="auto"/>
            <w:right w:val="none" w:sz="0" w:space="0" w:color="auto"/>
          </w:divBdr>
        </w:div>
        <w:div w:id="219901289">
          <w:marLeft w:val="0"/>
          <w:marRight w:val="0"/>
          <w:marTop w:val="0"/>
          <w:marBottom w:val="0"/>
          <w:divBdr>
            <w:top w:val="none" w:sz="0" w:space="0" w:color="auto"/>
            <w:left w:val="none" w:sz="0" w:space="0" w:color="auto"/>
            <w:bottom w:val="none" w:sz="0" w:space="0" w:color="auto"/>
            <w:right w:val="none" w:sz="0" w:space="0" w:color="auto"/>
          </w:divBdr>
        </w:div>
        <w:div w:id="278923489">
          <w:marLeft w:val="0"/>
          <w:marRight w:val="0"/>
          <w:marTop w:val="0"/>
          <w:marBottom w:val="0"/>
          <w:divBdr>
            <w:top w:val="none" w:sz="0" w:space="0" w:color="auto"/>
            <w:left w:val="none" w:sz="0" w:space="0" w:color="auto"/>
            <w:bottom w:val="none" w:sz="0" w:space="0" w:color="auto"/>
            <w:right w:val="none" w:sz="0" w:space="0" w:color="auto"/>
          </w:divBdr>
        </w:div>
        <w:div w:id="296910365">
          <w:marLeft w:val="0"/>
          <w:marRight w:val="0"/>
          <w:marTop w:val="0"/>
          <w:marBottom w:val="0"/>
          <w:divBdr>
            <w:top w:val="none" w:sz="0" w:space="0" w:color="auto"/>
            <w:left w:val="none" w:sz="0" w:space="0" w:color="auto"/>
            <w:bottom w:val="none" w:sz="0" w:space="0" w:color="auto"/>
            <w:right w:val="none" w:sz="0" w:space="0" w:color="auto"/>
          </w:divBdr>
        </w:div>
        <w:div w:id="361169182">
          <w:marLeft w:val="0"/>
          <w:marRight w:val="0"/>
          <w:marTop w:val="0"/>
          <w:marBottom w:val="0"/>
          <w:divBdr>
            <w:top w:val="none" w:sz="0" w:space="0" w:color="auto"/>
            <w:left w:val="none" w:sz="0" w:space="0" w:color="auto"/>
            <w:bottom w:val="none" w:sz="0" w:space="0" w:color="auto"/>
            <w:right w:val="none" w:sz="0" w:space="0" w:color="auto"/>
          </w:divBdr>
        </w:div>
        <w:div w:id="430200582">
          <w:marLeft w:val="0"/>
          <w:marRight w:val="0"/>
          <w:marTop w:val="0"/>
          <w:marBottom w:val="0"/>
          <w:divBdr>
            <w:top w:val="none" w:sz="0" w:space="0" w:color="auto"/>
            <w:left w:val="none" w:sz="0" w:space="0" w:color="auto"/>
            <w:bottom w:val="none" w:sz="0" w:space="0" w:color="auto"/>
            <w:right w:val="none" w:sz="0" w:space="0" w:color="auto"/>
          </w:divBdr>
        </w:div>
        <w:div w:id="441188885">
          <w:marLeft w:val="0"/>
          <w:marRight w:val="0"/>
          <w:marTop w:val="0"/>
          <w:marBottom w:val="0"/>
          <w:divBdr>
            <w:top w:val="none" w:sz="0" w:space="0" w:color="auto"/>
            <w:left w:val="none" w:sz="0" w:space="0" w:color="auto"/>
            <w:bottom w:val="none" w:sz="0" w:space="0" w:color="auto"/>
            <w:right w:val="none" w:sz="0" w:space="0" w:color="auto"/>
          </w:divBdr>
        </w:div>
        <w:div w:id="526143199">
          <w:marLeft w:val="0"/>
          <w:marRight w:val="0"/>
          <w:marTop w:val="0"/>
          <w:marBottom w:val="0"/>
          <w:divBdr>
            <w:top w:val="none" w:sz="0" w:space="0" w:color="auto"/>
            <w:left w:val="none" w:sz="0" w:space="0" w:color="auto"/>
            <w:bottom w:val="none" w:sz="0" w:space="0" w:color="auto"/>
            <w:right w:val="none" w:sz="0" w:space="0" w:color="auto"/>
          </w:divBdr>
        </w:div>
        <w:div w:id="669985376">
          <w:marLeft w:val="0"/>
          <w:marRight w:val="0"/>
          <w:marTop w:val="0"/>
          <w:marBottom w:val="0"/>
          <w:divBdr>
            <w:top w:val="none" w:sz="0" w:space="0" w:color="auto"/>
            <w:left w:val="none" w:sz="0" w:space="0" w:color="auto"/>
            <w:bottom w:val="none" w:sz="0" w:space="0" w:color="auto"/>
            <w:right w:val="none" w:sz="0" w:space="0" w:color="auto"/>
          </w:divBdr>
        </w:div>
        <w:div w:id="677270968">
          <w:marLeft w:val="0"/>
          <w:marRight w:val="0"/>
          <w:marTop w:val="0"/>
          <w:marBottom w:val="0"/>
          <w:divBdr>
            <w:top w:val="none" w:sz="0" w:space="0" w:color="auto"/>
            <w:left w:val="none" w:sz="0" w:space="0" w:color="auto"/>
            <w:bottom w:val="none" w:sz="0" w:space="0" w:color="auto"/>
            <w:right w:val="none" w:sz="0" w:space="0" w:color="auto"/>
          </w:divBdr>
        </w:div>
        <w:div w:id="683634750">
          <w:marLeft w:val="0"/>
          <w:marRight w:val="0"/>
          <w:marTop w:val="0"/>
          <w:marBottom w:val="0"/>
          <w:divBdr>
            <w:top w:val="none" w:sz="0" w:space="0" w:color="auto"/>
            <w:left w:val="none" w:sz="0" w:space="0" w:color="auto"/>
            <w:bottom w:val="none" w:sz="0" w:space="0" w:color="auto"/>
            <w:right w:val="none" w:sz="0" w:space="0" w:color="auto"/>
          </w:divBdr>
        </w:div>
        <w:div w:id="693533407">
          <w:marLeft w:val="0"/>
          <w:marRight w:val="0"/>
          <w:marTop w:val="0"/>
          <w:marBottom w:val="0"/>
          <w:divBdr>
            <w:top w:val="none" w:sz="0" w:space="0" w:color="auto"/>
            <w:left w:val="none" w:sz="0" w:space="0" w:color="auto"/>
            <w:bottom w:val="none" w:sz="0" w:space="0" w:color="auto"/>
            <w:right w:val="none" w:sz="0" w:space="0" w:color="auto"/>
          </w:divBdr>
        </w:div>
        <w:div w:id="697315354">
          <w:marLeft w:val="0"/>
          <w:marRight w:val="0"/>
          <w:marTop w:val="0"/>
          <w:marBottom w:val="0"/>
          <w:divBdr>
            <w:top w:val="none" w:sz="0" w:space="0" w:color="auto"/>
            <w:left w:val="none" w:sz="0" w:space="0" w:color="auto"/>
            <w:bottom w:val="none" w:sz="0" w:space="0" w:color="auto"/>
            <w:right w:val="none" w:sz="0" w:space="0" w:color="auto"/>
          </w:divBdr>
        </w:div>
        <w:div w:id="779951364">
          <w:marLeft w:val="0"/>
          <w:marRight w:val="0"/>
          <w:marTop w:val="0"/>
          <w:marBottom w:val="0"/>
          <w:divBdr>
            <w:top w:val="none" w:sz="0" w:space="0" w:color="auto"/>
            <w:left w:val="none" w:sz="0" w:space="0" w:color="auto"/>
            <w:bottom w:val="none" w:sz="0" w:space="0" w:color="auto"/>
            <w:right w:val="none" w:sz="0" w:space="0" w:color="auto"/>
          </w:divBdr>
        </w:div>
        <w:div w:id="805512581">
          <w:marLeft w:val="0"/>
          <w:marRight w:val="0"/>
          <w:marTop w:val="0"/>
          <w:marBottom w:val="0"/>
          <w:divBdr>
            <w:top w:val="none" w:sz="0" w:space="0" w:color="auto"/>
            <w:left w:val="none" w:sz="0" w:space="0" w:color="auto"/>
            <w:bottom w:val="none" w:sz="0" w:space="0" w:color="auto"/>
            <w:right w:val="none" w:sz="0" w:space="0" w:color="auto"/>
          </w:divBdr>
        </w:div>
        <w:div w:id="808285598">
          <w:marLeft w:val="0"/>
          <w:marRight w:val="0"/>
          <w:marTop w:val="0"/>
          <w:marBottom w:val="0"/>
          <w:divBdr>
            <w:top w:val="none" w:sz="0" w:space="0" w:color="auto"/>
            <w:left w:val="none" w:sz="0" w:space="0" w:color="auto"/>
            <w:bottom w:val="none" w:sz="0" w:space="0" w:color="auto"/>
            <w:right w:val="none" w:sz="0" w:space="0" w:color="auto"/>
          </w:divBdr>
        </w:div>
        <w:div w:id="828600615">
          <w:marLeft w:val="0"/>
          <w:marRight w:val="0"/>
          <w:marTop w:val="0"/>
          <w:marBottom w:val="0"/>
          <w:divBdr>
            <w:top w:val="none" w:sz="0" w:space="0" w:color="auto"/>
            <w:left w:val="none" w:sz="0" w:space="0" w:color="auto"/>
            <w:bottom w:val="none" w:sz="0" w:space="0" w:color="auto"/>
            <w:right w:val="none" w:sz="0" w:space="0" w:color="auto"/>
          </w:divBdr>
        </w:div>
        <w:div w:id="888154237">
          <w:marLeft w:val="0"/>
          <w:marRight w:val="0"/>
          <w:marTop w:val="0"/>
          <w:marBottom w:val="0"/>
          <w:divBdr>
            <w:top w:val="none" w:sz="0" w:space="0" w:color="auto"/>
            <w:left w:val="none" w:sz="0" w:space="0" w:color="auto"/>
            <w:bottom w:val="none" w:sz="0" w:space="0" w:color="auto"/>
            <w:right w:val="none" w:sz="0" w:space="0" w:color="auto"/>
          </w:divBdr>
        </w:div>
        <w:div w:id="976491787">
          <w:marLeft w:val="-75"/>
          <w:marRight w:val="0"/>
          <w:marTop w:val="30"/>
          <w:marBottom w:val="30"/>
          <w:divBdr>
            <w:top w:val="none" w:sz="0" w:space="0" w:color="auto"/>
            <w:left w:val="none" w:sz="0" w:space="0" w:color="auto"/>
            <w:bottom w:val="none" w:sz="0" w:space="0" w:color="auto"/>
            <w:right w:val="none" w:sz="0" w:space="0" w:color="auto"/>
          </w:divBdr>
          <w:divsChild>
            <w:div w:id="80181899">
              <w:marLeft w:val="0"/>
              <w:marRight w:val="0"/>
              <w:marTop w:val="0"/>
              <w:marBottom w:val="0"/>
              <w:divBdr>
                <w:top w:val="none" w:sz="0" w:space="0" w:color="auto"/>
                <w:left w:val="none" w:sz="0" w:space="0" w:color="auto"/>
                <w:bottom w:val="none" w:sz="0" w:space="0" w:color="auto"/>
                <w:right w:val="none" w:sz="0" w:space="0" w:color="auto"/>
              </w:divBdr>
              <w:divsChild>
                <w:div w:id="586112197">
                  <w:marLeft w:val="0"/>
                  <w:marRight w:val="0"/>
                  <w:marTop w:val="0"/>
                  <w:marBottom w:val="0"/>
                  <w:divBdr>
                    <w:top w:val="none" w:sz="0" w:space="0" w:color="auto"/>
                    <w:left w:val="none" w:sz="0" w:space="0" w:color="auto"/>
                    <w:bottom w:val="none" w:sz="0" w:space="0" w:color="auto"/>
                    <w:right w:val="none" w:sz="0" w:space="0" w:color="auto"/>
                  </w:divBdr>
                </w:div>
              </w:divsChild>
            </w:div>
            <w:div w:id="143350426">
              <w:marLeft w:val="0"/>
              <w:marRight w:val="0"/>
              <w:marTop w:val="0"/>
              <w:marBottom w:val="0"/>
              <w:divBdr>
                <w:top w:val="none" w:sz="0" w:space="0" w:color="auto"/>
                <w:left w:val="none" w:sz="0" w:space="0" w:color="auto"/>
                <w:bottom w:val="none" w:sz="0" w:space="0" w:color="auto"/>
                <w:right w:val="none" w:sz="0" w:space="0" w:color="auto"/>
              </w:divBdr>
              <w:divsChild>
                <w:div w:id="1284339677">
                  <w:marLeft w:val="0"/>
                  <w:marRight w:val="0"/>
                  <w:marTop w:val="0"/>
                  <w:marBottom w:val="0"/>
                  <w:divBdr>
                    <w:top w:val="none" w:sz="0" w:space="0" w:color="auto"/>
                    <w:left w:val="none" w:sz="0" w:space="0" w:color="auto"/>
                    <w:bottom w:val="none" w:sz="0" w:space="0" w:color="auto"/>
                    <w:right w:val="none" w:sz="0" w:space="0" w:color="auto"/>
                  </w:divBdr>
                </w:div>
              </w:divsChild>
            </w:div>
            <w:div w:id="190610804">
              <w:marLeft w:val="0"/>
              <w:marRight w:val="0"/>
              <w:marTop w:val="0"/>
              <w:marBottom w:val="0"/>
              <w:divBdr>
                <w:top w:val="none" w:sz="0" w:space="0" w:color="auto"/>
                <w:left w:val="none" w:sz="0" w:space="0" w:color="auto"/>
                <w:bottom w:val="none" w:sz="0" w:space="0" w:color="auto"/>
                <w:right w:val="none" w:sz="0" w:space="0" w:color="auto"/>
              </w:divBdr>
              <w:divsChild>
                <w:div w:id="909652065">
                  <w:marLeft w:val="0"/>
                  <w:marRight w:val="0"/>
                  <w:marTop w:val="0"/>
                  <w:marBottom w:val="0"/>
                  <w:divBdr>
                    <w:top w:val="none" w:sz="0" w:space="0" w:color="auto"/>
                    <w:left w:val="none" w:sz="0" w:space="0" w:color="auto"/>
                    <w:bottom w:val="none" w:sz="0" w:space="0" w:color="auto"/>
                    <w:right w:val="none" w:sz="0" w:space="0" w:color="auto"/>
                  </w:divBdr>
                </w:div>
              </w:divsChild>
            </w:div>
            <w:div w:id="208109223">
              <w:marLeft w:val="0"/>
              <w:marRight w:val="0"/>
              <w:marTop w:val="0"/>
              <w:marBottom w:val="0"/>
              <w:divBdr>
                <w:top w:val="none" w:sz="0" w:space="0" w:color="auto"/>
                <w:left w:val="none" w:sz="0" w:space="0" w:color="auto"/>
                <w:bottom w:val="none" w:sz="0" w:space="0" w:color="auto"/>
                <w:right w:val="none" w:sz="0" w:space="0" w:color="auto"/>
              </w:divBdr>
              <w:divsChild>
                <w:div w:id="953026267">
                  <w:marLeft w:val="0"/>
                  <w:marRight w:val="0"/>
                  <w:marTop w:val="0"/>
                  <w:marBottom w:val="0"/>
                  <w:divBdr>
                    <w:top w:val="none" w:sz="0" w:space="0" w:color="auto"/>
                    <w:left w:val="none" w:sz="0" w:space="0" w:color="auto"/>
                    <w:bottom w:val="none" w:sz="0" w:space="0" w:color="auto"/>
                    <w:right w:val="none" w:sz="0" w:space="0" w:color="auto"/>
                  </w:divBdr>
                </w:div>
              </w:divsChild>
            </w:div>
            <w:div w:id="328019709">
              <w:marLeft w:val="0"/>
              <w:marRight w:val="0"/>
              <w:marTop w:val="0"/>
              <w:marBottom w:val="0"/>
              <w:divBdr>
                <w:top w:val="none" w:sz="0" w:space="0" w:color="auto"/>
                <w:left w:val="none" w:sz="0" w:space="0" w:color="auto"/>
                <w:bottom w:val="none" w:sz="0" w:space="0" w:color="auto"/>
                <w:right w:val="none" w:sz="0" w:space="0" w:color="auto"/>
              </w:divBdr>
              <w:divsChild>
                <w:div w:id="543713942">
                  <w:marLeft w:val="0"/>
                  <w:marRight w:val="0"/>
                  <w:marTop w:val="0"/>
                  <w:marBottom w:val="0"/>
                  <w:divBdr>
                    <w:top w:val="none" w:sz="0" w:space="0" w:color="auto"/>
                    <w:left w:val="none" w:sz="0" w:space="0" w:color="auto"/>
                    <w:bottom w:val="none" w:sz="0" w:space="0" w:color="auto"/>
                    <w:right w:val="none" w:sz="0" w:space="0" w:color="auto"/>
                  </w:divBdr>
                </w:div>
              </w:divsChild>
            </w:div>
            <w:div w:id="450129921">
              <w:marLeft w:val="0"/>
              <w:marRight w:val="0"/>
              <w:marTop w:val="0"/>
              <w:marBottom w:val="0"/>
              <w:divBdr>
                <w:top w:val="none" w:sz="0" w:space="0" w:color="auto"/>
                <w:left w:val="none" w:sz="0" w:space="0" w:color="auto"/>
                <w:bottom w:val="none" w:sz="0" w:space="0" w:color="auto"/>
                <w:right w:val="none" w:sz="0" w:space="0" w:color="auto"/>
              </w:divBdr>
              <w:divsChild>
                <w:div w:id="1647469392">
                  <w:marLeft w:val="0"/>
                  <w:marRight w:val="0"/>
                  <w:marTop w:val="0"/>
                  <w:marBottom w:val="0"/>
                  <w:divBdr>
                    <w:top w:val="none" w:sz="0" w:space="0" w:color="auto"/>
                    <w:left w:val="none" w:sz="0" w:space="0" w:color="auto"/>
                    <w:bottom w:val="none" w:sz="0" w:space="0" w:color="auto"/>
                    <w:right w:val="none" w:sz="0" w:space="0" w:color="auto"/>
                  </w:divBdr>
                </w:div>
              </w:divsChild>
            </w:div>
            <w:div w:id="525677192">
              <w:marLeft w:val="0"/>
              <w:marRight w:val="0"/>
              <w:marTop w:val="0"/>
              <w:marBottom w:val="0"/>
              <w:divBdr>
                <w:top w:val="none" w:sz="0" w:space="0" w:color="auto"/>
                <w:left w:val="none" w:sz="0" w:space="0" w:color="auto"/>
                <w:bottom w:val="none" w:sz="0" w:space="0" w:color="auto"/>
                <w:right w:val="none" w:sz="0" w:space="0" w:color="auto"/>
              </w:divBdr>
              <w:divsChild>
                <w:div w:id="845898186">
                  <w:marLeft w:val="0"/>
                  <w:marRight w:val="0"/>
                  <w:marTop w:val="0"/>
                  <w:marBottom w:val="0"/>
                  <w:divBdr>
                    <w:top w:val="none" w:sz="0" w:space="0" w:color="auto"/>
                    <w:left w:val="none" w:sz="0" w:space="0" w:color="auto"/>
                    <w:bottom w:val="none" w:sz="0" w:space="0" w:color="auto"/>
                    <w:right w:val="none" w:sz="0" w:space="0" w:color="auto"/>
                  </w:divBdr>
                </w:div>
              </w:divsChild>
            </w:div>
            <w:div w:id="556428717">
              <w:marLeft w:val="0"/>
              <w:marRight w:val="0"/>
              <w:marTop w:val="0"/>
              <w:marBottom w:val="0"/>
              <w:divBdr>
                <w:top w:val="none" w:sz="0" w:space="0" w:color="auto"/>
                <w:left w:val="none" w:sz="0" w:space="0" w:color="auto"/>
                <w:bottom w:val="none" w:sz="0" w:space="0" w:color="auto"/>
                <w:right w:val="none" w:sz="0" w:space="0" w:color="auto"/>
              </w:divBdr>
              <w:divsChild>
                <w:div w:id="2058357825">
                  <w:marLeft w:val="0"/>
                  <w:marRight w:val="0"/>
                  <w:marTop w:val="0"/>
                  <w:marBottom w:val="0"/>
                  <w:divBdr>
                    <w:top w:val="none" w:sz="0" w:space="0" w:color="auto"/>
                    <w:left w:val="none" w:sz="0" w:space="0" w:color="auto"/>
                    <w:bottom w:val="none" w:sz="0" w:space="0" w:color="auto"/>
                    <w:right w:val="none" w:sz="0" w:space="0" w:color="auto"/>
                  </w:divBdr>
                </w:div>
              </w:divsChild>
            </w:div>
            <w:div w:id="850416076">
              <w:marLeft w:val="0"/>
              <w:marRight w:val="0"/>
              <w:marTop w:val="0"/>
              <w:marBottom w:val="0"/>
              <w:divBdr>
                <w:top w:val="none" w:sz="0" w:space="0" w:color="auto"/>
                <w:left w:val="none" w:sz="0" w:space="0" w:color="auto"/>
                <w:bottom w:val="none" w:sz="0" w:space="0" w:color="auto"/>
                <w:right w:val="none" w:sz="0" w:space="0" w:color="auto"/>
              </w:divBdr>
              <w:divsChild>
                <w:div w:id="1481507238">
                  <w:marLeft w:val="0"/>
                  <w:marRight w:val="0"/>
                  <w:marTop w:val="0"/>
                  <w:marBottom w:val="0"/>
                  <w:divBdr>
                    <w:top w:val="none" w:sz="0" w:space="0" w:color="auto"/>
                    <w:left w:val="none" w:sz="0" w:space="0" w:color="auto"/>
                    <w:bottom w:val="none" w:sz="0" w:space="0" w:color="auto"/>
                    <w:right w:val="none" w:sz="0" w:space="0" w:color="auto"/>
                  </w:divBdr>
                </w:div>
              </w:divsChild>
            </w:div>
            <w:div w:id="898133450">
              <w:marLeft w:val="0"/>
              <w:marRight w:val="0"/>
              <w:marTop w:val="0"/>
              <w:marBottom w:val="0"/>
              <w:divBdr>
                <w:top w:val="none" w:sz="0" w:space="0" w:color="auto"/>
                <w:left w:val="none" w:sz="0" w:space="0" w:color="auto"/>
                <w:bottom w:val="none" w:sz="0" w:space="0" w:color="auto"/>
                <w:right w:val="none" w:sz="0" w:space="0" w:color="auto"/>
              </w:divBdr>
              <w:divsChild>
                <w:div w:id="757217529">
                  <w:marLeft w:val="0"/>
                  <w:marRight w:val="0"/>
                  <w:marTop w:val="0"/>
                  <w:marBottom w:val="0"/>
                  <w:divBdr>
                    <w:top w:val="none" w:sz="0" w:space="0" w:color="auto"/>
                    <w:left w:val="none" w:sz="0" w:space="0" w:color="auto"/>
                    <w:bottom w:val="none" w:sz="0" w:space="0" w:color="auto"/>
                    <w:right w:val="none" w:sz="0" w:space="0" w:color="auto"/>
                  </w:divBdr>
                </w:div>
              </w:divsChild>
            </w:div>
            <w:div w:id="1018040074">
              <w:marLeft w:val="0"/>
              <w:marRight w:val="0"/>
              <w:marTop w:val="0"/>
              <w:marBottom w:val="0"/>
              <w:divBdr>
                <w:top w:val="none" w:sz="0" w:space="0" w:color="auto"/>
                <w:left w:val="none" w:sz="0" w:space="0" w:color="auto"/>
                <w:bottom w:val="none" w:sz="0" w:space="0" w:color="auto"/>
                <w:right w:val="none" w:sz="0" w:space="0" w:color="auto"/>
              </w:divBdr>
              <w:divsChild>
                <w:div w:id="969240091">
                  <w:marLeft w:val="0"/>
                  <w:marRight w:val="0"/>
                  <w:marTop w:val="0"/>
                  <w:marBottom w:val="0"/>
                  <w:divBdr>
                    <w:top w:val="none" w:sz="0" w:space="0" w:color="auto"/>
                    <w:left w:val="none" w:sz="0" w:space="0" w:color="auto"/>
                    <w:bottom w:val="none" w:sz="0" w:space="0" w:color="auto"/>
                    <w:right w:val="none" w:sz="0" w:space="0" w:color="auto"/>
                  </w:divBdr>
                </w:div>
              </w:divsChild>
            </w:div>
            <w:div w:id="1064984598">
              <w:marLeft w:val="0"/>
              <w:marRight w:val="0"/>
              <w:marTop w:val="0"/>
              <w:marBottom w:val="0"/>
              <w:divBdr>
                <w:top w:val="none" w:sz="0" w:space="0" w:color="auto"/>
                <w:left w:val="none" w:sz="0" w:space="0" w:color="auto"/>
                <w:bottom w:val="none" w:sz="0" w:space="0" w:color="auto"/>
                <w:right w:val="none" w:sz="0" w:space="0" w:color="auto"/>
              </w:divBdr>
              <w:divsChild>
                <w:div w:id="926155194">
                  <w:marLeft w:val="0"/>
                  <w:marRight w:val="0"/>
                  <w:marTop w:val="0"/>
                  <w:marBottom w:val="0"/>
                  <w:divBdr>
                    <w:top w:val="none" w:sz="0" w:space="0" w:color="auto"/>
                    <w:left w:val="none" w:sz="0" w:space="0" w:color="auto"/>
                    <w:bottom w:val="none" w:sz="0" w:space="0" w:color="auto"/>
                    <w:right w:val="none" w:sz="0" w:space="0" w:color="auto"/>
                  </w:divBdr>
                </w:div>
              </w:divsChild>
            </w:div>
            <w:div w:id="1100028648">
              <w:marLeft w:val="0"/>
              <w:marRight w:val="0"/>
              <w:marTop w:val="0"/>
              <w:marBottom w:val="0"/>
              <w:divBdr>
                <w:top w:val="none" w:sz="0" w:space="0" w:color="auto"/>
                <w:left w:val="none" w:sz="0" w:space="0" w:color="auto"/>
                <w:bottom w:val="none" w:sz="0" w:space="0" w:color="auto"/>
                <w:right w:val="none" w:sz="0" w:space="0" w:color="auto"/>
              </w:divBdr>
              <w:divsChild>
                <w:div w:id="740252450">
                  <w:marLeft w:val="0"/>
                  <w:marRight w:val="0"/>
                  <w:marTop w:val="0"/>
                  <w:marBottom w:val="0"/>
                  <w:divBdr>
                    <w:top w:val="none" w:sz="0" w:space="0" w:color="auto"/>
                    <w:left w:val="none" w:sz="0" w:space="0" w:color="auto"/>
                    <w:bottom w:val="none" w:sz="0" w:space="0" w:color="auto"/>
                    <w:right w:val="none" w:sz="0" w:space="0" w:color="auto"/>
                  </w:divBdr>
                </w:div>
              </w:divsChild>
            </w:div>
            <w:div w:id="1189176142">
              <w:marLeft w:val="0"/>
              <w:marRight w:val="0"/>
              <w:marTop w:val="0"/>
              <w:marBottom w:val="0"/>
              <w:divBdr>
                <w:top w:val="none" w:sz="0" w:space="0" w:color="auto"/>
                <w:left w:val="none" w:sz="0" w:space="0" w:color="auto"/>
                <w:bottom w:val="none" w:sz="0" w:space="0" w:color="auto"/>
                <w:right w:val="none" w:sz="0" w:space="0" w:color="auto"/>
              </w:divBdr>
              <w:divsChild>
                <w:div w:id="13773108">
                  <w:marLeft w:val="0"/>
                  <w:marRight w:val="0"/>
                  <w:marTop w:val="0"/>
                  <w:marBottom w:val="0"/>
                  <w:divBdr>
                    <w:top w:val="none" w:sz="0" w:space="0" w:color="auto"/>
                    <w:left w:val="none" w:sz="0" w:space="0" w:color="auto"/>
                    <w:bottom w:val="none" w:sz="0" w:space="0" w:color="auto"/>
                    <w:right w:val="none" w:sz="0" w:space="0" w:color="auto"/>
                  </w:divBdr>
                </w:div>
              </w:divsChild>
            </w:div>
            <w:div w:id="1220631219">
              <w:marLeft w:val="0"/>
              <w:marRight w:val="0"/>
              <w:marTop w:val="0"/>
              <w:marBottom w:val="0"/>
              <w:divBdr>
                <w:top w:val="none" w:sz="0" w:space="0" w:color="auto"/>
                <w:left w:val="none" w:sz="0" w:space="0" w:color="auto"/>
                <w:bottom w:val="none" w:sz="0" w:space="0" w:color="auto"/>
                <w:right w:val="none" w:sz="0" w:space="0" w:color="auto"/>
              </w:divBdr>
              <w:divsChild>
                <w:div w:id="1644844240">
                  <w:marLeft w:val="0"/>
                  <w:marRight w:val="0"/>
                  <w:marTop w:val="0"/>
                  <w:marBottom w:val="0"/>
                  <w:divBdr>
                    <w:top w:val="none" w:sz="0" w:space="0" w:color="auto"/>
                    <w:left w:val="none" w:sz="0" w:space="0" w:color="auto"/>
                    <w:bottom w:val="none" w:sz="0" w:space="0" w:color="auto"/>
                    <w:right w:val="none" w:sz="0" w:space="0" w:color="auto"/>
                  </w:divBdr>
                </w:div>
              </w:divsChild>
            </w:div>
            <w:div w:id="1265072631">
              <w:marLeft w:val="0"/>
              <w:marRight w:val="0"/>
              <w:marTop w:val="0"/>
              <w:marBottom w:val="0"/>
              <w:divBdr>
                <w:top w:val="none" w:sz="0" w:space="0" w:color="auto"/>
                <w:left w:val="none" w:sz="0" w:space="0" w:color="auto"/>
                <w:bottom w:val="none" w:sz="0" w:space="0" w:color="auto"/>
                <w:right w:val="none" w:sz="0" w:space="0" w:color="auto"/>
              </w:divBdr>
              <w:divsChild>
                <w:div w:id="1756975902">
                  <w:marLeft w:val="0"/>
                  <w:marRight w:val="0"/>
                  <w:marTop w:val="0"/>
                  <w:marBottom w:val="0"/>
                  <w:divBdr>
                    <w:top w:val="none" w:sz="0" w:space="0" w:color="auto"/>
                    <w:left w:val="none" w:sz="0" w:space="0" w:color="auto"/>
                    <w:bottom w:val="none" w:sz="0" w:space="0" w:color="auto"/>
                    <w:right w:val="none" w:sz="0" w:space="0" w:color="auto"/>
                  </w:divBdr>
                </w:div>
              </w:divsChild>
            </w:div>
            <w:div w:id="1277374318">
              <w:marLeft w:val="0"/>
              <w:marRight w:val="0"/>
              <w:marTop w:val="0"/>
              <w:marBottom w:val="0"/>
              <w:divBdr>
                <w:top w:val="none" w:sz="0" w:space="0" w:color="auto"/>
                <w:left w:val="none" w:sz="0" w:space="0" w:color="auto"/>
                <w:bottom w:val="none" w:sz="0" w:space="0" w:color="auto"/>
                <w:right w:val="none" w:sz="0" w:space="0" w:color="auto"/>
              </w:divBdr>
              <w:divsChild>
                <w:div w:id="520123922">
                  <w:marLeft w:val="0"/>
                  <w:marRight w:val="0"/>
                  <w:marTop w:val="0"/>
                  <w:marBottom w:val="0"/>
                  <w:divBdr>
                    <w:top w:val="none" w:sz="0" w:space="0" w:color="auto"/>
                    <w:left w:val="none" w:sz="0" w:space="0" w:color="auto"/>
                    <w:bottom w:val="none" w:sz="0" w:space="0" w:color="auto"/>
                    <w:right w:val="none" w:sz="0" w:space="0" w:color="auto"/>
                  </w:divBdr>
                </w:div>
              </w:divsChild>
            </w:div>
            <w:div w:id="1344631293">
              <w:marLeft w:val="0"/>
              <w:marRight w:val="0"/>
              <w:marTop w:val="0"/>
              <w:marBottom w:val="0"/>
              <w:divBdr>
                <w:top w:val="none" w:sz="0" w:space="0" w:color="auto"/>
                <w:left w:val="none" w:sz="0" w:space="0" w:color="auto"/>
                <w:bottom w:val="none" w:sz="0" w:space="0" w:color="auto"/>
                <w:right w:val="none" w:sz="0" w:space="0" w:color="auto"/>
              </w:divBdr>
              <w:divsChild>
                <w:div w:id="57676883">
                  <w:marLeft w:val="0"/>
                  <w:marRight w:val="0"/>
                  <w:marTop w:val="0"/>
                  <w:marBottom w:val="0"/>
                  <w:divBdr>
                    <w:top w:val="none" w:sz="0" w:space="0" w:color="auto"/>
                    <w:left w:val="none" w:sz="0" w:space="0" w:color="auto"/>
                    <w:bottom w:val="none" w:sz="0" w:space="0" w:color="auto"/>
                    <w:right w:val="none" w:sz="0" w:space="0" w:color="auto"/>
                  </w:divBdr>
                </w:div>
              </w:divsChild>
            </w:div>
            <w:div w:id="1372343571">
              <w:marLeft w:val="0"/>
              <w:marRight w:val="0"/>
              <w:marTop w:val="0"/>
              <w:marBottom w:val="0"/>
              <w:divBdr>
                <w:top w:val="none" w:sz="0" w:space="0" w:color="auto"/>
                <w:left w:val="none" w:sz="0" w:space="0" w:color="auto"/>
                <w:bottom w:val="none" w:sz="0" w:space="0" w:color="auto"/>
                <w:right w:val="none" w:sz="0" w:space="0" w:color="auto"/>
              </w:divBdr>
              <w:divsChild>
                <w:div w:id="781994748">
                  <w:marLeft w:val="0"/>
                  <w:marRight w:val="0"/>
                  <w:marTop w:val="0"/>
                  <w:marBottom w:val="0"/>
                  <w:divBdr>
                    <w:top w:val="none" w:sz="0" w:space="0" w:color="auto"/>
                    <w:left w:val="none" w:sz="0" w:space="0" w:color="auto"/>
                    <w:bottom w:val="none" w:sz="0" w:space="0" w:color="auto"/>
                    <w:right w:val="none" w:sz="0" w:space="0" w:color="auto"/>
                  </w:divBdr>
                </w:div>
              </w:divsChild>
            </w:div>
            <w:div w:id="1402604418">
              <w:marLeft w:val="0"/>
              <w:marRight w:val="0"/>
              <w:marTop w:val="0"/>
              <w:marBottom w:val="0"/>
              <w:divBdr>
                <w:top w:val="none" w:sz="0" w:space="0" w:color="auto"/>
                <w:left w:val="none" w:sz="0" w:space="0" w:color="auto"/>
                <w:bottom w:val="none" w:sz="0" w:space="0" w:color="auto"/>
                <w:right w:val="none" w:sz="0" w:space="0" w:color="auto"/>
              </w:divBdr>
              <w:divsChild>
                <w:div w:id="1125465858">
                  <w:marLeft w:val="0"/>
                  <w:marRight w:val="0"/>
                  <w:marTop w:val="0"/>
                  <w:marBottom w:val="0"/>
                  <w:divBdr>
                    <w:top w:val="none" w:sz="0" w:space="0" w:color="auto"/>
                    <w:left w:val="none" w:sz="0" w:space="0" w:color="auto"/>
                    <w:bottom w:val="none" w:sz="0" w:space="0" w:color="auto"/>
                    <w:right w:val="none" w:sz="0" w:space="0" w:color="auto"/>
                  </w:divBdr>
                </w:div>
              </w:divsChild>
            </w:div>
            <w:div w:id="1427967809">
              <w:marLeft w:val="0"/>
              <w:marRight w:val="0"/>
              <w:marTop w:val="0"/>
              <w:marBottom w:val="0"/>
              <w:divBdr>
                <w:top w:val="none" w:sz="0" w:space="0" w:color="auto"/>
                <w:left w:val="none" w:sz="0" w:space="0" w:color="auto"/>
                <w:bottom w:val="none" w:sz="0" w:space="0" w:color="auto"/>
                <w:right w:val="none" w:sz="0" w:space="0" w:color="auto"/>
              </w:divBdr>
              <w:divsChild>
                <w:div w:id="404380107">
                  <w:marLeft w:val="0"/>
                  <w:marRight w:val="0"/>
                  <w:marTop w:val="0"/>
                  <w:marBottom w:val="0"/>
                  <w:divBdr>
                    <w:top w:val="none" w:sz="0" w:space="0" w:color="auto"/>
                    <w:left w:val="none" w:sz="0" w:space="0" w:color="auto"/>
                    <w:bottom w:val="none" w:sz="0" w:space="0" w:color="auto"/>
                    <w:right w:val="none" w:sz="0" w:space="0" w:color="auto"/>
                  </w:divBdr>
                </w:div>
              </w:divsChild>
            </w:div>
            <w:div w:id="1444180531">
              <w:marLeft w:val="0"/>
              <w:marRight w:val="0"/>
              <w:marTop w:val="0"/>
              <w:marBottom w:val="0"/>
              <w:divBdr>
                <w:top w:val="none" w:sz="0" w:space="0" w:color="auto"/>
                <w:left w:val="none" w:sz="0" w:space="0" w:color="auto"/>
                <w:bottom w:val="none" w:sz="0" w:space="0" w:color="auto"/>
                <w:right w:val="none" w:sz="0" w:space="0" w:color="auto"/>
              </w:divBdr>
              <w:divsChild>
                <w:div w:id="1696033098">
                  <w:marLeft w:val="0"/>
                  <w:marRight w:val="0"/>
                  <w:marTop w:val="0"/>
                  <w:marBottom w:val="0"/>
                  <w:divBdr>
                    <w:top w:val="none" w:sz="0" w:space="0" w:color="auto"/>
                    <w:left w:val="none" w:sz="0" w:space="0" w:color="auto"/>
                    <w:bottom w:val="none" w:sz="0" w:space="0" w:color="auto"/>
                    <w:right w:val="none" w:sz="0" w:space="0" w:color="auto"/>
                  </w:divBdr>
                </w:div>
              </w:divsChild>
            </w:div>
            <w:div w:id="1522278763">
              <w:marLeft w:val="0"/>
              <w:marRight w:val="0"/>
              <w:marTop w:val="0"/>
              <w:marBottom w:val="0"/>
              <w:divBdr>
                <w:top w:val="none" w:sz="0" w:space="0" w:color="auto"/>
                <w:left w:val="none" w:sz="0" w:space="0" w:color="auto"/>
                <w:bottom w:val="none" w:sz="0" w:space="0" w:color="auto"/>
                <w:right w:val="none" w:sz="0" w:space="0" w:color="auto"/>
              </w:divBdr>
              <w:divsChild>
                <w:div w:id="1906600356">
                  <w:marLeft w:val="0"/>
                  <w:marRight w:val="0"/>
                  <w:marTop w:val="0"/>
                  <w:marBottom w:val="0"/>
                  <w:divBdr>
                    <w:top w:val="none" w:sz="0" w:space="0" w:color="auto"/>
                    <w:left w:val="none" w:sz="0" w:space="0" w:color="auto"/>
                    <w:bottom w:val="none" w:sz="0" w:space="0" w:color="auto"/>
                    <w:right w:val="none" w:sz="0" w:space="0" w:color="auto"/>
                  </w:divBdr>
                </w:div>
              </w:divsChild>
            </w:div>
            <w:div w:id="1555504441">
              <w:marLeft w:val="0"/>
              <w:marRight w:val="0"/>
              <w:marTop w:val="0"/>
              <w:marBottom w:val="0"/>
              <w:divBdr>
                <w:top w:val="none" w:sz="0" w:space="0" w:color="auto"/>
                <w:left w:val="none" w:sz="0" w:space="0" w:color="auto"/>
                <w:bottom w:val="none" w:sz="0" w:space="0" w:color="auto"/>
                <w:right w:val="none" w:sz="0" w:space="0" w:color="auto"/>
              </w:divBdr>
              <w:divsChild>
                <w:div w:id="550924982">
                  <w:marLeft w:val="0"/>
                  <w:marRight w:val="0"/>
                  <w:marTop w:val="0"/>
                  <w:marBottom w:val="0"/>
                  <w:divBdr>
                    <w:top w:val="none" w:sz="0" w:space="0" w:color="auto"/>
                    <w:left w:val="none" w:sz="0" w:space="0" w:color="auto"/>
                    <w:bottom w:val="none" w:sz="0" w:space="0" w:color="auto"/>
                    <w:right w:val="none" w:sz="0" w:space="0" w:color="auto"/>
                  </w:divBdr>
                </w:div>
              </w:divsChild>
            </w:div>
            <w:div w:id="1572038136">
              <w:marLeft w:val="0"/>
              <w:marRight w:val="0"/>
              <w:marTop w:val="0"/>
              <w:marBottom w:val="0"/>
              <w:divBdr>
                <w:top w:val="none" w:sz="0" w:space="0" w:color="auto"/>
                <w:left w:val="none" w:sz="0" w:space="0" w:color="auto"/>
                <w:bottom w:val="none" w:sz="0" w:space="0" w:color="auto"/>
                <w:right w:val="none" w:sz="0" w:space="0" w:color="auto"/>
              </w:divBdr>
              <w:divsChild>
                <w:div w:id="1076434087">
                  <w:marLeft w:val="0"/>
                  <w:marRight w:val="0"/>
                  <w:marTop w:val="0"/>
                  <w:marBottom w:val="0"/>
                  <w:divBdr>
                    <w:top w:val="none" w:sz="0" w:space="0" w:color="auto"/>
                    <w:left w:val="none" w:sz="0" w:space="0" w:color="auto"/>
                    <w:bottom w:val="none" w:sz="0" w:space="0" w:color="auto"/>
                    <w:right w:val="none" w:sz="0" w:space="0" w:color="auto"/>
                  </w:divBdr>
                </w:div>
              </w:divsChild>
            </w:div>
            <w:div w:id="1633713783">
              <w:marLeft w:val="0"/>
              <w:marRight w:val="0"/>
              <w:marTop w:val="0"/>
              <w:marBottom w:val="0"/>
              <w:divBdr>
                <w:top w:val="none" w:sz="0" w:space="0" w:color="auto"/>
                <w:left w:val="none" w:sz="0" w:space="0" w:color="auto"/>
                <w:bottom w:val="none" w:sz="0" w:space="0" w:color="auto"/>
                <w:right w:val="none" w:sz="0" w:space="0" w:color="auto"/>
              </w:divBdr>
              <w:divsChild>
                <w:div w:id="2036300514">
                  <w:marLeft w:val="0"/>
                  <w:marRight w:val="0"/>
                  <w:marTop w:val="0"/>
                  <w:marBottom w:val="0"/>
                  <w:divBdr>
                    <w:top w:val="none" w:sz="0" w:space="0" w:color="auto"/>
                    <w:left w:val="none" w:sz="0" w:space="0" w:color="auto"/>
                    <w:bottom w:val="none" w:sz="0" w:space="0" w:color="auto"/>
                    <w:right w:val="none" w:sz="0" w:space="0" w:color="auto"/>
                  </w:divBdr>
                </w:div>
              </w:divsChild>
            </w:div>
            <w:div w:id="1761171269">
              <w:marLeft w:val="0"/>
              <w:marRight w:val="0"/>
              <w:marTop w:val="0"/>
              <w:marBottom w:val="0"/>
              <w:divBdr>
                <w:top w:val="none" w:sz="0" w:space="0" w:color="auto"/>
                <w:left w:val="none" w:sz="0" w:space="0" w:color="auto"/>
                <w:bottom w:val="none" w:sz="0" w:space="0" w:color="auto"/>
                <w:right w:val="none" w:sz="0" w:space="0" w:color="auto"/>
              </w:divBdr>
              <w:divsChild>
                <w:div w:id="671252478">
                  <w:marLeft w:val="0"/>
                  <w:marRight w:val="0"/>
                  <w:marTop w:val="0"/>
                  <w:marBottom w:val="0"/>
                  <w:divBdr>
                    <w:top w:val="none" w:sz="0" w:space="0" w:color="auto"/>
                    <w:left w:val="none" w:sz="0" w:space="0" w:color="auto"/>
                    <w:bottom w:val="none" w:sz="0" w:space="0" w:color="auto"/>
                    <w:right w:val="none" w:sz="0" w:space="0" w:color="auto"/>
                  </w:divBdr>
                </w:div>
              </w:divsChild>
            </w:div>
            <w:div w:id="1775318505">
              <w:marLeft w:val="0"/>
              <w:marRight w:val="0"/>
              <w:marTop w:val="0"/>
              <w:marBottom w:val="0"/>
              <w:divBdr>
                <w:top w:val="none" w:sz="0" w:space="0" w:color="auto"/>
                <w:left w:val="none" w:sz="0" w:space="0" w:color="auto"/>
                <w:bottom w:val="none" w:sz="0" w:space="0" w:color="auto"/>
                <w:right w:val="none" w:sz="0" w:space="0" w:color="auto"/>
              </w:divBdr>
              <w:divsChild>
                <w:div w:id="535969682">
                  <w:marLeft w:val="0"/>
                  <w:marRight w:val="0"/>
                  <w:marTop w:val="0"/>
                  <w:marBottom w:val="0"/>
                  <w:divBdr>
                    <w:top w:val="none" w:sz="0" w:space="0" w:color="auto"/>
                    <w:left w:val="none" w:sz="0" w:space="0" w:color="auto"/>
                    <w:bottom w:val="none" w:sz="0" w:space="0" w:color="auto"/>
                    <w:right w:val="none" w:sz="0" w:space="0" w:color="auto"/>
                  </w:divBdr>
                </w:div>
              </w:divsChild>
            </w:div>
            <w:div w:id="1904098833">
              <w:marLeft w:val="0"/>
              <w:marRight w:val="0"/>
              <w:marTop w:val="0"/>
              <w:marBottom w:val="0"/>
              <w:divBdr>
                <w:top w:val="none" w:sz="0" w:space="0" w:color="auto"/>
                <w:left w:val="none" w:sz="0" w:space="0" w:color="auto"/>
                <w:bottom w:val="none" w:sz="0" w:space="0" w:color="auto"/>
                <w:right w:val="none" w:sz="0" w:space="0" w:color="auto"/>
              </w:divBdr>
              <w:divsChild>
                <w:div w:id="507453485">
                  <w:marLeft w:val="0"/>
                  <w:marRight w:val="0"/>
                  <w:marTop w:val="0"/>
                  <w:marBottom w:val="0"/>
                  <w:divBdr>
                    <w:top w:val="none" w:sz="0" w:space="0" w:color="auto"/>
                    <w:left w:val="none" w:sz="0" w:space="0" w:color="auto"/>
                    <w:bottom w:val="none" w:sz="0" w:space="0" w:color="auto"/>
                    <w:right w:val="none" w:sz="0" w:space="0" w:color="auto"/>
                  </w:divBdr>
                </w:div>
              </w:divsChild>
            </w:div>
            <w:div w:id="2056541353">
              <w:marLeft w:val="0"/>
              <w:marRight w:val="0"/>
              <w:marTop w:val="0"/>
              <w:marBottom w:val="0"/>
              <w:divBdr>
                <w:top w:val="none" w:sz="0" w:space="0" w:color="auto"/>
                <w:left w:val="none" w:sz="0" w:space="0" w:color="auto"/>
                <w:bottom w:val="none" w:sz="0" w:space="0" w:color="auto"/>
                <w:right w:val="none" w:sz="0" w:space="0" w:color="auto"/>
              </w:divBdr>
              <w:divsChild>
                <w:div w:id="216673186">
                  <w:marLeft w:val="0"/>
                  <w:marRight w:val="0"/>
                  <w:marTop w:val="0"/>
                  <w:marBottom w:val="0"/>
                  <w:divBdr>
                    <w:top w:val="none" w:sz="0" w:space="0" w:color="auto"/>
                    <w:left w:val="none" w:sz="0" w:space="0" w:color="auto"/>
                    <w:bottom w:val="none" w:sz="0" w:space="0" w:color="auto"/>
                    <w:right w:val="none" w:sz="0" w:space="0" w:color="auto"/>
                  </w:divBdr>
                </w:div>
              </w:divsChild>
            </w:div>
            <w:div w:id="2137327674">
              <w:marLeft w:val="0"/>
              <w:marRight w:val="0"/>
              <w:marTop w:val="0"/>
              <w:marBottom w:val="0"/>
              <w:divBdr>
                <w:top w:val="none" w:sz="0" w:space="0" w:color="auto"/>
                <w:left w:val="none" w:sz="0" w:space="0" w:color="auto"/>
                <w:bottom w:val="none" w:sz="0" w:space="0" w:color="auto"/>
                <w:right w:val="none" w:sz="0" w:space="0" w:color="auto"/>
              </w:divBdr>
              <w:divsChild>
                <w:div w:id="209493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832079">
          <w:marLeft w:val="0"/>
          <w:marRight w:val="0"/>
          <w:marTop w:val="0"/>
          <w:marBottom w:val="0"/>
          <w:divBdr>
            <w:top w:val="none" w:sz="0" w:space="0" w:color="auto"/>
            <w:left w:val="none" w:sz="0" w:space="0" w:color="auto"/>
            <w:bottom w:val="none" w:sz="0" w:space="0" w:color="auto"/>
            <w:right w:val="none" w:sz="0" w:space="0" w:color="auto"/>
          </w:divBdr>
        </w:div>
        <w:div w:id="1180775051">
          <w:marLeft w:val="0"/>
          <w:marRight w:val="0"/>
          <w:marTop w:val="0"/>
          <w:marBottom w:val="0"/>
          <w:divBdr>
            <w:top w:val="none" w:sz="0" w:space="0" w:color="auto"/>
            <w:left w:val="none" w:sz="0" w:space="0" w:color="auto"/>
            <w:bottom w:val="none" w:sz="0" w:space="0" w:color="auto"/>
            <w:right w:val="none" w:sz="0" w:space="0" w:color="auto"/>
          </w:divBdr>
        </w:div>
        <w:div w:id="1220941864">
          <w:marLeft w:val="0"/>
          <w:marRight w:val="0"/>
          <w:marTop w:val="0"/>
          <w:marBottom w:val="0"/>
          <w:divBdr>
            <w:top w:val="none" w:sz="0" w:space="0" w:color="auto"/>
            <w:left w:val="none" w:sz="0" w:space="0" w:color="auto"/>
            <w:bottom w:val="none" w:sz="0" w:space="0" w:color="auto"/>
            <w:right w:val="none" w:sz="0" w:space="0" w:color="auto"/>
          </w:divBdr>
        </w:div>
        <w:div w:id="1244029772">
          <w:marLeft w:val="0"/>
          <w:marRight w:val="0"/>
          <w:marTop w:val="0"/>
          <w:marBottom w:val="0"/>
          <w:divBdr>
            <w:top w:val="none" w:sz="0" w:space="0" w:color="auto"/>
            <w:left w:val="none" w:sz="0" w:space="0" w:color="auto"/>
            <w:bottom w:val="none" w:sz="0" w:space="0" w:color="auto"/>
            <w:right w:val="none" w:sz="0" w:space="0" w:color="auto"/>
          </w:divBdr>
        </w:div>
        <w:div w:id="1246839992">
          <w:marLeft w:val="0"/>
          <w:marRight w:val="0"/>
          <w:marTop w:val="0"/>
          <w:marBottom w:val="0"/>
          <w:divBdr>
            <w:top w:val="none" w:sz="0" w:space="0" w:color="auto"/>
            <w:left w:val="none" w:sz="0" w:space="0" w:color="auto"/>
            <w:bottom w:val="none" w:sz="0" w:space="0" w:color="auto"/>
            <w:right w:val="none" w:sz="0" w:space="0" w:color="auto"/>
          </w:divBdr>
        </w:div>
        <w:div w:id="1304847564">
          <w:marLeft w:val="0"/>
          <w:marRight w:val="0"/>
          <w:marTop w:val="0"/>
          <w:marBottom w:val="0"/>
          <w:divBdr>
            <w:top w:val="none" w:sz="0" w:space="0" w:color="auto"/>
            <w:left w:val="none" w:sz="0" w:space="0" w:color="auto"/>
            <w:bottom w:val="none" w:sz="0" w:space="0" w:color="auto"/>
            <w:right w:val="none" w:sz="0" w:space="0" w:color="auto"/>
          </w:divBdr>
        </w:div>
        <w:div w:id="1308626771">
          <w:marLeft w:val="0"/>
          <w:marRight w:val="0"/>
          <w:marTop w:val="0"/>
          <w:marBottom w:val="0"/>
          <w:divBdr>
            <w:top w:val="none" w:sz="0" w:space="0" w:color="auto"/>
            <w:left w:val="none" w:sz="0" w:space="0" w:color="auto"/>
            <w:bottom w:val="none" w:sz="0" w:space="0" w:color="auto"/>
            <w:right w:val="none" w:sz="0" w:space="0" w:color="auto"/>
          </w:divBdr>
        </w:div>
        <w:div w:id="1392577084">
          <w:marLeft w:val="0"/>
          <w:marRight w:val="0"/>
          <w:marTop w:val="0"/>
          <w:marBottom w:val="0"/>
          <w:divBdr>
            <w:top w:val="none" w:sz="0" w:space="0" w:color="auto"/>
            <w:left w:val="none" w:sz="0" w:space="0" w:color="auto"/>
            <w:bottom w:val="none" w:sz="0" w:space="0" w:color="auto"/>
            <w:right w:val="none" w:sz="0" w:space="0" w:color="auto"/>
          </w:divBdr>
        </w:div>
        <w:div w:id="1419594828">
          <w:marLeft w:val="0"/>
          <w:marRight w:val="0"/>
          <w:marTop w:val="0"/>
          <w:marBottom w:val="0"/>
          <w:divBdr>
            <w:top w:val="none" w:sz="0" w:space="0" w:color="auto"/>
            <w:left w:val="none" w:sz="0" w:space="0" w:color="auto"/>
            <w:bottom w:val="none" w:sz="0" w:space="0" w:color="auto"/>
            <w:right w:val="none" w:sz="0" w:space="0" w:color="auto"/>
          </w:divBdr>
        </w:div>
        <w:div w:id="1466776349">
          <w:marLeft w:val="0"/>
          <w:marRight w:val="0"/>
          <w:marTop w:val="0"/>
          <w:marBottom w:val="0"/>
          <w:divBdr>
            <w:top w:val="none" w:sz="0" w:space="0" w:color="auto"/>
            <w:left w:val="none" w:sz="0" w:space="0" w:color="auto"/>
            <w:bottom w:val="none" w:sz="0" w:space="0" w:color="auto"/>
            <w:right w:val="none" w:sz="0" w:space="0" w:color="auto"/>
          </w:divBdr>
        </w:div>
        <w:div w:id="1529220533">
          <w:marLeft w:val="0"/>
          <w:marRight w:val="0"/>
          <w:marTop w:val="0"/>
          <w:marBottom w:val="0"/>
          <w:divBdr>
            <w:top w:val="none" w:sz="0" w:space="0" w:color="auto"/>
            <w:left w:val="none" w:sz="0" w:space="0" w:color="auto"/>
            <w:bottom w:val="none" w:sz="0" w:space="0" w:color="auto"/>
            <w:right w:val="none" w:sz="0" w:space="0" w:color="auto"/>
          </w:divBdr>
        </w:div>
        <w:div w:id="1553543473">
          <w:marLeft w:val="0"/>
          <w:marRight w:val="0"/>
          <w:marTop w:val="0"/>
          <w:marBottom w:val="0"/>
          <w:divBdr>
            <w:top w:val="none" w:sz="0" w:space="0" w:color="auto"/>
            <w:left w:val="none" w:sz="0" w:space="0" w:color="auto"/>
            <w:bottom w:val="none" w:sz="0" w:space="0" w:color="auto"/>
            <w:right w:val="none" w:sz="0" w:space="0" w:color="auto"/>
          </w:divBdr>
        </w:div>
        <w:div w:id="1563104672">
          <w:marLeft w:val="0"/>
          <w:marRight w:val="0"/>
          <w:marTop w:val="0"/>
          <w:marBottom w:val="0"/>
          <w:divBdr>
            <w:top w:val="none" w:sz="0" w:space="0" w:color="auto"/>
            <w:left w:val="none" w:sz="0" w:space="0" w:color="auto"/>
            <w:bottom w:val="none" w:sz="0" w:space="0" w:color="auto"/>
            <w:right w:val="none" w:sz="0" w:space="0" w:color="auto"/>
          </w:divBdr>
        </w:div>
        <w:div w:id="1627157244">
          <w:marLeft w:val="0"/>
          <w:marRight w:val="0"/>
          <w:marTop w:val="0"/>
          <w:marBottom w:val="0"/>
          <w:divBdr>
            <w:top w:val="none" w:sz="0" w:space="0" w:color="auto"/>
            <w:left w:val="none" w:sz="0" w:space="0" w:color="auto"/>
            <w:bottom w:val="none" w:sz="0" w:space="0" w:color="auto"/>
            <w:right w:val="none" w:sz="0" w:space="0" w:color="auto"/>
          </w:divBdr>
        </w:div>
        <w:div w:id="1672491831">
          <w:marLeft w:val="0"/>
          <w:marRight w:val="0"/>
          <w:marTop w:val="0"/>
          <w:marBottom w:val="0"/>
          <w:divBdr>
            <w:top w:val="none" w:sz="0" w:space="0" w:color="auto"/>
            <w:left w:val="none" w:sz="0" w:space="0" w:color="auto"/>
            <w:bottom w:val="none" w:sz="0" w:space="0" w:color="auto"/>
            <w:right w:val="none" w:sz="0" w:space="0" w:color="auto"/>
          </w:divBdr>
        </w:div>
        <w:div w:id="1742629499">
          <w:marLeft w:val="0"/>
          <w:marRight w:val="0"/>
          <w:marTop w:val="0"/>
          <w:marBottom w:val="0"/>
          <w:divBdr>
            <w:top w:val="none" w:sz="0" w:space="0" w:color="auto"/>
            <w:left w:val="none" w:sz="0" w:space="0" w:color="auto"/>
            <w:bottom w:val="none" w:sz="0" w:space="0" w:color="auto"/>
            <w:right w:val="none" w:sz="0" w:space="0" w:color="auto"/>
          </w:divBdr>
        </w:div>
        <w:div w:id="1743405921">
          <w:marLeft w:val="0"/>
          <w:marRight w:val="0"/>
          <w:marTop w:val="0"/>
          <w:marBottom w:val="0"/>
          <w:divBdr>
            <w:top w:val="none" w:sz="0" w:space="0" w:color="auto"/>
            <w:left w:val="none" w:sz="0" w:space="0" w:color="auto"/>
            <w:bottom w:val="none" w:sz="0" w:space="0" w:color="auto"/>
            <w:right w:val="none" w:sz="0" w:space="0" w:color="auto"/>
          </w:divBdr>
        </w:div>
        <w:div w:id="1759402633">
          <w:marLeft w:val="0"/>
          <w:marRight w:val="0"/>
          <w:marTop w:val="0"/>
          <w:marBottom w:val="0"/>
          <w:divBdr>
            <w:top w:val="none" w:sz="0" w:space="0" w:color="auto"/>
            <w:left w:val="none" w:sz="0" w:space="0" w:color="auto"/>
            <w:bottom w:val="none" w:sz="0" w:space="0" w:color="auto"/>
            <w:right w:val="none" w:sz="0" w:space="0" w:color="auto"/>
          </w:divBdr>
        </w:div>
        <w:div w:id="1760640562">
          <w:marLeft w:val="0"/>
          <w:marRight w:val="0"/>
          <w:marTop w:val="0"/>
          <w:marBottom w:val="0"/>
          <w:divBdr>
            <w:top w:val="none" w:sz="0" w:space="0" w:color="auto"/>
            <w:left w:val="none" w:sz="0" w:space="0" w:color="auto"/>
            <w:bottom w:val="none" w:sz="0" w:space="0" w:color="auto"/>
            <w:right w:val="none" w:sz="0" w:space="0" w:color="auto"/>
          </w:divBdr>
        </w:div>
        <w:div w:id="1773239616">
          <w:marLeft w:val="0"/>
          <w:marRight w:val="0"/>
          <w:marTop w:val="0"/>
          <w:marBottom w:val="0"/>
          <w:divBdr>
            <w:top w:val="none" w:sz="0" w:space="0" w:color="auto"/>
            <w:left w:val="none" w:sz="0" w:space="0" w:color="auto"/>
            <w:bottom w:val="none" w:sz="0" w:space="0" w:color="auto"/>
            <w:right w:val="none" w:sz="0" w:space="0" w:color="auto"/>
          </w:divBdr>
        </w:div>
        <w:div w:id="1775049809">
          <w:marLeft w:val="0"/>
          <w:marRight w:val="0"/>
          <w:marTop w:val="0"/>
          <w:marBottom w:val="0"/>
          <w:divBdr>
            <w:top w:val="none" w:sz="0" w:space="0" w:color="auto"/>
            <w:left w:val="none" w:sz="0" w:space="0" w:color="auto"/>
            <w:bottom w:val="none" w:sz="0" w:space="0" w:color="auto"/>
            <w:right w:val="none" w:sz="0" w:space="0" w:color="auto"/>
          </w:divBdr>
        </w:div>
        <w:div w:id="1861578142">
          <w:marLeft w:val="0"/>
          <w:marRight w:val="0"/>
          <w:marTop w:val="0"/>
          <w:marBottom w:val="0"/>
          <w:divBdr>
            <w:top w:val="none" w:sz="0" w:space="0" w:color="auto"/>
            <w:left w:val="none" w:sz="0" w:space="0" w:color="auto"/>
            <w:bottom w:val="none" w:sz="0" w:space="0" w:color="auto"/>
            <w:right w:val="none" w:sz="0" w:space="0" w:color="auto"/>
          </w:divBdr>
        </w:div>
        <w:div w:id="1884978480">
          <w:marLeft w:val="0"/>
          <w:marRight w:val="0"/>
          <w:marTop w:val="0"/>
          <w:marBottom w:val="0"/>
          <w:divBdr>
            <w:top w:val="none" w:sz="0" w:space="0" w:color="auto"/>
            <w:left w:val="none" w:sz="0" w:space="0" w:color="auto"/>
            <w:bottom w:val="none" w:sz="0" w:space="0" w:color="auto"/>
            <w:right w:val="none" w:sz="0" w:space="0" w:color="auto"/>
          </w:divBdr>
        </w:div>
        <w:div w:id="1905987799">
          <w:marLeft w:val="0"/>
          <w:marRight w:val="0"/>
          <w:marTop w:val="0"/>
          <w:marBottom w:val="0"/>
          <w:divBdr>
            <w:top w:val="none" w:sz="0" w:space="0" w:color="auto"/>
            <w:left w:val="none" w:sz="0" w:space="0" w:color="auto"/>
            <w:bottom w:val="none" w:sz="0" w:space="0" w:color="auto"/>
            <w:right w:val="none" w:sz="0" w:space="0" w:color="auto"/>
          </w:divBdr>
        </w:div>
        <w:div w:id="2064330532">
          <w:marLeft w:val="0"/>
          <w:marRight w:val="0"/>
          <w:marTop w:val="0"/>
          <w:marBottom w:val="0"/>
          <w:divBdr>
            <w:top w:val="none" w:sz="0" w:space="0" w:color="auto"/>
            <w:left w:val="none" w:sz="0" w:space="0" w:color="auto"/>
            <w:bottom w:val="none" w:sz="0" w:space="0" w:color="auto"/>
            <w:right w:val="none" w:sz="0" w:space="0" w:color="auto"/>
          </w:divBdr>
        </w:div>
        <w:div w:id="2077781991">
          <w:marLeft w:val="0"/>
          <w:marRight w:val="0"/>
          <w:marTop w:val="0"/>
          <w:marBottom w:val="0"/>
          <w:divBdr>
            <w:top w:val="none" w:sz="0" w:space="0" w:color="auto"/>
            <w:left w:val="none" w:sz="0" w:space="0" w:color="auto"/>
            <w:bottom w:val="none" w:sz="0" w:space="0" w:color="auto"/>
            <w:right w:val="none" w:sz="0" w:space="0" w:color="auto"/>
          </w:divBdr>
        </w:div>
      </w:divsChild>
    </w:div>
    <w:div w:id="970671036">
      <w:bodyDiv w:val="1"/>
      <w:marLeft w:val="0"/>
      <w:marRight w:val="0"/>
      <w:marTop w:val="0"/>
      <w:marBottom w:val="0"/>
      <w:divBdr>
        <w:top w:val="none" w:sz="0" w:space="0" w:color="auto"/>
        <w:left w:val="none" w:sz="0" w:space="0" w:color="auto"/>
        <w:bottom w:val="none" w:sz="0" w:space="0" w:color="auto"/>
        <w:right w:val="none" w:sz="0" w:space="0" w:color="auto"/>
      </w:divBdr>
    </w:div>
    <w:div w:id="1009988462">
      <w:bodyDiv w:val="1"/>
      <w:marLeft w:val="0"/>
      <w:marRight w:val="0"/>
      <w:marTop w:val="0"/>
      <w:marBottom w:val="0"/>
      <w:divBdr>
        <w:top w:val="none" w:sz="0" w:space="0" w:color="auto"/>
        <w:left w:val="none" w:sz="0" w:space="0" w:color="auto"/>
        <w:bottom w:val="none" w:sz="0" w:space="0" w:color="auto"/>
        <w:right w:val="none" w:sz="0" w:space="0" w:color="auto"/>
      </w:divBdr>
    </w:div>
    <w:div w:id="1037583473">
      <w:bodyDiv w:val="1"/>
      <w:marLeft w:val="0"/>
      <w:marRight w:val="0"/>
      <w:marTop w:val="0"/>
      <w:marBottom w:val="0"/>
      <w:divBdr>
        <w:top w:val="none" w:sz="0" w:space="0" w:color="auto"/>
        <w:left w:val="none" w:sz="0" w:space="0" w:color="auto"/>
        <w:bottom w:val="none" w:sz="0" w:space="0" w:color="auto"/>
        <w:right w:val="none" w:sz="0" w:space="0" w:color="auto"/>
      </w:divBdr>
    </w:div>
    <w:div w:id="1042246181">
      <w:bodyDiv w:val="1"/>
      <w:marLeft w:val="0"/>
      <w:marRight w:val="0"/>
      <w:marTop w:val="0"/>
      <w:marBottom w:val="0"/>
      <w:divBdr>
        <w:top w:val="none" w:sz="0" w:space="0" w:color="auto"/>
        <w:left w:val="none" w:sz="0" w:space="0" w:color="auto"/>
        <w:bottom w:val="none" w:sz="0" w:space="0" w:color="auto"/>
        <w:right w:val="none" w:sz="0" w:space="0" w:color="auto"/>
      </w:divBdr>
    </w:div>
    <w:div w:id="1057242734">
      <w:bodyDiv w:val="1"/>
      <w:marLeft w:val="0"/>
      <w:marRight w:val="0"/>
      <w:marTop w:val="0"/>
      <w:marBottom w:val="0"/>
      <w:divBdr>
        <w:top w:val="none" w:sz="0" w:space="0" w:color="auto"/>
        <w:left w:val="none" w:sz="0" w:space="0" w:color="auto"/>
        <w:bottom w:val="none" w:sz="0" w:space="0" w:color="auto"/>
        <w:right w:val="none" w:sz="0" w:space="0" w:color="auto"/>
      </w:divBdr>
    </w:div>
    <w:div w:id="1073166741">
      <w:bodyDiv w:val="1"/>
      <w:marLeft w:val="0"/>
      <w:marRight w:val="0"/>
      <w:marTop w:val="0"/>
      <w:marBottom w:val="0"/>
      <w:divBdr>
        <w:top w:val="none" w:sz="0" w:space="0" w:color="auto"/>
        <w:left w:val="none" w:sz="0" w:space="0" w:color="auto"/>
        <w:bottom w:val="none" w:sz="0" w:space="0" w:color="auto"/>
        <w:right w:val="none" w:sz="0" w:space="0" w:color="auto"/>
      </w:divBdr>
    </w:div>
    <w:div w:id="1102262590">
      <w:bodyDiv w:val="1"/>
      <w:marLeft w:val="0"/>
      <w:marRight w:val="0"/>
      <w:marTop w:val="0"/>
      <w:marBottom w:val="0"/>
      <w:divBdr>
        <w:top w:val="none" w:sz="0" w:space="0" w:color="auto"/>
        <w:left w:val="none" w:sz="0" w:space="0" w:color="auto"/>
        <w:bottom w:val="none" w:sz="0" w:space="0" w:color="auto"/>
        <w:right w:val="none" w:sz="0" w:space="0" w:color="auto"/>
      </w:divBdr>
    </w:div>
    <w:div w:id="1119952025">
      <w:bodyDiv w:val="1"/>
      <w:marLeft w:val="0"/>
      <w:marRight w:val="0"/>
      <w:marTop w:val="0"/>
      <w:marBottom w:val="0"/>
      <w:divBdr>
        <w:top w:val="none" w:sz="0" w:space="0" w:color="auto"/>
        <w:left w:val="none" w:sz="0" w:space="0" w:color="auto"/>
        <w:bottom w:val="none" w:sz="0" w:space="0" w:color="auto"/>
        <w:right w:val="none" w:sz="0" w:space="0" w:color="auto"/>
      </w:divBdr>
    </w:div>
    <w:div w:id="1121461847">
      <w:bodyDiv w:val="1"/>
      <w:marLeft w:val="0"/>
      <w:marRight w:val="0"/>
      <w:marTop w:val="0"/>
      <w:marBottom w:val="0"/>
      <w:divBdr>
        <w:top w:val="none" w:sz="0" w:space="0" w:color="auto"/>
        <w:left w:val="none" w:sz="0" w:space="0" w:color="auto"/>
        <w:bottom w:val="none" w:sz="0" w:space="0" w:color="auto"/>
        <w:right w:val="none" w:sz="0" w:space="0" w:color="auto"/>
      </w:divBdr>
    </w:div>
    <w:div w:id="1149396288">
      <w:bodyDiv w:val="1"/>
      <w:marLeft w:val="0"/>
      <w:marRight w:val="0"/>
      <w:marTop w:val="0"/>
      <w:marBottom w:val="0"/>
      <w:divBdr>
        <w:top w:val="none" w:sz="0" w:space="0" w:color="auto"/>
        <w:left w:val="none" w:sz="0" w:space="0" w:color="auto"/>
        <w:bottom w:val="none" w:sz="0" w:space="0" w:color="auto"/>
        <w:right w:val="none" w:sz="0" w:space="0" w:color="auto"/>
      </w:divBdr>
      <w:divsChild>
        <w:div w:id="637495418">
          <w:marLeft w:val="0"/>
          <w:marRight w:val="0"/>
          <w:marTop w:val="0"/>
          <w:marBottom w:val="0"/>
          <w:divBdr>
            <w:top w:val="none" w:sz="0" w:space="0" w:color="auto"/>
            <w:left w:val="none" w:sz="0" w:space="0" w:color="auto"/>
            <w:bottom w:val="none" w:sz="0" w:space="0" w:color="auto"/>
            <w:right w:val="none" w:sz="0" w:space="0" w:color="auto"/>
          </w:divBdr>
        </w:div>
      </w:divsChild>
    </w:div>
    <w:div w:id="1174108215">
      <w:bodyDiv w:val="1"/>
      <w:marLeft w:val="0"/>
      <w:marRight w:val="0"/>
      <w:marTop w:val="0"/>
      <w:marBottom w:val="0"/>
      <w:divBdr>
        <w:top w:val="none" w:sz="0" w:space="0" w:color="auto"/>
        <w:left w:val="none" w:sz="0" w:space="0" w:color="auto"/>
        <w:bottom w:val="none" w:sz="0" w:space="0" w:color="auto"/>
        <w:right w:val="none" w:sz="0" w:space="0" w:color="auto"/>
      </w:divBdr>
    </w:div>
    <w:div w:id="1180389102">
      <w:bodyDiv w:val="1"/>
      <w:marLeft w:val="0"/>
      <w:marRight w:val="0"/>
      <w:marTop w:val="0"/>
      <w:marBottom w:val="0"/>
      <w:divBdr>
        <w:top w:val="none" w:sz="0" w:space="0" w:color="auto"/>
        <w:left w:val="none" w:sz="0" w:space="0" w:color="auto"/>
        <w:bottom w:val="none" w:sz="0" w:space="0" w:color="auto"/>
        <w:right w:val="none" w:sz="0" w:space="0" w:color="auto"/>
      </w:divBdr>
      <w:divsChild>
        <w:div w:id="1616250825">
          <w:marLeft w:val="0"/>
          <w:marRight w:val="0"/>
          <w:marTop w:val="0"/>
          <w:marBottom w:val="0"/>
          <w:divBdr>
            <w:top w:val="none" w:sz="0" w:space="0" w:color="auto"/>
            <w:left w:val="none" w:sz="0" w:space="0" w:color="auto"/>
            <w:bottom w:val="none" w:sz="0" w:space="0" w:color="auto"/>
            <w:right w:val="none" w:sz="0" w:space="0" w:color="auto"/>
          </w:divBdr>
        </w:div>
      </w:divsChild>
    </w:div>
    <w:div w:id="1185364161">
      <w:bodyDiv w:val="1"/>
      <w:marLeft w:val="0"/>
      <w:marRight w:val="0"/>
      <w:marTop w:val="0"/>
      <w:marBottom w:val="0"/>
      <w:divBdr>
        <w:top w:val="none" w:sz="0" w:space="0" w:color="auto"/>
        <w:left w:val="none" w:sz="0" w:space="0" w:color="auto"/>
        <w:bottom w:val="none" w:sz="0" w:space="0" w:color="auto"/>
        <w:right w:val="none" w:sz="0" w:space="0" w:color="auto"/>
      </w:divBdr>
    </w:div>
    <w:div w:id="1189639667">
      <w:bodyDiv w:val="1"/>
      <w:marLeft w:val="0"/>
      <w:marRight w:val="0"/>
      <w:marTop w:val="0"/>
      <w:marBottom w:val="0"/>
      <w:divBdr>
        <w:top w:val="none" w:sz="0" w:space="0" w:color="auto"/>
        <w:left w:val="none" w:sz="0" w:space="0" w:color="auto"/>
        <w:bottom w:val="none" w:sz="0" w:space="0" w:color="auto"/>
        <w:right w:val="none" w:sz="0" w:space="0" w:color="auto"/>
      </w:divBdr>
    </w:div>
    <w:div w:id="1191144165">
      <w:bodyDiv w:val="1"/>
      <w:marLeft w:val="0"/>
      <w:marRight w:val="0"/>
      <w:marTop w:val="0"/>
      <w:marBottom w:val="0"/>
      <w:divBdr>
        <w:top w:val="none" w:sz="0" w:space="0" w:color="auto"/>
        <w:left w:val="none" w:sz="0" w:space="0" w:color="auto"/>
        <w:bottom w:val="none" w:sz="0" w:space="0" w:color="auto"/>
        <w:right w:val="none" w:sz="0" w:space="0" w:color="auto"/>
      </w:divBdr>
      <w:divsChild>
        <w:div w:id="25493753">
          <w:marLeft w:val="0"/>
          <w:marRight w:val="0"/>
          <w:marTop w:val="0"/>
          <w:marBottom w:val="0"/>
          <w:divBdr>
            <w:top w:val="none" w:sz="0" w:space="0" w:color="auto"/>
            <w:left w:val="none" w:sz="0" w:space="0" w:color="auto"/>
            <w:bottom w:val="none" w:sz="0" w:space="0" w:color="auto"/>
            <w:right w:val="none" w:sz="0" w:space="0" w:color="auto"/>
          </w:divBdr>
        </w:div>
        <w:div w:id="1809859702">
          <w:marLeft w:val="0"/>
          <w:marRight w:val="0"/>
          <w:marTop w:val="0"/>
          <w:marBottom w:val="0"/>
          <w:divBdr>
            <w:top w:val="none" w:sz="0" w:space="0" w:color="auto"/>
            <w:left w:val="none" w:sz="0" w:space="0" w:color="auto"/>
            <w:bottom w:val="none" w:sz="0" w:space="0" w:color="auto"/>
            <w:right w:val="none" w:sz="0" w:space="0" w:color="auto"/>
          </w:divBdr>
        </w:div>
      </w:divsChild>
    </w:div>
    <w:div w:id="1205288492">
      <w:bodyDiv w:val="1"/>
      <w:marLeft w:val="0"/>
      <w:marRight w:val="0"/>
      <w:marTop w:val="0"/>
      <w:marBottom w:val="0"/>
      <w:divBdr>
        <w:top w:val="none" w:sz="0" w:space="0" w:color="auto"/>
        <w:left w:val="none" w:sz="0" w:space="0" w:color="auto"/>
        <w:bottom w:val="none" w:sz="0" w:space="0" w:color="auto"/>
        <w:right w:val="none" w:sz="0" w:space="0" w:color="auto"/>
      </w:divBdr>
      <w:divsChild>
        <w:div w:id="742217849">
          <w:marLeft w:val="0"/>
          <w:marRight w:val="0"/>
          <w:marTop w:val="0"/>
          <w:marBottom w:val="0"/>
          <w:divBdr>
            <w:top w:val="none" w:sz="0" w:space="0" w:color="auto"/>
            <w:left w:val="none" w:sz="0" w:space="0" w:color="auto"/>
            <w:bottom w:val="none" w:sz="0" w:space="0" w:color="auto"/>
            <w:right w:val="none" w:sz="0" w:space="0" w:color="auto"/>
          </w:divBdr>
        </w:div>
      </w:divsChild>
    </w:div>
    <w:div w:id="1295019012">
      <w:bodyDiv w:val="1"/>
      <w:marLeft w:val="0"/>
      <w:marRight w:val="0"/>
      <w:marTop w:val="0"/>
      <w:marBottom w:val="0"/>
      <w:divBdr>
        <w:top w:val="none" w:sz="0" w:space="0" w:color="auto"/>
        <w:left w:val="none" w:sz="0" w:space="0" w:color="auto"/>
        <w:bottom w:val="none" w:sz="0" w:space="0" w:color="auto"/>
        <w:right w:val="none" w:sz="0" w:space="0" w:color="auto"/>
      </w:divBdr>
    </w:div>
    <w:div w:id="1305238255">
      <w:bodyDiv w:val="1"/>
      <w:marLeft w:val="0"/>
      <w:marRight w:val="0"/>
      <w:marTop w:val="0"/>
      <w:marBottom w:val="0"/>
      <w:divBdr>
        <w:top w:val="none" w:sz="0" w:space="0" w:color="auto"/>
        <w:left w:val="none" w:sz="0" w:space="0" w:color="auto"/>
        <w:bottom w:val="none" w:sz="0" w:space="0" w:color="auto"/>
        <w:right w:val="none" w:sz="0" w:space="0" w:color="auto"/>
      </w:divBdr>
    </w:div>
    <w:div w:id="1311516486">
      <w:bodyDiv w:val="1"/>
      <w:marLeft w:val="0"/>
      <w:marRight w:val="0"/>
      <w:marTop w:val="0"/>
      <w:marBottom w:val="0"/>
      <w:divBdr>
        <w:top w:val="none" w:sz="0" w:space="0" w:color="auto"/>
        <w:left w:val="none" w:sz="0" w:space="0" w:color="auto"/>
        <w:bottom w:val="none" w:sz="0" w:space="0" w:color="auto"/>
        <w:right w:val="none" w:sz="0" w:space="0" w:color="auto"/>
      </w:divBdr>
      <w:divsChild>
        <w:div w:id="99035059">
          <w:marLeft w:val="0"/>
          <w:marRight w:val="0"/>
          <w:marTop w:val="0"/>
          <w:marBottom w:val="0"/>
          <w:divBdr>
            <w:top w:val="none" w:sz="0" w:space="0" w:color="auto"/>
            <w:left w:val="none" w:sz="0" w:space="0" w:color="auto"/>
            <w:bottom w:val="none" w:sz="0" w:space="0" w:color="auto"/>
            <w:right w:val="none" w:sz="0" w:space="0" w:color="auto"/>
          </w:divBdr>
          <w:divsChild>
            <w:div w:id="583412859">
              <w:marLeft w:val="-75"/>
              <w:marRight w:val="0"/>
              <w:marTop w:val="30"/>
              <w:marBottom w:val="30"/>
              <w:divBdr>
                <w:top w:val="none" w:sz="0" w:space="0" w:color="auto"/>
                <w:left w:val="none" w:sz="0" w:space="0" w:color="auto"/>
                <w:bottom w:val="none" w:sz="0" w:space="0" w:color="auto"/>
                <w:right w:val="none" w:sz="0" w:space="0" w:color="auto"/>
              </w:divBdr>
              <w:divsChild>
                <w:div w:id="13270127">
                  <w:marLeft w:val="0"/>
                  <w:marRight w:val="0"/>
                  <w:marTop w:val="0"/>
                  <w:marBottom w:val="0"/>
                  <w:divBdr>
                    <w:top w:val="none" w:sz="0" w:space="0" w:color="auto"/>
                    <w:left w:val="none" w:sz="0" w:space="0" w:color="auto"/>
                    <w:bottom w:val="none" w:sz="0" w:space="0" w:color="auto"/>
                    <w:right w:val="none" w:sz="0" w:space="0" w:color="auto"/>
                  </w:divBdr>
                  <w:divsChild>
                    <w:div w:id="1295450179">
                      <w:marLeft w:val="0"/>
                      <w:marRight w:val="0"/>
                      <w:marTop w:val="0"/>
                      <w:marBottom w:val="0"/>
                      <w:divBdr>
                        <w:top w:val="none" w:sz="0" w:space="0" w:color="auto"/>
                        <w:left w:val="none" w:sz="0" w:space="0" w:color="auto"/>
                        <w:bottom w:val="none" w:sz="0" w:space="0" w:color="auto"/>
                        <w:right w:val="none" w:sz="0" w:space="0" w:color="auto"/>
                      </w:divBdr>
                    </w:div>
                  </w:divsChild>
                </w:div>
                <w:div w:id="95712472">
                  <w:marLeft w:val="0"/>
                  <w:marRight w:val="0"/>
                  <w:marTop w:val="0"/>
                  <w:marBottom w:val="0"/>
                  <w:divBdr>
                    <w:top w:val="none" w:sz="0" w:space="0" w:color="auto"/>
                    <w:left w:val="none" w:sz="0" w:space="0" w:color="auto"/>
                    <w:bottom w:val="none" w:sz="0" w:space="0" w:color="auto"/>
                    <w:right w:val="none" w:sz="0" w:space="0" w:color="auto"/>
                  </w:divBdr>
                  <w:divsChild>
                    <w:div w:id="308287003">
                      <w:marLeft w:val="0"/>
                      <w:marRight w:val="0"/>
                      <w:marTop w:val="0"/>
                      <w:marBottom w:val="0"/>
                      <w:divBdr>
                        <w:top w:val="none" w:sz="0" w:space="0" w:color="auto"/>
                        <w:left w:val="none" w:sz="0" w:space="0" w:color="auto"/>
                        <w:bottom w:val="none" w:sz="0" w:space="0" w:color="auto"/>
                        <w:right w:val="none" w:sz="0" w:space="0" w:color="auto"/>
                      </w:divBdr>
                    </w:div>
                  </w:divsChild>
                </w:div>
                <w:div w:id="109280656">
                  <w:marLeft w:val="0"/>
                  <w:marRight w:val="0"/>
                  <w:marTop w:val="0"/>
                  <w:marBottom w:val="0"/>
                  <w:divBdr>
                    <w:top w:val="none" w:sz="0" w:space="0" w:color="auto"/>
                    <w:left w:val="none" w:sz="0" w:space="0" w:color="auto"/>
                    <w:bottom w:val="none" w:sz="0" w:space="0" w:color="auto"/>
                    <w:right w:val="none" w:sz="0" w:space="0" w:color="auto"/>
                  </w:divBdr>
                  <w:divsChild>
                    <w:div w:id="2005888348">
                      <w:marLeft w:val="0"/>
                      <w:marRight w:val="0"/>
                      <w:marTop w:val="0"/>
                      <w:marBottom w:val="0"/>
                      <w:divBdr>
                        <w:top w:val="none" w:sz="0" w:space="0" w:color="auto"/>
                        <w:left w:val="none" w:sz="0" w:space="0" w:color="auto"/>
                        <w:bottom w:val="none" w:sz="0" w:space="0" w:color="auto"/>
                        <w:right w:val="none" w:sz="0" w:space="0" w:color="auto"/>
                      </w:divBdr>
                    </w:div>
                  </w:divsChild>
                </w:div>
                <w:div w:id="122118305">
                  <w:marLeft w:val="0"/>
                  <w:marRight w:val="0"/>
                  <w:marTop w:val="0"/>
                  <w:marBottom w:val="0"/>
                  <w:divBdr>
                    <w:top w:val="none" w:sz="0" w:space="0" w:color="auto"/>
                    <w:left w:val="none" w:sz="0" w:space="0" w:color="auto"/>
                    <w:bottom w:val="none" w:sz="0" w:space="0" w:color="auto"/>
                    <w:right w:val="none" w:sz="0" w:space="0" w:color="auto"/>
                  </w:divBdr>
                  <w:divsChild>
                    <w:div w:id="1827815659">
                      <w:marLeft w:val="0"/>
                      <w:marRight w:val="0"/>
                      <w:marTop w:val="0"/>
                      <w:marBottom w:val="0"/>
                      <w:divBdr>
                        <w:top w:val="none" w:sz="0" w:space="0" w:color="auto"/>
                        <w:left w:val="none" w:sz="0" w:space="0" w:color="auto"/>
                        <w:bottom w:val="none" w:sz="0" w:space="0" w:color="auto"/>
                        <w:right w:val="none" w:sz="0" w:space="0" w:color="auto"/>
                      </w:divBdr>
                    </w:div>
                  </w:divsChild>
                </w:div>
                <w:div w:id="129174753">
                  <w:marLeft w:val="0"/>
                  <w:marRight w:val="0"/>
                  <w:marTop w:val="0"/>
                  <w:marBottom w:val="0"/>
                  <w:divBdr>
                    <w:top w:val="none" w:sz="0" w:space="0" w:color="auto"/>
                    <w:left w:val="none" w:sz="0" w:space="0" w:color="auto"/>
                    <w:bottom w:val="none" w:sz="0" w:space="0" w:color="auto"/>
                    <w:right w:val="none" w:sz="0" w:space="0" w:color="auto"/>
                  </w:divBdr>
                  <w:divsChild>
                    <w:div w:id="1668090781">
                      <w:marLeft w:val="0"/>
                      <w:marRight w:val="0"/>
                      <w:marTop w:val="0"/>
                      <w:marBottom w:val="0"/>
                      <w:divBdr>
                        <w:top w:val="none" w:sz="0" w:space="0" w:color="auto"/>
                        <w:left w:val="none" w:sz="0" w:space="0" w:color="auto"/>
                        <w:bottom w:val="none" w:sz="0" w:space="0" w:color="auto"/>
                        <w:right w:val="none" w:sz="0" w:space="0" w:color="auto"/>
                      </w:divBdr>
                    </w:div>
                  </w:divsChild>
                </w:div>
                <w:div w:id="146439930">
                  <w:marLeft w:val="0"/>
                  <w:marRight w:val="0"/>
                  <w:marTop w:val="0"/>
                  <w:marBottom w:val="0"/>
                  <w:divBdr>
                    <w:top w:val="none" w:sz="0" w:space="0" w:color="auto"/>
                    <w:left w:val="none" w:sz="0" w:space="0" w:color="auto"/>
                    <w:bottom w:val="none" w:sz="0" w:space="0" w:color="auto"/>
                    <w:right w:val="none" w:sz="0" w:space="0" w:color="auto"/>
                  </w:divBdr>
                  <w:divsChild>
                    <w:div w:id="1345984580">
                      <w:marLeft w:val="0"/>
                      <w:marRight w:val="0"/>
                      <w:marTop w:val="0"/>
                      <w:marBottom w:val="0"/>
                      <w:divBdr>
                        <w:top w:val="none" w:sz="0" w:space="0" w:color="auto"/>
                        <w:left w:val="none" w:sz="0" w:space="0" w:color="auto"/>
                        <w:bottom w:val="none" w:sz="0" w:space="0" w:color="auto"/>
                        <w:right w:val="none" w:sz="0" w:space="0" w:color="auto"/>
                      </w:divBdr>
                    </w:div>
                  </w:divsChild>
                </w:div>
                <w:div w:id="147601180">
                  <w:marLeft w:val="0"/>
                  <w:marRight w:val="0"/>
                  <w:marTop w:val="0"/>
                  <w:marBottom w:val="0"/>
                  <w:divBdr>
                    <w:top w:val="none" w:sz="0" w:space="0" w:color="auto"/>
                    <w:left w:val="none" w:sz="0" w:space="0" w:color="auto"/>
                    <w:bottom w:val="none" w:sz="0" w:space="0" w:color="auto"/>
                    <w:right w:val="none" w:sz="0" w:space="0" w:color="auto"/>
                  </w:divBdr>
                  <w:divsChild>
                    <w:div w:id="1774982079">
                      <w:marLeft w:val="0"/>
                      <w:marRight w:val="0"/>
                      <w:marTop w:val="0"/>
                      <w:marBottom w:val="0"/>
                      <w:divBdr>
                        <w:top w:val="none" w:sz="0" w:space="0" w:color="auto"/>
                        <w:left w:val="none" w:sz="0" w:space="0" w:color="auto"/>
                        <w:bottom w:val="none" w:sz="0" w:space="0" w:color="auto"/>
                        <w:right w:val="none" w:sz="0" w:space="0" w:color="auto"/>
                      </w:divBdr>
                    </w:div>
                  </w:divsChild>
                </w:div>
                <w:div w:id="151335248">
                  <w:marLeft w:val="0"/>
                  <w:marRight w:val="0"/>
                  <w:marTop w:val="0"/>
                  <w:marBottom w:val="0"/>
                  <w:divBdr>
                    <w:top w:val="none" w:sz="0" w:space="0" w:color="auto"/>
                    <w:left w:val="none" w:sz="0" w:space="0" w:color="auto"/>
                    <w:bottom w:val="none" w:sz="0" w:space="0" w:color="auto"/>
                    <w:right w:val="none" w:sz="0" w:space="0" w:color="auto"/>
                  </w:divBdr>
                  <w:divsChild>
                    <w:div w:id="1602299640">
                      <w:marLeft w:val="0"/>
                      <w:marRight w:val="0"/>
                      <w:marTop w:val="0"/>
                      <w:marBottom w:val="0"/>
                      <w:divBdr>
                        <w:top w:val="none" w:sz="0" w:space="0" w:color="auto"/>
                        <w:left w:val="none" w:sz="0" w:space="0" w:color="auto"/>
                        <w:bottom w:val="none" w:sz="0" w:space="0" w:color="auto"/>
                        <w:right w:val="none" w:sz="0" w:space="0" w:color="auto"/>
                      </w:divBdr>
                    </w:div>
                  </w:divsChild>
                </w:div>
                <w:div w:id="153567298">
                  <w:marLeft w:val="0"/>
                  <w:marRight w:val="0"/>
                  <w:marTop w:val="0"/>
                  <w:marBottom w:val="0"/>
                  <w:divBdr>
                    <w:top w:val="none" w:sz="0" w:space="0" w:color="auto"/>
                    <w:left w:val="none" w:sz="0" w:space="0" w:color="auto"/>
                    <w:bottom w:val="none" w:sz="0" w:space="0" w:color="auto"/>
                    <w:right w:val="none" w:sz="0" w:space="0" w:color="auto"/>
                  </w:divBdr>
                  <w:divsChild>
                    <w:div w:id="1628316264">
                      <w:marLeft w:val="0"/>
                      <w:marRight w:val="0"/>
                      <w:marTop w:val="0"/>
                      <w:marBottom w:val="0"/>
                      <w:divBdr>
                        <w:top w:val="none" w:sz="0" w:space="0" w:color="auto"/>
                        <w:left w:val="none" w:sz="0" w:space="0" w:color="auto"/>
                        <w:bottom w:val="none" w:sz="0" w:space="0" w:color="auto"/>
                        <w:right w:val="none" w:sz="0" w:space="0" w:color="auto"/>
                      </w:divBdr>
                    </w:div>
                  </w:divsChild>
                </w:div>
                <w:div w:id="155851426">
                  <w:marLeft w:val="0"/>
                  <w:marRight w:val="0"/>
                  <w:marTop w:val="0"/>
                  <w:marBottom w:val="0"/>
                  <w:divBdr>
                    <w:top w:val="none" w:sz="0" w:space="0" w:color="auto"/>
                    <w:left w:val="none" w:sz="0" w:space="0" w:color="auto"/>
                    <w:bottom w:val="none" w:sz="0" w:space="0" w:color="auto"/>
                    <w:right w:val="none" w:sz="0" w:space="0" w:color="auto"/>
                  </w:divBdr>
                  <w:divsChild>
                    <w:div w:id="151987236">
                      <w:marLeft w:val="0"/>
                      <w:marRight w:val="0"/>
                      <w:marTop w:val="0"/>
                      <w:marBottom w:val="0"/>
                      <w:divBdr>
                        <w:top w:val="none" w:sz="0" w:space="0" w:color="auto"/>
                        <w:left w:val="none" w:sz="0" w:space="0" w:color="auto"/>
                        <w:bottom w:val="none" w:sz="0" w:space="0" w:color="auto"/>
                        <w:right w:val="none" w:sz="0" w:space="0" w:color="auto"/>
                      </w:divBdr>
                    </w:div>
                  </w:divsChild>
                </w:div>
                <w:div w:id="195392464">
                  <w:marLeft w:val="0"/>
                  <w:marRight w:val="0"/>
                  <w:marTop w:val="0"/>
                  <w:marBottom w:val="0"/>
                  <w:divBdr>
                    <w:top w:val="none" w:sz="0" w:space="0" w:color="auto"/>
                    <w:left w:val="none" w:sz="0" w:space="0" w:color="auto"/>
                    <w:bottom w:val="none" w:sz="0" w:space="0" w:color="auto"/>
                    <w:right w:val="none" w:sz="0" w:space="0" w:color="auto"/>
                  </w:divBdr>
                  <w:divsChild>
                    <w:div w:id="1400251972">
                      <w:marLeft w:val="0"/>
                      <w:marRight w:val="0"/>
                      <w:marTop w:val="0"/>
                      <w:marBottom w:val="0"/>
                      <w:divBdr>
                        <w:top w:val="none" w:sz="0" w:space="0" w:color="auto"/>
                        <w:left w:val="none" w:sz="0" w:space="0" w:color="auto"/>
                        <w:bottom w:val="none" w:sz="0" w:space="0" w:color="auto"/>
                        <w:right w:val="none" w:sz="0" w:space="0" w:color="auto"/>
                      </w:divBdr>
                    </w:div>
                  </w:divsChild>
                </w:div>
                <w:div w:id="197668489">
                  <w:marLeft w:val="0"/>
                  <w:marRight w:val="0"/>
                  <w:marTop w:val="0"/>
                  <w:marBottom w:val="0"/>
                  <w:divBdr>
                    <w:top w:val="none" w:sz="0" w:space="0" w:color="auto"/>
                    <w:left w:val="none" w:sz="0" w:space="0" w:color="auto"/>
                    <w:bottom w:val="none" w:sz="0" w:space="0" w:color="auto"/>
                    <w:right w:val="none" w:sz="0" w:space="0" w:color="auto"/>
                  </w:divBdr>
                  <w:divsChild>
                    <w:div w:id="71006317">
                      <w:marLeft w:val="0"/>
                      <w:marRight w:val="0"/>
                      <w:marTop w:val="0"/>
                      <w:marBottom w:val="0"/>
                      <w:divBdr>
                        <w:top w:val="none" w:sz="0" w:space="0" w:color="auto"/>
                        <w:left w:val="none" w:sz="0" w:space="0" w:color="auto"/>
                        <w:bottom w:val="none" w:sz="0" w:space="0" w:color="auto"/>
                        <w:right w:val="none" w:sz="0" w:space="0" w:color="auto"/>
                      </w:divBdr>
                    </w:div>
                  </w:divsChild>
                </w:div>
                <w:div w:id="212275327">
                  <w:marLeft w:val="0"/>
                  <w:marRight w:val="0"/>
                  <w:marTop w:val="0"/>
                  <w:marBottom w:val="0"/>
                  <w:divBdr>
                    <w:top w:val="none" w:sz="0" w:space="0" w:color="auto"/>
                    <w:left w:val="none" w:sz="0" w:space="0" w:color="auto"/>
                    <w:bottom w:val="none" w:sz="0" w:space="0" w:color="auto"/>
                    <w:right w:val="none" w:sz="0" w:space="0" w:color="auto"/>
                  </w:divBdr>
                  <w:divsChild>
                    <w:div w:id="1391998093">
                      <w:marLeft w:val="0"/>
                      <w:marRight w:val="0"/>
                      <w:marTop w:val="0"/>
                      <w:marBottom w:val="0"/>
                      <w:divBdr>
                        <w:top w:val="none" w:sz="0" w:space="0" w:color="auto"/>
                        <w:left w:val="none" w:sz="0" w:space="0" w:color="auto"/>
                        <w:bottom w:val="none" w:sz="0" w:space="0" w:color="auto"/>
                        <w:right w:val="none" w:sz="0" w:space="0" w:color="auto"/>
                      </w:divBdr>
                    </w:div>
                  </w:divsChild>
                </w:div>
                <w:div w:id="229776813">
                  <w:marLeft w:val="0"/>
                  <w:marRight w:val="0"/>
                  <w:marTop w:val="0"/>
                  <w:marBottom w:val="0"/>
                  <w:divBdr>
                    <w:top w:val="none" w:sz="0" w:space="0" w:color="auto"/>
                    <w:left w:val="none" w:sz="0" w:space="0" w:color="auto"/>
                    <w:bottom w:val="none" w:sz="0" w:space="0" w:color="auto"/>
                    <w:right w:val="none" w:sz="0" w:space="0" w:color="auto"/>
                  </w:divBdr>
                  <w:divsChild>
                    <w:div w:id="1734618839">
                      <w:marLeft w:val="0"/>
                      <w:marRight w:val="0"/>
                      <w:marTop w:val="0"/>
                      <w:marBottom w:val="0"/>
                      <w:divBdr>
                        <w:top w:val="none" w:sz="0" w:space="0" w:color="auto"/>
                        <w:left w:val="none" w:sz="0" w:space="0" w:color="auto"/>
                        <w:bottom w:val="none" w:sz="0" w:space="0" w:color="auto"/>
                        <w:right w:val="none" w:sz="0" w:space="0" w:color="auto"/>
                      </w:divBdr>
                    </w:div>
                  </w:divsChild>
                </w:div>
                <w:div w:id="239141948">
                  <w:marLeft w:val="0"/>
                  <w:marRight w:val="0"/>
                  <w:marTop w:val="0"/>
                  <w:marBottom w:val="0"/>
                  <w:divBdr>
                    <w:top w:val="none" w:sz="0" w:space="0" w:color="auto"/>
                    <w:left w:val="none" w:sz="0" w:space="0" w:color="auto"/>
                    <w:bottom w:val="none" w:sz="0" w:space="0" w:color="auto"/>
                    <w:right w:val="none" w:sz="0" w:space="0" w:color="auto"/>
                  </w:divBdr>
                  <w:divsChild>
                    <w:div w:id="1909344028">
                      <w:marLeft w:val="0"/>
                      <w:marRight w:val="0"/>
                      <w:marTop w:val="0"/>
                      <w:marBottom w:val="0"/>
                      <w:divBdr>
                        <w:top w:val="none" w:sz="0" w:space="0" w:color="auto"/>
                        <w:left w:val="none" w:sz="0" w:space="0" w:color="auto"/>
                        <w:bottom w:val="none" w:sz="0" w:space="0" w:color="auto"/>
                        <w:right w:val="none" w:sz="0" w:space="0" w:color="auto"/>
                      </w:divBdr>
                    </w:div>
                  </w:divsChild>
                </w:div>
                <w:div w:id="253520532">
                  <w:marLeft w:val="0"/>
                  <w:marRight w:val="0"/>
                  <w:marTop w:val="0"/>
                  <w:marBottom w:val="0"/>
                  <w:divBdr>
                    <w:top w:val="none" w:sz="0" w:space="0" w:color="auto"/>
                    <w:left w:val="none" w:sz="0" w:space="0" w:color="auto"/>
                    <w:bottom w:val="none" w:sz="0" w:space="0" w:color="auto"/>
                    <w:right w:val="none" w:sz="0" w:space="0" w:color="auto"/>
                  </w:divBdr>
                  <w:divsChild>
                    <w:div w:id="1477995264">
                      <w:marLeft w:val="0"/>
                      <w:marRight w:val="0"/>
                      <w:marTop w:val="0"/>
                      <w:marBottom w:val="0"/>
                      <w:divBdr>
                        <w:top w:val="none" w:sz="0" w:space="0" w:color="auto"/>
                        <w:left w:val="none" w:sz="0" w:space="0" w:color="auto"/>
                        <w:bottom w:val="none" w:sz="0" w:space="0" w:color="auto"/>
                        <w:right w:val="none" w:sz="0" w:space="0" w:color="auto"/>
                      </w:divBdr>
                    </w:div>
                  </w:divsChild>
                </w:div>
                <w:div w:id="254477787">
                  <w:marLeft w:val="0"/>
                  <w:marRight w:val="0"/>
                  <w:marTop w:val="0"/>
                  <w:marBottom w:val="0"/>
                  <w:divBdr>
                    <w:top w:val="none" w:sz="0" w:space="0" w:color="auto"/>
                    <w:left w:val="none" w:sz="0" w:space="0" w:color="auto"/>
                    <w:bottom w:val="none" w:sz="0" w:space="0" w:color="auto"/>
                    <w:right w:val="none" w:sz="0" w:space="0" w:color="auto"/>
                  </w:divBdr>
                  <w:divsChild>
                    <w:div w:id="139928325">
                      <w:marLeft w:val="0"/>
                      <w:marRight w:val="0"/>
                      <w:marTop w:val="0"/>
                      <w:marBottom w:val="0"/>
                      <w:divBdr>
                        <w:top w:val="none" w:sz="0" w:space="0" w:color="auto"/>
                        <w:left w:val="none" w:sz="0" w:space="0" w:color="auto"/>
                        <w:bottom w:val="none" w:sz="0" w:space="0" w:color="auto"/>
                        <w:right w:val="none" w:sz="0" w:space="0" w:color="auto"/>
                      </w:divBdr>
                    </w:div>
                  </w:divsChild>
                </w:div>
                <w:div w:id="261450645">
                  <w:marLeft w:val="0"/>
                  <w:marRight w:val="0"/>
                  <w:marTop w:val="0"/>
                  <w:marBottom w:val="0"/>
                  <w:divBdr>
                    <w:top w:val="none" w:sz="0" w:space="0" w:color="auto"/>
                    <w:left w:val="none" w:sz="0" w:space="0" w:color="auto"/>
                    <w:bottom w:val="none" w:sz="0" w:space="0" w:color="auto"/>
                    <w:right w:val="none" w:sz="0" w:space="0" w:color="auto"/>
                  </w:divBdr>
                  <w:divsChild>
                    <w:div w:id="819466882">
                      <w:marLeft w:val="0"/>
                      <w:marRight w:val="0"/>
                      <w:marTop w:val="0"/>
                      <w:marBottom w:val="0"/>
                      <w:divBdr>
                        <w:top w:val="none" w:sz="0" w:space="0" w:color="auto"/>
                        <w:left w:val="none" w:sz="0" w:space="0" w:color="auto"/>
                        <w:bottom w:val="none" w:sz="0" w:space="0" w:color="auto"/>
                        <w:right w:val="none" w:sz="0" w:space="0" w:color="auto"/>
                      </w:divBdr>
                    </w:div>
                  </w:divsChild>
                </w:div>
                <w:div w:id="270282534">
                  <w:marLeft w:val="0"/>
                  <w:marRight w:val="0"/>
                  <w:marTop w:val="0"/>
                  <w:marBottom w:val="0"/>
                  <w:divBdr>
                    <w:top w:val="none" w:sz="0" w:space="0" w:color="auto"/>
                    <w:left w:val="none" w:sz="0" w:space="0" w:color="auto"/>
                    <w:bottom w:val="none" w:sz="0" w:space="0" w:color="auto"/>
                    <w:right w:val="none" w:sz="0" w:space="0" w:color="auto"/>
                  </w:divBdr>
                  <w:divsChild>
                    <w:div w:id="1616596734">
                      <w:marLeft w:val="0"/>
                      <w:marRight w:val="0"/>
                      <w:marTop w:val="0"/>
                      <w:marBottom w:val="0"/>
                      <w:divBdr>
                        <w:top w:val="none" w:sz="0" w:space="0" w:color="auto"/>
                        <w:left w:val="none" w:sz="0" w:space="0" w:color="auto"/>
                        <w:bottom w:val="none" w:sz="0" w:space="0" w:color="auto"/>
                        <w:right w:val="none" w:sz="0" w:space="0" w:color="auto"/>
                      </w:divBdr>
                    </w:div>
                  </w:divsChild>
                </w:div>
                <w:div w:id="278152084">
                  <w:marLeft w:val="0"/>
                  <w:marRight w:val="0"/>
                  <w:marTop w:val="0"/>
                  <w:marBottom w:val="0"/>
                  <w:divBdr>
                    <w:top w:val="none" w:sz="0" w:space="0" w:color="auto"/>
                    <w:left w:val="none" w:sz="0" w:space="0" w:color="auto"/>
                    <w:bottom w:val="none" w:sz="0" w:space="0" w:color="auto"/>
                    <w:right w:val="none" w:sz="0" w:space="0" w:color="auto"/>
                  </w:divBdr>
                  <w:divsChild>
                    <w:div w:id="125197866">
                      <w:marLeft w:val="0"/>
                      <w:marRight w:val="0"/>
                      <w:marTop w:val="0"/>
                      <w:marBottom w:val="0"/>
                      <w:divBdr>
                        <w:top w:val="none" w:sz="0" w:space="0" w:color="auto"/>
                        <w:left w:val="none" w:sz="0" w:space="0" w:color="auto"/>
                        <w:bottom w:val="none" w:sz="0" w:space="0" w:color="auto"/>
                        <w:right w:val="none" w:sz="0" w:space="0" w:color="auto"/>
                      </w:divBdr>
                    </w:div>
                  </w:divsChild>
                </w:div>
                <w:div w:id="294600151">
                  <w:marLeft w:val="0"/>
                  <w:marRight w:val="0"/>
                  <w:marTop w:val="0"/>
                  <w:marBottom w:val="0"/>
                  <w:divBdr>
                    <w:top w:val="none" w:sz="0" w:space="0" w:color="auto"/>
                    <w:left w:val="none" w:sz="0" w:space="0" w:color="auto"/>
                    <w:bottom w:val="none" w:sz="0" w:space="0" w:color="auto"/>
                    <w:right w:val="none" w:sz="0" w:space="0" w:color="auto"/>
                  </w:divBdr>
                  <w:divsChild>
                    <w:div w:id="667485512">
                      <w:marLeft w:val="0"/>
                      <w:marRight w:val="0"/>
                      <w:marTop w:val="0"/>
                      <w:marBottom w:val="0"/>
                      <w:divBdr>
                        <w:top w:val="none" w:sz="0" w:space="0" w:color="auto"/>
                        <w:left w:val="none" w:sz="0" w:space="0" w:color="auto"/>
                        <w:bottom w:val="none" w:sz="0" w:space="0" w:color="auto"/>
                        <w:right w:val="none" w:sz="0" w:space="0" w:color="auto"/>
                      </w:divBdr>
                    </w:div>
                  </w:divsChild>
                </w:div>
                <w:div w:id="321272785">
                  <w:marLeft w:val="0"/>
                  <w:marRight w:val="0"/>
                  <w:marTop w:val="0"/>
                  <w:marBottom w:val="0"/>
                  <w:divBdr>
                    <w:top w:val="none" w:sz="0" w:space="0" w:color="auto"/>
                    <w:left w:val="none" w:sz="0" w:space="0" w:color="auto"/>
                    <w:bottom w:val="none" w:sz="0" w:space="0" w:color="auto"/>
                    <w:right w:val="none" w:sz="0" w:space="0" w:color="auto"/>
                  </w:divBdr>
                  <w:divsChild>
                    <w:div w:id="1352146650">
                      <w:marLeft w:val="0"/>
                      <w:marRight w:val="0"/>
                      <w:marTop w:val="0"/>
                      <w:marBottom w:val="0"/>
                      <w:divBdr>
                        <w:top w:val="none" w:sz="0" w:space="0" w:color="auto"/>
                        <w:left w:val="none" w:sz="0" w:space="0" w:color="auto"/>
                        <w:bottom w:val="none" w:sz="0" w:space="0" w:color="auto"/>
                        <w:right w:val="none" w:sz="0" w:space="0" w:color="auto"/>
                      </w:divBdr>
                    </w:div>
                  </w:divsChild>
                </w:div>
                <w:div w:id="337117362">
                  <w:marLeft w:val="0"/>
                  <w:marRight w:val="0"/>
                  <w:marTop w:val="0"/>
                  <w:marBottom w:val="0"/>
                  <w:divBdr>
                    <w:top w:val="none" w:sz="0" w:space="0" w:color="auto"/>
                    <w:left w:val="none" w:sz="0" w:space="0" w:color="auto"/>
                    <w:bottom w:val="none" w:sz="0" w:space="0" w:color="auto"/>
                    <w:right w:val="none" w:sz="0" w:space="0" w:color="auto"/>
                  </w:divBdr>
                  <w:divsChild>
                    <w:div w:id="457336986">
                      <w:marLeft w:val="0"/>
                      <w:marRight w:val="0"/>
                      <w:marTop w:val="0"/>
                      <w:marBottom w:val="0"/>
                      <w:divBdr>
                        <w:top w:val="none" w:sz="0" w:space="0" w:color="auto"/>
                        <w:left w:val="none" w:sz="0" w:space="0" w:color="auto"/>
                        <w:bottom w:val="none" w:sz="0" w:space="0" w:color="auto"/>
                        <w:right w:val="none" w:sz="0" w:space="0" w:color="auto"/>
                      </w:divBdr>
                    </w:div>
                  </w:divsChild>
                </w:div>
                <w:div w:id="355694220">
                  <w:marLeft w:val="0"/>
                  <w:marRight w:val="0"/>
                  <w:marTop w:val="0"/>
                  <w:marBottom w:val="0"/>
                  <w:divBdr>
                    <w:top w:val="none" w:sz="0" w:space="0" w:color="auto"/>
                    <w:left w:val="none" w:sz="0" w:space="0" w:color="auto"/>
                    <w:bottom w:val="none" w:sz="0" w:space="0" w:color="auto"/>
                    <w:right w:val="none" w:sz="0" w:space="0" w:color="auto"/>
                  </w:divBdr>
                  <w:divsChild>
                    <w:div w:id="1848061262">
                      <w:marLeft w:val="0"/>
                      <w:marRight w:val="0"/>
                      <w:marTop w:val="0"/>
                      <w:marBottom w:val="0"/>
                      <w:divBdr>
                        <w:top w:val="none" w:sz="0" w:space="0" w:color="auto"/>
                        <w:left w:val="none" w:sz="0" w:space="0" w:color="auto"/>
                        <w:bottom w:val="none" w:sz="0" w:space="0" w:color="auto"/>
                        <w:right w:val="none" w:sz="0" w:space="0" w:color="auto"/>
                      </w:divBdr>
                    </w:div>
                  </w:divsChild>
                </w:div>
                <w:div w:id="378163540">
                  <w:marLeft w:val="0"/>
                  <w:marRight w:val="0"/>
                  <w:marTop w:val="0"/>
                  <w:marBottom w:val="0"/>
                  <w:divBdr>
                    <w:top w:val="none" w:sz="0" w:space="0" w:color="auto"/>
                    <w:left w:val="none" w:sz="0" w:space="0" w:color="auto"/>
                    <w:bottom w:val="none" w:sz="0" w:space="0" w:color="auto"/>
                    <w:right w:val="none" w:sz="0" w:space="0" w:color="auto"/>
                  </w:divBdr>
                  <w:divsChild>
                    <w:div w:id="770509985">
                      <w:marLeft w:val="0"/>
                      <w:marRight w:val="0"/>
                      <w:marTop w:val="0"/>
                      <w:marBottom w:val="0"/>
                      <w:divBdr>
                        <w:top w:val="none" w:sz="0" w:space="0" w:color="auto"/>
                        <w:left w:val="none" w:sz="0" w:space="0" w:color="auto"/>
                        <w:bottom w:val="none" w:sz="0" w:space="0" w:color="auto"/>
                        <w:right w:val="none" w:sz="0" w:space="0" w:color="auto"/>
                      </w:divBdr>
                    </w:div>
                  </w:divsChild>
                </w:div>
                <w:div w:id="433673415">
                  <w:marLeft w:val="0"/>
                  <w:marRight w:val="0"/>
                  <w:marTop w:val="0"/>
                  <w:marBottom w:val="0"/>
                  <w:divBdr>
                    <w:top w:val="none" w:sz="0" w:space="0" w:color="auto"/>
                    <w:left w:val="none" w:sz="0" w:space="0" w:color="auto"/>
                    <w:bottom w:val="none" w:sz="0" w:space="0" w:color="auto"/>
                    <w:right w:val="none" w:sz="0" w:space="0" w:color="auto"/>
                  </w:divBdr>
                  <w:divsChild>
                    <w:div w:id="1566063734">
                      <w:marLeft w:val="0"/>
                      <w:marRight w:val="0"/>
                      <w:marTop w:val="0"/>
                      <w:marBottom w:val="0"/>
                      <w:divBdr>
                        <w:top w:val="none" w:sz="0" w:space="0" w:color="auto"/>
                        <w:left w:val="none" w:sz="0" w:space="0" w:color="auto"/>
                        <w:bottom w:val="none" w:sz="0" w:space="0" w:color="auto"/>
                        <w:right w:val="none" w:sz="0" w:space="0" w:color="auto"/>
                      </w:divBdr>
                    </w:div>
                  </w:divsChild>
                </w:div>
                <w:div w:id="456607176">
                  <w:marLeft w:val="0"/>
                  <w:marRight w:val="0"/>
                  <w:marTop w:val="0"/>
                  <w:marBottom w:val="0"/>
                  <w:divBdr>
                    <w:top w:val="none" w:sz="0" w:space="0" w:color="auto"/>
                    <w:left w:val="none" w:sz="0" w:space="0" w:color="auto"/>
                    <w:bottom w:val="none" w:sz="0" w:space="0" w:color="auto"/>
                    <w:right w:val="none" w:sz="0" w:space="0" w:color="auto"/>
                  </w:divBdr>
                  <w:divsChild>
                    <w:div w:id="2015063342">
                      <w:marLeft w:val="0"/>
                      <w:marRight w:val="0"/>
                      <w:marTop w:val="0"/>
                      <w:marBottom w:val="0"/>
                      <w:divBdr>
                        <w:top w:val="none" w:sz="0" w:space="0" w:color="auto"/>
                        <w:left w:val="none" w:sz="0" w:space="0" w:color="auto"/>
                        <w:bottom w:val="none" w:sz="0" w:space="0" w:color="auto"/>
                        <w:right w:val="none" w:sz="0" w:space="0" w:color="auto"/>
                      </w:divBdr>
                    </w:div>
                  </w:divsChild>
                </w:div>
                <w:div w:id="461003521">
                  <w:marLeft w:val="0"/>
                  <w:marRight w:val="0"/>
                  <w:marTop w:val="0"/>
                  <w:marBottom w:val="0"/>
                  <w:divBdr>
                    <w:top w:val="none" w:sz="0" w:space="0" w:color="auto"/>
                    <w:left w:val="none" w:sz="0" w:space="0" w:color="auto"/>
                    <w:bottom w:val="none" w:sz="0" w:space="0" w:color="auto"/>
                    <w:right w:val="none" w:sz="0" w:space="0" w:color="auto"/>
                  </w:divBdr>
                  <w:divsChild>
                    <w:div w:id="99959837">
                      <w:marLeft w:val="0"/>
                      <w:marRight w:val="0"/>
                      <w:marTop w:val="0"/>
                      <w:marBottom w:val="0"/>
                      <w:divBdr>
                        <w:top w:val="none" w:sz="0" w:space="0" w:color="auto"/>
                        <w:left w:val="none" w:sz="0" w:space="0" w:color="auto"/>
                        <w:bottom w:val="none" w:sz="0" w:space="0" w:color="auto"/>
                        <w:right w:val="none" w:sz="0" w:space="0" w:color="auto"/>
                      </w:divBdr>
                    </w:div>
                  </w:divsChild>
                </w:div>
                <w:div w:id="462698852">
                  <w:marLeft w:val="0"/>
                  <w:marRight w:val="0"/>
                  <w:marTop w:val="0"/>
                  <w:marBottom w:val="0"/>
                  <w:divBdr>
                    <w:top w:val="none" w:sz="0" w:space="0" w:color="auto"/>
                    <w:left w:val="none" w:sz="0" w:space="0" w:color="auto"/>
                    <w:bottom w:val="none" w:sz="0" w:space="0" w:color="auto"/>
                    <w:right w:val="none" w:sz="0" w:space="0" w:color="auto"/>
                  </w:divBdr>
                  <w:divsChild>
                    <w:div w:id="53742076">
                      <w:marLeft w:val="0"/>
                      <w:marRight w:val="0"/>
                      <w:marTop w:val="0"/>
                      <w:marBottom w:val="0"/>
                      <w:divBdr>
                        <w:top w:val="none" w:sz="0" w:space="0" w:color="auto"/>
                        <w:left w:val="none" w:sz="0" w:space="0" w:color="auto"/>
                        <w:bottom w:val="none" w:sz="0" w:space="0" w:color="auto"/>
                        <w:right w:val="none" w:sz="0" w:space="0" w:color="auto"/>
                      </w:divBdr>
                    </w:div>
                  </w:divsChild>
                </w:div>
                <w:div w:id="498161474">
                  <w:marLeft w:val="0"/>
                  <w:marRight w:val="0"/>
                  <w:marTop w:val="0"/>
                  <w:marBottom w:val="0"/>
                  <w:divBdr>
                    <w:top w:val="none" w:sz="0" w:space="0" w:color="auto"/>
                    <w:left w:val="none" w:sz="0" w:space="0" w:color="auto"/>
                    <w:bottom w:val="none" w:sz="0" w:space="0" w:color="auto"/>
                    <w:right w:val="none" w:sz="0" w:space="0" w:color="auto"/>
                  </w:divBdr>
                  <w:divsChild>
                    <w:div w:id="371461762">
                      <w:marLeft w:val="0"/>
                      <w:marRight w:val="0"/>
                      <w:marTop w:val="0"/>
                      <w:marBottom w:val="0"/>
                      <w:divBdr>
                        <w:top w:val="none" w:sz="0" w:space="0" w:color="auto"/>
                        <w:left w:val="none" w:sz="0" w:space="0" w:color="auto"/>
                        <w:bottom w:val="none" w:sz="0" w:space="0" w:color="auto"/>
                        <w:right w:val="none" w:sz="0" w:space="0" w:color="auto"/>
                      </w:divBdr>
                    </w:div>
                  </w:divsChild>
                </w:div>
                <w:div w:id="500319130">
                  <w:marLeft w:val="0"/>
                  <w:marRight w:val="0"/>
                  <w:marTop w:val="0"/>
                  <w:marBottom w:val="0"/>
                  <w:divBdr>
                    <w:top w:val="none" w:sz="0" w:space="0" w:color="auto"/>
                    <w:left w:val="none" w:sz="0" w:space="0" w:color="auto"/>
                    <w:bottom w:val="none" w:sz="0" w:space="0" w:color="auto"/>
                    <w:right w:val="none" w:sz="0" w:space="0" w:color="auto"/>
                  </w:divBdr>
                  <w:divsChild>
                    <w:div w:id="1637104772">
                      <w:marLeft w:val="0"/>
                      <w:marRight w:val="0"/>
                      <w:marTop w:val="0"/>
                      <w:marBottom w:val="0"/>
                      <w:divBdr>
                        <w:top w:val="none" w:sz="0" w:space="0" w:color="auto"/>
                        <w:left w:val="none" w:sz="0" w:space="0" w:color="auto"/>
                        <w:bottom w:val="none" w:sz="0" w:space="0" w:color="auto"/>
                        <w:right w:val="none" w:sz="0" w:space="0" w:color="auto"/>
                      </w:divBdr>
                    </w:div>
                  </w:divsChild>
                </w:div>
                <w:div w:id="508956406">
                  <w:marLeft w:val="0"/>
                  <w:marRight w:val="0"/>
                  <w:marTop w:val="0"/>
                  <w:marBottom w:val="0"/>
                  <w:divBdr>
                    <w:top w:val="none" w:sz="0" w:space="0" w:color="auto"/>
                    <w:left w:val="none" w:sz="0" w:space="0" w:color="auto"/>
                    <w:bottom w:val="none" w:sz="0" w:space="0" w:color="auto"/>
                    <w:right w:val="none" w:sz="0" w:space="0" w:color="auto"/>
                  </w:divBdr>
                  <w:divsChild>
                    <w:div w:id="643437860">
                      <w:marLeft w:val="0"/>
                      <w:marRight w:val="0"/>
                      <w:marTop w:val="0"/>
                      <w:marBottom w:val="0"/>
                      <w:divBdr>
                        <w:top w:val="none" w:sz="0" w:space="0" w:color="auto"/>
                        <w:left w:val="none" w:sz="0" w:space="0" w:color="auto"/>
                        <w:bottom w:val="none" w:sz="0" w:space="0" w:color="auto"/>
                        <w:right w:val="none" w:sz="0" w:space="0" w:color="auto"/>
                      </w:divBdr>
                    </w:div>
                  </w:divsChild>
                </w:div>
                <w:div w:id="509877493">
                  <w:marLeft w:val="0"/>
                  <w:marRight w:val="0"/>
                  <w:marTop w:val="0"/>
                  <w:marBottom w:val="0"/>
                  <w:divBdr>
                    <w:top w:val="none" w:sz="0" w:space="0" w:color="auto"/>
                    <w:left w:val="none" w:sz="0" w:space="0" w:color="auto"/>
                    <w:bottom w:val="none" w:sz="0" w:space="0" w:color="auto"/>
                    <w:right w:val="none" w:sz="0" w:space="0" w:color="auto"/>
                  </w:divBdr>
                  <w:divsChild>
                    <w:div w:id="379405331">
                      <w:marLeft w:val="0"/>
                      <w:marRight w:val="0"/>
                      <w:marTop w:val="0"/>
                      <w:marBottom w:val="0"/>
                      <w:divBdr>
                        <w:top w:val="none" w:sz="0" w:space="0" w:color="auto"/>
                        <w:left w:val="none" w:sz="0" w:space="0" w:color="auto"/>
                        <w:bottom w:val="none" w:sz="0" w:space="0" w:color="auto"/>
                        <w:right w:val="none" w:sz="0" w:space="0" w:color="auto"/>
                      </w:divBdr>
                    </w:div>
                  </w:divsChild>
                </w:div>
                <w:div w:id="513232132">
                  <w:marLeft w:val="0"/>
                  <w:marRight w:val="0"/>
                  <w:marTop w:val="0"/>
                  <w:marBottom w:val="0"/>
                  <w:divBdr>
                    <w:top w:val="none" w:sz="0" w:space="0" w:color="auto"/>
                    <w:left w:val="none" w:sz="0" w:space="0" w:color="auto"/>
                    <w:bottom w:val="none" w:sz="0" w:space="0" w:color="auto"/>
                    <w:right w:val="none" w:sz="0" w:space="0" w:color="auto"/>
                  </w:divBdr>
                  <w:divsChild>
                    <w:div w:id="827286532">
                      <w:marLeft w:val="0"/>
                      <w:marRight w:val="0"/>
                      <w:marTop w:val="0"/>
                      <w:marBottom w:val="0"/>
                      <w:divBdr>
                        <w:top w:val="none" w:sz="0" w:space="0" w:color="auto"/>
                        <w:left w:val="none" w:sz="0" w:space="0" w:color="auto"/>
                        <w:bottom w:val="none" w:sz="0" w:space="0" w:color="auto"/>
                        <w:right w:val="none" w:sz="0" w:space="0" w:color="auto"/>
                      </w:divBdr>
                    </w:div>
                  </w:divsChild>
                </w:div>
                <w:div w:id="518276260">
                  <w:marLeft w:val="0"/>
                  <w:marRight w:val="0"/>
                  <w:marTop w:val="0"/>
                  <w:marBottom w:val="0"/>
                  <w:divBdr>
                    <w:top w:val="none" w:sz="0" w:space="0" w:color="auto"/>
                    <w:left w:val="none" w:sz="0" w:space="0" w:color="auto"/>
                    <w:bottom w:val="none" w:sz="0" w:space="0" w:color="auto"/>
                    <w:right w:val="none" w:sz="0" w:space="0" w:color="auto"/>
                  </w:divBdr>
                  <w:divsChild>
                    <w:div w:id="1503400358">
                      <w:marLeft w:val="0"/>
                      <w:marRight w:val="0"/>
                      <w:marTop w:val="0"/>
                      <w:marBottom w:val="0"/>
                      <w:divBdr>
                        <w:top w:val="none" w:sz="0" w:space="0" w:color="auto"/>
                        <w:left w:val="none" w:sz="0" w:space="0" w:color="auto"/>
                        <w:bottom w:val="none" w:sz="0" w:space="0" w:color="auto"/>
                        <w:right w:val="none" w:sz="0" w:space="0" w:color="auto"/>
                      </w:divBdr>
                    </w:div>
                  </w:divsChild>
                </w:div>
                <w:div w:id="529030162">
                  <w:marLeft w:val="0"/>
                  <w:marRight w:val="0"/>
                  <w:marTop w:val="0"/>
                  <w:marBottom w:val="0"/>
                  <w:divBdr>
                    <w:top w:val="none" w:sz="0" w:space="0" w:color="auto"/>
                    <w:left w:val="none" w:sz="0" w:space="0" w:color="auto"/>
                    <w:bottom w:val="none" w:sz="0" w:space="0" w:color="auto"/>
                    <w:right w:val="none" w:sz="0" w:space="0" w:color="auto"/>
                  </w:divBdr>
                  <w:divsChild>
                    <w:div w:id="1593277736">
                      <w:marLeft w:val="0"/>
                      <w:marRight w:val="0"/>
                      <w:marTop w:val="0"/>
                      <w:marBottom w:val="0"/>
                      <w:divBdr>
                        <w:top w:val="none" w:sz="0" w:space="0" w:color="auto"/>
                        <w:left w:val="none" w:sz="0" w:space="0" w:color="auto"/>
                        <w:bottom w:val="none" w:sz="0" w:space="0" w:color="auto"/>
                        <w:right w:val="none" w:sz="0" w:space="0" w:color="auto"/>
                      </w:divBdr>
                    </w:div>
                  </w:divsChild>
                </w:div>
                <w:div w:id="543635604">
                  <w:marLeft w:val="0"/>
                  <w:marRight w:val="0"/>
                  <w:marTop w:val="0"/>
                  <w:marBottom w:val="0"/>
                  <w:divBdr>
                    <w:top w:val="none" w:sz="0" w:space="0" w:color="auto"/>
                    <w:left w:val="none" w:sz="0" w:space="0" w:color="auto"/>
                    <w:bottom w:val="none" w:sz="0" w:space="0" w:color="auto"/>
                    <w:right w:val="none" w:sz="0" w:space="0" w:color="auto"/>
                  </w:divBdr>
                  <w:divsChild>
                    <w:div w:id="100225641">
                      <w:marLeft w:val="0"/>
                      <w:marRight w:val="0"/>
                      <w:marTop w:val="0"/>
                      <w:marBottom w:val="0"/>
                      <w:divBdr>
                        <w:top w:val="none" w:sz="0" w:space="0" w:color="auto"/>
                        <w:left w:val="none" w:sz="0" w:space="0" w:color="auto"/>
                        <w:bottom w:val="none" w:sz="0" w:space="0" w:color="auto"/>
                        <w:right w:val="none" w:sz="0" w:space="0" w:color="auto"/>
                      </w:divBdr>
                    </w:div>
                  </w:divsChild>
                </w:div>
                <w:div w:id="545139874">
                  <w:marLeft w:val="0"/>
                  <w:marRight w:val="0"/>
                  <w:marTop w:val="0"/>
                  <w:marBottom w:val="0"/>
                  <w:divBdr>
                    <w:top w:val="none" w:sz="0" w:space="0" w:color="auto"/>
                    <w:left w:val="none" w:sz="0" w:space="0" w:color="auto"/>
                    <w:bottom w:val="none" w:sz="0" w:space="0" w:color="auto"/>
                    <w:right w:val="none" w:sz="0" w:space="0" w:color="auto"/>
                  </w:divBdr>
                  <w:divsChild>
                    <w:div w:id="1263757614">
                      <w:marLeft w:val="0"/>
                      <w:marRight w:val="0"/>
                      <w:marTop w:val="0"/>
                      <w:marBottom w:val="0"/>
                      <w:divBdr>
                        <w:top w:val="none" w:sz="0" w:space="0" w:color="auto"/>
                        <w:left w:val="none" w:sz="0" w:space="0" w:color="auto"/>
                        <w:bottom w:val="none" w:sz="0" w:space="0" w:color="auto"/>
                        <w:right w:val="none" w:sz="0" w:space="0" w:color="auto"/>
                      </w:divBdr>
                    </w:div>
                  </w:divsChild>
                </w:div>
                <w:div w:id="569459450">
                  <w:marLeft w:val="0"/>
                  <w:marRight w:val="0"/>
                  <w:marTop w:val="0"/>
                  <w:marBottom w:val="0"/>
                  <w:divBdr>
                    <w:top w:val="none" w:sz="0" w:space="0" w:color="auto"/>
                    <w:left w:val="none" w:sz="0" w:space="0" w:color="auto"/>
                    <w:bottom w:val="none" w:sz="0" w:space="0" w:color="auto"/>
                    <w:right w:val="none" w:sz="0" w:space="0" w:color="auto"/>
                  </w:divBdr>
                  <w:divsChild>
                    <w:div w:id="1424954654">
                      <w:marLeft w:val="0"/>
                      <w:marRight w:val="0"/>
                      <w:marTop w:val="0"/>
                      <w:marBottom w:val="0"/>
                      <w:divBdr>
                        <w:top w:val="none" w:sz="0" w:space="0" w:color="auto"/>
                        <w:left w:val="none" w:sz="0" w:space="0" w:color="auto"/>
                        <w:bottom w:val="none" w:sz="0" w:space="0" w:color="auto"/>
                        <w:right w:val="none" w:sz="0" w:space="0" w:color="auto"/>
                      </w:divBdr>
                    </w:div>
                  </w:divsChild>
                </w:div>
                <w:div w:id="582832887">
                  <w:marLeft w:val="0"/>
                  <w:marRight w:val="0"/>
                  <w:marTop w:val="0"/>
                  <w:marBottom w:val="0"/>
                  <w:divBdr>
                    <w:top w:val="none" w:sz="0" w:space="0" w:color="auto"/>
                    <w:left w:val="none" w:sz="0" w:space="0" w:color="auto"/>
                    <w:bottom w:val="none" w:sz="0" w:space="0" w:color="auto"/>
                    <w:right w:val="none" w:sz="0" w:space="0" w:color="auto"/>
                  </w:divBdr>
                  <w:divsChild>
                    <w:div w:id="1389498183">
                      <w:marLeft w:val="0"/>
                      <w:marRight w:val="0"/>
                      <w:marTop w:val="0"/>
                      <w:marBottom w:val="0"/>
                      <w:divBdr>
                        <w:top w:val="none" w:sz="0" w:space="0" w:color="auto"/>
                        <w:left w:val="none" w:sz="0" w:space="0" w:color="auto"/>
                        <w:bottom w:val="none" w:sz="0" w:space="0" w:color="auto"/>
                        <w:right w:val="none" w:sz="0" w:space="0" w:color="auto"/>
                      </w:divBdr>
                    </w:div>
                  </w:divsChild>
                </w:div>
                <w:div w:id="593247351">
                  <w:marLeft w:val="0"/>
                  <w:marRight w:val="0"/>
                  <w:marTop w:val="0"/>
                  <w:marBottom w:val="0"/>
                  <w:divBdr>
                    <w:top w:val="none" w:sz="0" w:space="0" w:color="auto"/>
                    <w:left w:val="none" w:sz="0" w:space="0" w:color="auto"/>
                    <w:bottom w:val="none" w:sz="0" w:space="0" w:color="auto"/>
                    <w:right w:val="none" w:sz="0" w:space="0" w:color="auto"/>
                  </w:divBdr>
                  <w:divsChild>
                    <w:div w:id="1334408081">
                      <w:marLeft w:val="0"/>
                      <w:marRight w:val="0"/>
                      <w:marTop w:val="0"/>
                      <w:marBottom w:val="0"/>
                      <w:divBdr>
                        <w:top w:val="none" w:sz="0" w:space="0" w:color="auto"/>
                        <w:left w:val="none" w:sz="0" w:space="0" w:color="auto"/>
                        <w:bottom w:val="none" w:sz="0" w:space="0" w:color="auto"/>
                        <w:right w:val="none" w:sz="0" w:space="0" w:color="auto"/>
                      </w:divBdr>
                    </w:div>
                  </w:divsChild>
                </w:div>
                <w:div w:id="611863656">
                  <w:marLeft w:val="0"/>
                  <w:marRight w:val="0"/>
                  <w:marTop w:val="0"/>
                  <w:marBottom w:val="0"/>
                  <w:divBdr>
                    <w:top w:val="none" w:sz="0" w:space="0" w:color="auto"/>
                    <w:left w:val="none" w:sz="0" w:space="0" w:color="auto"/>
                    <w:bottom w:val="none" w:sz="0" w:space="0" w:color="auto"/>
                    <w:right w:val="none" w:sz="0" w:space="0" w:color="auto"/>
                  </w:divBdr>
                  <w:divsChild>
                    <w:div w:id="1804693443">
                      <w:marLeft w:val="0"/>
                      <w:marRight w:val="0"/>
                      <w:marTop w:val="0"/>
                      <w:marBottom w:val="0"/>
                      <w:divBdr>
                        <w:top w:val="none" w:sz="0" w:space="0" w:color="auto"/>
                        <w:left w:val="none" w:sz="0" w:space="0" w:color="auto"/>
                        <w:bottom w:val="none" w:sz="0" w:space="0" w:color="auto"/>
                        <w:right w:val="none" w:sz="0" w:space="0" w:color="auto"/>
                      </w:divBdr>
                    </w:div>
                  </w:divsChild>
                </w:div>
                <w:div w:id="659771320">
                  <w:marLeft w:val="0"/>
                  <w:marRight w:val="0"/>
                  <w:marTop w:val="0"/>
                  <w:marBottom w:val="0"/>
                  <w:divBdr>
                    <w:top w:val="none" w:sz="0" w:space="0" w:color="auto"/>
                    <w:left w:val="none" w:sz="0" w:space="0" w:color="auto"/>
                    <w:bottom w:val="none" w:sz="0" w:space="0" w:color="auto"/>
                    <w:right w:val="none" w:sz="0" w:space="0" w:color="auto"/>
                  </w:divBdr>
                  <w:divsChild>
                    <w:div w:id="543102408">
                      <w:marLeft w:val="0"/>
                      <w:marRight w:val="0"/>
                      <w:marTop w:val="0"/>
                      <w:marBottom w:val="0"/>
                      <w:divBdr>
                        <w:top w:val="none" w:sz="0" w:space="0" w:color="auto"/>
                        <w:left w:val="none" w:sz="0" w:space="0" w:color="auto"/>
                        <w:bottom w:val="none" w:sz="0" w:space="0" w:color="auto"/>
                        <w:right w:val="none" w:sz="0" w:space="0" w:color="auto"/>
                      </w:divBdr>
                    </w:div>
                  </w:divsChild>
                </w:div>
                <w:div w:id="681471104">
                  <w:marLeft w:val="0"/>
                  <w:marRight w:val="0"/>
                  <w:marTop w:val="0"/>
                  <w:marBottom w:val="0"/>
                  <w:divBdr>
                    <w:top w:val="none" w:sz="0" w:space="0" w:color="auto"/>
                    <w:left w:val="none" w:sz="0" w:space="0" w:color="auto"/>
                    <w:bottom w:val="none" w:sz="0" w:space="0" w:color="auto"/>
                    <w:right w:val="none" w:sz="0" w:space="0" w:color="auto"/>
                  </w:divBdr>
                  <w:divsChild>
                    <w:div w:id="629749781">
                      <w:marLeft w:val="0"/>
                      <w:marRight w:val="0"/>
                      <w:marTop w:val="0"/>
                      <w:marBottom w:val="0"/>
                      <w:divBdr>
                        <w:top w:val="none" w:sz="0" w:space="0" w:color="auto"/>
                        <w:left w:val="none" w:sz="0" w:space="0" w:color="auto"/>
                        <w:bottom w:val="none" w:sz="0" w:space="0" w:color="auto"/>
                        <w:right w:val="none" w:sz="0" w:space="0" w:color="auto"/>
                      </w:divBdr>
                    </w:div>
                  </w:divsChild>
                </w:div>
                <w:div w:id="714045352">
                  <w:marLeft w:val="0"/>
                  <w:marRight w:val="0"/>
                  <w:marTop w:val="0"/>
                  <w:marBottom w:val="0"/>
                  <w:divBdr>
                    <w:top w:val="none" w:sz="0" w:space="0" w:color="auto"/>
                    <w:left w:val="none" w:sz="0" w:space="0" w:color="auto"/>
                    <w:bottom w:val="none" w:sz="0" w:space="0" w:color="auto"/>
                    <w:right w:val="none" w:sz="0" w:space="0" w:color="auto"/>
                  </w:divBdr>
                  <w:divsChild>
                    <w:div w:id="1448045783">
                      <w:marLeft w:val="0"/>
                      <w:marRight w:val="0"/>
                      <w:marTop w:val="0"/>
                      <w:marBottom w:val="0"/>
                      <w:divBdr>
                        <w:top w:val="none" w:sz="0" w:space="0" w:color="auto"/>
                        <w:left w:val="none" w:sz="0" w:space="0" w:color="auto"/>
                        <w:bottom w:val="none" w:sz="0" w:space="0" w:color="auto"/>
                        <w:right w:val="none" w:sz="0" w:space="0" w:color="auto"/>
                      </w:divBdr>
                    </w:div>
                  </w:divsChild>
                </w:div>
                <w:div w:id="717557227">
                  <w:marLeft w:val="0"/>
                  <w:marRight w:val="0"/>
                  <w:marTop w:val="0"/>
                  <w:marBottom w:val="0"/>
                  <w:divBdr>
                    <w:top w:val="none" w:sz="0" w:space="0" w:color="auto"/>
                    <w:left w:val="none" w:sz="0" w:space="0" w:color="auto"/>
                    <w:bottom w:val="none" w:sz="0" w:space="0" w:color="auto"/>
                    <w:right w:val="none" w:sz="0" w:space="0" w:color="auto"/>
                  </w:divBdr>
                  <w:divsChild>
                    <w:div w:id="2062705115">
                      <w:marLeft w:val="0"/>
                      <w:marRight w:val="0"/>
                      <w:marTop w:val="0"/>
                      <w:marBottom w:val="0"/>
                      <w:divBdr>
                        <w:top w:val="none" w:sz="0" w:space="0" w:color="auto"/>
                        <w:left w:val="none" w:sz="0" w:space="0" w:color="auto"/>
                        <w:bottom w:val="none" w:sz="0" w:space="0" w:color="auto"/>
                        <w:right w:val="none" w:sz="0" w:space="0" w:color="auto"/>
                      </w:divBdr>
                    </w:div>
                  </w:divsChild>
                </w:div>
                <w:div w:id="770511453">
                  <w:marLeft w:val="0"/>
                  <w:marRight w:val="0"/>
                  <w:marTop w:val="0"/>
                  <w:marBottom w:val="0"/>
                  <w:divBdr>
                    <w:top w:val="none" w:sz="0" w:space="0" w:color="auto"/>
                    <w:left w:val="none" w:sz="0" w:space="0" w:color="auto"/>
                    <w:bottom w:val="none" w:sz="0" w:space="0" w:color="auto"/>
                    <w:right w:val="none" w:sz="0" w:space="0" w:color="auto"/>
                  </w:divBdr>
                  <w:divsChild>
                    <w:div w:id="20054948">
                      <w:marLeft w:val="0"/>
                      <w:marRight w:val="0"/>
                      <w:marTop w:val="0"/>
                      <w:marBottom w:val="0"/>
                      <w:divBdr>
                        <w:top w:val="none" w:sz="0" w:space="0" w:color="auto"/>
                        <w:left w:val="none" w:sz="0" w:space="0" w:color="auto"/>
                        <w:bottom w:val="none" w:sz="0" w:space="0" w:color="auto"/>
                        <w:right w:val="none" w:sz="0" w:space="0" w:color="auto"/>
                      </w:divBdr>
                    </w:div>
                  </w:divsChild>
                </w:div>
                <w:div w:id="770929749">
                  <w:marLeft w:val="0"/>
                  <w:marRight w:val="0"/>
                  <w:marTop w:val="0"/>
                  <w:marBottom w:val="0"/>
                  <w:divBdr>
                    <w:top w:val="none" w:sz="0" w:space="0" w:color="auto"/>
                    <w:left w:val="none" w:sz="0" w:space="0" w:color="auto"/>
                    <w:bottom w:val="none" w:sz="0" w:space="0" w:color="auto"/>
                    <w:right w:val="none" w:sz="0" w:space="0" w:color="auto"/>
                  </w:divBdr>
                  <w:divsChild>
                    <w:div w:id="1872645990">
                      <w:marLeft w:val="0"/>
                      <w:marRight w:val="0"/>
                      <w:marTop w:val="0"/>
                      <w:marBottom w:val="0"/>
                      <w:divBdr>
                        <w:top w:val="none" w:sz="0" w:space="0" w:color="auto"/>
                        <w:left w:val="none" w:sz="0" w:space="0" w:color="auto"/>
                        <w:bottom w:val="none" w:sz="0" w:space="0" w:color="auto"/>
                        <w:right w:val="none" w:sz="0" w:space="0" w:color="auto"/>
                      </w:divBdr>
                    </w:div>
                  </w:divsChild>
                </w:div>
                <w:div w:id="776683063">
                  <w:marLeft w:val="0"/>
                  <w:marRight w:val="0"/>
                  <w:marTop w:val="0"/>
                  <w:marBottom w:val="0"/>
                  <w:divBdr>
                    <w:top w:val="none" w:sz="0" w:space="0" w:color="auto"/>
                    <w:left w:val="none" w:sz="0" w:space="0" w:color="auto"/>
                    <w:bottom w:val="none" w:sz="0" w:space="0" w:color="auto"/>
                    <w:right w:val="none" w:sz="0" w:space="0" w:color="auto"/>
                  </w:divBdr>
                  <w:divsChild>
                    <w:div w:id="577862476">
                      <w:marLeft w:val="0"/>
                      <w:marRight w:val="0"/>
                      <w:marTop w:val="0"/>
                      <w:marBottom w:val="0"/>
                      <w:divBdr>
                        <w:top w:val="none" w:sz="0" w:space="0" w:color="auto"/>
                        <w:left w:val="none" w:sz="0" w:space="0" w:color="auto"/>
                        <w:bottom w:val="none" w:sz="0" w:space="0" w:color="auto"/>
                        <w:right w:val="none" w:sz="0" w:space="0" w:color="auto"/>
                      </w:divBdr>
                    </w:div>
                  </w:divsChild>
                </w:div>
                <w:div w:id="783958387">
                  <w:marLeft w:val="0"/>
                  <w:marRight w:val="0"/>
                  <w:marTop w:val="0"/>
                  <w:marBottom w:val="0"/>
                  <w:divBdr>
                    <w:top w:val="none" w:sz="0" w:space="0" w:color="auto"/>
                    <w:left w:val="none" w:sz="0" w:space="0" w:color="auto"/>
                    <w:bottom w:val="none" w:sz="0" w:space="0" w:color="auto"/>
                    <w:right w:val="none" w:sz="0" w:space="0" w:color="auto"/>
                  </w:divBdr>
                  <w:divsChild>
                    <w:div w:id="807942850">
                      <w:marLeft w:val="0"/>
                      <w:marRight w:val="0"/>
                      <w:marTop w:val="0"/>
                      <w:marBottom w:val="0"/>
                      <w:divBdr>
                        <w:top w:val="none" w:sz="0" w:space="0" w:color="auto"/>
                        <w:left w:val="none" w:sz="0" w:space="0" w:color="auto"/>
                        <w:bottom w:val="none" w:sz="0" w:space="0" w:color="auto"/>
                        <w:right w:val="none" w:sz="0" w:space="0" w:color="auto"/>
                      </w:divBdr>
                    </w:div>
                  </w:divsChild>
                </w:div>
                <w:div w:id="815801137">
                  <w:marLeft w:val="0"/>
                  <w:marRight w:val="0"/>
                  <w:marTop w:val="0"/>
                  <w:marBottom w:val="0"/>
                  <w:divBdr>
                    <w:top w:val="none" w:sz="0" w:space="0" w:color="auto"/>
                    <w:left w:val="none" w:sz="0" w:space="0" w:color="auto"/>
                    <w:bottom w:val="none" w:sz="0" w:space="0" w:color="auto"/>
                    <w:right w:val="none" w:sz="0" w:space="0" w:color="auto"/>
                  </w:divBdr>
                  <w:divsChild>
                    <w:div w:id="560363900">
                      <w:marLeft w:val="0"/>
                      <w:marRight w:val="0"/>
                      <w:marTop w:val="0"/>
                      <w:marBottom w:val="0"/>
                      <w:divBdr>
                        <w:top w:val="none" w:sz="0" w:space="0" w:color="auto"/>
                        <w:left w:val="none" w:sz="0" w:space="0" w:color="auto"/>
                        <w:bottom w:val="none" w:sz="0" w:space="0" w:color="auto"/>
                        <w:right w:val="none" w:sz="0" w:space="0" w:color="auto"/>
                      </w:divBdr>
                    </w:div>
                  </w:divsChild>
                </w:div>
                <w:div w:id="815924156">
                  <w:marLeft w:val="0"/>
                  <w:marRight w:val="0"/>
                  <w:marTop w:val="0"/>
                  <w:marBottom w:val="0"/>
                  <w:divBdr>
                    <w:top w:val="none" w:sz="0" w:space="0" w:color="auto"/>
                    <w:left w:val="none" w:sz="0" w:space="0" w:color="auto"/>
                    <w:bottom w:val="none" w:sz="0" w:space="0" w:color="auto"/>
                    <w:right w:val="none" w:sz="0" w:space="0" w:color="auto"/>
                  </w:divBdr>
                  <w:divsChild>
                    <w:div w:id="1386561558">
                      <w:marLeft w:val="0"/>
                      <w:marRight w:val="0"/>
                      <w:marTop w:val="0"/>
                      <w:marBottom w:val="0"/>
                      <w:divBdr>
                        <w:top w:val="none" w:sz="0" w:space="0" w:color="auto"/>
                        <w:left w:val="none" w:sz="0" w:space="0" w:color="auto"/>
                        <w:bottom w:val="none" w:sz="0" w:space="0" w:color="auto"/>
                        <w:right w:val="none" w:sz="0" w:space="0" w:color="auto"/>
                      </w:divBdr>
                    </w:div>
                  </w:divsChild>
                </w:div>
                <w:div w:id="819426626">
                  <w:marLeft w:val="0"/>
                  <w:marRight w:val="0"/>
                  <w:marTop w:val="0"/>
                  <w:marBottom w:val="0"/>
                  <w:divBdr>
                    <w:top w:val="none" w:sz="0" w:space="0" w:color="auto"/>
                    <w:left w:val="none" w:sz="0" w:space="0" w:color="auto"/>
                    <w:bottom w:val="none" w:sz="0" w:space="0" w:color="auto"/>
                    <w:right w:val="none" w:sz="0" w:space="0" w:color="auto"/>
                  </w:divBdr>
                  <w:divsChild>
                    <w:div w:id="1613316072">
                      <w:marLeft w:val="0"/>
                      <w:marRight w:val="0"/>
                      <w:marTop w:val="0"/>
                      <w:marBottom w:val="0"/>
                      <w:divBdr>
                        <w:top w:val="none" w:sz="0" w:space="0" w:color="auto"/>
                        <w:left w:val="none" w:sz="0" w:space="0" w:color="auto"/>
                        <w:bottom w:val="none" w:sz="0" w:space="0" w:color="auto"/>
                        <w:right w:val="none" w:sz="0" w:space="0" w:color="auto"/>
                      </w:divBdr>
                    </w:div>
                  </w:divsChild>
                </w:div>
                <w:div w:id="822308399">
                  <w:marLeft w:val="0"/>
                  <w:marRight w:val="0"/>
                  <w:marTop w:val="0"/>
                  <w:marBottom w:val="0"/>
                  <w:divBdr>
                    <w:top w:val="none" w:sz="0" w:space="0" w:color="auto"/>
                    <w:left w:val="none" w:sz="0" w:space="0" w:color="auto"/>
                    <w:bottom w:val="none" w:sz="0" w:space="0" w:color="auto"/>
                    <w:right w:val="none" w:sz="0" w:space="0" w:color="auto"/>
                  </w:divBdr>
                  <w:divsChild>
                    <w:div w:id="490684939">
                      <w:marLeft w:val="0"/>
                      <w:marRight w:val="0"/>
                      <w:marTop w:val="0"/>
                      <w:marBottom w:val="0"/>
                      <w:divBdr>
                        <w:top w:val="none" w:sz="0" w:space="0" w:color="auto"/>
                        <w:left w:val="none" w:sz="0" w:space="0" w:color="auto"/>
                        <w:bottom w:val="none" w:sz="0" w:space="0" w:color="auto"/>
                        <w:right w:val="none" w:sz="0" w:space="0" w:color="auto"/>
                      </w:divBdr>
                    </w:div>
                  </w:divsChild>
                </w:div>
                <w:div w:id="909344579">
                  <w:marLeft w:val="0"/>
                  <w:marRight w:val="0"/>
                  <w:marTop w:val="0"/>
                  <w:marBottom w:val="0"/>
                  <w:divBdr>
                    <w:top w:val="none" w:sz="0" w:space="0" w:color="auto"/>
                    <w:left w:val="none" w:sz="0" w:space="0" w:color="auto"/>
                    <w:bottom w:val="none" w:sz="0" w:space="0" w:color="auto"/>
                    <w:right w:val="none" w:sz="0" w:space="0" w:color="auto"/>
                  </w:divBdr>
                  <w:divsChild>
                    <w:div w:id="52899184">
                      <w:marLeft w:val="0"/>
                      <w:marRight w:val="0"/>
                      <w:marTop w:val="0"/>
                      <w:marBottom w:val="0"/>
                      <w:divBdr>
                        <w:top w:val="none" w:sz="0" w:space="0" w:color="auto"/>
                        <w:left w:val="none" w:sz="0" w:space="0" w:color="auto"/>
                        <w:bottom w:val="none" w:sz="0" w:space="0" w:color="auto"/>
                        <w:right w:val="none" w:sz="0" w:space="0" w:color="auto"/>
                      </w:divBdr>
                    </w:div>
                  </w:divsChild>
                </w:div>
                <w:div w:id="909577003">
                  <w:marLeft w:val="0"/>
                  <w:marRight w:val="0"/>
                  <w:marTop w:val="0"/>
                  <w:marBottom w:val="0"/>
                  <w:divBdr>
                    <w:top w:val="none" w:sz="0" w:space="0" w:color="auto"/>
                    <w:left w:val="none" w:sz="0" w:space="0" w:color="auto"/>
                    <w:bottom w:val="none" w:sz="0" w:space="0" w:color="auto"/>
                    <w:right w:val="none" w:sz="0" w:space="0" w:color="auto"/>
                  </w:divBdr>
                  <w:divsChild>
                    <w:div w:id="1317605719">
                      <w:marLeft w:val="0"/>
                      <w:marRight w:val="0"/>
                      <w:marTop w:val="0"/>
                      <w:marBottom w:val="0"/>
                      <w:divBdr>
                        <w:top w:val="none" w:sz="0" w:space="0" w:color="auto"/>
                        <w:left w:val="none" w:sz="0" w:space="0" w:color="auto"/>
                        <w:bottom w:val="none" w:sz="0" w:space="0" w:color="auto"/>
                        <w:right w:val="none" w:sz="0" w:space="0" w:color="auto"/>
                      </w:divBdr>
                    </w:div>
                  </w:divsChild>
                </w:div>
                <w:div w:id="912355651">
                  <w:marLeft w:val="0"/>
                  <w:marRight w:val="0"/>
                  <w:marTop w:val="0"/>
                  <w:marBottom w:val="0"/>
                  <w:divBdr>
                    <w:top w:val="none" w:sz="0" w:space="0" w:color="auto"/>
                    <w:left w:val="none" w:sz="0" w:space="0" w:color="auto"/>
                    <w:bottom w:val="none" w:sz="0" w:space="0" w:color="auto"/>
                    <w:right w:val="none" w:sz="0" w:space="0" w:color="auto"/>
                  </w:divBdr>
                  <w:divsChild>
                    <w:div w:id="1138953432">
                      <w:marLeft w:val="0"/>
                      <w:marRight w:val="0"/>
                      <w:marTop w:val="0"/>
                      <w:marBottom w:val="0"/>
                      <w:divBdr>
                        <w:top w:val="none" w:sz="0" w:space="0" w:color="auto"/>
                        <w:left w:val="none" w:sz="0" w:space="0" w:color="auto"/>
                        <w:bottom w:val="none" w:sz="0" w:space="0" w:color="auto"/>
                        <w:right w:val="none" w:sz="0" w:space="0" w:color="auto"/>
                      </w:divBdr>
                    </w:div>
                  </w:divsChild>
                </w:div>
                <w:div w:id="941035744">
                  <w:marLeft w:val="0"/>
                  <w:marRight w:val="0"/>
                  <w:marTop w:val="0"/>
                  <w:marBottom w:val="0"/>
                  <w:divBdr>
                    <w:top w:val="none" w:sz="0" w:space="0" w:color="auto"/>
                    <w:left w:val="none" w:sz="0" w:space="0" w:color="auto"/>
                    <w:bottom w:val="none" w:sz="0" w:space="0" w:color="auto"/>
                    <w:right w:val="none" w:sz="0" w:space="0" w:color="auto"/>
                  </w:divBdr>
                  <w:divsChild>
                    <w:div w:id="445083293">
                      <w:marLeft w:val="0"/>
                      <w:marRight w:val="0"/>
                      <w:marTop w:val="0"/>
                      <w:marBottom w:val="0"/>
                      <w:divBdr>
                        <w:top w:val="none" w:sz="0" w:space="0" w:color="auto"/>
                        <w:left w:val="none" w:sz="0" w:space="0" w:color="auto"/>
                        <w:bottom w:val="none" w:sz="0" w:space="0" w:color="auto"/>
                        <w:right w:val="none" w:sz="0" w:space="0" w:color="auto"/>
                      </w:divBdr>
                    </w:div>
                  </w:divsChild>
                </w:div>
                <w:div w:id="942614746">
                  <w:marLeft w:val="0"/>
                  <w:marRight w:val="0"/>
                  <w:marTop w:val="0"/>
                  <w:marBottom w:val="0"/>
                  <w:divBdr>
                    <w:top w:val="none" w:sz="0" w:space="0" w:color="auto"/>
                    <w:left w:val="none" w:sz="0" w:space="0" w:color="auto"/>
                    <w:bottom w:val="none" w:sz="0" w:space="0" w:color="auto"/>
                    <w:right w:val="none" w:sz="0" w:space="0" w:color="auto"/>
                  </w:divBdr>
                  <w:divsChild>
                    <w:div w:id="168522841">
                      <w:marLeft w:val="0"/>
                      <w:marRight w:val="0"/>
                      <w:marTop w:val="0"/>
                      <w:marBottom w:val="0"/>
                      <w:divBdr>
                        <w:top w:val="none" w:sz="0" w:space="0" w:color="auto"/>
                        <w:left w:val="none" w:sz="0" w:space="0" w:color="auto"/>
                        <w:bottom w:val="none" w:sz="0" w:space="0" w:color="auto"/>
                        <w:right w:val="none" w:sz="0" w:space="0" w:color="auto"/>
                      </w:divBdr>
                    </w:div>
                  </w:divsChild>
                </w:div>
                <w:div w:id="947010160">
                  <w:marLeft w:val="0"/>
                  <w:marRight w:val="0"/>
                  <w:marTop w:val="0"/>
                  <w:marBottom w:val="0"/>
                  <w:divBdr>
                    <w:top w:val="none" w:sz="0" w:space="0" w:color="auto"/>
                    <w:left w:val="none" w:sz="0" w:space="0" w:color="auto"/>
                    <w:bottom w:val="none" w:sz="0" w:space="0" w:color="auto"/>
                    <w:right w:val="none" w:sz="0" w:space="0" w:color="auto"/>
                  </w:divBdr>
                  <w:divsChild>
                    <w:div w:id="1754010837">
                      <w:marLeft w:val="0"/>
                      <w:marRight w:val="0"/>
                      <w:marTop w:val="0"/>
                      <w:marBottom w:val="0"/>
                      <w:divBdr>
                        <w:top w:val="none" w:sz="0" w:space="0" w:color="auto"/>
                        <w:left w:val="none" w:sz="0" w:space="0" w:color="auto"/>
                        <w:bottom w:val="none" w:sz="0" w:space="0" w:color="auto"/>
                        <w:right w:val="none" w:sz="0" w:space="0" w:color="auto"/>
                      </w:divBdr>
                    </w:div>
                  </w:divsChild>
                </w:div>
                <w:div w:id="981664575">
                  <w:marLeft w:val="0"/>
                  <w:marRight w:val="0"/>
                  <w:marTop w:val="0"/>
                  <w:marBottom w:val="0"/>
                  <w:divBdr>
                    <w:top w:val="none" w:sz="0" w:space="0" w:color="auto"/>
                    <w:left w:val="none" w:sz="0" w:space="0" w:color="auto"/>
                    <w:bottom w:val="none" w:sz="0" w:space="0" w:color="auto"/>
                    <w:right w:val="none" w:sz="0" w:space="0" w:color="auto"/>
                  </w:divBdr>
                  <w:divsChild>
                    <w:div w:id="1333947921">
                      <w:marLeft w:val="0"/>
                      <w:marRight w:val="0"/>
                      <w:marTop w:val="0"/>
                      <w:marBottom w:val="0"/>
                      <w:divBdr>
                        <w:top w:val="none" w:sz="0" w:space="0" w:color="auto"/>
                        <w:left w:val="none" w:sz="0" w:space="0" w:color="auto"/>
                        <w:bottom w:val="none" w:sz="0" w:space="0" w:color="auto"/>
                        <w:right w:val="none" w:sz="0" w:space="0" w:color="auto"/>
                      </w:divBdr>
                    </w:div>
                  </w:divsChild>
                </w:div>
                <w:div w:id="1012226915">
                  <w:marLeft w:val="0"/>
                  <w:marRight w:val="0"/>
                  <w:marTop w:val="0"/>
                  <w:marBottom w:val="0"/>
                  <w:divBdr>
                    <w:top w:val="none" w:sz="0" w:space="0" w:color="auto"/>
                    <w:left w:val="none" w:sz="0" w:space="0" w:color="auto"/>
                    <w:bottom w:val="none" w:sz="0" w:space="0" w:color="auto"/>
                    <w:right w:val="none" w:sz="0" w:space="0" w:color="auto"/>
                  </w:divBdr>
                  <w:divsChild>
                    <w:div w:id="537396259">
                      <w:marLeft w:val="0"/>
                      <w:marRight w:val="0"/>
                      <w:marTop w:val="0"/>
                      <w:marBottom w:val="0"/>
                      <w:divBdr>
                        <w:top w:val="none" w:sz="0" w:space="0" w:color="auto"/>
                        <w:left w:val="none" w:sz="0" w:space="0" w:color="auto"/>
                        <w:bottom w:val="none" w:sz="0" w:space="0" w:color="auto"/>
                        <w:right w:val="none" w:sz="0" w:space="0" w:color="auto"/>
                      </w:divBdr>
                    </w:div>
                  </w:divsChild>
                </w:div>
                <w:div w:id="1016614135">
                  <w:marLeft w:val="0"/>
                  <w:marRight w:val="0"/>
                  <w:marTop w:val="0"/>
                  <w:marBottom w:val="0"/>
                  <w:divBdr>
                    <w:top w:val="none" w:sz="0" w:space="0" w:color="auto"/>
                    <w:left w:val="none" w:sz="0" w:space="0" w:color="auto"/>
                    <w:bottom w:val="none" w:sz="0" w:space="0" w:color="auto"/>
                    <w:right w:val="none" w:sz="0" w:space="0" w:color="auto"/>
                  </w:divBdr>
                  <w:divsChild>
                    <w:div w:id="521480707">
                      <w:marLeft w:val="0"/>
                      <w:marRight w:val="0"/>
                      <w:marTop w:val="0"/>
                      <w:marBottom w:val="0"/>
                      <w:divBdr>
                        <w:top w:val="none" w:sz="0" w:space="0" w:color="auto"/>
                        <w:left w:val="none" w:sz="0" w:space="0" w:color="auto"/>
                        <w:bottom w:val="none" w:sz="0" w:space="0" w:color="auto"/>
                        <w:right w:val="none" w:sz="0" w:space="0" w:color="auto"/>
                      </w:divBdr>
                    </w:div>
                  </w:divsChild>
                </w:div>
                <w:div w:id="1022904147">
                  <w:marLeft w:val="0"/>
                  <w:marRight w:val="0"/>
                  <w:marTop w:val="0"/>
                  <w:marBottom w:val="0"/>
                  <w:divBdr>
                    <w:top w:val="none" w:sz="0" w:space="0" w:color="auto"/>
                    <w:left w:val="none" w:sz="0" w:space="0" w:color="auto"/>
                    <w:bottom w:val="none" w:sz="0" w:space="0" w:color="auto"/>
                    <w:right w:val="none" w:sz="0" w:space="0" w:color="auto"/>
                  </w:divBdr>
                  <w:divsChild>
                    <w:div w:id="318964374">
                      <w:marLeft w:val="0"/>
                      <w:marRight w:val="0"/>
                      <w:marTop w:val="0"/>
                      <w:marBottom w:val="0"/>
                      <w:divBdr>
                        <w:top w:val="none" w:sz="0" w:space="0" w:color="auto"/>
                        <w:left w:val="none" w:sz="0" w:space="0" w:color="auto"/>
                        <w:bottom w:val="none" w:sz="0" w:space="0" w:color="auto"/>
                        <w:right w:val="none" w:sz="0" w:space="0" w:color="auto"/>
                      </w:divBdr>
                    </w:div>
                  </w:divsChild>
                </w:div>
                <w:div w:id="1040086677">
                  <w:marLeft w:val="0"/>
                  <w:marRight w:val="0"/>
                  <w:marTop w:val="0"/>
                  <w:marBottom w:val="0"/>
                  <w:divBdr>
                    <w:top w:val="none" w:sz="0" w:space="0" w:color="auto"/>
                    <w:left w:val="none" w:sz="0" w:space="0" w:color="auto"/>
                    <w:bottom w:val="none" w:sz="0" w:space="0" w:color="auto"/>
                    <w:right w:val="none" w:sz="0" w:space="0" w:color="auto"/>
                  </w:divBdr>
                  <w:divsChild>
                    <w:div w:id="11342781">
                      <w:marLeft w:val="0"/>
                      <w:marRight w:val="0"/>
                      <w:marTop w:val="0"/>
                      <w:marBottom w:val="0"/>
                      <w:divBdr>
                        <w:top w:val="none" w:sz="0" w:space="0" w:color="auto"/>
                        <w:left w:val="none" w:sz="0" w:space="0" w:color="auto"/>
                        <w:bottom w:val="none" w:sz="0" w:space="0" w:color="auto"/>
                        <w:right w:val="none" w:sz="0" w:space="0" w:color="auto"/>
                      </w:divBdr>
                    </w:div>
                  </w:divsChild>
                </w:div>
                <w:div w:id="1061749550">
                  <w:marLeft w:val="0"/>
                  <w:marRight w:val="0"/>
                  <w:marTop w:val="0"/>
                  <w:marBottom w:val="0"/>
                  <w:divBdr>
                    <w:top w:val="none" w:sz="0" w:space="0" w:color="auto"/>
                    <w:left w:val="none" w:sz="0" w:space="0" w:color="auto"/>
                    <w:bottom w:val="none" w:sz="0" w:space="0" w:color="auto"/>
                    <w:right w:val="none" w:sz="0" w:space="0" w:color="auto"/>
                  </w:divBdr>
                  <w:divsChild>
                    <w:div w:id="1704288898">
                      <w:marLeft w:val="0"/>
                      <w:marRight w:val="0"/>
                      <w:marTop w:val="0"/>
                      <w:marBottom w:val="0"/>
                      <w:divBdr>
                        <w:top w:val="none" w:sz="0" w:space="0" w:color="auto"/>
                        <w:left w:val="none" w:sz="0" w:space="0" w:color="auto"/>
                        <w:bottom w:val="none" w:sz="0" w:space="0" w:color="auto"/>
                        <w:right w:val="none" w:sz="0" w:space="0" w:color="auto"/>
                      </w:divBdr>
                    </w:div>
                  </w:divsChild>
                </w:div>
                <w:div w:id="1070423526">
                  <w:marLeft w:val="0"/>
                  <w:marRight w:val="0"/>
                  <w:marTop w:val="0"/>
                  <w:marBottom w:val="0"/>
                  <w:divBdr>
                    <w:top w:val="none" w:sz="0" w:space="0" w:color="auto"/>
                    <w:left w:val="none" w:sz="0" w:space="0" w:color="auto"/>
                    <w:bottom w:val="none" w:sz="0" w:space="0" w:color="auto"/>
                    <w:right w:val="none" w:sz="0" w:space="0" w:color="auto"/>
                  </w:divBdr>
                  <w:divsChild>
                    <w:div w:id="1167675109">
                      <w:marLeft w:val="0"/>
                      <w:marRight w:val="0"/>
                      <w:marTop w:val="0"/>
                      <w:marBottom w:val="0"/>
                      <w:divBdr>
                        <w:top w:val="none" w:sz="0" w:space="0" w:color="auto"/>
                        <w:left w:val="none" w:sz="0" w:space="0" w:color="auto"/>
                        <w:bottom w:val="none" w:sz="0" w:space="0" w:color="auto"/>
                        <w:right w:val="none" w:sz="0" w:space="0" w:color="auto"/>
                      </w:divBdr>
                    </w:div>
                  </w:divsChild>
                </w:div>
                <w:div w:id="1078214374">
                  <w:marLeft w:val="0"/>
                  <w:marRight w:val="0"/>
                  <w:marTop w:val="0"/>
                  <w:marBottom w:val="0"/>
                  <w:divBdr>
                    <w:top w:val="none" w:sz="0" w:space="0" w:color="auto"/>
                    <w:left w:val="none" w:sz="0" w:space="0" w:color="auto"/>
                    <w:bottom w:val="none" w:sz="0" w:space="0" w:color="auto"/>
                    <w:right w:val="none" w:sz="0" w:space="0" w:color="auto"/>
                  </w:divBdr>
                  <w:divsChild>
                    <w:div w:id="1173034007">
                      <w:marLeft w:val="0"/>
                      <w:marRight w:val="0"/>
                      <w:marTop w:val="0"/>
                      <w:marBottom w:val="0"/>
                      <w:divBdr>
                        <w:top w:val="none" w:sz="0" w:space="0" w:color="auto"/>
                        <w:left w:val="none" w:sz="0" w:space="0" w:color="auto"/>
                        <w:bottom w:val="none" w:sz="0" w:space="0" w:color="auto"/>
                        <w:right w:val="none" w:sz="0" w:space="0" w:color="auto"/>
                      </w:divBdr>
                    </w:div>
                  </w:divsChild>
                </w:div>
                <w:div w:id="1105156943">
                  <w:marLeft w:val="0"/>
                  <w:marRight w:val="0"/>
                  <w:marTop w:val="0"/>
                  <w:marBottom w:val="0"/>
                  <w:divBdr>
                    <w:top w:val="none" w:sz="0" w:space="0" w:color="auto"/>
                    <w:left w:val="none" w:sz="0" w:space="0" w:color="auto"/>
                    <w:bottom w:val="none" w:sz="0" w:space="0" w:color="auto"/>
                    <w:right w:val="none" w:sz="0" w:space="0" w:color="auto"/>
                  </w:divBdr>
                  <w:divsChild>
                    <w:div w:id="849610584">
                      <w:marLeft w:val="0"/>
                      <w:marRight w:val="0"/>
                      <w:marTop w:val="0"/>
                      <w:marBottom w:val="0"/>
                      <w:divBdr>
                        <w:top w:val="none" w:sz="0" w:space="0" w:color="auto"/>
                        <w:left w:val="none" w:sz="0" w:space="0" w:color="auto"/>
                        <w:bottom w:val="none" w:sz="0" w:space="0" w:color="auto"/>
                        <w:right w:val="none" w:sz="0" w:space="0" w:color="auto"/>
                      </w:divBdr>
                    </w:div>
                  </w:divsChild>
                </w:div>
                <w:div w:id="1107427515">
                  <w:marLeft w:val="0"/>
                  <w:marRight w:val="0"/>
                  <w:marTop w:val="0"/>
                  <w:marBottom w:val="0"/>
                  <w:divBdr>
                    <w:top w:val="none" w:sz="0" w:space="0" w:color="auto"/>
                    <w:left w:val="none" w:sz="0" w:space="0" w:color="auto"/>
                    <w:bottom w:val="none" w:sz="0" w:space="0" w:color="auto"/>
                    <w:right w:val="none" w:sz="0" w:space="0" w:color="auto"/>
                  </w:divBdr>
                  <w:divsChild>
                    <w:div w:id="977294817">
                      <w:marLeft w:val="0"/>
                      <w:marRight w:val="0"/>
                      <w:marTop w:val="0"/>
                      <w:marBottom w:val="0"/>
                      <w:divBdr>
                        <w:top w:val="none" w:sz="0" w:space="0" w:color="auto"/>
                        <w:left w:val="none" w:sz="0" w:space="0" w:color="auto"/>
                        <w:bottom w:val="none" w:sz="0" w:space="0" w:color="auto"/>
                        <w:right w:val="none" w:sz="0" w:space="0" w:color="auto"/>
                      </w:divBdr>
                    </w:div>
                  </w:divsChild>
                </w:div>
                <w:div w:id="1119569413">
                  <w:marLeft w:val="0"/>
                  <w:marRight w:val="0"/>
                  <w:marTop w:val="0"/>
                  <w:marBottom w:val="0"/>
                  <w:divBdr>
                    <w:top w:val="none" w:sz="0" w:space="0" w:color="auto"/>
                    <w:left w:val="none" w:sz="0" w:space="0" w:color="auto"/>
                    <w:bottom w:val="none" w:sz="0" w:space="0" w:color="auto"/>
                    <w:right w:val="none" w:sz="0" w:space="0" w:color="auto"/>
                  </w:divBdr>
                  <w:divsChild>
                    <w:div w:id="1480266945">
                      <w:marLeft w:val="0"/>
                      <w:marRight w:val="0"/>
                      <w:marTop w:val="0"/>
                      <w:marBottom w:val="0"/>
                      <w:divBdr>
                        <w:top w:val="none" w:sz="0" w:space="0" w:color="auto"/>
                        <w:left w:val="none" w:sz="0" w:space="0" w:color="auto"/>
                        <w:bottom w:val="none" w:sz="0" w:space="0" w:color="auto"/>
                        <w:right w:val="none" w:sz="0" w:space="0" w:color="auto"/>
                      </w:divBdr>
                    </w:div>
                  </w:divsChild>
                </w:div>
                <w:div w:id="1174996649">
                  <w:marLeft w:val="0"/>
                  <w:marRight w:val="0"/>
                  <w:marTop w:val="0"/>
                  <w:marBottom w:val="0"/>
                  <w:divBdr>
                    <w:top w:val="none" w:sz="0" w:space="0" w:color="auto"/>
                    <w:left w:val="none" w:sz="0" w:space="0" w:color="auto"/>
                    <w:bottom w:val="none" w:sz="0" w:space="0" w:color="auto"/>
                    <w:right w:val="none" w:sz="0" w:space="0" w:color="auto"/>
                  </w:divBdr>
                  <w:divsChild>
                    <w:div w:id="136459126">
                      <w:marLeft w:val="0"/>
                      <w:marRight w:val="0"/>
                      <w:marTop w:val="0"/>
                      <w:marBottom w:val="0"/>
                      <w:divBdr>
                        <w:top w:val="none" w:sz="0" w:space="0" w:color="auto"/>
                        <w:left w:val="none" w:sz="0" w:space="0" w:color="auto"/>
                        <w:bottom w:val="none" w:sz="0" w:space="0" w:color="auto"/>
                        <w:right w:val="none" w:sz="0" w:space="0" w:color="auto"/>
                      </w:divBdr>
                    </w:div>
                  </w:divsChild>
                </w:div>
                <w:div w:id="1181511269">
                  <w:marLeft w:val="0"/>
                  <w:marRight w:val="0"/>
                  <w:marTop w:val="0"/>
                  <w:marBottom w:val="0"/>
                  <w:divBdr>
                    <w:top w:val="none" w:sz="0" w:space="0" w:color="auto"/>
                    <w:left w:val="none" w:sz="0" w:space="0" w:color="auto"/>
                    <w:bottom w:val="none" w:sz="0" w:space="0" w:color="auto"/>
                    <w:right w:val="none" w:sz="0" w:space="0" w:color="auto"/>
                  </w:divBdr>
                  <w:divsChild>
                    <w:div w:id="2141921741">
                      <w:marLeft w:val="0"/>
                      <w:marRight w:val="0"/>
                      <w:marTop w:val="0"/>
                      <w:marBottom w:val="0"/>
                      <w:divBdr>
                        <w:top w:val="none" w:sz="0" w:space="0" w:color="auto"/>
                        <w:left w:val="none" w:sz="0" w:space="0" w:color="auto"/>
                        <w:bottom w:val="none" w:sz="0" w:space="0" w:color="auto"/>
                        <w:right w:val="none" w:sz="0" w:space="0" w:color="auto"/>
                      </w:divBdr>
                    </w:div>
                  </w:divsChild>
                </w:div>
                <w:div w:id="1184637774">
                  <w:marLeft w:val="0"/>
                  <w:marRight w:val="0"/>
                  <w:marTop w:val="0"/>
                  <w:marBottom w:val="0"/>
                  <w:divBdr>
                    <w:top w:val="none" w:sz="0" w:space="0" w:color="auto"/>
                    <w:left w:val="none" w:sz="0" w:space="0" w:color="auto"/>
                    <w:bottom w:val="none" w:sz="0" w:space="0" w:color="auto"/>
                    <w:right w:val="none" w:sz="0" w:space="0" w:color="auto"/>
                  </w:divBdr>
                  <w:divsChild>
                    <w:div w:id="1742405817">
                      <w:marLeft w:val="0"/>
                      <w:marRight w:val="0"/>
                      <w:marTop w:val="0"/>
                      <w:marBottom w:val="0"/>
                      <w:divBdr>
                        <w:top w:val="none" w:sz="0" w:space="0" w:color="auto"/>
                        <w:left w:val="none" w:sz="0" w:space="0" w:color="auto"/>
                        <w:bottom w:val="none" w:sz="0" w:space="0" w:color="auto"/>
                        <w:right w:val="none" w:sz="0" w:space="0" w:color="auto"/>
                      </w:divBdr>
                    </w:div>
                  </w:divsChild>
                </w:div>
                <w:div w:id="1199321951">
                  <w:marLeft w:val="0"/>
                  <w:marRight w:val="0"/>
                  <w:marTop w:val="0"/>
                  <w:marBottom w:val="0"/>
                  <w:divBdr>
                    <w:top w:val="none" w:sz="0" w:space="0" w:color="auto"/>
                    <w:left w:val="none" w:sz="0" w:space="0" w:color="auto"/>
                    <w:bottom w:val="none" w:sz="0" w:space="0" w:color="auto"/>
                    <w:right w:val="none" w:sz="0" w:space="0" w:color="auto"/>
                  </w:divBdr>
                  <w:divsChild>
                    <w:div w:id="254941501">
                      <w:marLeft w:val="0"/>
                      <w:marRight w:val="0"/>
                      <w:marTop w:val="0"/>
                      <w:marBottom w:val="0"/>
                      <w:divBdr>
                        <w:top w:val="none" w:sz="0" w:space="0" w:color="auto"/>
                        <w:left w:val="none" w:sz="0" w:space="0" w:color="auto"/>
                        <w:bottom w:val="none" w:sz="0" w:space="0" w:color="auto"/>
                        <w:right w:val="none" w:sz="0" w:space="0" w:color="auto"/>
                      </w:divBdr>
                    </w:div>
                  </w:divsChild>
                </w:div>
                <w:div w:id="1201433656">
                  <w:marLeft w:val="0"/>
                  <w:marRight w:val="0"/>
                  <w:marTop w:val="0"/>
                  <w:marBottom w:val="0"/>
                  <w:divBdr>
                    <w:top w:val="none" w:sz="0" w:space="0" w:color="auto"/>
                    <w:left w:val="none" w:sz="0" w:space="0" w:color="auto"/>
                    <w:bottom w:val="none" w:sz="0" w:space="0" w:color="auto"/>
                    <w:right w:val="none" w:sz="0" w:space="0" w:color="auto"/>
                  </w:divBdr>
                  <w:divsChild>
                    <w:div w:id="220020712">
                      <w:marLeft w:val="0"/>
                      <w:marRight w:val="0"/>
                      <w:marTop w:val="0"/>
                      <w:marBottom w:val="0"/>
                      <w:divBdr>
                        <w:top w:val="none" w:sz="0" w:space="0" w:color="auto"/>
                        <w:left w:val="none" w:sz="0" w:space="0" w:color="auto"/>
                        <w:bottom w:val="none" w:sz="0" w:space="0" w:color="auto"/>
                        <w:right w:val="none" w:sz="0" w:space="0" w:color="auto"/>
                      </w:divBdr>
                    </w:div>
                  </w:divsChild>
                </w:div>
                <w:div w:id="1256091171">
                  <w:marLeft w:val="0"/>
                  <w:marRight w:val="0"/>
                  <w:marTop w:val="0"/>
                  <w:marBottom w:val="0"/>
                  <w:divBdr>
                    <w:top w:val="none" w:sz="0" w:space="0" w:color="auto"/>
                    <w:left w:val="none" w:sz="0" w:space="0" w:color="auto"/>
                    <w:bottom w:val="none" w:sz="0" w:space="0" w:color="auto"/>
                    <w:right w:val="none" w:sz="0" w:space="0" w:color="auto"/>
                  </w:divBdr>
                  <w:divsChild>
                    <w:div w:id="1984188720">
                      <w:marLeft w:val="0"/>
                      <w:marRight w:val="0"/>
                      <w:marTop w:val="0"/>
                      <w:marBottom w:val="0"/>
                      <w:divBdr>
                        <w:top w:val="none" w:sz="0" w:space="0" w:color="auto"/>
                        <w:left w:val="none" w:sz="0" w:space="0" w:color="auto"/>
                        <w:bottom w:val="none" w:sz="0" w:space="0" w:color="auto"/>
                        <w:right w:val="none" w:sz="0" w:space="0" w:color="auto"/>
                      </w:divBdr>
                    </w:div>
                  </w:divsChild>
                </w:div>
                <w:div w:id="1267152266">
                  <w:marLeft w:val="0"/>
                  <w:marRight w:val="0"/>
                  <w:marTop w:val="0"/>
                  <w:marBottom w:val="0"/>
                  <w:divBdr>
                    <w:top w:val="none" w:sz="0" w:space="0" w:color="auto"/>
                    <w:left w:val="none" w:sz="0" w:space="0" w:color="auto"/>
                    <w:bottom w:val="none" w:sz="0" w:space="0" w:color="auto"/>
                    <w:right w:val="none" w:sz="0" w:space="0" w:color="auto"/>
                  </w:divBdr>
                  <w:divsChild>
                    <w:div w:id="199249944">
                      <w:marLeft w:val="0"/>
                      <w:marRight w:val="0"/>
                      <w:marTop w:val="0"/>
                      <w:marBottom w:val="0"/>
                      <w:divBdr>
                        <w:top w:val="none" w:sz="0" w:space="0" w:color="auto"/>
                        <w:left w:val="none" w:sz="0" w:space="0" w:color="auto"/>
                        <w:bottom w:val="none" w:sz="0" w:space="0" w:color="auto"/>
                        <w:right w:val="none" w:sz="0" w:space="0" w:color="auto"/>
                      </w:divBdr>
                    </w:div>
                  </w:divsChild>
                </w:div>
                <w:div w:id="1272326332">
                  <w:marLeft w:val="0"/>
                  <w:marRight w:val="0"/>
                  <w:marTop w:val="0"/>
                  <w:marBottom w:val="0"/>
                  <w:divBdr>
                    <w:top w:val="none" w:sz="0" w:space="0" w:color="auto"/>
                    <w:left w:val="none" w:sz="0" w:space="0" w:color="auto"/>
                    <w:bottom w:val="none" w:sz="0" w:space="0" w:color="auto"/>
                    <w:right w:val="none" w:sz="0" w:space="0" w:color="auto"/>
                  </w:divBdr>
                  <w:divsChild>
                    <w:div w:id="929121664">
                      <w:marLeft w:val="0"/>
                      <w:marRight w:val="0"/>
                      <w:marTop w:val="0"/>
                      <w:marBottom w:val="0"/>
                      <w:divBdr>
                        <w:top w:val="none" w:sz="0" w:space="0" w:color="auto"/>
                        <w:left w:val="none" w:sz="0" w:space="0" w:color="auto"/>
                        <w:bottom w:val="none" w:sz="0" w:space="0" w:color="auto"/>
                        <w:right w:val="none" w:sz="0" w:space="0" w:color="auto"/>
                      </w:divBdr>
                    </w:div>
                  </w:divsChild>
                </w:div>
                <w:div w:id="1279142529">
                  <w:marLeft w:val="0"/>
                  <w:marRight w:val="0"/>
                  <w:marTop w:val="0"/>
                  <w:marBottom w:val="0"/>
                  <w:divBdr>
                    <w:top w:val="none" w:sz="0" w:space="0" w:color="auto"/>
                    <w:left w:val="none" w:sz="0" w:space="0" w:color="auto"/>
                    <w:bottom w:val="none" w:sz="0" w:space="0" w:color="auto"/>
                    <w:right w:val="none" w:sz="0" w:space="0" w:color="auto"/>
                  </w:divBdr>
                  <w:divsChild>
                    <w:div w:id="448087971">
                      <w:marLeft w:val="0"/>
                      <w:marRight w:val="0"/>
                      <w:marTop w:val="0"/>
                      <w:marBottom w:val="0"/>
                      <w:divBdr>
                        <w:top w:val="none" w:sz="0" w:space="0" w:color="auto"/>
                        <w:left w:val="none" w:sz="0" w:space="0" w:color="auto"/>
                        <w:bottom w:val="none" w:sz="0" w:space="0" w:color="auto"/>
                        <w:right w:val="none" w:sz="0" w:space="0" w:color="auto"/>
                      </w:divBdr>
                    </w:div>
                  </w:divsChild>
                </w:div>
                <w:div w:id="1279217270">
                  <w:marLeft w:val="0"/>
                  <w:marRight w:val="0"/>
                  <w:marTop w:val="0"/>
                  <w:marBottom w:val="0"/>
                  <w:divBdr>
                    <w:top w:val="none" w:sz="0" w:space="0" w:color="auto"/>
                    <w:left w:val="none" w:sz="0" w:space="0" w:color="auto"/>
                    <w:bottom w:val="none" w:sz="0" w:space="0" w:color="auto"/>
                    <w:right w:val="none" w:sz="0" w:space="0" w:color="auto"/>
                  </w:divBdr>
                  <w:divsChild>
                    <w:div w:id="1835031353">
                      <w:marLeft w:val="0"/>
                      <w:marRight w:val="0"/>
                      <w:marTop w:val="0"/>
                      <w:marBottom w:val="0"/>
                      <w:divBdr>
                        <w:top w:val="none" w:sz="0" w:space="0" w:color="auto"/>
                        <w:left w:val="none" w:sz="0" w:space="0" w:color="auto"/>
                        <w:bottom w:val="none" w:sz="0" w:space="0" w:color="auto"/>
                        <w:right w:val="none" w:sz="0" w:space="0" w:color="auto"/>
                      </w:divBdr>
                    </w:div>
                  </w:divsChild>
                </w:div>
                <w:div w:id="1288243072">
                  <w:marLeft w:val="0"/>
                  <w:marRight w:val="0"/>
                  <w:marTop w:val="0"/>
                  <w:marBottom w:val="0"/>
                  <w:divBdr>
                    <w:top w:val="none" w:sz="0" w:space="0" w:color="auto"/>
                    <w:left w:val="none" w:sz="0" w:space="0" w:color="auto"/>
                    <w:bottom w:val="none" w:sz="0" w:space="0" w:color="auto"/>
                    <w:right w:val="none" w:sz="0" w:space="0" w:color="auto"/>
                  </w:divBdr>
                  <w:divsChild>
                    <w:div w:id="1439911777">
                      <w:marLeft w:val="0"/>
                      <w:marRight w:val="0"/>
                      <w:marTop w:val="0"/>
                      <w:marBottom w:val="0"/>
                      <w:divBdr>
                        <w:top w:val="none" w:sz="0" w:space="0" w:color="auto"/>
                        <w:left w:val="none" w:sz="0" w:space="0" w:color="auto"/>
                        <w:bottom w:val="none" w:sz="0" w:space="0" w:color="auto"/>
                        <w:right w:val="none" w:sz="0" w:space="0" w:color="auto"/>
                      </w:divBdr>
                    </w:div>
                  </w:divsChild>
                </w:div>
                <w:div w:id="1353917853">
                  <w:marLeft w:val="0"/>
                  <w:marRight w:val="0"/>
                  <w:marTop w:val="0"/>
                  <w:marBottom w:val="0"/>
                  <w:divBdr>
                    <w:top w:val="none" w:sz="0" w:space="0" w:color="auto"/>
                    <w:left w:val="none" w:sz="0" w:space="0" w:color="auto"/>
                    <w:bottom w:val="none" w:sz="0" w:space="0" w:color="auto"/>
                    <w:right w:val="none" w:sz="0" w:space="0" w:color="auto"/>
                  </w:divBdr>
                  <w:divsChild>
                    <w:div w:id="186062965">
                      <w:marLeft w:val="0"/>
                      <w:marRight w:val="0"/>
                      <w:marTop w:val="0"/>
                      <w:marBottom w:val="0"/>
                      <w:divBdr>
                        <w:top w:val="none" w:sz="0" w:space="0" w:color="auto"/>
                        <w:left w:val="none" w:sz="0" w:space="0" w:color="auto"/>
                        <w:bottom w:val="none" w:sz="0" w:space="0" w:color="auto"/>
                        <w:right w:val="none" w:sz="0" w:space="0" w:color="auto"/>
                      </w:divBdr>
                    </w:div>
                  </w:divsChild>
                </w:div>
                <w:div w:id="1368986935">
                  <w:marLeft w:val="0"/>
                  <w:marRight w:val="0"/>
                  <w:marTop w:val="0"/>
                  <w:marBottom w:val="0"/>
                  <w:divBdr>
                    <w:top w:val="none" w:sz="0" w:space="0" w:color="auto"/>
                    <w:left w:val="none" w:sz="0" w:space="0" w:color="auto"/>
                    <w:bottom w:val="none" w:sz="0" w:space="0" w:color="auto"/>
                    <w:right w:val="none" w:sz="0" w:space="0" w:color="auto"/>
                  </w:divBdr>
                  <w:divsChild>
                    <w:div w:id="634914268">
                      <w:marLeft w:val="0"/>
                      <w:marRight w:val="0"/>
                      <w:marTop w:val="0"/>
                      <w:marBottom w:val="0"/>
                      <w:divBdr>
                        <w:top w:val="none" w:sz="0" w:space="0" w:color="auto"/>
                        <w:left w:val="none" w:sz="0" w:space="0" w:color="auto"/>
                        <w:bottom w:val="none" w:sz="0" w:space="0" w:color="auto"/>
                        <w:right w:val="none" w:sz="0" w:space="0" w:color="auto"/>
                      </w:divBdr>
                    </w:div>
                  </w:divsChild>
                </w:div>
                <w:div w:id="1377199707">
                  <w:marLeft w:val="0"/>
                  <w:marRight w:val="0"/>
                  <w:marTop w:val="0"/>
                  <w:marBottom w:val="0"/>
                  <w:divBdr>
                    <w:top w:val="none" w:sz="0" w:space="0" w:color="auto"/>
                    <w:left w:val="none" w:sz="0" w:space="0" w:color="auto"/>
                    <w:bottom w:val="none" w:sz="0" w:space="0" w:color="auto"/>
                    <w:right w:val="none" w:sz="0" w:space="0" w:color="auto"/>
                  </w:divBdr>
                  <w:divsChild>
                    <w:div w:id="342320964">
                      <w:marLeft w:val="0"/>
                      <w:marRight w:val="0"/>
                      <w:marTop w:val="0"/>
                      <w:marBottom w:val="0"/>
                      <w:divBdr>
                        <w:top w:val="none" w:sz="0" w:space="0" w:color="auto"/>
                        <w:left w:val="none" w:sz="0" w:space="0" w:color="auto"/>
                        <w:bottom w:val="none" w:sz="0" w:space="0" w:color="auto"/>
                        <w:right w:val="none" w:sz="0" w:space="0" w:color="auto"/>
                      </w:divBdr>
                    </w:div>
                  </w:divsChild>
                </w:div>
                <w:div w:id="1379237204">
                  <w:marLeft w:val="0"/>
                  <w:marRight w:val="0"/>
                  <w:marTop w:val="0"/>
                  <w:marBottom w:val="0"/>
                  <w:divBdr>
                    <w:top w:val="none" w:sz="0" w:space="0" w:color="auto"/>
                    <w:left w:val="none" w:sz="0" w:space="0" w:color="auto"/>
                    <w:bottom w:val="none" w:sz="0" w:space="0" w:color="auto"/>
                    <w:right w:val="none" w:sz="0" w:space="0" w:color="auto"/>
                  </w:divBdr>
                  <w:divsChild>
                    <w:div w:id="840781972">
                      <w:marLeft w:val="0"/>
                      <w:marRight w:val="0"/>
                      <w:marTop w:val="0"/>
                      <w:marBottom w:val="0"/>
                      <w:divBdr>
                        <w:top w:val="none" w:sz="0" w:space="0" w:color="auto"/>
                        <w:left w:val="none" w:sz="0" w:space="0" w:color="auto"/>
                        <w:bottom w:val="none" w:sz="0" w:space="0" w:color="auto"/>
                        <w:right w:val="none" w:sz="0" w:space="0" w:color="auto"/>
                      </w:divBdr>
                    </w:div>
                  </w:divsChild>
                </w:div>
                <w:div w:id="1406032462">
                  <w:marLeft w:val="0"/>
                  <w:marRight w:val="0"/>
                  <w:marTop w:val="0"/>
                  <w:marBottom w:val="0"/>
                  <w:divBdr>
                    <w:top w:val="none" w:sz="0" w:space="0" w:color="auto"/>
                    <w:left w:val="none" w:sz="0" w:space="0" w:color="auto"/>
                    <w:bottom w:val="none" w:sz="0" w:space="0" w:color="auto"/>
                    <w:right w:val="none" w:sz="0" w:space="0" w:color="auto"/>
                  </w:divBdr>
                  <w:divsChild>
                    <w:div w:id="1008488789">
                      <w:marLeft w:val="0"/>
                      <w:marRight w:val="0"/>
                      <w:marTop w:val="0"/>
                      <w:marBottom w:val="0"/>
                      <w:divBdr>
                        <w:top w:val="none" w:sz="0" w:space="0" w:color="auto"/>
                        <w:left w:val="none" w:sz="0" w:space="0" w:color="auto"/>
                        <w:bottom w:val="none" w:sz="0" w:space="0" w:color="auto"/>
                        <w:right w:val="none" w:sz="0" w:space="0" w:color="auto"/>
                      </w:divBdr>
                    </w:div>
                  </w:divsChild>
                </w:div>
                <w:div w:id="1409493844">
                  <w:marLeft w:val="0"/>
                  <w:marRight w:val="0"/>
                  <w:marTop w:val="0"/>
                  <w:marBottom w:val="0"/>
                  <w:divBdr>
                    <w:top w:val="none" w:sz="0" w:space="0" w:color="auto"/>
                    <w:left w:val="none" w:sz="0" w:space="0" w:color="auto"/>
                    <w:bottom w:val="none" w:sz="0" w:space="0" w:color="auto"/>
                    <w:right w:val="none" w:sz="0" w:space="0" w:color="auto"/>
                  </w:divBdr>
                  <w:divsChild>
                    <w:div w:id="1792703525">
                      <w:marLeft w:val="0"/>
                      <w:marRight w:val="0"/>
                      <w:marTop w:val="0"/>
                      <w:marBottom w:val="0"/>
                      <w:divBdr>
                        <w:top w:val="none" w:sz="0" w:space="0" w:color="auto"/>
                        <w:left w:val="none" w:sz="0" w:space="0" w:color="auto"/>
                        <w:bottom w:val="none" w:sz="0" w:space="0" w:color="auto"/>
                        <w:right w:val="none" w:sz="0" w:space="0" w:color="auto"/>
                      </w:divBdr>
                    </w:div>
                  </w:divsChild>
                </w:div>
                <w:div w:id="1409570504">
                  <w:marLeft w:val="0"/>
                  <w:marRight w:val="0"/>
                  <w:marTop w:val="0"/>
                  <w:marBottom w:val="0"/>
                  <w:divBdr>
                    <w:top w:val="none" w:sz="0" w:space="0" w:color="auto"/>
                    <w:left w:val="none" w:sz="0" w:space="0" w:color="auto"/>
                    <w:bottom w:val="none" w:sz="0" w:space="0" w:color="auto"/>
                    <w:right w:val="none" w:sz="0" w:space="0" w:color="auto"/>
                  </w:divBdr>
                  <w:divsChild>
                    <w:div w:id="2068844691">
                      <w:marLeft w:val="0"/>
                      <w:marRight w:val="0"/>
                      <w:marTop w:val="0"/>
                      <w:marBottom w:val="0"/>
                      <w:divBdr>
                        <w:top w:val="none" w:sz="0" w:space="0" w:color="auto"/>
                        <w:left w:val="none" w:sz="0" w:space="0" w:color="auto"/>
                        <w:bottom w:val="none" w:sz="0" w:space="0" w:color="auto"/>
                        <w:right w:val="none" w:sz="0" w:space="0" w:color="auto"/>
                      </w:divBdr>
                    </w:div>
                  </w:divsChild>
                </w:div>
                <w:div w:id="1426268294">
                  <w:marLeft w:val="0"/>
                  <w:marRight w:val="0"/>
                  <w:marTop w:val="0"/>
                  <w:marBottom w:val="0"/>
                  <w:divBdr>
                    <w:top w:val="none" w:sz="0" w:space="0" w:color="auto"/>
                    <w:left w:val="none" w:sz="0" w:space="0" w:color="auto"/>
                    <w:bottom w:val="none" w:sz="0" w:space="0" w:color="auto"/>
                    <w:right w:val="none" w:sz="0" w:space="0" w:color="auto"/>
                  </w:divBdr>
                  <w:divsChild>
                    <w:div w:id="1214384347">
                      <w:marLeft w:val="0"/>
                      <w:marRight w:val="0"/>
                      <w:marTop w:val="0"/>
                      <w:marBottom w:val="0"/>
                      <w:divBdr>
                        <w:top w:val="none" w:sz="0" w:space="0" w:color="auto"/>
                        <w:left w:val="none" w:sz="0" w:space="0" w:color="auto"/>
                        <w:bottom w:val="none" w:sz="0" w:space="0" w:color="auto"/>
                        <w:right w:val="none" w:sz="0" w:space="0" w:color="auto"/>
                      </w:divBdr>
                    </w:div>
                  </w:divsChild>
                </w:div>
                <w:div w:id="1430393206">
                  <w:marLeft w:val="0"/>
                  <w:marRight w:val="0"/>
                  <w:marTop w:val="0"/>
                  <w:marBottom w:val="0"/>
                  <w:divBdr>
                    <w:top w:val="none" w:sz="0" w:space="0" w:color="auto"/>
                    <w:left w:val="none" w:sz="0" w:space="0" w:color="auto"/>
                    <w:bottom w:val="none" w:sz="0" w:space="0" w:color="auto"/>
                    <w:right w:val="none" w:sz="0" w:space="0" w:color="auto"/>
                  </w:divBdr>
                  <w:divsChild>
                    <w:div w:id="745344947">
                      <w:marLeft w:val="0"/>
                      <w:marRight w:val="0"/>
                      <w:marTop w:val="0"/>
                      <w:marBottom w:val="0"/>
                      <w:divBdr>
                        <w:top w:val="none" w:sz="0" w:space="0" w:color="auto"/>
                        <w:left w:val="none" w:sz="0" w:space="0" w:color="auto"/>
                        <w:bottom w:val="none" w:sz="0" w:space="0" w:color="auto"/>
                        <w:right w:val="none" w:sz="0" w:space="0" w:color="auto"/>
                      </w:divBdr>
                    </w:div>
                  </w:divsChild>
                </w:div>
                <w:div w:id="1433555083">
                  <w:marLeft w:val="0"/>
                  <w:marRight w:val="0"/>
                  <w:marTop w:val="0"/>
                  <w:marBottom w:val="0"/>
                  <w:divBdr>
                    <w:top w:val="none" w:sz="0" w:space="0" w:color="auto"/>
                    <w:left w:val="none" w:sz="0" w:space="0" w:color="auto"/>
                    <w:bottom w:val="none" w:sz="0" w:space="0" w:color="auto"/>
                    <w:right w:val="none" w:sz="0" w:space="0" w:color="auto"/>
                  </w:divBdr>
                  <w:divsChild>
                    <w:div w:id="1626695239">
                      <w:marLeft w:val="0"/>
                      <w:marRight w:val="0"/>
                      <w:marTop w:val="0"/>
                      <w:marBottom w:val="0"/>
                      <w:divBdr>
                        <w:top w:val="none" w:sz="0" w:space="0" w:color="auto"/>
                        <w:left w:val="none" w:sz="0" w:space="0" w:color="auto"/>
                        <w:bottom w:val="none" w:sz="0" w:space="0" w:color="auto"/>
                        <w:right w:val="none" w:sz="0" w:space="0" w:color="auto"/>
                      </w:divBdr>
                    </w:div>
                  </w:divsChild>
                </w:div>
                <w:div w:id="1435706735">
                  <w:marLeft w:val="0"/>
                  <w:marRight w:val="0"/>
                  <w:marTop w:val="0"/>
                  <w:marBottom w:val="0"/>
                  <w:divBdr>
                    <w:top w:val="none" w:sz="0" w:space="0" w:color="auto"/>
                    <w:left w:val="none" w:sz="0" w:space="0" w:color="auto"/>
                    <w:bottom w:val="none" w:sz="0" w:space="0" w:color="auto"/>
                    <w:right w:val="none" w:sz="0" w:space="0" w:color="auto"/>
                  </w:divBdr>
                  <w:divsChild>
                    <w:div w:id="1689797789">
                      <w:marLeft w:val="0"/>
                      <w:marRight w:val="0"/>
                      <w:marTop w:val="0"/>
                      <w:marBottom w:val="0"/>
                      <w:divBdr>
                        <w:top w:val="none" w:sz="0" w:space="0" w:color="auto"/>
                        <w:left w:val="none" w:sz="0" w:space="0" w:color="auto"/>
                        <w:bottom w:val="none" w:sz="0" w:space="0" w:color="auto"/>
                        <w:right w:val="none" w:sz="0" w:space="0" w:color="auto"/>
                      </w:divBdr>
                    </w:div>
                  </w:divsChild>
                </w:div>
                <w:div w:id="1440879522">
                  <w:marLeft w:val="0"/>
                  <w:marRight w:val="0"/>
                  <w:marTop w:val="0"/>
                  <w:marBottom w:val="0"/>
                  <w:divBdr>
                    <w:top w:val="none" w:sz="0" w:space="0" w:color="auto"/>
                    <w:left w:val="none" w:sz="0" w:space="0" w:color="auto"/>
                    <w:bottom w:val="none" w:sz="0" w:space="0" w:color="auto"/>
                    <w:right w:val="none" w:sz="0" w:space="0" w:color="auto"/>
                  </w:divBdr>
                  <w:divsChild>
                    <w:div w:id="1679503242">
                      <w:marLeft w:val="0"/>
                      <w:marRight w:val="0"/>
                      <w:marTop w:val="0"/>
                      <w:marBottom w:val="0"/>
                      <w:divBdr>
                        <w:top w:val="none" w:sz="0" w:space="0" w:color="auto"/>
                        <w:left w:val="none" w:sz="0" w:space="0" w:color="auto"/>
                        <w:bottom w:val="none" w:sz="0" w:space="0" w:color="auto"/>
                        <w:right w:val="none" w:sz="0" w:space="0" w:color="auto"/>
                      </w:divBdr>
                    </w:div>
                  </w:divsChild>
                </w:div>
                <w:div w:id="1486043357">
                  <w:marLeft w:val="0"/>
                  <w:marRight w:val="0"/>
                  <w:marTop w:val="0"/>
                  <w:marBottom w:val="0"/>
                  <w:divBdr>
                    <w:top w:val="none" w:sz="0" w:space="0" w:color="auto"/>
                    <w:left w:val="none" w:sz="0" w:space="0" w:color="auto"/>
                    <w:bottom w:val="none" w:sz="0" w:space="0" w:color="auto"/>
                    <w:right w:val="none" w:sz="0" w:space="0" w:color="auto"/>
                  </w:divBdr>
                  <w:divsChild>
                    <w:div w:id="1465154261">
                      <w:marLeft w:val="0"/>
                      <w:marRight w:val="0"/>
                      <w:marTop w:val="0"/>
                      <w:marBottom w:val="0"/>
                      <w:divBdr>
                        <w:top w:val="none" w:sz="0" w:space="0" w:color="auto"/>
                        <w:left w:val="none" w:sz="0" w:space="0" w:color="auto"/>
                        <w:bottom w:val="none" w:sz="0" w:space="0" w:color="auto"/>
                        <w:right w:val="none" w:sz="0" w:space="0" w:color="auto"/>
                      </w:divBdr>
                    </w:div>
                  </w:divsChild>
                </w:div>
                <w:div w:id="1490362853">
                  <w:marLeft w:val="0"/>
                  <w:marRight w:val="0"/>
                  <w:marTop w:val="0"/>
                  <w:marBottom w:val="0"/>
                  <w:divBdr>
                    <w:top w:val="none" w:sz="0" w:space="0" w:color="auto"/>
                    <w:left w:val="none" w:sz="0" w:space="0" w:color="auto"/>
                    <w:bottom w:val="none" w:sz="0" w:space="0" w:color="auto"/>
                    <w:right w:val="none" w:sz="0" w:space="0" w:color="auto"/>
                  </w:divBdr>
                  <w:divsChild>
                    <w:div w:id="22949617">
                      <w:marLeft w:val="0"/>
                      <w:marRight w:val="0"/>
                      <w:marTop w:val="0"/>
                      <w:marBottom w:val="0"/>
                      <w:divBdr>
                        <w:top w:val="none" w:sz="0" w:space="0" w:color="auto"/>
                        <w:left w:val="none" w:sz="0" w:space="0" w:color="auto"/>
                        <w:bottom w:val="none" w:sz="0" w:space="0" w:color="auto"/>
                        <w:right w:val="none" w:sz="0" w:space="0" w:color="auto"/>
                      </w:divBdr>
                    </w:div>
                  </w:divsChild>
                </w:div>
                <w:div w:id="1493520165">
                  <w:marLeft w:val="0"/>
                  <w:marRight w:val="0"/>
                  <w:marTop w:val="0"/>
                  <w:marBottom w:val="0"/>
                  <w:divBdr>
                    <w:top w:val="none" w:sz="0" w:space="0" w:color="auto"/>
                    <w:left w:val="none" w:sz="0" w:space="0" w:color="auto"/>
                    <w:bottom w:val="none" w:sz="0" w:space="0" w:color="auto"/>
                    <w:right w:val="none" w:sz="0" w:space="0" w:color="auto"/>
                  </w:divBdr>
                  <w:divsChild>
                    <w:div w:id="456148035">
                      <w:marLeft w:val="0"/>
                      <w:marRight w:val="0"/>
                      <w:marTop w:val="0"/>
                      <w:marBottom w:val="0"/>
                      <w:divBdr>
                        <w:top w:val="none" w:sz="0" w:space="0" w:color="auto"/>
                        <w:left w:val="none" w:sz="0" w:space="0" w:color="auto"/>
                        <w:bottom w:val="none" w:sz="0" w:space="0" w:color="auto"/>
                        <w:right w:val="none" w:sz="0" w:space="0" w:color="auto"/>
                      </w:divBdr>
                    </w:div>
                  </w:divsChild>
                </w:div>
                <w:div w:id="1500079311">
                  <w:marLeft w:val="0"/>
                  <w:marRight w:val="0"/>
                  <w:marTop w:val="0"/>
                  <w:marBottom w:val="0"/>
                  <w:divBdr>
                    <w:top w:val="none" w:sz="0" w:space="0" w:color="auto"/>
                    <w:left w:val="none" w:sz="0" w:space="0" w:color="auto"/>
                    <w:bottom w:val="none" w:sz="0" w:space="0" w:color="auto"/>
                    <w:right w:val="none" w:sz="0" w:space="0" w:color="auto"/>
                  </w:divBdr>
                  <w:divsChild>
                    <w:div w:id="1330329883">
                      <w:marLeft w:val="0"/>
                      <w:marRight w:val="0"/>
                      <w:marTop w:val="0"/>
                      <w:marBottom w:val="0"/>
                      <w:divBdr>
                        <w:top w:val="none" w:sz="0" w:space="0" w:color="auto"/>
                        <w:left w:val="none" w:sz="0" w:space="0" w:color="auto"/>
                        <w:bottom w:val="none" w:sz="0" w:space="0" w:color="auto"/>
                        <w:right w:val="none" w:sz="0" w:space="0" w:color="auto"/>
                      </w:divBdr>
                    </w:div>
                  </w:divsChild>
                </w:div>
                <w:div w:id="1506743398">
                  <w:marLeft w:val="0"/>
                  <w:marRight w:val="0"/>
                  <w:marTop w:val="0"/>
                  <w:marBottom w:val="0"/>
                  <w:divBdr>
                    <w:top w:val="none" w:sz="0" w:space="0" w:color="auto"/>
                    <w:left w:val="none" w:sz="0" w:space="0" w:color="auto"/>
                    <w:bottom w:val="none" w:sz="0" w:space="0" w:color="auto"/>
                    <w:right w:val="none" w:sz="0" w:space="0" w:color="auto"/>
                  </w:divBdr>
                  <w:divsChild>
                    <w:div w:id="184682662">
                      <w:marLeft w:val="0"/>
                      <w:marRight w:val="0"/>
                      <w:marTop w:val="0"/>
                      <w:marBottom w:val="0"/>
                      <w:divBdr>
                        <w:top w:val="none" w:sz="0" w:space="0" w:color="auto"/>
                        <w:left w:val="none" w:sz="0" w:space="0" w:color="auto"/>
                        <w:bottom w:val="none" w:sz="0" w:space="0" w:color="auto"/>
                        <w:right w:val="none" w:sz="0" w:space="0" w:color="auto"/>
                      </w:divBdr>
                    </w:div>
                  </w:divsChild>
                </w:div>
                <w:div w:id="1526821406">
                  <w:marLeft w:val="0"/>
                  <w:marRight w:val="0"/>
                  <w:marTop w:val="0"/>
                  <w:marBottom w:val="0"/>
                  <w:divBdr>
                    <w:top w:val="none" w:sz="0" w:space="0" w:color="auto"/>
                    <w:left w:val="none" w:sz="0" w:space="0" w:color="auto"/>
                    <w:bottom w:val="none" w:sz="0" w:space="0" w:color="auto"/>
                    <w:right w:val="none" w:sz="0" w:space="0" w:color="auto"/>
                  </w:divBdr>
                  <w:divsChild>
                    <w:div w:id="1574663028">
                      <w:marLeft w:val="0"/>
                      <w:marRight w:val="0"/>
                      <w:marTop w:val="0"/>
                      <w:marBottom w:val="0"/>
                      <w:divBdr>
                        <w:top w:val="none" w:sz="0" w:space="0" w:color="auto"/>
                        <w:left w:val="none" w:sz="0" w:space="0" w:color="auto"/>
                        <w:bottom w:val="none" w:sz="0" w:space="0" w:color="auto"/>
                        <w:right w:val="none" w:sz="0" w:space="0" w:color="auto"/>
                      </w:divBdr>
                    </w:div>
                  </w:divsChild>
                </w:div>
                <w:div w:id="1554583824">
                  <w:marLeft w:val="0"/>
                  <w:marRight w:val="0"/>
                  <w:marTop w:val="0"/>
                  <w:marBottom w:val="0"/>
                  <w:divBdr>
                    <w:top w:val="none" w:sz="0" w:space="0" w:color="auto"/>
                    <w:left w:val="none" w:sz="0" w:space="0" w:color="auto"/>
                    <w:bottom w:val="none" w:sz="0" w:space="0" w:color="auto"/>
                    <w:right w:val="none" w:sz="0" w:space="0" w:color="auto"/>
                  </w:divBdr>
                  <w:divsChild>
                    <w:div w:id="1031612595">
                      <w:marLeft w:val="0"/>
                      <w:marRight w:val="0"/>
                      <w:marTop w:val="0"/>
                      <w:marBottom w:val="0"/>
                      <w:divBdr>
                        <w:top w:val="none" w:sz="0" w:space="0" w:color="auto"/>
                        <w:left w:val="none" w:sz="0" w:space="0" w:color="auto"/>
                        <w:bottom w:val="none" w:sz="0" w:space="0" w:color="auto"/>
                        <w:right w:val="none" w:sz="0" w:space="0" w:color="auto"/>
                      </w:divBdr>
                    </w:div>
                  </w:divsChild>
                </w:div>
                <w:div w:id="1565800775">
                  <w:marLeft w:val="0"/>
                  <w:marRight w:val="0"/>
                  <w:marTop w:val="0"/>
                  <w:marBottom w:val="0"/>
                  <w:divBdr>
                    <w:top w:val="none" w:sz="0" w:space="0" w:color="auto"/>
                    <w:left w:val="none" w:sz="0" w:space="0" w:color="auto"/>
                    <w:bottom w:val="none" w:sz="0" w:space="0" w:color="auto"/>
                    <w:right w:val="none" w:sz="0" w:space="0" w:color="auto"/>
                  </w:divBdr>
                  <w:divsChild>
                    <w:div w:id="893858061">
                      <w:marLeft w:val="0"/>
                      <w:marRight w:val="0"/>
                      <w:marTop w:val="0"/>
                      <w:marBottom w:val="0"/>
                      <w:divBdr>
                        <w:top w:val="none" w:sz="0" w:space="0" w:color="auto"/>
                        <w:left w:val="none" w:sz="0" w:space="0" w:color="auto"/>
                        <w:bottom w:val="none" w:sz="0" w:space="0" w:color="auto"/>
                        <w:right w:val="none" w:sz="0" w:space="0" w:color="auto"/>
                      </w:divBdr>
                    </w:div>
                  </w:divsChild>
                </w:div>
                <w:div w:id="1612468185">
                  <w:marLeft w:val="0"/>
                  <w:marRight w:val="0"/>
                  <w:marTop w:val="0"/>
                  <w:marBottom w:val="0"/>
                  <w:divBdr>
                    <w:top w:val="none" w:sz="0" w:space="0" w:color="auto"/>
                    <w:left w:val="none" w:sz="0" w:space="0" w:color="auto"/>
                    <w:bottom w:val="none" w:sz="0" w:space="0" w:color="auto"/>
                    <w:right w:val="none" w:sz="0" w:space="0" w:color="auto"/>
                  </w:divBdr>
                  <w:divsChild>
                    <w:div w:id="734814968">
                      <w:marLeft w:val="0"/>
                      <w:marRight w:val="0"/>
                      <w:marTop w:val="0"/>
                      <w:marBottom w:val="0"/>
                      <w:divBdr>
                        <w:top w:val="none" w:sz="0" w:space="0" w:color="auto"/>
                        <w:left w:val="none" w:sz="0" w:space="0" w:color="auto"/>
                        <w:bottom w:val="none" w:sz="0" w:space="0" w:color="auto"/>
                        <w:right w:val="none" w:sz="0" w:space="0" w:color="auto"/>
                      </w:divBdr>
                    </w:div>
                  </w:divsChild>
                </w:div>
                <w:div w:id="1623655415">
                  <w:marLeft w:val="0"/>
                  <w:marRight w:val="0"/>
                  <w:marTop w:val="0"/>
                  <w:marBottom w:val="0"/>
                  <w:divBdr>
                    <w:top w:val="none" w:sz="0" w:space="0" w:color="auto"/>
                    <w:left w:val="none" w:sz="0" w:space="0" w:color="auto"/>
                    <w:bottom w:val="none" w:sz="0" w:space="0" w:color="auto"/>
                    <w:right w:val="none" w:sz="0" w:space="0" w:color="auto"/>
                  </w:divBdr>
                  <w:divsChild>
                    <w:div w:id="210002917">
                      <w:marLeft w:val="0"/>
                      <w:marRight w:val="0"/>
                      <w:marTop w:val="0"/>
                      <w:marBottom w:val="0"/>
                      <w:divBdr>
                        <w:top w:val="none" w:sz="0" w:space="0" w:color="auto"/>
                        <w:left w:val="none" w:sz="0" w:space="0" w:color="auto"/>
                        <w:bottom w:val="none" w:sz="0" w:space="0" w:color="auto"/>
                        <w:right w:val="none" w:sz="0" w:space="0" w:color="auto"/>
                      </w:divBdr>
                    </w:div>
                  </w:divsChild>
                </w:div>
                <w:div w:id="1644777952">
                  <w:marLeft w:val="0"/>
                  <w:marRight w:val="0"/>
                  <w:marTop w:val="0"/>
                  <w:marBottom w:val="0"/>
                  <w:divBdr>
                    <w:top w:val="none" w:sz="0" w:space="0" w:color="auto"/>
                    <w:left w:val="none" w:sz="0" w:space="0" w:color="auto"/>
                    <w:bottom w:val="none" w:sz="0" w:space="0" w:color="auto"/>
                    <w:right w:val="none" w:sz="0" w:space="0" w:color="auto"/>
                  </w:divBdr>
                  <w:divsChild>
                    <w:div w:id="520511440">
                      <w:marLeft w:val="0"/>
                      <w:marRight w:val="0"/>
                      <w:marTop w:val="0"/>
                      <w:marBottom w:val="0"/>
                      <w:divBdr>
                        <w:top w:val="none" w:sz="0" w:space="0" w:color="auto"/>
                        <w:left w:val="none" w:sz="0" w:space="0" w:color="auto"/>
                        <w:bottom w:val="none" w:sz="0" w:space="0" w:color="auto"/>
                        <w:right w:val="none" w:sz="0" w:space="0" w:color="auto"/>
                      </w:divBdr>
                    </w:div>
                  </w:divsChild>
                </w:div>
                <w:div w:id="1668367559">
                  <w:marLeft w:val="0"/>
                  <w:marRight w:val="0"/>
                  <w:marTop w:val="0"/>
                  <w:marBottom w:val="0"/>
                  <w:divBdr>
                    <w:top w:val="none" w:sz="0" w:space="0" w:color="auto"/>
                    <w:left w:val="none" w:sz="0" w:space="0" w:color="auto"/>
                    <w:bottom w:val="none" w:sz="0" w:space="0" w:color="auto"/>
                    <w:right w:val="none" w:sz="0" w:space="0" w:color="auto"/>
                  </w:divBdr>
                  <w:divsChild>
                    <w:div w:id="1160388075">
                      <w:marLeft w:val="0"/>
                      <w:marRight w:val="0"/>
                      <w:marTop w:val="0"/>
                      <w:marBottom w:val="0"/>
                      <w:divBdr>
                        <w:top w:val="none" w:sz="0" w:space="0" w:color="auto"/>
                        <w:left w:val="none" w:sz="0" w:space="0" w:color="auto"/>
                        <w:bottom w:val="none" w:sz="0" w:space="0" w:color="auto"/>
                        <w:right w:val="none" w:sz="0" w:space="0" w:color="auto"/>
                      </w:divBdr>
                    </w:div>
                  </w:divsChild>
                </w:div>
                <w:div w:id="1675573988">
                  <w:marLeft w:val="0"/>
                  <w:marRight w:val="0"/>
                  <w:marTop w:val="0"/>
                  <w:marBottom w:val="0"/>
                  <w:divBdr>
                    <w:top w:val="none" w:sz="0" w:space="0" w:color="auto"/>
                    <w:left w:val="none" w:sz="0" w:space="0" w:color="auto"/>
                    <w:bottom w:val="none" w:sz="0" w:space="0" w:color="auto"/>
                    <w:right w:val="none" w:sz="0" w:space="0" w:color="auto"/>
                  </w:divBdr>
                  <w:divsChild>
                    <w:div w:id="282274745">
                      <w:marLeft w:val="0"/>
                      <w:marRight w:val="0"/>
                      <w:marTop w:val="0"/>
                      <w:marBottom w:val="0"/>
                      <w:divBdr>
                        <w:top w:val="none" w:sz="0" w:space="0" w:color="auto"/>
                        <w:left w:val="none" w:sz="0" w:space="0" w:color="auto"/>
                        <w:bottom w:val="none" w:sz="0" w:space="0" w:color="auto"/>
                        <w:right w:val="none" w:sz="0" w:space="0" w:color="auto"/>
                      </w:divBdr>
                    </w:div>
                  </w:divsChild>
                </w:div>
                <w:div w:id="1704165241">
                  <w:marLeft w:val="0"/>
                  <w:marRight w:val="0"/>
                  <w:marTop w:val="0"/>
                  <w:marBottom w:val="0"/>
                  <w:divBdr>
                    <w:top w:val="none" w:sz="0" w:space="0" w:color="auto"/>
                    <w:left w:val="none" w:sz="0" w:space="0" w:color="auto"/>
                    <w:bottom w:val="none" w:sz="0" w:space="0" w:color="auto"/>
                    <w:right w:val="none" w:sz="0" w:space="0" w:color="auto"/>
                  </w:divBdr>
                  <w:divsChild>
                    <w:div w:id="2142190435">
                      <w:marLeft w:val="0"/>
                      <w:marRight w:val="0"/>
                      <w:marTop w:val="0"/>
                      <w:marBottom w:val="0"/>
                      <w:divBdr>
                        <w:top w:val="none" w:sz="0" w:space="0" w:color="auto"/>
                        <w:left w:val="none" w:sz="0" w:space="0" w:color="auto"/>
                        <w:bottom w:val="none" w:sz="0" w:space="0" w:color="auto"/>
                        <w:right w:val="none" w:sz="0" w:space="0" w:color="auto"/>
                      </w:divBdr>
                    </w:div>
                  </w:divsChild>
                </w:div>
                <w:div w:id="1711612472">
                  <w:marLeft w:val="0"/>
                  <w:marRight w:val="0"/>
                  <w:marTop w:val="0"/>
                  <w:marBottom w:val="0"/>
                  <w:divBdr>
                    <w:top w:val="none" w:sz="0" w:space="0" w:color="auto"/>
                    <w:left w:val="none" w:sz="0" w:space="0" w:color="auto"/>
                    <w:bottom w:val="none" w:sz="0" w:space="0" w:color="auto"/>
                    <w:right w:val="none" w:sz="0" w:space="0" w:color="auto"/>
                  </w:divBdr>
                  <w:divsChild>
                    <w:div w:id="1653411683">
                      <w:marLeft w:val="0"/>
                      <w:marRight w:val="0"/>
                      <w:marTop w:val="0"/>
                      <w:marBottom w:val="0"/>
                      <w:divBdr>
                        <w:top w:val="none" w:sz="0" w:space="0" w:color="auto"/>
                        <w:left w:val="none" w:sz="0" w:space="0" w:color="auto"/>
                        <w:bottom w:val="none" w:sz="0" w:space="0" w:color="auto"/>
                        <w:right w:val="none" w:sz="0" w:space="0" w:color="auto"/>
                      </w:divBdr>
                    </w:div>
                  </w:divsChild>
                </w:div>
                <w:div w:id="1729763028">
                  <w:marLeft w:val="0"/>
                  <w:marRight w:val="0"/>
                  <w:marTop w:val="0"/>
                  <w:marBottom w:val="0"/>
                  <w:divBdr>
                    <w:top w:val="none" w:sz="0" w:space="0" w:color="auto"/>
                    <w:left w:val="none" w:sz="0" w:space="0" w:color="auto"/>
                    <w:bottom w:val="none" w:sz="0" w:space="0" w:color="auto"/>
                    <w:right w:val="none" w:sz="0" w:space="0" w:color="auto"/>
                  </w:divBdr>
                  <w:divsChild>
                    <w:div w:id="2145150212">
                      <w:marLeft w:val="0"/>
                      <w:marRight w:val="0"/>
                      <w:marTop w:val="0"/>
                      <w:marBottom w:val="0"/>
                      <w:divBdr>
                        <w:top w:val="none" w:sz="0" w:space="0" w:color="auto"/>
                        <w:left w:val="none" w:sz="0" w:space="0" w:color="auto"/>
                        <w:bottom w:val="none" w:sz="0" w:space="0" w:color="auto"/>
                        <w:right w:val="none" w:sz="0" w:space="0" w:color="auto"/>
                      </w:divBdr>
                    </w:div>
                  </w:divsChild>
                </w:div>
                <w:div w:id="1767076976">
                  <w:marLeft w:val="0"/>
                  <w:marRight w:val="0"/>
                  <w:marTop w:val="0"/>
                  <w:marBottom w:val="0"/>
                  <w:divBdr>
                    <w:top w:val="none" w:sz="0" w:space="0" w:color="auto"/>
                    <w:left w:val="none" w:sz="0" w:space="0" w:color="auto"/>
                    <w:bottom w:val="none" w:sz="0" w:space="0" w:color="auto"/>
                    <w:right w:val="none" w:sz="0" w:space="0" w:color="auto"/>
                  </w:divBdr>
                  <w:divsChild>
                    <w:div w:id="661394289">
                      <w:marLeft w:val="0"/>
                      <w:marRight w:val="0"/>
                      <w:marTop w:val="0"/>
                      <w:marBottom w:val="0"/>
                      <w:divBdr>
                        <w:top w:val="none" w:sz="0" w:space="0" w:color="auto"/>
                        <w:left w:val="none" w:sz="0" w:space="0" w:color="auto"/>
                        <w:bottom w:val="none" w:sz="0" w:space="0" w:color="auto"/>
                        <w:right w:val="none" w:sz="0" w:space="0" w:color="auto"/>
                      </w:divBdr>
                    </w:div>
                  </w:divsChild>
                </w:div>
                <w:div w:id="1776170264">
                  <w:marLeft w:val="0"/>
                  <w:marRight w:val="0"/>
                  <w:marTop w:val="0"/>
                  <w:marBottom w:val="0"/>
                  <w:divBdr>
                    <w:top w:val="none" w:sz="0" w:space="0" w:color="auto"/>
                    <w:left w:val="none" w:sz="0" w:space="0" w:color="auto"/>
                    <w:bottom w:val="none" w:sz="0" w:space="0" w:color="auto"/>
                    <w:right w:val="none" w:sz="0" w:space="0" w:color="auto"/>
                  </w:divBdr>
                  <w:divsChild>
                    <w:div w:id="2018455938">
                      <w:marLeft w:val="0"/>
                      <w:marRight w:val="0"/>
                      <w:marTop w:val="0"/>
                      <w:marBottom w:val="0"/>
                      <w:divBdr>
                        <w:top w:val="none" w:sz="0" w:space="0" w:color="auto"/>
                        <w:left w:val="none" w:sz="0" w:space="0" w:color="auto"/>
                        <w:bottom w:val="none" w:sz="0" w:space="0" w:color="auto"/>
                        <w:right w:val="none" w:sz="0" w:space="0" w:color="auto"/>
                      </w:divBdr>
                    </w:div>
                  </w:divsChild>
                </w:div>
                <w:div w:id="1783525526">
                  <w:marLeft w:val="0"/>
                  <w:marRight w:val="0"/>
                  <w:marTop w:val="0"/>
                  <w:marBottom w:val="0"/>
                  <w:divBdr>
                    <w:top w:val="none" w:sz="0" w:space="0" w:color="auto"/>
                    <w:left w:val="none" w:sz="0" w:space="0" w:color="auto"/>
                    <w:bottom w:val="none" w:sz="0" w:space="0" w:color="auto"/>
                    <w:right w:val="none" w:sz="0" w:space="0" w:color="auto"/>
                  </w:divBdr>
                  <w:divsChild>
                    <w:div w:id="2017805566">
                      <w:marLeft w:val="0"/>
                      <w:marRight w:val="0"/>
                      <w:marTop w:val="0"/>
                      <w:marBottom w:val="0"/>
                      <w:divBdr>
                        <w:top w:val="none" w:sz="0" w:space="0" w:color="auto"/>
                        <w:left w:val="none" w:sz="0" w:space="0" w:color="auto"/>
                        <w:bottom w:val="none" w:sz="0" w:space="0" w:color="auto"/>
                        <w:right w:val="none" w:sz="0" w:space="0" w:color="auto"/>
                      </w:divBdr>
                    </w:div>
                  </w:divsChild>
                </w:div>
                <w:div w:id="1784375451">
                  <w:marLeft w:val="0"/>
                  <w:marRight w:val="0"/>
                  <w:marTop w:val="0"/>
                  <w:marBottom w:val="0"/>
                  <w:divBdr>
                    <w:top w:val="none" w:sz="0" w:space="0" w:color="auto"/>
                    <w:left w:val="none" w:sz="0" w:space="0" w:color="auto"/>
                    <w:bottom w:val="none" w:sz="0" w:space="0" w:color="auto"/>
                    <w:right w:val="none" w:sz="0" w:space="0" w:color="auto"/>
                  </w:divBdr>
                  <w:divsChild>
                    <w:div w:id="1747847848">
                      <w:marLeft w:val="0"/>
                      <w:marRight w:val="0"/>
                      <w:marTop w:val="0"/>
                      <w:marBottom w:val="0"/>
                      <w:divBdr>
                        <w:top w:val="none" w:sz="0" w:space="0" w:color="auto"/>
                        <w:left w:val="none" w:sz="0" w:space="0" w:color="auto"/>
                        <w:bottom w:val="none" w:sz="0" w:space="0" w:color="auto"/>
                        <w:right w:val="none" w:sz="0" w:space="0" w:color="auto"/>
                      </w:divBdr>
                    </w:div>
                  </w:divsChild>
                </w:div>
                <w:div w:id="1791048097">
                  <w:marLeft w:val="0"/>
                  <w:marRight w:val="0"/>
                  <w:marTop w:val="0"/>
                  <w:marBottom w:val="0"/>
                  <w:divBdr>
                    <w:top w:val="none" w:sz="0" w:space="0" w:color="auto"/>
                    <w:left w:val="none" w:sz="0" w:space="0" w:color="auto"/>
                    <w:bottom w:val="none" w:sz="0" w:space="0" w:color="auto"/>
                    <w:right w:val="none" w:sz="0" w:space="0" w:color="auto"/>
                  </w:divBdr>
                  <w:divsChild>
                    <w:div w:id="1861308975">
                      <w:marLeft w:val="0"/>
                      <w:marRight w:val="0"/>
                      <w:marTop w:val="0"/>
                      <w:marBottom w:val="0"/>
                      <w:divBdr>
                        <w:top w:val="none" w:sz="0" w:space="0" w:color="auto"/>
                        <w:left w:val="none" w:sz="0" w:space="0" w:color="auto"/>
                        <w:bottom w:val="none" w:sz="0" w:space="0" w:color="auto"/>
                        <w:right w:val="none" w:sz="0" w:space="0" w:color="auto"/>
                      </w:divBdr>
                    </w:div>
                  </w:divsChild>
                </w:div>
                <w:div w:id="1825468264">
                  <w:marLeft w:val="0"/>
                  <w:marRight w:val="0"/>
                  <w:marTop w:val="0"/>
                  <w:marBottom w:val="0"/>
                  <w:divBdr>
                    <w:top w:val="none" w:sz="0" w:space="0" w:color="auto"/>
                    <w:left w:val="none" w:sz="0" w:space="0" w:color="auto"/>
                    <w:bottom w:val="none" w:sz="0" w:space="0" w:color="auto"/>
                    <w:right w:val="none" w:sz="0" w:space="0" w:color="auto"/>
                  </w:divBdr>
                  <w:divsChild>
                    <w:div w:id="1709646783">
                      <w:marLeft w:val="0"/>
                      <w:marRight w:val="0"/>
                      <w:marTop w:val="0"/>
                      <w:marBottom w:val="0"/>
                      <w:divBdr>
                        <w:top w:val="none" w:sz="0" w:space="0" w:color="auto"/>
                        <w:left w:val="none" w:sz="0" w:space="0" w:color="auto"/>
                        <w:bottom w:val="none" w:sz="0" w:space="0" w:color="auto"/>
                        <w:right w:val="none" w:sz="0" w:space="0" w:color="auto"/>
                      </w:divBdr>
                    </w:div>
                  </w:divsChild>
                </w:div>
                <w:div w:id="1852136972">
                  <w:marLeft w:val="0"/>
                  <w:marRight w:val="0"/>
                  <w:marTop w:val="0"/>
                  <w:marBottom w:val="0"/>
                  <w:divBdr>
                    <w:top w:val="none" w:sz="0" w:space="0" w:color="auto"/>
                    <w:left w:val="none" w:sz="0" w:space="0" w:color="auto"/>
                    <w:bottom w:val="none" w:sz="0" w:space="0" w:color="auto"/>
                    <w:right w:val="none" w:sz="0" w:space="0" w:color="auto"/>
                  </w:divBdr>
                  <w:divsChild>
                    <w:div w:id="400718205">
                      <w:marLeft w:val="0"/>
                      <w:marRight w:val="0"/>
                      <w:marTop w:val="0"/>
                      <w:marBottom w:val="0"/>
                      <w:divBdr>
                        <w:top w:val="none" w:sz="0" w:space="0" w:color="auto"/>
                        <w:left w:val="none" w:sz="0" w:space="0" w:color="auto"/>
                        <w:bottom w:val="none" w:sz="0" w:space="0" w:color="auto"/>
                        <w:right w:val="none" w:sz="0" w:space="0" w:color="auto"/>
                      </w:divBdr>
                    </w:div>
                  </w:divsChild>
                </w:div>
                <w:div w:id="1860049124">
                  <w:marLeft w:val="0"/>
                  <w:marRight w:val="0"/>
                  <w:marTop w:val="0"/>
                  <w:marBottom w:val="0"/>
                  <w:divBdr>
                    <w:top w:val="none" w:sz="0" w:space="0" w:color="auto"/>
                    <w:left w:val="none" w:sz="0" w:space="0" w:color="auto"/>
                    <w:bottom w:val="none" w:sz="0" w:space="0" w:color="auto"/>
                    <w:right w:val="none" w:sz="0" w:space="0" w:color="auto"/>
                  </w:divBdr>
                  <w:divsChild>
                    <w:div w:id="1255700174">
                      <w:marLeft w:val="0"/>
                      <w:marRight w:val="0"/>
                      <w:marTop w:val="0"/>
                      <w:marBottom w:val="0"/>
                      <w:divBdr>
                        <w:top w:val="none" w:sz="0" w:space="0" w:color="auto"/>
                        <w:left w:val="none" w:sz="0" w:space="0" w:color="auto"/>
                        <w:bottom w:val="none" w:sz="0" w:space="0" w:color="auto"/>
                        <w:right w:val="none" w:sz="0" w:space="0" w:color="auto"/>
                      </w:divBdr>
                    </w:div>
                  </w:divsChild>
                </w:div>
                <w:div w:id="1862234092">
                  <w:marLeft w:val="0"/>
                  <w:marRight w:val="0"/>
                  <w:marTop w:val="0"/>
                  <w:marBottom w:val="0"/>
                  <w:divBdr>
                    <w:top w:val="none" w:sz="0" w:space="0" w:color="auto"/>
                    <w:left w:val="none" w:sz="0" w:space="0" w:color="auto"/>
                    <w:bottom w:val="none" w:sz="0" w:space="0" w:color="auto"/>
                    <w:right w:val="none" w:sz="0" w:space="0" w:color="auto"/>
                  </w:divBdr>
                  <w:divsChild>
                    <w:div w:id="856038545">
                      <w:marLeft w:val="0"/>
                      <w:marRight w:val="0"/>
                      <w:marTop w:val="0"/>
                      <w:marBottom w:val="0"/>
                      <w:divBdr>
                        <w:top w:val="none" w:sz="0" w:space="0" w:color="auto"/>
                        <w:left w:val="none" w:sz="0" w:space="0" w:color="auto"/>
                        <w:bottom w:val="none" w:sz="0" w:space="0" w:color="auto"/>
                        <w:right w:val="none" w:sz="0" w:space="0" w:color="auto"/>
                      </w:divBdr>
                    </w:div>
                  </w:divsChild>
                </w:div>
                <w:div w:id="1895384305">
                  <w:marLeft w:val="0"/>
                  <w:marRight w:val="0"/>
                  <w:marTop w:val="0"/>
                  <w:marBottom w:val="0"/>
                  <w:divBdr>
                    <w:top w:val="none" w:sz="0" w:space="0" w:color="auto"/>
                    <w:left w:val="none" w:sz="0" w:space="0" w:color="auto"/>
                    <w:bottom w:val="none" w:sz="0" w:space="0" w:color="auto"/>
                    <w:right w:val="none" w:sz="0" w:space="0" w:color="auto"/>
                  </w:divBdr>
                  <w:divsChild>
                    <w:div w:id="1481728153">
                      <w:marLeft w:val="0"/>
                      <w:marRight w:val="0"/>
                      <w:marTop w:val="0"/>
                      <w:marBottom w:val="0"/>
                      <w:divBdr>
                        <w:top w:val="none" w:sz="0" w:space="0" w:color="auto"/>
                        <w:left w:val="none" w:sz="0" w:space="0" w:color="auto"/>
                        <w:bottom w:val="none" w:sz="0" w:space="0" w:color="auto"/>
                        <w:right w:val="none" w:sz="0" w:space="0" w:color="auto"/>
                      </w:divBdr>
                    </w:div>
                  </w:divsChild>
                </w:div>
                <w:div w:id="1907374373">
                  <w:marLeft w:val="0"/>
                  <w:marRight w:val="0"/>
                  <w:marTop w:val="0"/>
                  <w:marBottom w:val="0"/>
                  <w:divBdr>
                    <w:top w:val="none" w:sz="0" w:space="0" w:color="auto"/>
                    <w:left w:val="none" w:sz="0" w:space="0" w:color="auto"/>
                    <w:bottom w:val="none" w:sz="0" w:space="0" w:color="auto"/>
                    <w:right w:val="none" w:sz="0" w:space="0" w:color="auto"/>
                  </w:divBdr>
                  <w:divsChild>
                    <w:div w:id="1579829976">
                      <w:marLeft w:val="0"/>
                      <w:marRight w:val="0"/>
                      <w:marTop w:val="0"/>
                      <w:marBottom w:val="0"/>
                      <w:divBdr>
                        <w:top w:val="none" w:sz="0" w:space="0" w:color="auto"/>
                        <w:left w:val="none" w:sz="0" w:space="0" w:color="auto"/>
                        <w:bottom w:val="none" w:sz="0" w:space="0" w:color="auto"/>
                        <w:right w:val="none" w:sz="0" w:space="0" w:color="auto"/>
                      </w:divBdr>
                    </w:div>
                  </w:divsChild>
                </w:div>
                <w:div w:id="1913733569">
                  <w:marLeft w:val="0"/>
                  <w:marRight w:val="0"/>
                  <w:marTop w:val="0"/>
                  <w:marBottom w:val="0"/>
                  <w:divBdr>
                    <w:top w:val="none" w:sz="0" w:space="0" w:color="auto"/>
                    <w:left w:val="none" w:sz="0" w:space="0" w:color="auto"/>
                    <w:bottom w:val="none" w:sz="0" w:space="0" w:color="auto"/>
                    <w:right w:val="none" w:sz="0" w:space="0" w:color="auto"/>
                  </w:divBdr>
                  <w:divsChild>
                    <w:div w:id="2079130607">
                      <w:marLeft w:val="0"/>
                      <w:marRight w:val="0"/>
                      <w:marTop w:val="0"/>
                      <w:marBottom w:val="0"/>
                      <w:divBdr>
                        <w:top w:val="none" w:sz="0" w:space="0" w:color="auto"/>
                        <w:left w:val="none" w:sz="0" w:space="0" w:color="auto"/>
                        <w:bottom w:val="none" w:sz="0" w:space="0" w:color="auto"/>
                        <w:right w:val="none" w:sz="0" w:space="0" w:color="auto"/>
                      </w:divBdr>
                    </w:div>
                  </w:divsChild>
                </w:div>
                <w:div w:id="1932277430">
                  <w:marLeft w:val="0"/>
                  <w:marRight w:val="0"/>
                  <w:marTop w:val="0"/>
                  <w:marBottom w:val="0"/>
                  <w:divBdr>
                    <w:top w:val="none" w:sz="0" w:space="0" w:color="auto"/>
                    <w:left w:val="none" w:sz="0" w:space="0" w:color="auto"/>
                    <w:bottom w:val="none" w:sz="0" w:space="0" w:color="auto"/>
                    <w:right w:val="none" w:sz="0" w:space="0" w:color="auto"/>
                  </w:divBdr>
                  <w:divsChild>
                    <w:div w:id="1424835598">
                      <w:marLeft w:val="0"/>
                      <w:marRight w:val="0"/>
                      <w:marTop w:val="0"/>
                      <w:marBottom w:val="0"/>
                      <w:divBdr>
                        <w:top w:val="none" w:sz="0" w:space="0" w:color="auto"/>
                        <w:left w:val="none" w:sz="0" w:space="0" w:color="auto"/>
                        <w:bottom w:val="none" w:sz="0" w:space="0" w:color="auto"/>
                        <w:right w:val="none" w:sz="0" w:space="0" w:color="auto"/>
                      </w:divBdr>
                    </w:div>
                  </w:divsChild>
                </w:div>
                <w:div w:id="1937710743">
                  <w:marLeft w:val="0"/>
                  <w:marRight w:val="0"/>
                  <w:marTop w:val="0"/>
                  <w:marBottom w:val="0"/>
                  <w:divBdr>
                    <w:top w:val="none" w:sz="0" w:space="0" w:color="auto"/>
                    <w:left w:val="none" w:sz="0" w:space="0" w:color="auto"/>
                    <w:bottom w:val="none" w:sz="0" w:space="0" w:color="auto"/>
                    <w:right w:val="none" w:sz="0" w:space="0" w:color="auto"/>
                  </w:divBdr>
                  <w:divsChild>
                    <w:div w:id="355228651">
                      <w:marLeft w:val="0"/>
                      <w:marRight w:val="0"/>
                      <w:marTop w:val="0"/>
                      <w:marBottom w:val="0"/>
                      <w:divBdr>
                        <w:top w:val="none" w:sz="0" w:space="0" w:color="auto"/>
                        <w:left w:val="none" w:sz="0" w:space="0" w:color="auto"/>
                        <w:bottom w:val="none" w:sz="0" w:space="0" w:color="auto"/>
                        <w:right w:val="none" w:sz="0" w:space="0" w:color="auto"/>
                      </w:divBdr>
                    </w:div>
                  </w:divsChild>
                </w:div>
                <w:div w:id="1957175829">
                  <w:marLeft w:val="0"/>
                  <w:marRight w:val="0"/>
                  <w:marTop w:val="0"/>
                  <w:marBottom w:val="0"/>
                  <w:divBdr>
                    <w:top w:val="none" w:sz="0" w:space="0" w:color="auto"/>
                    <w:left w:val="none" w:sz="0" w:space="0" w:color="auto"/>
                    <w:bottom w:val="none" w:sz="0" w:space="0" w:color="auto"/>
                    <w:right w:val="none" w:sz="0" w:space="0" w:color="auto"/>
                  </w:divBdr>
                  <w:divsChild>
                    <w:div w:id="1074470754">
                      <w:marLeft w:val="0"/>
                      <w:marRight w:val="0"/>
                      <w:marTop w:val="0"/>
                      <w:marBottom w:val="0"/>
                      <w:divBdr>
                        <w:top w:val="none" w:sz="0" w:space="0" w:color="auto"/>
                        <w:left w:val="none" w:sz="0" w:space="0" w:color="auto"/>
                        <w:bottom w:val="none" w:sz="0" w:space="0" w:color="auto"/>
                        <w:right w:val="none" w:sz="0" w:space="0" w:color="auto"/>
                      </w:divBdr>
                    </w:div>
                  </w:divsChild>
                </w:div>
                <w:div w:id="1963921166">
                  <w:marLeft w:val="0"/>
                  <w:marRight w:val="0"/>
                  <w:marTop w:val="0"/>
                  <w:marBottom w:val="0"/>
                  <w:divBdr>
                    <w:top w:val="none" w:sz="0" w:space="0" w:color="auto"/>
                    <w:left w:val="none" w:sz="0" w:space="0" w:color="auto"/>
                    <w:bottom w:val="none" w:sz="0" w:space="0" w:color="auto"/>
                    <w:right w:val="none" w:sz="0" w:space="0" w:color="auto"/>
                  </w:divBdr>
                  <w:divsChild>
                    <w:div w:id="1693919138">
                      <w:marLeft w:val="0"/>
                      <w:marRight w:val="0"/>
                      <w:marTop w:val="0"/>
                      <w:marBottom w:val="0"/>
                      <w:divBdr>
                        <w:top w:val="none" w:sz="0" w:space="0" w:color="auto"/>
                        <w:left w:val="none" w:sz="0" w:space="0" w:color="auto"/>
                        <w:bottom w:val="none" w:sz="0" w:space="0" w:color="auto"/>
                        <w:right w:val="none" w:sz="0" w:space="0" w:color="auto"/>
                      </w:divBdr>
                    </w:div>
                  </w:divsChild>
                </w:div>
                <w:div w:id="1966617501">
                  <w:marLeft w:val="0"/>
                  <w:marRight w:val="0"/>
                  <w:marTop w:val="0"/>
                  <w:marBottom w:val="0"/>
                  <w:divBdr>
                    <w:top w:val="none" w:sz="0" w:space="0" w:color="auto"/>
                    <w:left w:val="none" w:sz="0" w:space="0" w:color="auto"/>
                    <w:bottom w:val="none" w:sz="0" w:space="0" w:color="auto"/>
                    <w:right w:val="none" w:sz="0" w:space="0" w:color="auto"/>
                  </w:divBdr>
                  <w:divsChild>
                    <w:div w:id="1647975349">
                      <w:marLeft w:val="0"/>
                      <w:marRight w:val="0"/>
                      <w:marTop w:val="0"/>
                      <w:marBottom w:val="0"/>
                      <w:divBdr>
                        <w:top w:val="none" w:sz="0" w:space="0" w:color="auto"/>
                        <w:left w:val="none" w:sz="0" w:space="0" w:color="auto"/>
                        <w:bottom w:val="none" w:sz="0" w:space="0" w:color="auto"/>
                        <w:right w:val="none" w:sz="0" w:space="0" w:color="auto"/>
                      </w:divBdr>
                    </w:div>
                  </w:divsChild>
                </w:div>
                <w:div w:id="1979653215">
                  <w:marLeft w:val="0"/>
                  <w:marRight w:val="0"/>
                  <w:marTop w:val="0"/>
                  <w:marBottom w:val="0"/>
                  <w:divBdr>
                    <w:top w:val="none" w:sz="0" w:space="0" w:color="auto"/>
                    <w:left w:val="none" w:sz="0" w:space="0" w:color="auto"/>
                    <w:bottom w:val="none" w:sz="0" w:space="0" w:color="auto"/>
                    <w:right w:val="none" w:sz="0" w:space="0" w:color="auto"/>
                  </w:divBdr>
                  <w:divsChild>
                    <w:div w:id="2126918706">
                      <w:marLeft w:val="0"/>
                      <w:marRight w:val="0"/>
                      <w:marTop w:val="0"/>
                      <w:marBottom w:val="0"/>
                      <w:divBdr>
                        <w:top w:val="none" w:sz="0" w:space="0" w:color="auto"/>
                        <w:left w:val="none" w:sz="0" w:space="0" w:color="auto"/>
                        <w:bottom w:val="none" w:sz="0" w:space="0" w:color="auto"/>
                        <w:right w:val="none" w:sz="0" w:space="0" w:color="auto"/>
                      </w:divBdr>
                    </w:div>
                  </w:divsChild>
                </w:div>
                <w:div w:id="2025132413">
                  <w:marLeft w:val="0"/>
                  <w:marRight w:val="0"/>
                  <w:marTop w:val="0"/>
                  <w:marBottom w:val="0"/>
                  <w:divBdr>
                    <w:top w:val="none" w:sz="0" w:space="0" w:color="auto"/>
                    <w:left w:val="none" w:sz="0" w:space="0" w:color="auto"/>
                    <w:bottom w:val="none" w:sz="0" w:space="0" w:color="auto"/>
                    <w:right w:val="none" w:sz="0" w:space="0" w:color="auto"/>
                  </w:divBdr>
                  <w:divsChild>
                    <w:div w:id="51122397">
                      <w:marLeft w:val="0"/>
                      <w:marRight w:val="0"/>
                      <w:marTop w:val="0"/>
                      <w:marBottom w:val="0"/>
                      <w:divBdr>
                        <w:top w:val="none" w:sz="0" w:space="0" w:color="auto"/>
                        <w:left w:val="none" w:sz="0" w:space="0" w:color="auto"/>
                        <w:bottom w:val="none" w:sz="0" w:space="0" w:color="auto"/>
                        <w:right w:val="none" w:sz="0" w:space="0" w:color="auto"/>
                      </w:divBdr>
                    </w:div>
                  </w:divsChild>
                </w:div>
                <w:div w:id="2026591673">
                  <w:marLeft w:val="0"/>
                  <w:marRight w:val="0"/>
                  <w:marTop w:val="0"/>
                  <w:marBottom w:val="0"/>
                  <w:divBdr>
                    <w:top w:val="none" w:sz="0" w:space="0" w:color="auto"/>
                    <w:left w:val="none" w:sz="0" w:space="0" w:color="auto"/>
                    <w:bottom w:val="none" w:sz="0" w:space="0" w:color="auto"/>
                    <w:right w:val="none" w:sz="0" w:space="0" w:color="auto"/>
                  </w:divBdr>
                  <w:divsChild>
                    <w:div w:id="471875488">
                      <w:marLeft w:val="0"/>
                      <w:marRight w:val="0"/>
                      <w:marTop w:val="0"/>
                      <w:marBottom w:val="0"/>
                      <w:divBdr>
                        <w:top w:val="none" w:sz="0" w:space="0" w:color="auto"/>
                        <w:left w:val="none" w:sz="0" w:space="0" w:color="auto"/>
                        <w:bottom w:val="none" w:sz="0" w:space="0" w:color="auto"/>
                        <w:right w:val="none" w:sz="0" w:space="0" w:color="auto"/>
                      </w:divBdr>
                    </w:div>
                  </w:divsChild>
                </w:div>
                <w:div w:id="2032607181">
                  <w:marLeft w:val="0"/>
                  <w:marRight w:val="0"/>
                  <w:marTop w:val="0"/>
                  <w:marBottom w:val="0"/>
                  <w:divBdr>
                    <w:top w:val="none" w:sz="0" w:space="0" w:color="auto"/>
                    <w:left w:val="none" w:sz="0" w:space="0" w:color="auto"/>
                    <w:bottom w:val="none" w:sz="0" w:space="0" w:color="auto"/>
                    <w:right w:val="none" w:sz="0" w:space="0" w:color="auto"/>
                  </w:divBdr>
                  <w:divsChild>
                    <w:div w:id="1965235122">
                      <w:marLeft w:val="0"/>
                      <w:marRight w:val="0"/>
                      <w:marTop w:val="0"/>
                      <w:marBottom w:val="0"/>
                      <w:divBdr>
                        <w:top w:val="none" w:sz="0" w:space="0" w:color="auto"/>
                        <w:left w:val="none" w:sz="0" w:space="0" w:color="auto"/>
                        <w:bottom w:val="none" w:sz="0" w:space="0" w:color="auto"/>
                        <w:right w:val="none" w:sz="0" w:space="0" w:color="auto"/>
                      </w:divBdr>
                    </w:div>
                  </w:divsChild>
                </w:div>
                <w:div w:id="2054233778">
                  <w:marLeft w:val="0"/>
                  <w:marRight w:val="0"/>
                  <w:marTop w:val="0"/>
                  <w:marBottom w:val="0"/>
                  <w:divBdr>
                    <w:top w:val="none" w:sz="0" w:space="0" w:color="auto"/>
                    <w:left w:val="none" w:sz="0" w:space="0" w:color="auto"/>
                    <w:bottom w:val="none" w:sz="0" w:space="0" w:color="auto"/>
                    <w:right w:val="none" w:sz="0" w:space="0" w:color="auto"/>
                  </w:divBdr>
                  <w:divsChild>
                    <w:div w:id="1846169752">
                      <w:marLeft w:val="0"/>
                      <w:marRight w:val="0"/>
                      <w:marTop w:val="0"/>
                      <w:marBottom w:val="0"/>
                      <w:divBdr>
                        <w:top w:val="none" w:sz="0" w:space="0" w:color="auto"/>
                        <w:left w:val="none" w:sz="0" w:space="0" w:color="auto"/>
                        <w:bottom w:val="none" w:sz="0" w:space="0" w:color="auto"/>
                        <w:right w:val="none" w:sz="0" w:space="0" w:color="auto"/>
                      </w:divBdr>
                    </w:div>
                  </w:divsChild>
                </w:div>
                <w:div w:id="2073505301">
                  <w:marLeft w:val="0"/>
                  <w:marRight w:val="0"/>
                  <w:marTop w:val="0"/>
                  <w:marBottom w:val="0"/>
                  <w:divBdr>
                    <w:top w:val="none" w:sz="0" w:space="0" w:color="auto"/>
                    <w:left w:val="none" w:sz="0" w:space="0" w:color="auto"/>
                    <w:bottom w:val="none" w:sz="0" w:space="0" w:color="auto"/>
                    <w:right w:val="none" w:sz="0" w:space="0" w:color="auto"/>
                  </w:divBdr>
                  <w:divsChild>
                    <w:div w:id="776828803">
                      <w:marLeft w:val="0"/>
                      <w:marRight w:val="0"/>
                      <w:marTop w:val="0"/>
                      <w:marBottom w:val="0"/>
                      <w:divBdr>
                        <w:top w:val="none" w:sz="0" w:space="0" w:color="auto"/>
                        <w:left w:val="none" w:sz="0" w:space="0" w:color="auto"/>
                        <w:bottom w:val="none" w:sz="0" w:space="0" w:color="auto"/>
                        <w:right w:val="none" w:sz="0" w:space="0" w:color="auto"/>
                      </w:divBdr>
                    </w:div>
                  </w:divsChild>
                </w:div>
                <w:div w:id="2077049843">
                  <w:marLeft w:val="0"/>
                  <w:marRight w:val="0"/>
                  <w:marTop w:val="0"/>
                  <w:marBottom w:val="0"/>
                  <w:divBdr>
                    <w:top w:val="none" w:sz="0" w:space="0" w:color="auto"/>
                    <w:left w:val="none" w:sz="0" w:space="0" w:color="auto"/>
                    <w:bottom w:val="none" w:sz="0" w:space="0" w:color="auto"/>
                    <w:right w:val="none" w:sz="0" w:space="0" w:color="auto"/>
                  </w:divBdr>
                  <w:divsChild>
                    <w:div w:id="1020357653">
                      <w:marLeft w:val="0"/>
                      <w:marRight w:val="0"/>
                      <w:marTop w:val="0"/>
                      <w:marBottom w:val="0"/>
                      <w:divBdr>
                        <w:top w:val="none" w:sz="0" w:space="0" w:color="auto"/>
                        <w:left w:val="none" w:sz="0" w:space="0" w:color="auto"/>
                        <w:bottom w:val="none" w:sz="0" w:space="0" w:color="auto"/>
                        <w:right w:val="none" w:sz="0" w:space="0" w:color="auto"/>
                      </w:divBdr>
                    </w:div>
                  </w:divsChild>
                </w:div>
                <w:div w:id="2080976455">
                  <w:marLeft w:val="0"/>
                  <w:marRight w:val="0"/>
                  <w:marTop w:val="0"/>
                  <w:marBottom w:val="0"/>
                  <w:divBdr>
                    <w:top w:val="none" w:sz="0" w:space="0" w:color="auto"/>
                    <w:left w:val="none" w:sz="0" w:space="0" w:color="auto"/>
                    <w:bottom w:val="none" w:sz="0" w:space="0" w:color="auto"/>
                    <w:right w:val="none" w:sz="0" w:space="0" w:color="auto"/>
                  </w:divBdr>
                  <w:divsChild>
                    <w:div w:id="938172382">
                      <w:marLeft w:val="0"/>
                      <w:marRight w:val="0"/>
                      <w:marTop w:val="0"/>
                      <w:marBottom w:val="0"/>
                      <w:divBdr>
                        <w:top w:val="none" w:sz="0" w:space="0" w:color="auto"/>
                        <w:left w:val="none" w:sz="0" w:space="0" w:color="auto"/>
                        <w:bottom w:val="none" w:sz="0" w:space="0" w:color="auto"/>
                        <w:right w:val="none" w:sz="0" w:space="0" w:color="auto"/>
                      </w:divBdr>
                    </w:div>
                  </w:divsChild>
                </w:div>
                <w:div w:id="2081557818">
                  <w:marLeft w:val="0"/>
                  <w:marRight w:val="0"/>
                  <w:marTop w:val="0"/>
                  <w:marBottom w:val="0"/>
                  <w:divBdr>
                    <w:top w:val="none" w:sz="0" w:space="0" w:color="auto"/>
                    <w:left w:val="none" w:sz="0" w:space="0" w:color="auto"/>
                    <w:bottom w:val="none" w:sz="0" w:space="0" w:color="auto"/>
                    <w:right w:val="none" w:sz="0" w:space="0" w:color="auto"/>
                  </w:divBdr>
                  <w:divsChild>
                    <w:div w:id="278726750">
                      <w:marLeft w:val="0"/>
                      <w:marRight w:val="0"/>
                      <w:marTop w:val="0"/>
                      <w:marBottom w:val="0"/>
                      <w:divBdr>
                        <w:top w:val="none" w:sz="0" w:space="0" w:color="auto"/>
                        <w:left w:val="none" w:sz="0" w:space="0" w:color="auto"/>
                        <w:bottom w:val="none" w:sz="0" w:space="0" w:color="auto"/>
                        <w:right w:val="none" w:sz="0" w:space="0" w:color="auto"/>
                      </w:divBdr>
                    </w:div>
                  </w:divsChild>
                </w:div>
                <w:div w:id="2096780671">
                  <w:marLeft w:val="0"/>
                  <w:marRight w:val="0"/>
                  <w:marTop w:val="0"/>
                  <w:marBottom w:val="0"/>
                  <w:divBdr>
                    <w:top w:val="none" w:sz="0" w:space="0" w:color="auto"/>
                    <w:left w:val="none" w:sz="0" w:space="0" w:color="auto"/>
                    <w:bottom w:val="none" w:sz="0" w:space="0" w:color="auto"/>
                    <w:right w:val="none" w:sz="0" w:space="0" w:color="auto"/>
                  </w:divBdr>
                  <w:divsChild>
                    <w:div w:id="660502833">
                      <w:marLeft w:val="0"/>
                      <w:marRight w:val="0"/>
                      <w:marTop w:val="0"/>
                      <w:marBottom w:val="0"/>
                      <w:divBdr>
                        <w:top w:val="none" w:sz="0" w:space="0" w:color="auto"/>
                        <w:left w:val="none" w:sz="0" w:space="0" w:color="auto"/>
                        <w:bottom w:val="none" w:sz="0" w:space="0" w:color="auto"/>
                        <w:right w:val="none" w:sz="0" w:space="0" w:color="auto"/>
                      </w:divBdr>
                    </w:div>
                  </w:divsChild>
                </w:div>
                <w:div w:id="2116709547">
                  <w:marLeft w:val="0"/>
                  <w:marRight w:val="0"/>
                  <w:marTop w:val="0"/>
                  <w:marBottom w:val="0"/>
                  <w:divBdr>
                    <w:top w:val="none" w:sz="0" w:space="0" w:color="auto"/>
                    <w:left w:val="none" w:sz="0" w:space="0" w:color="auto"/>
                    <w:bottom w:val="none" w:sz="0" w:space="0" w:color="auto"/>
                    <w:right w:val="none" w:sz="0" w:space="0" w:color="auto"/>
                  </w:divBdr>
                  <w:divsChild>
                    <w:div w:id="157196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131002">
          <w:marLeft w:val="0"/>
          <w:marRight w:val="0"/>
          <w:marTop w:val="0"/>
          <w:marBottom w:val="0"/>
          <w:divBdr>
            <w:top w:val="none" w:sz="0" w:space="0" w:color="auto"/>
            <w:left w:val="none" w:sz="0" w:space="0" w:color="auto"/>
            <w:bottom w:val="none" w:sz="0" w:space="0" w:color="auto"/>
            <w:right w:val="none" w:sz="0" w:space="0" w:color="auto"/>
          </w:divBdr>
        </w:div>
        <w:div w:id="541096129">
          <w:marLeft w:val="0"/>
          <w:marRight w:val="0"/>
          <w:marTop w:val="0"/>
          <w:marBottom w:val="0"/>
          <w:divBdr>
            <w:top w:val="none" w:sz="0" w:space="0" w:color="auto"/>
            <w:left w:val="none" w:sz="0" w:space="0" w:color="auto"/>
            <w:bottom w:val="none" w:sz="0" w:space="0" w:color="auto"/>
            <w:right w:val="none" w:sz="0" w:space="0" w:color="auto"/>
          </w:divBdr>
        </w:div>
        <w:div w:id="701396074">
          <w:marLeft w:val="0"/>
          <w:marRight w:val="0"/>
          <w:marTop w:val="0"/>
          <w:marBottom w:val="0"/>
          <w:divBdr>
            <w:top w:val="none" w:sz="0" w:space="0" w:color="auto"/>
            <w:left w:val="none" w:sz="0" w:space="0" w:color="auto"/>
            <w:bottom w:val="none" w:sz="0" w:space="0" w:color="auto"/>
            <w:right w:val="none" w:sz="0" w:space="0" w:color="auto"/>
          </w:divBdr>
        </w:div>
        <w:div w:id="1262643840">
          <w:marLeft w:val="0"/>
          <w:marRight w:val="0"/>
          <w:marTop w:val="0"/>
          <w:marBottom w:val="0"/>
          <w:divBdr>
            <w:top w:val="none" w:sz="0" w:space="0" w:color="auto"/>
            <w:left w:val="none" w:sz="0" w:space="0" w:color="auto"/>
            <w:bottom w:val="none" w:sz="0" w:space="0" w:color="auto"/>
            <w:right w:val="none" w:sz="0" w:space="0" w:color="auto"/>
          </w:divBdr>
        </w:div>
      </w:divsChild>
    </w:div>
    <w:div w:id="1313605789">
      <w:bodyDiv w:val="1"/>
      <w:marLeft w:val="0"/>
      <w:marRight w:val="0"/>
      <w:marTop w:val="0"/>
      <w:marBottom w:val="0"/>
      <w:divBdr>
        <w:top w:val="none" w:sz="0" w:space="0" w:color="auto"/>
        <w:left w:val="none" w:sz="0" w:space="0" w:color="auto"/>
        <w:bottom w:val="none" w:sz="0" w:space="0" w:color="auto"/>
        <w:right w:val="none" w:sz="0" w:space="0" w:color="auto"/>
      </w:divBdr>
      <w:divsChild>
        <w:div w:id="1831601514">
          <w:marLeft w:val="0"/>
          <w:marRight w:val="0"/>
          <w:marTop w:val="0"/>
          <w:marBottom w:val="0"/>
          <w:divBdr>
            <w:top w:val="none" w:sz="0" w:space="0" w:color="auto"/>
            <w:left w:val="none" w:sz="0" w:space="0" w:color="auto"/>
            <w:bottom w:val="none" w:sz="0" w:space="0" w:color="auto"/>
            <w:right w:val="none" w:sz="0" w:space="0" w:color="auto"/>
          </w:divBdr>
        </w:div>
      </w:divsChild>
    </w:div>
    <w:div w:id="1342464022">
      <w:bodyDiv w:val="1"/>
      <w:marLeft w:val="0"/>
      <w:marRight w:val="0"/>
      <w:marTop w:val="0"/>
      <w:marBottom w:val="0"/>
      <w:divBdr>
        <w:top w:val="none" w:sz="0" w:space="0" w:color="auto"/>
        <w:left w:val="none" w:sz="0" w:space="0" w:color="auto"/>
        <w:bottom w:val="none" w:sz="0" w:space="0" w:color="auto"/>
        <w:right w:val="none" w:sz="0" w:space="0" w:color="auto"/>
      </w:divBdr>
      <w:divsChild>
        <w:div w:id="912474739">
          <w:marLeft w:val="0"/>
          <w:marRight w:val="0"/>
          <w:marTop w:val="0"/>
          <w:marBottom w:val="0"/>
          <w:divBdr>
            <w:top w:val="none" w:sz="0" w:space="0" w:color="auto"/>
            <w:left w:val="none" w:sz="0" w:space="0" w:color="auto"/>
            <w:bottom w:val="none" w:sz="0" w:space="0" w:color="auto"/>
            <w:right w:val="none" w:sz="0" w:space="0" w:color="auto"/>
          </w:divBdr>
        </w:div>
      </w:divsChild>
    </w:div>
    <w:div w:id="1345669175">
      <w:bodyDiv w:val="1"/>
      <w:marLeft w:val="0"/>
      <w:marRight w:val="0"/>
      <w:marTop w:val="0"/>
      <w:marBottom w:val="0"/>
      <w:divBdr>
        <w:top w:val="none" w:sz="0" w:space="0" w:color="auto"/>
        <w:left w:val="none" w:sz="0" w:space="0" w:color="auto"/>
        <w:bottom w:val="none" w:sz="0" w:space="0" w:color="auto"/>
        <w:right w:val="none" w:sz="0" w:space="0" w:color="auto"/>
      </w:divBdr>
      <w:divsChild>
        <w:div w:id="103113644">
          <w:marLeft w:val="0"/>
          <w:marRight w:val="0"/>
          <w:marTop w:val="0"/>
          <w:marBottom w:val="0"/>
          <w:divBdr>
            <w:top w:val="none" w:sz="0" w:space="0" w:color="auto"/>
            <w:left w:val="none" w:sz="0" w:space="0" w:color="auto"/>
            <w:bottom w:val="none" w:sz="0" w:space="0" w:color="auto"/>
            <w:right w:val="none" w:sz="0" w:space="0" w:color="auto"/>
          </w:divBdr>
        </w:div>
      </w:divsChild>
    </w:div>
    <w:div w:id="1366907738">
      <w:bodyDiv w:val="1"/>
      <w:marLeft w:val="0"/>
      <w:marRight w:val="0"/>
      <w:marTop w:val="0"/>
      <w:marBottom w:val="0"/>
      <w:divBdr>
        <w:top w:val="none" w:sz="0" w:space="0" w:color="auto"/>
        <w:left w:val="none" w:sz="0" w:space="0" w:color="auto"/>
        <w:bottom w:val="none" w:sz="0" w:space="0" w:color="auto"/>
        <w:right w:val="none" w:sz="0" w:space="0" w:color="auto"/>
      </w:divBdr>
      <w:divsChild>
        <w:div w:id="696395047">
          <w:marLeft w:val="0"/>
          <w:marRight w:val="0"/>
          <w:marTop w:val="0"/>
          <w:marBottom w:val="0"/>
          <w:divBdr>
            <w:top w:val="none" w:sz="0" w:space="0" w:color="auto"/>
            <w:left w:val="none" w:sz="0" w:space="0" w:color="auto"/>
            <w:bottom w:val="none" w:sz="0" w:space="0" w:color="auto"/>
            <w:right w:val="none" w:sz="0" w:space="0" w:color="auto"/>
          </w:divBdr>
        </w:div>
      </w:divsChild>
    </w:div>
    <w:div w:id="1377587673">
      <w:bodyDiv w:val="1"/>
      <w:marLeft w:val="0"/>
      <w:marRight w:val="0"/>
      <w:marTop w:val="0"/>
      <w:marBottom w:val="0"/>
      <w:divBdr>
        <w:top w:val="none" w:sz="0" w:space="0" w:color="auto"/>
        <w:left w:val="none" w:sz="0" w:space="0" w:color="auto"/>
        <w:bottom w:val="none" w:sz="0" w:space="0" w:color="auto"/>
        <w:right w:val="none" w:sz="0" w:space="0" w:color="auto"/>
      </w:divBdr>
      <w:divsChild>
        <w:div w:id="1836873128">
          <w:marLeft w:val="0"/>
          <w:marRight w:val="0"/>
          <w:marTop w:val="0"/>
          <w:marBottom w:val="0"/>
          <w:divBdr>
            <w:top w:val="none" w:sz="0" w:space="0" w:color="auto"/>
            <w:left w:val="none" w:sz="0" w:space="0" w:color="auto"/>
            <w:bottom w:val="none" w:sz="0" w:space="0" w:color="auto"/>
            <w:right w:val="none" w:sz="0" w:space="0" w:color="auto"/>
          </w:divBdr>
        </w:div>
      </w:divsChild>
    </w:div>
    <w:div w:id="1388183743">
      <w:bodyDiv w:val="1"/>
      <w:marLeft w:val="0"/>
      <w:marRight w:val="0"/>
      <w:marTop w:val="0"/>
      <w:marBottom w:val="0"/>
      <w:divBdr>
        <w:top w:val="none" w:sz="0" w:space="0" w:color="auto"/>
        <w:left w:val="none" w:sz="0" w:space="0" w:color="auto"/>
        <w:bottom w:val="none" w:sz="0" w:space="0" w:color="auto"/>
        <w:right w:val="none" w:sz="0" w:space="0" w:color="auto"/>
      </w:divBdr>
    </w:div>
    <w:div w:id="1418205982">
      <w:bodyDiv w:val="1"/>
      <w:marLeft w:val="0"/>
      <w:marRight w:val="0"/>
      <w:marTop w:val="0"/>
      <w:marBottom w:val="0"/>
      <w:divBdr>
        <w:top w:val="none" w:sz="0" w:space="0" w:color="auto"/>
        <w:left w:val="none" w:sz="0" w:space="0" w:color="auto"/>
        <w:bottom w:val="none" w:sz="0" w:space="0" w:color="auto"/>
        <w:right w:val="none" w:sz="0" w:space="0" w:color="auto"/>
      </w:divBdr>
    </w:div>
    <w:div w:id="1423406574">
      <w:bodyDiv w:val="1"/>
      <w:marLeft w:val="0"/>
      <w:marRight w:val="0"/>
      <w:marTop w:val="0"/>
      <w:marBottom w:val="0"/>
      <w:divBdr>
        <w:top w:val="none" w:sz="0" w:space="0" w:color="auto"/>
        <w:left w:val="none" w:sz="0" w:space="0" w:color="auto"/>
        <w:bottom w:val="none" w:sz="0" w:space="0" w:color="auto"/>
        <w:right w:val="none" w:sz="0" w:space="0" w:color="auto"/>
      </w:divBdr>
    </w:div>
    <w:div w:id="1425833846">
      <w:bodyDiv w:val="1"/>
      <w:marLeft w:val="0"/>
      <w:marRight w:val="0"/>
      <w:marTop w:val="0"/>
      <w:marBottom w:val="0"/>
      <w:divBdr>
        <w:top w:val="none" w:sz="0" w:space="0" w:color="auto"/>
        <w:left w:val="none" w:sz="0" w:space="0" w:color="auto"/>
        <w:bottom w:val="none" w:sz="0" w:space="0" w:color="auto"/>
        <w:right w:val="none" w:sz="0" w:space="0" w:color="auto"/>
      </w:divBdr>
    </w:div>
    <w:div w:id="1429349730">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sChild>
        <w:div w:id="73824836">
          <w:marLeft w:val="0"/>
          <w:marRight w:val="0"/>
          <w:marTop w:val="0"/>
          <w:marBottom w:val="0"/>
          <w:divBdr>
            <w:top w:val="none" w:sz="0" w:space="0" w:color="auto"/>
            <w:left w:val="none" w:sz="0" w:space="0" w:color="auto"/>
            <w:bottom w:val="none" w:sz="0" w:space="0" w:color="auto"/>
            <w:right w:val="none" w:sz="0" w:space="0" w:color="auto"/>
          </w:divBdr>
          <w:divsChild>
            <w:div w:id="879634408">
              <w:marLeft w:val="0"/>
              <w:marRight w:val="0"/>
              <w:marTop w:val="0"/>
              <w:marBottom w:val="0"/>
              <w:divBdr>
                <w:top w:val="none" w:sz="0" w:space="0" w:color="auto"/>
                <w:left w:val="none" w:sz="0" w:space="0" w:color="auto"/>
                <w:bottom w:val="none" w:sz="0" w:space="0" w:color="auto"/>
                <w:right w:val="none" w:sz="0" w:space="0" w:color="auto"/>
              </w:divBdr>
            </w:div>
          </w:divsChild>
        </w:div>
        <w:div w:id="75059365">
          <w:marLeft w:val="0"/>
          <w:marRight w:val="0"/>
          <w:marTop w:val="0"/>
          <w:marBottom w:val="0"/>
          <w:divBdr>
            <w:top w:val="none" w:sz="0" w:space="0" w:color="auto"/>
            <w:left w:val="none" w:sz="0" w:space="0" w:color="auto"/>
            <w:bottom w:val="none" w:sz="0" w:space="0" w:color="auto"/>
            <w:right w:val="none" w:sz="0" w:space="0" w:color="auto"/>
          </w:divBdr>
          <w:divsChild>
            <w:div w:id="1629706503">
              <w:marLeft w:val="0"/>
              <w:marRight w:val="0"/>
              <w:marTop w:val="0"/>
              <w:marBottom w:val="0"/>
              <w:divBdr>
                <w:top w:val="none" w:sz="0" w:space="0" w:color="auto"/>
                <w:left w:val="none" w:sz="0" w:space="0" w:color="auto"/>
                <w:bottom w:val="none" w:sz="0" w:space="0" w:color="auto"/>
                <w:right w:val="none" w:sz="0" w:space="0" w:color="auto"/>
              </w:divBdr>
            </w:div>
          </w:divsChild>
        </w:div>
        <w:div w:id="95370474">
          <w:marLeft w:val="0"/>
          <w:marRight w:val="0"/>
          <w:marTop w:val="0"/>
          <w:marBottom w:val="0"/>
          <w:divBdr>
            <w:top w:val="none" w:sz="0" w:space="0" w:color="auto"/>
            <w:left w:val="none" w:sz="0" w:space="0" w:color="auto"/>
            <w:bottom w:val="none" w:sz="0" w:space="0" w:color="auto"/>
            <w:right w:val="none" w:sz="0" w:space="0" w:color="auto"/>
          </w:divBdr>
          <w:divsChild>
            <w:div w:id="319238157">
              <w:marLeft w:val="0"/>
              <w:marRight w:val="0"/>
              <w:marTop w:val="0"/>
              <w:marBottom w:val="0"/>
              <w:divBdr>
                <w:top w:val="none" w:sz="0" w:space="0" w:color="auto"/>
                <w:left w:val="none" w:sz="0" w:space="0" w:color="auto"/>
                <w:bottom w:val="none" w:sz="0" w:space="0" w:color="auto"/>
                <w:right w:val="none" w:sz="0" w:space="0" w:color="auto"/>
              </w:divBdr>
            </w:div>
          </w:divsChild>
        </w:div>
        <w:div w:id="290743245">
          <w:marLeft w:val="0"/>
          <w:marRight w:val="0"/>
          <w:marTop w:val="0"/>
          <w:marBottom w:val="0"/>
          <w:divBdr>
            <w:top w:val="none" w:sz="0" w:space="0" w:color="auto"/>
            <w:left w:val="none" w:sz="0" w:space="0" w:color="auto"/>
            <w:bottom w:val="none" w:sz="0" w:space="0" w:color="auto"/>
            <w:right w:val="none" w:sz="0" w:space="0" w:color="auto"/>
          </w:divBdr>
          <w:divsChild>
            <w:div w:id="1134179038">
              <w:marLeft w:val="0"/>
              <w:marRight w:val="0"/>
              <w:marTop w:val="0"/>
              <w:marBottom w:val="0"/>
              <w:divBdr>
                <w:top w:val="none" w:sz="0" w:space="0" w:color="auto"/>
                <w:left w:val="none" w:sz="0" w:space="0" w:color="auto"/>
                <w:bottom w:val="none" w:sz="0" w:space="0" w:color="auto"/>
                <w:right w:val="none" w:sz="0" w:space="0" w:color="auto"/>
              </w:divBdr>
            </w:div>
          </w:divsChild>
        </w:div>
        <w:div w:id="299460857">
          <w:marLeft w:val="0"/>
          <w:marRight w:val="0"/>
          <w:marTop w:val="0"/>
          <w:marBottom w:val="0"/>
          <w:divBdr>
            <w:top w:val="none" w:sz="0" w:space="0" w:color="auto"/>
            <w:left w:val="none" w:sz="0" w:space="0" w:color="auto"/>
            <w:bottom w:val="none" w:sz="0" w:space="0" w:color="auto"/>
            <w:right w:val="none" w:sz="0" w:space="0" w:color="auto"/>
          </w:divBdr>
          <w:divsChild>
            <w:div w:id="417216556">
              <w:marLeft w:val="0"/>
              <w:marRight w:val="0"/>
              <w:marTop w:val="0"/>
              <w:marBottom w:val="0"/>
              <w:divBdr>
                <w:top w:val="none" w:sz="0" w:space="0" w:color="auto"/>
                <w:left w:val="none" w:sz="0" w:space="0" w:color="auto"/>
                <w:bottom w:val="none" w:sz="0" w:space="0" w:color="auto"/>
                <w:right w:val="none" w:sz="0" w:space="0" w:color="auto"/>
              </w:divBdr>
            </w:div>
          </w:divsChild>
        </w:div>
        <w:div w:id="388694661">
          <w:marLeft w:val="0"/>
          <w:marRight w:val="0"/>
          <w:marTop w:val="0"/>
          <w:marBottom w:val="0"/>
          <w:divBdr>
            <w:top w:val="none" w:sz="0" w:space="0" w:color="auto"/>
            <w:left w:val="none" w:sz="0" w:space="0" w:color="auto"/>
            <w:bottom w:val="none" w:sz="0" w:space="0" w:color="auto"/>
            <w:right w:val="none" w:sz="0" w:space="0" w:color="auto"/>
          </w:divBdr>
          <w:divsChild>
            <w:div w:id="1054427435">
              <w:marLeft w:val="0"/>
              <w:marRight w:val="0"/>
              <w:marTop w:val="0"/>
              <w:marBottom w:val="0"/>
              <w:divBdr>
                <w:top w:val="none" w:sz="0" w:space="0" w:color="auto"/>
                <w:left w:val="none" w:sz="0" w:space="0" w:color="auto"/>
                <w:bottom w:val="none" w:sz="0" w:space="0" w:color="auto"/>
                <w:right w:val="none" w:sz="0" w:space="0" w:color="auto"/>
              </w:divBdr>
            </w:div>
          </w:divsChild>
        </w:div>
        <w:div w:id="391544734">
          <w:marLeft w:val="0"/>
          <w:marRight w:val="0"/>
          <w:marTop w:val="0"/>
          <w:marBottom w:val="0"/>
          <w:divBdr>
            <w:top w:val="none" w:sz="0" w:space="0" w:color="auto"/>
            <w:left w:val="none" w:sz="0" w:space="0" w:color="auto"/>
            <w:bottom w:val="none" w:sz="0" w:space="0" w:color="auto"/>
            <w:right w:val="none" w:sz="0" w:space="0" w:color="auto"/>
          </w:divBdr>
          <w:divsChild>
            <w:div w:id="1241064915">
              <w:marLeft w:val="0"/>
              <w:marRight w:val="0"/>
              <w:marTop w:val="0"/>
              <w:marBottom w:val="0"/>
              <w:divBdr>
                <w:top w:val="none" w:sz="0" w:space="0" w:color="auto"/>
                <w:left w:val="none" w:sz="0" w:space="0" w:color="auto"/>
                <w:bottom w:val="none" w:sz="0" w:space="0" w:color="auto"/>
                <w:right w:val="none" w:sz="0" w:space="0" w:color="auto"/>
              </w:divBdr>
            </w:div>
          </w:divsChild>
        </w:div>
        <w:div w:id="539898827">
          <w:marLeft w:val="0"/>
          <w:marRight w:val="0"/>
          <w:marTop w:val="0"/>
          <w:marBottom w:val="0"/>
          <w:divBdr>
            <w:top w:val="none" w:sz="0" w:space="0" w:color="auto"/>
            <w:left w:val="none" w:sz="0" w:space="0" w:color="auto"/>
            <w:bottom w:val="none" w:sz="0" w:space="0" w:color="auto"/>
            <w:right w:val="none" w:sz="0" w:space="0" w:color="auto"/>
          </w:divBdr>
          <w:divsChild>
            <w:div w:id="1724328840">
              <w:marLeft w:val="0"/>
              <w:marRight w:val="0"/>
              <w:marTop w:val="0"/>
              <w:marBottom w:val="0"/>
              <w:divBdr>
                <w:top w:val="none" w:sz="0" w:space="0" w:color="auto"/>
                <w:left w:val="none" w:sz="0" w:space="0" w:color="auto"/>
                <w:bottom w:val="none" w:sz="0" w:space="0" w:color="auto"/>
                <w:right w:val="none" w:sz="0" w:space="0" w:color="auto"/>
              </w:divBdr>
            </w:div>
          </w:divsChild>
        </w:div>
        <w:div w:id="808206091">
          <w:marLeft w:val="0"/>
          <w:marRight w:val="0"/>
          <w:marTop w:val="0"/>
          <w:marBottom w:val="0"/>
          <w:divBdr>
            <w:top w:val="none" w:sz="0" w:space="0" w:color="auto"/>
            <w:left w:val="none" w:sz="0" w:space="0" w:color="auto"/>
            <w:bottom w:val="none" w:sz="0" w:space="0" w:color="auto"/>
            <w:right w:val="none" w:sz="0" w:space="0" w:color="auto"/>
          </w:divBdr>
          <w:divsChild>
            <w:div w:id="1374815560">
              <w:marLeft w:val="0"/>
              <w:marRight w:val="0"/>
              <w:marTop w:val="0"/>
              <w:marBottom w:val="0"/>
              <w:divBdr>
                <w:top w:val="none" w:sz="0" w:space="0" w:color="auto"/>
                <w:left w:val="none" w:sz="0" w:space="0" w:color="auto"/>
                <w:bottom w:val="none" w:sz="0" w:space="0" w:color="auto"/>
                <w:right w:val="none" w:sz="0" w:space="0" w:color="auto"/>
              </w:divBdr>
            </w:div>
          </w:divsChild>
        </w:div>
        <w:div w:id="941567751">
          <w:marLeft w:val="0"/>
          <w:marRight w:val="0"/>
          <w:marTop w:val="0"/>
          <w:marBottom w:val="0"/>
          <w:divBdr>
            <w:top w:val="none" w:sz="0" w:space="0" w:color="auto"/>
            <w:left w:val="none" w:sz="0" w:space="0" w:color="auto"/>
            <w:bottom w:val="none" w:sz="0" w:space="0" w:color="auto"/>
            <w:right w:val="none" w:sz="0" w:space="0" w:color="auto"/>
          </w:divBdr>
          <w:divsChild>
            <w:div w:id="2084907132">
              <w:marLeft w:val="0"/>
              <w:marRight w:val="0"/>
              <w:marTop w:val="0"/>
              <w:marBottom w:val="0"/>
              <w:divBdr>
                <w:top w:val="none" w:sz="0" w:space="0" w:color="auto"/>
                <w:left w:val="none" w:sz="0" w:space="0" w:color="auto"/>
                <w:bottom w:val="none" w:sz="0" w:space="0" w:color="auto"/>
                <w:right w:val="none" w:sz="0" w:space="0" w:color="auto"/>
              </w:divBdr>
            </w:div>
          </w:divsChild>
        </w:div>
        <w:div w:id="969822139">
          <w:marLeft w:val="0"/>
          <w:marRight w:val="0"/>
          <w:marTop w:val="0"/>
          <w:marBottom w:val="0"/>
          <w:divBdr>
            <w:top w:val="none" w:sz="0" w:space="0" w:color="auto"/>
            <w:left w:val="none" w:sz="0" w:space="0" w:color="auto"/>
            <w:bottom w:val="none" w:sz="0" w:space="0" w:color="auto"/>
            <w:right w:val="none" w:sz="0" w:space="0" w:color="auto"/>
          </w:divBdr>
          <w:divsChild>
            <w:div w:id="1761023896">
              <w:marLeft w:val="0"/>
              <w:marRight w:val="0"/>
              <w:marTop w:val="0"/>
              <w:marBottom w:val="0"/>
              <w:divBdr>
                <w:top w:val="none" w:sz="0" w:space="0" w:color="auto"/>
                <w:left w:val="none" w:sz="0" w:space="0" w:color="auto"/>
                <w:bottom w:val="none" w:sz="0" w:space="0" w:color="auto"/>
                <w:right w:val="none" w:sz="0" w:space="0" w:color="auto"/>
              </w:divBdr>
            </w:div>
          </w:divsChild>
        </w:div>
        <w:div w:id="1008754623">
          <w:marLeft w:val="0"/>
          <w:marRight w:val="0"/>
          <w:marTop w:val="0"/>
          <w:marBottom w:val="0"/>
          <w:divBdr>
            <w:top w:val="none" w:sz="0" w:space="0" w:color="auto"/>
            <w:left w:val="none" w:sz="0" w:space="0" w:color="auto"/>
            <w:bottom w:val="none" w:sz="0" w:space="0" w:color="auto"/>
            <w:right w:val="none" w:sz="0" w:space="0" w:color="auto"/>
          </w:divBdr>
          <w:divsChild>
            <w:div w:id="840504373">
              <w:marLeft w:val="0"/>
              <w:marRight w:val="0"/>
              <w:marTop w:val="0"/>
              <w:marBottom w:val="0"/>
              <w:divBdr>
                <w:top w:val="none" w:sz="0" w:space="0" w:color="auto"/>
                <w:left w:val="none" w:sz="0" w:space="0" w:color="auto"/>
                <w:bottom w:val="none" w:sz="0" w:space="0" w:color="auto"/>
                <w:right w:val="none" w:sz="0" w:space="0" w:color="auto"/>
              </w:divBdr>
            </w:div>
          </w:divsChild>
        </w:div>
        <w:div w:id="1131096509">
          <w:marLeft w:val="0"/>
          <w:marRight w:val="0"/>
          <w:marTop w:val="0"/>
          <w:marBottom w:val="0"/>
          <w:divBdr>
            <w:top w:val="none" w:sz="0" w:space="0" w:color="auto"/>
            <w:left w:val="none" w:sz="0" w:space="0" w:color="auto"/>
            <w:bottom w:val="none" w:sz="0" w:space="0" w:color="auto"/>
            <w:right w:val="none" w:sz="0" w:space="0" w:color="auto"/>
          </w:divBdr>
          <w:divsChild>
            <w:div w:id="1004436514">
              <w:marLeft w:val="0"/>
              <w:marRight w:val="0"/>
              <w:marTop w:val="0"/>
              <w:marBottom w:val="0"/>
              <w:divBdr>
                <w:top w:val="none" w:sz="0" w:space="0" w:color="auto"/>
                <w:left w:val="none" w:sz="0" w:space="0" w:color="auto"/>
                <w:bottom w:val="none" w:sz="0" w:space="0" w:color="auto"/>
                <w:right w:val="none" w:sz="0" w:space="0" w:color="auto"/>
              </w:divBdr>
            </w:div>
          </w:divsChild>
        </w:div>
        <w:div w:id="1478104858">
          <w:marLeft w:val="0"/>
          <w:marRight w:val="0"/>
          <w:marTop w:val="0"/>
          <w:marBottom w:val="0"/>
          <w:divBdr>
            <w:top w:val="none" w:sz="0" w:space="0" w:color="auto"/>
            <w:left w:val="none" w:sz="0" w:space="0" w:color="auto"/>
            <w:bottom w:val="none" w:sz="0" w:space="0" w:color="auto"/>
            <w:right w:val="none" w:sz="0" w:space="0" w:color="auto"/>
          </w:divBdr>
          <w:divsChild>
            <w:div w:id="1255744513">
              <w:marLeft w:val="0"/>
              <w:marRight w:val="0"/>
              <w:marTop w:val="0"/>
              <w:marBottom w:val="0"/>
              <w:divBdr>
                <w:top w:val="none" w:sz="0" w:space="0" w:color="auto"/>
                <w:left w:val="none" w:sz="0" w:space="0" w:color="auto"/>
                <w:bottom w:val="none" w:sz="0" w:space="0" w:color="auto"/>
                <w:right w:val="none" w:sz="0" w:space="0" w:color="auto"/>
              </w:divBdr>
            </w:div>
          </w:divsChild>
        </w:div>
        <w:div w:id="1715277358">
          <w:marLeft w:val="0"/>
          <w:marRight w:val="0"/>
          <w:marTop w:val="0"/>
          <w:marBottom w:val="0"/>
          <w:divBdr>
            <w:top w:val="none" w:sz="0" w:space="0" w:color="auto"/>
            <w:left w:val="none" w:sz="0" w:space="0" w:color="auto"/>
            <w:bottom w:val="none" w:sz="0" w:space="0" w:color="auto"/>
            <w:right w:val="none" w:sz="0" w:space="0" w:color="auto"/>
          </w:divBdr>
          <w:divsChild>
            <w:div w:id="1505851553">
              <w:marLeft w:val="0"/>
              <w:marRight w:val="0"/>
              <w:marTop w:val="0"/>
              <w:marBottom w:val="0"/>
              <w:divBdr>
                <w:top w:val="none" w:sz="0" w:space="0" w:color="auto"/>
                <w:left w:val="none" w:sz="0" w:space="0" w:color="auto"/>
                <w:bottom w:val="none" w:sz="0" w:space="0" w:color="auto"/>
                <w:right w:val="none" w:sz="0" w:space="0" w:color="auto"/>
              </w:divBdr>
            </w:div>
          </w:divsChild>
        </w:div>
        <w:div w:id="1787501204">
          <w:marLeft w:val="0"/>
          <w:marRight w:val="0"/>
          <w:marTop w:val="0"/>
          <w:marBottom w:val="0"/>
          <w:divBdr>
            <w:top w:val="none" w:sz="0" w:space="0" w:color="auto"/>
            <w:left w:val="none" w:sz="0" w:space="0" w:color="auto"/>
            <w:bottom w:val="none" w:sz="0" w:space="0" w:color="auto"/>
            <w:right w:val="none" w:sz="0" w:space="0" w:color="auto"/>
          </w:divBdr>
          <w:divsChild>
            <w:div w:id="1882085238">
              <w:marLeft w:val="0"/>
              <w:marRight w:val="0"/>
              <w:marTop w:val="0"/>
              <w:marBottom w:val="0"/>
              <w:divBdr>
                <w:top w:val="none" w:sz="0" w:space="0" w:color="auto"/>
                <w:left w:val="none" w:sz="0" w:space="0" w:color="auto"/>
                <w:bottom w:val="none" w:sz="0" w:space="0" w:color="auto"/>
                <w:right w:val="none" w:sz="0" w:space="0" w:color="auto"/>
              </w:divBdr>
            </w:div>
          </w:divsChild>
        </w:div>
        <w:div w:id="1862627907">
          <w:marLeft w:val="0"/>
          <w:marRight w:val="0"/>
          <w:marTop w:val="0"/>
          <w:marBottom w:val="0"/>
          <w:divBdr>
            <w:top w:val="none" w:sz="0" w:space="0" w:color="auto"/>
            <w:left w:val="none" w:sz="0" w:space="0" w:color="auto"/>
            <w:bottom w:val="none" w:sz="0" w:space="0" w:color="auto"/>
            <w:right w:val="none" w:sz="0" w:space="0" w:color="auto"/>
          </w:divBdr>
          <w:divsChild>
            <w:div w:id="2013988587">
              <w:marLeft w:val="0"/>
              <w:marRight w:val="0"/>
              <w:marTop w:val="0"/>
              <w:marBottom w:val="0"/>
              <w:divBdr>
                <w:top w:val="none" w:sz="0" w:space="0" w:color="auto"/>
                <w:left w:val="none" w:sz="0" w:space="0" w:color="auto"/>
                <w:bottom w:val="none" w:sz="0" w:space="0" w:color="auto"/>
                <w:right w:val="none" w:sz="0" w:space="0" w:color="auto"/>
              </w:divBdr>
            </w:div>
          </w:divsChild>
        </w:div>
        <w:div w:id="2057771646">
          <w:marLeft w:val="0"/>
          <w:marRight w:val="0"/>
          <w:marTop w:val="0"/>
          <w:marBottom w:val="0"/>
          <w:divBdr>
            <w:top w:val="none" w:sz="0" w:space="0" w:color="auto"/>
            <w:left w:val="none" w:sz="0" w:space="0" w:color="auto"/>
            <w:bottom w:val="none" w:sz="0" w:space="0" w:color="auto"/>
            <w:right w:val="none" w:sz="0" w:space="0" w:color="auto"/>
          </w:divBdr>
          <w:divsChild>
            <w:div w:id="212684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84789">
      <w:bodyDiv w:val="1"/>
      <w:marLeft w:val="0"/>
      <w:marRight w:val="0"/>
      <w:marTop w:val="0"/>
      <w:marBottom w:val="0"/>
      <w:divBdr>
        <w:top w:val="none" w:sz="0" w:space="0" w:color="auto"/>
        <w:left w:val="none" w:sz="0" w:space="0" w:color="auto"/>
        <w:bottom w:val="none" w:sz="0" w:space="0" w:color="auto"/>
        <w:right w:val="none" w:sz="0" w:space="0" w:color="auto"/>
      </w:divBdr>
    </w:div>
    <w:div w:id="1531644043">
      <w:bodyDiv w:val="1"/>
      <w:marLeft w:val="0"/>
      <w:marRight w:val="0"/>
      <w:marTop w:val="0"/>
      <w:marBottom w:val="0"/>
      <w:divBdr>
        <w:top w:val="none" w:sz="0" w:space="0" w:color="auto"/>
        <w:left w:val="none" w:sz="0" w:space="0" w:color="auto"/>
        <w:bottom w:val="none" w:sz="0" w:space="0" w:color="auto"/>
        <w:right w:val="none" w:sz="0" w:space="0" w:color="auto"/>
      </w:divBdr>
    </w:div>
    <w:div w:id="1573464556">
      <w:bodyDiv w:val="1"/>
      <w:marLeft w:val="0"/>
      <w:marRight w:val="0"/>
      <w:marTop w:val="0"/>
      <w:marBottom w:val="0"/>
      <w:divBdr>
        <w:top w:val="none" w:sz="0" w:space="0" w:color="auto"/>
        <w:left w:val="none" w:sz="0" w:space="0" w:color="auto"/>
        <w:bottom w:val="none" w:sz="0" w:space="0" w:color="auto"/>
        <w:right w:val="none" w:sz="0" w:space="0" w:color="auto"/>
      </w:divBdr>
    </w:div>
    <w:div w:id="1591037856">
      <w:bodyDiv w:val="1"/>
      <w:marLeft w:val="0"/>
      <w:marRight w:val="0"/>
      <w:marTop w:val="0"/>
      <w:marBottom w:val="0"/>
      <w:divBdr>
        <w:top w:val="none" w:sz="0" w:space="0" w:color="auto"/>
        <w:left w:val="none" w:sz="0" w:space="0" w:color="auto"/>
        <w:bottom w:val="none" w:sz="0" w:space="0" w:color="auto"/>
        <w:right w:val="none" w:sz="0" w:space="0" w:color="auto"/>
      </w:divBdr>
    </w:div>
    <w:div w:id="1634481416">
      <w:bodyDiv w:val="1"/>
      <w:marLeft w:val="0"/>
      <w:marRight w:val="0"/>
      <w:marTop w:val="0"/>
      <w:marBottom w:val="0"/>
      <w:divBdr>
        <w:top w:val="none" w:sz="0" w:space="0" w:color="auto"/>
        <w:left w:val="none" w:sz="0" w:space="0" w:color="auto"/>
        <w:bottom w:val="none" w:sz="0" w:space="0" w:color="auto"/>
        <w:right w:val="none" w:sz="0" w:space="0" w:color="auto"/>
      </w:divBdr>
    </w:div>
    <w:div w:id="1661612537">
      <w:bodyDiv w:val="1"/>
      <w:marLeft w:val="0"/>
      <w:marRight w:val="0"/>
      <w:marTop w:val="0"/>
      <w:marBottom w:val="0"/>
      <w:divBdr>
        <w:top w:val="none" w:sz="0" w:space="0" w:color="auto"/>
        <w:left w:val="none" w:sz="0" w:space="0" w:color="auto"/>
        <w:bottom w:val="none" w:sz="0" w:space="0" w:color="auto"/>
        <w:right w:val="none" w:sz="0" w:space="0" w:color="auto"/>
      </w:divBdr>
    </w:div>
    <w:div w:id="1668050162">
      <w:bodyDiv w:val="1"/>
      <w:marLeft w:val="0"/>
      <w:marRight w:val="0"/>
      <w:marTop w:val="0"/>
      <w:marBottom w:val="0"/>
      <w:divBdr>
        <w:top w:val="none" w:sz="0" w:space="0" w:color="auto"/>
        <w:left w:val="none" w:sz="0" w:space="0" w:color="auto"/>
        <w:bottom w:val="none" w:sz="0" w:space="0" w:color="auto"/>
        <w:right w:val="none" w:sz="0" w:space="0" w:color="auto"/>
      </w:divBdr>
    </w:div>
    <w:div w:id="1725131320">
      <w:bodyDiv w:val="1"/>
      <w:marLeft w:val="0"/>
      <w:marRight w:val="0"/>
      <w:marTop w:val="0"/>
      <w:marBottom w:val="0"/>
      <w:divBdr>
        <w:top w:val="none" w:sz="0" w:space="0" w:color="auto"/>
        <w:left w:val="none" w:sz="0" w:space="0" w:color="auto"/>
        <w:bottom w:val="none" w:sz="0" w:space="0" w:color="auto"/>
        <w:right w:val="none" w:sz="0" w:space="0" w:color="auto"/>
      </w:divBdr>
    </w:div>
    <w:div w:id="1725367973">
      <w:bodyDiv w:val="1"/>
      <w:marLeft w:val="0"/>
      <w:marRight w:val="0"/>
      <w:marTop w:val="0"/>
      <w:marBottom w:val="0"/>
      <w:divBdr>
        <w:top w:val="none" w:sz="0" w:space="0" w:color="auto"/>
        <w:left w:val="none" w:sz="0" w:space="0" w:color="auto"/>
        <w:bottom w:val="none" w:sz="0" w:space="0" w:color="auto"/>
        <w:right w:val="none" w:sz="0" w:space="0" w:color="auto"/>
      </w:divBdr>
      <w:divsChild>
        <w:div w:id="1326320790">
          <w:marLeft w:val="0"/>
          <w:marRight w:val="0"/>
          <w:marTop w:val="0"/>
          <w:marBottom w:val="0"/>
          <w:divBdr>
            <w:top w:val="none" w:sz="0" w:space="0" w:color="auto"/>
            <w:left w:val="none" w:sz="0" w:space="0" w:color="auto"/>
            <w:bottom w:val="none" w:sz="0" w:space="0" w:color="auto"/>
            <w:right w:val="none" w:sz="0" w:space="0" w:color="auto"/>
          </w:divBdr>
        </w:div>
      </w:divsChild>
    </w:div>
    <w:div w:id="1726023858">
      <w:bodyDiv w:val="1"/>
      <w:marLeft w:val="0"/>
      <w:marRight w:val="0"/>
      <w:marTop w:val="0"/>
      <w:marBottom w:val="0"/>
      <w:divBdr>
        <w:top w:val="none" w:sz="0" w:space="0" w:color="auto"/>
        <w:left w:val="none" w:sz="0" w:space="0" w:color="auto"/>
        <w:bottom w:val="none" w:sz="0" w:space="0" w:color="auto"/>
        <w:right w:val="none" w:sz="0" w:space="0" w:color="auto"/>
      </w:divBdr>
    </w:div>
    <w:div w:id="1747653007">
      <w:bodyDiv w:val="1"/>
      <w:marLeft w:val="0"/>
      <w:marRight w:val="0"/>
      <w:marTop w:val="0"/>
      <w:marBottom w:val="0"/>
      <w:divBdr>
        <w:top w:val="none" w:sz="0" w:space="0" w:color="auto"/>
        <w:left w:val="none" w:sz="0" w:space="0" w:color="auto"/>
        <w:bottom w:val="none" w:sz="0" w:space="0" w:color="auto"/>
        <w:right w:val="none" w:sz="0" w:space="0" w:color="auto"/>
      </w:divBdr>
      <w:divsChild>
        <w:div w:id="39519981">
          <w:marLeft w:val="0"/>
          <w:marRight w:val="0"/>
          <w:marTop w:val="0"/>
          <w:marBottom w:val="0"/>
          <w:divBdr>
            <w:top w:val="none" w:sz="0" w:space="0" w:color="auto"/>
            <w:left w:val="none" w:sz="0" w:space="0" w:color="auto"/>
            <w:bottom w:val="none" w:sz="0" w:space="0" w:color="auto"/>
            <w:right w:val="none" w:sz="0" w:space="0" w:color="auto"/>
          </w:divBdr>
        </w:div>
        <w:div w:id="1179851604">
          <w:marLeft w:val="0"/>
          <w:marRight w:val="0"/>
          <w:marTop w:val="0"/>
          <w:marBottom w:val="0"/>
          <w:divBdr>
            <w:top w:val="none" w:sz="0" w:space="0" w:color="auto"/>
            <w:left w:val="none" w:sz="0" w:space="0" w:color="auto"/>
            <w:bottom w:val="none" w:sz="0" w:space="0" w:color="auto"/>
            <w:right w:val="none" w:sz="0" w:space="0" w:color="auto"/>
          </w:divBdr>
        </w:div>
        <w:div w:id="1510146385">
          <w:marLeft w:val="0"/>
          <w:marRight w:val="0"/>
          <w:marTop w:val="0"/>
          <w:marBottom w:val="0"/>
          <w:divBdr>
            <w:top w:val="none" w:sz="0" w:space="0" w:color="auto"/>
            <w:left w:val="none" w:sz="0" w:space="0" w:color="auto"/>
            <w:bottom w:val="none" w:sz="0" w:space="0" w:color="auto"/>
            <w:right w:val="none" w:sz="0" w:space="0" w:color="auto"/>
          </w:divBdr>
        </w:div>
      </w:divsChild>
    </w:div>
    <w:div w:id="1747989552">
      <w:bodyDiv w:val="1"/>
      <w:marLeft w:val="0"/>
      <w:marRight w:val="0"/>
      <w:marTop w:val="0"/>
      <w:marBottom w:val="0"/>
      <w:divBdr>
        <w:top w:val="none" w:sz="0" w:space="0" w:color="auto"/>
        <w:left w:val="none" w:sz="0" w:space="0" w:color="auto"/>
        <w:bottom w:val="none" w:sz="0" w:space="0" w:color="auto"/>
        <w:right w:val="none" w:sz="0" w:space="0" w:color="auto"/>
      </w:divBdr>
    </w:div>
    <w:div w:id="1756508236">
      <w:bodyDiv w:val="1"/>
      <w:marLeft w:val="0"/>
      <w:marRight w:val="0"/>
      <w:marTop w:val="0"/>
      <w:marBottom w:val="0"/>
      <w:divBdr>
        <w:top w:val="none" w:sz="0" w:space="0" w:color="auto"/>
        <w:left w:val="none" w:sz="0" w:space="0" w:color="auto"/>
        <w:bottom w:val="none" w:sz="0" w:space="0" w:color="auto"/>
        <w:right w:val="none" w:sz="0" w:space="0" w:color="auto"/>
      </w:divBdr>
    </w:div>
    <w:div w:id="1780181304">
      <w:bodyDiv w:val="1"/>
      <w:marLeft w:val="0"/>
      <w:marRight w:val="0"/>
      <w:marTop w:val="0"/>
      <w:marBottom w:val="0"/>
      <w:divBdr>
        <w:top w:val="none" w:sz="0" w:space="0" w:color="auto"/>
        <w:left w:val="none" w:sz="0" w:space="0" w:color="auto"/>
        <w:bottom w:val="none" w:sz="0" w:space="0" w:color="auto"/>
        <w:right w:val="none" w:sz="0" w:space="0" w:color="auto"/>
      </w:divBdr>
    </w:div>
    <w:div w:id="1780181371">
      <w:bodyDiv w:val="1"/>
      <w:marLeft w:val="0"/>
      <w:marRight w:val="0"/>
      <w:marTop w:val="0"/>
      <w:marBottom w:val="0"/>
      <w:divBdr>
        <w:top w:val="none" w:sz="0" w:space="0" w:color="auto"/>
        <w:left w:val="none" w:sz="0" w:space="0" w:color="auto"/>
        <w:bottom w:val="none" w:sz="0" w:space="0" w:color="auto"/>
        <w:right w:val="none" w:sz="0" w:space="0" w:color="auto"/>
      </w:divBdr>
    </w:div>
    <w:div w:id="1841965187">
      <w:bodyDiv w:val="1"/>
      <w:marLeft w:val="0"/>
      <w:marRight w:val="0"/>
      <w:marTop w:val="0"/>
      <w:marBottom w:val="0"/>
      <w:divBdr>
        <w:top w:val="none" w:sz="0" w:space="0" w:color="auto"/>
        <w:left w:val="none" w:sz="0" w:space="0" w:color="auto"/>
        <w:bottom w:val="none" w:sz="0" w:space="0" w:color="auto"/>
        <w:right w:val="none" w:sz="0" w:space="0" w:color="auto"/>
      </w:divBdr>
    </w:div>
    <w:div w:id="1842891192">
      <w:bodyDiv w:val="1"/>
      <w:marLeft w:val="0"/>
      <w:marRight w:val="0"/>
      <w:marTop w:val="0"/>
      <w:marBottom w:val="0"/>
      <w:divBdr>
        <w:top w:val="none" w:sz="0" w:space="0" w:color="auto"/>
        <w:left w:val="none" w:sz="0" w:space="0" w:color="auto"/>
        <w:bottom w:val="none" w:sz="0" w:space="0" w:color="auto"/>
        <w:right w:val="none" w:sz="0" w:space="0" w:color="auto"/>
      </w:divBdr>
    </w:div>
    <w:div w:id="1854950177">
      <w:bodyDiv w:val="1"/>
      <w:marLeft w:val="0"/>
      <w:marRight w:val="0"/>
      <w:marTop w:val="0"/>
      <w:marBottom w:val="0"/>
      <w:divBdr>
        <w:top w:val="none" w:sz="0" w:space="0" w:color="auto"/>
        <w:left w:val="none" w:sz="0" w:space="0" w:color="auto"/>
        <w:bottom w:val="none" w:sz="0" w:space="0" w:color="auto"/>
        <w:right w:val="none" w:sz="0" w:space="0" w:color="auto"/>
      </w:divBdr>
      <w:divsChild>
        <w:div w:id="925458535">
          <w:marLeft w:val="0"/>
          <w:marRight w:val="0"/>
          <w:marTop w:val="0"/>
          <w:marBottom w:val="0"/>
          <w:divBdr>
            <w:top w:val="none" w:sz="0" w:space="0" w:color="auto"/>
            <w:left w:val="none" w:sz="0" w:space="0" w:color="auto"/>
            <w:bottom w:val="none" w:sz="0" w:space="0" w:color="auto"/>
            <w:right w:val="none" w:sz="0" w:space="0" w:color="auto"/>
          </w:divBdr>
        </w:div>
      </w:divsChild>
    </w:div>
    <w:div w:id="1865901420">
      <w:bodyDiv w:val="1"/>
      <w:marLeft w:val="0"/>
      <w:marRight w:val="0"/>
      <w:marTop w:val="0"/>
      <w:marBottom w:val="0"/>
      <w:divBdr>
        <w:top w:val="none" w:sz="0" w:space="0" w:color="auto"/>
        <w:left w:val="none" w:sz="0" w:space="0" w:color="auto"/>
        <w:bottom w:val="none" w:sz="0" w:space="0" w:color="auto"/>
        <w:right w:val="none" w:sz="0" w:space="0" w:color="auto"/>
      </w:divBdr>
      <w:divsChild>
        <w:div w:id="1391658684">
          <w:marLeft w:val="0"/>
          <w:marRight w:val="0"/>
          <w:marTop w:val="0"/>
          <w:marBottom w:val="0"/>
          <w:divBdr>
            <w:top w:val="none" w:sz="0" w:space="0" w:color="auto"/>
            <w:left w:val="none" w:sz="0" w:space="0" w:color="auto"/>
            <w:bottom w:val="none" w:sz="0" w:space="0" w:color="auto"/>
            <w:right w:val="none" w:sz="0" w:space="0" w:color="auto"/>
          </w:divBdr>
        </w:div>
      </w:divsChild>
    </w:div>
    <w:div w:id="1883054990">
      <w:bodyDiv w:val="1"/>
      <w:marLeft w:val="0"/>
      <w:marRight w:val="0"/>
      <w:marTop w:val="0"/>
      <w:marBottom w:val="0"/>
      <w:divBdr>
        <w:top w:val="none" w:sz="0" w:space="0" w:color="auto"/>
        <w:left w:val="none" w:sz="0" w:space="0" w:color="auto"/>
        <w:bottom w:val="none" w:sz="0" w:space="0" w:color="auto"/>
        <w:right w:val="none" w:sz="0" w:space="0" w:color="auto"/>
      </w:divBdr>
    </w:div>
    <w:div w:id="1888449324">
      <w:bodyDiv w:val="1"/>
      <w:marLeft w:val="0"/>
      <w:marRight w:val="0"/>
      <w:marTop w:val="0"/>
      <w:marBottom w:val="0"/>
      <w:divBdr>
        <w:top w:val="none" w:sz="0" w:space="0" w:color="auto"/>
        <w:left w:val="none" w:sz="0" w:space="0" w:color="auto"/>
        <w:bottom w:val="none" w:sz="0" w:space="0" w:color="auto"/>
        <w:right w:val="none" w:sz="0" w:space="0" w:color="auto"/>
      </w:divBdr>
    </w:div>
    <w:div w:id="1891794815">
      <w:bodyDiv w:val="1"/>
      <w:marLeft w:val="0"/>
      <w:marRight w:val="0"/>
      <w:marTop w:val="0"/>
      <w:marBottom w:val="0"/>
      <w:divBdr>
        <w:top w:val="none" w:sz="0" w:space="0" w:color="auto"/>
        <w:left w:val="none" w:sz="0" w:space="0" w:color="auto"/>
        <w:bottom w:val="none" w:sz="0" w:space="0" w:color="auto"/>
        <w:right w:val="none" w:sz="0" w:space="0" w:color="auto"/>
      </w:divBdr>
    </w:div>
    <w:div w:id="1936090454">
      <w:bodyDiv w:val="1"/>
      <w:marLeft w:val="0"/>
      <w:marRight w:val="0"/>
      <w:marTop w:val="0"/>
      <w:marBottom w:val="0"/>
      <w:divBdr>
        <w:top w:val="none" w:sz="0" w:space="0" w:color="auto"/>
        <w:left w:val="none" w:sz="0" w:space="0" w:color="auto"/>
        <w:bottom w:val="none" w:sz="0" w:space="0" w:color="auto"/>
        <w:right w:val="none" w:sz="0" w:space="0" w:color="auto"/>
      </w:divBdr>
    </w:div>
    <w:div w:id="1940485030">
      <w:bodyDiv w:val="1"/>
      <w:marLeft w:val="0"/>
      <w:marRight w:val="0"/>
      <w:marTop w:val="0"/>
      <w:marBottom w:val="0"/>
      <w:divBdr>
        <w:top w:val="none" w:sz="0" w:space="0" w:color="auto"/>
        <w:left w:val="none" w:sz="0" w:space="0" w:color="auto"/>
        <w:bottom w:val="none" w:sz="0" w:space="0" w:color="auto"/>
        <w:right w:val="none" w:sz="0" w:space="0" w:color="auto"/>
      </w:divBdr>
    </w:div>
    <w:div w:id="1957786033">
      <w:bodyDiv w:val="1"/>
      <w:marLeft w:val="0"/>
      <w:marRight w:val="0"/>
      <w:marTop w:val="0"/>
      <w:marBottom w:val="0"/>
      <w:divBdr>
        <w:top w:val="none" w:sz="0" w:space="0" w:color="auto"/>
        <w:left w:val="none" w:sz="0" w:space="0" w:color="auto"/>
        <w:bottom w:val="none" w:sz="0" w:space="0" w:color="auto"/>
        <w:right w:val="none" w:sz="0" w:space="0" w:color="auto"/>
      </w:divBdr>
    </w:div>
    <w:div w:id="1958368035">
      <w:bodyDiv w:val="1"/>
      <w:marLeft w:val="0"/>
      <w:marRight w:val="0"/>
      <w:marTop w:val="0"/>
      <w:marBottom w:val="0"/>
      <w:divBdr>
        <w:top w:val="none" w:sz="0" w:space="0" w:color="auto"/>
        <w:left w:val="none" w:sz="0" w:space="0" w:color="auto"/>
        <w:bottom w:val="none" w:sz="0" w:space="0" w:color="auto"/>
        <w:right w:val="none" w:sz="0" w:space="0" w:color="auto"/>
      </w:divBdr>
      <w:divsChild>
        <w:div w:id="394358217">
          <w:marLeft w:val="0"/>
          <w:marRight w:val="0"/>
          <w:marTop w:val="0"/>
          <w:marBottom w:val="0"/>
          <w:divBdr>
            <w:top w:val="none" w:sz="0" w:space="0" w:color="auto"/>
            <w:left w:val="none" w:sz="0" w:space="0" w:color="auto"/>
            <w:bottom w:val="none" w:sz="0" w:space="0" w:color="auto"/>
            <w:right w:val="none" w:sz="0" w:space="0" w:color="auto"/>
          </w:divBdr>
          <w:divsChild>
            <w:div w:id="2082364980">
              <w:marLeft w:val="0"/>
              <w:marRight w:val="0"/>
              <w:marTop w:val="0"/>
              <w:marBottom w:val="0"/>
              <w:divBdr>
                <w:top w:val="none" w:sz="0" w:space="0" w:color="auto"/>
                <w:left w:val="none" w:sz="0" w:space="0" w:color="auto"/>
                <w:bottom w:val="none" w:sz="0" w:space="0" w:color="auto"/>
                <w:right w:val="none" w:sz="0" w:space="0" w:color="auto"/>
              </w:divBdr>
            </w:div>
          </w:divsChild>
        </w:div>
        <w:div w:id="494691051">
          <w:marLeft w:val="0"/>
          <w:marRight w:val="0"/>
          <w:marTop w:val="0"/>
          <w:marBottom w:val="0"/>
          <w:divBdr>
            <w:top w:val="none" w:sz="0" w:space="0" w:color="auto"/>
            <w:left w:val="none" w:sz="0" w:space="0" w:color="auto"/>
            <w:bottom w:val="none" w:sz="0" w:space="0" w:color="auto"/>
            <w:right w:val="none" w:sz="0" w:space="0" w:color="auto"/>
          </w:divBdr>
          <w:divsChild>
            <w:div w:id="1395589518">
              <w:marLeft w:val="0"/>
              <w:marRight w:val="0"/>
              <w:marTop w:val="0"/>
              <w:marBottom w:val="0"/>
              <w:divBdr>
                <w:top w:val="none" w:sz="0" w:space="0" w:color="auto"/>
                <w:left w:val="none" w:sz="0" w:space="0" w:color="auto"/>
                <w:bottom w:val="none" w:sz="0" w:space="0" w:color="auto"/>
                <w:right w:val="none" w:sz="0" w:space="0" w:color="auto"/>
              </w:divBdr>
            </w:div>
          </w:divsChild>
        </w:div>
        <w:div w:id="717629399">
          <w:marLeft w:val="0"/>
          <w:marRight w:val="0"/>
          <w:marTop w:val="0"/>
          <w:marBottom w:val="0"/>
          <w:divBdr>
            <w:top w:val="none" w:sz="0" w:space="0" w:color="auto"/>
            <w:left w:val="none" w:sz="0" w:space="0" w:color="auto"/>
            <w:bottom w:val="none" w:sz="0" w:space="0" w:color="auto"/>
            <w:right w:val="none" w:sz="0" w:space="0" w:color="auto"/>
          </w:divBdr>
          <w:divsChild>
            <w:div w:id="1808277504">
              <w:marLeft w:val="0"/>
              <w:marRight w:val="0"/>
              <w:marTop w:val="0"/>
              <w:marBottom w:val="0"/>
              <w:divBdr>
                <w:top w:val="none" w:sz="0" w:space="0" w:color="auto"/>
                <w:left w:val="none" w:sz="0" w:space="0" w:color="auto"/>
                <w:bottom w:val="none" w:sz="0" w:space="0" w:color="auto"/>
                <w:right w:val="none" w:sz="0" w:space="0" w:color="auto"/>
              </w:divBdr>
            </w:div>
          </w:divsChild>
        </w:div>
        <w:div w:id="826015971">
          <w:marLeft w:val="0"/>
          <w:marRight w:val="0"/>
          <w:marTop w:val="0"/>
          <w:marBottom w:val="0"/>
          <w:divBdr>
            <w:top w:val="none" w:sz="0" w:space="0" w:color="auto"/>
            <w:left w:val="none" w:sz="0" w:space="0" w:color="auto"/>
            <w:bottom w:val="none" w:sz="0" w:space="0" w:color="auto"/>
            <w:right w:val="none" w:sz="0" w:space="0" w:color="auto"/>
          </w:divBdr>
          <w:divsChild>
            <w:div w:id="2102987144">
              <w:marLeft w:val="0"/>
              <w:marRight w:val="0"/>
              <w:marTop w:val="0"/>
              <w:marBottom w:val="0"/>
              <w:divBdr>
                <w:top w:val="none" w:sz="0" w:space="0" w:color="auto"/>
                <w:left w:val="none" w:sz="0" w:space="0" w:color="auto"/>
                <w:bottom w:val="none" w:sz="0" w:space="0" w:color="auto"/>
                <w:right w:val="none" w:sz="0" w:space="0" w:color="auto"/>
              </w:divBdr>
            </w:div>
          </w:divsChild>
        </w:div>
        <w:div w:id="833835762">
          <w:marLeft w:val="0"/>
          <w:marRight w:val="0"/>
          <w:marTop w:val="0"/>
          <w:marBottom w:val="0"/>
          <w:divBdr>
            <w:top w:val="none" w:sz="0" w:space="0" w:color="auto"/>
            <w:left w:val="none" w:sz="0" w:space="0" w:color="auto"/>
            <w:bottom w:val="none" w:sz="0" w:space="0" w:color="auto"/>
            <w:right w:val="none" w:sz="0" w:space="0" w:color="auto"/>
          </w:divBdr>
          <w:divsChild>
            <w:div w:id="549264624">
              <w:marLeft w:val="0"/>
              <w:marRight w:val="0"/>
              <w:marTop w:val="0"/>
              <w:marBottom w:val="0"/>
              <w:divBdr>
                <w:top w:val="none" w:sz="0" w:space="0" w:color="auto"/>
                <w:left w:val="none" w:sz="0" w:space="0" w:color="auto"/>
                <w:bottom w:val="none" w:sz="0" w:space="0" w:color="auto"/>
                <w:right w:val="none" w:sz="0" w:space="0" w:color="auto"/>
              </w:divBdr>
            </w:div>
          </w:divsChild>
        </w:div>
        <w:div w:id="1169711189">
          <w:marLeft w:val="0"/>
          <w:marRight w:val="0"/>
          <w:marTop w:val="0"/>
          <w:marBottom w:val="0"/>
          <w:divBdr>
            <w:top w:val="none" w:sz="0" w:space="0" w:color="auto"/>
            <w:left w:val="none" w:sz="0" w:space="0" w:color="auto"/>
            <w:bottom w:val="none" w:sz="0" w:space="0" w:color="auto"/>
            <w:right w:val="none" w:sz="0" w:space="0" w:color="auto"/>
          </w:divBdr>
          <w:divsChild>
            <w:div w:id="998731312">
              <w:marLeft w:val="0"/>
              <w:marRight w:val="0"/>
              <w:marTop w:val="0"/>
              <w:marBottom w:val="0"/>
              <w:divBdr>
                <w:top w:val="none" w:sz="0" w:space="0" w:color="auto"/>
                <w:left w:val="none" w:sz="0" w:space="0" w:color="auto"/>
                <w:bottom w:val="none" w:sz="0" w:space="0" w:color="auto"/>
                <w:right w:val="none" w:sz="0" w:space="0" w:color="auto"/>
              </w:divBdr>
            </w:div>
          </w:divsChild>
        </w:div>
        <w:div w:id="1358657758">
          <w:marLeft w:val="0"/>
          <w:marRight w:val="0"/>
          <w:marTop w:val="0"/>
          <w:marBottom w:val="0"/>
          <w:divBdr>
            <w:top w:val="none" w:sz="0" w:space="0" w:color="auto"/>
            <w:left w:val="none" w:sz="0" w:space="0" w:color="auto"/>
            <w:bottom w:val="none" w:sz="0" w:space="0" w:color="auto"/>
            <w:right w:val="none" w:sz="0" w:space="0" w:color="auto"/>
          </w:divBdr>
          <w:divsChild>
            <w:div w:id="177936267">
              <w:marLeft w:val="0"/>
              <w:marRight w:val="0"/>
              <w:marTop w:val="0"/>
              <w:marBottom w:val="0"/>
              <w:divBdr>
                <w:top w:val="none" w:sz="0" w:space="0" w:color="auto"/>
                <w:left w:val="none" w:sz="0" w:space="0" w:color="auto"/>
                <w:bottom w:val="none" w:sz="0" w:space="0" w:color="auto"/>
                <w:right w:val="none" w:sz="0" w:space="0" w:color="auto"/>
              </w:divBdr>
            </w:div>
          </w:divsChild>
        </w:div>
        <w:div w:id="1851680358">
          <w:marLeft w:val="0"/>
          <w:marRight w:val="0"/>
          <w:marTop w:val="0"/>
          <w:marBottom w:val="0"/>
          <w:divBdr>
            <w:top w:val="none" w:sz="0" w:space="0" w:color="auto"/>
            <w:left w:val="none" w:sz="0" w:space="0" w:color="auto"/>
            <w:bottom w:val="none" w:sz="0" w:space="0" w:color="auto"/>
            <w:right w:val="none" w:sz="0" w:space="0" w:color="auto"/>
          </w:divBdr>
          <w:divsChild>
            <w:div w:id="145663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552210">
      <w:bodyDiv w:val="1"/>
      <w:marLeft w:val="0"/>
      <w:marRight w:val="0"/>
      <w:marTop w:val="0"/>
      <w:marBottom w:val="0"/>
      <w:divBdr>
        <w:top w:val="none" w:sz="0" w:space="0" w:color="auto"/>
        <w:left w:val="none" w:sz="0" w:space="0" w:color="auto"/>
        <w:bottom w:val="none" w:sz="0" w:space="0" w:color="auto"/>
        <w:right w:val="none" w:sz="0" w:space="0" w:color="auto"/>
      </w:divBdr>
    </w:div>
    <w:div w:id="2001233674">
      <w:bodyDiv w:val="1"/>
      <w:marLeft w:val="0"/>
      <w:marRight w:val="0"/>
      <w:marTop w:val="0"/>
      <w:marBottom w:val="0"/>
      <w:divBdr>
        <w:top w:val="none" w:sz="0" w:space="0" w:color="auto"/>
        <w:left w:val="none" w:sz="0" w:space="0" w:color="auto"/>
        <w:bottom w:val="none" w:sz="0" w:space="0" w:color="auto"/>
        <w:right w:val="none" w:sz="0" w:space="0" w:color="auto"/>
      </w:divBdr>
    </w:div>
    <w:div w:id="2025865561">
      <w:bodyDiv w:val="1"/>
      <w:marLeft w:val="0"/>
      <w:marRight w:val="0"/>
      <w:marTop w:val="0"/>
      <w:marBottom w:val="0"/>
      <w:divBdr>
        <w:top w:val="none" w:sz="0" w:space="0" w:color="auto"/>
        <w:left w:val="none" w:sz="0" w:space="0" w:color="auto"/>
        <w:bottom w:val="none" w:sz="0" w:space="0" w:color="auto"/>
        <w:right w:val="none" w:sz="0" w:space="0" w:color="auto"/>
      </w:divBdr>
    </w:div>
    <w:div w:id="2099134242">
      <w:bodyDiv w:val="1"/>
      <w:marLeft w:val="0"/>
      <w:marRight w:val="0"/>
      <w:marTop w:val="0"/>
      <w:marBottom w:val="0"/>
      <w:divBdr>
        <w:top w:val="none" w:sz="0" w:space="0" w:color="auto"/>
        <w:left w:val="none" w:sz="0" w:space="0" w:color="auto"/>
        <w:bottom w:val="none" w:sz="0" w:space="0" w:color="auto"/>
        <w:right w:val="none" w:sz="0" w:space="0" w:color="auto"/>
      </w:divBdr>
      <w:divsChild>
        <w:div w:id="839850830">
          <w:marLeft w:val="0"/>
          <w:marRight w:val="0"/>
          <w:marTop w:val="0"/>
          <w:marBottom w:val="0"/>
          <w:divBdr>
            <w:top w:val="none" w:sz="0" w:space="0" w:color="auto"/>
            <w:left w:val="none" w:sz="0" w:space="0" w:color="auto"/>
            <w:bottom w:val="none" w:sz="0" w:space="0" w:color="auto"/>
            <w:right w:val="none" w:sz="0" w:space="0" w:color="auto"/>
          </w:divBdr>
        </w:div>
      </w:divsChild>
    </w:div>
    <w:div w:id="2103715559">
      <w:bodyDiv w:val="1"/>
      <w:marLeft w:val="0"/>
      <w:marRight w:val="0"/>
      <w:marTop w:val="0"/>
      <w:marBottom w:val="0"/>
      <w:divBdr>
        <w:top w:val="none" w:sz="0" w:space="0" w:color="auto"/>
        <w:left w:val="none" w:sz="0" w:space="0" w:color="auto"/>
        <w:bottom w:val="none" w:sz="0" w:space="0" w:color="auto"/>
        <w:right w:val="none" w:sz="0" w:space="0" w:color="auto"/>
      </w:divBdr>
    </w:div>
    <w:div w:id="2110081703">
      <w:bodyDiv w:val="1"/>
      <w:marLeft w:val="0"/>
      <w:marRight w:val="0"/>
      <w:marTop w:val="0"/>
      <w:marBottom w:val="0"/>
      <w:divBdr>
        <w:top w:val="none" w:sz="0" w:space="0" w:color="auto"/>
        <w:left w:val="none" w:sz="0" w:space="0" w:color="auto"/>
        <w:bottom w:val="none" w:sz="0" w:space="0" w:color="auto"/>
        <w:right w:val="none" w:sz="0" w:space="0" w:color="auto"/>
      </w:divBdr>
    </w:div>
    <w:div w:id="2111125408">
      <w:bodyDiv w:val="1"/>
      <w:marLeft w:val="0"/>
      <w:marRight w:val="0"/>
      <w:marTop w:val="0"/>
      <w:marBottom w:val="0"/>
      <w:divBdr>
        <w:top w:val="none" w:sz="0" w:space="0" w:color="auto"/>
        <w:left w:val="none" w:sz="0" w:space="0" w:color="auto"/>
        <w:bottom w:val="none" w:sz="0" w:space="0" w:color="auto"/>
        <w:right w:val="none" w:sz="0" w:space="0" w:color="auto"/>
      </w:divBdr>
      <w:divsChild>
        <w:div w:id="1129973347">
          <w:marLeft w:val="0"/>
          <w:marRight w:val="0"/>
          <w:marTop w:val="0"/>
          <w:marBottom w:val="0"/>
          <w:divBdr>
            <w:top w:val="none" w:sz="0" w:space="0" w:color="auto"/>
            <w:left w:val="none" w:sz="0" w:space="0" w:color="auto"/>
            <w:bottom w:val="none" w:sz="0" w:space="0" w:color="auto"/>
            <w:right w:val="none" w:sz="0" w:space="0" w:color="auto"/>
          </w:divBdr>
        </w:div>
      </w:divsChild>
    </w:div>
    <w:div w:id="2117095785">
      <w:bodyDiv w:val="1"/>
      <w:marLeft w:val="0"/>
      <w:marRight w:val="0"/>
      <w:marTop w:val="0"/>
      <w:marBottom w:val="0"/>
      <w:divBdr>
        <w:top w:val="none" w:sz="0" w:space="0" w:color="auto"/>
        <w:left w:val="none" w:sz="0" w:space="0" w:color="auto"/>
        <w:bottom w:val="none" w:sz="0" w:space="0" w:color="auto"/>
        <w:right w:val="none" w:sz="0" w:space="0" w:color="auto"/>
      </w:divBdr>
      <w:divsChild>
        <w:div w:id="51974248">
          <w:marLeft w:val="0"/>
          <w:marRight w:val="0"/>
          <w:marTop w:val="0"/>
          <w:marBottom w:val="0"/>
          <w:divBdr>
            <w:top w:val="none" w:sz="0" w:space="0" w:color="auto"/>
            <w:left w:val="none" w:sz="0" w:space="0" w:color="auto"/>
            <w:bottom w:val="none" w:sz="0" w:space="0" w:color="auto"/>
            <w:right w:val="none" w:sz="0" w:space="0" w:color="auto"/>
          </w:divBdr>
          <w:divsChild>
            <w:div w:id="1848131929">
              <w:marLeft w:val="0"/>
              <w:marRight w:val="0"/>
              <w:marTop w:val="0"/>
              <w:marBottom w:val="0"/>
              <w:divBdr>
                <w:top w:val="none" w:sz="0" w:space="0" w:color="auto"/>
                <w:left w:val="none" w:sz="0" w:space="0" w:color="auto"/>
                <w:bottom w:val="none" w:sz="0" w:space="0" w:color="auto"/>
                <w:right w:val="none" w:sz="0" w:space="0" w:color="auto"/>
              </w:divBdr>
            </w:div>
          </w:divsChild>
        </w:div>
        <w:div w:id="135270256">
          <w:marLeft w:val="0"/>
          <w:marRight w:val="0"/>
          <w:marTop w:val="0"/>
          <w:marBottom w:val="0"/>
          <w:divBdr>
            <w:top w:val="none" w:sz="0" w:space="0" w:color="auto"/>
            <w:left w:val="none" w:sz="0" w:space="0" w:color="auto"/>
            <w:bottom w:val="none" w:sz="0" w:space="0" w:color="auto"/>
            <w:right w:val="none" w:sz="0" w:space="0" w:color="auto"/>
          </w:divBdr>
          <w:divsChild>
            <w:div w:id="1350182197">
              <w:marLeft w:val="0"/>
              <w:marRight w:val="0"/>
              <w:marTop w:val="0"/>
              <w:marBottom w:val="0"/>
              <w:divBdr>
                <w:top w:val="none" w:sz="0" w:space="0" w:color="auto"/>
                <w:left w:val="none" w:sz="0" w:space="0" w:color="auto"/>
                <w:bottom w:val="none" w:sz="0" w:space="0" w:color="auto"/>
                <w:right w:val="none" w:sz="0" w:space="0" w:color="auto"/>
              </w:divBdr>
            </w:div>
          </w:divsChild>
        </w:div>
        <w:div w:id="182935768">
          <w:marLeft w:val="0"/>
          <w:marRight w:val="0"/>
          <w:marTop w:val="0"/>
          <w:marBottom w:val="0"/>
          <w:divBdr>
            <w:top w:val="none" w:sz="0" w:space="0" w:color="auto"/>
            <w:left w:val="none" w:sz="0" w:space="0" w:color="auto"/>
            <w:bottom w:val="none" w:sz="0" w:space="0" w:color="auto"/>
            <w:right w:val="none" w:sz="0" w:space="0" w:color="auto"/>
          </w:divBdr>
          <w:divsChild>
            <w:div w:id="1092361662">
              <w:marLeft w:val="0"/>
              <w:marRight w:val="0"/>
              <w:marTop w:val="0"/>
              <w:marBottom w:val="0"/>
              <w:divBdr>
                <w:top w:val="none" w:sz="0" w:space="0" w:color="auto"/>
                <w:left w:val="none" w:sz="0" w:space="0" w:color="auto"/>
                <w:bottom w:val="none" w:sz="0" w:space="0" w:color="auto"/>
                <w:right w:val="none" w:sz="0" w:space="0" w:color="auto"/>
              </w:divBdr>
            </w:div>
          </w:divsChild>
        </w:div>
        <w:div w:id="183328566">
          <w:marLeft w:val="0"/>
          <w:marRight w:val="0"/>
          <w:marTop w:val="0"/>
          <w:marBottom w:val="0"/>
          <w:divBdr>
            <w:top w:val="none" w:sz="0" w:space="0" w:color="auto"/>
            <w:left w:val="none" w:sz="0" w:space="0" w:color="auto"/>
            <w:bottom w:val="none" w:sz="0" w:space="0" w:color="auto"/>
            <w:right w:val="none" w:sz="0" w:space="0" w:color="auto"/>
          </w:divBdr>
          <w:divsChild>
            <w:div w:id="474373710">
              <w:marLeft w:val="0"/>
              <w:marRight w:val="0"/>
              <w:marTop w:val="0"/>
              <w:marBottom w:val="0"/>
              <w:divBdr>
                <w:top w:val="none" w:sz="0" w:space="0" w:color="auto"/>
                <w:left w:val="none" w:sz="0" w:space="0" w:color="auto"/>
                <w:bottom w:val="none" w:sz="0" w:space="0" w:color="auto"/>
                <w:right w:val="none" w:sz="0" w:space="0" w:color="auto"/>
              </w:divBdr>
            </w:div>
          </w:divsChild>
        </w:div>
        <w:div w:id="261380263">
          <w:marLeft w:val="0"/>
          <w:marRight w:val="0"/>
          <w:marTop w:val="0"/>
          <w:marBottom w:val="0"/>
          <w:divBdr>
            <w:top w:val="none" w:sz="0" w:space="0" w:color="auto"/>
            <w:left w:val="none" w:sz="0" w:space="0" w:color="auto"/>
            <w:bottom w:val="none" w:sz="0" w:space="0" w:color="auto"/>
            <w:right w:val="none" w:sz="0" w:space="0" w:color="auto"/>
          </w:divBdr>
          <w:divsChild>
            <w:div w:id="2133670680">
              <w:marLeft w:val="0"/>
              <w:marRight w:val="0"/>
              <w:marTop w:val="0"/>
              <w:marBottom w:val="0"/>
              <w:divBdr>
                <w:top w:val="none" w:sz="0" w:space="0" w:color="auto"/>
                <w:left w:val="none" w:sz="0" w:space="0" w:color="auto"/>
                <w:bottom w:val="none" w:sz="0" w:space="0" w:color="auto"/>
                <w:right w:val="none" w:sz="0" w:space="0" w:color="auto"/>
              </w:divBdr>
            </w:div>
          </w:divsChild>
        </w:div>
        <w:div w:id="448160310">
          <w:marLeft w:val="0"/>
          <w:marRight w:val="0"/>
          <w:marTop w:val="0"/>
          <w:marBottom w:val="0"/>
          <w:divBdr>
            <w:top w:val="none" w:sz="0" w:space="0" w:color="auto"/>
            <w:left w:val="none" w:sz="0" w:space="0" w:color="auto"/>
            <w:bottom w:val="none" w:sz="0" w:space="0" w:color="auto"/>
            <w:right w:val="none" w:sz="0" w:space="0" w:color="auto"/>
          </w:divBdr>
          <w:divsChild>
            <w:div w:id="533271344">
              <w:marLeft w:val="0"/>
              <w:marRight w:val="0"/>
              <w:marTop w:val="0"/>
              <w:marBottom w:val="0"/>
              <w:divBdr>
                <w:top w:val="none" w:sz="0" w:space="0" w:color="auto"/>
                <w:left w:val="none" w:sz="0" w:space="0" w:color="auto"/>
                <w:bottom w:val="none" w:sz="0" w:space="0" w:color="auto"/>
                <w:right w:val="none" w:sz="0" w:space="0" w:color="auto"/>
              </w:divBdr>
            </w:div>
          </w:divsChild>
        </w:div>
        <w:div w:id="459304973">
          <w:marLeft w:val="0"/>
          <w:marRight w:val="0"/>
          <w:marTop w:val="0"/>
          <w:marBottom w:val="0"/>
          <w:divBdr>
            <w:top w:val="none" w:sz="0" w:space="0" w:color="auto"/>
            <w:left w:val="none" w:sz="0" w:space="0" w:color="auto"/>
            <w:bottom w:val="none" w:sz="0" w:space="0" w:color="auto"/>
            <w:right w:val="none" w:sz="0" w:space="0" w:color="auto"/>
          </w:divBdr>
          <w:divsChild>
            <w:div w:id="447243755">
              <w:marLeft w:val="0"/>
              <w:marRight w:val="0"/>
              <w:marTop w:val="0"/>
              <w:marBottom w:val="0"/>
              <w:divBdr>
                <w:top w:val="none" w:sz="0" w:space="0" w:color="auto"/>
                <w:left w:val="none" w:sz="0" w:space="0" w:color="auto"/>
                <w:bottom w:val="none" w:sz="0" w:space="0" w:color="auto"/>
                <w:right w:val="none" w:sz="0" w:space="0" w:color="auto"/>
              </w:divBdr>
            </w:div>
          </w:divsChild>
        </w:div>
        <w:div w:id="593052004">
          <w:marLeft w:val="0"/>
          <w:marRight w:val="0"/>
          <w:marTop w:val="0"/>
          <w:marBottom w:val="0"/>
          <w:divBdr>
            <w:top w:val="none" w:sz="0" w:space="0" w:color="auto"/>
            <w:left w:val="none" w:sz="0" w:space="0" w:color="auto"/>
            <w:bottom w:val="none" w:sz="0" w:space="0" w:color="auto"/>
            <w:right w:val="none" w:sz="0" w:space="0" w:color="auto"/>
          </w:divBdr>
          <w:divsChild>
            <w:div w:id="1352755425">
              <w:marLeft w:val="0"/>
              <w:marRight w:val="0"/>
              <w:marTop w:val="0"/>
              <w:marBottom w:val="0"/>
              <w:divBdr>
                <w:top w:val="none" w:sz="0" w:space="0" w:color="auto"/>
                <w:left w:val="none" w:sz="0" w:space="0" w:color="auto"/>
                <w:bottom w:val="none" w:sz="0" w:space="0" w:color="auto"/>
                <w:right w:val="none" w:sz="0" w:space="0" w:color="auto"/>
              </w:divBdr>
            </w:div>
          </w:divsChild>
        </w:div>
        <w:div w:id="632836104">
          <w:marLeft w:val="0"/>
          <w:marRight w:val="0"/>
          <w:marTop w:val="0"/>
          <w:marBottom w:val="0"/>
          <w:divBdr>
            <w:top w:val="none" w:sz="0" w:space="0" w:color="auto"/>
            <w:left w:val="none" w:sz="0" w:space="0" w:color="auto"/>
            <w:bottom w:val="none" w:sz="0" w:space="0" w:color="auto"/>
            <w:right w:val="none" w:sz="0" w:space="0" w:color="auto"/>
          </w:divBdr>
          <w:divsChild>
            <w:div w:id="509493090">
              <w:marLeft w:val="0"/>
              <w:marRight w:val="0"/>
              <w:marTop w:val="0"/>
              <w:marBottom w:val="0"/>
              <w:divBdr>
                <w:top w:val="none" w:sz="0" w:space="0" w:color="auto"/>
                <w:left w:val="none" w:sz="0" w:space="0" w:color="auto"/>
                <w:bottom w:val="none" w:sz="0" w:space="0" w:color="auto"/>
                <w:right w:val="none" w:sz="0" w:space="0" w:color="auto"/>
              </w:divBdr>
            </w:div>
          </w:divsChild>
        </w:div>
        <w:div w:id="729382594">
          <w:marLeft w:val="0"/>
          <w:marRight w:val="0"/>
          <w:marTop w:val="0"/>
          <w:marBottom w:val="0"/>
          <w:divBdr>
            <w:top w:val="none" w:sz="0" w:space="0" w:color="auto"/>
            <w:left w:val="none" w:sz="0" w:space="0" w:color="auto"/>
            <w:bottom w:val="none" w:sz="0" w:space="0" w:color="auto"/>
            <w:right w:val="none" w:sz="0" w:space="0" w:color="auto"/>
          </w:divBdr>
          <w:divsChild>
            <w:div w:id="841772174">
              <w:marLeft w:val="0"/>
              <w:marRight w:val="0"/>
              <w:marTop w:val="0"/>
              <w:marBottom w:val="0"/>
              <w:divBdr>
                <w:top w:val="none" w:sz="0" w:space="0" w:color="auto"/>
                <w:left w:val="none" w:sz="0" w:space="0" w:color="auto"/>
                <w:bottom w:val="none" w:sz="0" w:space="0" w:color="auto"/>
                <w:right w:val="none" w:sz="0" w:space="0" w:color="auto"/>
              </w:divBdr>
            </w:div>
          </w:divsChild>
        </w:div>
        <w:div w:id="765728261">
          <w:marLeft w:val="0"/>
          <w:marRight w:val="0"/>
          <w:marTop w:val="0"/>
          <w:marBottom w:val="0"/>
          <w:divBdr>
            <w:top w:val="none" w:sz="0" w:space="0" w:color="auto"/>
            <w:left w:val="none" w:sz="0" w:space="0" w:color="auto"/>
            <w:bottom w:val="none" w:sz="0" w:space="0" w:color="auto"/>
            <w:right w:val="none" w:sz="0" w:space="0" w:color="auto"/>
          </w:divBdr>
          <w:divsChild>
            <w:div w:id="515462578">
              <w:marLeft w:val="0"/>
              <w:marRight w:val="0"/>
              <w:marTop w:val="0"/>
              <w:marBottom w:val="0"/>
              <w:divBdr>
                <w:top w:val="none" w:sz="0" w:space="0" w:color="auto"/>
                <w:left w:val="none" w:sz="0" w:space="0" w:color="auto"/>
                <w:bottom w:val="none" w:sz="0" w:space="0" w:color="auto"/>
                <w:right w:val="none" w:sz="0" w:space="0" w:color="auto"/>
              </w:divBdr>
            </w:div>
          </w:divsChild>
        </w:div>
        <w:div w:id="805896996">
          <w:marLeft w:val="0"/>
          <w:marRight w:val="0"/>
          <w:marTop w:val="0"/>
          <w:marBottom w:val="0"/>
          <w:divBdr>
            <w:top w:val="none" w:sz="0" w:space="0" w:color="auto"/>
            <w:left w:val="none" w:sz="0" w:space="0" w:color="auto"/>
            <w:bottom w:val="none" w:sz="0" w:space="0" w:color="auto"/>
            <w:right w:val="none" w:sz="0" w:space="0" w:color="auto"/>
          </w:divBdr>
          <w:divsChild>
            <w:div w:id="1264340411">
              <w:marLeft w:val="0"/>
              <w:marRight w:val="0"/>
              <w:marTop w:val="0"/>
              <w:marBottom w:val="0"/>
              <w:divBdr>
                <w:top w:val="none" w:sz="0" w:space="0" w:color="auto"/>
                <w:left w:val="none" w:sz="0" w:space="0" w:color="auto"/>
                <w:bottom w:val="none" w:sz="0" w:space="0" w:color="auto"/>
                <w:right w:val="none" w:sz="0" w:space="0" w:color="auto"/>
              </w:divBdr>
            </w:div>
          </w:divsChild>
        </w:div>
        <w:div w:id="842399834">
          <w:marLeft w:val="0"/>
          <w:marRight w:val="0"/>
          <w:marTop w:val="0"/>
          <w:marBottom w:val="0"/>
          <w:divBdr>
            <w:top w:val="none" w:sz="0" w:space="0" w:color="auto"/>
            <w:left w:val="none" w:sz="0" w:space="0" w:color="auto"/>
            <w:bottom w:val="none" w:sz="0" w:space="0" w:color="auto"/>
            <w:right w:val="none" w:sz="0" w:space="0" w:color="auto"/>
          </w:divBdr>
          <w:divsChild>
            <w:div w:id="656037375">
              <w:marLeft w:val="0"/>
              <w:marRight w:val="0"/>
              <w:marTop w:val="0"/>
              <w:marBottom w:val="0"/>
              <w:divBdr>
                <w:top w:val="none" w:sz="0" w:space="0" w:color="auto"/>
                <w:left w:val="none" w:sz="0" w:space="0" w:color="auto"/>
                <w:bottom w:val="none" w:sz="0" w:space="0" w:color="auto"/>
                <w:right w:val="none" w:sz="0" w:space="0" w:color="auto"/>
              </w:divBdr>
            </w:div>
          </w:divsChild>
        </w:div>
        <w:div w:id="872112120">
          <w:marLeft w:val="0"/>
          <w:marRight w:val="0"/>
          <w:marTop w:val="0"/>
          <w:marBottom w:val="0"/>
          <w:divBdr>
            <w:top w:val="none" w:sz="0" w:space="0" w:color="auto"/>
            <w:left w:val="none" w:sz="0" w:space="0" w:color="auto"/>
            <w:bottom w:val="none" w:sz="0" w:space="0" w:color="auto"/>
            <w:right w:val="none" w:sz="0" w:space="0" w:color="auto"/>
          </w:divBdr>
          <w:divsChild>
            <w:div w:id="288246801">
              <w:marLeft w:val="0"/>
              <w:marRight w:val="0"/>
              <w:marTop w:val="0"/>
              <w:marBottom w:val="0"/>
              <w:divBdr>
                <w:top w:val="none" w:sz="0" w:space="0" w:color="auto"/>
                <w:left w:val="none" w:sz="0" w:space="0" w:color="auto"/>
                <w:bottom w:val="none" w:sz="0" w:space="0" w:color="auto"/>
                <w:right w:val="none" w:sz="0" w:space="0" w:color="auto"/>
              </w:divBdr>
            </w:div>
          </w:divsChild>
        </w:div>
        <w:div w:id="894241938">
          <w:marLeft w:val="0"/>
          <w:marRight w:val="0"/>
          <w:marTop w:val="0"/>
          <w:marBottom w:val="0"/>
          <w:divBdr>
            <w:top w:val="none" w:sz="0" w:space="0" w:color="auto"/>
            <w:left w:val="none" w:sz="0" w:space="0" w:color="auto"/>
            <w:bottom w:val="none" w:sz="0" w:space="0" w:color="auto"/>
            <w:right w:val="none" w:sz="0" w:space="0" w:color="auto"/>
          </w:divBdr>
          <w:divsChild>
            <w:div w:id="1281915270">
              <w:marLeft w:val="0"/>
              <w:marRight w:val="0"/>
              <w:marTop w:val="0"/>
              <w:marBottom w:val="0"/>
              <w:divBdr>
                <w:top w:val="none" w:sz="0" w:space="0" w:color="auto"/>
                <w:left w:val="none" w:sz="0" w:space="0" w:color="auto"/>
                <w:bottom w:val="none" w:sz="0" w:space="0" w:color="auto"/>
                <w:right w:val="none" w:sz="0" w:space="0" w:color="auto"/>
              </w:divBdr>
            </w:div>
          </w:divsChild>
        </w:div>
        <w:div w:id="1081366959">
          <w:marLeft w:val="0"/>
          <w:marRight w:val="0"/>
          <w:marTop w:val="0"/>
          <w:marBottom w:val="0"/>
          <w:divBdr>
            <w:top w:val="none" w:sz="0" w:space="0" w:color="auto"/>
            <w:left w:val="none" w:sz="0" w:space="0" w:color="auto"/>
            <w:bottom w:val="none" w:sz="0" w:space="0" w:color="auto"/>
            <w:right w:val="none" w:sz="0" w:space="0" w:color="auto"/>
          </w:divBdr>
          <w:divsChild>
            <w:div w:id="882599715">
              <w:marLeft w:val="0"/>
              <w:marRight w:val="0"/>
              <w:marTop w:val="0"/>
              <w:marBottom w:val="0"/>
              <w:divBdr>
                <w:top w:val="none" w:sz="0" w:space="0" w:color="auto"/>
                <w:left w:val="none" w:sz="0" w:space="0" w:color="auto"/>
                <w:bottom w:val="none" w:sz="0" w:space="0" w:color="auto"/>
                <w:right w:val="none" w:sz="0" w:space="0" w:color="auto"/>
              </w:divBdr>
            </w:div>
          </w:divsChild>
        </w:div>
        <w:div w:id="1099329536">
          <w:marLeft w:val="0"/>
          <w:marRight w:val="0"/>
          <w:marTop w:val="0"/>
          <w:marBottom w:val="0"/>
          <w:divBdr>
            <w:top w:val="none" w:sz="0" w:space="0" w:color="auto"/>
            <w:left w:val="none" w:sz="0" w:space="0" w:color="auto"/>
            <w:bottom w:val="none" w:sz="0" w:space="0" w:color="auto"/>
            <w:right w:val="none" w:sz="0" w:space="0" w:color="auto"/>
          </w:divBdr>
          <w:divsChild>
            <w:div w:id="1118450076">
              <w:marLeft w:val="0"/>
              <w:marRight w:val="0"/>
              <w:marTop w:val="0"/>
              <w:marBottom w:val="0"/>
              <w:divBdr>
                <w:top w:val="none" w:sz="0" w:space="0" w:color="auto"/>
                <w:left w:val="none" w:sz="0" w:space="0" w:color="auto"/>
                <w:bottom w:val="none" w:sz="0" w:space="0" w:color="auto"/>
                <w:right w:val="none" w:sz="0" w:space="0" w:color="auto"/>
              </w:divBdr>
            </w:div>
          </w:divsChild>
        </w:div>
        <w:div w:id="1133980746">
          <w:marLeft w:val="0"/>
          <w:marRight w:val="0"/>
          <w:marTop w:val="0"/>
          <w:marBottom w:val="0"/>
          <w:divBdr>
            <w:top w:val="none" w:sz="0" w:space="0" w:color="auto"/>
            <w:left w:val="none" w:sz="0" w:space="0" w:color="auto"/>
            <w:bottom w:val="none" w:sz="0" w:space="0" w:color="auto"/>
            <w:right w:val="none" w:sz="0" w:space="0" w:color="auto"/>
          </w:divBdr>
          <w:divsChild>
            <w:div w:id="1157113166">
              <w:marLeft w:val="0"/>
              <w:marRight w:val="0"/>
              <w:marTop w:val="0"/>
              <w:marBottom w:val="0"/>
              <w:divBdr>
                <w:top w:val="none" w:sz="0" w:space="0" w:color="auto"/>
                <w:left w:val="none" w:sz="0" w:space="0" w:color="auto"/>
                <w:bottom w:val="none" w:sz="0" w:space="0" w:color="auto"/>
                <w:right w:val="none" w:sz="0" w:space="0" w:color="auto"/>
              </w:divBdr>
            </w:div>
          </w:divsChild>
        </w:div>
        <w:div w:id="1242520259">
          <w:marLeft w:val="0"/>
          <w:marRight w:val="0"/>
          <w:marTop w:val="0"/>
          <w:marBottom w:val="0"/>
          <w:divBdr>
            <w:top w:val="none" w:sz="0" w:space="0" w:color="auto"/>
            <w:left w:val="none" w:sz="0" w:space="0" w:color="auto"/>
            <w:bottom w:val="none" w:sz="0" w:space="0" w:color="auto"/>
            <w:right w:val="none" w:sz="0" w:space="0" w:color="auto"/>
          </w:divBdr>
          <w:divsChild>
            <w:div w:id="224537024">
              <w:marLeft w:val="0"/>
              <w:marRight w:val="0"/>
              <w:marTop w:val="0"/>
              <w:marBottom w:val="0"/>
              <w:divBdr>
                <w:top w:val="none" w:sz="0" w:space="0" w:color="auto"/>
                <w:left w:val="none" w:sz="0" w:space="0" w:color="auto"/>
                <w:bottom w:val="none" w:sz="0" w:space="0" w:color="auto"/>
                <w:right w:val="none" w:sz="0" w:space="0" w:color="auto"/>
              </w:divBdr>
            </w:div>
          </w:divsChild>
        </w:div>
        <w:div w:id="1361932345">
          <w:marLeft w:val="0"/>
          <w:marRight w:val="0"/>
          <w:marTop w:val="0"/>
          <w:marBottom w:val="0"/>
          <w:divBdr>
            <w:top w:val="none" w:sz="0" w:space="0" w:color="auto"/>
            <w:left w:val="none" w:sz="0" w:space="0" w:color="auto"/>
            <w:bottom w:val="none" w:sz="0" w:space="0" w:color="auto"/>
            <w:right w:val="none" w:sz="0" w:space="0" w:color="auto"/>
          </w:divBdr>
          <w:divsChild>
            <w:div w:id="1285498668">
              <w:marLeft w:val="0"/>
              <w:marRight w:val="0"/>
              <w:marTop w:val="0"/>
              <w:marBottom w:val="0"/>
              <w:divBdr>
                <w:top w:val="none" w:sz="0" w:space="0" w:color="auto"/>
                <w:left w:val="none" w:sz="0" w:space="0" w:color="auto"/>
                <w:bottom w:val="none" w:sz="0" w:space="0" w:color="auto"/>
                <w:right w:val="none" w:sz="0" w:space="0" w:color="auto"/>
              </w:divBdr>
            </w:div>
          </w:divsChild>
        </w:div>
        <w:div w:id="1435636074">
          <w:marLeft w:val="0"/>
          <w:marRight w:val="0"/>
          <w:marTop w:val="0"/>
          <w:marBottom w:val="0"/>
          <w:divBdr>
            <w:top w:val="none" w:sz="0" w:space="0" w:color="auto"/>
            <w:left w:val="none" w:sz="0" w:space="0" w:color="auto"/>
            <w:bottom w:val="none" w:sz="0" w:space="0" w:color="auto"/>
            <w:right w:val="none" w:sz="0" w:space="0" w:color="auto"/>
          </w:divBdr>
          <w:divsChild>
            <w:div w:id="1363676076">
              <w:marLeft w:val="0"/>
              <w:marRight w:val="0"/>
              <w:marTop w:val="0"/>
              <w:marBottom w:val="0"/>
              <w:divBdr>
                <w:top w:val="none" w:sz="0" w:space="0" w:color="auto"/>
                <w:left w:val="none" w:sz="0" w:space="0" w:color="auto"/>
                <w:bottom w:val="none" w:sz="0" w:space="0" w:color="auto"/>
                <w:right w:val="none" w:sz="0" w:space="0" w:color="auto"/>
              </w:divBdr>
            </w:div>
          </w:divsChild>
        </w:div>
        <w:div w:id="1472673834">
          <w:marLeft w:val="0"/>
          <w:marRight w:val="0"/>
          <w:marTop w:val="0"/>
          <w:marBottom w:val="0"/>
          <w:divBdr>
            <w:top w:val="none" w:sz="0" w:space="0" w:color="auto"/>
            <w:left w:val="none" w:sz="0" w:space="0" w:color="auto"/>
            <w:bottom w:val="none" w:sz="0" w:space="0" w:color="auto"/>
            <w:right w:val="none" w:sz="0" w:space="0" w:color="auto"/>
          </w:divBdr>
          <w:divsChild>
            <w:div w:id="772094215">
              <w:marLeft w:val="0"/>
              <w:marRight w:val="0"/>
              <w:marTop w:val="0"/>
              <w:marBottom w:val="0"/>
              <w:divBdr>
                <w:top w:val="none" w:sz="0" w:space="0" w:color="auto"/>
                <w:left w:val="none" w:sz="0" w:space="0" w:color="auto"/>
                <w:bottom w:val="none" w:sz="0" w:space="0" w:color="auto"/>
                <w:right w:val="none" w:sz="0" w:space="0" w:color="auto"/>
              </w:divBdr>
            </w:div>
          </w:divsChild>
        </w:div>
        <w:div w:id="1480149981">
          <w:marLeft w:val="0"/>
          <w:marRight w:val="0"/>
          <w:marTop w:val="0"/>
          <w:marBottom w:val="0"/>
          <w:divBdr>
            <w:top w:val="none" w:sz="0" w:space="0" w:color="auto"/>
            <w:left w:val="none" w:sz="0" w:space="0" w:color="auto"/>
            <w:bottom w:val="none" w:sz="0" w:space="0" w:color="auto"/>
            <w:right w:val="none" w:sz="0" w:space="0" w:color="auto"/>
          </w:divBdr>
          <w:divsChild>
            <w:div w:id="627473159">
              <w:marLeft w:val="0"/>
              <w:marRight w:val="0"/>
              <w:marTop w:val="0"/>
              <w:marBottom w:val="0"/>
              <w:divBdr>
                <w:top w:val="none" w:sz="0" w:space="0" w:color="auto"/>
                <w:left w:val="none" w:sz="0" w:space="0" w:color="auto"/>
                <w:bottom w:val="none" w:sz="0" w:space="0" w:color="auto"/>
                <w:right w:val="none" w:sz="0" w:space="0" w:color="auto"/>
              </w:divBdr>
            </w:div>
          </w:divsChild>
        </w:div>
        <w:div w:id="1519932553">
          <w:marLeft w:val="0"/>
          <w:marRight w:val="0"/>
          <w:marTop w:val="0"/>
          <w:marBottom w:val="0"/>
          <w:divBdr>
            <w:top w:val="none" w:sz="0" w:space="0" w:color="auto"/>
            <w:left w:val="none" w:sz="0" w:space="0" w:color="auto"/>
            <w:bottom w:val="none" w:sz="0" w:space="0" w:color="auto"/>
            <w:right w:val="none" w:sz="0" w:space="0" w:color="auto"/>
          </w:divBdr>
          <w:divsChild>
            <w:div w:id="1733306413">
              <w:marLeft w:val="0"/>
              <w:marRight w:val="0"/>
              <w:marTop w:val="0"/>
              <w:marBottom w:val="0"/>
              <w:divBdr>
                <w:top w:val="none" w:sz="0" w:space="0" w:color="auto"/>
                <w:left w:val="none" w:sz="0" w:space="0" w:color="auto"/>
                <w:bottom w:val="none" w:sz="0" w:space="0" w:color="auto"/>
                <w:right w:val="none" w:sz="0" w:space="0" w:color="auto"/>
              </w:divBdr>
            </w:div>
          </w:divsChild>
        </w:div>
        <w:div w:id="1566331144">
          <w:marLeft w:val="0"/>
          <w:marRight w:val="0"/>
          <w:marTop w:val="0"/>
          <w:marBottom w:val="0"/>
          <w:divBdr>
            <w:top w:val="none" w:sz="0" w:space="0" w:color="auto"/>
            <w:left w:val="none" w:sz="0" w:space="0" w:color="auto"/>
            <w:bottom w:val="none" w:sz="0" w:space="0" w:color="auto"/>
            <w:right w:val="none" w:sz="0" w:space="0" w:color="auto"/>
          </w:divBdr>
          <w:divsChild>
            <w:div w:id="1481460460">
              <w:marLeft w:val="0"/>
              <w:marRight w:val="0"/>
              <w:marTop w:val="0"/>
              <w:marBottom w:val="0"/>
              <w:divBdr>
                <w:top w:val="none" w:sz="0" w:space="0" w:color="auto"/>
                <w:left w:val="none" w:sz="0" w:space="0" w:color="auto"/>
                <w:bottom w:val="none" w:sz="0" w:space="0" w:color="auto"/>
                <w:right w:val="none" w:sz="0" w:space="0" w:color="auto"/>
              </w:divBdr>
            </w:div>
          </w:divsChild>
        </w:div>
        <w:div w:id="1578855002">
          <w:marLeft w:val="0"/>
          <w:marRight w:val="0"/>
          <w:marTop w:val="0"/>
          <w:marBottom w:val="0"/>
          <w:divBdr>
            <w:top w:val="none" w:sz="0" w:space="0" w:color="auto"/>
            <w:left w:val="none" w:sz="0" w:space="0" w:color="auto"/>
            <w:bottom w:val="none" w:sz="0" w:space="0" w:color="auto"/>
            <w:right w:val="none" w:sz="0" w:space="0" w:color="auto"/>
          </w:divBdr>
          <w:divsChild>
            <w:div w:id="1530295673">
              <w:marLeft w:val="0"/>
              <w:marRight w:val="0"/>
              <w:marTop w:val="0"/>
              <w:marBottom w:val="0"/>
              <w:divBdr>
                <w:top w:val="none" w:sz="0" w:space="0" w:color="auto"/>
                <w:left w:val="none" w:sz="0" w:space="0" w:color="auto"/>
                <w:bottom w:val="none" w:sz="0" w:space="0" w:color="auto"/>
                <w:right w:val="none" w:sz="0" w:space="0" w:color="auto"/>
              </w:divBdr>
            </w:div>
          </w:divsChild>
        </w:div>
        <w:div w:id="1680815593">
          <w:marLeft w:val="0"/>
          <w:marRight w:val="0"/>
          <w:marTop w:val="0"/>
          <w:marBottom w:val="0"/>
          <w:divBdr>
            <w:top w:val="none" w:sz="0" w:space="0" w:color="auto"/>
            <w:left w:val="none" w:sz="0" w:space="0" w:color="auto"/>
            <w:bottom w:val="none" w:sz="0" w:space="0" w:color="auto"/>
            <w:right w:val="none" w:sz="0" w:space="0" w:color="auto"/>
          </w:divBdr>
          <w:divsChild>
            <w:div w:id="1908032756">
              <w:marLeft w:val="0"/>
              <w:marRight w:val="0"/>
              <w:marTop w:val="0"/>
              <w:marBottom w:val="0"/>
              <w:divBdr>
                <w:top w:val="none" w:sz="0" w:space="0" w:color="auto"/>
                <w:left w:val="none" w:sz="0" w:space="0" w:color="auto"/>
                <w:bottom w:val="none" w:sz="0" w:space="0" w:color="auto"/>
                <w:right w:val="none" w:sz="0" w:space="0" w:color="auto"/>
              </w:divBdr>
            </w:div>
          </w:divsChild>
        </w:div>
        <w:div w:id="1961301445">
          <w:marLeft w:val="0"/>
          <w:marRight w:val="0"/>
          <w:marTop w:val="0"/>
          <w:marBottom w:val="0"/>
          <w:divBdr>
            <w:top w:val="none" w:sz="0" w:space="0" w:color="auto"/>
            <w:left w:val="none" w:sz="0" w:space="0" w:color="auto"/>
            <w:bottom w:val="none" w:sz="0" w:space="0" w:color="auto"/>
            <w:right w:val="none" w:sz="0" w:space="0" w:color="auto"/>
          </w:divBdr>
          <w:divsChild>
            <w:div w:id="670765731">
              <w:marLeft w:val="0"/>
              <w:marRight w:val="0"/>
              <w:marTop w:val="0"/>
              <w:marBottom w:val="0"/>
              <w:divBdr>
                <w:top w:val="none" w:sz="0" w:space="0" w:color="auto"/>
                <w:left w:val="none" w:sz="0" w:space="0" w:color="auto"/>
                <w:bottom w:val="none" w:sz="0" w:space="0" w:color="auto"/>
                <w:right w:val="none" w:sz="0" w:space="0" w:color="auto"/>
              </w:divBdr>
            </w:div>
          </w:divsChild>
        </w:div>
        <w:div w:id="2061393512">
          <w:marLeft w:val="0"/>
          <w:marRight w:val="0"/>
          <w:marTop w:val="0"/>
          <w:marBottom w:val="0"/>
          <w:divBdr>
            <w:top w:val="none" w:sz="0" w:space="0" w:color="auto"/>
            <w:left w:val="none" w:sz="0" w:space="0" w:color="auto"/>
            <w:bottom w:val="none" w:sz="0" w:space="0" w:color="auto"/>
            <w:right w:val="none" w:sz="0" w:space="0" w:color="auto"/>
          </w:divBdr>
          <w:divsChild>
            <w:div w:id="1680817576">
              <w:marLeft w:val="0"/>
              <w:marRight w:val="0"/>
              <w:marTop w:val="0"/>
              <w:marBottom w:val="0"/>
              <w:divBdr>
                <w:top w:val="none" w:sz="0" w:space="0" w:color="auto"/>
                <w:left w:val="none" w:sz="0" w:space="0" w:color="auto"/>
                <w:bottom w:val="none" w:sz="0" w:space="0" w:color="auto"/>
                <w:right w:val="none" w:sz="0" w:space="0" w:color="auto"/>
              </w:divBdr>
            </w:div>
          </w:divsChild>
        </w:div>
        <w:div w:id="2081560982">
          <w:marLeft w:val="0"/>
          <w:marRight w:val="0"/>
          <w:marTop w:val="0"/>
          <w:marBottom w:val="0"/>
          <w:divBdr>
            <w:top w:val="none" w:sz="0" w:space="0" w:color="auto"/>
            <w:left w:val="none" w:sz="0" w:space="0" w:color="auto"/>
            <w:bottom w:val="none" w:sz="0" w:space="0" w:color="auto"/>
            <w:right w:val="none" w:sz="0" w:space="0" w:color="auto"/>
          </w:divBdr>
          <w:divsChild>
            <w:div w:id="1938632740">
              <w:marLeft w:val="0"/>
              <w:marRight w:val="0"/>
              <w:marTop w:val="0"/>
              <w:marBottom w:val="0"/>
              <w:divBdr>
                <w:top w:val="none" w:sz="0" w:space="0" w:color="auto"/>
                <w:left w:val="none" w:sz="0" w:space="0" w:color="auto"/>
                <w:bottom w:val="none" w:sz="0" w:space="0" w:color="auto"/>
                <w:right w:val="none" w:sz="0" w:space="0" w:color="auto"/>
              </w:divBdr>
            </w:div>
          </w:divsChild>
        </w:div>
        <w:div w:id="2142116600">
          <w:marLeft w:val="0"/>
          <w:marRight w:val="0"/>
          <w:marTop w:val="0"/>
          <w:marBottom w:val="0"/>
          <w:divBdr>
            <w:top w:val="none" w:sz="0" w:space="0" w:color="auto"/>
            <w:left w:val="none" w:sz="0" w:space="0" w:color="auto"/>
            <w:bottom w:val="none" w:sz="0" w:space="0" w:color="auto"/>
            <w:right w:val="none" w:sz="0" w:space="0" w:color="auto"/>
          </w:divBdr>
          <w:divsChild>
            <w:div w:id="58878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2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3.png"/><Relationship Id="rId39" Type="http://schemas.openxmlformats.org/officeDocument/2006/relationships/image" Target="media/image17.png"/><Relationship Id="rId21" Type="http://schemas.openxmlformats.org/officeDocument/2006/relationships/image" Target="media/image11.png"/><Relationship Id="rId34" Type="http://schemas.openxmlformats.org/officeDocument/2006/relationships/footer" Target="footer1.xml"/><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chart" Target="charts/chart6.xml"/><Relationship Id="rId11" Type="http://schemas.openxmlformats.org/officeDocument/2006/relationships/image" Target="media/image1.png"/><Relationship Id="rId24" Type="http://schemas.openxmlformats.org/officeDocument/2006/relationships/chart" Target="charts/chart2.xm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footer" Target="footer2.xml"/><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chart" Target="charts/chart3.xml"/><Relationship Id="rId33" Type="http://schemas.openxmlformats.org/officeDocument/2006/relationships/header" Target="header2.xml"/><Relationship Id="rId38" Type="http://schemas.openxmlformats.org/officeDocument/2006/relationships/header" Target="header4.xml"/><Relationship Id="rId46" Type="http://schemas.openxmlformats.org/officeDocument/2006/relationships/image" Target="media/image24.png"/><Relationship Id="rId20" Type="http://schemas.openxmlformats.org/officeDocument/2006/relationships/image" Target="media/image10.jpeg"/><Relationship Id="rId41" Type="http://schemas.openxmlformats.org/officeDocument/2006/relationships/image" Target="media/image19.png"/><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chart" Target="charts/chart5.xml"/><Relationship Id="rId36" Type="http://schemas.openxmlformats.org/officeDocument/2006/relationships/header" Target="header3.xml"/><Relationship Id="rId49" Type="http://schemas.openxmlformats.org/officeDocument/2006/relationships/image" Target="media/image27.png"/><Relationship Id="rId57"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chart" Target="charts/chart8.xml"/><Relationship Id="rId44" Type="http://schemas.openxmlformats.org/officeDocument/2006/relationships/image" Target="media/image22.png"/><Relationship Id="rId52" Type="http://schemas.openxmlformats.org/officeDocument/2006/relationships/image" Target="media/image30.png"/></Relationships>
</file>

<file path=word/_rels/footer2.xml.rels><?xml version="1.0" encoding="UTF-8" standalone="yes"?>
<Relationships xmlns="http://schemas.openxmlformats.org/package/2006/relationships"><Relationship Id="rId2" Type="http://schemas.openxmlformats.org/officeDocument/2006/relationships/image" Target="media/image16.svg"/><Relationship Id="rId1" Type="http://schemas.openxmlformats.org/officeDocument/2006/relationships/image" Target="media/image15.png"/></Relationships>
</file>

<file path=word/_rels/footer4.xml.rels><?xml version="1.0" encoding="UTF-8" standalone="yes"?>
<Relationships xmlns="http://schemas.openxmlformats.org/package/2006/relationships"><Relationship Id="rId2" Type="http://schemas.openxmlformats.org/officeDocument/2006/relationships/image" Target="media/image16.svg"/><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8" Type="http://schemas.openxmlformats.org/officeDocument/2006/relationships/hyperlink" Target="https://palliativecare.org.au/statement/wellbeing-in-palliative-care-workforces-national-workforce-survey-findings-report-1/" TargetMode="External"/><Relationship Id="rId3" Type="http://schemas.openxmlformats.org/officeDocument/2006/relationships/hyperlink" Target="http://www.health.gov.au/topics/palliative-care/about-palliative-care/what-is-palliative-care" TargetMode="External"/><Relationship Id="rId7" Type="http://schemas.openxmlformats.org/officeDocument/2006/relationships/hyperlink" Target="https://palliativecare.org.au/statement/wellbeing-in-palliative-care-workforces-national-workforce-survey-findings-report-1/" TargetMode="External"/><Relationship Id="rId12" Type="http://schemas.openxmlformats.org/officeDocument/2006/relationships/hyperlink" Target="https://palliativecare.org.au/resource/advance-care-planning" TargetMode="External"/><Relationship Id="rId2" Type="http://schemas.openxmlformats.org/officeDocument/2006/relationships/hyperlink" Target="http://www.health.gov.au/topics/palliative-care/about-palliative-care/what-is-palliative-care" TargetMode="External"/><Relationship Id="rId1" Type="http://schemas.openxmlformats.org/officeDocument/2006/relationships/hyperlink" Target="https://palliativecare.org.au/wp-content/uploads/dlm_uploads/2018/02/PalliativeCare-Background-to-Service-Delivery-2018_v3.pdf" TargetMode="External"/><Relationship Id="rId6" Type="http://schemas.openxmlformats.org/officeDocument/2006/relationships/hyperlink" Target="https://palliativecarensw.org.au/further-evidence-of-the-economic-benefits-of-palliative-care/" TargetMode="External"/><Relationship Id="rId11" Type="http://schemas.openxmlformats.org/officeDocument/2006/relationships/hyperlink" Target="https://www.deathliteracy.institute/" TargetMode="External"/><Relationship Id="rId5" Type="http://schemas.openxmlformats.org/officeDocument/2006/relationships/hyperlink" Target="https://www.aihw.gov.au/reports/palliative-care-services/health-service-use-people-life-limiting-conditions/contents/services-received-for-a-potential-population-in-ne/overview-of-the-population-in-need-of-palliative-c?utm_source=chatgpt.com" TargetMode="External"/><Relationship Id="rId10" Type="http://schemas.openxmlformats.org/officeDocument/2006/relationships/hyperlink" Target="https://www.aihw.gov.au/reports/palliative-care-services/health-service-use-people-life-limiting-conditions/contents/services-received-for-a-potential-population-in-ne/overview-of-the-population-in-need-of-palliative-c?utm_source=chatgpt.com" TargetMode="External"/><Relationship Id="rId4" Type="http://schemas.openxmlformats.org/officeDocument/2006/relationships/hyperlink" Target="https://palliativecare.org.au/resource/economic-value-palliative-care-end-life-care/" TargetMode="External"/><Relationship Id="rId9" Type="http://schemas.openxmlformats.org/officeDocument/2006/relationships/hyperlink" Target="https://palliativecare.org.au/statement/wellbeing-in-palliative-care-workforces-national-workforce-survey-findings-report-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oleObject" Target="https://scyneadvisory.sharepoint.com/sites/rdmjgxuxu0qat6oww24i/Shared%20Documents/3.%20Working%20docs/3.8%20Endpoint/Needs%20Assessments/Needs%20Assessment%20Analysis%20-%20Pall%20Car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cyneadvisory.sharepoint.com/sites/rdmjgxuxu0qat6oww24i/Shared%20Documents/3.%20Working%20docs/3.8%20Endpoint/Received%20datasets/HealthPathways%20Data/HealthPathways%20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cyneadvisory.sharepoint.com/sites/rdmjgxuxu0qat6oww24i/Shared%20Documents/3.%20Working%20docs/3.8%20Endpoint/PHN%20SharePoint%20analysis/After%20Death%20Audit/After%20Death%20Audit%20PHN%20Endpoint%20Data%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cyneadvisory.sharepoint.com/sites/rdmjgxuxu0qat6oww24i/Shared%20Documents/3.%20Working%20docs/3.8%20Endpoint/PHN%20SharePoint%20analysis/Post-event%20surveys/Survey%20Responses_end%20poin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VarshaKrithivasan\Downloads\FINAL%20Last%20Aid%20evaluation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cyneadvisory.sharepoint.com/sites/rdmjgxuxu0qat6oww24i/Shared%20Documents/3.%20Working%20docs/3.8%20Endpoint/PHN%20SharePoint%20analysis/Post-event%20surveys/Survey%20Responses_end%20poin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Sheet6!$B$4:$B$7</c:f>
              <c:strCache>
                <c:ptCount val="4"/>
                <c:pt idx="0">
                  <c:v>Unsure</c:v>
                </c:pt>
                <c:pt idx="1">
                  <c:v>Does not assist</c:v>
                </c:pt>
                <c:pt idx="2">
                  <c:v>Somewhat assists</c:v>
                </c:pt>
                <c:pt idx="3">
                  <c:v>Significantly assists</c:v>
                </c:pt>
              </c:strCache>
            </c:strRef>
          </c:cat>
          <c:val>
            <c:numRef>
              <c:f>Sheet6!$C$4:$C$7</c:f>
              <c:numCache>
                <c:formatCode>0%</c:formatCode>
                <c:ptCount val="4"/>
                <c:pt idx="0">
                  <c:v>0.24</c:v>
                </c:pt>
                <c:pt idx="1">
                  <c:v>7.0000000000000007E-2</c:v>
                </c:pt>
                <c:pt idx="2">
                  <c:v>0.38</c:v>
                </c:pt>
                <c:pt idx="3">
                  <c:v>0.31</c:v>
                </c:pt>
              </c:numCache>
            </c:numRef>
          </c:val>
          <c:extLst>
            <c:ext xmlns:c16="http://schemas.microsoft.com/office/drawing/2014/chart" uri="{C3380CC4-5D6E-409C-BE32-E72D297353CC}">
              <c16:uniqueId val="{00000000-5CE8-4FBA-B709-2EC300357DC9}"/>
            </c:ext>
          </c:extLst>
        </c:ser>
        <c:dLbls>
          <c:dLblPos val="outEnd"/>
          <c:showLegendKey val="0"/>
          <c:showVal val="1"/>
          <c:showCatName val="0"/>
          <c:showSerName val="0"/>
          <c:showPercent val="0"/>
          <c:showBubbleSize val="0"/>
        </c:dLbls>
        <c:gapWidth val="182"/>
        <c:axId val="53190175"/>
        <c:axId val="53193055"/>
      </c:barChart>
      <c:catAx>
        <c:axId val="5319017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b="0" i="0" u="none" strike="noStrike" kern="1200" baseline="0">
                    <a:solidFill>
                      <a:sysClr val="windowText" lastClr="000000">
                        <a:lumMod val="65000"/>
                        <a:lumOff val="35000"/>
                      </a:sysClr>
                    </a:solidFill>
                  </a:rPr>
                  <a:t>Service Provider beliefs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93055"/>
        <c:crosses val="autoZero"/>
        <c:auto val="1"/>
        <c:lblAlgn val="ctr"/>
        <c:lblOffset val="100"/>
        <c:noMultiLvlLbl val="0"/>
      </c:catAx>
      <c:valAx>
        <c:axId val="53193055"/>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b="0" i="0" u="none" strike="noStrike" kern="1200" baseline="0">
                    <a:solidFill>
                      <a:sysClr val="windowText" lastClr="000000">
                        <a:lumMod val="65000"/>
                        <a:lumOff val="35000"/>
                      </a:sysClr>
                    </a:solidFill>
                  </a:rPr>
                  <a:t>Percentage of respondents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5319017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a:t>HealthPathway</a:t>
            </a:r>
            <a:r>
              <a:rPr lang="en-US" sz="1050" baseline="0"/>
              <a:t>s average monthly views by year</a:t>
            </a:r>
            <a:endParaRPr lang="en-US" sz="1050"/>
          </a:p>
        </c:rich>
      </c:tx>
      <c:layout>
        <c:manualLayout>
          <c:xMode val="edge"/>
          <c:yMode val="edge"/>
          <c:x val="0.19387249685999106"/>
          <c:y val="4.303388918773534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6464573559485144E-2"/>
          <c:y val="0.17758200086952322"/>
          <c:w val="0.94707085288102977"/>
          <c:h val="0.71407580954221217"/>
        </c:manualLayout>
      </c:layout>
      <c:barChart>
        <c:barDir val="col"/>
        <c:grouping val="clustered"/>
        <c:varyColors val="0"/>
        <c:ser>
          <c:idx val="0"/>
          <c:order val="0"/>
          <c:tx>
            <c:strRef>
              <c:f>'Summary Sheet'!$D$6</c:f>
              <c:strCache>
                <c:ptCount val="1"/>
                <c:pt idx="0">
                  <c:v>HealthPathways average monthly views by year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numRef>
              <c:f>'Summary Sheet'!$E$7:$L$7</c:f>
              <c:numCache>
                <c:formatCode>General</c:formatCode>
                <c:ptCount val="8"/>
                <c:pt idx="0">
                  <c:v>2017</c:v>
                </c:pt>
                <c:pt idx="1">
                  <c:v>2018</c:v>
                </c:pt>
                <c:pt idx="2">
                  <c:v>2019</c:v>
                </c:pt>
                <c:pt idx="3">
                  <c:v>2020</c:v>
                </c:pt>
                <c:pt idx="4">
                  <c:v>2021</c:v>
                </c:pt>
                <c:pt idx="5">
                  <c:v>2022</c:v>
                </c:pt>
                <c:pt idx="6">
                  <c:v>2023</c:v>
                </c:pt>
                <c:pt idx="7">
                  <c:v>2024</c:v>
                </c:pt>
              </c:numCache>
            </c:numRef>
          </c:cat>
          <c:val>
            <c:numRef>
              <c:f>'Summary Sheet'!$E$25:$L$25</c:f>
              <c:numCache>
                <c:formatCode>0</c:formatCode>
                <c:ptCount val="8"/>
                <c:pt idx="0">
                  <c:v>475.07499999999999</c:v>
                </c:pt>
                <c:pt idx="1">
                  <c:v>362.36666666666673</c:v>
                </c:pt>
                <c:pt idx="2">
                  <c:v>390.5</c:v>
                </c:pt>
                <c:pt idx="3">
                  <c:v>460.83333333333326</c:v>
                </c:pt>
                <c:pt idx="4">
                  <c:v>666.75</c:v>
                </c:pt>
                <c:pt idx="5">
                  <c:v>615.74999999999989</c:v>
                </c:pt>
                <c:pt idx="6">
                  <c:v>1059.5833333333335</c:v>
                </c:pt>
                <c:pt idx="7">
                  <c:v>1794.5638888888891</c:v>
                </c:pt>
              </c:numCache>
            </c:numRef>
          </c:val>
          <c:extLst>
            <c:ext xmlns:c16="http://schemas.microsoft.com/office/drawing/2014/chart" uri="{C3380CC4-5D6E-409C-BE32-E72D297353CC}">
              <c16:uniqueId val="{00000001-CF6B-416C-802E-4E79E82577BE}"/>
            </c:ext>
          </c:extLst>
        </c:ser>
        <c:dLbls>
          <c:dLblPos val="outEnd"/>
          <c:showLegendKey val="0"/>
          <c:showVal val="1"/>
          <c:showCatName val="0"/>
          <c:showSerName val="0"/>
          <c:showPercent val="0"/>
          <c:showBubbleSize val="0"/>
        </c:dLbls>
        <c:gapWidth val="219"/>
        <c:overlap val="-27"/>
        <c:axId val="1281941295"/>
        <c:axId val="548260751"/>
      </c:barChart>
      <c:catAx>
        <c:axId val="1281941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260751"/>
        <c:crosses val="autoZero"/>
        <c:auto val="1"/>
        <c:lblAlgn val="ctr"/>
        <c:lblOffset val="100"/>
        <c:noMultiLvlLbl val="0"/>
      </c:catAx>
      <c:valAx>
        <c:axId val="548260751"/>
        <c:scaling>
          <c:orientation val="minMax"/>
        </c:scaling>
        <c:delete val="1"/>
        <c:axPos val="l"/>
        <c:numFmt formatCode="0" sourceLinked="1"/>
        <c:majorTickMark val="none"/>
        <c:minorTickMark val="none"/>
        <c:tickLblPos val="nextTo"/>
        <c:crossAx val="12819412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AU" sz="800"/>
              <a:t>How confident was the care team / providers</a:t>
            </a:r>
            <a:r>
              <a:rPr lang="en-AU" sz="800" baseline="0"/>
              <a:t> in providing input? (n=135)</a:t>
            </a:r>
            <a:endParaRPr lang="en-AU" sz="800"/>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Analysis'!$B$458:$B$463</c:f>
              <c:strCache>
                <c:ptCount val="6"/>
                <c:pt idx="0">
                  <c:v>Very confident</c:v>
                </c:pt>
                <c:pt idx="1">
                  <c:v>Confident</c:v>
                </c:pt>
                <c:pt idx="2">
                  <c:v>Somewhat confident</c:v>
                </c:pt>
                <c:pt idx="3">
                  <c:v>Neutral</c:v>
                </c:pt>
                <c:pt idx="4">
                  <c:v>Not confident</c:v>
                </c:pt>
                <c:pt idx="5">
                  <c:v>N/A</c:v>
                </c:pt>
              </c:strCache>
            </c:strRef>
          </c:cat>
          <c:val>
            <c:numRef>
              <c:f>'Data Analysis'!$C$458:$C$463</c:f>
              <c:numCache>
                <c:formatCode>0%</c:formatCode>
                <c:ptCount val="6"/>
                <c:pt idx="0">
                  <c:v>0.19</c:v>
                </c:pt>
                <c:pt idx="1">
                  <c:v>0.3</c:v>
                </c:pt>
                <c:pt idx="2">
                  <c:v>0.01</c:v>
                </c:pt>
                <c:pt idx="3">
                  <c:v>0.04</c:v>
                </c:pt>
                <c:pt idx="4">
                  <c:v>0.01</c:v>
                </c:pt>
                <c:pt idx="5">
                  <c:v>0.46</c:v>
                </c:pt>
              </c:numCache>
            </c:numRef>
          </c:val>
          <c:extLst>
            <c:ext xmlns:c16="http://schemas.microsoft.com/office/drawing/2014/chart" uri="{C3380CC4-5D6E-409C-BE32-E72D297353CC}">
              <c16:uniqueId val="{00000000-E207-4EB1-8340-31170AFD6674}"/>
            </c:ext>
          </c:extLst>
        </c:ser>
        <c:dLbls>
          <c:dLblPos val="outEnd"/>
          <c:showLegendKey val="0"/>
          <c:showVal val="1"/>
          <c:showCatName val="0"/>
          <c:showSerName val="0"/>
          <c:showPercent val="0"/>
          <c:showBubbleSize val="0"/>
        </c:dLbls>
        <c:gapWidth val="182"/>
        <c:axId val="1704830975"/>
        <c:axId val="1704831455"/>
      </c:barChart>
      <c:catAx>
        <c:axId val="170483097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831455"/>
        <c:crosses val="autoZero"/>
        <c:auto val="1"/>
        <c:lblAlgn val="ctr"/>
        <c:lblOffset val="100"/>
        <c:noMultiLvlLbl val="0"/>
      </c:catAx>
      <c:valAx>
        <c:axId val="1704831455"/>
        <c:scaling>
          <c:orientation val="minMax"/>
        </c:scaling>
        <c:delete val="1"/>
        <c:axPos val="t"/>
        <c:numFmt formatCode="0%" sourceLinked="1"/>
        <c:majorTickMark val="none"/>
        <c:minorTickMark val="none"/>
        <c:tickLblPos val="nextTo"/>
        <c:crossAx val="170483097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a:latin typeface="Avenir Next LT Pro" panose="020B0504020202020204" pitchFamily="34" charset="0"/>
              </a:rPr>
              <a:t>This activity helps to improve my understanding of Palliative Care</a:t>
            </a:r>
            <a:r>
              <a:rPr lang="en-AU" sz="1200" baseline="0">
                <a:latin typeface="Avenir Next LT Pro" panose="020B0504020202020204" pitchFamily="34" charset="0"/>
              </a:rPr>
              <a:t> (n = 94) </a:t>
            </a:r>
            <a:endParaRPr lang="en-AU" sz="1200">
              <a:latin typeface="Avenir Next LT Pro" panose="020B05040202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0"/>
          <c:order val="0"/>
          <c:spPr>
            <a:solidFill>
              <a:srgbClr val="667DB7"/>
            </a:solidFill>
            <a:ln w="19050">
              <a:solidFill>
                <a:schemeClr val="lt1"/>
              </a:solidFill>
            </a:ln>
            <a:effectLst/>
          </c:spPr>
          <c:invertIfNegative val="0"/>
          <c:dPt>
            <c:idx val="0"/>
            <c:invertIfNegative val="0"/>
            <c:bubble3D val="0"/>
            <c:spPr>
              <a:solidFill>
                <a:srgbClr val="667DB7"/>
              </a:solidFill>
              <a:ln w="19050">
                <a:solidFill>
                  <a:schemeClr val="lt1"/>
                </a:solidFill>
              </a:ln>
              <a:effectLst/>
            </c:spPr>
            <c:extLst>
              <c:ext xmlns:c16="http://schemas.microsoft.com/office/drawing/2014/chart" uri="{C3380CC4-5D6E-409C-BE32-E72D297353CC}">
                <c16:uniqueId val="{00000001-7223-48DD-A601-92E94E90A5F3}"/>
              </c:ext>
            </c:extLst>
          </c:dPt>
          <c:dPt>
            <c:idx val="1"/>
            <c:invertIfNegative val="0"/>
            <c:bubble3D val="0"/>
            <c:spPr>
              <a:solidFill>
                <a:srgbClr val="F6C364"/>
              </a:solidFill>
              <a:ln w="19050">
                <a:solidFill>
                  <a:schemeClr val="lt1"/>
                </a:solidFill>
              </a:ln>
              <a:effectLst/>
            </c:spPr>
            <c:extLst>
              <c:ext xmlns:c16="http://schemas.microsoft.com/office/drawing/2014/chart" uri="{C3380CC4-5D6E-409C-BE32-E72D297353CC}">
                <c16:uniqueId val="{00000003-7223-48DD-A601-92E94E90A5F3}"/>
              </c:ext>
            </c:extLst>
          </c:dPt>
          <c:dPt>
            <c:idx val="2"/>
            <c:invertIfNegative val="0"/>
            <c:bubble3D val="0"/>
            <c:spPr>
              <a:solidFill>
                <a:srgbClr val="CED8FF"/>
              </a:solidFill>
              <a:ln w="19050">
                <a:solidFill>
                  <a:schemeClr val="lt1"/>
                </a:solidFill>
              </a:ln>
              <a:effectLst/>
            </c:spPr>
            <c:extLst>
              <c:ext xmlns:c16="http://schemas.microsoft.com/office/drawing/2014/chart" uri="{C3380CC4-5D6E-409C-BE32-E72D297353CC}">
                <c16:uniqueId val="{00000005-7223-48DD-A601-92E94E90A5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'Endpoint Data for Report'!$C$8:$C$10</c:f>
              <c:strCache>
                <c:ptCount val="3"/>
                <c:pt idx="0">
                  <c:v>Strongly agree</c:v>
                </c:pt>
                <c:pt idx="1">
                  <c:v>Agree</c:v>
                </c:pt>
                <c:pt idx="2">
                  <c:v>Disagree</c:v>
                </c:pt>
              </c:strCache>
            </c:strRef>
          </c:cat>
          <c:val>
            <c:numRef>
              <c:f>'Endpoint Data for Report'!$E$8:$E$10</c:f>
              <c:numCache>
                <c:formatCode>0.0%</c:formatCode>
                <c:ptCount val="3"/>
                <c:pt idx="0">
                  <c:v>0.6063829787234043</c:v>
                </c:pt>
                <c:pt idx="1">
                  <c:v>0.31914893617021278</c:v>
                </c:pt>
                <c:pt idx="2">
                  <c:v>7.4468085106382975E-2</c:v>
                </c:pt>
              </c:numCache>
            </c:numRef>
          </c:val>
          <c:extLst>
            <c:ext xmlns:c16="http://schemas.microsoft.com/office/drawing/2014/chart" uri="{C3380CC4-5D6E-409C-BE32-E72D297353CC}">
              <c16:uniqueId val="{00000006-7223-48DD-A601-92E94E90A5F3}"/>
            </c:ext>
          </c:extLst>
        </c:ser>
        <c:dLbls>
          <c:showLegendKey val="0"/>
          <c:showVal val="0"/>
          <c:showCatName val="0"/>
          <c:showSerName val="0"/>
          <c:showPercent val="0"/>
          <c:showBubbleSize val="0"/>
        </c:dLbls>
        <c:gapWidth val="100"/>
        <c:axId val="200285920"/>
        <c:axId val="355590528"/>
      </c:barChart>
      <c:catAx>
        <c:axId val="2002859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355590528"/>
        <c:crosses val="autoZero"/>
        <c:auto val="1"/>
        <c:lblAlgn val="ctr"/>
        <c:lblOffset val="100"/>
        <c:noMultiLvlLbl val="0"/>
      </c:catAx>
      <c:valAx>
        <c:axId val="355590528"/>
        <c:scaling>
          <c:orientation val="minMax"/>
        </c:scaling>
        <c:delete val="1"/>
        <c:axPos val="l"/>
        <c:numFmt formatCode="0.0%" sourceLinked="1"/>
        <c:majorTickMark val="out"/>
        <c:minorTickMark val="none"/>
        <c:tickLblPos val="nextTo"/>
        <c:crossAx val="2002859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For what reason did you attend this Last Aid (choose all that apply)? (n=40)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Sheet1!$P$17</c:f>
              <c:strCache>
                <c:ptCount val="1"/>
              </c:strCache>
            </c:strRef>
          </c:tx>
          <c:spPr>
            <a:solidFill>
              <a:schemeClr val="accent1"/>
            </a:solidFill>
            <a:ln>
              <a:noFill/>
            </a:ln>
            <a:effectLst/>
          </c:spPr>
          <c:invertIfNegative val="0"/>
          <c:dLbls>
            <c:dLbl>
              <c:idx val="0"/>
              <c:tx>
                <c:rich>
                  <a:bodyPr/>
                  <a:lstStyle/>
                  <a:p>
                    <a:fld id="{F3E9985E-5595-46E5-94EB-D55801B199DD}"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C84-4687-9A18-7B4395799EB5}"/>
                </c:ext>
              </c:extLst>
            </c:dLbl>
            <c:dLbl>
              <c:idx val="1"/>
              <c:tx>
                <c:rich>
                  <a:bodyPr/>
                  <a:lstStyle/>
                  <a:p>
                    <a:fld id="{27858158-1169-4D36-8478-EB94E54F2CA0}"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C84-4687-9A18-7B4395799EB5}"/>
                </c:ext>
              </c:extLst>
            </c:dLbl>
            <c:dLbl>
              <c:idx val="2"/>
              <c:tx>
                <c:rich>
                  <a:bodyPr/>
                  <a:lstStyle/>
                  <a:p>
                    <a:fld id="{7DFAE20B-6436-4A51-8DBE-E1F6ADADA94D}"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C84-4687-9A18-7B4395799EB5}"/>
                </c:ext>
              </c:extLst>
            </c:dLbl>
            <c:dLbl>
              <c:idx val="3"/>
              <c:tx>
                <c:rich>
                  <a:bodyPr/>
                  <a:lstStyle/>
                  <a:p>
                    <a:fld id="{1607B707-BC08-466F-9972-332493D24729}"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C84-4687-9A18-7B4395799EB5}"/>
                </c:ext>
              </c:extLst>
            </c:dLbl>
            <c:dLbl>
              <c:idx val="4"/>
              <c:tx>
                <c:rich>
                  <a:bodyPr/>
                  <a:lstStyle/>
                  <a:p>
                    <a:fld id="{3A277633-DFDD-4105-A963-D2E2D111AA03}"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BC84-4687-9A18-7B4395799EB5}"/>
                </c:ext>
              </c:extLst>
            </c:dLbl>
            <c:dLbl>
              <c:idx val="5"/>
              <c:tx>
                <c:rich>
                  <a:bodyPr/>
                  <a:lstStyle/>
                  <a:p>
                    <a:fld id="{12F36B61-6EEB-48D5-B3CA-3D560051B1E0}"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C84-4687-9A18-7B4395799EB5}"/>
                </c:ext>
              </c:extLst>
            </c:dLbl>
            <c:dLbl>
              <c:idx val="6"/>
              <c:tx>
                <c:rich>
                  <a:bodyPr/>
                  <a:lstStyle/>
                  <a:p>
                    <a:fld id="{0534F519-9FAC-4AD1-B1E4-9E94C43E20B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BC84-4687-9A18-7B4395799E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Sheet1!$O$18:$O$24</c:f>
              <c:strCache>
                <c:ptCount val="7"/>
                <c:pt idx="0">
                  <c:v>I wanted to learn more about palliative care, death, dying and/or bereavement</c:v>
                </c:pt>
                <c:pt idx="1">
                  <c:v>I am currently caring for someone with a chronic/long term condition</c:v>
                </c:pt>
                <c:pt idx="2">
                  <c:v>Someone close to me has died in the last 12 months</c:v>
                </c:pt>
                <c:pt idx="3">
                  <c:v>I am currently caring for someone experiencing at the end stage of life/palliative</c:v>
                </c:pt>
                <c:pt idx="4">
                  <c:v>I have a palliative condition myself</c:v>
                </c:pt>
                <c:pt idx="5">
                  <c:v>I have ageing parents and wanted to be more prepared</c:v>
                </c:pt>
                <c:pt idx="6">
                  <c:v>I have a chronic/long term condition myself</c:v>
                </c:pt>
              </c:strCache>
            </c:strRef>
          </c:cat>
          <c:val>
            <c:numRef>
              <c:f>Sheet1!$P$18:$P$24</c:f>
              <c:numCache>
                <c:formatCode>General</c:formatCode>
                <c:ptCount val="7"/>
                <c:pt idx="0">
                  <c:v>77.5</c:v>
                </c:pt>
                <c:pt idx="1">
                  <c:v>17.5</c:v>
                </c:pt>
                <c:pt idx="2">
                  <c:v>27.500000000000004</c:v>
                </c:pt>
                <c:pt idx="3">
                  <c:v>12.5</c:v>
                </c:pt>
                <c:pt idx="4">
                  <c:v>2.5</c:v>
                </c:pt>
                <c:pt idx="5">
                  <c:v>40</c:v>
                </c:pt>
                <c:pt idx="6">
                  <c:v>17.5</c:v>
                </c:pt>
              </c:numCache>
            </c:numRef>
          </c:val>
          <c:extLst>
            <c:ext xmlns:c16="http://schemas.microsoft.com/office/drawing/2014/chart" uri="{C3380CC4-5D6E-409C-BE32-E72D297353CC}">
              <c16:uniqueId val="{00000007-BC84-4687-9A18-7B4395799EB5}"/>
            </c:ext>
          </c:extLst>
        </c:ser>
        <c:dLbls>
          <c:dLblPos val="outEnd"/>
          <c:showLegendKey val="0"/>
          <c:showVal val="1"/>
          <c:showCatName val="0"/>
          <c:showSerName val="0"/>
          <c:showPercent val="0"/>
          <c:showBubbleSize val="0"/>
        </c:dLbls>
        <c:gapWidth val="182"/>
        <c:axId val="569192528"/>
        <c:axId val="569201168"/>
      </c:barChart>
      <c:catAx>
        <c:axId val="569192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201168"/>
        <c:crosses val="autoZero"/>
        <c:auto val="1"/>
        <c:lblAlgn val="ctr"/>
        <c:lblOffset val="100"/>
        <c:noMultiLvlLbl val="0"/>
      </c:catAx>
      <c:valAx>
        <c:axId val="569201168"/>
        <c:scaling>
          <c:orientation val="minMax"/>
        </c:scaling>
        <c:delete val="1"/>
        <c:axPos val="b"/>
        <c:numFmt formatCode="General" sourceLinked="1"/>
        <c:majorTickMark val="none"/>
        <c:minorTickMark val="none"/>
        <c:tickLblPos val="nextTo"/>
        <c:crossAx val="5691925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AU" sz="900">
                <a:latin typeface="Avenir Next LT Pro" panose="020B0504020202020204" pitchFamily="34" charset="0"/>
              </a:rPr>
              <a:t>This activity helps to improve my understanding of Advance</a:t>
            </a:r>
            <a:r>
              <a:rPr lang="en-AU" sz="900" baseline="0">
                <a:latin typeface="Avenir Next LT Pro" panose="020B0504020202020204" pitchFamily="34" charset="0"/>
              </a:rPr>
              <a:t> Care Planning</a:t>
            </a:r>
            <a:r>
              <a:rPr lang="en-AU" sz="900">
                <a:latin typeface="Avenir Next LT Pro" panose="020B0504020202020204" pitchFamily="34" charset="0"/>
              </a:rPr>
              <a:t> (n = 55)</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rgbClr val="667DB7"/>
              </a:solidFill>
              <a:ln w="19050">
                <a:solidFill>
                  <a:schemeClr val="lt1"/>
                </a:solidFill>
              </a:ln>
              <a:effectLst/>
            </c:spPr>
            <c:extLst>
              <c:ext xmlns:c16="http://schemas.microsoft.com/office/drawing/2014/chart" uri="{C3380CC4-5D6E-409C-BE32-E72D297353CC}">
                <c16:uniqueId val="{00000001-7BCE-4E4E-AE17-0A20DA08DB71}"/>
              </c:ext>
            </c:extLst>
          </c:dPt>
          <c:dPt>
            <c:idx val="1"/>
            <c:invertIfNegative val="0"/>
            <c:bubble3D val="0"/>
            <c:spPr>
              <a:solidFill>
                <a:srgbClr val="F6C364"/>
              </a:solidFill>
              <a:ln w="19050">
                <a:solidFill>
                  <a:schemeClr val="lt1"/>
                </a:solidFill>
              </a:ln>
              <a:effectLst/>
            </c:spPr>
            <c:extLst>
              <c:ext xmlns:c16="http://schemas.microsoft.com/office/drawing/2014/chart" uri="{C3380CC4-5D6E-409C-BE32-E72D297353CC}">
                <c16:uniqueId val="{00000003-7BCE-4E4E-AE17-0A20DA08DB71}"/>
              </c:ext>
            </c:extLst>
          </c:dPt>
          <c:dPt>
            <c:idx val="2"/>
            <c:invertIfNegative val="0"/>
            <c:bubble3D val="0"/>
            <c:spPr>
              <a:solidFill>
                <a:srgbClr val="CED8FF"/>
              </a:solidFill>
              <a:ln w="19050">
                <a:solidFill>
                  <a:schemeClr val="lt1"/>
                </a:solidFill>
              </a:ln>
              <a:effectLst/>
            </c:spPr>
            <c:extLst>
              <c:ext xmlns:c16="http://schemas.microsoft.com/office/drawing/2014/chart" uri="{C3380CC4-5D6E-409C-BE32-E72D297353CC}">
                <c16:uniqueId val="{00000005-7BCE-4E4E-AE17-0A20DA08DB7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'Endpoint Data for Report'!$C$34:$C$36</c:f>
              <c:strCache>
                <c:ptCount val="3"/>
                <c:pt idx="0">
                  <c:v>Strongly agree</c:v>
                </c:pt>
                <c:pt idx="1">
                  <c:v>Agree</c:v>
                </c:pt>
                <c:pt idx="2">
                  <c:v>Disagree</c:v>
                </c:pt>
              </c:strCache>
            </c:strRef>
          </c:cat>
          <c:val>
            <c:numRef>
              <c:f>'Endpoint Data for Report'!$E$34:$E$36</c:f>
              <c:numCache>
                <c:formatCode>0.0%</c:formatCode>
                <c:ptCount val="3"/>
                <c:pt idx="0">
                  <c:v>0.25531914893617019</c:v>
                </c:pt>
                <c:pt idx="1">
                  <c:v>0.31914893617021278</c:v>
                </c:pt>
                <c:pt idx="2">
                  <c:v>1.0638297872340425E-2</c:v>
                </c:pt>
              </c:numCache>
            </c:numRef>
          </c:val>
          <c:extLst>
            <c:ext xmlns:c16="http://schemas.microsoft.com/office/drawing/2014/chart" uri="{C3380CC4-5D6E-409C-BE32-E72D297353CC}">
              <c16:uniqueId val="{00000006-7BCE-4E4E-AE17-0A20DA08DB71}"/>
            </c:ext>
          </c:extLst>
        </c:ser>
        <c:dLbls>
          <c:dLblPos val="outEnd"/>
          <c:showLegendKey val="0"/>
          <c:showVal val="1"/>
          <c:showCatName val="0"/>
          <c:showSerName val="0"/>
          <c:showPercent val="0"/>
          <c:showBubbleSize val="0"/>
        </c:dLbls>
        <c:gapWidth val="100"/>
        <c:axId val="209300288"/>
        <c:axId val="209284448"/>
      </c:barChart>
      <c:catAx>
        <c:axId val="209300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209284448"/>
        <c:crosses val="autoZero"/>
        <c:auto val="1"/>
        <c:lblAlgn val="ctr"/>
        <c:lblOffset val="100"/>
        <c:noMultiLvlLbl val="0"/>
      </c:catAx>
      <c:valAx>
        <c:axId val="209284448"/>
        <c:scaling>
          <c:orientation val="minMax"/>
        </c:scaling>
        <c:delete val="1"/>
        <c:axPos val="l"/>
        <c:numFmt formatCode="0.0%" sourceLinked="1"/>
        <c:majorTickMark val="out"/>
        <c:minorTickMark val="none"/>
        <c:tickLblPos val="nextTo"/>
        <c:crossAx val="209300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6681489716509171E-2"/>
          <c:y val="0.25119777158774376"/>
          <c:w val="0.95108393551973314"/>
          <c:h val="0.44594257890465644"/>
        </c:manualLayout>
      </c:layout>
      <c:barChart>
        <c:barDir val="col"/>
        <c:grouping val="clustered"/>
        <c:varyColors val="0"/>
        <c:ser>
          <c:idx val="0"/>
          <c:order val="0"/>
          <c:tx>
            <c:strRef>
              <c:f>'Data Analysis'!$G$189</c:f>
              <c:strCache>
                <c:ptCount val="1"/>
              </c:strCache>
            </c:strRef>
          </c:tx>
          <c:spPr>
            <a:solidFill>
              <a:schemeClr val="accent1"/>
            </a:solidFill>
            <a:ln>
              <a:noFill/>
            </a:ln>
            <a:effectLst/>
          </c:spPr>
          <c:invertIfNegative val="0"/>
          <c:dPt>
            <c:idx val="0"/>
            <c:invertIfNegative val="0"/>
            <c:bubble3D val="0"/>
            <c:spPr>
              <a:solidFill>
                <a:srgbClr val="667DB7"/>
              </a:solidFill>
              <a:ln>
                <a:noFill/>
              </a:ln>
              <a:effectLst/>
            </c:spPr>
            <c:extLst>
              <c:ext xmlns:c16="http://schemas.microsoft.com/office/drawing/2014/chart" uri="{C3380CC4-5D6E-409C-BE32-E72D297353CC}">
                <c16:uniqueId val="{00000001-F75D-4F54-AFFF-7D875228CAA9}"/>
              </c:ext>
            </c:extLst>
          </c:dPt>
          <c:dPt>
            <c:idx val="1"/>
            <c:invertIfNegative val="0"/>
            <c:bubble3D val="0"/>
            <c:spPr>
              <a:solidFill>
                <a:srgbClr val="F6C364"/>
              </a:solidFill>
              <a:ln>
                <a:noFill/>
              </a:ln>
              <a:effectLst/>
            </c:spPr>
            <c:extLst>
              <c:ext xmlns:c16="http://schemas.microsoft.com/office/drawing/2014/chart" uri="{C3380CC4-5D6E-409C-BE32-E72D297353CC}">
                <c16:uniqueId val="{00000002-F75D-4F54-AFFF-7D875228CAA9}"/>
              </c:ext>
            </c:extLst>
          </c:dPt>
          <c:dPt>
            <c:idx val="2"/>
            <c:invertIfNegative val="0"/>
            <c:bubble3D val="0"/>
            <c:spPr>
              <a:solidFill>
                <a:srgbClr val="CED8FF"/>
              </a:solidFill>
              <a:ln>
                <a:noFill/>
              </a:ln>
              <a:effectLst/>
            </c:spPr>
            <c:extLst>
              <c:ext xmlns:c16="http://schemas.microsoft.com/office/drawing/2014/chart" uri="{C3380CC4-5D6E-409C-BE32-E72D297353CC}">
                <c16:uniqueId val="{00000003-F75D-4F54-AFFF-7D875228CAA9}"/>
              </c:ext>
            </c:extLst>
          </c:dPt>
          <c:dPt>
            <c:idx val="3"/>
            <c:invertIfNegative val="0"/>
            <c:bubble3D val="0"/>
            <c:spPr>
              <a:solidFill>
                <a:srgbClr val="220054">
                  <a:lumMod val="25000"/>
                  <a:lumOff val="75000"/>
                </a:srgbClr>
              </a:solidFill>
              <a:ln>
                <a:noFill/>
              </a:ln>
              <a:effectLst/>
            </c:spPr>
            <c:extLst>
              <c:ext xmlns:c16="http://schemas.microsoft.com/office/drawing/2014/chart" uri="{C3380CC4-5D6E-409C-BE32-E72D297353CC}">
                <c16:uniqueId val="{00000008-D656-4C92-A978-7B4021697742}"/>
              </c:ext>
            </c:extLst>
          </c:dPt>
          <c:dPt>
            <c:idx val="4"/>
            <c:invertIfNegative val="0"/>
            <c:bubble3D val="0"/>
            <c:spPr>
              <a:solidFill>
                <a:sysClr val="window" lastClr="FFFFFF">
                  <a:lumMod val="85000"/>
                </a:sysClr>
              </a:solidFill>
              <a:ln>
                <a:noFill/>
              </a:ln>
              <a:effectLst/>
            </c:spPr>
            <c:extLst>
              <c:ext xmlns:c16="http://schemas.microsoft.com/office/drawing/2014/chart" uri="{C3380CC4-5D6E-409C-BE32-E72D297353CC}">
                <c16:uniqueId val="{00000004-F75D-4F54-AFFF-7D875228CAA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Analysis'!$F$190:$F$194</c:f>
              <c:strCache>
                <c:ptCount val="5"/>
                <c:pt idx="0">
                  <c:v>Home</c:v>
                </c:pt>
                <c:pt idx="1">
                  <c:v>Hospital </c:v>
                </c:pt>
                <c:pt idx="2">
                  <c:v>Residential Aged Care Facility </c:v>
                </c:pt>
                <c:pt idx="3">
                  <c:v>Other</c:v>
                </c:pt>
                <c:pt idx="4">
                  <c:v>Unknown </c:v>
                </c:pt>
              </c:strCache>
            </c:strRef>
          </c:cat>
          <c:val>
            <c:numRef>
              <c:f>'Data Analysis'!$G$190:$G$194</c:f>
              <c:numCache>
                <c:formatCode>0%</c:formatCode>
                <c:ptCount val="5"/>
                <c:pt idx="0">
                  <c:v>0.27</c:v>
                </c:pt>
                <c:pt idx="1">
                  <c:v>0.09</c:v>
                </c:pt>
                <c:pt idx="2">
                  <c:v>0.24</c:v>
                </c:pt>
                <c:pt idx="3">
                  <c:v>0.01</c:v>
                </c:pt>
                <c:pt idx="4">
                  <c:v>0.39</c:v>
                </c:pt>
              </c:numCache>
            </c:numRef>
          </c:val>
          <c:extLst>
            <c:ext xmlns:c16="http://schemas.microsoft.com/office/drawing/2014/chart" uri="{C3380CC4-5D6E-409C-BE32-E72D297353CC}">
              <c16:uniqueId val="{00000000-F75D-4F54-AFFF-7D875228CAA9}"/>
            </c:ext>
          </c:extLst>
        </c:ser>
        <c:dLbls>
          <c:dLblPos val="outEnd"/>
          <c:showLegendKey val="0"/>
          <c:showVal val="1"/>
          <c:showCatName val="0"/>
          <c:showSerName val="0"/>
          <c:showPercent val="0"/>
          <c:showBubbleSize val="0"/>
        </c:dLbls>
        <c:gapWidth val="219"/>
        <c:overlap val="-27"/>
        <c:axId val="900594000"/>
        <c:axId val="900597360"/>
      </c:barChart>
      <c:catAx>
        <c:axId val="900594000"/>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1000" b="0" i="0" u="none" strike="noStrike" kern="1200" spc="0" baseline="0">
                    <a:solidFill>
                      <a:sysClr val="windowText" lastClr="000000"/>
                    </a:solidFill>
                    <a:latin typeface="Avenir Next LT Pro" panose="020B0504020202020204" pitchFamily="34" charset="0"/>
                  </a:rPr>
                  <a:t>Patient’s preferred place of death (where documented), as indicated in After Death Audit (n=169)</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solidFill>
                  </a:defRPr>
                </a:pPr>
                <a:endParaRPr lang="en-AU">
                  <a:solidFill>
                    <a:sysClr val="windowText" lastClr="000000"/>
                  </a:solidFill>
                </a:endParaRPr>
              </a:p>
            </c:rich>
          </c:tx>
          <c:layout>
            <c:manualLayout>
              <c:xMode val="edge"/>
              <c:yMode val="edge"/>
              <c:x val="0.10738888888888889"/>
              <c:y val="4.9976669582968793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00597360"/>
        <c:crosses val="autoZero"/>
        <c:auto val="1"/>
        <c:lblAlgn val="ctr"/>
        <c:lblOffset val="100"/>
        <c:noMultiLvlLbl val="0"/>
      </c:catAx>
      <c:valAx>
        <c:axId val="900597360"/>
        <c:scaling>
          <c:orientation val="minMax"/>
        </c:scaling>
        <c:delete val="1"/>
        <c:axPos val="l"/>
        <c:numFmt formatCode="0%" sourceLinked="1"/>
        <c:majorTickMark val="out"/>
        <c:minorTickMark val="none"/>
        <c:tickLblPos val="nextTo"/>
        <c:crossAx val="9005940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j-lt"/>
              <a:ea typeface="+mn-ea"/>
              <a:cs typeface="+mn-cs"/>
            </a:defRPr>
          </a:pPr>
          <a:endParaRPr lang="en-US"/>
        </a:p>
      </c:txPr>
    </c:title>
    <c:autoTitleDeleted val="0"/>
    <c:plotArea>
      <c:layout>
        <c:manualLayout>
          <c:layoutTarget val="inner"/>
          <c:xMode val="edge"/>
          <c:yMode val="edge"/>
          <c:x val="3.5143769968051117E-2"/>
          <c:y val="0.16192970967037765"/>
          <c:w val="0.92971246006389774"/>
          <c:h val="0.67671714832437402"/>
        </c:manualLayout>
      </c:layout>
      <c:barChart>
        <c:barDir val="col"/>
        <c:grouping val="clustered"/>
        <c:varyColors val="0"/>
        <c:ser>
          <c:idx val="0"/>
          <c:order val="0"/>
          <c:tx>
            <c:strRef>
              <c:f>'Data Analysis'!$C$244</c:f>
              <c:strCache>
                <c:ptCount val="1"/>
              </c:strCache>
            </c:strRef>
          </c:tx>
          <c:spPr>
            <a:solidFill>
              <a:schemeClr val="accent1"/>
            </a:solidFill>
            <a:ln>
              <a:noFill/>
            </a:ln>
            <a:effectLst/>
          </c:spPr>
          <c:invertIfNegative val="0"/>
          <c:dPt>
            <c:idx val="0"/>
            <c:invertIfNegative val="0"/>
            <c:bubble3D val="0"/>
            <c:spPr>
              <a:solidFill>
                <a:srgbClr val="667DB7"/>
              </a:solidFill>
              <a:ln>
                <a:noFill/>
              </a:ln>
              <a:effectLst/>
            </c:spPr>
            <c:extLst>
              <c:ext xmlns:c16="http://schemas.microsoft.com/office/drawing/2014/chart" uri="{C3380CC4-5D6E-409C-BE32-E72D297353CC}">
                <c16:uniqueId val="{00000001-0E84-4141-899E-A01BD46F87EB}"/>
              </c:ext>
            </c:extLst>
          </c:dPt>
          <c:dPt>
            <c:idx val="1"/>
            <c:invertIfNegative val="0"/>
            <c:bubble3D val="0"/>
            <c:spPr>
              <a:solidFill>
                <a:srgbClr val="F6C364"/>
              </a:solidFill>
              <a:ln>
                <a:noFill/>
              </a:ln>
              <a:effectLst/>
            </c:spPr>
            <c:extLst>
              <c:ext xmlns:c16="http://schemas.microsoft.com/office/drawing/2014/chart" uri="{C3380CC4-5D6E-409C-BE32-E72D297353CC}">
                <c16:uniqueId val="{00000002-0E84-4141-899E-A01BD46F87EB}"/>
              </c:ext>
            </c:extLst>
          </c:dPt>
          <c:dPt>
            <c:idx val="2"/>
            <c:invertIfNegative val="0"/>
            <c:bubble3D val="0"/>
            <c:spPr>
              <a:solidFill>
                <a:srgbClr val="CED8FF"/>
              </a:solidFill>
              <a:ln>
                <a:noFill/>
              </a:ln>
              <a:effectLst/>
            </c:spPr>
            <c:extLst>
              <c:ext xmlns:c16="http://schemas.microsoft.com/office/drawing/2014/chart" uri="{C3380CC4-5D6E-409C-BE32-E72D297353CC}">
                <c16:uniqueId val="{00000003-0E84-4141-899E-A01BD46F87E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Analysis'!$B$245:$B$247</c:f>
              <c:strCache>
                <c:ptCount val="3"/>
                <c:pt idx="0">
                  <c:v>N/A</c:v>
                </c:pt>
                <c:pt idx="1">
                  <c:v>No</c:v>
                </c:pt>
                <c:pt idx="2">
                  <c:v>Yes</c:v>
                </c:pt>
              </c:strCache>
            </c:strRef>
          </c:cat>
          <c:val>
            <c:numRef>
              <c:f>'Data Analysis'!$C$245:$C$247</c:f>
              <c:numCache>
                <c:formatCode>0%</c:formatCode>
                <c:ptCount val="3"/>
                <c:pt idx="0">
                  <c:v>0.59</c:v>
                </c:pt>
                <c:pt idx="1">
                  <c:v>0.22</c:v>
                </c:pt>
                <c:pt idx="2">
                  <c:v>0.19</c:v>
                </c:pt>
              </c:numCache>
            </c:numRef>
          </c:val>
          <c:extLst>
            <c:ext xmlns:c16="http://schemas.microsoft.com/office/drawing/2014/chart" uri="{C3380CC4-5D6E-409C-BE32-E72D297353CC}">
              <c16:uniqueId val="{00000000-0E84-4141-899E-A01BD46F87EB}"/>
            </c:ext>
          </c:extLst>
        </c:ser>
        <c:dLbls>
          <c:dLblPos val="outEnd"/>
          <c:showLegendKey val="0"/>
          <c:showVal val="1"/>
          <c:showCatName val="0"/>
          <c:showSerName val="0"/>
          <c:showPercent val="0"/>
          <c:showBubbleSize val="0"/>
        </c:dLbls>
        <c:gapWidth val="219"/>
        <c:overlap val="-27"/>
        <c:axId val="1676722271"/>
        <c:axId val="1676722751"/>
      </c:barChart>
      <c:catAx>
        <c:axId val="1676722271"/>
        <c:scaling>
          <c:orientation val="minMax"/>
        </c:scaling>
        <c:delete val="0"/>
        <c:axPos val="b"/>
        <c:title>
          <c:tx>
            <c:rich>
              <a:bodyPr rot="0" spcFirstLastPara="1" vertOverflow="ellipsis" vert="horz" wrap="square" anchor="ctr" anchorCtr="1"/>
              <a:lstStyle/>
              <a:p>
                <a:pPr algn="ctr" rtl="0">
                  <a:defRPr sz="1000" b="0" i="0" u="none" strike="noStrike" kern="1200" baseline="0">
                    <a:solidFill>
                      <a:schemeClr val="tx1">
                        <a:lumMod val="65000"/>
                        <a:lumOff val="35000"/>
                      </a:schemeClr>
                    </a:solidFill>
                    <a:latin typeface="+mj-lt"/>
                    <a:ea typeface="+mn-ea"/>
                    <a:cs typeface="+mn-cs"/>
                  </a:defRPr>
                </a:pPr>
                <a:r>
                  <a:rPr lang="en-AU" sz="1050"/>
                  <a:t>If yes, was the patient registered with this service for at least 3 months before death? (n=176)</a:t>
                </a:r>
              </a:p>
              <a:p>
                <a:pPr algn="ctr" rtl="0">
                  <a:defRPr/>
                </a:pPr>
                <a:endParaRPr lang="en-AU"/>
              </a:p>
            </c:rich>
          </c:tx>
          <c:layout>
            <c:manualLayout>
              <c:xMode val="edge"/>
              <c:yMode val="edge"/>
              <c:x val="0.1163158159543156"/>
              <c:y val="1.559363903041532E-3"/>
            </c:manualLayout>
          </c:layout>
          <c:overlay val="0"/>
          <c:spPr>
            <a:noFill/>
            <a:ln>
              <a:noFill/>
            </a:ln>
            <a:effectLst/>
          </c:spPr>
          <c:txPr>
            <a:bodyPr rot="0" spcFirstLastPara="1" vertOverflow="ellipsis" vert="horz" wrap="square" anchor="ctr" anchorCtr="1"/>
            <a:lstStyle/>
            <a:p>
              <a:pPr algn="ctr" rtl="0">
                <a:defRPr sz="10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1676722751"/>
        <c:crosses val="autoZero"/>
        <c:auto val="1"/>
        <c:lblAlgn val="ctr"/>
        <c:lblOffset val="100"/>
        <c:noMultiLvlLbl val="0"/>
      </c:catAx>
      <c:valAx>
        <c:axId val="1676722751"/>
        <c:scaling>
          <c:orientation val="minMax"/>
        </c:scaling>
        <c:delete val="1"/>
        <c:axPos val="l"/>
        <c:numFmt formatCode="0%" sourceLinked="1"/>
        <c:majorTickMark val="out"/>
        <c:minorTickMark val="none"/>
        <c:tickLblPos val="nextTo"/>
        <c:crossAx val="16767222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mj-lt"/>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0.43661</cdr:x>
      <cdr:y>0.8854</cdr:y>
    </cdr:from>
    <cdr:to>
      <cdr:x>0.62788</cdr:x>
      <cdr:y>1</cdr:y>
    </cdr:to>
    <cdr:sp macro="" textlink="">
      <cdr:nvSpPr>
        <cdr:cNvPr id="2" name="Text Box 1"/>
        <cdr:cNvSpPr txBox="1"/>
      </cdr:nvSpPr>
      <cdr:spPr>
        <a:xfrm xmlns:a="http://schemas.openxmlformats.org/drawingml/2006/main">
          <a:off x="2493820" y="2018393"/>
          <a:ext cx="1092530" cy="2612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900" kern="1200">
              <a:latin typeface="Avenir Next LT Pro" panose="020B0504020202020204" pitchFamily="34" charset="0"/>
            </a:rPr>
            <a:t>Place of Death</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CA8BF2E80F4888B7C38C5A2B7BDECD"/>
        <w:category>
          <w:name w:val="General"/>
          <w:gallery w:val="placeholder"/>
        </w:category>
        <w:types>
          <w:type w:val="bbPlcHdr"/>
        </w:types>
        <w:behaviors>
          <w:behavior w:val="content"/>
        </w:behaviors>
        <w:guid w:val="{8A696AA0-269A-4566-A7DA-775C4C740624}"/>
      </w:docPartPr>
      <w:docPartBody>
        <w:p w:rsidR="0022124E" w:rsidRDefault="00443B08" w:rsidP="00443B08">
          <w:pPr>
            <w:pStyle w:val="BBCA8BF2E80F4888B7C38C5A2B7BDECD2"/>
          </w:pPr>
          <w:r w:rsidRPr="00FE2FFC">
            <w:rPr>
              <w:rFonts w:asciiTheme="majorHAnsi" w:hAnsiTheme="majorHAnsi"/>
              <w:color w:val="156082" w:themeColor="accent1"/>
              <w:sz w:val="36"/>
              <w:szCs w:val="36"/>
            </w:rPr>
            <w:t>[DOCUMENT SUBTITLE]</w:t>
          </w:r>
        </w:p>
      </w:docPartBody>
    </w:docPart>
    <w:docPart>
      <w:docPartPr>
        <w:name w:val="F78B4DC63729409082A7AFC6F24BC7A6"/>
        <w:category>
          <w:name w:val="General"/>
          <w:gallery w:val="placeholder"/>
        </w:category>
        <w:types>
          <w:type w:val="bbPlcHdr"/>
        </w:types>
        <w:behaviors>
          <w:behavior w:val="content"/>
        </w:behaviors>
        <w:guid w:val="{E4D8284F-33D1-4AFB-B4E9-5F88961F10F9}"/>
      </w:docPartPr>
      <w:docPartBody>
        <w:p w:rsidR="0022124E" w:rsidRDefault="00443B08" w:rsidP="00443B08">
          <w:pPr>
            <w:pStyle w:val="F78B4DC63729409082A7AFC6F24BC7A62"/>
          </w:pPr>
          <w:r w:rsidRPr="00FE2FFC">
            <w:rPr>
              <w:rStyle w:val="PlaceholderText"/>
              <w:color w:val="156082" w:themeColor="accent1"/>
            </w:rPr>
            <w:t>Subtext</w:t>
          </w:r>
        </w:p>
      </w:docPartBody>
    </w:docPart>
    <w:docPart>
      <w:docPartPr>
        <w:name w:val="DFBD431F807947569FCEE09784F84DD0"/>
        <w:category>
          <w:name w:val="General"/>
          <w:gallery w:val="placeholder"/>
        </w:category>
        <w:types>
          <w:type w:val="bbPlcHdr"/>
        </w:types>
        <w:behaviors>
          <w:behavior w:val="content"/>
        </w:behaviors>
        <w:guid w:val="{DBE64527-6FC3-4F55-BF3C-CA700B2FAD8D}"/>
      </w:docPartPr>
      <w:docPartBody>
        <w:p w:rsidR="00CC0B8B" w:rsidRDefault="00443B08">
          <w:pPr>
            <w:pStyle w:val="DFBD431F807947569FCEE09784F84DD0"/>
          </w:pPr>
          <w:r w:rsidRPr="00FE2FFC">
            <w:rPr>
              <w:rFonts w:asciiTheme="majorHAnsi" w:hAnsiTheme="majorHAnsi"/>
              <w:color w:val="156082" w:themeColor="accent1"/>
              <w:sz w:val="72"/>
              <w:szCs w:val="7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venir Next LT Pro Dem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altName w:val="Times New Roman"/>
    <w:charset w:val="00"/>
    <w:family w:val="roman"/>
    <w:pitch w:val="default"/>
  </w:font>
  <w:font w:name="Public Sans (NSW)">
    <w:altName w:val="Calibri"/>
    <w:charset w:val="00"/>
    <w:family w:val="auto"/>
    <w:pitch w:val="variable"/>
    <w:sig w:usb0="A00000FF" w:usb1="4000205B" w:usb2="00000000" w:usb3="00000000" w:csb0="00000193"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24E"/>
    <w:rsid w:val="00010102"/>
    <w:rsid w:val="00012744"/>
    <w:rsid w:val="00034D2F"/>
    <w:rsid w:val="00056824"/>
    <w:rsid w:val="0006183A"/>
    <w:rsid w:val="000A77EB"/>
    <w:rsid w:val="000D1539"/>
    <w:rsid w:val="000D3F18"/>
    <w:rsid w:val="000E22E6"/>
    <w:rsid w:val="000F667F"/>
    <w:rsid w:val="0010077F"/>
    <w:rsid w:val="00100A98"/>
    <w:rsid w:val="001052C8"/>
    <w:rsid w:val="00113A66"/>
    <w:rsid w:val="0014411F"/>
    <w:rsid w:val="00145DF9"/>
    <w:rsid w:val="001628AA"/>
    <w:rsid w:val="00186475"/>
    <w:rsid w:val="00193B26"/>
    <w:rsid w:val="001B0B4E"/>
    <w:rsid w:val="001C3E75"/>
    <w:rsid w:val="001D2BE5"/>
    <w:rsid w:val="001D4FC7"/>
    <w:rsid w:val="001E63AD"/>
    <w:rsid w:val="001F05F1"/>
    <w:rsid w:val="001F1C08"/>
    <w:rsid w:val="002129C0"/>
    <w:rsid w:val="0022124E"/>
    <w:rsid w:val="0028400B"/>
    <w:rsid w:val="00294A78"/>
    <w:rsid w:val="002F04D1"/>
    <w:rsid w:val="002F3640"/>
    <w:rsid w:val="00304F32"/>
    <w:rsid w:val="003114C9"/>
    <w:rsid w:val="003350F4"/>
    <w:rsid w:val="00341689"/>
    <w:rsid w:val="00342B45"/>
    <w:rsid w:val="003537F1"/>
    <w:rsid w:val="00355D80"/>
    <w:rsid w:val="003A4520"/>
    <w:rsid w:val="003C73CB"/>
    <w:rsid w:val="003D7526"/>
    <w:rsid w:val="003E4A46"/>
    <w:rsid w:val="004017E4"/>
    <w:rsid w:val="004141D0"/>
    <w:rsid w:val="00427D35"/>
    <w:rsid w:val="004414B4"/>
    <w:rsid w:val="00443B08"/>
    <w:rsid w:val="00490459"/>
    <w:rsid w:val="00494393"/>
    <w:rsid w:val="004B4948"/>
    <w:rsid w:val="004C1714"/>
    <w:rsid w:val="004F25E6"/>
    <w:rsid w:val="00504A5A"/>
    <w:rsid w:val="00510C3E"/>
    <w:rsid w:val="00514890"/>
    <w:rsid w:val="00583013"/>
    <w:rsid w:val="005A376B"/>
    <w:rsid w:val="00600F84"/>
    <w:rsid w:val="00611339"/>
    <w:rsid w:val="0065132D"/>
    <w:rsid w:val="006A6B2B"/>
    <w:rsid w:val="006C33EC"/>
    <w:rsid w:val="006C3AC0"/>
    <w:rsid w:val="006F2A72"/>
    <w:rsid w:val="0073543C"/>
    <w:rsid w:val="0076094C"/>
    <w:rsid w:val="0077550A"/>
    <w:rsid w:val="0078204D"/>
    <w:rsid w:val="007848EC"/>
    <w:rsid w:val="00786C90"/>
    <w:rsid w:val="00791C84"/>
    <w:rsid w:val="00794702"/>
    <w:rsid w:val="007A0271"/>
    <w:rsid w:val="007A1810"/>
    <w:rsid w:val="007B12F8"/>
    <w:rsid w:val="007C14CC"/>
    <w:rsid w:val="007F2CFF"/>
    <w:rsid w:val="00805411"/>
    <w:rsid w:val="00825057"/>
    <w:rsid w:val="00835869"/>
    <w:rsid w:val="008425C9"/>
    <w:rsid w:val="0084447B"/>
    <w:rsid w:val="00850F13"/>
    <w:rsid w:val="008605AC"/>
    <w:rsid w:val="00883CE6"/>
    <w:rsid w:val="0089356B"/>
    <w:rsid w:val="008A4FF8"/>
    <w:rsid w:val="008B2D9D"/>
    <w:rsid w:val="008D57A9"/>
    <w:rsid w:val="008D69CF"/>
    <w:rsid w:val="008E0C26"/>
    <w:rsid w:val="008E156C"/>
    <w:rsid w:val="008E6715"/>
    <w:rsid w:val="008F324D"/>
    <w:rsid w:val="0090643A"/>
    <w:rsid w:val="00960002"/>
    <w:rsid w:val="00992FF3"/>
    <w:rsid w:val="009A450C"/>
    <w:rsid w:val="009A47AF"/>
    <w:rsid w:val="009C3E0E"/>
    <w:rsid w:val="009D38C3"/>
    <w:rsid w:val="00A03D18"/>
    <w:rsid w:val="00A24B6D"/>
    <w:rsid w:val="00A363C2"/>
    <w:rsid w:val="00A83321"/>
    <w:rsid w:val="00A87A88"/>
    <w:rsid w:val="00AA08D2"/>
    <w:rsid w:val="00AE691F"/>
    <w:rsid w:val="00AE7E25"/>
    <w:rsid w:val="00B22791"/>
    <w:rsid w:val="00B63650"/>
    <w:rsid w:val="00BA0B27"/>
    <w:rsid w:val="00BA1EB1"/>
    <w:rsid w:val="00BE23D6"/>
    <w:rsid w:val="00BE5D24"/>
    <w:rsid w:val="00C02C87"/>
    <w:rsid w:val="00C05410"/>
    <w:rsid w:val="00C55A71"/>
    <w:rsid w:val="00C611ED"/>
    <w:rsid w:val="00C75130"/>
    <w:rsid w:val="00C90064"/>
    <w:rsid w:val="00C90F05"/>
    <w:rsid w:val="00C91BC7"/>
    <w:rsid w:val="00C9371B"/>
    <w:rsid w:val="00C96A1A"/>
    <w:rsid w:val="00CC0B8B"/>
    <w:rsid w:val="00CD7723"/>
    <w:rsid w:val="00CF13E1"/>
    <w:rsid w:val="00CF7BB0"/>
    <w:rsid w:val="00D12B31"/>
    <w:rsid w:val="00D32809"/>
    <w:rsid w:val="00D53AB5"/>
    <w:rsid w:val="00D64F0F"/>
    <w:rsid w:val="00D861C6"/>
    <w:rsid w:val="00D862D6"/>
    <w:rsid w:val="00DA53AB"/>
    <w:rsid w:val="00DB7B1D"/>
    <w:rsid w:val="00DC4507"/>
    <w:rsid w:val="00DC6123"/>
    <w:rsid w:val="00E33E60"/>
    <w:rsid w:val="00E42119"/>
    <w:rsid w:val="00E474CC"/>
    <w:rsid w:val="00E65361"/>
    <w:rsid w:val="00E73D65"/>
    <w:rsid w:val="00E91A56"/>
    <w:rsid w:val="00EA797C"/>
    <w:rsid w:val="00EE3102"/>
    <w:rsid w:val="00EF3383"/>
    <w:rsid w:val="00F17959"/>
    <w:rsid w:val="00F36803"/>
    <w:rsid w:val="00F450FD"/>
    <w:rsid w:val="00F714A4"/>
    <w:rsid w:val="00F851BE"/>
    <w:rsid w:val="00FA11D3"/>
    <w:rsid w:val="00FE3B2F"/>
    <w:rsid w:val="00FF07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3B08"/>
    <w:rPr>
      <w:color w:val="666666"/>
    </w:rPr>
  </w:style>
  <w:style w:type="paragraph" w:customStyle="1" w:styleId="BBCA8BF2E80F4888B7C38C5A2B7BDECD2">
    <w:name w:val="BBCA8BF2E80F4888B7C38C5A2B7BDECD2"/>
    <w:rsid w:val="00443B08"/>
    <w:pPr>
      <w:tabs>
        <w:tab w:val="left" w:pos="5309"/>
      </w:tabs>
    </w:pPr>
    <w:rPr>
      <w:rFonts w:ascii="Avenir Next LT Pro" w:hAnsi="Avenir Next LT Pro"/>
      <w:color w:val="196B24" w:themeColor="accent3"/>
      <w:kern w:val="0"/>
      <w:sz w:val="20"/>
      <w:szCs w:val="20"/>
      <w:lang w:val="en-US" w:eastAsia="ja-JP"/>
      <w14:ligatures w14:val="none"/>
    </w:rPr>
  </w:style>
  <w:style w:type="paragraph" w:customStyle="1" w:styleId="F78B4DC63729409082A7AFC6F24BC7A62">
    <w:name w:val="F78B4DC63729409082A7AFC6F24BC7A62"/>
    <w:rsid w:val="00443B08"/>
    <w:pPr>
      <w:tabs>
        <w:tab w:val="left" w:pos="5309"/>
      </w:tabs>
    </w:pPr>
    <w:rPr>
      <w:rFonts w:ascii="Avenir Next LT Pro" w:hAnsi="Avenir Next LT Pro"/>
      <w:color w:val="196B24" w:themeColor="accent3"/>
      <w:kern w:val="0"/>
      <w:sz w:val="20"/>
      <w:szCs w:val="20"/>
      <w:lang w:val="en-US" w:eastAsia="ja-JP"/>
      <w14:ligatures w14:val="none"/>
    </w:rPr>
  </w:style>
  <w:style w:type="paragraph" w:customStyle="1" w:styleId="DFBD431F807947569FCEE09784F84DD0">
    <w:name w:val="DFBD431F807947569FCEE09784F84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cyne">
      <a:dk1>
        <a:sysClr val="windowText" lastClr="000000"/>
      </a:dk1>
      <a:lt1>
        <a:sysClr val="window" lastClr="FFFFFF"/>
      </a:lt1>
      <a:dk2>
        <a:srgbClr val="44546A"/>
      </a:dk2>
      <a:lt2>
        <a:srgbClr val="F2EFED"/>
      </a:lt2>
      <a:accent1>
        <a:srgbClr val="220054"/>
      </a:accent1>
      <a:accent2>
        <a:srgbClr val="464E7E"/>
      </a:accent2>
      <a:accent3>
        <a:srgbClr val="484B5D"/>
      </a:accent3>
      <a:accent4>
        <a:srgbClr val="B4B5DB"/>
      </a:accent4>
      <a:accent5>
        <a:srgbClr val="F7BE85"/>
      </a:accent5>
      <a:accent6>
        <a:srgbClr val="5F4AFF"/>
      </a:accent6>
      <a:hlink>
        <a:srgbClr val="4F28B7"/>
      </a:hlink>
      <a:folHlink>
        <a:srgbClr val="F2EFED"/>
      </a:folHlink>
    </a:clrScheme>
    <a:fontScheme name="Scyne">
      <a:majorFont>
        <a:latin typeface="Avenir Next LT Pro Demi"/>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CA253F695BD4E8578AC21FE388CC9" ma:contentTypeVersion="3" ma:contentTypeDescription="Create a new document." ma:contentTypeScope="" ma:versionID="8f30ed8fcb23623313818371003b4246">
  <xsd:schema xmlns:xsd="http://www.w3.org/2001/XMLSchema" xmlns:xs="http://www.w3.org/2001/XMLSchema" xmlns:p="http://schemas.microsoft.com/office/2006/metadata/properties" xmlns:ns2="b2dc1123-0760-43b8-afc0-3907c1a48a47" targetNamespace="http://schemas.microsoft.com/office/2006/metadata/properties" ma:root="true" ma:fieldsID="90e0fd5e9b5cb4905f791fa2b34153d2" ns2:_="">
    <xsd:import namespace="b2dc1123-0760-43b8-afc0-3907c1a48a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c1123-0760-43b8-afc0-3907c1a48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23EF6-63C0-43E6-AC92-70D3B5EEF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c1123-0760-43b8-afc0-3907c1a48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A64FA1-4BC2-4446-8ECA-F04860213E9C}">
  <ds:schemaRefs>
    <ds:schemaRef ds:uri="http://schemas.microsoft.com/sharepoint/v3/contenttype/forms"/>
  </ds:schemaRefs>
</ds:datastoreItem>
</file>

<file path=customXml/itemProps3.xml><?xml version="1.0" encoding="utf-8"?>
<ds:datastoreItem xmlns:ds="http://schemas.openxmlformats.org/officeDocument/2006/customXml" ds:itemID="{5ADE6005-EA88-4E0D-8D76-65FD06CCE457}">
  <ds:schemaRefs>
    <ds:schemaRef ds:uri="http://schemas.openxmlformats.org/officeDocument/2006/bibliography"/>
  </ds:schemaRefs>
</ds:datastoreItem>
</file>

<file path=customXml/itemProps4.xml><?xml version="1.0" encoding="utf-8"?>
<ds:datastoreItem xmlns:ds="http://schemas.openxmlformats.org/officeDocument/2006/customXml" ds:itemID="{145A9691-D786-47D3-9539-A7DD77E0333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ac7c5e-89c0-4b60-a121-3160473e484a}" enabled="1" method="Privileged" siteId="{fcbce1cd-2ec5-4340-9e8b-7e3a7bbf755f}"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1</Pages>
  <Words>24080</Words>
  <Characters>138705</Characters>
  <Application>Microsoft Office Word</Application>
  <DocSecurity>0</DocSecurity>
  <Lines>3302</Lines>
  <Paragraphs>1750</Paragraphs>
  <ScaleCrop>false</ScaleCrop>
  <HeadingPairs>
    <vt:vector size="2" baseType="variant">
      <vt:variant>
        <vt:lpstr>Title</vt:lpstr>
      </vt:variant>
      <vt:variant>
        <vt:i4>1</vt:i4>
      </vt:variant>
    </vt:vector>
  </HeadingPairs>
  <TitlesOfParts>
    <vt:vector size="1" baseType="lpstr">
      <vt:lpstr>Greater Choice Endpoint Report June 2026</vt:lpstr>
    </vt:vector>
  </TitlesOfParts>
  <Company/>
  <LinksUpToDate>false</LinksUpToDate>
  <CharactersWithSpaces>161035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Choice Endpoint Report June 2026</dc:title>
  <dc:subject>Evaluation of the Greater Choice for At Home Palliative Care Program</dc:subject>
  <dc:creator>Australian Government Department of Health, Disability and Ageing</dc:creator>
  <cp:keywords>palliative care, primary care, primary health networks </cp:keywords>
  <dc:description/>
  <cp:lastModifiedBy>MASCHKE, Elvia</cp:lastModifiedBy>
  <cp:revision>40</cp:revision>
  <dcterms:created xsi:type="dcterms:W3CDTF">2026-06-05T04:52:00Z</dcterms:created>
  <dcterms:modified xsi:type="dcterms:W3CDTF">2026-08-10T02:52:00Z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19f9e0a5,3cb84962,51074898,1cc5adc9,3f296a2f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5fbbacab,55828ed8,19efb7a9,48d4c0e2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2026-05-28T03:56:41Z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e7e3154c-e788-4072-a4ef-5f690a023ed5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0x0101004C3CA253F695BD4E8578AC21FE388CC9</vt:lpwstr>
  </property>
</Properties>
</file>