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C0940" w14:textId="102986F9" w:rsidR="00A801C7" w:rsidRPr="00CB5CB8" w:rsidRDefault="00A801C7" w:rsidP="00CB5CB8">
      <w:pPr>
        <w:pStyle w:val="Title"/>
      </w:pPr>
      <w:r w:rsidRPr="00CB5CB8">
        <w:t>24/7 RN Exemption Application for NATSIFACP Providers FAQs</w:t>
      </w:r>
    </w:p>
    <w:p w14:paraId="538D91CC" w14:textId="7EE38EE1" w:rsidR="00A801C7" w:rsidRPr="00CB5CB8" w:rsidRDefault="00A801C7" w:rsidP="00CB5CB8">
      <w:pPr>
        <w:pStyle w:val="Heading1"/>
      </w:pPr>
      <w:r w:rsidRPr="00CB5CB8">
        <w:t>What is the 24/7 RN requirement</w:t>
      </w:r>
    </w:p>
    <w:p w14:paraId="6F6BB6EC" w14:textId="77777777" w:rsidR="00430295" w:rsidRPr="000D578F" w:rsidRDefault="00430295" w:rsidP="00CB5CB8">
      <w:r w:rsidRPr="000D578F">
        <w:t xml:space="preserve">Registered </w:t>
      </w:r>
      <w:r>
        <w:t xml:space="preserve">Providers </w:t>
      </w:r>
      <w:r w:rsidRPr="000D578F">
        <w:t xml:space="preserve">must ensure that at least one RN </w:t>
      </w:r>
      <w:proofErr w:type="gramStart"/>
      <w:r w:rsidRPr="000D578F">
        <w:t>is onsite and on duty at all times</w:t>
      </w:r>
      <w:proofErr w:type="gramEnd"/>
      <w:r w:rsidRPr="000D578F">
        <w:t xml:space="preserve"> at each approved residential care home you operate. The </w:t>
      </w:r>
      <w:hyperlink r:id="rId10" w:history="1">
        <w:r w:rsidRPr="000D578F">
          <w:rPr>
            <w:rStyle w:val="Hyperlink"/>
            <w:szCs w:val="28"/>
          </w:rPr>
          <w:t>24/7 RN requirement</w:t>
        </w:r>
      </w:hyperlink>
      <w:r w:rsidRPr="000D578F">
        <w:t xml:space="preserve"> was introduced in response to recommendation 86 of the </w:t>
      </w:r>
      <w:hyperlink r:id="rId11" w:history="1">
        <w:r w:rsidRPr="000D578F">
          <w:rPr>
            <w:rStyle w:val="Hyperlink"/>
            <w:szCs w:val="28"/>
          </w:rPr>
          <w:t>Royal Commission into Aged Care Quality and Safety</w:t>
        </w:r>
      </w:hyperlink>
      <w:r w:rsidRPr="000D578F">
        <w:t> to:</w:t>
      </w:r>
    </w:p>
    <w:p w14:paraId="1255806F" w14:textId="77777777" w:rsidR="00430295" w:rsidRPr="000D578F" w:rsidRDefault="00430295" w:rsidP="00CB5CB8">
      <w:pPr>
        <w:pStyle w:val="ListBullet"/>
      </w:pPr>
      <w:r w:rsidRPr="000D578F">
        <w:t>ensure qualified and experienced care staff are available to identify and address risks</w:t>
      </w:r>
    </w:p>
    <w:p w14:paraId="752CF02C" w14:textId="77777777" w:rsidR="00430295" w:rsidRPr="000D578F" w:rsidRDefault="00430295" w:rsidP="00CB5CB8">
      <w:pPr>
        <w:pStyle w:val="ListBullet"/>
      </w:pPr>
      <w:r w:rsidRPr="000D578F">
        <w:t>improve resident safety</w:t>
      </w:r>
    </w:p>
    <w:p w14:paraId="5806BD9F" w14:textId="77777777" w:rsidR="00430295" w:rsidRPr="000D578F" w:rsidRDefault="00430295" w:rsidP="00CB5CB8">
      <w:pPr>
        <w:pStyle w:val="ListBullet"/>
      </w:pPr>
      <w:r w:rsidRPr="000D578F">
        <w:t>give residents better access to clinical care in their approved residential care home</w:t>
      </w:r>
    </w:p>
    <w:p w14:paraId="7D132573" w14:textId="3F8FF151" w:rsidR="00A801C7" w:rsidRPr="00CB5CB8" w:rsidRDefault="00430295" w:rsidP="00CB5CB8">
      <w:pPr>
        <w:pStyle w:val="ListBullet"/>
      </w:pPr>
      <w:r w:rsidRPr="000D578F">
        <w:t>prevent unnecessary trips to hospital emergency rooms.</w:t>
      </w:r>
    </w:p>
    <w:p w14:paraId="08DCB4CA" w14:textId="2DFBDE07" w:rsidR="00430295" w:rsidRDefault="00430295" w:rsidP="00CB5CB8">
      <w:pPr>
        <w:pStyle w:val="Heading1"/>
      </w:pPr>
      <w:r w:rsidRPr="00430295">
        <w:t>What is an exemption</w:t>
      </w:r>
      <w:r>
        <w:t xml:space="preserve"> to the 24/7 RN requirement</w:t>
      </w:r>
    </w:p>
    <w:p w14:paraId="269D9A3E" w14:textId="280E8C7B" w:rsidR="00430295" w:rsidRPr="00430295" w:rsidRDefault="00430295" w:rsidP="00CB5CB8">
      <w:r w:rsidRPr="00430295">
        <w:t xml:space="preserve">An exemption to the 24/7 RN requirement allows an eligible residential aged care home to operate without </w:t>
      </w:r>
      <w:proofErr w:type="gramStart"/>
      <w:r w:rsidRPr="00430295">
        <w:t>having an RN onsite and on duty at all times</w:t>
      </w:r>
      <w:proofErr w:type="gramEnd"/>
      <w:r w:rsidRPr="00430295">
        <w:t xml:space="preserve"> for a specified period</w:t>
      </w:r>
    </w:p>
    <w:p w14:paraId="05BF9926" w14:textId="0AB1B6A6" w:rsidR="00430295" w:rsidRPr="00430295" w:rsidRDefault="00430295" w:rsidP="00CB5CB8">
      <w:pPr>
        <w:pStyle w:val="Heading1"/>
      </w:pPr>
      <w:r w:rsidRPr="00430295">
        <w:t>What period can I apply for an exemption</w:t>
      </w:r>
    </w:p>
    <w:p w14:paraId="6F8371C6" w14:textId="77777777" w:rsidR="00430295" w:rsidRPr="000D578F" w:rsidRDefault="00430295" w:rsidP="00CB5CB8">
      <w:pPr>
        <w:rPr>
          <w:szCs w:val="28"/>
        </w:rPr>
      </w:pPr>
      <w:r w:rsidRPr="000D578F">
        <w:rPr>
          <w:szCs w:val="28"/>
        </w:rPr>
        <w:t>Eligible approved residential care homes in rural and remote areas can apply for an </w:t>
      </w:r>
      <w:hyperlink r:id="rId12" w:tooltip="Exemption from the 24/7 RN responsibility" w:history="1">
        <w:r w:rsidRPr="000D578F">
          <w:rPr>
            <w:rStyle w:val="Hyperlink"/>
            <w:szCs w:val="28"/>
          </w:rPr>
          <w:t>exemption</w:t>
        </w:r>
      </w:hyperlink>
      <w:r w:rsidRPr="000D578F">
        <w:rPr>
          <w:szCs w:val="28"/>
        </w:rPr>
        <w:t> for up to 12 months at a time. </w:t>
      </w:r>
    </w:p>
    <w:p w14:paraId="71906032" w14:textId="791F1EF1" w:rsidR="00A801C7" w:rsidRDefault="00A801C7" w:rsidP="00CB5CB8">
      <w:pPr>
        <w:pStyle w:val="Heading1"/>
      </w:pPr>
      <w:r w:rsidRPr="00A801C7">
        <w:t>Who can apply</w:t>
      </w:r>
    </w:p>
    <w:p w14:paraId="71850865" w14:textId="57B15315" w:rsidR="00A801C7" w:rsidRPr="00407C71" w:rsidRDefault="00A801C7" w:rsidP="00CB5CB8">
      <w:r w:rsidRPr="00407C71">
        <w:t>To use this application form to apply for an exemption from the 24/7 registered nurse (RN) obligation you must be:</w:t>
      </w:r>
    </w:p>
    <w:p w14:paraId="03380507" w14:textId="6489B38F" w:rsidR="00A801C7" w:rsidRPr="00407C71" w:rsidRDefault="00A801C7" w:rsidP="00CB5CB8">
      <w:pPr>
        <w:pStyle w:val="ListBullet"/>
      </w:pPr>
      <w:r w:rsidRPr="00407C71">
        <w:t>An authorised person of a registered NATSIFACP provider that:</w:t>
      </w:r>
    </w:p>
    <w:p w14:paraId="36B7A72A" w14:textId="741CEED6" w:rsidR="00A801C7" w:rsidRPr="00CB5CB8" w:rsidRDefault="00A801C7" w:rsidP="00CB5CB8">
      <w:pPr>
        <w:pStyle w:val="ListBullet2"/>
      </w:pPr>
      <w:proofErr w:type="gramStart"/>
      <w:r w:rsidRPr="00407C71">
        <w:t>Is located in</w:t>
      </w:r>
      <w:proofErr w:type="gramEnd"/>
      <w:r w:rsidRPr="00407C71">
        <w:t xml:space="preserve"> an MM </w:t>
      </w:r>
      <w:r w:rsidRPr="00CB5CB8">
        <w:t xml:space="preserve">5, 6 or 7 </w:t>
      </w:r>
      <w:proofErr w:type="gramStart"/>
      <w:r w:rsidRPr="00CB5CB8">
        <w:t>category</w:t>
      </w:r>
      <w:proofErr w:type="gramEnd"/>
    </w:p>
    <w:p w14:paraId="40D6FF71" w14:textId="64855327" w:rsidR="00A801C7" w:rsidRPr="00407C71" w:rsidRDefault="00A801C7" w:rsidP="00CB5CB8">
      <w:pPr>
        <w:pStyle w:val="ListBullet2"/>
      </w:pPr>
      <w:r w:rsidRPr="00CB5CB8">
        <w:t xml:space="preserve">Has no more than 30 </w:t>
      </w:r>
      <w:r w:rsidRPr="00407C71">
        <w:t>operational beds at the time of applying</w:t>
      </w:r>
    </w:p>
    <w:p w14:paraId="25CE25B6" w14:textId="0F64778D" w:rsidR="00A801C7" w:rsidRDefault="00A801C7" w:rsidP="00CB5CB8">
      <w:r>
        <w:t>And</w:t>
      </w:r>
    </w:p>
    <w:p w14:paraId="055E6672" w14:textId="5C437948" w:rsidR="00A801C7" w:rsidRDefault="00A801C7" w:rsidP="00CB5CB8">
      <w:pPr>
        <w:pStyle w:val="ListBullet"/>
      </w:pPr>
      <w:r w:rsidRPr="00407C71">
        <w:rPr>
          <w:szCs w:val="22"/>
        </w:rPr>
        <w:t>You have taken reasonable steps by having alternative clinical care arrangements</w:t>
      </w:r>
      <w:r w:rsidRPr="000D578F">
        <w:t xml:space="preserve"> in place to ensure that the clinical care needs of the individuals receiving funded aged care services in the home will be met during the period for which the exemption is in force. </w:t>
      </w:r>
    </w:p>
    <w:p w14:paraId="65450BBB" w14:textId="33AF34B1" w:rsidR="00430295" w:rsidRDefault="00430295" w:rsidP="00CB5CB8">
      <w:pPr>
        <w:pStyle w:val="Heading1"/>
      </w:pPr>
      <w:r w:rsidRPr="00430295">
        <w:t xml:space="preserve">Can an exemption be revoked </w:t>
      </w:r>
    </w:p>
    <w:p w14:paraId="08C25619" w14:textId="77777777" w:rsidR="00430295" w:rsidRPr="00407C71" w:rsidRDefault="00430295" w:rsidP="00CB5CB8">
      <w:r w:rsidRPr="00407C71">
        <w:t>You can </w:t>
      </w:r>
      <w:hyperlink r:id="rId13" w:anchor="contact" w:history="1">
        <w:r w:rsidRPr="00407C71">
          <w:t>email us</w:t>
        </w:r>
      </w:hyperlink>
      <w:r w:rsidRPr="00407C71">
        <w:t> at any time and ask to revoke an exemption. The revocation will take effect shortly after the date of request. </w:t>
      </w:r>
    </w:p>
    <w:p w14:paraId="6480021B" w14:textId="77777777" w:rsidR="00430295" w:rsidRPr="00407C71" w:rsidRDefault="00430295" w:rsidP="00CB5CB8">
      <w:r w:rsidRPr="00407C71">
        <w:t>We may also revoke an exemption for a home if you:</w:t>
      </w:r>
    </w:p>
    <w:p w14:paraId="1DDDA635" w14:textId="77777777" w:rsidR="00430295" w:rsidRPr="00C168BA" w:rsidRDefault="00430295" w:rsidP="00CB5CB8">
      <w:pPr>
        <w:pStyle w:val="ListBullet"/>
      </w:pPr>
      <w:r w:rsidRPr="00C168BA">
        <w:t>have more than 30 operational beds and no longer meet the eligibility criteria</w:t>
      </w:r>
    </w:p>
    <w:p w14:paraId="5B3DF9B2" w14:textId="77777777" w:rsidR="00430295" w:rsidRDefault="00430295" w:rsidP="00CB5CB8">
      <w:pPr>
        <w:pStyle w:val="ListBullet"/>
      </w:pPr>
      <w:r w:rsidRPr="00C168BA">
        <w:t>breach a condition of the exemption</w:t>
      </w:r>
    </w:p>
    <w:p w14:paraId="03CB8C4C" w14:textId="77777777" w:rsidR="00C168BA" w:rsidRDefault="00430295" w:rsidP="00CB5CB8">
      <w:pPr>
        <w:pStyle w:val="ListBullet"/>
      </w:pPr>
      <w:r w:rsidRPr="00C168BA">
        <w:rPr>
          <w:szCs w:val="22"/>
        </w:rPr>
        <w:t>do not take reasonable steps to meet the clinical care needs of residents</w:t>
      </w:r>
    </w:p>
    <w:p w14:paraId="1C73017B" w14:textId="6664ECC4" w:rsidR="00C168BA" w:rsidRPr="00CB5CB8" w:rsidRDefault="00430295" w:rsidP="00CB5CB8">
      <w:pPr>
        <w:pStyle w:val="ListBullet"/>
      </w:pPr>
      <w:r w:rsidRPr="00C168BA">
        <w:rPr>
          <w:szCs w:val="22"/>
        </w:rPr>
        <w:t>receive a sanction from the</w:t>
      </w:r>
      <w:r w:rsidRPr="00C168BA">
        <w:rPr>
          <w:rFonts w:cs="Arial"/>
          <w:szCs w:val="22"/>
        </w:rPr>
        <w:t xml:space="preserve"> </w:t>
      </w:r>
      <w:hyperlink r:id="rId14" w:history="1">
        <w:r w:rsidRPr="00C168BA">
          <w:rPr>
            <w:rStyle w:val="Hyperlink"/>
            <w:rFonts w:cs="Arial"/>
            <w:szCs w:val="22"/>
          </w:rPr>
          <w:t>Aged Care Quality and Safety Commission</w:t>
        </w:r>
      </w:hyperlink>
      <w:r w:rsidRPr="00C168BA">
        <w:rPr>
          <w:rFonts w:cs="Arial"/>
          <w:szCs w:val="22"/>
        </w:rPr>
        <w:t>.</w:t>
      </w:r>
    </w:p>
    <w:p w14:paraId="08CA56D5" w14:textId="30FAFC79" w:rsidR="00430295" w:rsidRPr="00407C71" w:rsidRDefault="00430295" w:rsidP="00CB5CB8">
      <w:pPr>
        <w:pStyle w:val="Heading1"/>
      </w:pPr>
      <w:r w:rsidRPr="00407C71">
        <w:lastRenderedPageBreak/>
        <w:t>Who do I contact for support to apply or revoke an exemption</w:t>
      </w:r>
    </w:p>
    <w:p w14:paraId="42B67747" w14:textId="378837FA" w:rsidR="00407C71" w:rsidRPr="0098532B" w:rsidRDefault="00430295" w:rsidP="00CB5CB8">
      <w:r w:rsidRPr="00407C71">
        <w:t xml:space="preserve">You can contact the NATSIFACP team at </w:t>
      </w:r>
      <w:hyperlink r:id="rId15" w:history="1">
        <w:r w:rsidRPr="00407C71">
          <w:rPr>
            <w:rStyle w:val="Hyperlink"/>
            <w:szCs w:val="22"/>
          </w:rPr>
          <w:t>NATSIFACP@health.gov.au</w:t>
        </w:r>
      </w:hyperlink>
      <w:r w:rsidRPr="00407C71">
        <w:t xml:space="preserve"> for support with applying for or revoking an exemption</w:t>
      </w:r>
    </w:p>
    <w:p w14:paraId="53DE90CC" w14:textId="48E1B3A5" w:rsidR="00407C71" w:rsidRPr="00407C71" w:rsidRDefault="00407C71" w:rsidP="00CB5CB8">
      <w:pPr>
        <w:pStyle w:val="Heading1"/>
      </w:pPr>
      <w:r w:rsidRPr="00407C71">
        <w:t xml:space="preserve">What constitutes and alternate clinical arrangement </w:t>
      </w:r>
    </w:p>
    <w:p w14:paraId="09F8BC23" w14:textId="1DECD4F2" w:rsidR="00407C71" w:rsidRPr="00C168BA" w:rsidRDefault="0098532B" w:rsidP="00CB5CB8">
      <w:r w:rsidRPr="00C168BA">
        <w:t>An alternate clinical arrangement can be in the form of a suitable agreement with other clinically qualified medical officers to ensure older people receive appropriate assessment and treatment where there is no RN on-site and on duty at your approved residential care home. This can include:</w:t>
      </w:r>
    </w:p>
    <w:p w14:paraId="09F160EF" w14:textId="030C9BDC" w:rsidR="0098532B" w:rsidRPr="00C168BA" w:rsidRDefault="0098532B" w:rsidP="00CB5CB8">
      <w:pPr>
        <w:pStyle w:val="ListBullet"/>
      </w:pPr>
      <w:r w:rsidRPr="00C168BA">
        <w:t>arrangements with the hospital or acute/subacute care facility you are co-located with/ or nearby to access clinical care from their RN(s), or other clinically qualified medical officer(s)</w:t>
      </w:r>
    </w:p>
    <w:p w14:paraId="237DD30E" w14:textId="15C4080A" w:rsidR="0098532B" w:rsidRPr="00C168BA" w:rsidRDefault="0098532B" w:rsidP="00CB5CB8">
      <w:pPr>
        <w:pStyle w:val="ListBullet"/>
      </w:pPr>
      <w:r w:rsidRPr="00C168BA">
        <w:t>arrangement with an on-call RN(s) to provide advice and support on clinical matters or administration of certain medications</w:t>
      </w:r>
    </w:p>
    <w:p w14:paraId="3D15822B" w14:textId="1C751532" w:rsidR="0098532B" w:rsidRPr="00C168BA" w:rsidRDefault="0098532B" w:rsidP="00CB5CB8">
      <w:pPr>
        <w:pStyle w:val="ListBullet"/>
      </w:pPr>
      <w:r w:rsidRPr="00C168BA">
        <w:t>arrangement with an on-call general practitioner(s) or nurse practitioner(s)</w:t>
      </w:r>
    </w:p>
    <w:p w14:paraId="6108AC70" w14:textId="52BAD410" w:rsidR="0098532B" w:rsidRPr="00C168BA" w:rsidRDefault="0098532B" w:rsidP="00CB5CB8">
      <w:pPr>
        <w:pStyle w:val="ListBullet"/>
      </w:pPr>
      <w:r w:rsidRPr="00C168BA">
        <w:t>arrangement with a telehealth service(s), including specialist telehealth service(s)</w:t>
      </w:r>
    </w:p>
    <w:p w14:paraId="695E1A53" w14:textId="2B955EC9" w:rsidR="00407C71" w:rsidRPr="00CB5CB8" w:rsidRDefault="0098532B" w:rsidP="00CB5CB8">
      <w:pPr>
        <w:pStyle w:val="ListBullet"/>
      </w:pPr>
      <w:r w:rsidRPr="00C168BA">
        <w:t>any other alternative clinical care arrangement(s) to respond to complex clinical care needs when an RN is not on-site</w:t>
      </w:r>
    </w:p>
    <w:p w14:paraId="59D0181C" w14:textId="6901DBE3" w:rsidR="00A801C7" w:rsidRPr="00A801C7" w:rsidRDefault="0098532B" w:rsidP="00CB5CB8">
      <w:pPr>
        <w:pStyle w:val="Heading1"/>
      </w:pPr>
      <w:r>
        <w:t>What is considered s</w:t>
      </w:r>
      <w:r w:rsidR="00A801C7" w:rsidRPr="00A801C7">
        <w:t>uitable evidence</w:t>
      </w:r>
    </w:p>
    <w:tbl>
      <w:tblPr>
        <w:tblStyle w:val="TableGrid"/>
        <w:tblW w:w="9209" w:type="dxa"/>
        <w:tblLook w:val="04A0" w:firstRow="1" w:lastRow="0" w:firstColumn="1" w:lastColumn="0" w:noHBand="0" w:noVBand="1"/>
      </w:tblPr>
      <w:tblGrid>
        <w:gridCol w:w="4248"/>
        <w:gridCol w:w="4961"/>
      </w:tblGrid>
      <w:tr w:rsidR="00A801C7" w14:paraId="3F48A4DE" w14:textId="77777777" w:rsidTr="00CB5CB8">
        <w:trPr>
          <w:tblHeader/>
        </w:trPr>
        <w:tc>
          <w:tcPr>
            <w:tcW w:w="4248" w:type="dxa"/>
          </w:tcPr>
          <w:p w14:paraId="1B7412EA" w14:textId="766A0F9F" w:rsidR="00A801C7" w:rsidRPr="00407C71" w:rsidRDefault="00A801C7">
            <w:pPr>
              <w:rPr>
                <w:szCs w:val="22"/>
              </w:rPr>
            </w:pPr>
            <w:r w:rsidRPr="00407C71">
              <w:rPr>
                <w:szCs w:val="22"/>
              </w:rPr>
              <w:t>Section/Part</w:t>
            </w:r>
          </w:p>
        </w:tc>
        <w:tc>
          <w:tcPr>
            <w:tcW w:w="4961" w:type="dxa"/>
          </w:tcPr>
          <w:p w14:paraId="4F0649C3" w14:textId="51135A3C" w:rsidR="00A801C7" w:rsidRPr="00407C71" w:rsidRDefault="00A801C7">
            <w:pPr>
              <w:rPr>
                <w:szCs w:val="22"/>
              </w:rPr>
            </w:pPr>
            <w:r w:rsidRPr="00407C71">
              <w:rPr>
                <w:szCs w:val="22"/>
              </w:rPr>
              <w:t>Suitable Evidence</w:t>
            </w:r>
          </w:p>
        </w:tc>
      </w:tr>
      <w:tr w:rsidR="00A801C7" w14:paraId="7ED58B02" w14:textId="77777777" w:rsidTr="00407C71">
        <w:tc>
          <w:tcPr>
            <w:tcW w:w="4248" w:type="dxa"/>
          </w:tcPr>
          <w:p w14:paraId="3D4EA6FA" w14:textId="21192584" w:rsidR="00A801C7" w:rsidRPr="00CB5CB8" w:rsidRDefault="00A801C7">
            <w:r w:rsidRPr="00CB5CB8">
              <w:t>Section 3: Declaration, Part A</w:t>
            </w:r>
          </w:p>
        </w:tc>
        <w:tc>
          <w:tcPr>
            <w:tcW w:w="4961" w:type="dxa"/>
          </w:tcPr>
          <w:p w14:paraId="604DC8A3" w14:textId="69E460B9" w:rsidR="00A801C7" w:rsidRPr="00407C71" w:rsidRDefault="00A801C7" w:rsidP="00CB5CB8">
            <w:pPr>
              <w:pStyle w:val="ListBullet"/>
            </w:pPr>
            <w:r w:rsidRPr="00407C71">
              <w:t>Contracts or written agreement of arrangement with a suitable clinical alternative</w:t>
            </w:r>
            <w:r w:rsidR="00407C71" w:rsidRPr="00407C71">
              <w:t>; or</w:t>
            </w:r>
          </w:p>
          <w:p w14:paraId="0D688C28" w14:textId="214A0B6C" w:rsidR="00407C71" w:rsidRPr="00407C71" w:rsidRDefault="00407C71" w:rsidP="00CB5CB8">
            <w:pPr>
              <w:pStyle w:val="ListBullet"/>
            </w:pPr>
            <w:r w:rsidRPr="00407C71">
              <w:t>A Statutory Declaration detailing the arrangement (including the name of GP/Nurse/Practitioner)</w:t>
            </w:r>
          </w:p>
        </w:tc>
      </w:tr>
      <w:tr w:rsidR="00A801C7" w14:paraId="5B541101" w14:textId="77777777" w:rsidTr="00407C71">
        <w:tc>
          <w:tcPr>
            <w:tcW w:w="4248" w:type="dxa"/>
          </w:tcPr>
          <w:p w14:paraId="4709C945" w14:textId="3F7E9E49" w:rsidR="00A801C7" w:rsidRPr="00CB5CB8" w:rsidRDefault="00A801C7">
            <w:r w:rsidRPr="00CB5CB8">
              <w:t>Section 3: Declaration, Part B</w:t>
            </w:r>
          </w:p>
        </w:tc>
        <w:tc>
          <w:tcPr>
            <w:tcW w:w="4961" w:type="dxa"/>
          </w:tcPr>
          <w:p w14:paraId="03F23757" w14:textId="58EBFBE7" w:rsidR="00A801C7" w:rsidRPr="00407C71" w:rsidRDefault="00A801C7" w:rsidP="00CB5CB8">
            <w:pPr>
              <w:pStyle w:val="ListBullet"/>
            </w:pPr>
            <w:r w:rsidRPr="00407C71">
              <w:t>Contracts or written agreement of arrangement with suitable clinical alternative</w:t>
            </w:r>
            <w:r w:rsidR="00407C71" w:rsidRPr="00407C71">
              <w:t>; or</w:t>
            </w:r>
          </w:p>
          <w:p w14:paraId="5D7B395A" w14:textId="4DB35E2C" w:rsidR="00407C71" w:rsidRPr="00407C71" w:rsidRDefault="00407C71" w:rsidP="00CB5CB8">
            <w:pPr>
              <w:pStyle w:val="ListBullet"/>
            </w:pPr>
            <w:r w:rsidRPr="00407C71">
              <w:t xml:space="preserve">A Statutory Declaration detailing the </w:t>
            </w:r>
            <w:proofErr w:type="gramStart"/>
            <w:r w:rsidRPr="00407C71">
              <w:t>arrangement(</w:t>
            </w:r>
            <w:proofErr w:type="gramEnd"/>
            <w:r w:rsidRPr="00407C71">
              <w:t>including the name of GP/Nurse/Practitioner)</w:t>
            </w:r>
          </w:p>
        </w:tc>
      </w:tr>
      <w:tr w:rsidR="00A801C7" w14:paraId="67EA5301" w14:textId="77777777" w:rsidTr="00407C71">
        <w:tc>
          <w:tcPr>
            <w:tcW w:w="4248" w:type="dxa"/>
          </w:tcPr>
          <w:p w14:paraId="26825C14" w14:textId="34D5E2F9" w:rsidR="00A801C7" w:rsidRPr="00CB5CB8" w:rsidRDefault="00A801C7">
            <w:r w:rsidRPr="00CB5CB8">
              <w:t>Section 3: Declaration, Part C</w:t>
            </w:r>
          </w:p>
        </w:tc>
        <w:tc>
          <w:tcPr>
            <w:tcW w:w="4961" w:type="dxa"/>
          </w:tcPr>
          <w:p w14:paraId="0969CC15" w14:textId="77777777" w:rsidR="00A801C7" w:rsidRPr="00407C71" w:rsidRDefault="00A801C7" w:rsidP="00CB5CB8">
            <w:pPr>
              <w:pStyle w:val="ListBullet"/>
            </w:pPr>
            <w:r w:rsidRPr="00407C71">
              <w:t>Clear designation of roles (such as RNs, Enrolled Nurses (Ens), personal care workers (PCW), allied health team and other relevant staff, timing of shirts and any overlaps</w:t>
            </w:r>
          </w:p>
          <w:p w14:paraId="7213427B" w14:textId="702BB48B" w:rsidR="00A801C7" w:rsidRPr="00407C71" w:rsidRDefault="00A801C7" w:rsidP="00CB5CB8">
            <w:pPr>
              <w:pStyle w:val="ListBullet"/>
            </w:pPr>
            <w:r w:rsidRPr="00407C71">
              <w:t>Service Rosters showing onsite staff when RNs are not on-site or on-dut</w:t>
            </w:r>
            <w:r w:rsidR="00407C71" w:rsidRPr="00407C71">
              <w:t>y, including RN on-call (or other clinical arrangement)</w:t>
            </w:r>
          </w:p>
        </w:tc>
      </w:tr>
    </w:tbl>
    <w:p w14:paraId="2282E793" w14:textId="77777777" w:rsidR="00A801C7" w:rsidRPr="00A801C7" w:rsidRDefault="00A801C7" w:rsidP="00CB5CB8"/>
    <w:sectPr w:rsidR="00A801C7" w:rsidRPr="00A801C7">
      <w:headerReference w:type="even" r:id="rId16"/>
      <w:footerReference w:type="even"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A4010" w14:textId="77777777" w:rsidR="005C3D44" w:rsidRDefault="005C3D44" w:rsidP="0088659E">
      <w:pPr>
        <w:spacing w:after="0" w:line="240" w:lineRule="auto"/>
      </w:pPr>
      <w:r>
        <w:separator/>
      </w:r>
    </w:p>
  </w:endnote>
  <w:endnote w:type="continuationSeparator" w:id="0">
    <w:p w14:paraId="6EF94708" w14:textId="77777777" w:rsidR="005C3D44" w:rsidRDefault="005C3D44" w:rsidP="00886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F68D" w14:textId="5B0C24AD" w:rsidR="0088659E" w:rsidRDefault="0088659E">
    <w:pPr>
      <w:pStyle w:val="Footer"/>
    </w:pPr>
    <w:r>
      <w:rPr>
        <w:noProof/>
      </w:rPr>
      <mc:AlternateContent>
        <mc:Choice Requires="wps">
          <w:drawing>
            <wp:anchor distT="0" distB="0" distL="0" distR="0" simplePos="0" relativeHeight="251662336" behindDoc="0" locked="0" layoutInCell="1" allowOverlap="1" wp14:anchorId="7BE7DB5C" wp14:editId="49D56F28">
              <wp:simplePos x="635" y="635"/>
              <wp:positionH relativeFrom="page">
                <wp:align>center</wp:align>
              </wp:positionH>
              <wp:positionV relativeFrom="page">
                <wp:align>bottom</wp:align>
              </wp:positionV>
              <wp:extent cx="622300" cy="391160"/>
              <wp:effectExtent l="0" t="0" r="6350" b="0"/>
              <wp:wrapNone/>
              <wp:docPr id="203713264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61F1DBE" w14:textId="62C4CB87" w:rsidR="0088659E" w:rsidRPr="0088659E" w:rsidRDefault="0088659E" w:rsidP="0088659E">
                          <w:pPr>
                            <w:spacing w:after="0"/>
                            <w:rPr>
                              <w:rFonts w:ascii="Aptos" w:eastAsia="Aptos" w:hAnsi="Aptos" w:cs="Aptos"/>
                              <w:noProof/>
                              <w:color w:val="FF0000"/>
                              <w:sz w:val="24"/>
                            </w:rPr>
                          </w:pPr>
                          <w:r w:rsidRPr="0088659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E7DB5C" id="_x0000_t202" coordsize="21600,21600" o:spt="202" path="m,l,21600r21600,l21600,xe">
              <v:stroke joinstyle="miter"/>
              <v:path gradientshapeok="t" o:connecttype="rect"/>
            </v:shapetype>
            <v:shape id="Text Box 5" o:spid="_x0000_s1027" type="#_x0000_t202" alt="OFFICIAL" style="position:absolute;margin-left:0;margin-top:0;width:49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AVDA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" filled="f" stroked="f">
              <v:textbox style="mso-fit-shape-to-text:t" inset="0,0,0,15pt">
                <w:txbxContent>
                  <w:p w14:paraId="361F1DBE" w14:textId="62C4CB87" w:rsidR="0088659E" w:rsidRPr="0088659E" w:rsidRDefault="0088659E" w:rsidP="0088659E">
                    <w:pPr>
                      <w:spacing w:after="0"/>
                      <w:rPr>
                        <w:rFonts w:ascii="Aptos" w:eastAsia="Aptos" w:hAnsi="Aptos" w:cs="Aptos"/>
                        <w:noProof/>
                        <w:color w:val="FF0000"/>
                        <w:sz w:val="24"/>
                      </w:rPr>
                    </w:pPr>
                    <w:r w:rsidRPr="0088659E">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4E99A" w14:textId="0561BC43" w:rsidR="0088659E" w:rsidRDefault="0088659E">
    <w:pPr>
      <w:pStyle w:val="Footer"/>
    </w:pPr>
    <w:r>
      <w:rPr>
        <w:noProof/>
      </w:rPr>
      <mc:AlternateContent>
        <mc:Choice Requires="wps">
          <w:drawing>
            <wp:anchor distT="0" distB="0" distL="0" distR="0" simplePos="0" relativeHeight="251661312" behindDoc="0" locked="0" layoutInCell="1" allowOverlap="1" wp14:anchorId="11801BA7" wp14:editId="79A66AB4">
              <wp:simplePos x="635" y="635"/>
              <wp:positionH relativeFrom="page">
                <wp:align>center</wp:align>
              </wp:positionH>
              <wp:positionV relativeFrom="page">
                <wp:align>bottom</wp:align>
              </wp:positionV>
              <wp:extent cx="622300" cy="391160"/>
              <wp:effectExtent l="0" t="0" r="6350" b="0"/>
              <wp:wrapNone/>
              <wp:docPr id="136212059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98E4504" w14:textId="51FA8305" w:rsidR="0088659E" w:rsidRPr="0088659E" w:rsidRDefault="0088659E" w:rsidP="0088659E">
                          <w:pPr>
                            <w:spacing w:after="0"/>
                            <w:rPr>
                              <w:rFonts w:ascii="Aptos" w:eastAsia="Aptos" w:hAnsi="Aptos" w:cs="Aptos"/>
                              <w:noProof/>
                              <w:color w:val="FF0000"/>
                              <w:sz w:val="24"/>
                            </w:rPr>
                          </w:pPr>
                          <w:r w:rsidRPr="0088659E">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801BA7" id="_x0000_t202" coordsize="21600,21600" o:spt="202" path="m,l,21600r21600,l21600,xe">
              <v:stroke joinstyle="miter"/>
              <v:path gradientshapeok="t" o:connecttype="rect"/>
            </v:shapetype>
            <v:shape id="Text Box 4" o:spid="_x0000_s1029" type="#_x0000_t202" alt="OFFICIAL" style="position:absolute;margin-left:0;margin-top:0;width:49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298E4504" w14:textId="51FA8305" w:rsidR="0088659E" w:rsidRPr="0088659E" w:rsidRDefault="0088659E" w:rsidP="0088659E">
                    <w:pPr>
                      <w:spacing w:after="0"/>
                      <w:rPr>
                        <w:rFonts w:ascii="Aptos" w:eastAsia="Aptos" w:hAnsi="Aptos" w:cs="Aptos"/>
                        <w:noProof/>
                        <w:color w:val="FF0000"/>
                        <w:sz w:val="24"/>
                      </w:rPr>
                    </w:pPr>
                    <w:r w:rsidRPr="0088659E">
                      <w:rPr>
                        <w:rFonts w:ascii="Aptos" w:eastAsia="Aptos" w:hAnsi="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5D709" w14:textId="77777777" w:rsidR="005C3D44" w:rsidRDefault="005C3D44" w:rsidP="0088659E">
      <w:pPr>
        <w:spacing w:after="0" w:line="240" w:lineRule="auto"/>
      </w:pPr>
      <w:r>
        <w:separator/>
      </w:r>
    </w:p>
  </w:footnote>
  <w:footnote w:type="continuationSeparator" w:id="0">
    <w:p w14:paraId="1BA659CA" w14:textId="77777777" w:rsidR="005C3D44" w:rsidRDefault="005C3D44" w:rsidP="00886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CA3C6" w14:textId="0035BAE6" w:rsidR="0088659E" w:rsidRDefault="0088659E">
    <w:pPr>
      <w:pStyle w:val="Header"/>
    </w:pPr>
    <w:r>
      <w:rPr>
        <w:noProof/>
      </w:rPr>
      <mc:AlternateContent>
        <mc:Choice Requires="wps">
          <w:drawing>
            <wp:anchor distT="0" distB="0" distL="0" distR="0" simplePos="0" relativeHeight="251659264" behindDoc="0" locked="0" layoutInCell="1" allowOverlap="1" wp14:anchorId="284FCBA5" wp14:editId="2C4F9080">
              <wp:simplePos x="635" y="635"/>
              <wp:positionH relativeFrom="page">
                <wp:align>center</wp:align>
              </wp:positionH>
              <wp:positionV relativeFrom="page">
                <wp:align>top</wp:align>
              </wp:positionV>
              <wp:extent cx="622300" cy="391160"/>
              <wp:effectExtent l="0" t="0" r="6350" b="8890"/>
              <wp:wrapNone/>
              <wp:docPr id="207672536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E4B2B78" w14:textId="44CF5231" w:rsidR="0088659E" w:rsidRPr="0088659E" w:rsidRDefault="0088659E" w:rsidP="0088659E">
                          <w:pPr>
                            <w:spacing w:after="0"/>
                            <w:rPr>
                              <w:rFonts w:ascii="Aptos" w:eastAsia="Aptos" w:hAnsi="Aptos" w:cs="Aptos"/>
                              <w:noProof/>
                              <w:color w:val="FF0000"/>
                              <w:sz w:val="24"/>
                            </w:rPr>
                          </w:pPr>
                          <w:r w:rsidRPr="0088659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4FCBA5"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1E4B2B78" w14:textId="44CF5231" w:rsidR="0088659E" w:rsidRPr="0088659E" w:rsidRDefault="0088659E" w:rsidP="0088659E">
                    <w:pPr>
                      <w:spacing w:after="0"/>
                      <w:rPr>
                        <w:rFonts w:ascii="Aptos" w:eastAsia="Aptos" w:hAnsi="Aptos" w:cs="Aptos"/>
                        <w:noProof/>
                        <w:color w:val="FF0000"/>
                        <w:sz w:val="24"/>
                      </w:rPr>
                    </w:pPr>
                    <w:r w:rsidRPr="0088659E">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4D85D" w14:textId="7744186D" w:rsidR="0088659E" w:rsidRDefault="0088659E">
    <w:pPr>
      <w:pStyle w:val="Header"/>
    </w:pPr>
    <w:r>
      <w:rPr>
        <w:noProof/>
      </w:rPr>
      <mc:AlternateContent>
        <mc:Choice Requires="wps">
          <w:drawing>
            <wp:anchor distT="0" distB="0" distL="0" distR="0" simplePos="0" relativeHeight="251658240" behindDoc="0" locked="0" layoutInCell="1" allowOverlap="1" wp14:anchorId="0A6A04AA" wp14:editId="05F8C404">
              <wp:simplePos x="635" y="635"/>
              <wp:positionH relativeFrom="page">
                <wp:align>center</wp:align>
              </wp:positionH>
              <wp:positionV relativeFrom="page">
                <wp:align>top</wp:align>
              </wp:positionV>
              <wp:extent cx="622300" cy="391160"/>
              <wp:effectExtent l="0" t="0" r="6350" b="8890"/>
              <wp:wrapNone/>
              <wp:docPr id="21906971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CE6D9C2" w14:textId="7F3CBB3E" w:rsidR="0088659E" w:rsidRPr="0088659E" w:rsidRDefault="0088659E" w:rsidP="0088659E">
                          <w:pPr>
                            <w:spacing w:after="0"/>
                            <w:rPr>
                              <w:rFonts w:ascii="Aptos" w:eastAsia="Aptos" w:hAnsi="Aptos" w:cs="Aptos"/>
                              <w:noProof/>
                              <w:color w:val="FF0000"/>
                              <w:sz w:val="24"/>
                            </w:rPr>
                          </w:pPr>
                          <w:r w:rsidRPr="0088659E">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6A04AA" id="_x0000_t202" coordsize="21600,21600" o:spt="202" path="m,l,21600r21600,l21600,xe">
              <v:stroke joinstyle="miter"/>
              <v:path gradientshapeok="t" o:connecttype="rect"/>
            </v:shapetype>
            <v:shape id="Text Box 1" o:spid="_x0000_s1028"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bnDQ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tXfDpOv4X6SEt5OPEdnFy11HotAj4LTwTTtCRa&#10;fKJDG+grDmeLswb8z7/5Yz7hTlHOehJMxS0pmjPz3RIfUVvJKG7zzxEMP7q3o2H33T2QDAt6EU4m&#10;M+ahGU3toXslOS9jIwoJK6ldxXE07/GkXHoOUi2XKYlk5ASu7cbJWDrCFbF8GV6Fd2fAkZh6hFFN&#10;onyH+yk33gxuuUdCP5ESoT0BeUacJJi4Oj+XqPG3/ynr+qgXvwA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Aky6bnDQIAABwEAAAO&#10;AAAAAAAAAAAAAAAAAC4CAABkcnMvZTJvRG9jLnhtbFBLAQItABQABgAIAAAAIQBhokho2AAAAAMB&#10;AAAPAAAAAAAAAAAAAAAAAGcEAABkcnMvZG93bnJldi54bWxQSwUGAAAAAAQABADzAAAAbAUAAAAA&#10;" filled="f" stroked="f">
              <v:textbox style="mso-fit-shape-to-text:t" inset="0,15pt,0,0">
                <w:txbxContent>
                  <w:p w14:paraId="3CE6D9C2" w14:textId="7F3CBB3E" w:rsidR="0088659E" w:rsidRPr="0088659E" w:rsidRDefault="0088659E" w:rsidP="0088659E">
                    <w:pPr>
                      <w:spacing w:after="0"/>
                      <w:rPr>
                        <w:rFonts w:ascii="Aptos" w:eastAsia="Aptos" w:hAnsi="Aptos" w:cs="Aptos"/>
                        <w:noProof/>
                        <w:color w:val="FF0000"/>
                        <w:sz w:val="24"/>
                      </w:rPr>
                    </w:pPr>
                    <w:r w:rsidRPr="0088659E">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226BF4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03CAD02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8892C98"/>
    <w:multiLevelType w:val="hybridMultilevel"/>
    <w:tmpl w:val="C7A6C4C0"/>
    <w:lvl w:ilvl="0" w:tplc="0C090001">
      <w:start w:val="1"/>
      <w:numFmt w:val="bullet"/>
      <w:lvlText w:val=""/>
      <w:lvlJc w:val="left"/>
      <w:pPr>
        <w:ind w:left="720" w:hanging="360"/>
      </w:pPr>
      <w:rPr>
        <w:rFonts w:ascii="Symbol" w:hAnsi="Symbol" w:hint="default"/>
      </w:rPr>
    </w:lvl>
    <w:lvl w:ilvl="1" w:tplc="9682893E">
      <w:start w:val="1"/>
      <w:numFmt w:val="bullet"/>
      <w:pStyle w:val="ListBullet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CA81F4A"/>
    <w:multiLevelType w:val="hybridMultilevel"/>
    <w:tmpl w:val="A3A225C4"/>
    <w:lvl w:ilvl="0" w:tplc="243A0890">
      <w:start w:val="4"/>
      <w:numFmt w:val="bullet"/>
      <w:lvlText w:val=""/>
      <w:lvlJc w:val="left"/>
      <w:pPr>
        <w:ind w:left="720" w:hanging="360"/>
      </w:pPr>
      <w:rPr>
        <w:rFonts w:ascii="Symbol" w:eastAsiaTheme="minorHAns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1AE6D51"/>
    <w:multiLevelType w:val="multilevel"/>
    <w:tmpl w:val="0CE87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D01696"/>
    <w:multiLevelType w:val="multilevel"/>
    <w:tmpl w:val="035E9A9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4F913B44"/>
    <w:multiLevelType w:val="hybridMultilevel"/>
    <w:tmpl w:val="A00A3D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96D142C"/>
    <w:multiLevelType w:val="hybridMultilevel"/>
    <w:tmpl w:val="3B246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85877624">
    <w:abstractNumId w:val="6"/>
  </w:num>
  <w:num w:numId="2" w16cid:durableId="390471511">
    <w:abstractNumId w:val="7"/>
  </w:num>
  <w:num w:numId="3" w16cid:durableId="64452782">
    <w:abstractNumId w:val="2"/>
  </w:num>
  <w:num w:numId="4" w16cid:durableId="1626960673">
    <w:abstractNumId w:val="3"/>
  </w:num>
  <w:num w:numId="5" w16cid:durableId="831991874">
    <w:abstractNumId w:val="5"/>
  </w:num>
  <w:num w:numId="6" w16cid:durableId="274868373">
    <w:abstractNumId w:val="4"/>
  </w:num>
  <w:num w:numId="7" w16cid:durableId="1540163834">
    <w:abstractNumId w:val="1"/>
  </w:num>
  <w:num w:numId="8" w16cid:durableId="547839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1C7"/>
    <w:rsid w:val="00174618"/>
    <w:rsid w:val="00280050"/>
    <w:rsid w:val="00407C71"/>
    <w:rsid w:val="00430295"/>
    <w:rsid w:val="004736DA"/>
    <w:rsid w:val="00550235"/>
    <w:rsid w:val="005A0C27"/>
    <w:rsid w:val="005C3D44"/>
    <w:rsid w:val="006A0B0A"/>
    <w:rsid w:val="006A7465"/>
    <w:rsid w:val="00783C29"/>
    <w:rsid w:val="0088659E"/>
    <w:rsid w:val="008B17D6"/>
    <w:rsid w:val="0098532B"/>
    <w:rsid w:val="00A801C7"/>
    <w:rsid w:val="00C168BA"/>
    <w:rsid w:val="00CB5CB8"/>
    <w:rsid w:val="00ED38E9"/>
    <w:rsid w:val="00F14D6C"/>
    <w:rsid w:val="00F47011"/>
    <w:rsid w:val="00F746C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40C0D"/>
  <w15:chartTrackingRefBased/>
  <w15:docId w15:val="{773C6C06-26BF-41DF-BE0D-C415745EA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CB8"/>
    <w:rPr>
      <w:sz w:val="22"/>
    </w:rPr>
  </w:style>
  <w:style w:type="paragraph" w:styleId="Heading1">
    <w:name w:val="heading 1"/>
    <w:basedOn w:val="Normal"/>
    <w:next w:val="Normal"/>
    <w:link w:val="Heading1Char"/>
    <w:uiPriority w:val="9"/>
    <w:qFormat/>
    <w:rsid w:val="00CB5CB8"/>
    <w:pPr>
      <w:keepNext/>
      <w:spacing w:before="160"/>
      <w:outlineLvl w:val="0"/>
    </w:pPr>
    <w:rPr>
      <w:b/>
      <w:bCs/>
      <w:sz w:val="28"/>
      <w:szCs w:val="28"/>
    </w:rPr>
  </w:style>
  <w:style w:type="paragraph" w:styleId="Heading2">
    <w:name w:val="heading 2"/>
    <w:basedOn w:val="Normal"/>
    <w:next w:val="Normal"/>
    <w:link w:val="Heading2Char"/>
    <w:uiPriority w:val="9"/>
    <w:semiHidden/>
    <w:unhideWhenUsed/>
    <w:qFormat/>
    <w:rsid w:val="00A801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01C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01C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801C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801C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801C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801C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801C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CB8"/>
    <w:rPr>
      <w:b/>
      <w:bCs/>
      <w:sz w:val="28"/>
      <w:szCs w:val="28"/>
    </w:rPr>
  </w:style>
  <w:style w:type="character" w:customStyle="1" w:styleId="Heading2Char">
    <w:name w:val="Heading 2 Char"/>
    <w:basedOn w:val="DefaultParagraphFont"/>
    <w:link w:val="Heading2"/>
    <w:uiPriority w:val="9"/>
    <w:semiHidden/>
    <w:rsid w:val="00A801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01C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01C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801C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801C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801C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801C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801C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B5CB8"/>
    <w:pPr>
      <w:jc w:val="center"/>
    </w:pPr>
    <w:rPr>
      <w:sz w:val="44"/>
      <w:szCs w:val="44"/>
    </w:rPr>
  </w:style>
  <w:style w:type="character" w:customStyle="1" w:styleId="TitleChar">
    <w:name w:val="Title Char"/>
    <w:basedOn w:val="DefaultParagraphFont"/>
    <w:link w:val="Title"/>
    <w:uiPriority w:val="10"/>
    <w:rsid w:val="00CB5CB8"/>
    <w:rPr>
      <w:sz w:val="44"/>
      <w:szCs w:val="44"/>
    </w:rPr>
  </w:style>
  <w:style w:type="paragraph" w:styleId="Subtitle">
    <w:name w:val="Subtitle"/>
    <w:basedOn w:val="Normal"/>
    <w:next w:val="Normal"/>
    <w:link w:val="SubtitleChar"/>
    <w:uiPriority w:val="11"/>
    <w:qFormat/>
    <w:rsid w:val="00A801C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01C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801C7"/>
    <w:pPr>
      <w:spacing w:before="160"/>
      <w:jc w:val="center"/>
    </w:pPr>
    <w:rPr>
      <w:i/>
      <w:iCs/>
      <w:color w:val="404040" w:themeColor="text1" w:themeTint="BF"/>
    </w:rPr>
  </w:style>
  <w:style w:type="character" w:customStyle="1" w:styleId="QuoteChar">
    <w:name w:val="Quote Char"/>
    <w:basedOn w:val="DefaultParagraphFont"/>
    <w:link w:val="Quote"/>
    <w:uiPriority w:val="29"/>
    <w:rsid w:val="00A801C7"/>
    <w:rPr>
      <w:i/>
      <w:iCs/>
      <w:color w:val="404040" w:themeColor="text1" w:themeTint="BF"/>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列,1.1"/>
    <w:basedOn w:val="Normal"/>
    <w:link w:val="ListParagraphChar"/>
    <w:uiPriority w:val="34"/>
    <w:qFormat/>
    <w:rsid w:val="00A801C7"/>
    <w:pPr>
      <w:ind w:left="720"/>
      <w:contextualSpacing/>
    </w:pPr>
  </w:style>
  <w:style w:type="character" w:styleId="IntenseEmphasis">
    <w:name w:val="Intense Emphasis"/>
    <w:basedOn w:val="DefaultParagraphFont"/>
    <w:uiPriority w:val="21"/>
    <w:qFormat/>
    <w:rsid w:val="00A801C7"/>
    <w:rPr>
      <w:i/>
      <w:iCs/>
      <w:color w:val="0F4761" w:themeColor="accent1" w:themeShade="BF"/>
    </w:rPr>
  </w:style>
  <w:style w:type="paragraph" w:styleId="IntenseQuote">
    <w:name w:val="Intense Quote"/>
    <w:basedOn w:val="Normal"/>
    <w:next w:val="Normal"/>
    <w:link w:val="IntenseQuoteChar"/>
    <w:uiPriority w:val="30"/>
    <w:qFormat/>
    <w:rsid w:val="00A801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01C7"/>
    <w:rPr>
      <w:i/>
      <w:iCs/>
      <w:color w:val="0F4761" w:themeColor="accent1" w:themeShade="BF"/>
    </w:rPr>
  </w:style>
  <w:style w:type="character" w:styleId="IntenseReference">
    <w:name w:val="Intense Reference"/>
    <w:basedOn w:val="DefaultParagraphFont"/>
    <w:uiPriority w:val="32"/>
    <w:qFormat/>
    <w:rsid w:val="00A801C7"/>
    <w:rPr>
      <w:b/>
      <w:bCs/>
      <w:smallCaps/>
      <w:color w:val="0F4761" w:themeColor="accent1" w:themeShade="BF"/>
      <w:spacing w:val="5"/>
    </w:rPr>
  </w:style>
  <w:style w:type="table" w:styleId="TableGrid">
    <w:name w:val="Table Grid"/>
    <w:basedOn w:val="TableNormal"/>
    <w:uiPriority w:val="39"/>
    <w:rsid w:val="00A80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qFormat/>
    <w:locked/>
    <w:rsid w:val="00A801C7"/>
  </w:style>
  <w:style w:type="character" w:styleId="Hyperlink">
    <w:name w:val="Hyperlink"/>
    <w:basedOn w:val="DefaultParagraphFont"/>
    <w:uiPriority w:val="99"/>
    <w:unhideWhenUsed/>
    <w:rsid w:val="00430295"/>
    <w:rPr>
      <w:color w:val="467886" w:themeColor="hyperlink"/>
      <w:u w:val="single"/>
    </w:rPr>
  </w:style>
  <w:style w:type="character" w:styleId="FollowedHyperlink">
    <w:name w:val="FollowedHyperlink"/>
    <w:basedOn w:val="DefaultParagraphFont"/>
    <w:uiPriority w:val="99"/>
    <w:semiHidden/>
    <w:unhideWhenUsed/>
    <w:rsid w:val="00430295"/>
    <w:rPr>
      <w:color w:val="96607D" w:themeColor="followedHyperlink"/>
      <w:u w:val="single"/>
    </w:rPr>
  </w:style>
  <w:style w:type="character" w:styleId="UnresolvedMention">
    <w:name w:val="Unresolved Mention"/>
    <w:basedOn w:val="DefaultParagraphFont"/>
    <w:uiPriority w:val="99"/>
    <w:semiHidden/>
    <w:unhideWhenUsed/>
    <w:rsid w:val="00430295"/>
    <w:rPr>
      <w:color w:val="605E5C"/>
      <w:shd w:val="clear" w:color="auto" w:fill="E1DFDD"/>
    </w:rPr>
  </w:style>
  <w:style w:type="paragraph" w:styleId="Header">
    <w:name w:val="header"/>
    <w:basedOn w:val="Normal"/>
    <w:link w:val="HeaderChar"/>
    <w:uiPriority w:val="99"/>
    <w:unhideWhenUsed/>
    <w:rsid w:val="008865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59E"/>
  </w:style>
  <w:style w:type="paragraph" w:styleId="Footer">
    <w:name w:val="footer"/>
    <w:basedOn w:val="Normal"/>
    <w:link w:val="FooterChar"/>
    <w:uiPriority w:val="99"/>
    <w:unhideWhenUsed/>
    <w:rsid w:val="008865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59E"/>
  </w:style>
  <w:style w:type="paragraph" w:styleId="ListBullet">
    <w:name w:val="List Bullet"/>
    <w:basedOn w:val="Normal"/>
    <w:uiPriority w:val="99"/>
    <w:unhideWhenUsed/>
    <w:rsid w:val="00CB5CB8"/>
    <w:pPr>
      <w:numPr>
        <w:numId w:val="7"/>
      </w:numPr>
      <w:tabs>
        <w:tab w:val="clear" w:pos="360"/>
      </w:tabs>
      <w:spacing w:before="80" w:after="80"/>
      <w:ind w:left="584" w:hanging="357"/>
    </w:pPr>
  </w:style>
  <w:style w:type="paragraph" w:styleId="ListBullet2">
    <w:name w:val="List Bullet 2"/>
    <w:basedOn w:val="ListParagraph"/>
    <w:uiPriority w:val="99"/>
    <w:unhideWhenUsed/>
    <w:rsid w:val="00CB5CB8"/>
    <w:pPr>
      <w:numPr>
        <w:ilvl w:val="1"/>
        <w:numId w:val="3"/>
      </w:numPr>
      <w:spacing w:after="0" w:line="240" w:lineRule="auto"/>
      <w:ind w:left="1434" w:hanging="357"/>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ealth.gov.au/our-work/care-minutes-registered-nurses-aged-care/24-7-rns/exemption"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health.gov.au/our-work/care-minutes-registered-nurses-aged-care/24-7-rns/exempti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oyalcommission.gov.au/aged-care/final-report" TargetMode="External"/><Relationship Id="rId5" Type="http://schemas.openxmlformats.org/officeDocument/2006/relationships/styles" Target="styles.xml"/><Relationship Id="rId15" Type="http://schemas.openxmlformats.org/officeDocument/2006/relationships/hyperlink" Target="mailto:NATSIFACP@health.gov.au" TargetMode="External"/><Relationship Id="rId10" Type="http://schemas.openxmlformats.org/officeDocument/2006/relationships/hyperlink" Target="https://www.health.gov.au/our-work/care-minutes-registered-nurses-aged-care/24-7-rns"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gedcarequality.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48D32D-66C3-447B-BAE1-417C36A81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384AE3E-7EDD-4F35-94A0-719705525C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F6CAFC-3B9F-44DF-8261-AD44391663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712</Words>
  <Characters>3818</Characters>
  <Application>Microsoft Office Word</Application>
  <DocSecurity>0</DocSecurity>
  <Lines>90</Lines>
  <Paragraphs>61</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24/7 RN Exemption Application for NATSIFACP Providers FAQs</dc:title>
  <dc:subject/>
  <dc:creator>Australian Government Department of Health, Disability and Ageing</dc:creator>
  <cp:keywords/>
  <dc:description/>
  <cp:lastModifiedBy>MASCHKE, Elvia</cp:lastModifiedBy>
  <cp:revision>3</cp:revision>
  <dcterms:created xsi:type="dcterms:W3CDTF">2026-08-21T04:27:00Z</dcterms:created>
  <dcterms:modified xsi:type="dcterms:W3CDTF">2026-08-24T00:22:00Z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d0ebd16,7bc85071,8ef2db2</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51304f8e,796c2d69,63cb6e11</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2026-07-22T22:58:53Z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ff6adc35-4e02-46b8-a3b0-9edbf12dd946</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