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7FAC9" w14:textId="77777777" w:rsidR="00D92B22" w:rsidRPr="009F7E0B" w:rsidRDefault="00D92B22" w:rsidP="00E45CBC">
      <w:pPr>
        <w:pStyle w:val="Default"/>
        <w:spacing w:after="200"/>
        <w:rPr>
          <w:rFonts w:ascii="Calibri" w:hAnsi="Calibri"/>
          <w:color w:val="A6A6A6" w:themeColor="background1" w:themeShade="A6"/>
        </w:rPr>
      </w:pPr>
      <w:r w:rsidRPr="009F7E0B">
        <w:rPr>
          <w:rFonts w:ascii="Calibri" w:hAnsi="Calibri"/>
          <w:bCs/>
          <w:color w:val="A6A6A6" w:themeColor="background1" w:themeShade="A6"/>
        </w:rPr>
        <w:t xml:space="preserve">(Clean opinion) </w:t>
      </w:r>
    </w:p>
    <w:p w14:paraId="048CE097" w14:textId="77777777" w:rsidR="00D92B22" w:rsidRPr="009F7E0B" w:rsidRDefault="00D92B22" w:rsidP="00FC62C4">
      <w:pPr>
        <w:pStyle w:val="Default"/>
        <w:spacing w:after="120"/>
        <w:rPr>
          <w:rFonts w:ascii="Calibri" w:hAnsi="Calibri"/>
          <w:sz w:val="22"/>
          <w:szCs w:val="22"/>
        </w:rPr>
      </w:pPr>
      <w:r w:rsidRPr="009F7E0B">
        <w:rPr>
          <w:rFonts w:ascii="Calibri" w:hAnsi="Calibri"/>
          <w:sz w:val="22"/>
          <w:szCs w:val="22"/>
        </w:rPr>
        <w:t xml:space="preserve">&lt;&lt;Insert </w:t>
      </w:r>
      <w:r w:rsidR="00840644">
        <w:rPr>
          <w:rFonts w:ascii="Calibri" w:hAnsi="Calibri"/>
          <w:sz w:val="22"/>
          <w:szCs w:val="22"/>
        </w:rPr>
        <w:t>registered auditor letterhead&gt;&gt;</w:t>
      </w:r>
    </w:p>
    <w:p w14:paraId="2B90C617" w14:textId="77777777" w:rsidR="00D92B22" w:rsidRPr="00653330" w:rsidRDefault="00D92B22" w:rsidP="00840644">
      <w:pPr>
        <w:pStyle w:val="Heading1"/>
      </w:pPr>
      <w:r w:rsidRPr="00653330">
        <w:t>INDEPENDENT AUDITOR’S REPORT</w:t>
      </w:r>
    </w:p>
    <w:p w14:paraId="7F7E4881" w14:textId="77777777" w:rsidR="0006509C" w:rsidRPr="0031644F" w:rsidRDefault="0006509C" w:rsidP="0006509C">
      <w:pPr>
        <w:spacing w:after="120" w:line="240" w:lineRule="auto"/>
        <w:rPr>
          <w:rFonts w:ascii="Calibri" w:hAnsi="Calibri"/>
          <w:sz w:val="22"/>
        </w:rPr>
      </w:pPr>
      <w:r w:rsidRPr="0031644F">
        <w:rPr>
          <w:rFonts w:ascii="Calibri" w:hAnsi="Calibri"/>
          <w:sz w:val="22"/>
        </w:rPr>
        <w:t xml:space="preserve">To the </w:t>
      </w:r>
      <w:r>
        <w:rPr>
          <w:rStyle w:val="FootnoteReference"/>
          <w:rFonts w:ascii="Calibri" w:hAnsi="Calibri"/>
          <w:sz w:val="22"/>
        </w:rPr>
        <w:footnoteReference w:id="1"/>
      </w:r>
      <w:r w:rsidRPr="0031644F">
        <w:rPr>
          <w:rFonts w:ascii="Calibri" w:hAnsi="Calibri"/>
          <w:sz w:val="22"/>
        </w:rPr>
        <w:t>Directors of [</w:t>
      </w:r>
      <w:r>
        <w:rPr>
          <w:rStyle w:val="Strong"/>
        </w:rPr>
        <w:t>registered</w:t>
      </w:r>
      <w:r w:rsidRPr="003C12D4">
        <w:rPr>
          <w:rStyle w:val="Strong"/>
        </w:rPr>
        <w:t xml:space="preserve"> provider name</w:t>
      </w:r>
      <w:r w:rsidRPr="0031644F">
        <w:rPr>
          <w:rFonts w:ascii="Calibri" w:hAnsi="Calibri"/>
          <w:sz w:val="22"/>
        </w:rPr>
        <w:t xml:space="preserve">] and the </w:t>
      </w:r>
      <w:r>
        <w:rPr>
          <w:rFonts w:ascii="Calibri" w:hAnsi="Calibri"/>
          <w:sz w:val="22"/>
        </w:rPr>
        <w:t xml:space="preserve">System Governor (the </w:t>
      </w:r>
      <w:r w:rsidRPr="0031644F">
        <w:rPr>
          <w:rFonts w:ascii="Calibri" w:hAnsi="Calibri"/>
          <w:sz w:val="22"/>
        </w:rPr>
        <w:t xml:space="preserve">Secretary of </w:t>
      </w:r>
      <w:r w:rsidRPr="00B369D4">
        <w:rPr>
          <w:rFonts w:ascii="Calibri" w:hAnsi="Calibri"/>
          <w:sz w:val="22"/>
        </w:rPr>
        <w:t xml:space="preserve">the </w:t>
      </w:r>
      <w:r>
        <w:rPr>
          <w:rFonts w:ascii="Calibri" w:hAnsi="Calibri"/>
          <w:sz w:val="22"/>
        </w:rPr>
        <w:t>Department of Health, Disability and Ageing)</w:t>
      </w:r>
      <w:r w:rsidRPr="0031644F">
        <w:rPr>
          <w:rFonts w:ascii="Calibri" w:hAnsi="Calibri"/>
          <w:sz w:val="22"/>
        </w:rPr>
        <w:t xml:space="preserve">. </w:t>
      </w:r>
    </w:p>
    <w:p w14:paraId="17C84F5F" w14:textId="77777777" w:rsidR="00ED2B6D" w:rsidRPr="002A0892" w:rsidRDefault="00ED2B6D" w:rsidP="00ED2B6D">
      <w:pPr>
        <w:spacing w:after="120" w:line="240" w:lineRule="auto"/>
        <w:rPr>
          <w:rStyle w:val="Strong"/>
        </w:rPr>
      </w:pPr>
      <w:r w:rsidRPr="002A0892">
        <w:rPr>
          <w:rStyle w:val="Strong"/>
        </w:rPr>
        <w:t>Report on [</w:t>
      </w:r>
      <w:r>
        <w:rPr>
          <w:rStyle w:val="Strong"/>
        </w:rPr>
        <w:t>registered</w:t>
      </w:r>
      <w:r w:rsidRPr="002A0892">
        <w:rPr>
          <w:rStyle w:val="Strong"/>
        </w:rPr>
        <w:t xml:space="preserve"> provider name]’s compliance with the </w:t>
      </w:r>
      <w:r w:rsidRPr="00AB7735">
        <w:rPr>
          <w:rStyle w:val="Strong"/>
          <w:i/>
        </w:rPr>
        <w:t xml:space="preserve">Aged Care Act </w:t>
      </w:r>
      <w:r>
        <w:rPr>
          <w:rStyle w:val="Strong"/>
          <w:i/>
        </w:rPr>
        <w:t>2024</w:t>
      </w:r>
      <w:r w:rsidRPr="002A0892">
        <w:rPr>
          <w:rStyle w:val="Strong"/>
        </w:rPr>
        <w:t xml:space="preserve"> </w:t>
      </w:r>
      <w:r>
        <w:rPr>
          <w:rStyle w:val="Strong"/>
        </w:rPr>
        <w:t xml:space="preserve">(the new Act), the </w:t>
      </w:r>
      <w:r w:rsidRPr="00F121D7">
        <w:rPr>
          <w:rStyle w:val="Strong"/>
          <w:i/>
          <w:iCs/>
        </w:rPr>
        <w:t>Aged Care Rules 2025</w:t>
      </w:r>
      <w:r>
        <w:rPr>
          <w:rStyle w:val="Strong"/>
        </w:rPr>
        <w:t xml:space="preserve"> (the Rules) and the </w:t>
      </w:r>
      <w:r w:rsidRPr="006D76E9">
        <w:rPr>
          <w:rStyle w:val="Strong"/>
          <w:i/>
          <w:iCs/>
        </w:rPr>
        <w:t>Aged Care Financial and Prudential Standards</w:t>
      </w:r>
      <w:r>
        <w:rPr>
          <w:rStyle w:val="Strong"/>
        </w:rPr>
        <w:t xml:space="preserve"> (the new Standards)</w:t>
      </w:r>
      <w:r>
        <w:rPr>
          <w:rStyle w:val="IntenseEmphasis"/>
        </w:rPr>
        <w:t>.</w:t>
      </w:r>
      <w:r w:rsidRPr="002A0892">
        <w:rPr>
          <w:rStyle w:val="Strong"/>
        </w:rPr>
        <w:t xml:space="preserve"> </w:t>
      </w:r>
    </w:p>
    <w:p w14:paraId="324A6C63" w14:textId="77777777" w:rsidR="00F440EB" w:rsidRDefault="00F440EB" w:rsidP="00F440EB">
      <w:pPr>
        <w:spacing w:after="120" w:line="240" w:lineRule="auto"/>
        <w:rPr>
          <w:rFonts w:ascii="Calibri" w:hAnsi="Calibri" w:cs="Times New Roman"/>
          <w:color w:val="000000"/>
          <w:sz w:val="22"/>
        </w:rPr>
      </w:pPr>
      <w:r w:rsidRPr="71BE1939">
        <w:rPr>
          <w:rFonts w:ascii="Calibri" w:hAnsi="Calibri" w:cs="Times New Roman"/>
          <w:color w:val="000000" w:themeColor="text1"/>
          <w:sz w:val="22"/>
        </w:rPr>
        <w:t>We have audited the compliance of [</w:t>
      </w:r>
      <w:r w:rsidRPr="71BE1939">
        <w:rPr>
          <w:rFonts w:ascii="Calibri" w:hAnsi="Calibri" w:cs="Times New Roman"/>
          <w:b/>
          <w:bCs/>
          <w:color w:val="000000" w:themeColor="text1"/>
          <w:sz w:val="22"/>
        </w:rPr>
        <w:t>registered provider name</w:t>
      </w:r>
      <w:r w:rsidRPr="71BE1939">
        <w:rPr>
          <w:rFonts w:ascii="Calibri" w:hAnsi="Calibri" w:cs="Times New Roman"/>
          <w:color w:val="000000" w:themeColor="text1"/>
          <w:sz w:val="22"/>
        </w:rPr>
        <w:t xml:space="preserve">] with the requirements of the new Standards, section 150A of the new Act, and sections 155-30, 155-35 and 166-360 to 166-385 of the Rules for the period 1 November 2025 to </w:t>
      </w:r>
      <w:r w:rsidRPr="71BE1939">
        <w:rPr>
          <w:rFonts w:ascii="Calibri" w:hAnsi="Calibri"/>
          <w:sz w:val="22"/>
        </w:rPr>
        <w:t>[</w:t>
      </w:r>
      <w:r w:rsidRPr="71BE1939">
        <w:rPr>
          <w:rStyle w:val="Strong"/>
          <w:highlight w:val="yellow"/>
        </w:rPr>
        <w:t>insert date</w:t>
      </w:r>
      <w:r w:rsidRPr="71BE1939">
        <w:rPr>
          <w:rFonts w:ascii="Calibri" w:hAnsi="Calibri"/>
          <w:sz w:val="22"/>
        </w:rPr>
        <w:t>]</w:t>
      </w:r>
      <w:r w:rsidRPr="71BE1939">
        <w:rPr>
          <w:rFonts w:ascii="Calibri" w:hAnsi="Calibri" w:cs="Times New Roman"/>
          <w:color w:val="000000" w:themeColor="text1"/>
          <w:sz w:val="22"/>
        </w:rPr>
        <w:t xml:space="preserve">. </w:t>
      </w:r>
    </w:p>
    <w:p w14:paraId="3A12DD49" w14:textId="77777777" w:rsidR="005F4461" w:rsidRPr="00F440EB" w:rsidRDefault="005F4461" w:rsidP="00840644">
      <w:pPr>
        <w:pStyle w:val="Heading2"/>
        <w:rPr>
          <w:b/>
          <w:bCs/>
        </w:rPr>
      </w:pPr>
      <w:r w:rsidRPr="00F440EB">
        <w:rPr>
          <w:b/>
          <w:bCs/>
        </w:rPr>
        <w:t xml:space="preserve">Opinion </w:t>
      </w:r>
    </w:p>
    <w:p w14:paraId="00C0184F" w14:textId="69D358B7" w:rsidR="005F4461" w:rsidRPr="009F7E0B" w:rsidRDefault="005F4461" w:rsidP="005F4461">
      <w:pPr>
        <w:pStyle w:val="Default"/>
        <w:spacing w:after="120"/>
        <w:rPr>
          <w:rFonts w:ascii="Calibri" w:hAnsi="Calibri"/>
          <w:sz w:val="22"/>
          <w:szCs w:val="22"/>
        </w:rPr>
      </w:pPr>
      <w:r w:rsidRPr="009F7E0B">
        <w:rPr>
          <w:rFonts w:ascii="Calibri" w:hAnsi="Calibri"/>
          <w:sz w:val="22"/>
          <w:szCs w:val="22"/>
        </w:rPr>
        <w:t>In our opinion, [</w:t>
      </w:r>
      <w:r w:rsidR="00F440EB">
        <w:rPr>
          <w:rStyle w:val="Strong"/>
        </w:rPr>
        <w:t>registered</w:t>
      </w:r>
      <w:r w:rsidRPr="00653330">
        <w:rPr>
          <w:rStyle w:val="Strong"/>
        </w:rPr>
        <w:t xml:space="preserve"> provider name</w:t>
      </w:r>
      <w:r w:rsidRPr="009F7E0B">
        <w:rPr>
          <w:rFonts w:ascii="Calibri" w:hAnsi="Calibri"/>
          <w:sz w:val="22"/>
          <w:szCs w:val="22"/>
        </w:rPr>
        <w:t xml:space="preserve">] has complied, in all material respects, </w:t>
      </w:r>
      <w:r w:rsidR="008B3F66" w:rsidRPr="71BE1939">
        <w:rPr>
          <w:rFonts w:ascii="Calibri" w:hAnsi="Calibri"/>
          <w:sz w:val="22"/>
          <w:szCs w:val="22"/>
        </w:rPr>
        <w:t xml:space="preserve">with the requirements of </w:t>
      </w:r>
      <w:r w:rsidR="008B3F66" w:rsidRPr="71BE1939">
        <w:rPr>
          <w:rFonts w:ascii="Calibri" w:hAnsi="Calibri"/>
          <w:color w:val="000000" w:themeColor="text1"/>
          <w:sz w:val="22"/>
          <w:szCs w:val="22"/>
        </w:rPr>
        <w:t xml:space="preserve">the new Standards, section 150A of the new Act, and sections 155-30, 155-35 and 166-360 to 166-385 of the Rules for the period 1 November 2025 to </w:t>
      </w:r>
      <w:r w:rsidR="008B3F66" w:rsidRPr="71BE1939">
        <w:rPr>
          <w:rFonts w:ascii="Calibri" w:hAnsi="Calibri"/>
          <w:sz w:val="22"/>
          <w:szCs w:val="22"/>
        </w:rPr>
        <w:t>[</w:t>
      </w:r>
      <w:r w:rsidR="008B3F66" w:rsidRPr="71BE1939">
        <w:rPr>
          <w:rStyle w:val="Strong"/>
          <w:highlight w:val="yellow"/>
        </w:rPr>
        <w:t>insert date</w:t>
      </w:r>
      <w:r w:rsidR="008B3F66" w:rsidRPr="71BE1939">
        <w:rPr>
          <w:rFonts w:ascii="Calibri" w:hAnsi="Calibri"/>
          <w:sz w:val="22"/>
          <w:szCs w:val="22"/>
        </w:rPr>
        <w:t>]</w:t>
      </w:r>
      <w:r w:rsidR="008B3F66" w:rsidRPr="71BE1939">
        <w:rPr>
          <w:rFonts w:ascii="Calibri" w:hAnsi="Calibri"/>
          <w:color w:val="000000" w:themeColor="text1"/>
          <w:sz w:val="22"/>
          <w:szCs w:val="22"/>
        </w:rPr>
        <w:t>.</w:t>
      </w:r>
    </w:p>
    <w:p w14:paraId="6471398E" w14:textId="091D44AA" w:rsidR="005F4461" w:rsidRPr="009F7E0B" w:rsidRDefault="005F4461" w:rsidP="00840644">
      <w:pPr>
        <w:pStyle w:val="Heading2"/>
      </w:pPr>
      <w:r w:rsidRPr="009F7E0B">
        <w:rPr>
          <w:b/>
        </w:rPr>
        <w:t xml:space="preserve">Report on </w:t>
      </w:r>
      <w:r w:rsidR="000D6929">
        <w:rPr>
          <w:b/>
        </w:rPr>
        <w:t>o</w:t>
      </w:r>
      <w:r w:rsidRPr="009F7E0B">
        <w:rPr>
          <w:b/>
        </w:rPr>
        <w:t xml:space="preserve">ther </w:t>
      </w:r>
      <w:r w:rsidR="000D6929">
        <w:rPr>
          <w:b/>
        </w:rPr>
        <w:t>l</w:t>
      </w:r>
      <w:r w:rsidRPr="009F7E0B">
        <w:rPr>
          <w:b/>
        </w:rPr>
        <w:t xml:space="preserve">egal and </w:t>
      </w:r>
      <w:r w:rsidR="000D6929">
        <w:rPr>
          <w:b/>
        </w:rPr>
        <w:t>r</w:t>
      </w:r>
      <w:r w:rsidRPr="009F7E0B">
        <w:rPr>
          <w:b/>
        </w:rPr>
        <w:t xml:space="preserve">egulatory </w:t>
      </w:r>
      <w:r w:rsidR="000D6929">
        <w:rPr>
          <w:b/>
        </w:rPr>
        <w:t>r</w:t>
      </w:r>
      <w:r w:rsidRPr="009F7E0B">
        <w:rPr>
          <w:b/>
        </w:rPr>
        <w:t xml:space="preserve">equirements </w:t>
      </w:r>
    </w:p>
    <w:p w14:paraId="66B9F8E4" w14:textId="2779A3FE" w:rsidR="005F4461" w:rsidRPr="009F7E0B" w:rsidRDefault="005F4461" w:rsidP="005F4461">
      <w:pPr>
        <w:pStyle w:val="Default"/>
        <w:spacing w:after="120"/>
        <w:rPr>
          <w:rFonts w:ascii="Calibri" w:hAnsi="Calibri"/>
          <w:sz w:val="22"/>
          <w:szCs w:val="22"/>
        </w:rPr>
      </w:pPr>
      <w:r w:rsidRPr="009F7E0B">
        <w:rPr>
          <w:rFonts w:ascii="Calibri" w:hAnsi="Calibri"/>
          <w:sz w:val="22"/>
          <w:szCs w:val="22"/>
        </w:rPr>
        <w:t xml:space="preserve">In accordance with the requirements of the </w:t>
      </w:r>
      <w:r w:rsidR="00B93E8D">
        <w:rPr>
          <w:rFonts w:ascii="Calibri" w:hAnsi="Calibri"/>
          <w:sz w:val="22"/>
          <w:szCs w:val="22"/>
        </w:rPr>
        <w:t>Annual Prudential Compliance Statement Guide to Audit 25/26</w:t>
      </w:r>
      <w:r w:rsidR="00B93E8D" w:rsidRPr="00FD2069">
        <w:rPr>
          <w:rFonts w:ascii="Calibri" w:hAnsi="Calibri"/>
          <w:iCs/>
          <w:sz w:val="22"/>
          <w:szCs w:val="22"/>
          <w:highlight w:val="yellow"/>
        </w:rPr>
        <w:t xml:space="preserve"> </w:t>
      </w:r>
      <w:r w:rsidR="00B93E8D" w:rsidRPr="006D76E9">
        <w:rPr>
          <w:rFonts w:ascii="Calibri" w:hAnsi="Calibri"/>
          <w:sz w:val="22"/>
          <w:szCs w:val="22"/>
        </w:rPr>
        <w:t>(the Guide)</w:t>
      </w:r>
      <w:r w:rsidR="00B93E8D">
        <w:rPr>
          <w:rFonts w:ascii="Calibri" w:hAnsi="Calibri"/>
          <w:sz w:val="22"/>
        </w:rPr>
        <w:t xml:space="preserve"> </w:t>
      </w:r>
      <w:r w:rsidRPr="009F7E0B">
        <w:rPr>
          <w:rFonts w:ascii="Calibri" w:hAnsi="Calibri"/>
          <w:sz w:val="22"/>
          <w:szCs w:val="22"/>
        </w:rPr>
        <w:t xml:space="preserve">we are required to report all instances of non-compliance with the requirements of the </w:t>
      </w:r>
      <w:r w:rsidR="009F5C57">
        <w:rPr>
          <w:rFonts w:ascii="Calibri" w:hAnsi="Calibri"/>
          <w:sz w:val="22"/>
          <w:szCs w:val="22"/>
        </w:rPr>
        <w:t xml:space="preserve">new </w:t>
      </w:r>
      <w:r w:rsidRPr="009F7E0B">
        <w:rPr>
          <w:rFonts w:ascii="Calibri" w:hAnsi="Calibri"/>
          <w:sz w:val="22"/>
          <w:szCs w:val="22"/>
        </w:rPr>
        <w:t>Act</w:t>
      </w:r>
      <w:r w:rsidR="009F5C57">
        <w:rPr>
          <w:rFonts w:ascii="Calibri" w:hAnsi="Calibri"/>
          <w:sz w:val="22"/>
          <w:szCs w:val="22"/>
        </w:rPr>
        <w:t>, the Rules and the new Standards</w:t>
      </w:r>
      <w:r w:rsidR="006C3B3F">
        <w:rPr>
          <w:rFonts w:ascii="Calibri" w:hAnsi="Calibri"/>
          <w:bCs/>
          <w:iCs/>
          <w:sz w:val="22"/>
          <w:szCs w:val="22"/>
        </w:rPr>
        <w:t xml:space="preserve"> </w:t>
      </w:r>
      <w:r w:rsidRPr="009F7E0B">
        <w:rPr>
          <w:rFonts w:ascii="Calibri" w:hAnsi="Calibri"/>
          <w:sz w:val="22"/>
          <w:szCs w:val="22"/>
        </w:rPr>
        <w:t>by [</w:t>
      </w:r>
      <w:r w:rsidR="009F5C57">
        <w:rPr>
          <w:rFonts w:ascii="Calibri" w:hAnsi="Calibri"/>
          <w:b/>
          <w:sz w:val="22"/>
          <w:szCs w:val="22"/>
        </w:rPr>
        <w:t>registered</w:t>
      </w:r>
      <w:r w:rsidRPr="00520F2F">
        <w:rPr>
          <w:rFonts w:ascii="Calibri" w:hAnsi="Calibri"/>
          <w:b/>
          <w:sz w:val="22"/>
          <w:szCs w:val="22"/>
        </w:rPr>
        <w:t xml:space="preserve"> provider name</w:t>
      </w:r>
      <w:r w:rsidRPr="009F7E0B">
        <w:rPr>
          <w:rFonts w:ascii="Calibri" w:hAnsi="Calibri"/>
          <w:sz w:val="22"/>
          <w:szCs w:val="22"/>
        </w:rPr>
        <w:t xml:space="preserve">] that came to our attention during the course of our audit. </w:t>
      </w:r>
    </w:p>
    <w:p w14:paraId="6C966E5E" w14:textId="74C2BECC" w:rsidR="00386430" w:rsidRPr="009F7E0B" w:rsidRDefault="005F4461" w:rsidP="005F4461">
      <w:pPr>
        <w:pStyle w:val="Default"/>
        <w:spacing w:after="120"/>
        <w:rPr>
          <w:rFonts w:ascii="Calibri" w:hAnsi="Calibri"/>
          <w:sz w:val="22"/>
          <w:szCs w:val="22"/>
        </w:rPr>
      </w:pPr>
      <w:r w:rsidRPr="001E501D">
        <w:rPr>
          <w:rFonts w:ascii="Calibri" w:hAnsi="Calibri"/>
          <w:sz w:val="22"/>
          <w:szCs w:val="22"/>
        </w:rPr>
        <w:t xml:space="preserve">{Provide appropriate details of </w:t>
      </w:r>
      <w:r w:rsidRPr="001E501D">
        <w:rPr>
          <w:rFonts w:ascii="Calibri" w:hAnsi="Calibri"/>
          <w:sz w:val="22"/>
          <w:szCs w:val="22"/>
          <w:u w:val="single"/>
        </w:rPr>
        <w:t>all</w:t>
      </w:r>
      <w:r w:rsidRPr="001E501D">
        <w:rPr>
          <w:rFonts w:ascii="Calibri" w:hAnsi="Calibri"/>
          <w:sz w:val="22"/>
          <w:szCs w:val="22"/>
        </w:rPr>
        <w:t xml:space="preserve"> instances of non-compliance with prudential requirements by [</w:t>
      </w:r>
      <w:r w:rsidR="009F5C57" w:rsidRPr="001E501D">
        <w:rPr>
          <w:rStyle w:val="Strong"/>
        </w:rPr>
        <w:t>registered</w:t>
      </w:r>
      <w:r w:rsidRPr="001E501D">
        <w:rPr>
          <w:rStyle w:val="Strong"/>
        </w:rPr>
        <w:t xml:space="preserve"> provider name</w:t>
      </w:r>
      <w:r w:rsidRPr="001E501D">
        <w:rPr>
          <w:rFonts w:ascii="Calibri" w:hAnsi="Calibri"/>
          <w:sz w:val="22"/>
          <w:szCs w:val="22"/>
        </w:rPr>
        <w:t xml:space="preserve">] including </w:t>
      </w:r>
      <w:r w:rsidRPr="001E501D">
        <w:rPr>
          <w:rFonts w:ascii="Calibri" w:hAnsi="Calibri"/>
          <w:sz w:val="22"/>
          <w:szCs w:val="22"/>
          <w:u w:val="single"/>
        </w:rPr>
        <w:t>all</w:t>
      </w:r>
      <w:r w:rsidRPr="001E501D">
        <w:rPr>
          <w:rFonts w:ascii="Calibri" w:hAnsi="Calibri"/>
          <w:sz w:val="22"/>
          <w:szCs w:val="22"/>
        </w:rPr>
        <w:t xml:space="preserve"> those reported</w:t>
      </w:r>
      <w:r w:rsidR="009F5C57" w:rsidRPr="001E501D">
        <w:rPr>
          <w:rFonts w:ascii="Calibri" w:hAnsi="Calibri"/>
          <w:sz w:val="22"/>
          <w:szCs w:val="22"/>
        </w:rPr>
        <w:t xml:space="preserve"> </w:t>
      </w:r>
      <w:r w:rsidR="00AF0470" w:rsidRPr="001E501D">
        <w:rPr>
          <w:rFonts w:ascii="Calibri" w:hAnsi="Calibri"/>
          <w:sz w:val="22"/>
          <w:szCs w:val="22"/>
        </w:rPr>
        <w:t>in the A</w:t>
      </w:r>
      <w:r w:rsidR="00750CA3" w:rsidRPr="001E501D">
        <w:rPr>
          <w:rFonts w:ascii="Calibri" w:hAnsi="Calibri"/>
          <w:sz w:val="22"/>
          <w:szCs w:val="22"/>
        </w:rPr>
        <w:t>nnual Prudential Compliance Statement (A</w:t>
      </w:r>
      <w:r w:rsidR="00AF0470" w:rsidRPr="001E501D">
        <w:rPr>
          <w:rFonts w:ascii="Calibri" w:hAnsi="Calibri"/>
          <w:sz w:val="22"/>
          <w:szCs w:val="22"/>
        </w:rPr>
        <w:t>PCS</w:t>
      </w:r>
      <w:r w:rsidR="00750CA3" w:rsidRPr="001E501D">
        <w:rPr>
          <w:rFonts w:ascii="Calibri" w:hAnsi="Calibri"/>
          <w:sz w:val="22"/>
          <w:szCs w:val="22"/>
        </w:rPr>
        <w:t>)</w:t>
      </w:r>
      <w:r w:rsidR="006A7324" w:rsidRPr="001E501D">
        <w:rPr>
          <w:rFonts w:ascii="Calibri" w:hAnsi="Calibri"/>
          <w:sz w:val="22"/>
          <w:szCs w:val="22"/>
        </w:rPr>
        <w:t xml:space="preserve"> </w:t>
      </w:r>
      <w:r w:rsidRPr="001E501D">
        <w:rPr>
          <w:rFonts w:ascii="Calibri" w:hAnsi="Calibri"/>
          <w:sz w:val="22"/>
          <w:szCs w:val="22"/>
        </w:rPr>
        <w:t>by [</w:t>
      </w:r>
      <w:r w:rsidR="00AF0470" w:rsidRPr="001E501D">
        <w:rPr>
          <w:rStyle w:val="Strong"/>
        </w:rPr>
        <w:t>registered</w:t>
      </w:r>
      <w:r w:rsidRPr="001E501D">
        <w:rPr>
          <w:rStyle w:val="Strong"/>
        </w:rPr>
        <w:t xml:space="preserve"> provider name</w:t>
      </w:r>
      <w:r w:rsidRPr="001E501D">
        <w:rPr>
          <w:rFonts w:ascii="Calibri" w:hAnsi="Calibri"/>
          <w:sz w:val="22"/>
          <w:szCs w:val="22"/>
        </w:rPr>
        <w:t xml:space="preserve">]}. </w:t>
      </w:r>
    </w:p>
    <w:p w14:paraId="345FFA46" w14:textId="0E06C96A" w:rsidR="005F4461" w:rsidRPr="00F630C7" w:rsidRDefault="005F4461" w:rsidP="005F4461">
      <w:pPr>
        <w:pStyle w:val="Default"/>
        <w:spacing w:after="120"/>
        <w:rPr>
          <w:rFonts w:ascii="Calibri" w:hAnsi="Calibri"/>
          <w:sz w:val="22"/>
          <w:szCs w:val="22"/>
        </w:rPr>
      </w:pPr>
      <w:r w:rsidRPr="00F630C7">
        <w:rPr>
          <w:rFonts w:ascii="Calibri" w:hAnsi="Calibri"/>
          <w:sz w:val="22"/>
          <w:szCs w:val="22"/>
        </w:rPr>
        <w:t xml:space="preserve">Our opinion above, is not modified in respect of the following matter(s) because, in our opinion, it/they </w:t>
      </w:r>
      <w:proofErr w:type="gramStart"/>
      <w:r w:rsidRPr="00F630C7">
        <w:rPr>
          <w:rFonts w:ascii="Calibri" w:hAnsi="Calibri"/>
          <w:sz w:val="22"/>
          <w:szCs w:val="22"/>
        </w:rPr>
        <w:t>has</w:t>
      </w:r>
      <w:proofErr w:type="gramEnd"/>
      <w:r w:rsidRPr="00F630C7">
        <w:rPr>
          <w:rFonts w:ascii="Calibri" w:hAnsi="Calibri"/>
          <w:sz w:val="22"/>
          <w:szCs w:val="22"/>
        </w:rPr>
        <w:t>/have been appropriately addressed by [</w:t>
      </w:r>
      <w:r w:rsidR="001B7DA8" w:rsidRPr="00F630C7">
        <w:rPr>
          <w:rStyle w:val="Strong"/>
        </w:rPr>
        <w:t>registered</w:t>
      </w:r>
      <w:r w:rsidRPr="00F630C7">
        <w:rPr>
          <w:rStyle w:val="Strong"/>
        </w:rPr>
        <w:t xml:space="preserve"> provider name</w:t>
      </w:r>
      <w:r w:rsidRPr="00F630C7">
        <w:rPr>
          <w:rFonts w:ascii="Calibri" w:hAnsi="Calibri"/>
          <w:sz w:val="22"/>
          <w:szCs w:val="22"/>
        </w:rPr>
        <w:t xml:space="preserve">] and is/are not considered material, either individually, or taken as a whole, in the context of the engagement: </w:t>
      </w:r>
    </w:p>
    <w:p w14:paraId="61112585" w14:textId="7910A7E4" w:rsidR="005F4461" w:rsidRPr="006D76E9" w:rsidRDefault="79A1E6C6" w:rsidP="6ED7CA86">
      <w:pPr>
        <w:pStyle w:val="Default"/>
        <w:numPr>
          <w:ilvl w:val="0"/>
          <w:numId w:val="1"/>
        </w:numPr>
        <w:spacing w:after="120"/>
        <w:ind w:left="426" w:hanging="426"/>
        <w:rPr>
          <w:rFonts w:ascii="Calibri" w:hAnsi="Calibri"/>
          <w:i/>
          <w:iCs/>
          <w:sz w:val="22"/>
          <w:szCs w:val="22"/>
        </w:rPr>
      </w:pPr>
      <w:r w:rsidRPr="6ED7CA86">
        <w:rPr>
          <w:rFonts w:ascii="Calibri" w:hAnsi="Calibri"/>
          <w:i/>
          <w:iCs/>
          <w:sz w:val="22"/>
          <w:szCs w:val="22"/>
        </w:rPr>
        <w:t>{</w:t>
      </w:r>
      <w:r w:rsidR="75BC08D4" w:rsidRPr="6ED7CA86">
        <w:rPr>
          <w:rFonts w:ascii="Calibri" w:hAnsi="Calibri"/>
          <w:i/>
          <w:iCs/>
          <w:sz w:val="22"/>
          <w:szCs w:val="22"/>
        </w:rPr>
        <w:t>E</w:t>
      </w:r>
      <w:r w:rsidR="6935B213" w:rsidRPr="6ED7CA86">
        <w:rPr>
          <w:rFonts w:ascii="Calibri" w:hAnsi="Calibri"/>
          <w:i/>
          <w:iCs/>
          <w:sz w:val="22"/>
          <w:szCs w:val="22"/>
        </w:rPr>
        <w:t>xample</w:t>
      </w:r>
      <w:r w:rsidRPr="6ED7CA86">
        <w:rPr>
          <w:rFonts w:ascii="Calibri" w:hAnsi="Calibri"/>
          <w:i/>
          <w:iCs/>
          <w:sz w:val="22"/>
          <w:szCs w:val="22"/>
        </w:rPr>
        <w:t>}</w:t>
      </w:r>
      <w:r w:rsidR="6935B213" w:rsidRPr="6ED7CA86">
        <w:rPr>
          <w:rFonts w:ascii="Calibri" w:hAnsi="Calibri"/>
          <w:i/>
          <w:iCs/>
          <w:sz w:val="22"/>
          <w:szCs w:val="22"/>
        </w:rPr>
        <w:t xml:space="preserve"> </w:t>
      </w:r>
      <w:r w:rsidR="127EFF41" w:rsidRPr="006D76E9">
        <w:rPr>
          <w:rFonts w:ascii="Calibri" w:hAnsi="Calibri"/>
          <w:i/>
          <w:iCs/>
          <w:sz w:val="22"/>
          <w:szCs w:val="22"/>
        </w:rPr>
        <w:t xml:space="preserve">The </w:t>
      </w:r>
      <w:r w:rsidR="7315DD99" w:rsidRPr="006D76E9">
        <w:rPr>
          <w:rFonts w:ascii="Calibri" w:hAnsi="Calibri"/>
          <w:i/>
          <w:iCs/>
          <w:sz w:val="22"/>
          <w:szCs w:val="22"/>
        </w:rPr>
        <w:t>registered</w:t>
      </w:r>
      <w:r w:rsidR="127EFF41" w:rsidRPr="006D76E9">
        <w:rPr>
          <w:rFonts w:ascii="Calibri" w:hAnsi="Calibri"/>
          <w:i/>
          <w:iCs/>
          <w:sz w:val="22"/>
          <w:szCs w:val="22"/>
        </w:rPr>
        <w:t xml:space="preserve"> provider failed to refund 1 refundable deposit within the legislated timeframe. </w:t>
      </w:r>
    </w:p>
    <w:p w14:paraId="69D95434" w14:textId="32D386DA" w:rsidR="005F4461" w:rsidRPr="006D76E9" w:rsidRDefault="2323F62D" w:rsidP="00FC62C4">
      <w:pPr>
        <w:pStyle w:val="Default"/>
        <w:numPr>
          <w:ilvl w:val="0"/>
          <w:numId w:val="1"/>
        </w:numPr>
        <w:spacing w:after="120"/>
        <w:ind w:left="426" w:hanging="426"/>
        <w:rPr>
          <w:rFonts w:ascii="Calibri" w:hAnsi="Calibri"/>
          <w:i/>
          <w:iCs/>
          <w:sz w:val="22"/>
          <w:szCs w:val="22"/>
        </w:rPr>
      </w:pPr>
      <w:r w:rsidRPr="006D76E9">
        <w:rPr>
          <w:rFonts w:ascii="Calibri" w:hAnsi="Calibri"/>
          <w:i/>
          <w:iCs/>
          <w:sz w:val="22"/>
          <w:szCs w:val="22"/>
        </w:rPr>
        <w:t>...</w:t>
      </w:r>
    </w:p>
    <w:p w14:paraId="51803684" w14:textId="0C8A101D" w:rsidR="00D92B22" w:rsidRPr="009F7E0B" w:rsidRDefault="00D92B22" w:rsidP="00840644">
      <w:pPr>
        <w:pStyle w:val="Heading2"/>
        <w:rPr>
          <w:b/>
        </w:rPr>
      </w:pPr>
      <w:r w:rsidRPr="009F7E0B">
        <w:rPr>
          <w:b/>
        </w:rPr>
        <w:t>Directors’ [Responsible Party]’s</w:t>
      </w:r>
      <w:r w:rsidRPr="009F7E0B">
        <w:rPr>
          <w:rFonts w:cs="Cambria"/>
          <w:b/>
          <w:color w:val="3D3D3D"/>
        </w:rPr>
        <w:t xml:space="preserve"> </w:t>
      </w:r>
      <w:r w:rsidR="000D6929">
        <w:rPr>
          <w:b/>
        </w:rPr>
        <w:t>r</w:t>
      </w:r>
      <w:r w:rsidRPr="009F7E0B">
        <w:rPr>
          <w:b/>
        </w:rPr>
        <w:t xml:space="preserve">esponsibility </w:t>
      </w:r>
    </w:p>
    <w:p w14:paraId="3EB847CF" w14:textId="25CB7769" w:rsidR="00D92B22" w:rsidRPr="009F7E0B" w:rsidRDefault="00D92B22" w:rsidP="00FC62C4">
      <w:pPr>
        <w:pStyle w:val="Default"/>
        <w:spacing w:after="120"/>
        <w:rPr>
          <w:rFonts w:ascii="Calibri" w:hAnsi="Calibri"/>
          <w:sz w:val="22"/>
          <w:szCs w:val="22"/>
        </w:rPr>
      </w:pPr>
      <w:r w:rsidRPr="009F7E0B">
        <w:rPr>
          <w:rFonts w:ascii="Calibri" w:hAnsi="Calibri"/>
          <w:sz w:val="22"/>
          <w:szCs w:val="22"/>
        </w:rPr>
        <w:t xml:space="preserve">The </w:t>
      </w:r>
      <w:r w:rsidR="00EC7A96" w:rsidRPr="009F7E0B">
        <w:rPr>
          <w:rFonts w:ascii="Calibri" w:hAnsi="Calibri"/>
          <w:sz w:val="22"/>
          <w:szCs w:val="22"/>
        </w:rPr>
        <w:t>d</w:t>
      </w:r>
      <w:r w:rsidRPr="009F7E0B">
        <w:rPr>
          <w:rFonts w:ascii="Calibri" w:hAnsi="Calibri"/>
          <w:sz w:val="22"/>
          <w:szCs w:val="22"/>
        </w:rPr>
        <w:t>irectors [</w:t>
      </w:r>
      <w:r w:rsidRPr="00520F2F">
        <w:rPr>
          <w:rFonts w:ascii="Calibri" w:hAnsi="Calibri"/>
          <w:b/>
          <w:sz w:val="22"/>
          <w:szCs w:val="22"/>
        </w:rPr>
        <w:t>Responsible Party</w:t>
      </w:r>
      <w:r w:rsidRPr="009F7E0B">
        <w:rPr>
          <w:rFonts w:ascii="Calibri" w:hAnsi="Calibri"/>
          <w:sz w:val="22"/>
          <w:szCs w:val="22"/>
        </w:rPr>
        <w:t>] of [</w:t>
      </w:r>
      <w:r w:rsidR="00896BD2">
        <w:rPr>
          <w:rFonts w:ascii="Calibri" w:hAnsi="Calibri"/>
          <w:b/>
          <w:sz w:val="22"/>
          <w:szCs w:val="22"/>
        </w:rPr>
        <w:t xml:space="preserve">registered </w:t>
      </w:r>
      <w:r w:rsidRPr="00520F2F">
        <w:rPr>
          <w:rFonts w:ascii="Calibri" w:hAnsi="Calibri"/>
          <w:b/>
          <w:sz w:val="22"/>
          <w:szCs w:val="22"/>
        </w:rPr>
        <w:t>provider name</w:t>
      </w:r>
      <w:r w:rsidRPr="009F7E0B">
        <w:rPr>
          <w:rFonts w:ascii="Calibri" w:hAnsi="Calibri"/>
          <w:sz w:val="22"/>
          <w:szCs w:val="22"/>
        </w:rPr>
        <w:t>] are/is responsible for compliance with the</w:t>
      </w:r>
      <w:r w:rsidR="005A7704">
        <w:rPr>
          <w:rFonts w:ascii="Calibri" w:hAnsi="Calibri"/>
          <w:sz w:val="22"/>
          <w:szCs w:val="22"/>
        </w:rPr>
        <w:t xml:space="preserve"> new</w:t>
      </w:r>
      <w:r w:rsidRPr="009F7E0B">
        <w:rPr>
          <w:rFonts w:ascii="Calibri" w:hAnsi="Calibri"/>
          <w:sz w:val="22"/>
          <w:szCs w:val="22"/>
        </w:rPr>
        <w:t xml:space="preserve"> Act</w:t>
      </w:r>
      <w:r w:rsidR="005A7704">
        <w:rPr>
          <w:rFonts w:ascii="Calibri" w:hAnsi="Calibri"/>
          <w:sz w:val="22"/>
          <w:szCs w:val="22"/>
        </w:rPr>
        <w:t>, the Rules and the new Standards</w:t>
      </w:r>
      <w:r w:rsidR="00AA2C1C" w:rsidRPr="00520F2F">
        <w:rPr>
          <w:rFonts w:ascii="Calibri" w:hAnsi="Calibri"/>
          <w:color w:val="auto"/>
          <w:sz w:val="22"/>
          <w:szCs w:val="22"/>
        </w:rPr>
        <w:t xml:space="preserve"> </w:t>
      </w:r>
      <w:r w:rsidRPr="009F7E0B">
        <w:rPr>
          <w:rFonts w:ascii="Calibri" w:hAnsi="Calibri"/>
          <w:sz w:val="22"/>
          <w:szCs w:val="22"/>
        </w:rPr>
        <w:t>and for such internal control as the directors [</w:t>
      </w:r>
      <w:r w:rsidRPr="00520F2F">
        <w:rPr>
          <w:rFonts w:ascii="Calibri" w:hAnsi="Calibri"/>
          <w:b/>
          <w:sz w:val="22"/>
          <w:szCs w:val="22"/>
        </w:rPr>
        <w:t>Responsible Party</w:t>
      </w:r>
      <w:r w:rsidRPr="009F7E0B">
        <w:rPr>
          <w:rFonts w:ascii="Calibri" w:hAnsi="Calibri"/>
          <w:sz w:val="22"/>
          <w:szCs w:val="22"/>
        </w:rPr>
        <w:t xml:space="preserve">] determine is necessary for compliance with the </w:t>
      </w:r>
      <w:r w:rsidR="000E58B2">
        <w:rPr>
          <w:rFonts w:ascii="Calibri" w:hAnsi="Calibri"/>
          <w:sz w:val="22"/>
          <w:szCs w:val="22"/>
        </w:rPr>
        <w:t xml:space="preserve">new </w:t>
      </w:r>
      <w:r w:rsidRPr="009F7E0B">
        <w:rPr>
          <w:rFonts w:ascii="Calibri" w:hAnsi="Calibri"/>
          <w:sz w:val="22"/>
          <w:szCs w:val="22"/>
        </w:rPr>
        <w:t>Act</w:t>
      </w:r>
      <w:r w:rsidR="000E58B2">
        <w:rPr>
          <w:rFonts w:ascii="Calibri" w:hAnsi="Calibri"/>
          <w:sz w:val="22"/>
          <w:szCs w:val="22"/>
        </w:rPr>
        <w:t>, the Rules and the new Standards</w:t>
      </w:r>
      <w:r w:rsidRPr="009F7E0B">
        <w:rPr>
          <w:rFonts w:ascii="Calibri" w:hAnsi="Calibri"/>
          <w:sz w:val="22"/>
          <w:szCs w:val="22"/>
        </w:rPr>
        <w:t xml:space="preserve">. The responsibilities of the </w:t>
      </w:r>
      <w:r w:rsidR="00EC7A96" w:rsidRPr="009F7E0B">
        <w:rPr>
          <w:rFonts w:ascii="Calibri" w:hAnsi="Calibri"/>
          <w:sz w:val="22"/>
          <w:szCs w:val="22"/>
        </w:rPr>
        <w:t>d</w:t>
      </w:r>
      <w:r w:rsidRPr="009F7E0B">
        <w:rPr>
          <w:rFonts w:ascii="Calibri" w:hAnsi="Calibri"/>
          <w:sz w:val="22"/>
          <w:szCs w:val="22"/>
        </w:rPr>
        <w:t>irectors [</w:t>
      </w:r>
      <w:r w:rsidRPr="00520F2F">
        <w:rPr>
          <w:rFonts w:ascii="Calibri" w:hAnsi="Calibri"/>
          <w:b/>
          <w:sz w:val="22"/>
          <w:szCs w:val="22"/>
        </w:rPr>
        <w:t>Responsible Party</w:t>
      </w:r>
      <w:r w:rsidRPr="009F7E0B">
        <w:rPr>
          <w:rFonts w:ascii="Calibri" w:hAnsi="Calibri"/>
          <w:sz w:val="22"/>
          <w:szCs w:val="22"/>
        </w:rPr>
        <w:t>] include requirements under the</w:t>
      </w:r>
      <w:r w:rsidR="00263B56">
        <w:rPr>
          <w:rFonts w:ascii="Calibri" w:hAnsi="Calibri"/>
          <w:sz w:val="22"/>
          <w:szCs w:val="22"/>
        </w:rPr>
        <w:t xml:space="preserve"> new</w:t>
      </w:r>
      <w:r w:rsidRPr="009F7E0B">
        <w:rPr>
          <w:rFonts w:ascii="Calibri" w:hAnsi="Calibri"/>
          <w:sz w:val="22"/>
          <w:szCs w:val="22"/>
        </w:rPr>
        <w:t xml:space="preserve"> Act and the </w:t>
      </w:r>
      <w:r w:rsidR="00263B56">
        <w:rPr>
          <w:rFonts w:ascii="Calibri" w:hAnsi="Calibri"/>
          <w:sz w:val="22"/>
          <w:szCs w:val="22"/>
        </w:rPr>
        <w:t xml:space="preserve">Rules </w:t>
      </w:r>
      <w:r w:rsidRPr="009F7E0B">
        <w:rPr>
          <w:rFonts w:ascii="Calibri" w:hAnsi="Calibri"/>
          <w:sz w:val="22"/>
          <w:szCs w:val="22"/>
        </w:rPr>
        <w:t xml:space="preserve">for the preparation and presentation of the APCS and compliance with the </w:t>
      </w:r>
      <w:r w:rsidR="00A64E0E">
        <w:rPr>
          <w:rFonts w:ascii="Calibri" w:hAnsi="Calibri"/>
          <w:sz w:val="22"/>
          <w:szCs w:val="22"/>
        </w:rPr>
        <w:t>new Act, the Rules and th</w:t>
      </w:r>
      <w:r w:rsidR="004472C7">
        <w:rPr>
          <w:rFonts w:ascii="Calibri" w:hAnsi="Calibri"/>
          <w:sz w:val="22"/>
          <w:szCs w:val="22"/>
        </w:rPr>
        <w:t>e new Standards.</w:t>
      </w:r>
      <w:r w:rsidR="00653330">
        <w:rPr>
          <w:rFonts w:ascii="Calibri" w:hAnsi="Calibri"/>
          <w:sz w:val="22"/>
          <w:szCs w:val="22"/>
        </w:rPr>
        <w:t xml:space="preserve"> </w:t>
      </w:r>
    </w:p>
    <w:p w14:paraId="3EA7B295" w14:textId="2798E1B5" w:rsidR="00D92B22" w:rsidRPr="009F7E0B" w:rsidRDefault="00D92B22" w:rsidP="00840644">
      <w:pPr>
        <w:pStyle w:val="Heading2"/>
        <w:rPr>
          <w:b/>
        </w:rPr>
      </w:pPr>
      <w:r w:rsidRPr="009F7E0B">
        <w:rPr>
          <w:b/>
        </w:rPr>
        <w:t xml:space="preserve">Auditor’s </w:t>
      </w:r>
      <w:r w:rsidR="000D6929">
        <w:rPr>
          <w:b/>
        </w:rPr>
        <w:t>r</w:t>
      </w:r>
      <w:r w:rsidRPr="009F7E0B">
        <w:rPr>
          <w:b/>
        </w:rPr>
        <w:t xml:space="preserve">esponsibility </w:t>
      </w:r>
    </w:p>
    <w:p w14:paraId="54220709" w14:textId="77777777" w:rsidR="00284375" w:rsidRPr="0031644F" w:rsidRDefault="00284375" w:rsidP="00284375">
      <w:pPr>
        <w:spacing w:after="120" w:line="240" w:lineRule="auto"/>
        <w:rPr>
          <w:rFonts w:ascii="Calibri" w:hAnsi="Calibri"/>
          <w:sz w:val="22"/>
        </w:rPr>
      </w:pPr>
      <w:r w:rsidRPr="0031644F">
        <w:rPr>
          <w:rFonts w:ascii="Calibri" w:hAnsi="Calibri"/>
          <w:sz w:val="22"/>
        </w:rPr>
        <w:t>Our responsibility is to form and express an opinion on [</w:t>
      </w:r>
      <w:r>
        <w:rPr>
          <w:rStyle w:val="Strong"/>
        </w:rPr>
        <w:t>registered</w:t>
      </w:r>
      <w:r w:rsidRPr="003C12D4">
        <w:rPr>
          <w:rStyle w:val="Strong"/>
        </w:rPr>
        <w:t xml:space="preserve"> provider name</w:t>
      </w:r>
      <w:r w:rsidRPr="0031644F">
        <w:rPr>
          <w:rFonts w:ascii="Calibri" w:hAnsi="Calibri"/>
          <w:sz w:val="22"/>
        </w:rPr>
        <w:t>]’s compliance</w:t>
      </w:r>
      <w:r>
        <w:rPr>
          <w:rFonts w:ascii="Calibri" w:hAnsi="Calibri"/>
          <w:sz w:val="22"/>
        </w:rPr>
        <w:t xml:space="preserve">, in all material respects, with the prudential requirements of the new Act, the Rules and the new Standards. </w:t>
      </w:r>
      <w:r w:rsidRPr="0031644F">
        <w:rPr>
          <w:rFonts w:ascii="Calibri" w:hAnsi="Calibri"/>
          <w:sz w:val="22"/>
        </w:rPr>
        <w:t xml:space="preserve"> </w:t>
      </w:r>
    </w:p>
    <w:p w14:paraId="7AD39842" w14:textId="1EF506A7" w:rsidR="00D92B22" w:rsidRPr="009F7E0B" w:rsidRDefault="00D92B22" w:rsidP="00FC62C4">
      <w:pPr>
        <w:pStyle w:val="Default"/>
        <w:spacing w:after="120"/>
        <w:rPr>
          <w:rFonts w:ascii="Calibri" w:hAnsi="Calibri"/>
          <w:sz w:val="22"/>
          <w:szCs w:val="22"/>
        </w:rPr>
      </w:pPr>
      <w:r w:rsidRPr="009F7E0B">
        <w:rPr>
          <w:rFonts w:ascii="Calibri" w:hAnsi="Calibri"/>
          <w:sz w:val="22"/>
          <w:szCs w:val="22"/>
        </w:rPr>
        <w:t xml:space="preserve">Our audit has been conducted in accordance with the applicable Standards on Assurance Engagements (ASAE 3100 </w:t>
      </w:r>
      <w:r w:rsidRPr="000D6929">
        <w:rPr>
          <w:rFonts w:ascii="Calibri" w:hAnsi="Calibri"/>
          <w:iCs/>
          <w:sz w:val="22"/>
          <w:szCs w:val="22"/>
        </w:rPr>
        <w:t>Compliance Engagements</w:t>
      </w:r>
      <w:r w:rsidRPr="009F7E0B">
        <w:rPr>
          <w:rFonts w:ascii="Calibri" w:hAnsi="Calibri"/>
          <w:sz w:val="22"/>
          <w:szCs w:val="22"/>
        </w:rPr>
        <w:t xml:space="preserve">), issued by the Auditing and Assurance Standards Board and with the requirements of </w:t>
      </w:r>
      <w:r w:rsidR="006A7324" w:rsidRPr="006A7324">
        <w:rPr>
          <w:rFonts w:ascii="Calibri" w:hAnsi="Calibri"/>
          <w:sz w:val="22"/>
          <w:szCs w:val="22"/>
        </w:rPr>
        <w:t xml:space="preserve">the </w:t>
      </w:r>
      <w:r w:rsidR="004A088D">
        <w:rPr>
          <w:rFonts w:ascii="Calibri" w:hAnsi="Calibri"/>
          <w:sz w:val="22"/>
          <w:szCs w:val="22"/>
        </w:rPr>
        <w:t>Department of Health, Disability and Ageing</w:t>
      </w:r>
      <w:r w:rsidR="006A7324" w:rsidRPr="006A7324">
        <w:rPr>
          <w:rFonts w:ascii="Calibri" w:hAnsi="Calibri"/>
          <w:sz w:val="22"/>
          <w:szCs w:val="22"/>
        </w:rPr>
        <w:t xml:space="preserve"> </w:t>
      </w:r>
      <w:r w:rsidRPr="009F7E0B">
        <w:rPr>
          <w:rFonts w:ascii="Calibri" w:hAnsi="Calibri"/>
          <w:sz w:val="22"/>
          <w:szCs w:val="22"/>
        </w:rPr>
        <w:t xml:space="preserve">as set out in the </w:t>
      </w:r>
      <w:r w:rsidR="008B4EA7" w:rsidRPr="009F7E0B">
        <w:rPr>
          <w:rFonts w:ascii="Calibri" w:hAnsi="Calibri"/>
          <w:iCs/>
          <w:sz w:val="22"/>
          <w:szCs w:val="22"/>
        </w:rPr>
        <w:t>Guide.</w:t>
      </w:r>
      <w:r w:rsidRPr="009F7E0B">
        <w:rPr>
          <w:rFonts w:ascii="Calibri" w:hAnsi="Calibri"/>
          <w:sz w:val="22"/>
          <w:szCs w:val="22"/>
        </w:rPr>
        <w:t xml:space="preserve"> Our audit has been conducted to prov</w:t>
      </w:r>
      <w:r w:rsidR="00D81112">
        <w:rPr>
          <w:rFonts w:ascii="Calibri" w:hAnsi="Calibri"/>
          <w:sz w:val="22"/>
          <w:szCs w:val="22"/>
        </w:rPr>
        <w:t xml:space="preserve">ide reasonable </w:t>
      </w:r>
      <w:r w:rsidR="00D81112" w:rsidRPr="0047090A">
        <w:rPr>
          <w:rFonts w:ascii="Calibri" w:hAnsi="Calibri"/>
          <w:sz w:val="22"/>
          <w:szCs w:val="22"/>
        </w:rPr>
        <w:t xml:space="preserve">assurance that </w:t>
      </w:r>
      <w:r w:rsidRPr="0047090A">
        <w:rPr>
          <w:rFonts w:ascii="Calibri" w:hAnsi="Calibri"/>
          <w:sz w:val="22"/>
          <w:szCs w:val="22"/>
        </w:rPr>
        <w:t>[</w:t>
      </w:r>
      <w:r w:rsidR="00284375">
        <w:rPr>
          <w:rStyle w:val="Strong"/>
        </w:rPr>
        <w:t>registered</w:t>
      </w:r>
      <w:r w:rsidRPr="00653330">
        <w:rPr>
          <w:rStyle w:val="Strong"/>
        </w:rPr>
        <w:t xml:space="preserve"> provider name</w:t>
      </w:r>
      <w:r w:rsidRPr="0047090A">
        <w:rPr>
          <w:rFonts w:ascii="Calibri" w:hAnsi="Calibri"/>
          <w:sz w:val="22"/>
          <w:szCs w:val="22"/>
        </w:rPr>
        <w:t xml:space="preserve">] </w:t>
      </w:r>
      <w:r w:rsidR="00936D79" w:rsidRPr="0031644F">
        <w:rPr>
          <w:rFonts w:ascii="Calibri" w:hAnsi="Calibri"/>
          <w:sz w:val="22"/>
        </w:rPr>
        <w:t xml:space="preserve">has complied with the requirements of </w:t>
      </w:r>
      <w:r w:rsidR="00936D79">
        <w:rPr>
          <w:rFonts w:ascii="Calibri" w:hAnsi="Calibri"/>
          <w:sz w:val="22"/>
        </w:rPr>
        <w:t xml:space="preserve">the new Standards, </w:t>
      </w:r>
      <w:r w:rsidR="00936D79" w:rsidRPr="000771C1">
        <w:rPr>
          <w:rFonts w:ascii="Calibri" w:hAnsi="Calibri"/>
          <w:sz w:val="22"/>
        </w:rPr>
        <w:t>section 150A of the new Act, sections 155-30, 155-35 and 166-360 to 166-385 of the Rules</w:t>
      </w:r>
      <w:r w:rsidR="00936D79" w:rsidRPr="0031644F">
        <w:rPr>
          <w:rFonts w:ascii="Calibri" w:hAnsi="Calibri"/>
          <w:sz w:val="22"/>
        </w:rPr>
        <w:t xml:space="preserve">. ASAE 3100 requires that we comply with relevant ethical requirements.  </w:t>
      </w:r>
    </w:p>
    <w:p w14:paraId="324BC0E2" w14:textId="788E5246" w:rsidR="00520462" w:rsidRDefault="00F00204" w:rsidP="00F00204">
      <w:pPr>
        <w:spacing w:after="120" w:line="240" w:lineRule="auto"/>
        <w:rPr>
          <w:rFonts w:ascii="Calibri" w:hAnsi="Calibri"/>
          <w:sz w:val="22"/>
        </w:rPr>
      </w:pPr>
      <w:r w:rsidRPr="0031644F">
        <w:rPr>
          <w:rFonts w:ascii="Calibri" w:hAnsi="Calibri"/>
          <w:sz w:val="22"/>
        </w:rPr>
        <w:lastRenderedPageBreak/>
        <w:t>Audit procedures selected depend on the auditor’s judgement.  The auditor designs procedures that are appropriate in the circumstances and incorporate the audit scope requirements set out in the Guide.  The audit procedures have been undertaken to form an opinion on compliance of [</w:t>
      </w:r>
      <w:r w:rsidRPr="002A79EC">
        <w:rPr>
          <w:rFonts w:ascii="Calibri" w:hAnsi="Calibri"/>
          <w:b/>
          <w:bCs/>
          <w:sz w:val="22"/>
        </w:rPr>
        <w:t>registered</w:t>
      </w:r>
      <w:r w:rsidRPr="00922DCB">
        <w:rPr>
          <w:rFonts w:ascii="Calibri" w:hAnsi="Calibri"/>
          <w:b/>
          <w:sz w:val="22"/>
        </w:rPr>
        <w:t xml:space="preserve"> provider name</w:t>
      </w:r>
      <w:r w:rsidRPr="0031644F">
        <w:rPr>
          <w:rFonts w:ascii="Calibri" w:hAnsi="Calibri"/>
          <w:sz w:val="22"/>
        </w:rPr>
        <w:t xml:space="preserve">] </w:t>
      </w:r>
      <w:r>
        <w:rPr>
          <w:rFonts w:ascii="Calibri" w:hAnsi="Calibri"/>
          <w:sz w:val="22"/>
        </w:rPr>
        <w:t xml:space="preserve">with </w:t>
      </w:r>
      <w:r>
        <w:rPr>
          <w:rFonts w:ascii="Calibri" w:hAnsi="Calibri" w:cs="Times New Roman"/>
          <w:color w:val="000000"/>
          <w:sz w:val="22"/>
        </w:rPr>
        <w:t xml:space="preserve">the new Standards, </w:t>
      </w:r>
      <w:r w:rsidRPr="000771C1">
        <w:rPr>
          <w:rFonts w:ascii="Calibri" w:hAnsi="Calibri" w:cs="Times New Roman"/>
          <w:color w:val="000000"/>
          <w:sz w:val="22"/>
        </w:rPr>
        <w:t>section 150A of the new Act, sections 155-30, 155-35 and 166-360 to 166-385 of the Rules</w:t>
      </w:r>
      <w:r w:rsidRPr="0031644F">
        <w:rPr>
          <w:rFonts w:ascii="Calibri" w:hAnsi="Calibri"/>
          <w:sz w:val="22"/>
        </w:rPr>
        <w:t xml:space="preserve">.  </w:t>
      </w:r>
    </w:p>
    <w:p w14:paraId="5610A2FB" w14:textId="77777777" w:rsidR="00A61F2F" w:rsidRPr="006E1A6F" w:rsidRDefault="00A61F2F" w:rsidP="00A61F2F">
      <w:pPr>
        <w:spacing w:after="120" w:line="240" w:lineRule="auto"/>
        <w:rPr>
          <w:rFonts w:ascii="Calibri" w:hAnsi="Calibri"/>
          <w:sz w:val="22"/>
        </w:rPr>
      </w:pPr>
      <w:r w:rsidRPr="006E1A6F">
        <w:rPr>
          <w:rFonts w:ascii="Calibri" w:hAnsi="Calibri"/>
          <w:sz w:val="22"/>
        </w:rPr>
        <w:t>Audit procedures included obtaining evidence to assess the registered provider's compliance with requirements relating to refundable deposits, accommodation bonds and entry contributions held, and the charging of individuals. These procedures included testing compliance with requirements relating to:</w:t>
      </w:r>
    </w:p>
    <w:p w14:paraId="57494E66" w14:textId="77777777" w:rsidR="00A61F2F" w:rsidRPr="006E1A6F" w:rsidRDefault="00A61F2F" w:rsidP="00A61F2F">
      <w:pPr>
        <w:numPr>
          <w:ilvl w:val="0"/>
          <w:numId w:val="3"/>
        </w:numPr>
        <w:spacing w:after="0" w:line="240" w:lineRule="auto"/>
        <w:rPr>
          <w:rFonts w:ascii="Calibri" w:hAnsi="Calibri"/>
          <w:sz w:val="22"/>
        </w:rPr>
      </w:pPr>
      <w:r w:rsidRPr="006E1A6F">
        <w:rPr>
          <w:rFonts w:ascii="Calibri" w:hAnsi="Calibri"/>
          <w:sz w:val="22"/>
        </w:rPr>
        <w:t>the refund of refundable deposits, accommodation bond balances and entry contribution balances</w:t>
      </w:r>
    </w:p>
    <w:p w14:paraId="32518961" w14:textId="77777777" w:rsidR="00A61F2F" w:rsidRPr="006E1A6F" w:rsidRDefault="00A61F2F" w:rsidP="00A61F2F">
      <w:pPr>
        <w:numPr>
          <w:ilvl w:val="0"/>
          <w:numId w:val="3"/>
        </w:numPr>
        <w:spacing w:after="0" w:line="240" w:lineRule="auto"/>
        <w:rPr>
          <w:rFonts w:ascii="Calibri" w:hAnsi="Calibri"/>
          <w:sz w:val="22"/>
        </w:rPr>
      </w:pPr>
      <w:r w:rsidRPr="006E1A6F">
        <w:rPr>
          <w:rFonts w:ascii="Calibri" w:hAnsi="Calibri"/>
          <w:sz w:val="22"/>
        </w:rPr>
        <w:t>the charging of daily payments, refundable deposits and fees</w:t>
      </w:r>
    </w:p>
    <w:p w14:paraId="7D101E68" w14:textId="77777777" w:rsidR="00A61F2F" w:rsidRPr="006E1A6F" w:rsidRDefault="00A61F2F" w:rsidP="00A61F2F">
      <w:pPr>
        <w:numPr>
          <w:ilvl w:val="0"/>
          <w:numId w:val="3"/>
        </w:numPr>
        <w:spacing w:after="0" w:line="240" w:lineRule="auto"/>
        <w:rPr>
          <w:rFonts w:ascii="Calibri" w:hAnsi="Calibri"/>
          <w:sz w:val="22"/>
        </w:rPr>
      </w:pPr>
      <w:r w:rsidRPr="006E1A6F">
        <w:rPr>
          <w:rFonts w:ascii="Calibri" w:hAnsi="Calibri"/>
          <w:sz w:val="22"/>
        </w:rPr>
        <w:t>the refund of overpaid accommodation payments and accommodation contributions</w:t>
      </w:r>
    </w:p>
    <w:p w14:paraId="6E6B899E" w14:textId="77777777" w:rsidR="00A61F2F" w:rsidRPr="006E1A6F" w:rsidRDefault="00A61F2F" w:rsidP="00A61F2F">
      <w:pPr>
        <w:numPr>
          <w:ilvl w:val="0"/>
          <w:numId w:val="3"/>
        </w:numPr>
        <w:spacing w:after="0" w:line="240" w:lineRule="auto"/>
        <w:rPr>
          <w:rFonts w:ascii="Calibri" w:hAnsi="Calibri"/>
          <w:sz w:val="22"/>
        </w:rPr>
      </w:pPr>
      <w:r w:rsidRPr="006E1A6F">
        <w:rPr>
          <w:rFonts w:ascii="Calibri" w:hAnsi="Calibri"/>
          <w:sz w:val="22"/>
        </w:rPr>
        <w:t>the use of refundable deposits and accommodation bonds</w:t>
      </w:r>
    </w:p>
    <w:p w14:paraId="2E8B6CC2" w14:textId="77777777" w:rsidR="00A61F2F" w:rsidRDefault="00A61F2F" w:rsidP="00A61F2F">
      <w:pPr>
        <w:numPr>
          <w:ilvl w:val="0"/>
          <w:numId w:val="3"/>
        </w:numPr>
        <w:spacing w:after="0" w:line="240" w:lineRule="auto"/>
        <w:rPr>
          <w:rFonts w:ascii="Calibri" w:hAnsi="Calibri"/>
          <w:sz w:val="22"/>
        </w:rPr>
      </w:pPr>
      <w:r w:rsidRPr="006E1A6F">
        <w:rPr>
          <w:rFonts w:ascii="Calibri" w:hAnsi="Calibri"/>
          <w:sz w:val="22"/>
        </w:rPr>
        <w:t>the maintenance of a refundable deposit register</w:t>
      </w:r>
    </w:p>
    <w:p w14:paraId="40260A8E" w14:textId="586F98FE" w:rsidR="00F00204" w:rsidRPr="006D76E9" w:rsidRDefault="00F00204" w:rsidP="006D76E9">
      <w:pPr>
        <w:pStyle w:val="ListParagraph"/>
        <w:numPr>
          <w:ilvl w:val="0"/>
          <w:numId w:val="3"/>
        </w:numPr>
        <w:spacing w:after="120" w:line="240" w:lineRule="auto"/>
        <w:rPr>
          <w:rFonts w:ascii="Calibri" w:hAnsi="Calibri"/>
          <w:sz w:val="22"/>
        </w:rPr>
      </w:pPr>
      <w:r w:rsidRPr="006D76E9">
        <w:rPr>
          <w:rFonts w:ascii="Calibri" w:hAnsi="Calibri"/>
          <w:sz w:val="22"/>
        </w:rPr>
        <w:t>the new Standards</w:t>
      </w:r>
      <w:r w:rsidR="00520462" w:rsidRPr="006D76E9">
        <w:rPr>
          <w:rFonts w:ascii="Calibri" w:hAnsi="Calibri"/>
          <w:sz w:val="22"/>
        </w:rPr>
        <w:t xml:space="preserve">. </w:t>
      </w:r>
    </w:p>
    <w:p w14:paraId="66800F13" w14:textId="12D7B4C0" w:rsidR="00D92B22" w:rsidRPr="009F7E0B" w:rsidRDefault="00D92B22" w:rsidP="00840644">
      <w:pPr>
        <w:pStyle w:val="Heading2"/>
        <w:rPr>
          <w:b/>
        </w:rPr>
      </w:pPr>
      <w:r w:rsidRPr="009F7E0B">
        <w:rPr>
          <w:b/>
        </w:rPr>
        <w:t xml:space="preserve">Use of </w:t>
      </w:r>
      <w:r w:rsidR="000D6929">
        <w:rPr>
          <w:b/>
        </w:rPr>
        <w:t>r</w:t>
      </w:r>
      <w:r w:rsidRPr="009F7E0B">
        <w:rPr>
          <w:b/>
        </w:rPr>
        <w:t xml:space="preserve">eport and </w:t>
      </w:r>
      <w:r w:rsidR="000D6929">
        <w:rPr>
          <w:b/>
        </w:rPr>
        <w:t>r</w:t>
      </w:r>
      <w:r w:rsidRPr="009F7E0B">
        <w:rPr>
          <w:b/>
        </w:rPr>
        <w:t xml:space="preserve">estriction on </w:t>
      </w:r>
      <w:r w:rsidR="000D6929">
        <w:rPr>
          <w:b/>
        </w:rPr>
        <w:t>d</w:t>
      </w:r>
      <w:r w:rsidRPr="009F7E0B">
        <w:rPr>
          <w:b/>
        </w:rPr>
        <w:t xml:space="preserve">istribution </w:t>
      </w:r>
    </w:p>
    <w:p w14:paraId="174F287B" w14:textId="726283AD" w:rsidR="004614F4" w:rsidRPr="0031644F" w:rsidRDefault="004614F4" w:rsidP="004614F4">
      <w:pPr>
        <w:spacing w:after="120" w:line="240" w:lineRule="auto"/>
        <w:rPr>
          <w:rFonts w:ascii="Calibri" w:hAnsi="Calibri"/>
          <w:sz w:val="22"/>
        </w:rPr>
      </w:pPr>
      <w:r w:rsidRPr="0031644F">
        <w:rPr>
          <w:rFonts w:ascii="Calibri" w:hAnsi="Calibri"/>
          <w:sz w:val="22"/>
        </w:rPr>
        <w:t>This auditor’s report has been prepared for the directors [</w:t>
      </w:r>
      <w:r w:rsidRPr="003C12D4">
        <w:rPr>
          <w:rStyle w:val="Strong"/>
        </w:rPr>
        <w:t>Responsible Party</w:t>
      </w:r>
      <w:r w:rsidRPr="0031644F">
        <w:rPr>
          <w:rFonts w:ascii="Calibri" w:hAnsi="Calibri"/>
          <w:sz w:val="22"/>
        </w:rPr>
        <w:t>] of [</w:t>
      </w:r>
      <w:r>
        <w:rPr>
          <w:rStyle w:val="Strong"/>
        </w:rPr>
        <w:t>registered</w:t>
      </w:r>
      <w:r w:rsidRPr="003C12D4">
        <w:rPr>
          <w:rStyle w:val="Strong"/>
        </w:rPr>
        <w:t xml:space="preserve"> provider name</w:t>
      </w:r>
      <w:r w:rsidRPr="0031644F">
        <w:rPr>
          <w:rFonts w:ascii="Calibri" w:hAnsi="Calibri"/>
          <w:sz w:val="22"/>
        </w:rPr>
        <w:t xml:space="preserve">] and the </w:t>
      </w:r>
      <w:r>
        <w:rPr>
          <w:rFonts w:ascii="Calibri" w:hAnsi="Calibri"/>
          <w:sz w:val="22"/>
        </w:rPr>
        <w:t xml:space="preserve">System Governor for </w:t>
      </w:r>
      <w:r w:rsidRPr="0031644F">
        <w:rPr>
          <w:rFonts w:ascii="Calibri" w:hAnsi="Calibri"/>
          <w:sz w:val="22"/>
        </w:rPr>
        <w:t xml:space="preserve">the purpose of fulfilling the requirements of </w:t>
      </w:r>
      <w:r w:rsidR="00D22772" w:rsidRPr="006D76E9">
        <w:rPr>
          <w:rFonts w:ascii="Calibri" w:hAnsi="Calibri"/>
          <w:sz w:val="22"/>
        </w:rPr>
        <w:t>section 166-380(g) of the Rules.</w:t>
      </w:r>
      <w:r w:rsidR="00D22772" w:rsidRPr="0031644F">
        <w:rPr>
          <w:rFonts w:ascii="Calibri" w:hAnsi="Calibri"/>
          <w:sz w:val="22"/>
        </w:rPr>
        <w:t xml:space="preserve">  </w:t>
      </w:r>
      <w:r w:rsidRPr="0031644F">
        <w:rPr>
          <w:rFonts w:ascii="Calibri" w:hAnsi="Calibri"/>
          <w:sz w:val="22"/>
        </w:rPr>
        <w:t>We disclaim any assumption of responsibility for any reliance on this report to any persons or users other than the directors [</w:t>
      </w:r>
      <w:r w:rsidRPr="003C12D4">
        <w:rPr>
          <w:rStyle w:val="Strong"/>
        </w:rPr>
        <w:t>Responsible Party</w:t>
      </w:r>
      <w:r w:rsidRPr="0031644F">
        <w:rPr>
          <w:rFonts w:ascii="Calibri" w:hAnsi="Calibri"/>
          <w:sz w:val="22"/>
        </w:rPr>
        <w:t>] and the S</w:t>
      </w:r>
      <w:r>
        <w:rPr>
          <w:rFonts w:ascii="Calibri" w:hAnsi="Calibri"/>
          <w:sz w:val="22"/>
        </w:rPr>
        <w:t>ystem Governor</w:t>
      </w:r>
      <w:r w:rsidRPr="0031644F">
        <w:rPr>
          <w:rFonts w:ascii="Calibri" w:hAnsi="Calibri"/>
          <w:sz w:val="22"/>
        </w:rPr>
        <w:t>, or for any purpose other than that for which it was prepared.  Our report is intended for the directors [</w:t>
      </w:r>
      <w:r w:rsidRPr="003C12D4">
        <w:rPr>
          <w:rStyle w:val="Strong"/>
        </w:rPr>
        <w:t>Responsible Party</w:t>
      </w:r>
      <w:r w:rsidRPr="0031644F">
        <w:rPr>
          <w:rFonts w:ascii="Calibri" w:hAnsi="Calibri"/>
          <w:sz w:val="22"/>
        </w:rPr>
        <w:t>] of [</w:t>
      </w:r>
      <w:r>
        <w:rPr>
          <w:rStyle w:val="Strong"/>
        </w:rPr>
        <w:t>registered</w:t>
      </w:r>
      <w:r w:rsidRPr="003C12D4">
        <w:rPr>
          <w:rStyle w:val="Strong"/>
        </w:rPr>
        <w:t xml:space="preserve"> provider name</w:t>
      </w:r>
      <w:r w:rsidRPr="0031644F">
        <w:rPr>
          <w:rFonts w:ascii="Calibri" w:hAnsi="Calibri"/>
          <w:sz w:val="22"/>
        </w:rPr>
        <w:t xml:space="preserve">] and the Secretary of </w:t>
      </w:r>
      <w:r w:rsidRPr="00B369D4">
        <w:rPr>
          <w:rFonts w:ascii="Calibri" w:hAnsi="Calibri"/>
          <w:sz w:val="22"/>
        </w:rPr>
        <w:t xml:space="preserve">the </w:t>
      </w:r>
      <w:r>
        <w:rPr>
          <w:rFonts w:ascii="Calibri" w:hAnsi="Calibri"/>
          <w:sz w:val="22"/>
        </w:rPr>
        <w:t>Department of Health, Disability and Ageing</w:t>
      </w:r>
      <w:r w:rsidRPr="0031644F">
        <w:rPr>
          <w:rFonts w:ascii="Calibri" w:hAnsi="Calibri"/>
          <w:sz w:val="22"/>
        </w:rPr>
        <w:t xml:space="preserve"> and should not be distributed to other parties. </w:t>
      </w:r>
    </w:p>
    <w:p w14:paraId="7F57289C" w14:textId="783DE025" w:rsidR="00D92B22" w:rsidRPr="009F7E0B" w:rsidRDefault="00D92B22" w:rsidP="00840644">
      <w:pPr>
        <w:pStyle w:val="Heading2"/>
        <w:rPr>
          <w:b/>
        </w:rPr>
      </w:pPr>
      <w:r w:rsidRPr="009F7E0B">
        <w:rPr>
          <w:b/>
        </w:rPr>
        <w:t xml:space="preserve">Inherent </w:t>
      </w:r>
      <w:r w:rsidR="000D6929">
        <w:rPr>
          <w:b/>
        </w:rPr>
        <w:t>l</w:t>
      </w:r>
      <w:r w:rsidRPr="009F7E0B">
        <w:rPr>
          <w:b/>
        </w:rPr>
        <w:t xml:space="preserve">imitations </w:t>
      </w:r>
    </w:p>
    <w:p w14:paraId="19124D32" w14:textId="77777777" w:rsidR="00FD0430" w:rsidRDefault="00FD0430" w:rsidP="00FD0430">
      <w:pPr>
        <w:spacing w:after="120" w:line="240" w:lineRule="auto"/>
        <w:rPr>
          <w:rFonts w:ascii="Calibri" w:hAnsi="Calibri"/>
          <w:sz w:val="22"/>
        </w:rPr>
      </w:pPr>
      <w:r w:rsidRPr="0031644F">
        <w:rPr>
          <w:rFonts w:ascii="Calibri" w:hAnsi="Calibri"/>
          <w:sz w:val="22"/>
        </w:rPr>
        <w:t>Because of the inherent limitations of any compliance procedures, it is possible that fraud, error or non-compliance may occur and not be detected.  An audit is not designed to detect all instances of non-compliance with the requirements of the</w:t>
      </w:r>
      <w:r w:rsidRPr="007F309F">
        <w:rPr>
          <w:rFonts w:ascii="Calibri" w:hAnsi="Calibri" w:cs="Times New Roman"/>
          <w:color w:val="000000"/>
          <w:sz w:val="22"/>
        </w:rPr>
        <w:t xml:space="preserve"> </w:t>
      </w:r>
      <w:r>
        <w:rPr>
          <w:rFonts w:ascii="Calibri" w:hAnsi="Calibri" w:cs="Times New Roman"/>
          <w:color w:val="000000"/>
          <w:sz w:val="22"/>
        </w:rPr>
        <w:t xml:space="preserve">new Act, the Rules and the new Standards, </w:t>
      </w:r>
      <w:r w:rsidRPr="0031644F">
        <w:rPr>
          <w:rFonts w:ascii="Calibri" w:hAnsi="Calibri"/>
          <w:sz w:val="22"/>
        </w:rPr>
        <w:t>as the audit procedures are not performed continuously throughout the year and are undertaken on a test basis.</w:t>
      </w:r>
    </w:p>
    <w:p w14:paraId="070F2868" w14:textId="77777777" w:rsidR="00D92B22" w:rsidRPr="009F7E0B" w:rsidRDefault="00D92B22" w:rsidP="00FC62C4">
      <w:pPr>
        <w:pStyle w:val="Default"/>
        <w:spacing w:after="120"/>
        <w:rPr>
          <w:rFonts w:ascii="Calibri" w:hAnsi="Calibri"/>
          <w:sz w:val="22"/>
          <w:szCs w:val="22"/>
        </w:rPr>
      </w:pPr>
      <w:r w:rsidRPr="009F7E0B">
        <w:rPr>
          <w:rFonts w:ascii="Calibri" w:hAnsi="Calibri"/>
          <w:sz w:val="22"/>
          <w:szCs w:val="22"/>
        </w:rPr>
        <w:t xml:space="preserve">The auditor’s opinion expressed in this report has been formed on the above basis. </w:t>
      </w:r>
    </w:p>
    <w:p w14:paraId="6B8DDF91" w14:textId="77777777" w:rsidR="00D92B22" w:rsidRPr="009F7E0B" w:rsidRDefault="00D92B22" w:rsidP="00FC62C4">
      <w:pPr>
        <w:pStyle w:val="Default"/>
        <w:spacing w:after="120"/>
        <w:rPr>
          <w:rFonts w:ascii="Calibri" w:hAnsi="Calibri"/>
          <w:sz w:val="22"/>
          <w:szCs w:val="22"/>
        </w:rPr>
      </w:pPr>
      <w:r w:rsidRPr="009F7E0B">
        <w:rPr>
          <w:rFonts w:ascii="Calibri" w:hAnsi="Calibri"/>
          <w:sz w:val="22"/>
          <w:szCs w:val="22"/>
        </w:rPr>
        <w:t xml:space="preserve">[Auditor’s signature] </w:t>
      </w:r>
    </w:p>
    <w:p w14:paraId="3CC6A9F3" w14:textId="0089D0D6" w:rsidR="00D92B22" w:rsidRPr="009F7E0B" w:rsidRDefault="00D92B22" w:rsidP="00FC62C4">
      <w:pPr>
        <w:pStyle w:val="Default"/>
        <w:spacing w:after="120"/>
        <w:rPr>
          <w:rFonts w:ascii="Calibri" w:hAnsi="Calibri"/>
          <w:sz w:val="22"/>
          <w:szCs w:val="22"/>
        </w:rPr>
      </w:pPr>
      <w:r w:rsidRPr="009F7E0B">
        <w:rPr>
          <w:rFonts w:ascii="Calibri" w:hAnsi="Calibri"/>
          <w:sz w:val="22"/>
          <w:szCs w:val="22"/>
        </w:rPr>
        <w:t xml:space="preserve">[Date of the </w:t>
      </w:r>
      <w:r w:rsidR="00F920A8">
        <w:rPr>
          <w:rFonts w:ascii="Calibri" w:hAnsi="Calibri"/>
          <w:sz w:val="22"/>
          <w:szCs w:val="22"/>
        </w:rPr>
        <w:t>a</w:t>
      </w:r>
      <w:r w:rsidRPr="009F7E0B">
        <w:rPr>
          <w:rFonts w:ascii="Calibri" w:hAnsi="Calibri"/>
          <w:sz w:val="22"/>
          <w:szCs w:val="22"/>
        </w:rPr>
        <w:t xml:space="preserve">uditor’s </w:t>
      </w:r>
      <w:r w:rsidR="00F920A8">
        <w:rPr>
          <w:rFonts w:ascii="Calibri" w:hAnsi="Calibri"/>
          <w:sz w:val="22"/>
          <w:szCs w:val="22"/>
        </w:rPr>
        <w:t>r</w:t>
      </w:r>
      <w:r w:rsidRPr="009F7E0B">
        <w:rPr>
          <w:rFonts w:ascii="Calibri" w:hAnsi="Calibri"/>
          <w:sz w:val="22"/>
          <w:szCs w:val="22"/>
        </w:rPr>
        <w:t xml:space="preserve">eport] </w:t>
      </w:r>
    </w:p>
    <w:p w14:paraId="2C7294E3" w14:textId="7495812E" w:rsidR="00D92B22" w:rsidRPr="009F7E0B" w:rsidRDefault="00D92B22" w:rsidP="00FC62C4">
      <w:pPr>
        <w:pStyle w:val="Default"/>
        <w:spacing w:after="120"/>
        <w:rPr>
          <w:rFonts w:ascii="Calibri" w:hAnsi="Calibri"/>
          <w:sz w:val="22"/>
          <w:szCs w:val="22"/>
        </w:rPr>
      </w:pPr>
      <w:r w:rsidRPr="009F7E0B">
        <w:rPr>
          <w:rFonts w:ascii="Calibri" w:hAnsi="Calibri"/>
          <w:sz w:val="22"/>
          <w:szCs w:val="22"/>
        </w:rPr>
        <w:t xml:space="preserve">[Auditor’s </w:t>
      </w:r>
      <w:r w:rsidR="00F920A8">
        <w:rPr>
          <w:rFonts w:ascii="Calibri" w:hAnsi="Calibri"/>
          <w:sz w:val="22"/>
          <w:szCs w:val="22"/>
        </w:rPr>
        <w:t>a</w:t>
      </w:r>
      <w:r w:rsidRPr="009F7E0B">
        <w:rPr>
          <w:rFonts w:ascii="Calibri" w:hAnsi="Calibri"/>
          <w:sz w:val="22"/>
          <w:szCs w:val="22"/>
        </w:rPr>
        <w:t xml:space="preserve">ddress] </w:t>
      </w:r>
    </w:p>
    <w:p w14:paraId="42C6987D" w14:textId="77777777" w:rsidR="007F4E20" w:rsidRPr="009F7E0B" w:rsidRDefault="00D92B22" w:rsidP="00FC62C4">
      <w:pPr>
        <w:pStyle w:val="Default"/>
        <w:spacing w:after="120"/>
        <w:rPr>
          <w:rFonts w:ascii="Calibri" w:hAnsi="Calibri"/>
          <w:sz w:val="22"/>
          <w:szCs w:val="22"/>
        </w:rPr>
      </w:pPr>
      <w:r w:rsidRPr="009F7E0B">
        <w:rPr>
          <w:rFonts w:ascii="Calibri" w:hAnsi="Calibri"/>
          <w:sz w:val="22"/>
          <w:szCs w:val="22"/>
        </w:rPr>
        <w:t>[Auditor’s registration number]</w:t>
      </w:r>
      <w:r w:rsidRPr="009F7E0B">
        <w:rPr>
          <w:rFonts w:ascii="Calibri" w:hAnsi="Calibri"/>
          <w:b/>
          <w:bCs/>
          <w:sz w:val="22"/>
          <w:szCs w:val="22"/>
        </w:rPr>
        <w:t xml:space="preserve"> </w:t>
      </w:r>
    </w:p>
    <w:sectPr w:rsidR="007F4E20" w:rsidRPr="009F7E0B" w:rsidSect="00EC7A96">
      <w:headerReference w:type="even" r:id="rId11"/>
      <w:headerReference w:type="default" r:id="rId12"/>
      <w:footerReference w:type="even" r:id="rId13"/>
      <w:footerReference w:type="default" r:id="rId14"/>
      <w:headerReference w:type="first" r:id="rId15"/>
      <w:footerReference w:type="first" r:id="rId16"/>
      <w:pgSz w:w="11907" w:h="16839" w:code="9"/>
      <w:pgMar w:top="993" w:right="890" w:bottom="584" w:left="133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870A7" w14:textId="77777777" w:rsidR="00A76A60" w:rsidRDefault="00A76A60" w:rsidP="00EC7A96">
      <w:pPr>
        <w:spacing w:after="0" w:line="240" w:lineRule="auto"/>
      </w:pPr>
      <w:r>
        <w:separator/>
      </w:r>
    </w:p>
  </w:endnote>
  <w:endnote w:type="continuationSeparator" w:id="0">
    <w:p w14:paraId="6A17C98E" w14:textId="77777777" w:rsidR="00A76A60" w:rsidRDefault="00A76A60" w:rsidP="00EC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EA3FF" w14:textId="1E147F79" w:rsidR="00E11E1F" w:rsidRDefault="00E11E1F">
    <w:pPr>
      <w:pStyle w:val="Footer"/>
    </w:pPr>
    <w:r>
      <w:rPr>
        <w:noProof/>
      </w:rPr>
      <mc:AlternateContent>
        <mc:Choice Requires="wps">
          <w:drawing>
            <wp:anchor distT="0" distB="0" distL="0" distR="0" simplePos="0" relativeHeight="251662336" behindDoc="0" locked="0" layoutInCell="1" allowOverlap="1" wp14:anchorId="136AF896" wp14:editId="09CF4BBE">
              <wp:simplePos x="635" y="635"/>
              <wp:positionH relativeFrom="page">
                <wp:align>center</wp:align>
              </wp:positionH>
              <wp:positionV relativeFrom="page">
                <wp:align>bottom</wp:align>
              </wp:positionV>
              <wp:extent cx="609600" cy="409575"/>
              <wp:effectExtent l="0" t="0" r="0" b="0"/>
              <wp:wrapNone/>
              <wp:docPr id="114731450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7706E2C" w14:textId="3F3F7935" w:rsidR="00E11E1F" w:rsidRPr="00E11E1F" w:rsidRDefault="00E11E1F" w:rsidP="00E11E1F">
                          <w:pPr>
                            <w:spacing w:after="0"/>
                            <w:rPr>
                              <w:rFonts w:ascii="Aptos" w:eastAsia="Aptos" w:hAnsi="Aptos" w:cs="Aptos"/>
                              <w:noProof/>
                              <w:color w:val="FF0000"/>
                              <w:szCs w:val="24"/>
                            </w:rPr>
                          </w:pPr>
                          <w:r w:rsidRPr="00E11E1F">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6AF896" id="_x0000_t202" coordsize="21600,21600" o:spt="202" path="m,l,21600r21600,l21600,xe">
              <v:stroke joinstyle="miter"/>
              <v:path gradientshapeok="t" o:connecttype="rect"/>
            </v:shapetype>
            <v:shape id="Text Box 5" o:spid="_x0000_s1027" type="#_x0000_t202" alt="OFFICIAL" style="position:absolute;margin-left:0;margin-top:0;width:48pt;height:32.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igCwIAABwEAAAOAAAAZHJzL2Uyb0RvYy54bWysU8Fu2zAMvQ/YPwi6L3aKJV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" filled="f" stroked="f">
              <v:textbox style="mso-fit-shape-to-text:t" inset="0,0,0,15pt">
                <w:txbxContent>
                  <w:p w14:paraId="47706E2C" w14:textId="3F3F7935" w:rsidR="00E11E1F" w:rsidRPr="00E11E1F" w:rsidRDefault="00E11E1F" w:rsidP="00E11E1F">
                    <w:pPr>
                      <w:spacing w:after="0"/>
                      <w:rPr>
                        <w:rFonts w:ascii="Aptos" w:eastAsia="Aptos" w:hAnsi="Aptos" w:cs="Aptos"/>
                        <w:noProof/>
                        <w:color w:val="FF0000"/>
                        <w:szCs w:val="24"/>
                      </w:rPr>
                    </w:pPr>
                    <w:r w:rsidRPr="00E11E1F">
                      <w:rPr>
                        <w:rFonts w:ascii="Aptos" w:eastAsia="Aptos" w:hAnsi="Aptos" w:cs="Aptos"/>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BEB7" w14:textId="7FBFBFE5" w:rsidR="00E11E1F" w:rsidRDefault="00E11E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DB8F3" w14:textId="4B046CBE" w:rsidR="00E11E1F" w:rsidRDefault="00E11E1F">
    <w:pPr>
      <w:pStyle w:val="Footer"/>
    </w:pPr>
    <w:r>
      <w:rPr>
        <w:noProof/>
      </w:rPr>
      <mc:AlternateContent>
        <mc:Choice Requires="wps">
          <w:drawing>
            <wp:anchor distT="0" distB="0" distL="0" distR="0" simplePos="0" relativeHeight="251661312" behindDoc="0" locked="0" layoutInCell="1" allowOverlap="1" wp14:anchorId="03CC9875" wp14:editId="5B017567">
              <wp:simplePos x="635" y="635"/>
              <wp:positionH relativeFrom="page">
                <wp:align>center</wp:align>
              </wp:positionH>
              <wp:positionV relativeFrom="page">
                <wp:align>bottom</wp:align>
              </wp:positionV>
              <wp:extent cx="609600" cy="409575"/>
              <wp:effectExtent l="0" t="0" r="0" b="0"/>
              <wp:wrapNone/>
              <wp:docPr id="148839883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B17C7DE" w14:textId="5A5B8B5B" w:rsidR="00E11E1F" w:rsidRPr="00E11E1F" w:rsidRDefault="00E11E1F" w:rsidP="00E11E1F">
                          <w:pPr>
                            <w:spacing w:after="0"/>
                            <w:rPr>
                              <w:rFonts w:ascii="Aptos" w:eastAsia="Aptos" w:hAnsi="Aptos" w:cs="Aptos"/>
                              <w:noProof/>
                              <w:color w:val="FF0000"/>
                              <w:szCs w:val="24"/>
                            </w:rPr>
                          </w:pPr>
                          <w:r w:rsidRPr="00E11E1F">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CC9875" id="_x0000_t202" coordsize="21600,21600" o:spt="202" path="m,l,21600r21600,l21600,xe">
              <v:stroke joinstyle="miter"/>
              <v:path gradientshapeok="t" o:connecttype="rect"/>
            </v:shapetype>
            <v:shape id="Text Box 4" o:spid="_x0000_s1029" type="#_x0000_t202" alt="OFFICIAL" style="position:absolute;margin-left:0;margin-top:0;width:48pt;height:32.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filled="f" stroked="f">
              <v:textbox style="mso-fit-shape-to-text:t" inset="0,0,0,15pt">
                <w:txbxContent>
                  <w:p w14:paraId="7B17C7DE" w14:textId="5A5B8B5B" w:rsidR="00E11E1F" w:rsidRPr="00E11E1F" w:rsidRDefault="00E11E1F" w:rsidP="00E11E1F">
                    <w:pPr>
                      <w:spacing w:after="0"/>
                      <w:rPr>
                        <w:rFonts w:ascii="Aptos" w:eastAsia="Aptos" w:hAnsi="Aptos" w:cs="Aptos"/>
                        <w:noProof/>
                        <w:color w:val="FF0000"/>
                        <w:szCs w:val="24"/>
                      </w:rPr>
                    </w:pPr>
                    <w:r w:rsidRPr="00E11E1F">
                      <w:rPr>
                        <w:rFonts w:ascii="Aptos" w:eastAsia="Aptos" w:hAnsi="Aptos" w:cs="Aptos"/>
                        <w:noProof/>
                        <w:color w:val="FF0000"/>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B78FF" w14:textId="77777777" w:rsidR="00A76A60" w:rsidRDefault="00A76A60" w:rsidP="00EC7A96">
      <w:pPr>
        <w:spacing w:after="0" w:line="240" w:lineRule="auto"/>
      </w:pPr>
      <w:r>
        <w:separator/>
      </w:r>
    </w:p>
  </w:footnote>
  <w:footnote w:type="continuationSeparator" w:id="0">
    <w:p w14:paraId="58912401" w14:textId="77777777" w:rsidR="00A76A60" w:rsidRDefault="00A76A60" w:rsidP="00EC7A96">
      <w:pPr>
        <w:spacing w:after="0" w:line="240" w:lineRule="auto"/>
      </w:pPr>
      <w:r>
        <w:continuationSeparator/>
      </w:r>
    </w:p>
  </w:footnote>
  <w:footnote w:id="1">
    <w:p w14:paraId="2AB08C5A" w14:textId="77777777" w:rsidR="0006509C" w:rsidRDefault="0006509C" w:rsidP="0006509C">
      <w:pPr>
        <w:pStyle w:val="Default"/>
        <w:spacing w:after="200"/>
      </w:pPr>
      <w:r w:rsidRPr="009F7E0B">
        <w:rPr>
          <w:rStyle w:val="FootnoteReference"/>
          <w:rFonts w:ascii="Calibri" w:hAnsi="Calibri"/>
          <w:sz w:val="16"/>
          <w:szCs w:val="16"/>
        </w:rPr>
        <w:footnoteRef/>
      </w:r>
      <w:r w:rsidRPr="009F7E0B">
        <w:rPr>
          <w:rFonts w:ascii="Calibri" w:hAnsi="Calibri"/>
          <w:sz w:val="16"/>
          <w:szCs w:val="16"/>
        </w:rPr>
        <w:t xml:space="preserve"> Or other term that is applicable in the circumstances.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C8B6" w14:textId="6C239B49" w:rsidR="00E11E1F" w:rsidRDefault="00E11E1F">
    <w:pPr>
      <w:pStyle w:val="Header"/>
    </w:pPr>
    <w:r>
      <w:rPr>
        <w:noProof/>
      </w:rPr>
      <mc:AlternateContent>
        <mc:Choice Requires="wps">
          <w:drawing>
            <wp:anchor distT="0" distB="0" distL="0" distR="0" simplePos="0" relativeHeight="251659264" behindDoc="0" locked="0" layoutInCell="1" allowOverlap="1" wp14:anchorId="2D093F20" wp14:editId="65E48F64">
              <wp:simplePos x="635" y="635"/>
              <wp:positionH relativeFrom="page">
                <wp:align>center</wp:align>
              </wp:positionH>
              <wp:positionV relativeFrom="page">
                <wp:align>top</wp:align>
              </wp:positionV>
              <wp:extent cx="609600" cy="409575"/>
              <wp:effectExtent l="0" t="0" r="0" b="9525"/>
              <wp:wrapNone/>
              <wp:docPr id="13958280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682EA7B" w14:textId="176A58FD" w:rsidR="00E11E1F" w:rsidRPr="00E11E1F" w:rsidRDefault="00E11E1F" w:rsidP="00E11E1F">
                          <w:pPr>
                            <w:spacing w:after="0"/>
                            <w:rPr>
                              <w:rFonts w:ascii="Aptos" w:eastAsia="Aptos" w:hAnsi="Aptos" w:cs="Aptos"/>
                              <w:noProof/>
                              <w:color w:val="FF0000"/>
                              <w:szCs w:val="24"/>
                            </w:rPr>
                          </w:pPr>
                          <w:r w:rsidRPr="00E11E1F">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93F20" id="_x0000_t202" coordsize="21600,21600" o:spt="202" path="m,l,21600r21600,l21600,xe">
              <v:stroke joinstyle="miter"/>
              <v:path gradientshapeok="t" o:connecttype="rect"/>
            </v:shapetype>
            <v:shape id="Text Box 2" o:spid="_x0000_s1026" type="#_x0000_t202" alt="OFFICIAL" style="position:absolute;margin-left:0;margin-top:0;width:48pt;height:32.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filled="f" stroked="f">
              <v:textbox style="mso-fit-shape-to-text:t" inset="0,15pt,0,0">
                <w:txbxContent>
                  <w:p w14:paraId="7682EA7B" w14:textId="176A58FD" w:rsidR="00E11E1F" w:rsidRPr="00E11E1F" w:rsidRDefault="00E11E1F" w:rsidP="00E11E1F">
                    <w:pPr>
                      <w:spacing w:after="0"/>
                      <w:rPr>
                        <w:rFonts w:ascii="Aptos" w:eastAsia="Aptos" w:hAnsi="Aptos" w:cs="Aptos"/>
                        <w:noProof/>
                        <w:color w:val="FF0000"/>
                        <w:szCs w:val="24"/>
                      </w:rPr>
                    </w:pPr>
                    <w:r w:rsidRPr="00E11E1F">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78B6" w14:textId="77777777" w:rsidR="00622E52" w:rsidRDefault="00622E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7214" w14:textId="2334D3F1" w:rsidR="00E11E1F" w:rsidRDefault="00E11E1F">
    <w:pPr>
      <w:pStyle w:val="Header"/>
    </w:pPr>
    <w:r>
      <w:rPr>
        <w:noProof/>
      </w:rPr>
      <mc:AlternateContent>
        <mc:Choice Requires="wps">
          <w:drawing>
            <wp:anchor distT="0" distB="0" distL="0" distR="0" simplePos="0" relativeHeight="251658240" behindDoc="0" locked="0" layoutInCell="1" allowOverlap="1" wp14:anchorId="3CB37BA0" wp14:editId="4A95C2FE">
              <wp:simplePos x="635" y="635"/>
              <wp:positionH relativeFrom="page">
                <wp:align>center</wp:align>
              </wp:positionH>
              <wp:positionV relativeFrom="page">
                <wp:align>top</wp:align>
              </wp:positionV>
              <wp:extent cx="609600" cy="409575"/>
              <wp:effectExtent l="0" t="0" r="0" b="9525"/>
              <wp:wrapNone/>
              <wp:docPr id="30459413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B881579" w14:textId="4EAC7F20" w:rsidR="00E11E1F" w:rsidRPr="00E11E1F" w:rsidRDefault="00E11E1F" w:rsidP="00E11E1F">
                          <w:pPr>
                            <w:spacing w:after="0"/>
                            <w:rPr>
                              <w:rFonts w:ascii="Aptos" w:eastAsia="Aptos" w:hAnsi="Aptos" w:cs="Aptos"/>
                              <w:noProof/>
                              <w:color w:val="FF0000"/>
                              <w:szCs w:val="24"/>
                            </w:rPr>
                          </w:pPr>
                          <w:r w:rsidRPr="00E11E1F">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B37BA0" id="_x0000_t202" coordsize="21600,21600" o:spt="202" path="m,l,21600r21600,l21600,xe">
              <v:stroke joinstyle="miter"/>
              <v:path gradientshapeok="t" o:connecttype="rect"/>
            </v:shapetype>
            <v:shape id="Text Box 1" o:spid="_x0000_s1028" type="#_x0000_t202" alt="OFFICIAL" style="position:absolute;margin-left:0;margin-top:0;width:48pt;height:32.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EIiuUg0CAAAcBAAA&#10;DgAAAAAAAAAAAAAAAAAuAgAAZHJzL2Uyb0RvYy54bWxQSwECLQAUAAYACAAAACEAcRKH6NkAAAAD&#10;AQAADwAAAAAAAAAAAAAAAABnBAAAZHJzL2Rvd25yZXYueG1sUEsFBgAAAAAEAAQA8wAAAG0FAAAA&#10;AA==&#10;" filled="f" stroked="f">
              <v:textbox style="mso-fit-shape-to-text:t" inset="0,15pt,0,0">
                <w:txbxContent>
                  <w:p w14:paraId="1B881579" w14:textId="4EAC7F20" w:rsidR="00E11E1F" w:rsidRPr="00E11E1F" w:rsidRDefault="00E11E1F" w:rsidP="00E11E1F">
                    <w:pPr>
                      <w:spacing w:after="0"/>
                      <w:rPr>
                        <w:rFonts w:ascii="Aptos" w:eastAsia="Aptos" w:hAnsi="Aptos" w:cs="Aptos"/>
                        <w:noProof/>
                        <w:color w:val="FF0000"/>
                        <w:szCs w:val="24"/>
                      </w:rPr>
                    </w:pPr>
                    <w:r w:rsidRPr="00E11E1F">
                      <w:rPr>
                        <w:rFonts w:ascii="Aptos" w:eastAsia="Aptos" w:hAnsi="Aptos" w:cs="Aptos"/>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67FC3"/>
    <w:multiLevelType w:val="multilevel"/>
    <w:tmpl w:val="79C6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C416A"/>
    <w:multiLevelType w:val="hybridMultilevel"/>
    <w:tmpl w:val="5A0622A8"/>
    <w:lvl w:ilvl="0" w:tplc="8C46FBA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9546C93"/>
    <w:multiLevelType w:val="hybridMultilevel"/>
    <w:tmpl w:val="2C8A22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84374752">
    <w:abstractNumId w:val="2"/>
  </w:num>
  <w:num w:numId="2" w16cid:durableId="380710627">
    <w:abstractNumId w:val="1"/>
  </w:num>
  <w:num w:numId="3" w16cid:durableId="571160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rawingGridVerticalSpacing w:val="163"/>
  <w:displayHorizontalDrawingGridEvery w:val="0"/>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B22"/>
    <w:rsid w:val="00006838"/>
    <w:rsid w:val="0001740F"/>
    <w:rsid w:val="00061480"/>
    <w:rsid w:val="00061F5F"/>
    <w:rsid w:val="0006509C"/>
    <w:rsid w:val="000D6929"/>
    <w:rsid w:val="000E58B2"/>
    <w:rsid w:val="00124A3B"/>
    <w:rsid w:val="001603A0"/>
    <w:rsid w:val="00160513"/>
    <w:rsid w:val="00185120"/>
    <w:rsid w:val="001B22D1"/>
    <w:rsid w:val="001B7DA8"/>
    <w:rsid w:val="001C14B2"/>
    <w:rsid w:val="001C682E"/>
    <w:rsid w:val="001E501D"/>
    <w:rsid w:val="00205EA0"/>
    <w:rsid w:val="00213B52"/>
    <w:rsid w:val="0023773A"/>
    <w:rsid w:val="0024729D"/>
    <w:rsid w:val="00256C1F"/>
    <w:rsid w:val="00257DDF"/>
    <w:rsid w:val="00263B56"/>
    <w:rsid w:val="002757D8"/>
    <w:rsid w:val="00284375"/>
    <w:rsid w:val="002D74A6"/>
    <w:rsid w:val="002F3F2C"/>
    <w:rsid w:val="00337706"/>
    <w:rsid w:val="00383989"/>
    <w:rsid w:val="003839AE"/>
    <w:rsid w:val="00386430"/>
    <w:rsid w:val="003A7593"/>
    <w:rsid w:val="003B1782"/>
    <w:rsid w:val="003B538C"/>
    <w:rsid w:val="003D2299"/>
    <w:rsid w:val="003D4448"/>
    <w:rsid w:val="003E0297"/>
    <w:rsid w:val="003E21A9"/>
    <w:rsid w:val="003E3CEE"/>
    <w:rsid w:val="003E5B93"/>
    <w:rsid w:val="0041468D"/>
    <w:rsid w:val="00427418"/>
    <w:rsid w:val="004472C7"/>
    <w:rsid w:val="004614F4"/>
    <w:rsid w:val="0047090A"/>
    <w:rsid w:val="00484CFA"/>
    <w:rsid w:val="00487834"/>
    <w:rsid w:val="00492AC6"/>
    <w:rsid w:val="004A088D"/>
    <w:rsid w:val="004F3243"/>
    <w:rsid w:val="00520462"/>
    <w:rsid w:val="00520F2F"/>
    <w:rsid w:val="005528A7"/>
    <w:rsid w:val="0057306F"/>
    <w:rsid w:val="00596BD8"/>
    <w:rsid w:val="005A7704"/>
    <w:rsid w:val="005B64B3"/>
    <w:rsid w:val="005C4979"/>
    <w:rsid w:val="005D577B"/>
    <w:rsid w:val="005E3B1E"/>
    <w:rsid w:val="005F4461"/>
    <w:rsid w:val="00602024"/>
    <w:rsid w:val="006030E2"/>
    <w:rsid w:val="0060582C"/>
    <w:rsid w:val="00607CF0"/>
    <w:rsid w:val="00622E52"/>
    <w:rsid w:val="00647D8E"/>
    <w:rsid w:val="00653330"/>
    <w:rsid w:val="00656633"/>
    <w:rsid w:val="00657A3C"/>
    <w:rsid w:val="00662BD3"/>
    <w:rsid w:val="00663C46"/>
    <w:rsid w:val="00667BA2"/>
    <w:rsid w:val="00684714"/>
    <w:rsid w:val="006927F9"/>
    <w:rsid w:val="006A7324"/>
    <w:rsid w:val="006B6B6B"/>
    <w:rsid w:val="006C3B3F"/>
    <w:rsid w:val="006D76E9"/>
    <w:rsid w:val="006F26F9"/>
    <w:rsid w:val="00712954"/>
    <w:rsid w:val="00725033"/>
    <w:rsid w:val="0073736F"/>
    <w:rsid w:val="00750CA3"/>
    <w:rsid w:val="00752FB5"/>
    <w:rsid w:val="00796FC3"/>
    <w:rsid w:val="007B7B73"/>
    <w:rsid w:val="007F4E20"/>
    <w:rsid w:val="00812E1B"/>
    <w:rsid w:val="00817C1A"/>
    <w:rsid w:val="008249A4"/>
    <w:rsid w:val="00840644"/>
    <w:rsid w:val="00847C45"/>
    <w:rsid w:val="00852CEA"/>
    <w:rsid w:val="008649F0"/>
    <w:rsid w:val="00887EC1"/>
    <w:rsid w:val="008936C5"/>
    <w:rsid w:val="00895014"/>
    <w:rsid w:val="00896BD2"/>
    <w:rsid w:val="008B28F2"/>
    <w:rsid w:val="008B3F66"/>
    <w:rsid w:val="008B4EA7"/>
    <w:rsid w:val="008B5C10"/>
    <w:rsid w:val="00910876"/>
    <w:rsid w:val="00936D79"/>
    <w:rsid w:val="00946815"/>
    <w:rsid w:val="009511A1"/>
    <w:rsid w:val="0095386B"/>
    <w:rsid w:val="00980472"/>
    <w:rsid w:val="009B2187"/>
    <w:rsid w:val="009B3966"/>
    <w:rsid w:val="009B7309"/>
    <w:rsid w:val="009F5C57"/>
    <w:rsid w:val="009F7E0B"/>
    <w:rsid w:val="00A24554"/>
    <w:rsid w:val="00A61F2F"/>
    <w:rsid w:val="00A64E0E"/>
    <w:rsid w:val="00A745B9"/>
    <w:rsid w:val="00A76629"/>
    <w:rsid w:val="00A76A60"/>
    <w:rsid w:val="00A91367"/>
    <w:rsid w:val="00A94468"/>
    <w:rsid w:val="00AA2C1C"/>
    <w:rsid w:val="00AB2010"/>
    <w:rsid w:val="00AB7C68"/>
    <w:rsid w:val="00AC214D"/>
    <w:rsid w:val="00AC4768"/>
    <w:rsid w:val="00AD5DB0"/>
    <w:rsid w:val="00AD796E"/>
    <w:rsid w:val="00AE3048"/>
    <w:rsid w:val="00AE6D75"/>
    <w:rsid w:val="00AF0470"/>
    <w:rsid w:val="00AF14FA"/>
    <w:rsid w:val="00B07DE3"/>
    <w:rsid w:val="00B22BE1"/>
    <w:rsid w:val="00B234B9"/>
    <w:rsid w:val="00B459FB"/>
    <w:rsid w:val="00B45CE4"/>
    <w:rsid w:val="00B62E78"/>
    <w:rsid w:val="00B632C6"/>
    <w:rsid w:val="00B72C02"/>
    <w:rsid w:val="00B84DAB"/>
    <w:rsid w:val="00B85244"/>
    <w:rsid w:val="00B87399"/>
    <w:rsid w:val="00B93E8D"/>
    <w:rsid w:val="00BE0964"/>
    <w:rsid w:val="00BF0396"/>
    <w:rsid w:val="00BF6E18"/>
    <w:rsid w:val="00C00D62"/>
    <w:rsid w:val="00C05793"/>
    <w:rsid w:val="00C35740"/>
    <w:rsid w:val="00C57447"/>
    <w:rsid w:val="00C60D70"/>
    <w:rsid w:val="00CA2A1D"/>
    <w:rsid w:val="00CD0D2F"/>
    <w:rsid w:val="00CE6878"/>
    <w:rsid w:val="00D1030E"/>
    <w:rsid w:val="00D22772"/>
    <w:rsid w:val="00D344BC"/>
    <w:rsid w:val="00D460BE"/>
    <w:rsid w:val="00D73084"/>
    <w:rsid w:val="00D81112"/>
    <w:rsid w:val="00D9010F"/>
    <w:rsid w:val="00D92B22"/>
    <w:rsid w:val="00DA358A"/>
    <w:rsid w:val="00DA4A37"/>
    <w:rsid w:val="00DB346C"/>
    <w:rsid w:val="00DC3DB1"/>
    <w:rsid w:val="00DE3ECF"/>
    <w:rsid w:val="00E00BC8"/>
    <w:rsid w:val="00E11E1F"/>
    <w:rsid w:val="00E45CBC"/>
    <w:rsid w:val="00E73C93"/>
    <w:rsid w:val="00EA00C9"/>
    <w:rsid w:val="00EB14F2"/>
    <w:rsid w:val="00EC0871"/>
    <w:rsid w:val="00EC7A96"/>
    <w:rsid w:val="00ED2B6D"/>
    <w:rsid w:val="00F00204"/>
    <w:rsid w:val="00F07B9D"/>
    <w:rsid w:val="00F440EB"/>
    <w:rsid w:val="00F47AE0"/>
    <w:rsid w:val="00F630C7"/>
    <w:rsid w:val="00F87863"/>
    <w:rsid w:val="00F920A8"/>
    <w:rsid w:val="00FC3023"/>
    <w:rsid w:val="00FC62C4"/>
    <w:rsid w:val="00FD0430"/>
    <w:rsid w:val="00FD4B80"/>
    <w:rsid w:val="045C9157"/>
    <w:rsid w:val="127EFF41"/>
    <w:rsid w:val="2323F62D"/>
    <w:rsid w:val="4ED700FA"/>
    <w:rsid w:val="53D3AEFD"/>
    <w:rsid w:val="6935B213"/>
    <w:rsid w:val="6ED7CA86"/>
    <w:rsid w:val="7315DD99"/>
    <w:rsid w:val="75BC08D4"/>
    <w:rsid w:val="79A1E6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A8FEC"/>
  <w15:docId w15:val="{56D361CC-EFF2-4D9C-8D64-CEABE477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Default"/>
    <w:next w:val="Normal"/>
    <w:link w:val="Heading1Char"/>
    <w:uiPriority w:val="9"/>
    <w:qFormat/>
    <w:rsid w:val="008936C5"/>
    <w:pPr>
      <w:spacing w:after="120"/>
      <w:outlineLvl w:val="0"/>
    </w:pPr>
    <w:rPr>
      <w:rFonts w:ascii="Calibri" w:hAnsi="Calibri"/>
      <w:b/>
      <w:sz w:val="22"/>
      <w:szCs w:val="22"/>
    </w:rPr>
  </w:style>
  <w:style w:type="paragraph" w:styleId="Heading2">
    <w:name w:val="heading 2"/>
    <w:basedOn w:val="Heading1"/>
    <w:next w:val="Normal"/>
    <w:link w:val="Heading2Char"/>
    <w:uiPriority w:val="9"/>
    <w:unhideWhenUsed/>
    <w:qFormat/>
    <w:rsid w:val="00653330"/>
    <w:pPr>
      <w:outlineLvl w:val="1"/>
    </w:pPr>
    <w:rPr>
      <w:b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2B22"/>
    <w:pPr>
      <w:widowControl w:val="0"/>
      <w:autoSpaceDE w:val="0"/>
      <w:autoSpaceDN w:val="0"/>
      <w:adjustRightInd w:val="0"/>
      <w:spacing w:after="0" w:line="240" w:lineRule="auto"/>
    </w:pPr>
    <w:rPr>
      <w:rFonts w:eastAsiaTheme="minorEastAsia" w:cs="Times New Roman"/>
      <w:color w:val="000000"/>
      <w:szCs w:val="24"/>
      <w:lang w:eastAsia="en-AU"/>
    </w:rPr>
  </w:style>
  <w:style w:type="paragraph" w:styleId="BalloonText">
    <w:name w:val="Balloon Text"/>
    <w:basedOn w:val="Normal"/>
    <w:link w:val="BalloonTextChar"/>
    <w:uiPriority w:val="99"/>
    <w:semiHidden/>
    <w:unhideWhenUsed/>
    <w:rsid w:val="00B852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244"/>
    <w:rPr>
      <w:rFonts w:ascii="Tahoma" w:hAnsi="Tahoma" w:cs="Tahoma"/>
      <w:sz w:val="16"/>
      <w:szCs w:val="16"/>
    </w:rPr>
  </w:style>
  <w:style w:type="paragraph" w:styleId="FootnoteText">
    <w:name w:val="footnote text"/>
    <w:basedOn w:val="Normal"/>
    <w:link w:val="FootnoteTextChar"/>
    <w:uiPriority w:val="99"/>
    <w:semiHidden/>
    <w:unhideWhenUsed/>
    <w:rsid w:val="00EC7A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7A96"/>
    <w:rPr>
      <w:sz w:val="20"/>
      <w:szCs w:val="20"/>
    </w:rPr>
  </w:style>
  <w:style w:type="character" w:styleId="FootnoteReference">
    <w:name w:val="footnote reference"/>
    <w:basedOn w:val="DefaultParagraphFont"/>
    <w:uiPriority w:val="99"/>
    <w:semiHidden/>
    <w:unhideWhenUsed/>
    <w:rsid w:val="00EC7A96"/>
    <w:rPr>
      <w:vertAlign w:val="superscript"/>
    </w:rPr>
  </w:style>
  <w:style w:type="paragraph" w:styleId="PlainText">
    <w:name w:val="Plain Text"/>
    <w:basedOn w:val="Normal"/>
    <w:link w:val="PlainTextChar"/>
    <w:rsid w:val="00A24554"/>
    <w:pPr>
      <w:spacing w:after="0" w:line="240" w:lineRule="auto"/>
    </w:pPr>
    <w:rPr>
      <w:rFonts w:ascii="Courier New" w:eastAsia="Times New Roman" w:hAnsi="Courier New" w:cs="Times New Roman"/>
      <w:sz w:val="20"/>
      <w:szCs w:val="20"/>
      <w:lang w:eastAsia="en-AU"/>
    </w:rPr>
  </w:style>
  <w:style w:type="character" w:customStyle="1" w:styleId="PlainTextChar">
    <w:name w:val="Plain Text Char"/>
    <w:basedOn w:val="DefaultParagraphFont"/>
    <w:link w:val="PlainText"/>
    <w:rsid w:val="00A24554"/>
    <w:rPr>
      <w:rFonts w:ascii="Courier New" w:eastAsia="Times New Roman" w:hAnsi="Courier New" w:cs="Times New Roman"/>
      <w:sz w:val="20"/>
      <w:szCs w:val="20"/>
      <w:lang w:eastAsia="en-AU"/>
    </w:rPr>
  </w:style>
  <w:style w:type="character" w:styleId="CommentReference">
    <w:name w:val="annotation reference"/>
    <w:basedOn w:val="DefaultParagraphFont"/>
    <w:uiPriority w:val="99"/>
    <w:semiHidden/>
    <w:unhideWhenUsed/>
    <w:rsid w:val="00653330"/>
    <w:rPr>
      <w:sz w:val="16"/>
      <w:szCs w:val="16"/>
    </w:rPr>
  </w:style>
  <w:style w:type="paragraph" w:styleId="CommentText">
    <w:name w:val="annotation text"/>
    <w:basedOn w:val="Normal"/>
    <w:link w:val="CommentTextChar"/>
    <w:uiPriority w:val="99"/>
    <w:unhideWhenUsed/>
    <w:rsid w:val="00653330"/>
    <w:pPr>
      <w:spacing w:line="240" w:lineRule="auto"/>
    </w:pPr>
    <w:rPr>
      <w:sz w:val="20"/>
      <w:szCs w:val="20"/>
    </w:rPr>
  </w:style>
  <w:style w:type="character" w:customStyle="1" w:styleId="CommentTextChar">
    <w:name w:val="Comment Text Char"/>
    <w:basedOn w:val="DefaultParagraphFont"/>
    <w:link w:val="CommentText"/>
    <w:uiPriority w:val="99"/>
    <w:rsid w:val="00653330"/>
    <w:rPr>
      <w:sz w:val="20"/>
      <w:szCs w:val="20"/>
    </w:rPr>
  </w:style>
  <w:style w:type="paragraph" w:styleId="CommentSubject">
    <w:name w:val="annotation subject"/>
    <w:basedOn w:val="CommentText"/>
    <w:next w:val="CommentText"/>
    <w:link w:val="CommentSubjectChar"/>
    <w:uiPriority w:val="99"/>
    <w:semiHidden/>
    <w:unhideWhenUsed/>
    <w:rsid w:val="00653330"/>
    <w:rPr>
      <w:b/>
      <w:bCs/>
    </w:rPr>
  </w:style>
  <w:style w:type="character" w:customStyle="1" w:styleId="CommentSubjectChar">
    <w:name w:val="Comment Subject Char"/>
    <w:basedOn w:val="CommentTextChar"/>
    <w:link w:val="CommentSubject"/>
    <w:uiPriority w:val="99"/>
    <w:semiHidden/>
    <w:rsid w:val="00653330"/>
    <w:rPr>
      <w:b/>
      <w:bCs/>
      <w:sz w:val="20"/>
      <w:szCs w:val="20"/>
    </w:rPr>
  </w:style>
  <w:style w:type="character" w:customStyle="1" w:styleId="Heading1Char">
    <w:name w:val="Heading 1 Char"/>
    <w:basedOn w:val="DefaultParagraphFont"/>
    <w:link w:val="Heading1"/>
    <w:uiPriority w:val="9"/>
    <w:rsid w:val="008936C5"/>
    <w:rPr>
      <w:rFonts w:ascii="Calibri" w:eastAsiaTheme="minorEastAsia" w:hAnsi="Calibri" w:cs="Times New Roman"/>
      <w:b/>
      <w:color w:val="000000"/>
      <w:sz w:val="22"/>
      <w:lang w:eastAsia="en-AU"/>
    </w:rPr>
  </w:style>
  <w:style w:type="character" w:customStyle="1" w:styleId="Heading2Char">
    <w:name w:val="Heading 2 Char"/>
    <w:basedOn w:val="DefaultParagraphFont"/>
    <w:link w:val="Heading2"/>
    <w:uiPriority w:val="9"/>
    <w:rsid w:val="00653330"/>
    <w:rPr>
      <w:rFonts w:ascii="Calibri" w:eastAsiaTheme="minorEastAsia" w:hAnsi="Calibri" w:cs="Times New Roman"/>
      <w:iCs/>
      <w:color w:val="000000"/>
      <w:sz w:val="22"/>
      <w:lang w:eastAsia="en-AU"/>
    </w:rPr>
  </w:style>
  <w:style w:type="character" w:styleId="Strong">
    <w:name w:val="Strong"/>
    <w:basedOn w:val="DefaultParagraphFont"/>
    <w:uiPriority w:val="22"/>
    <w:qFormat/>
    <w:rsid w:val="00653330"/>
    <w:rPr>
      <w:rFonts w:asciiTheme="minorHAnsi" w:hAnsiTheme="minorHAnsi"/>
      <w:b/>
      <w:bCs/>
      <w:sz w:val="22"/>
    </w:rPr>
  </w:style>
  <w:style w:type="character" w:styleId="IntenseEmphasis">
    <w:name w:val="Intense Emphasis"/>
    <w:basedOn w:val="DefaultParagraphFont"/>
    <w:uiPriority w:val="21"/>
    <w:qFormat/>
    <w:rsid w:val="00653330"/>
    <w:rPr>
      <w:rFonts w:asciiTheme="minorHAnsi" w:hAnsiTheme="minorHAnsi"/>
      <w:b/>
      <w:bCs/>
      <w:i/>
      <w:iCs/>
      <w:color w:val="auto"/>
      <w:sz w:val="22"/>
    </w:rPr>
  </w:style>
  <w:style w:type="paragraph" w:styleId="Header">
    <w:name w:val="header"/>
    <w:basedOn w:val="Normal"/>
    <w:link w:val="HeaderChar"/>
    <w:uiPriority w:val="99"/>
    <w:unhideWhenUsed/>
    <w:rsid w:val="00B72C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C02"/>
  </w:style>
  <w:style w:type="paragraph" w:styleId="Footer">
    <w:name w:val="footer"/>
    <w:basedOn w:val="Normal"/>
    <w:link w:val="FooterChar"/>
    <w:uiPriority w:val="99"/>
    <w:unhideWhenUsed/>
    <w:rsid w:val="00B72C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C02"/>
  </w:style>
  <w:style w:type="paragraph" w:styleId="Revision">
    <w:name w:val="Revision"/>
    <w:hidden/>
    <w:uiPriority w:val="99"/>
    <w:semiHidden/>
    <w:rsid w:val="006F26F9"/>
    <w:pPr>
      <w:spacing w:after="0" w:line="240" w:lineRule="auto"/>
    </w:pPr>
  </w:style>
  <w:style w:type="paragraph" w:styleId="ListParagraph">
    <w:name w:val="List Paragraph"/>
    <w:basedOn w:val="Normal"/>
    <w:uiPriority w:val="34"/>
    <w:qFormat/>
    <w:rsid w:val="00A61F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Proposal" ma:contentTypeID="0x01010074D0C9023F11DD4491EC4C53128AF42F01006C40B5ED74B3414DB5576316C7BFD36C" ma:contentTypeVersion="11" ma:contentTypeDescription="Create project proposal document" ma:contentTypeScope="" ma:versionID="24bc94ab6679af39be270b843e948f52">
  <xsd:schema xmlns:xsd="http://www.w3.org/2001/XMLSchema" xmlns:xs="http://www.w3.org/2001/XMLSchema" xmlns:p="http://schemas.microsoft.com/office/2006/metadata/properties" xmlns:ns2="1968325b-ff37-4c12-8874-b019e0ec7e46" xmlns:ns3="5e7f40d8-cffe-4c78-aa89-cf3a75383874" targetNamespace="http://schemas.microsoft.com/office/2006/metadata/properties" ma:root="true" ma:fieldsID="c7d9e840f7ac0f8b650bd152f8f947a0" ns2:_="" ns3:_="">
    <xsd:import namespace="1968325b-ff37-4c12-8874-b019e0ec7e46"/>
    <xsd:import namespace="5e7f40d8-cffe-4c78-aa89-cf3a75383874"/>
    <xsd:element name="properties">
      <xsd:complexType>
        <xsd:sequence>
          <xsd:element name="documentManagement">
            <xsd:complexType>
              <xsd:all>
                <xsd:element ref="ns2:Project_x0020_Name" minOccurs="0"/>
                <xsd:element ref="ns2:Project_x0020_Executive" minOccurs="0"/>
                <xsd:element ref="ns2:Project_x0020_Manager" minOccurs="0"/>
                <xsd:element ref="ns2:Executive_x0020_Sponsor" minOccurs="0"/>
                <xsd:element ref="ns3:Trim_x0020_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8325b-ff37-4c12-8874-b019e0ec7e46" elementFormDefault="qualified">
    <xsd:import namespace="http://schemas.microsoft.com/office/2006/documentManagement/types"/>
    <xsd:import namespace="http://schemas.microsoft.com/office/infopath/2007/PartnerControls"/>
    <xsd:element name="Project_x0020_Name" ma:index="3" nillable="true" ma:displayName="Project Name" ma:internalName="Project_x0020_Name" ma:readOnly="false">
      <xsd:simpleType>
        <xsd:restriction base="dms:Text">
          <xsd:maxLength value="255"/>
        </xsd:restriction>
      </xsd:simpleType>
    </xsd:element>
    <xsd:element name="Project_x0020_Executive" ma:index="4" nillable="true" ma:displayName="Project Executive" ma:internalName="Project_x0020_Executive" ma:readOnly="false">
      <xsd:simpleType>
        <xsd:restriction base="dms:Text">
          <xsd:maxLength value="255"/>
        </xsd:restriction>
      </xsd:simpleType>
    </xsd:element>
    <xsd:element name="Project_x0020_Manager" ma:index="5" nillable="true" ma:displayName="Project Manager" ma:internalName="Project_x0020_Manager" ma:readOnly="false">
      <xsd:simpleType>
        <xsd:restriction base="dms:Text">
          <xsd:maxLength value="255"/>
        </xsd:restriction>
      </xsd:simpleType>
    </xsd:element>
    <xsd:element name="Executive_x0020_Sponsor" ma:index="6" nillable="true" ma:displayName="Executive Sponsor" ma:description="Provide the name and title of the executive proposing this project" ma:internalName="Executive_x0020_Sponso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7f40d8-cffe-4c78-aa89-cf3a75383874" elementFormDefault="qualified">
    <xsd:import namespace="http://schemas.microsoft.com/office/2006/documentManagement/types"/>
    <xsd:import namespace="http://schemas.microsoft.com/office/infopath/2007/PartnerControls"/>
    <xsd:element name="Trim_x0020_Reference" ma:index="13" nillable="true" ma:displayName="Trim Reference" ma:description="Document reference in TRIM" ma:internalName="Trim_x0020_Referenc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Executive xmlns="1968325b-ff37-4c12-8874-b019e0ec7e46" xsi:nil="true"/>
    <Project_x0020_Manager xmlns="1968325b-ff37-4c12-8874-b019e0ec7e46" xsi:nil="true"/>
    <Executive_x0020_Sponsor xmlns="1968325b-ff37-4c12-8874-b019e0ec7e46" xsi:nil="true"/>
    <Project_x0020_Name xmlns="1968325b-ff37-4c12-8874-b019e0ec7e46" xsi:nil="true"/>
    <Trim_x0020_Reference xmlns="5e7f40d8-cffe-4c78-aa89-cf3a75383874"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DD5728-6A89-48BE-8202-C61D72CE28E9}">
  <ds:schemaRefs>
    <ds:schemaRef ds:uri="http://schemas.microsoft.com/sharepoint/v3/contenttype/forms"/>
  </ds:schemaRefs>
</ds:datastoreItem>
</file>

<file path=customXml/itemProps2.xml><?xml version="1.0" encoding="utf-8"?>
<ds:datastoreItem xmlns:ds="http://schemas.openxmlformats.org/officeDocument/2006/customXml" ds:itemID="{635FE26B-97D7-4BE1-A833-3FF1886FE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8325b-ff37-4c12-8874-b019e0ec7e46"/>
    <ds:schemaRef ds:uri="5e7f40d8-cffe-4c78-aa89-cf3a75383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96E830-7CEC-464C-B2B8-040940A4E165}">
  <ds:schemaRefs>
    <ds:schemaRef ds:uri="http://schemas.microsoft.com/office/2006/metadata/properties"/>
    <ds:schemaRef ds:uri="http://schemas.microsoft.com/office/infopath/2007/PartnerControls"/>
    <ds:schemaRef ds:uri="1968325b-ff37-4c12-8874-b019e0ec7e46"/>
    <ds:schemaRef ds:uri="5e7f40d8-cffe-4c78-aa89-cf3a75383874"/>
  </ds:schemaRefs>
</ds:datastoreItem>
</file>

<file path=customXml/itemProps4.xml><?xml version="1.0" encoding="utf-8"?>
<ds:datastoreItem xmlns:ds="http://schemas.openxmlformats.org/officeDocument/2006/customXml" ds:itemID="{3EB6CD2C-2A5F-4D14-AA72-A8C6F42E7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871</Words>
  <Characters>4924</Characters>
  <Application>Microsoft Office Word</Application>
  <DocSecurity>0</DocSecurity>
  <Lines>75</Lines>
  <Paragraphs>42</Paragraphs>
  <ScaleCrop>false</ScaleCrop>
  <HeadingPairs>
    <vt:vector size="2" baseType="variant">
      <vt:variant>
        <vt:lpstr>Title</vt:lpstr>
      </vt:variant>
      <vt:variant>
        <vt:i4>1</vt:i4>
      </vt:variant>
    </vt:vector>
  </HeadingPairs>
  <TitlesOfParts>
    <vt:vector size="1" baseType="lpstr">
      <vt:lpstr>Attachment D - 2020-21 APCS Independent Audit Report Clean Audit Opinion template v1.0</vt:lpstr>
    </vt:vector>
  </TitlesOfParts>
  <Company>Australian Government Department of Health, Disability &amp; Ageing</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APCS Independent Audit Report Clean Audit Opinion template v1.0</dc:title>
  <dc:subject>Aged Care</dc:subject>
  <dc:creator>Australian Government Department of Health, Disability &amp; Ageing</dc:creator>
  <cp:keywords/>
  <cp:lastModifiedBy>MASCHKE, Elvia</cp:lastModifiedBy>
  <cp:revision>64</cp:revision>
  <cp:lastPrinted>2016-07-21T12:33:00Z</cp:lastPrinted>
  <dcterms:created xsi:type="dcterms:W3CDTF">2026-07-30T06:19:00Z</dcterms:created>
  <dcterms:modified xsi:type="dcterms:W3CDTF">2026-08-03T04:24:00Z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ontentTypeId">
    <vt:lpwstr>0x01010074D0C9023F11DD4491EC4C53128AF42F01006C40B5ED74B3414DB5576316C7BFD36C</vt:lpwstr>
  </property>
  <property fmtid="{D5CDD505-2E9C-101B-9397-08002B2CF9AE}" pid="9" name="Order">
    <vt:r8>70217200</vt:r8>
  </property>
  <property fmtid="{D5CDD505-2E9C-101B-9397-08002B2CF9AE}" pid="10" name="Owner">
    <vt:lpwstr>ACQSC ACQSCD ACIB Prudential Compliance SN</vt:lpwstr>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TriggerFlowInfo">
    <vt:lpwstr/>
  </property>
  <property fmtid="{D5CDD505-2E9C-101B-9397-08002B2CF9AE}" pid="15" name="xd_Signature">
    <vt:bool>false</vt:bool>
  </property>
  <property fmtid="{D5CDD505-2E9C-101B-9397-08002B2CF9AE}" pid="16" name="RetentionSch">
    <vt:lpwstr>61967</vt:lpwstr>
  </property>
  <property fmtid="{D5CDD505-2E9C-101B-9397-08002B2CF9AE}" pid="17" name="ProvidedACRC">
    <vt:lpwstr>No</vt:lpwstr>
  </property>
  <property fmtid="{D5CDD505-2E9C-101B-9397-08002B2CF9AE}" pid="18" name="UniqueID0">
    <vt:lpwstr>216234789</vt:lpwstr>
  </property>
  <property fmtid="{D5CDD505-2E9C-101B-9397-08002B2CF9AE}" pid="19" name="DOS">
    <vt:lpwstr>A7216234789_Attachment D - 2020-21 APCS Independent Audit Report Clean Audit Opinion template (1).DOCX</vt:lpwstr>
  </property>
  <property fmtid="{D5CDD505-2E9C-101B-9397-08002B2CF9AE}" pid="20" name="MigrationSource">
    <vt:lpwstr>19. ACQSC Docs 10.txt</vt:lpwstr>
  </property>
  <property fmtid="{D5CDD505-2E9C-101B-9397-08002B2CF9AE}" pid="21" name="IMT">
    <vt:lpwstr>application/vnd.openxmlformats-officedocument.wordprocessingml.document</vt:lpwstr>
  </property>
  <property fmtid="{D5CDD505-2E9C-101B-9397-08002B2CF9AE}" pid="22" name="Creator">
    <vt:lpwstr>Todorovski, Laura</vt:lpwstr>
  </property>
  <property fmtid="{D5CDD505-2E9C-101B-9397-08002B2CF9AE}" pid="23" name="FirstPrev">
    <vt:lpwstr>D2021-01611187;</vt:lpwstr>
  </property>
  <property fmtid="{D5CDD505-2E9C-101B-9397-08002B2CF9AE}" pid="24" name="Sec">
    <vt:lpwstr>OFFICIAL</vt:lpwstr>
  </property>
  <property fmtid="{D5CDD505-2E9C-101B-9397-08002B2CF9AE}" pid="25" name="RecordType">
    <vt:lpwstr>Corporate Document</vt:lpwstr>
  </property>
  <property fmtid="{D5CDD505-2E9C-101B-9397-08002B2CF9AE}" pid="26" name="ClassificationContentMarkingHeaderShapeIds">
    <vt:lpwstr>1227bcda,5332a529,20e1d64f</vt:lpwstr>
  </property>
  <property fmtid="{D5CDD505-2E9C-101B-9397-08002B2CF9AE}" pid="27" name="ClassificationContentMarkingHeaderFontProps">
    <vt:lpwstr>#ff0000,12,Aptos</vt:lpwstr>
  </property>
  <property fmtid="{D5CDD505-2E9C-101B-9397-08002B2CF9AE}" pid="28" name="ClassificationContentMarkingHeaderText">
    <vt:lpwstr>OFFICIAL</vt:lpwstr>
  </property>
  <property fmtid="{D5CDD505-2E9C-101B-9397-08002B2CF9AE}" pid="29" name="ClassificationContentMarkingFooterShapeIds">
    <vt:lpwstr>58b729f7,4462a144,7f713d05</vt:lpwstr>
  </property>
  <property fmtid="{D5CDD505-2E9C-101B-9397-08002B2CF9AE}" pid="30" name="ClassificationContentMarkingFooterFontProps">
    <vt:lpwstr>#ff0000,12,Aptos</vt:lpwstr>
  </property>
  <property fmtid="{D5CDD505-2E9C-101B-9397-08002B2CF9AE}" pid="31" name="ClassificationContentMarkingFooterText">
    <vt:lpwstr>OFFICIAL</vt:lpwstr>
  </property>
  <property fmtid="{D5CDD505-2E9C-101B-9397-08002B2CF9AE}" pid="32" name="MSIP_Label_7cd3e8b9-ffed-43a8-b7f4-cc2fa0382d36_Enabled">
    <vt:lpwstr>true</vt:lpwstr>
  </property>
  <property fmtid="{D5CDD505-2E9C-101B-9397-08002B2CF9AE}" pid="33" name="MSIP_Label_7cd3e8b9-ffed-43a8-b7f4-cc2fa0382d36_SetDate">
    <vt:lpwstr>2026-07-30T06:19:47Z</vt:lpwstr>
  </property>
  <property fmtid="{D5CDD505-2E9C-101B-9397-08002B2CF9AE}" pid="34" name="MSIP_Label_7cd3e8b9-ffed-43a8-b7f4-cc2fa0382d36_Method">
    <vt:lpwstr>Privileged</vt:lpwstr>
  </property>
  <property fmtid="{D5CDD505-2E9C-101B-9397-08002B2CF9AE}" pid="35" name="MSIP_Label_7cd3e8b9-ffed-43a8-b7f4-cc2fa0382d36_Name">
    <vt:lpwstr>O</vt:lpwstr>
  </property>
  <property fmtid="{D5CDD505-2E9C-101B-9397-08002B2CF9AE}" pid="36" name="MSIP_Label_7cd3e8b9-ffed-43a8-b7f4-cc2fa0382d36_SiteId">
    <vt:lpwstr>34a3929c-73cf-4954-abfe-147dc3517892</vt:lpwstr>
  </property>
  <property fmtid="{D5CDD505-2E9C-101B-9397-08002B2CF9AE}" pid="37" name="MSIP_Label_7cd3e8b9-ffed-43a8-b7f4-cc2fa0382d36_ActionId">
    <vt:lpwstr>e105682d-e1c2-4228-b8b3-cd220a42c571</vt:lpwstr>
  </property>
  <property fmtid="{D5CDD505-2E9C-101B-9397-08002B2CF9AE}" pid="38" name="MSIP_Label_7cd3e8b9-ffed-43a8-b7f4-cc2fa0382d36_ContentBits">
    <vt:lpwstr>3</vt:lpwstr>
  </property>
  <property fmtid="{D5CDD505-2E9C-101B-9397-08002B2CF9AE}" pid="39" name="MSIP_Label_7cd3e8b9-ffed-43a8-b7f4-cc2fa0382d36_Tag">
    <vt:lpwstr>10, 0, 1, 2</vt:lpwstr>
  </property>
</Properties>
</file>