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8183" w14:textId="4956BB74" w:rsidR="00751A23" w:rsidRDefault="004315A4" w:rsidP="00751A23">
      <w:pPr>
        <w:pStyle w:val="Title"/>
      </w:pPr>
      <w:r>
        <w:t>Technical Advisory Group</w:t>
      </w:r>
      <w:r w:rsidR="002C37E6">
        <w:t xml:space="preserve"> on NDIS </w:t>
      </w:r>
      <w:r w:rsidR="00351FEE">
        <w:t>Functional Capacity</w:t>
      </w:r>
    </w:p>
    <w:p w14:paraId="69CA42FF" w14:textId="77777777" w:rsidR="00751A23" w:rsidRDefault="007673DD" w:rsidP="00751A23">
      <w:pPr>
        <w:pStyle w:val="Subtitle"/>
      </w:pPr>
      <w:r>
        <w:t>Terms of Reference</w:t>
      </w:r>
    </w:p>
    <w:p w14:paraId="407AF4C3" w14:textId="77777777" w:rsidR="00181453" w:rsidRPr="00181453" w:rsidRDefault="00181453" w:rsidP="00181453"/>
    <w:p w14:paraId="624A73ED" w14:textId="664F1F5A" w:rsidR="00181453" w:rsidRPr="00181453" w:rsidRDefault="00181453" w:rsidP="00181453">
      <w:pPr>
        <w:sectPr w:rsidR="00181453" w:rsidRPr="0018145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6C350242" w14:textId="47025C14" w:rsidR="00AB0716" w:rsidRPr="00715E65" w:rsidRDefault="004315A4" w:rsidP="000F5B09">
      <w:pPr>
        <w:pStyle w:val="Heading3"/>
        <w:spacing w:before="120" w:after="120"/>
      </w:pPr>
      <w:r>
        <w:lastRenderedPageBreak/>
        <w:t xml:space="preserve">Purpose of the </w:t>
      </w:r>
      <w:r w:rsidR="009516F6">
        <w:t xml:space="preserve">Technical </w:t>
      </w:r>
      <w:r>
        <w:t xml:space="preserve">Advisory Group </w:t>
      </w:r>
    </w:p>
    <w:p w14:paraId="09C7B0C2" w14:textId="1E0014FF" w:rsidR="004315A4" w:rsidRDefault="000F5B09" w:rsidP="000F5B09">
      <w:pPr>
        <w:jc w:val="both"/>
      </w:pPr>
      <w:r>
        <w:t xml:space="preserve">Established by the </w:t>
      </w:r>
      <w:r w:rsidRPr="00681D3A">
        <w:t xml:space="preserve">Hon Mark Butler MP, Minister for Health and Ageing and </w:t>
      </w:r>
      <w:r w:rsidR="00181453">
        <w:t xml:space="preserve">the </w:t>
      </w:r>
      <w:r w:rsidRPr="00681D3A">
        <w:t>Minister for Disability and the N</w:t>
      </w:r>
      <w:r w:rsidR="00181453">
        <w:t xml:space="preserve">ational </w:t>
      </w:r>
      <w:r w:rsidRPr="00681D3A">
        <w:t>D</w:t>
      </w:r>
      <w:r w:rsidR="00181453">
        <w:t xml:space="preserve">isability </w:t>
      </w:r>
      <w:r w:rsidRPr="00681D3A">
        <w:t>I</w:t>
      </w:r>
      <w:r w:rsidR="00181453">
        <w:t xml:space="preserve">nsurance </w:t>
      </w:r>
      <w:r w:rsidRPr="00681D3A">
        <w:t>S</w:t>
      </w:r>
      <w:r w:rsidR="00181453">
        <w:t>cheme</w:t>
      </w:r>
      <w:r w:rsidR="00C81408">
        <w:t xml:space="preserve"> (NDIS)</w:t>
      </w:r>
      <w:r w:rsidRPr="00DD290E">
        <w:t>,</w:t>
      </w:r>
      <w:r w:rsidR="00181453">
        <w:t xml:space="preserve"> t</w:t>
      </w:r>
      <w:r w:rsidR="00AB0716">
        <w:t>h</w:t>
      </w:r>
      <w:r w:rsidR="004315A4">
        <w:t>e Technical Advisory Group (TAG) will bring together national expert</w:t>
      </w:r>
      <w:r w:rsidR="00181453">
        <w:t xml:space="preserve">ise </w:t>
      </w:r>
      <w:r w:rsidR="004315A4">
        <w:t>to provide independent, evidence-based advice to support the development of a robust consistent assessment framework for assessing substantial</w:t>
      </w:r>
      <w:r w:rsidR="00B6230F">
        <w:t>ly</w:t>
      </w:r>
      <w:r w:rsidR="004315A4">
        <w:t xml:space="preserve"> reduc</w:t>
      </w:r>
      <w:r w:rsidR="00B6230F">
        <w:t>ed</w:t>
      </w:r>
      <w:r w:rsidR="004315A4">
        <w:t xml:space="preserve"> functional capacity</w:t>
      </w:r>
      <w:r w:rsidR="00B6230F">
        <w:t xml:space="preserve"> (</w:t>
      </w:r>
      <w:r w:rsidR="00FA3B88">
        <w:t>SRFC)</w:t>
      </w:r>
      <w:r w:rsidR="004315A4">
        <w:t xml:space="preserve"> for the purposes of NDIS access. </w:t>
      </w:r>
      <w:r w:rsidR="00A85A12">
        <w:t xml:space="preserve">This will include advice on reforms to </w:t>
      </w:r>
      <w:r w:rsidR="000939FF">
        <w:t xml:space="preserve">NDIS </w:t>
      </w:r>
      <w:r w:rsidR="004D4C14">
        <w:t xml:space="preserve">access </w:t>
      </w:r>
      <w:r w:rsidR="000939FF">
        <w:t>criteria</w:t>
      </w:r>
      <w:r w:rsidR="005049F0">
        <w:t>.</w:t>
      </w:r>
      <w:r w:rsidR="00A85A12">
        <w:t xml:space="preserve"> </w:t>
      </w:r>
    </w:p>
    <w:p w14:paraId="190FCF66" w14:textId="7E9E5CD3" w:rsidR="004315A4" w:rsidRDefault="000939FF" w:rsidP="605B564B">
      <w:pPr>
        <w:jc w:val="both"/>
      </w:pPr>
      <w:r>
        <w:t>T</w:t>
      </w:r>
      <w:r w:rsidR="004315A4">
        <w:t>he TAG</w:t>
      </w:r>
      <w:r w:rsidR="007E1FA9">
        <w:t xml:space="preserve"> will be co-convened by Minister Butler and </w:t>
      </w:r>
      <w:r w:rsidR="121BF175" w:rsidRPr="605B564B">
        <w:rPr>
          <w:rFonts w:eastAsia="Arial" w:cs="Arial"/>
          <w:szCs w:val="22"/>
        </w:rPr>
        <w:t>Ms Suzanne Orr MLA, ACT Minister for Disability, Carers and Community Services</w:t>
      </w:r>
      <w:r w:rsidR="00B337E1">
        <w:t>, nominated by the Disability Reform Ministerial Council (DRMC). It will provide reports directly to the DRMC. The TAG will be</w:t>
      </w:r>
      <w:r w:rsidR="001A33E1">
        <w:t xml:space="preserve"> co-chaired by</w:t>
      </w:r>
      <w:r w:rsidR="0017286F">
        <w:t xml:space="preserve"> Professor Christine Imms and </w:t>
      </w:r>
      <w:r w:rsidR="007E1FA9">
        <w:t>Deputy Secretary</w:t>
      </w:r>
      <w:r w:rsidR="00315E79">
        <w:t>, Disability and Carers</w:t>
      </w:r>
      <w:r w:rsidR="0062721E">
        <w:t xml:space="preserve"> Group</w:t>
      </w:r>
      <w:r w:rsidR="00315E79">
        <w:t>,</w:t>
      </w:r>
      <w:r w:rsidR="007E1FA9">
        <w:t xml:space="preserve"> </w:t>
      </w:r>
      <w:r w:rsidR="0050158D">
        <w:t xml:space="preserve">Mary </w:t>
      </w:r>
      <w:r w:rsidR="007E1FA9">
        <w:t>Wood</w:t>
      </w:r>
      <w:r w:rsidR="00E70560">
        <w:t>.</w:t>
      </w:r>
      <w:r w:rsidR="001A33E1">
        <w:t xml:space="preserve"> </w:t>
      </w:r>
      <w:r w:rsidR="007E1FA9">
        <w:t>It</w:t>
      </w:r>
      <w:r w:rsidR="004315A4">
        <w:t xml:space="preserve"> will guide the identification, design and integration of appropriate assessment approaches, tools and thresholds to ensure access decisions are equitable, consistent and aligned with </w:t>
      </w:r>
      <w:r w:rsidR="0062721E">
        <w:t xml:space="preserve">best practice and </w:t>
      </w:r>
      <w:r w:rsidR="004315A4">
        <w:t xml:space="preserve">the original intent of the Scheme. </w:t>
      </w:r>
    </w:p>
    <w:p w14:paraId="73820861" w14:textId="7E521C87" w:rsidR="00EB5A8C" w:rsidRDefault="00342EFA" w:rsidP="000F5B09">
      <w:pPr>
        <w:shd w:val="clear" w:color="auto" w:fill="FFFFFF" w:themeFill="background1"/>
      </w:pPr>
      <w:r>
        <w:t>The TAG will progress advice through three phases:</w:t>
      </w:r>
    </w:p>
    <w:p w14:paraId="4F93B704" w14:textId="6CBC93F6" w:rsidR="00181453" w:rsidRPr="00181453" w:rsidRDefault="00181453" w:rsidP="00181453">
      <w:pPr>
        <w:pStyle w:val="ListParagraph"/>
        <w:numPr>
          <w:ilvl w:val="0"/>
          <w:numId w:val="38"/>
        </w:numPr>
        <w:shd w:val="clear" w:color="auto" w:fill="FFFFFF" w:themeFill="background1"/>
        <w:ind w:left="714" w:hanging="357"/>
        <w:contextualSpacing w:val="0"/>
      </w:pPr>
      <w:r w:rsidRPr="00181453">
        <w:rPr>
          <w:b/>
          <w:bCs/>
        </w:rPr>
        <w:t xml:space="preserve">Assessment Framework and Design Principles: </w:t>
      </w:r>
      <w:r>
        <w:t>E</w:t>
      </w:r>
      <w:r w:rsidRPr="0010199E">
        <w:t xml:space="preserve">stablish a shared evidence-informed </w:t>
      </w:r>
      <w:r w:rsidRPr="00181453">
        <w:rPr>
          <w:rFonts w:cstheme="minorHAnsi"/>
          <w:bCs/>
          <w:szCs w:val="22"/>
        </w:rPr>
        <w:t xml:space="preserve">conceptual </w:t>
      </w:r>
      <w:r w:rsidRPr="00181453">
        <w:rPr>
          <w:rFonts w:cstheme="minorHAnsi"/>
          <w:szCs w:val="22"/>
        </w:rPr>
        <w:t xml:space="preserve">framework </w:t>
      </w:r>
      <w:r w:rsidRPr="00181453">
        <w:rPr>
          <w:rFonts w:cstheme="minorHAnsi"/>
          <w:bCs/>
          <w:szCs w:val="22"/>
        </w:rPr>
        <w:t xml:space="preserve">for </w:t>
      </w:r>
      <w:r w:rsidRPr="00181453">
        <w:rPr>
          <w:rFonts w:cstheme="minorHAnsi"/>
          <w:szCs w:val="22"/>
        </w:rPr>
        <w:t xml:space="preserve">assessing </w:t>
      </w:r>
      <w:r w:rsidRPr="00181453">
        <w:rPr>
          <w:rFonts w:cstheme="minorHAnsi"/>
          <w:bCs/>
          <w:szCs w:val="22"/>
        </w:rPr>
        <w:t xml:space="preserve">SRFC </w:t>
      </w:r>
      <w:r w:rsidRPr="00181453">
        <w:rPr>
          <w:rFonts w:cstheme="minorHAnsi"/>
          <w:szCs w:val="22"/>
        </w:rPr>
        <w:t>for NDIS access</w:t>
      </w:r>
      <w:r w:rsidRPr="00181453">
        <w:rPr>
          <w:rFonts w:cstheme="minorHAnsi"/>
          <w:bCs/>
          <w:szCs w:val="22"/>
        </w:rPr>
        <w:t xml:space="preserve">, grounded in the objects and principles of the NDIS. This Assessment Framework will provide a structured and consistent foundation for operationalising the assessment of SRFC.   </w:t>
      </w:r>
    </w:p>
    <w:p w14:paraId="7E6E6173" w14:textId="19DC94CB" w:rsidR="00181453" w:rsidRDefault="004D4C14" w:rsidP="00181453">
      <w:pPr>
        <w:pStyle w:val="ListParagraph"/>
        <w:numPr>
          <w:ilvl w:val="0"/>
          <w:numId w:val="38"/>
        </w:numPr>
        <w:shd w:val="clear" w:color="auto" w:fill="FFFFFF" w:themeFill="background1"/>
        <w:contextualSpacing w:val="0"/>
      </w:pPr>
      <w:r>
        <w:rPr>
          <w:b/>
          <w:bCs/>
        </w:rPr>
        <w:t>Advice on the A</w:t>
      </w:r>
      <w:r w:rsidR="00BF2B6A" w:rsidRPr="00181453">
        <w:rPr>
          <w:b/>
          <w:bCs/>
        </w:rPr>
        <w:t>ssessment Model Design and Options</w:t>
      </w:r>
      <w:r w:rsidR="00181453" w:rsidRPr="00181453">
        <w:rPr>
          <w:b/>
          <w:bCs/>
        </w:rPr>
        <w:t xml:space="preserve">: </w:t>
      </w:r>
      <w:r w:rsidR="00B01B0B">
        <w:t>A</w:t>
      </w:r>
      <w:r w:rsidR="005529FB" w:rsidRPr="005529FB">
        <w:t xml:space="preserve">dvise on feasible assessment methodologies </w:t>
      </w:r>
      <w:r w:rsidR="009E0E5A">
        <w:t>to assess SRFC</w:t>
      </w:r>
      <w:r w:rsidR="005529FB" w:rsidRPr="005529FB">
        <w:t>,</w:t>
      </w:r>
      <w:r w:rsidR="00A262F0">
        <w:t xml:space="preserve"> in line with the Assessment Framework. This</w:t>
      </w:r>
      <w:r w:rsidR="00071676">
        <w:t xml:space="preserve"> will</w:t>
      </w:r>
      <w:r w:rsidR="005529FB" w:rsidRPr="005529FB">
        <w:t xml:space="preserve"> includ</w:t>
      </w:r>
      <w:r w:rsidR="00071676">
        <w:t xml:space="preserve">e the identification of </w:t>
      </w:r>
      <w:r w:rsidR="005529FB" w:rsidRPr="005529FB">
        <w:t>assessment tools, evidence</w:t>
      </w:r>
      <w:r w:rsidR="001749AB">
        <w:t xml:space="preserve"> </w:t>
      </w:r>
      <w:r w:rsidR="005529FB" w:rsidRPr="005529FB">
        <w:t>requirements and threshold options</w:t>
      </w:r>
      <w:r w:rsidR="00F056DE">
        <w:t xml:space="preserve"> </w:t>
      </w:r>
      <w:r w:rsidR="00956F65">
        <w:t>to inform NDIS access</w:t>
      </w:r>
      <w:r w:rsidR="00063B88">
        <w:t>.</w:t>
      </w:r>
      <w:r w:rsidR="001749AB">
        <w:t xml:space="preserve"> This includes options to streamline assessment approaches for those who will clearly meet the NDIS access criteria.</w:t>
      </w:r>
    </w:p>
    <w:p w14:paraId="7305DF62" w14:textId="416E1A01" w:rsidR="00E45E97" w:rsidRDefault="00181453" w:rsidP="00181453">
      <w:pPr>
        <w:pStyle w:val="ListParagraph"/>
        <w:numPr>
          <w:ilvl w:val="0"/>
          <w:numId w:val="38"/>
        </w:numPr>
        <w:shd w:val="clear" w:color="auto" w:fill="FFFFFF" w:themeFill="background1"/>
        <w:contextualSpacing w:val="0"/>
      </w:pPr>
      <w:r w:rsidRPr="00181453">
        <w:rPr>
          <w:b/>
          <w:bCs/>
        </w:rPr>
        <w:t xml:space="preserve">Implementation Readiness and Design: </w:t>
      </w:r>
      <w:r w:rsidR="00B01B0B">
        <w:t>P</w:t>
      </w:r>
      <w:r w:rsidR="00532930" w:rsidRPr="00532930">
        <w:t xml:space="preserve">rovide technical advice to support implementation, testing and validation of the proposed assessment approach ahead of statutory </w:t>
      </w:r>
      <w:r w:rsidR="003A7D04">
        <w:t>NDIS r</w:t>
      </w:r>
      <w:r w:rsidR="00532930" w:rsidRPr="00532930">
        <w:t>ules development</w:t>
      </w:r>
      <w:r w:rsidR="003F0569">
        <w:t>.</w:t>
      </w:r>
    </w:p>
    <w:p w14:paraId="2B3DBBAF" w14:textId="2067E432" w:rsidR="002C08E1" w:rsidRDefault="007564C3" w:rsidP="000F5B09">
      <w:pPr>
        <w:pStyle w:val="Heading3"/>
        <w:spacing w:before="120" w:after="120"/>
        <w:contextualSpacing/>
        <w:rPr>
          <w:rFonts w:cs="Times New Roman"/>
          <w:b w:val="0"/>
          <w:bCs w:val="0"/>
          <w:color w:val="000000" w:themeColor="text1"/>
          <w:sz w:val="22"/>
          <w:szCs w:val="24"/>
        </w:rPr>
      </w:pPr>
      <w:r>
        <w:t>Background</w:t>
      </w:r>
    </w:p>
    <w:p w14:paraId="6679FAFD" w14:textId="0202EB59" w:rsidR="007564C3" w:rsidRPr="00F20153" w:rsidRDefault="00720022" w:rsidP="000F5B09">
      <w:pPr>
        <w:jc w:val="both"/>
      </w:pPr>
      <w:r w:rsidRPr="00720022">
        <w:t>The NDIS Review found the current approach to accessing the Scheme is inconsistent and inequitable and not always targeted to people with disability who require the most support. This has led to unfair outcomes and contributed to participant numbers well beyond its original intent of supporting people with significant and permanent disability. </w:t>
      </w:r>
    </w:p>
    <w:p w14:paraId="73A9C129" w14:textId="6E0759D9" w:rsidR="00570CD5" w:rsidRDefault="007564C3" w:rsidP="000F5B09">
      <w:pPr>
        <w:jc w:val="both"/>
      </w:pPr>
      <w:r>
        <w:t xml:space="preserve">In </w:t>
      </w:r>
      <w:r w:rsidR="001A33E1">
        <w:t>January</w:t>
      </w:r>
      <w:r>
        <w:t xml:space="preserve"> 2026 National Cabinet agreed to progress reforms to NDIS eligibility criteria to support the implementation of Thriving Kids and the broader sustainability of the NDIS. The Commonwealth is </w:t>
      </w:r>
      <w:r w:rsidR="006F6078">
        <w:t xml:space="preserve">continuing to </w:t>
      </w:r>
      <w:r>
        <w:t xml:space="preserve">work together with states and territories to implement these reforms. </w:t>
      </w:r>
    </w:p>
    <w:p w14:paraId="2C38D7A6" w14:textId="60767827" w:rsidR="000D670C" w:rsidRPr="000D670C" w:rsidRDefault="004D4C14" w:rsidP="000D670C">
      <w:pPr>
        <w:jc w:val="both"/>
      </w:pPr>
      <w:r>
        <w:t>On 1</w:t>
      </w:r>
      <w:r w:rsidR="00C26406">
        <w:t>4</w:t>
      </w:r>
      <w:r>
        <w:t xml:space="preserve"> May 2026, the </w:t>
      </w:r>
      <w:r w:rsidR="000D670C">
        <w:t>National Disability Insurance Scheme Amendment (Securing the NDIS for Future Generations) Bill 2026 (the Bill) was introduced to</w:t>
      </w:r>
      <w:r w:rsidR="009460BE">
        <w:t xml:space="preserve"> amend</w:t>
      </w:r>
      <w:r w:rsidR="000D670C">
        <w:t xml:space="preserve"> the </w:t>
      </w:r>
      <w:r w:rsidR="000D670C" w:rsidRPr="0731B3D2">
        <w:rPr>
          <w:i/>
          <w:iCs/>
        </w:rPr>
        <w:t xml:space="preserve">National Disability Insurance Scheme Act 2013. </w:t>
      </w:r>
      <w:r w:rsidR="000D670C">
        <w:t>The Bill establishes the legal framework for determining access to the NDIS based on substantially reduced functional capacity</w:t>
      </w:r>
      <w:r w:rsidR="00BA3493">
        <w:t xml:space="preserve"> and </w:t>
      </w:r>
      <w:r w:rsidR="1B45CB71">
        <w:t>whether an impairment could be considered</w:t>
      </w:r>
      <w:r w:rsidR="00BA3493">
        <w:t xml:space="preserve"> </w:t>
      </w:r>
      <w:r w:rsidR="007B11B7">
        <w:t>permanen</w:t>
      </w:r>
      <w:r w:rsidR="0D8FAE26">
        <w:t>t</w:t>
      </w:r>
      <w:r w:rsidR="000D670C">
        <w:t>. It also provides a definition of functional capacity</w:t>
      </w:r>
      <w:r w:rsidR="00DE1EEA">
        <w:t xml:space="preserve">, </w:t>
      </w:r>
      <w:r w:rsidR="00DE1EEA" w:rsidRPr="00DE1EEA">
        <w:t>aligned with the World Health Organization’s International Classification of Functioning, Disability and Health Framework (ICF), which distinguishes between “capacity” and “performance”</w:t>
      </w:r>
      <w:r w:rsidR="00DE1EEA">
        <w:t>. It also includes a definition of</w:t>
      </w:r>
      <w:r w:rsidR="00313AD2">
        <w:t xml:space="preserve"> appropriate treatment</w:t>
      </w:r>
      <w:r w:rsidR="43EB3959">
        <w:t xml:space="preserve"> that would be likely to </w:t>
      </w:r>
      <w:r w:rsidR="0096216C">
        <w:t>improve</w:t>
      </w:r>
      <w:r w:rsidR="43EB3959">
        <w:t xml:space="preserve"> </w:t>
      </w:r>
      <w:r w:rsidR="0096216C">
        <w:t xml:space="preserve">or alleviate </w:t>
      </w:r>
      <w:r w:rsidR="43EB3959">
        <w:t>the impairment</w:t>
      </w:r>
      <w:r w:rsidR="000D670C">
        <w:t xml:space="preserve">. </w:t>
      </w:r>
    </w:p>
    <w:p w14:paraId="580AA1C4" w14:textId="3BDAE93E" w:rsidR="00132F06" w:rsidRPr="00681D3A" w:rsidRDefault="00132F06" w:rsidP="000F5B09">
      <w:pPr>
        <w:pStyle w:val="Heading3"/>
        <w:spacing w:before="120" w:after="120"/>
        <w:contextualSpacing/>
      </w:pPr>
      <w:r w:rsidRPr="00681D3A">
        <w:lastRenderedPageBreak/>
        <w:t xml:space="preserve">Guiding Principles </w:t>
      </w:r>
    </w:p>
    <w:p w14:paraId="2AECD058" w14:textId="2D2327DA" w:rsidR="00132F06" w:rsidRPr="00132F06" w:rsidRDefault="00132F06" w:rsidP="000F5B09">
      <w:pPr>
        <w:keepNext/>
        <w:spacing w:line="240" w:lineRule="auto"/>
        <w:rPr>
          <w:rFonts w:cstheme="minorHAnsi"/>
          <w:szCs w:val="22"/>
        </w:rPr>
      </w:pPr>
      <w:r w:rsidRPr="00132F06">
        <w:rPr>
          <w:rFonts w:cstheme="minorHAnsi"/>
          <w:szCs w:val="22"/>
        </w:rPr>
        <w:t>The TAG’s advice will be guided by the following principles:</w:t>
      </w:r>
    </w:p>
    <w:p w14:paraId="5A018846" w14:textId="1BBE8451" w:rsidR="00132F06" w:rsidRPr="00132F06" w:rsidRDefault="00132F06" w:rsidP="000F5B09">
      <w:pPr>
        <w:pStyle w:val="ListParagraph"/>
        <w:numPr>
          <w:ilvl w:val="0"/>
          <w:numId w:val="33"/>
        </w:numPr>
        <w:shd w:val="clear" w:color="auto" w:fill="FFFFFF" w:themeFill="background1"/>
      </w:pPr>
      <w:r w:rsidRPr="00132F06">
        <w:t>Participant</w:t>
      </w:r>
      <w:r w:rsidRPr="00132F06">
        <w:noBreakHyphen/>
        <w:t xml:space="preserve">centred and </w:t>
      </w:r>
      <w:r w:rsidR="00567540">
        <w:t xml:space="preserve">based on </w:t>
      </w:r>
      <w:r w:rsidRPr="00132F06">
        <w:t>functional</w:t>
      </w:r>
      <w:r w:rsidR="00EB0045">
        <w:t xml:space="preserve"> </w:t>
      </w:r>
      <w:r w:rsidR="00567540">
        <w:t>capacity</w:t>
      </w:r>
      <w:r w:rsidRPr="00132F06">
        <w:t>, not diagnosis</w:t>
      </w:r>
    </w:p>
    <w:p w14:paraId="07D5CA23" w14:textId="33EF6295" w:rsidR="00132F06" w:rsidRPr="00132F06" w:rsidRDefault="00132F06" w:rsidP="000F5B09">
      <w:pPr>
        <w:pStyle w:val="ListParagraph"/>
        <w:numPr>
          <w:ilvl w:val="0"/>
          <w:numId w:val="33"/>
        </w:numPr>
        <w:shd w:val="clear" w:color="auto" w:fill="FFFFFF" w:themeFill="background1"/>
      </w:pPr>
      <w:r w:rsidRPr="00132F06">
        <w:t>Consistent with the objects and principles of the NDIS Act</w:t>
      </w:r>
      <w:r w:rsidR="00EB0045">
        <w:t xml:space="preserve">, including Australia’s human rights obligations </w:t>
      </w:r>
    </w:p>
    <w:p w14:paraId="25E090E7" w14:textId="29607C84" w:rsidR="00DF42B3" w:rsidRPr="00132F06" w:rsidRDefault="00DF42B3" w:rsidP="00DF42B3">
      <w:pPr>
        <w:pStyle w:val="ListParagraph"/>
        <w:numPr>
          <w:ilvl w:val="0"/>
          <w:numId w:val="33"/>
        </w:numPr>
        <w:shd w:val="clear" w:color="auto" w:fill="FFFFFF" w:themeFill="background1"/>
      </w:pPr>
      <w:r>
        <w:t>Informed by lived experience</w:t>
      </w:r>
      <w:r w:rsidR="009819C5">
        <w:t xml:space="preserve">, including </w:t>
      </w:r>
      <w:r w:rsidR="00495E58">
        <w:t xml:space="preserve">consideration of </w:t>
      </w:r>
      <w:r w:rsidR="009819C5">
        <w:t>participants</w:t>
      </w:r>
      <w:r w:rsidR="005A15D8">
        <w:t>,</w:t>
      </w:r>
      <w:r w:rsidR="009819C5">
        <w:t xml:space="preserve"> families and carers</w:t>
      </w:r>
    </w:p>
    <w:p w14:paraId="2FB858FD" w14:textId="77777777" w:rsidR="00132F06" w:rsidRDefault="00132F06" w:rsidP="000F5B09">
      <w:pPr>
        <w:pStyle w:val="ListParagraph"/>
        <w:numPr>
          <w:ilvl w:val="0"/>
          <w:numId w:val="33"/>
        </w:numPr>
        <w:shd w:val="clear" w:color="auto" w:fill="FFFFFF" w:themeFill="background1"/>
      </w:pPr>
      <w:r w:rsidRPr="00132F06">
        <w:t>Evidence</w:t>
      </w:r>
      <w:r w:rsidRPr="00132F06">
        <w:noBreakHyphen/>
        <w:t>based and clinically informed</w:t>
      </w:r>
    </w:p>
    <w:p w14:paraId="4E3AA532" w14:textId="77777777" w:rsidR="00132F06" w:rsidRPr="00132F06" w:rsidRDefault="00132F06" w:rsidP="000F5B09">
      <w:pPr>
        <w:pStyle w:val="ListParagraph"/>
        <w:numPr>
          <w:ilvl w:val="0"/>
          <w:numId w:val="33"/>
        </w:numPr>
        <w:shd w:val="clear" w:color="auto" w:fill="FFFFFF" w:themeFill="background1"/>
      </w:pPr>
      <w:r w:rsidRPr="00132F06">
        <w:t>Equitable and non</w:t>
      </w:r>
      <w:r w:rsidRPr="00132F06">
        <w:noBreakHyphen/>
        <w:t>discriminatory, including for episodic and psychosocial disability</w:t>
      </w:r>
    </w:p>
    <w:p w14:paraId="3AE04D59" w14:textId="0A964C00" w:rsidR="00132F06" w:rsidRPr="00132F06" w:rsidRDefault="00132F06" w:rsidP="000F5B09">
      <w:pPr>
        <w:pStyle w:val="ListParagraph"/>
        <w:numPr>
          <w:ilvl w:val="0"/>
          <w:numId w:val="33"/>
        </w:numPr>
        <w:shd w:val="clear" w:color="auto" w:fill="FFFFFF" w:themeFill="background1"/>
      </w:pPr>
      <w:r w:rsidRPr="00132F06">
        <w:t>Proportionate and accessible, avoiding unnecessary administrative burden</w:t>
      </w:r>
      <w:r w:rsidR="000F7F8B">
        <w:t>.</w:t>
      </w:r>
    </w:p>
    <w:p w14:paraId="1AC08F85" w14:textId="1FABCC33" w:rsidR="00AB0716" w:rsidRPr="00CA4BE3" w:rsidRDefault="00A92A6E" w:rsidP="000F5B09">
      <w:pPr>
        <w:pStyle w:val="Heading3"/>
        <w:spacing w:before="120" w:after="120"/>
        <w:contextualSpacing/>
      </w:pPr>
      <w:r>
        <w:t>Roles and Responsibilities</w:t>
      </w:r>
    </w:p>
    <w:p w14:paraId="4A850FE6" w14:textId="1BB22EC5" w:rsidR="00933955" w:rsidRDefault="00AB0716" w:rsidP="000F5B09">
      <w:pPr>
        <w:jc w:val="both"/>
      </w:pPr>
      <w:r>
        <w:t xml:space="preserve">The </w:t>
      </w:r>
      <w:r w:rsidR="00C829F4">
        <w:t xml:space="preserve">TAG will provide advice to </w:t>
      </w:r>
      <w:r w:rsidR="00495E58">
        <w:t>governments</w:t>
      </w:r>
      <w:r w:rsidR="000225D3">
        <w:t xml:space="preserve"> </w:t>
      </w:r>
      <w:r w:rsidR="00933955">
        <w:t>on the matters in scope</w:t>
      </w:r>
      <w:r w:rsidR="006E334A">
        <w:t xml:space="preserve"> and will part</w:t>
      </w:r>
      <w:r w:rsidR="00B050F2">
        <w:t xml:space="preserve">icipate in </w:t>
      </w:r>
      <w:r w:rsidR="00D77A6E">
        <w:t>stakeholder group</w:t>
      </w:r>
      <w:r w:rsidR="00695501">
        <w:t xml:space="preserve"> </w:t>
      </w:r>
      <w:r w:rsidR="00D77A6E">
        <w:t>meetings</w:t>
      </w:r>
      <w:r w:rsidR="00933955">
        <w:t xml:space="preserve">. </w:t>
      </w:r>
      <w:r w:rsidR="00BD3269">
        <w:t xml:space="preserve">The </w:t>
      </w:r>
      <w:r w:rsidR="00AE0D9E">
        <w:t xml:space="preserve">TAG will </w:t>
      </w:r>
      <w:r w:rsidR="00800175">
        <w:t xml:space="preserve">also attend </w:t>
      </w:r>
      <w:r w:rsidR="00495E58">
        <w:t xml:space="preserve">relevant </w:t>
      </w:r>
      <w:r w:rsidR="00800175">
        <w:t>DRMC meeting</w:t>
      </w:r>
      <w:r w:rsidR="00B0515F">
        <w:t>s</w:t>
      </w:r>
      <w:r w:rsidR="00800175">
        <w:t xml:space="preserve"> and </w:t>
      </w:r>
      <w:r w:rsidR="0047077A" w:rsidRPr="00E17CE3">
        <w:t xml:space="preserve">seek </w:t>
      </w:r>
      <w:r w:rsidR="004D4FE2">
        <w:t xml:space="preserve">their </w:t>
      </w:r>
      <w:r w:rsidR="0047077A" w:rsidRPr="00E17CE3">
        <w:t>feedback at key junctures</w:t>
      </w:r>
      <w:r w:rsidR="00800175">
        <w:t>.</w:t>
      </w:r>
    </w:p>
    <w:p w14:paraId="2B6A90F3" w14:textId="16AAB503" w:rsidR="003D0819" w:rsidRDefault="000F4F48" w:rsidP="000F5B09">
      <w:pPr>
        <w:jc w:val="both"/>
      </w:pPr>
      <w:r>
        <w:t>Co</w:t>
      </w:r>
      <w:r w:rsidR="003D0819" w:rsidRPr="00F56DA2">
        <w:t>-</w:t>
      </w:r>
      <w:r w:rsidRPr="00F56DA2">
        <w:t>conven</w:t>
      </w:r>
      <w:r>
        <w:t>ing ministers</w:t>
      </w:r>
      <w:r w:rsidR="003D0819" w:rsidRPr="00F56DA2">
        <w:t xml:space="preserve"> will attend key meetings of the TAG.</w:t>
      </w:r>
    </w:p>
    <w:p w14:paraId="7329DBDC" w14:textId="70F5D8CA" w:rsidR="00AB46BB" w:rsidRDefault="00720022" w:rsidP="000F5B09">
      <w:pPr>
        <w:jc w:val="both"/>
      </w:pPr>
      <w:r>
        <w:t xml:space="preserve">The </w:t>
      </w:r>
      <w:r w:rsidR="0032121E">
        <w:t>D</w:t>
      </w:r>
      <w:r>
        <w:t>epartment</w:t>
      </w:r>
      <w:r w:rsidR="0032121E">
        <w:t xml:space="preserve"> of Health</w:t>
      </w:r>
      <w:r w:rsidR="003B25FC">
        <w:t>, Disability and Ageing (department)</w:t>
      </w:r>
      <w:r w:rsidR="00EB0045">
        <w:t xml:space="preserve"> or consultants</w:t>
      </w:r>
      <w:r>
        <w:t>, may undertake targeted e</w:t>
      </w:r>
      <w:r w:rsidR="00AB46BB" w:rsidRPr="00BB33B2">
        <w:t xml:space="preserve">ngagement with stakeholders or </w:t>
      </w:r>
      <w:r w:rsidR="007503B7" w:rsidRPr="00BB33B2">
        <w:t xml:space="preserve">subject matter </w:t>
      </w:r>
      <w:r w:rsidR="00AB46BB" w:rsidRPr="00BB33B2">
        <w:t>experts</w:t>
      </w:r>
      <w:r w:rsidR="000E6344" w:rsidRPr="00BB33B2">
        <w:t xml:space="preserve">, </w:t>
      </w:r>
      <w:r w:rsidR="00EB0045">
        <w:t xml:space="preserve">as requested by the </w:t>
      </w:r>
      <w:r w:rsidR="007E1FA9">
        <w:t>c</w:t>
      </w:r>
      <w:r w:rsidR="00EB0045">
        <w:t>o-</w:t>
      </w:r>
      <w:r w:rsidR="007E1FA9">
        <w:t>c</w:t>
      </w:r>
      <w:r w:rsidR="00EB0045">
        <w:t>hairs</w:t>
      </w:r>
      <w:r w:rsidR="000E6344" w:rsidRPr="00BB33B2">
        <w:t xml:space="preserve">, to support </w:t>
      </w:r>
      <w:r w:rsidR="004D4C14">
        <w:t xml:space="preserve">the </w:t>
      </w:r>
      <w:r>
        <w:t>work of the TAG</w:t>
      </w:r>
      <w:r w:rsidR="000E6344" w:rsidRPr="00BB33B2">
        <w:t>.</w:t>
      </w:r>
      <w:r w:rsidR="007503B7" w:rsidRPr="00BB33B2">
        <w:t xml:space="preserve"> </w:t>
      </w:r>
    </w:p>
    <w:p w14:paraId="708DABFB" w14:textId="775ED4C5" w:rsidR="00933955" w:rsidRDefault="00720022" w:rsidP="000F5B09">
      <w:pPr>
        <w:jc w:val="both"/>
      </w:pPr>
      <w:r>
        <w:t xml:space="preserve">The </w:t>
      </w:r>
      <w:r w:rsidR="0050158D">
        <w:t>s</w:t>
      </w:r>
      <w:r>
        <w:t>ecretariat will organise d</w:t>
      </w:r>
      <w:r w:rsidR="00171556">
        <w:t xml:space="preserve">eep dives </w:t>
      </w:r>
      <w:r>
        <w:t xml:space="preserve">and technical workshops, </w:t>
      </w:r>
      <w:r w:rsidR="00171556">
        <w:t xml:space="preserve">with </w:t>
      </w:r>
      <w:r w:rsidR="00EB0045">
        <w:t>some TAG members</w:t>
      </w:r>
      <w:r w:rsidR="00D64EEA">
        <w:t xml:space="preserve"> </w:t>
      </w:r>
      <w:r w:rsidR="00171556">
        <w:t>leading</w:t>
      </w:r>
      <w:r>
        <w:t xml:space="preserve"> discussions</w:t>
      </w:r>
      <w:r w:rsidR="00EB0045">
        <w:t>,</w:t>
      </w:r>
      <w:r>
        <w:t xml:space="preserve"> as</w:t>
      </w:r>
      <w:r w:rsidR="00EB0045">
        <w:t xml:space="preserve"> they are available</w:t>
      </w:r>
      <w:r w:rsidR="00962667">
        <w:t xml:space="preserve">. </w:t>
      </w:r>
      <w:r w:rsidR="00F27369">
        <w:t xml:space="preserve">The </w:t>
      </w:r>
      <w:r w:rsidR="0050158D">
        <w:t xml:space="preserve">secretariat </w:t>
      </w:r>
      <w:r w:rsidR="00F27369">
        <w:t>will circulate notes</w:t>
      </w:r>
      <w:r w:rsidR="00F27369" w:rsidRPr="00952951">
        <w:t xml:space="preserve"> </w:t>
      </w:r>
      <w:r w:rsidR="00952951" w:rsidRPr="00952951">
        <w:t>from</w:t>
      </w:r>
      <w:r w:rsidR="00F27369">
        <w:t xml:space="preserve"> these</w:t>
      </w:r>
      <w:r w:rsidR="00952951" w:rsidRPr="00952951">
        <w:t xml:space="preserve"> deep dives </w:t>
      </w:r>
      <w:r w:rsidR="00EB0045">
        <w:t>to</w:t>
      </w:r>
      <w:r w:rsidR="00952951" w:rsidRPr="00952951">
        <w:t xml:space="preserve"> all members.</w:t>
      </w:r>
    </w:p>
    <w:p w14:paraId="79F4CA62" w14:textId="2C1669AC" w:rsidR="009044A3" w:rsidRDefault="009044A3" w:rsidP="000F5B09">
      <w:pPr>
        <w:pStyle w:val="Heading3"/>
        <w:spacing w:before="120" w:after="120"/>
      </w:pPr>
      <w:r>
        <w:t>Scope</w:t>
      </w:r>
    </w:p>
    <w:p w14:paraId="3F7EE293" w14:textId="77CFCF2E" w:rsidR="009044A3" w:rsidRPr="009044A3" w:rsidRDefault="009044A3" w:rsidP="009044A3">
      <w:pPr>
        <w:jc w:val="both"/>
        <w:rPr>
          <w:szCs w:val="22"/>
        </w:rPr>
      </w:pPr>
      <w:r w:rsidRPr="00D64EEA">
        <w:rPr>
          <w:szCs w:val="22"/>
        </w:rPr>
        <w:t xml:space="preserve">The TAG will provide </w:t>
      </w:r>
      <w:r w:rsidR="00567540" w:rsidRPr="00D64EEA">
        <w:rPr>
          <w:szCs w:val="22"/>
        </w:rPr>
        <w:t>independent, expert technical advice to support the development of a robust, consistent framework and processes for assessing SRFC relating to access to the NDIS</w:t>
      </w:r>
      <w:r w:rsidR="00643A6A">
        <w:rPr>
          <w:szCs w:val="22"/>
        </w:rPr>
        <w:t xml:space="preserve"> for children and adults</w:t>
      </w:r>
      <w:r w:rsidR="00567540" w:rsidRPr="00D64EEA">
        <w:rPr>
          <w:szCs w:val="22"/>
        </w:rPr>
        <w:t>. Th</w:t>
      </w:r>
      <w:r w:rsidR="005049F0">
        <w:rPr>
          <w:szCs w:val="22"/>
        </w:rPr>
        <w:t xml:space="preserve">e advice of the TAG will be informed by the design of </w:t>
      </w:r>
      <w:r w:rsidR="00567540" w:rsidRPr="00D64EEA">
        <w:rPr>
          <w:szCs w:val="22"/>
        </w:rPr>
        <w:t>Thriving Kids.</w:t>
      </w:r>
      <w:r w:rsidRPr="009044A3">
        <w:rPr>
          <w:szCs w:val="22"/>
        </w:rPr>
        <w:t xml:space="preserve"> </w:t>
      </w:r>
    </w:p>
    <w:p w14:paraId="01C6F33A" w14:textId="77777777" w:rsidR="009044A3" w:rsidRPr="009044A3" w:rsidRDefault="009044A3" w:rsidP="009044A3">
      <w:pPr>
        <w:jc w:val="both"/>
        <w:rPr>
          <w:szCs w:val="22"/>
        </w:rPr>
      </w:pPr>
      <w:r w:rsidRPr="009044A3">
        <w:rPr>
          <w:szCs w:val="22"/>
        </w:rPr>
        <w:t xml:space="preserve">The advice of the TAG will support a shift towards a more proportionate access process, with standardised evidentiary requirements that reduce variability and minimise burden on prospective participants and their families. </w:t>
      </w:r>
    </w:p>
    <w:p w14:paraId="486DB908" w14:textId="77777777" w:rsidR="009044A3" w:rsidRPr="009044A3" w:rsidRDefault="009044A3" w:rsidP="009044A3">
      <w:pPr>
        <w:jc w:val="both"/>
        <w:rPr>
          <w:szCs w:val="22"/>
        </w:rPr>
      </w:pPr>
      <w:r w:rsidRPr="009044A3">
        <w:rPr>
          <w:szCs w:val="22"/>
        </w:rPr>
        <w:t xml:space="preserve">This would include advice about: </w:t>
      </w:r>
    </w:p>
    <w:p w14:paraId="34605442" w14:textId="77777777" w:rsidR="009044A3" w:rsidRPr="009044A3" w:rsidRDefault="009044A3" w:rsidP="009044A3">
      <w:pPr>
        <w:pStyle w:val="ListParagraph"/>
        <w:numPr>
          <w:ilvl w:val="0"/>
          <w:numId w:val="33"/>
        </w:numPr>
        <w:shd w:val="clear" w:color="auto" w:fill="FFFFFF" w:themeFill="background1"/>
      </w:pPr>
      <w:r w:rsidRPr="009044A3">
        <w:t>the design and development of an overarching assessment framework for determining SRFC, with a standardised eligibility model which controls for environmental and personal circumstances, across all age groups and disability types</w:t>
      </w:r>
    </w:p>
    <w:p w14:paraId="6E8D251E" w14:textId="77777777" w:rsidR="009044A3" w:rsidRPr="009044A3" w:rsidRDefault="009044A3" w:rsidP="009044A3">
      <w:pPr>
        <w:pStyle w:val="ListParagraph"/>
        <w:numPr>
          <w:ilvl w:val="0"/>
          <w:numId w:val="33"/>
        </w:numPr>
        <w:shd w:val="clear" w:color="auto" w:fill="FFFFFF" w:themeFill="background1"/>
      </w:pPr>
      <w:r w:rsidRPr="009044A3">
        <w:t>suitable assessment tools and methods, and additional supporting evidence to ensure a robust assessment of functional capacity in line with the access requirements and functional domains in the NDIS Act</w:t>
      </w:r>
    </w:p>
    <w:p w14:paraId="37D5D221" w14:textId="7A4C1A02" w:rsidR="009044A3" w:rsidRPr="009044A3" w:rsidRDefault="009044A3" w:rsidP="009044A3">
      <w:pPr>
        <w:pStyle w:val="ListParagraph"/>
        <w:numPr>
          <w:ilvl w:val="0"/>
          <w:numId w:val="33"/>
        </w:numPr>
        <w:shd w:val="clear" w:color="auto" w:fill="FFFFFF" w:themeFill="background1"/>
      </w:pPr>
      <w:r w:rsidRPr="009044A3">
        <w:t>how permanency of impairment</w:t>
      </w:r>
      <w:r w:rsidR="00EC78E5">
        <w:t xml:space="preserve"> and appropriate treatment</w:t>
      </w:r>
      <w:r w:rsidRPr="009044A3">
        <w:t xml:space="preserve"> should be considered when determining substantially reduced functional capacity</w:t>
      </w:r>
      <w:r w:rsidR="004C1871">
        <w:t xml:space="preserve"> </w:t>
      </w:r>
      <w:r w:rsidR="004C1871" w:rsidRPr="004C1871">
        <w:t xml:space="preserve">in alignment with best practice. This should be </w:t>
      </w:r>
      <w:r w:rsidR="004C1871">
        <w:t xml:space="preserve">particularly </w:t>
      </w:r>
      <w:r w:rsidR="004C1871" w:rsidRPr="004C1871">
        <w:t>considered in the context of certain ages and disability types, including but not limited to infants and young children, and episodic and fluctuating conditions and progressive or degenerative conditions</w:t>
      </w:r>
    </w:p>
    <w:p w14:paraId="20EB1AED" w14:textId="77777777" w:rsidR="009044A3" w:rsidRPr="009044A3" w:rsidRDefault="009044A3" w:rsidP="009044A3">
      <w:pPr>
        <w:pStyle w:val="ListParagraph"/>
        <w:numPr>
          <w:ilvl w:val="0"/>
          <w:numId w:val="33"/>
        </w:numPr>
        <w:shd w:val="clear" w:color="auto" w:fill="FFFFFF" w:themeFill="background1"/>
      </w:pPr>
      <w:r w:rsidRPr="009044A3">
        <w:t>thresholds and interpretation of assessment results for a standardised model, including cumulative assessment across more than one activity domain</w:t>
      </w:r>
    </w:p>
    <w:p w14:paraId="7674AEE4" w14:textId="6935FFBC" w:rsidR="009044A3" w:rsidRPr="009044A3" w:rsidRDefault="009044A3" w:rsidP="009044A3">
      <w:pPr>
        <w:pStyle w:val="ListParagraph"/>
        <w:numPr>
          <w:ilvl w:val="0"/>
          <w:numId w:val="33"/>
        </w:numPr>
        <w:shd w:val="clear" w:color="auto" w:fill="FFFFFF" w:themeFill="background1"/>
      </w:pPr>
      <w:r w:rsidRPr="009044A3">
        <w:lastRenderedPageBreak/>
        <w:t>how a functional assessment process could be staged or streamlined to support efficient assessment of persons with very significant and permanent impairment, and aligned or integrated with assessment of support needs</w:t>
      </w:r>
    </w:p>
    <w:p w14:paraId="756654E4" w14:textId="77777777" w:rsidR="009044A3" w:rsidRPr="009044A3" w:rsidRDefault="009044A3" w:rsidP="009044A3">
      <w:pPr>
        <w:pStyle w:val="ListParagraph"/>
        <w:numPr>
          <w:ilvl w:val="0"/>
          <w:numId w:val="33"/>
        </w:numPr>
        <w:shd w:val="clear" w:color="auto" w:fill="FFFFFF" w:themeFill="background1"/>
      </w:pPr>
      <w:r w:rsidRPr="009044A3">
        <w:t>how information collected at point of NDIS access could support plan development (or modification for existing participants) and monitoring of outcomes over time, including changes in functional capacity</w:t>
      </w:r>
    </w:p>
    <w:p w14:paraId="71D3969A" w14:textId="7D769739" w:rsidR="009044A3" w:rsidRPr="009044A3" w:rsidRDefault="009044A3" w:rsidP="009044A3">
      <w:pPr>
        <w:pStyle w:val="ListParagraph"/>
        <w:numPr>
          <w:ilvl w:val="0"/>
          <w:numId w:val="33"/>
        </w:numPr>
        <w:shd w:val="clear" w:color="auto" w:fill="FFFFFF" w:themeFill="background1"/>
      </w:pPr>
      <w:r w:rsidRPr="009044A3">
        <w:t>appropriate workforce</w:t>
      </w:r>
      <w:r w:rsidR="009A54C9">
        <w:t>,</w:t>
      </w:r>
      <w:r w:rsidRPr="009044A3">
        <w:t xml:space="preserve"> competency standards and requirements including training and guidance to undertake assessments, including decision making safeguards and quality assurance.</w:t>
      </w:r>
    </w:p>
    <w:p w14:paraId="7B01C6A1" w14:textId="3F04FC60" w:rsidR="00AB0716" w:rsidRPr="001571C7" w:rsidRDefault="00A92A6E" w:rsidP="000F5B09">
      <w:pPr>
        <w:pStyle w:val="Heading3"/>
        <w:spacing w:before="120" w:after="120"/>
      </w:pPr>
      <w:r>
        <w:t>Membership</w:t>
      </w:r>
    </w:p>
    <w:p w14:paraId="0E2E0BEC" w14:textId="24D8929C" w:rsidR="00AB0716" w:rsidRDefault="00AB0716" w:rsidP="000F5B09">
      <w:pPr>
        <w:jc w:val="both"/>
      </w:pPr>
      <w:r>
        <w:t>Members</w:t>
      </w:r>
      <w:r w:rsidR="00932B6F">
        <w:t xml:space="preserve"> will be </w:t>
      </w:r>
      <w:r w:rsidR="003A7D04">
        <w:t xml:space="preserve">determined </w:t>
      </w:r>
      <w:r w:rsidR="00932B6F">
        <w:t>by the Minister</w:t>
      </w:r>
      <w:r w:rsidR="003A7D04">
        <w:t xml:space="preserve"> and drawn from experts </w:t>
      </w:r>
      <w:r w:rsidR="00F83FB6">
        <w:t xml:space="preserve">with relevant technical expertise across disability, </w:t>
      </w:r>
      <w:r w:rsidR="00005DFB">
        <w:t xml:space="preserve">paediatrics, rehabilitation, child development and </w:t>
      </w:r>
      <w:r w:rsidR="00F83FB6">
        <w:t>functional assessment</w:t>
      </w:r>
      <w:r w:rsidR="00005DFB">
        <w:t xml:space="preserve">. </w:t>
      </w:r>
      <w:r w:rsidR="00DA2E68">
        <w:t xml:space="preserve">The TAG will consider lived experience </w:t>
      </w:r>
      <w:r w:rsidR="00C44124">
        <w:t>expertise,</w:t>
      </w:r>
      <w:r w:rsidR="00DA2E68">
        <w:t xml:space="preserve"> </w:t>
      </w:r>
      <w:r w:rsidR="003236C2">
        <w:t>includ</w:t>
      </w:r>
      <w:r w:rsidR="00C44124">
        <w:t>ing</w:t>
      </w:r>
      <w:r w:rsidR="003236C2">
        <w:t xml:space="preserve"> </w:t>
      </w:r>
      <w:r w:rsidR="009460BE">
        <w:t>representatives with</w:t>
      </w:r>
      <w:r w:rsidR="003236C2">
        <w:t xml:space="preserve"> lived experience of disability, </w:t>
      </w:r>
      <w:r w:rsidR="00C519B9">
        <w:t xml:space="preserve">diversity </w:t>
      </w:r>
      <w:r w:rsidR="003236C2">
        <w:t xml:space="preserve">and a </w:t>
      </w:r>
      <w:r w:rsidR="00C519B9">
        <w:t xml:space="preserve">First Nations </w:t>
      </w:r>
      <w:r w:rsidR="003236C2">
        <w:t>perspective</w:t>
      </w:r>
      <w:r w:rsidR="00EB4647">
        <w:t xml:space="preserve">. </w:t>
      </w:r>
      <w:r w:rsidR="003236C2">
        <w:t xml:space="preserve">In addition, </w:t>
      </w:r>
      <w:r w:rsidR="005F280D">
        <w:t xml:space="preserve">members would include </w:t>
      </w:r>
      <w:r w:rsidR="00180D66">
        <w:t>two</w:t>
      </w:r>
      <w:r w:rsidR="005F280D">
        <w:t xml:space="preserve"> representative</w:t>
      </w:r>
      <w:r w:rsidR="00180D66">
        <w:t>s</w:t>
      </w:r>
      <w:r w:rsidR="005F280D">
        <w:t xml:space="preserve"> from </w:t>
      </w:r>
      <w:r w:rsidR="003236C2">
        <w:t>a state or territory</w:t>
      </w:r>
      <w:r w:rsidR="005F280D">
        <w:t xml:space="preserve"> government, the National Disability Insurance Agency and the </w:t>
      </w:r>
      <w:r w:rsidR="003B25FC">
        <w:t>department</w:t>
      </w:r>
      <w:r w:rsidR="003236C2">
        <w:t xml:space="preserve">. </w:t>
      </w:r>
    </w:p>
    <w:p w14:paraId="371D424B" w14:textId="21C07B7D" w:rsidR="00D34AE5" w:rsidRDefault="00D34AE5" w:rsidP="000F5B09">
      <w:pPr>
        <w:jc w:val="both"/>
      </w:pPr>
      <w:r>
        <w:t>If a member is unable to attend a meeting, proxies will not be allowed.</w:t>
      </w:r>
    </w:p>
    <w:p w14:paraId="2A16EC36" w14:textId="77777777" w:rsidR="00A23D03" w:rsidRDefault="00A23D03" w:rsidP="000F5B09">
      <w:pPr>
        <w:pStyle w:val="Heading3"/>
        <w:spacing w:before="120" w:after="120"/>
      </w:pPr>
      <w:r w:rsidRPr="00A23D03">
        <w:t xml:space="preserve">Invited Guests </w:t>
      </w:r>
    </w:p>
    <w:p w14:paraId="3F0AC35E" w14:textId="23CABC06" w:rsidR="003A7D04" w:rsidRDefault="00A23D03" w:rsidP="003A7D04">
      <w:pPr>
        <w:jc w:val="both"/>
      </w:pPr>
      <w:r w:rsidRPr="00A23D03">
        <w:t xml:space="preserve">The </w:t>
      </w:r>
      <w:r w:rsidR="00C81408">
        <w:t>c</w:t>
      </w:r>
      <w:r w:rsidRPr="00A23D03">
        <w:t>o-</w:t>
      </w:r>
      <w:r w:rsidR="00C81408">
        <w:t>c</w:t>
      </w:r>
      <w:r w:rsidRPr="00A23D03">
        <w:t>hairs may invite an expert or official to participate in discussions for specific agenda items, as appropriate.</w:t>
      </w:r>
    </w:p>
    <w:p w14:paraId="07FFFA5C" w14:textId="2ACABEE9" w:rsidR="00AC2526" w:rsidRDefault="00AC2526" w:rsidP="003A7D04">
      <w:pPr>
        <w:jc w:val="both"/>
      </w:pPr>
      <w:r w:rsidRPr="00681D3A">
        <w:rPr>
          <w:rFonts w:cs="Arial"/>
          <w:b/>
          <w:bCs/>
          <w:color w:val="358189"/>
          <w:sz w:val="32"/>
          <w:szCs w:val="26"/>
        </w:rPr>
        <w:t>Remuneration of members</w:t>
      </w:r>
      <w:r>
        <w:t xml:space="preserve"> </w:t>
      </w:r>
    </w:p>
    <w:p w14:paraId="1F50652E" w14:textId="5BFA0BA8" w:rsidR="005279D1" w:rsidRDefault="00AC2526" w:rsidP="000F5B09">
      <w:pPr>
        <w:jc w:val="both"/>
      </w:pPr>
      <w:r>
        <w:t xml:space="preserve">Members will be engaged by the </w:t>
      </w:r>
      <w:r w:rsidR="003B25FC">
        <w:t>d</w:t>
      </w:r>
      <w:r>
        <w:t>epartment and remunerated for work directly linked to their attendance according to eligibility under the Departmental Remuneration Framework. If meeting face to face, members would receive travel entitlements under Tier 2 of the Remuneration Tribunal (Official Travel) Determination 2025.</w:t>
      </w:r>
    </w:p>
    <w:p w14:paraId="232AF86F" w14:textId="77777777" w:rsidR="006B6580" w:rsidRPr="00CA4BE3" w:rsidRDefault="006B6580" w:rsidP="000F5B09">
      <w:pPr>
        <w:pStyle w:val="Heading3"/>
        <w:spacing w:before="120" w:after="120"/>
      </w:pPr>
      <w:r>
        <w:t>Term</w:t>
      </w:r>
    </w:p>
    <w:p w14:paraId="5A21C1C6" w14:textId="44C1E48A" w:rsidR="006B6580" w:rsidRDefault="006B6580" w:rsidP="000F5B09">
      <w:r>
        <w:t xml:space="preserve">The TAG is expected to complete its </w:t>
      </w:r>
      <w:r w:rsidR="00005DFB">
        <w:t>main work by late 2026, with further technical ad</w:t>
      </w:r>
      <w:r>
        <w:t xml:space="preserve">vice </w:t>
      </w:r>
      <w:r w:rsidR="00005DFB">
        <w:t xml:space="preserve">to inform detailed design to be provided </w:t>
      </w:r>
      <w:r>
        <w:t xml:space="preserve">by </w:t>
      </w:r>
      <w:r w:rsidR="003E3A83">
        <w:t>March</w:t>
      </w:r>
      <w:r>
        <w:t xml:space="preserve"> 2027</w:t>
      </w:r>
      <w:r w:rsidR="003E3A83">
        <w:t xml:space="preserve">, </w:t>
      </w:r>
      <w:r w:rsidR="00005DFB">
        <w:t>and</w:t>
      </w:r>
      <w:r w:rsidR="003E3A83">
        <w:t xml:space="preserve"> potential for extension </w:t>
      </w:r>
      <w:r w:rsidR="000F7F8B">
        <w:t>if</w:t>
      </w:r>
      <w:r w:rsidR="003A7D04">
        <w:t xml:space="preserve"> required</w:t>
      </w:r>
      <w:r>
        <w:t xml:space="preserve">. </w:t>
      </w:r>
    </w:p>
    <w:p w14:paraId="627AA443" w14:textId="063A2F52" w:rsidR="00AB0716" w:rsidRDefault="00AB0716" w:rsidP="000F5B09">
      <w:pPr>
        <w:pStyle w:val="Heading3"/>
        <w:spacing w:before="120" w:after="120"/>
      </w:pPr>
      <w:r>
        <w:t>Meetings</w:t>
      </w:r>
    </w:p>
    <w:p w14:paraId="3B95275C" w14:textId="7E7725D3" w:rsidR="00EF2B34" w:rsidRDefault="00B00F21" w:rsidP="000F5B09">
      <w:pPr>
        <w:jc w:val="both"/>
      </w:pPr>
      <w:r>
        <w:t>The TAG will meet</w:t>
      </w:r>
      <w:r w:rsidR="001E5428">
        <w:t xml:space="preserve"> monthly</w:t>
      </w:r>
      <w:r w:rsidR="000A6B17">
        <w:t xml:space="preserve">, </w:t>
      </w:r>
      <w:r>
        <w:t xml:space="preserve">with meetings held </w:t>
      </w:r>
      <w:r w:rsidR="000A6B17" w:rsidRPr="00681D3A">
        <w:t>both online and in person</w:t>
      </w:r>
      <w:r w:rsidR="000A6B17">
        <w:t>.</w:t>
      </w:r>
      <w:r>
        <w:t xml:space="preserve"> Additional meetings may be convened, as required, to support the delivery of the TAG’s work program. </w:t>
      </w:r>
    </w:p>
    <w:p w14:paraId="453BF9E8" w14:textId="658824F8" w:rsidR="00654651" w:rsidRDefault="00EF2B34" w:rsidP="000F5B09">
      <w:pPr>
        <w:jc w:val="both"/>
      </w:pPr>
      <w:r>
        <w:t>To facilitate the efficient and targeted consideration of issues, subgroups of the TAG may be established</w:t>
      </w:r>
      <w:r w:rsidR="003F5C2A">
        <w:t>,</w:t>
      </w:r>
      <w:r w:rsidR="00DB08C2">
        <w:t xml:space="preserve"> and work may be progressed out of session,</w:t>
      </w:r>
      <w:r w:rsidR="003F5C2A">
        <w:t xml:space="preserve"> as appropriate. This will be determined by the </w:t>
      </w:r>
      <w:r w:rsidR="007E1FA9">
        <w:t>c</w:t>
      </w:r>
      <w:r w:rsidR="00005DFB">
        <w:t>o-</w:t>
      </w:r>
      <w:r w:rsidR="007E1FA9">
        <w:t>c</w:t>
      </w:r>
      <w:r w:rsidR="003F5C2A">
        <w:t>hair</w:t>
      </w:r>
      <w:r w:rsidR="00005DFB">
        <w:t>s</w:t>
      </w:r>
      <w:r w:rsidR="003F5C2A">
        <w:t xml:space="preserve"> in consultation with the department.</w:t>
      </w:r>
      <w:r w:rsidR="000A6B17">
        <w:t xml:space="preserve"> </w:t>
      </w:r>
    </w:p>
    <w:p w14:paraId="3C3AA91B" w14:textId="3DC8F29E" w:rsidR="00A94779" w:rsidRDefault="00A94779" w:rsidP="000F5B09">
      <w:pPr>
        <w:jc w:val="both"/>
      </w:pPr>
      <w:r w:rsidRPr="00681D3A">
        <w:rPr>
          <w:rFonts w:cs="Arial"/>
          <w:b/>
          <w:bCs/>
          <w:color w:val="358189"/>
          <w:sz w:val="32"/>
          <w:szCs w:val="26"/>
        </w:rPr>
        <w:t>Secretariat support</w:t>
      </w:r>
      <w:r w:rsidRPr="00A94779">
        <w:t xml:space="preserve"> </w:t>
      </w:r>
    </w:p>
    <w:p w14:paraId="1B14876F" w14:textId="50E93C72" w:rsidR="00A94779" w:rsidRDefault="00A94779" w:rsidP="000F5B09">
      <w:pPr>
        <w:jc w:val="both"/>
      </w:pPr>
      <w:r w:rsidRPr="00A94779">
        <w:t xml:space="preserve">The </w:t>
      </w:r>
      <w:r w:rsidR="003B25FC">
        <w:t>d</w:t>
      </w:r>
      <w:r w:rsidRPr="00A94779">
        <w:t>epartment will provide secretariat support.</w:t>
      </w:r>
    </w:p>
    <w:p w14:paraId="30F7FD27" w14:textId="77777777" w:rsidR="00F369F0" w:rsidRDefault="00F369F0">
      <w:pPr>
        <w:spacing w:before="0" w:after="0" w:line="240" w:lineRule="auto"/>
        <w:rPr>
          <w:rFonts w:cs="Arial"/>
          <w:b/>
          <w:bCs/>
          <w:color w:val="358189"/>
          <w:sz w:val="32"/>
          <w:szCs w:val="26"/>
        </w:rPr>
      </w:pPr>
      <w:r>
        <w:br w:type="page"/>
      </w:r>
    </w:p>
    <w:p w14:paraId="4B47A507" w14:textId="57855418" w:rsidR="00AB0716" w:rsidRDefault="00A92A6E" w:rsidP="000F5B09">
      <w:pPr>
        <w:pStyle w:val="Heading3"/>
        <w:spacing w:before="120" w:after="120"/>
      </w:pPr>
      <w:r>
        <w:lastRenderedPageBreak/>
        <w:t>Conflicts of interest</w:t>
      </w:r>
    </w:p>
    <w:p w14:paraId="1692C879" w14:textId="39509D90" w:rsidR="00AB0716" w:rsidRDefault="00D34AE5" w:rsidP="000F5B09">
      <w:r>
        <w:t xml:space="preserve">Members must declare any actual or perceived conflicts of interest which could impact their ability to perform their duties. Members will be asked to declare any conflicts of interest prior to commencement </w:t>
      </w:r>
      <w:r w:rsidR="00241D0C">
        <w:t xml:space="preserve">of their term and should provide any updates to the </w:t>
      </w:r>
      <w:r w:rsidR="0050158D">
        <w:t xml:space="preserve">secretariat </w:t>
      </w:r>
      <w:r w:rsidR="00241D0C">
        <w:t xml:space="preserve">for visibility of the </w:t>
      </w:r>
      <w:r w:rsidR="00005DFB">
        <w:t>co-</w:t>
      </w:r>
      <w:r w:rsidR="007E1FA9">
        <w:t>c</w:t>
      </w:r>
      <w:r w:rsidR="00241D0C">
        <w:t>hair</w:t>
      </w:r>
      <w:r w:rsidR="00005DFB">
        <w:t>s</w:t>
      </w:r>
      <w:r w:rsidR="00241D0C">
        <w:t xml:space="preserve">. </w:t>
      </w:r>
    </w:p>
    <w:p w14:paraId="5B84B293" w14:textId="6BC87701" w:rsidR="00AB0716" w:rsidRDefault="00A92A6E" w:rsidP="000F5B09">
      <w:pPr>
        <w:pStyle w:val="Heading3"/>
        <w:spacing w:before="120" w:after="120"/>
      </w:pPr>
      <w:r>
        <w:t>Confidentiality</w:t>
      </w:r>
    </w:p>
    <w:p w14:paraId="155FE257" w14:textId="438C3918" w:rsidR="00604B9C" w:rsidRDefault="00604B9C" w:rsidP="000F5B09">
      <w:r>
        <w:t xml:space="preserve">Members may receive confidential material that has privacy or security implications. This information can only be used for approved purposes. Members must comply with the Confidentiality Deed entered into upon their appointment. Members have a responsibility to maintain confidentiality of all information that is not in the public domain, including but not limited to deliberations of the TAG. </w:t>
      </w:r>
    </w:p>
    <w:p w14:paraId="2EA01D75" w14:textId="64B95CC6" w:rsidR="006A6204" w:rsidRDefault="00604B9C" w:rsidP="000F5B09">
      <w:r>
        <w:t xml:space="preserve">Members may seek advice from the </w:t>
      </w:r>
      <w:r w:rsidR="0050158D">
        <w:t xml:space="preserve">secretariat </w:t>
      </w:r>
      <w:r>
        <w:t xml:space="preserve">where they have queries about confidential information and circumstances in which it may be shared beyond the TAG. </w:t>
      </w:r>
    </w:p>
    <w:p w14:paraId="6C1A1D47" w14:textId="60B24BFB" w:rsidR="006A6204" w:rsidRDefault="00604B9C" w:rsidP="000F5B09">
      <w:r>
        <w:t xml:space="preserve">Where agreed by the </w:t>
      </w:r>
      <w:r w:rsidR="007E1FA9">
        <w:t>c</w:t>
      </w:r>
      <w:r w:rsidR="001203C9">
        <w:t>o-</w:t>
      </w:r>
      <w:r w:rsidR="007E1FA9">
        <w:t>c</w:t>
      </w:r>
      <w:r>
        <w:t>hair</w:t>
      </w:r>
      <w:r w:rsidR="001203C9">
        <w:t>s</w:t>
      </w:r>
      <w:r>
        <w:t xml:space="preserve">, members can discuss topics with a wider pre-agreed group in order to fulfill the duties outlined in the Terms of Reference (for example, testing with a sample of allied health professionals that an assessment process may work as intended). </w:t>
      </w:r>
    </w:p>
    <w:p w14:paraId="309A32CF" w14:textId="000694D6" w:rsidR="00604B9C" w:rsidRDefault="001749AB" w:rsidP="000F5B09">
      <w:r>
        <w:t xml:space="preserve">A </w:t>
      </w:r>
      <w:r w:rsidR="00C27688">
        <w:t>s</w:t>
      </w:r>
      <w:r w:rsidR="00604B9C" w:rsidRPr="00681D3A">
        <w:t>tate and territory representative</w:t>
      </w:r>
      <w:r>
        <w:t xml:space="preserve"> will be</w:t>
      </w:r>
      <w:r w:rsidR="00604B9C" w:rsidRPr="00681D3A">
        <w:t xml:space="preserve"> invited to act as a conduit to other states to ensure they can contribute knowledge about the different state and territory service systems. This role entails seeking advice to input into meetings but does not extend to conversations with other parties on the discussions or workings of the Group.</w:t>
      </w:r>
      <w:r w:rsidR="00604B9C">
        <w:t xml:space="preserve"> </w:t>
      </w:r>
    </w:p>
    <w:p w14:paraId="7044B4DA" w14:textId="51A3BDD3" w:rsidR="0067389C" w:rsidRDefault="0067389C" w:rsidP="000F5B09">
      <w:r w:rsidRPr="0067389C">
        <w:t xml:space="preserve">Information must be treated </w:t>
      </w:r>
      <w:r w:rsidR="00720022" w:rsidRPr="0067389C">
        <w:t>confidentially,</w:t>
      </w:r>
      <w:r w:rsidRPr="0067389C">
        <w:t xml:space="preserve"> and appropriate due diligence be given in the provision or circulation of confidential information.</w:t>
      </w:r>
    </w:p>
    <w:p w14:paraId="472E9025" w14:textId="77777777" w:rsidR="000F5B09" w:rsidRDefault="00A92A6E" w:rsidP="000F5B09">
      <w:pPr>
        <w:pStyle w:val="Heading3"/>
        <w:spacing w:before="120" w:after="120"/>
      </w:pPr>
      <w:r>
        <w:t>Privacy</w:t>
      </w:r>
    </w:p>
    <w:p w14:paraId="1D041BFA" w14:textId="6794813B" w:rsidR="00D139D6" w:rsidRPr="001203C9" w:rsidRDefault="00D139D6" w:rsidP="001203C9">
      <w:r w:rsidRPr="001203C9">
        <w:t xml:space="preserve">As part of the Group function and roles, the Group may have access to personal information as defined in the Privacy Act 1988 (Privacy Act). </w:t>
      </w:r>
    </w:p>
    <w:p w14:paraId="672B0272" w14:textId="6133116C" w:rsidR="00D139D6" w:rsidRPr="001203C9" w:rsidRDefault="00D139D6" w:rsidP="001203C9">
      <w:r w:rsidRPr="001203C9">
        <w:t xml:space="preserve">As set out in the Confidentiality Deed entered into on their appointment, Advisory Group members must abide by the provisions of the Privacy Act, including the Australian Privacy Principles set out in the Privacy Act. An Advisory Group member must not do an act, or engage in a practice, that would breach an Australian Privacy Principle if done or engaged in by the </w:t>
      </w:r>
      <w:r w:rsidR="003B25FC">
        <w:t>d</w:t>
      </w:r>
      <w:r w:rsidRPr="001203C9">
        <w:t xml:space="preserve">epartment. </w:t>
      </w:r>
    </w:p>
    <w:p w14:paraId="0CB2AADD" w14:textId="77777777" w:rsidR="003236C2" w:rsidRDefault="00D139D6" w:rsidP="003236C2">
      <w:pPr>
        <w:rPr>
          <w:szCs w:val="22"/>
        </w:rPr>
      </w:pPr>
      <w:r w:rsidRPr="001203C9">
        <w:t>The Australian Privacy Principles are available on the Australian Government Office of the Australian Information Commissioner website at www.oaic.gov.au/privacy/australian-privacy-principles/read-the-australian-privacy principles.</w:t>
      </w:r>
      <w:r w:rsidR="00A13238">
        <w:rPr>
          <w:szCs w:val="22"/>
        </w:rPr>
        <w:t xml:space="preserve"> </w:t>
      </w:r>
      <w:r w:rsidRPr="00D139D6">
        <w:rPr>
          <w:szCs w:val="22"/>
        </w:rPr>
        <w:t xml:space="preserve"> </w:t>
      </w:r>
    </w:p>
    <w:p w14:paraId="2EB4E464" w14:textId="18F09BA9" w:rsidR="00A92A6E" w:rsidRDefault="00A92A6E" w:rsidP="003236C2">
      <w:r w:rsidRPr="001203C9">
        <w:rPr>
          <w:rFonts w:cs="Arial"/>
          <w:b/>
          <w:bCs/>
          <w:color w:val="358189"/>
          <w:sz w:val="32"/>
          <w:szCs w:val="26"/>
        </w:rPr>
        <w:t>Termination of membership and resignation</w:t>
      </w:r>
    </w:p>
    <w:p w14:paraId="7296C3BF" w14:textId="7CB04DDB" w:rsidR="0051242B" w:rsidRPr="003236C2" w:rsidRDefault="00312431" w:rsidP="003236C2">
      <w:r w:rsidRPr="003236C2">
        <w:t xml:space="preserve">The </w:t>
      </w:r>
      <w:r w:rsidR="003B25FC">
        <w:t>d</w:t>
      </w:r>
      <w:r w:rsidRPr="003236C2">
        <w:t>epartment may terminate members for reasons including the member is found to be neglecting their duties or acting in a manner conflicting with their roles, responsibilities and obligations as covered in these Terms of Reference, or acting in an inappropriate manner.</w:t>
      </w:r>
    </w:p>
    <w:p w14:paraId="51A0CD10" w14:textId="15FD909B" w:rsidR="00867724" w:rsidRPr="00681D3A" w:rsidRDefault="00867724" w:rsidP="000F5B09">
      <w:pPr>
        <w:pStyle w:val="Heading3"/>
        <w:spacing w:before="120" w:after="120"/>
      </w:pPr>
      <w:r w:rsidRPr="00681D3A">
        <w:t>Resignation</w:t>
      </w:r>
    </w:p>
    <w:p w14:paraId="585EF7F8" w14:textId="3319BFFD" w:rsidR="00312431" w:rsidRPr="003236C2" w:rsidRDefault="00312431" w:rsidP="003236C2">
      <w:r w:rsidRPr="003236C2">
        <w:t xml:space="preserve">Members are asked to provide a </w:t>
      </w:r>
      <w:r w:rsidR="00720022">
        <w:t>week’s</w:t>
      </w:r>
      <w:r w:rsidR="00720022" w:rsidRPr="003236C2">
        <w:t xml:space="preserve"> </w:t>
      </w:r>
      <w:r w:rsidRPr="003236C2">
        <w:t xml:space="preserve">notice should they choose to resign. Written resignations should be made to the </w:t>
      </w:r>
      <w:r w:rsidR="00C81408">
        <w:t>c</w:t>
      </w:r>
      <w:r w:rsidRPr="003236C2">
        <w:t>o-</w:t>
      </w:r>
      <w:r w:rsidR="00C81408">
        <w:t>c</w:t>
      </w:r>
      <w:r w:rsidRPr="003236C2">
        <w:t xml:space="preserve">hairs and copied to the </w:t>
      </w:r>
      <w:r w:rsidR="0050158D">
        <w:t>s</w:t>
      </w:r>
      <w:r w:rsidRPr="003236C2">
        <w:t>ecretariat.</w:t>
      </w:r>
    </w:p>
    <w:sectPr w:rsidR="00312431" w:rsidRPr="003236C2" w:rsidSect="00AB0716">
      <w:headerReference w:type="default" r:id="rId16"/>
      <w:footerReference w:type="default" r:id="rId17"/>
      <w:pgSz w:w="11906" w:h="16838"/>
      <w:pgMar w:top="137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1148" w14:textId="77777777" w:rsidR="00802675" w:rsidRDefault="00802675" w:rsidP="00934368">
      <w:r>
        <w:separator/>
      </w:r>
    </w:p>
    <w:p w14:paraId="77A2BEDC" w14:textId="77777777" w:rsidR="00802675" w:rsidRDefault="00802675" w:rsidP="00934368"/>
  </w:endnote>
  <w:endnote w:type="continuationSeparator" w:id="0">
    <w:p w14:paraId="23A7CE8D" w14:textId="77777777" w:rsidR="00802675" w:rsidRDefault="00802675" w:rsidP="00934368">
      <w:r>
        <w:continuationSeparator/>
      </w:r>
    </w:p>
    <w:p w14:paraId="77ABB782" w14:textId="77777777" w:rsidR="00802675" w:rsidRDefault="00802675" w:rsidP="00934368"/>
  </w:endnote>
  <w:endnote w:type="continuationNotice" w:id="1">
    <w:p w14:paraId="0C3975CC" w14:textId="77777777" w:rsidR="00802675" w:rsidRDefault="00802675"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123F" w14:textId="512E2276" w:rsidR="0036270D" w:rsidRDefault="00F369F0">
    <w:pPr>
      <w:pStyle w:val="Footer"/>
    </w:pPr>
    <w:r>
      <w:rPr>
        <w:noProof/>
      </w:rPr>
      <mc:AlternateContent>
        <mc:Choice Requires="wps">
          <w:drawing>
            <wp:anchor distT="0" distB="0" distL="0" distR="0" simplePos="0" relativeHeight="251663360" behindDoc="0" locked="0" layoutInCell="1" allowOverlap="1" wp14:anchorId="71ECFA61" wp14:editId="7227C4F1">
              <wp:simplePos x="635" y="635"/>
              <wp:positionH relativeFrom="page">
                <wp:align>center</wp:align>
              </wp:positionH>
              <wp:positionV relativeFrom="page">
                <wp:align>bottom</wp:align>
              </wp:positionV>
              <wp:extent cx="622300" cy="480695"/>
              <wp:effectExtent l="0" t="0" r="6350" b="0"/>
              <wp:wrapNone/>
              <wp:docPr id="208666233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927E395" w14:textId="0A52D0F4"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CFA61"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7927E395" w14:textId="0A52D0F4"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CD35" w14:textId="7C9009A3" w:rsidR="0036270D" w:rsidRDefault="00F369F0">
    <w:pPr>
      <w:pStyle w:val="Footer"/>
    </w:pPr>
    <w:r>
      <w:rPr>
        <w:noProof/>
      </w:rPr>
      <mc:AlternateContent>
        <mc:Choice Requires="wps">
          <w:drawing>
            <wp:anchor distT="0" distB="0" distL="0" distR="0" simplePos="0" relativeHeight="251664384" behindDoc="0" locked="0" layoutInCell="1" allowOverlap="1" wp14:anchorId="3CCEA861" wp14:editId="3A23D904">
              <wp:simplePos x="635" y="635"/>
              <wp:positionH relativeFrom="page">
                <wp:align>center</wp:align>
              </wp:positionH>
              <wp:positionV relativeFrom="page">
                <wp:align>bottom</wp:align>
              </wp:positionV>
              <wp:extent cx="622300" cy="480695"/>
              <wp:effectExtent l="0" t="0" r="6350" b="0"/>
              <wp:wrapNone/>
              <wp:docPr id="37836240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9D41469" w14:textId="481FBE69"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EA861"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29D41469" w14:textId="481FBE69"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5213" w14:textId="22EE4C8C" w:rsidR="00751A23" w:rsidRPr="005C57B0" w:rsidRDefault="00181453">
    <w:pPr>
      <w:pStyle w:val="Footer"/>
      <w:pBdr>
        <w:top w:val="single" w:sz="18" w:space="1" w:color="3F4A75" w:themeColor="text2"/>
      </w:pBdr>
      <w:rPr>
        <w:color w:val="737373" w:themeColor="background2" w:themeShade="80"/>
        <w:sz w:val="18"/>
        <w:szCs w:val="22"/>
      </w:rPr>
    </w:pPr>
    <w:bookmarkStart w:id="0" w:name="_Hlk114233835"/>
    <w:bookmarkStart w:id="1" w:name="_Hlk114233836"/>
    <w:bookmarkStart w:id="2" w:name="_Hlk114233837"/>
    <w:bookmarkStart w:id="3" w:name="_Hlk114233838"/>
    <w:r w:rsidRPr="005C57B0">
      <w:rPr>
        <w:color w:val="737373" w:themeColor="background2" w:themeShade="80"/>
        <w:sz w:val="18"/>
        <w:szCs w:val="22"/>
      </w:rPr>
      <w:t>Department of Health, Disability and Ageing – Technical Advisory Group Terms of Reference</w:t>
    </w:r>
    <w:sdt>
      <w:sdtPr>
        <w:rPr>
          <w:color w:val="737373" w:themeColor="background2" w:themeShade="80"/>
          <w:sz w:val="18"/>
          <w:szCs w:val="22"/>
        </w:rPr>
        <w:id w:val="-443848716"/>
        <w:docPartObj>
          <w:docPartGallery w:val="Page Numbers (Bottom of Page)"/>
          <w:docPartUnique/>
        </w:docPartObj>
      </w:sdtPr>
      <w:sdtEndPr>
        <w:rPr>
          <w:noProof/>
          <w:color w:val="737373" w:themeColor="background2" w:themeShade="80"/>
        </w:rPr>
      </w:sdtEndPr>
      <w:sdtContent>
        <w:r w:rsidRPr="005C57B0">
          <w:rPr>
            <w:color w:val="737373" w:themeColor="background2" w:themeShade="80"/>
            <w:sz w:val="18"/>
            <w:szCs w:val="22"/>
          </w:rPr>
          <w:tab/>
        </w:r>
        <w:r w:rsidR="00751A23" w:rsidRPr="005C57B0">
          <w:rPr>
            <w:color w:val="737373" w:themeColor="background2" w:themeShade="80"/>
            <w:sz w:val="18"/>
            <w:szCs w:val="22"/>
          </w:rPr>
          <w:t xml:space="preserve"> </w:t>
        </w:r>
        <w:r w:rsidR="00751A23" w:rsidRPr="005C57B0">
          <w:rPr>
            <w:color w:val="737373" w:themeColor="background2" w:themeShade="80"/>
            <w:sz w:val="18"/>
            <w:szCs w:val="22"/>
          </w:rPr>
          <w:fldChar w:fldCharType="begin"/>
        </w:r>
        <w:r w:rsidR="00751A23" w:rsidRPr="005C57B0">
          <w:rPr>
            <w:color w:val="737373" w:themeColor="background2" w:themeShade="80"/>
            <w:sz w:val="18"/>
            <w:szCs w:val="22"/>
          </w:rPr>
          <w:instrText xml:space="preserve"> PAGE   \* MERGEFORMAT </w:instrText>
        </w:r>
        <w:r w:rsidR="00751A23" w:rsidRPr="005C57B0">
          <w:rPr>
            <w:color w:val="737373" w:themeColor="background2" w:themeShade="80"/>
            <w:sz w:val="18"/>
            <w:szCs w:val="22"/>
          </w:rPr>
          <w:fldChar w:fldCharType="separate"/>
        </w:r>
        <w:r w:rsidR="007B3D03" w:rsidRPr="005C57B0">
          <w:rPr>
            <w:noProof/>
            <w:color w:val="737373" w:themeColor="background2" w:themeShade="80"/>
            <w:sz w:val="18"/>
            <w:szCs w:val="22"/>
          </w:rPr>
          <w:t>2</w:t>
        </w:r>
        <w:r w:rsidR="00751A23" w:rsidRPr="005C57B0">
          <w:rPr>
            <w:noProof/>
            <w:color w:val="737373" w:themeColor="background2" w:themeShade="80"/>
            <w:sz w:val="18"/>
            <w:szCs w:val="22"/>
          </w:rPr>
          <w:fldChar w:fldCharType="end"/>
        </w:r>
      </w:sdtContent>
    </w:sdt>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E935" w14:textId="77777777" w:rsidR="00802675" w:rsidRDefault="00802675" w:rsidP="00934368">
      <w:r>
        <w:separator/>
      </w:r>
    </w:p>
    <w:p w14:paraId="506AA31E" w14:textId="77777777" w:rsidR="00802675" w:rsidRDefault="00802675" w:rsidP="00934368"/>
  </w:footnote>
  <w:footnote w:type="continuationSeparator" w:id="0">
    <w:p w14:paraId="015FF743" w14:textId="77777777" w:rsidR="00802675" w:rsidRDefault="00802675" w:rsidP="00934368">
      <w:r>
        <w:continuationSeparator/>
      </w:r>
    </w:p>
    <w:p w14:paraId="599D8627" w14:textId="77777777" w:rsidR="00802675" w:rsidRDefault="00802675" w:rsidP="00934368"/>
  </w:footnote>
  <w:footnote w:type="continuationNotice" w:id="1">
    <w:p w14:paraId="5A8F61F9" w14:textId="77777777" w:rsidR="00802675" w:rsidRDefault="00802675"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81BE" w14:textId="49669F1F" w:rsidR="0036270D" w:rsidRDefault="00F369F0">
    <w:pPr>
      <w:pStyle w:val="Header"/>
    </w:pPr>
    <w:r>
      <w:rPr>
        <w:noProof/>
      </w:rPr>
      <mc:AlternateContent>
        <mc:Choice Requires="wps">
          <w:drawing>
            <wp:anchor distT="0" distB="0" distL="0" distR="0" simplePos="0" relativeHeight="251659264" behindDoc="0" locked="0" layoutInCell="1" allowOverlap="1" wp14:anchorId="00F33824" wp14:editId="18B90941">
              <wp:simplePos x="635" y="635"/>
              <wp:positionH relativeFrom="page">
                <wp:align>center</wp:align>
              </wp:positionH>
              <wp:positionV relativeFrom="page">
                <wp:align>top</wp:align>
              </wp:positionV>
              <wp:extent cx="622300" cy="480695"/>
              <wp:effectExtent l="0" t="0" r="6350" b="14605"/>
              <wp:wrapNone/>
              <wp:docPr id="32640708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571A1D5" w14:textId="635A36A4"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33824"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3571A1D5" w14:textId="635A36A4"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37BA" w14:textId="022F8A70" w:rsidR="0036270D" w:rsidRDefault="00F369F0">
    <w:pPr>
      <w:pStyle w:val="Header"/>
    </w:pPr>
    <w:r>
      <w:rPr>
        <w:noProof/>
      </w:rPr>
      <mc:AlternateContent>
        <mc:Choice Requires="wps">
          <w:drawing>
            <wp:anchor distT="0" distB="0" distL="0" distR="0" simplePos="0" relativeHeight="251660288" behindDoc="0" locked="0" layoutInCell="1" allowOverlap="1" wp14:anchorId="74DE9D09" wp14:editId="0A3A4D57">
              <wp:simplePos x="635" y="635"/>
              <wp:positionH relativeFrom="page">
                <wp:align>center</wp:align>
              </wp:positionH>
              <wp:positionV relativeFrom="page">
                <wp:align>top</wp:align>
              </wp:positionV>
              <wp:extent cx="622300" cy="480695"/>
              <wp:effectExtent l="0" t="0" r="6350" b="14605"/>
              <wp:wrapNone/>
              <wp:docPr id="18464160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099A07E" w14:textId="30AEE7AD"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E9D09"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5099A07E" w14:textId="30AEE7AD" w:rsidR="00F369F0" w:rsidRPr="00F369F0" w:rsidRDefault="00F369F0" w:rsidP="00F369F0">
                    <w:pPr>
                      <w:spacing w:after="0"/>
                      <w:rPr>
                        <w:rFonts w:ascii="Aptos" w:eastAsia="Aptos" w:hAnsi="Aptos" w:cs="Aptos"/>
                        <w:noProof/>
                        <w:color w:val="FF0000"/>
                        <w:sz w:val="24"/>
                      </w:rPr>
                    </w:pPr>
                    <w:r w:rsidRPr="00F369F0">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682D" w14:textId="30FBB0A9" w:rsidR="00751A23" w:rsidRPr="004034D8" w:rsidRDefault="00751A23" w:rsidP="0023000A">
    <w:pPr>
      <w:pStyle w:val="Header"/>
      <w:jc w:val="right"/>
      <w:rPr>
        <w:b/>
        <w:bCs/>
      </w:rPr>
    </w:pPr>
    <w:r w:rsidRPr="004034D8">
      <w:rPr>
        <w:b/>
        <w:bCs/>
        <w:noProof/>
        <w:lang w:eastAsia="en-AU"/>
      </w:rPr>
      <w:drawing>
        <wp:anchor distT="0" distB="0" distL="114300" distR="114300" simplePos="0" relativeHeight="251653120" behindDoc="1" locked="0" layoutInCell="1" allowOverlap="1" wp14:anchorId="0768892A" wp14:editId="42B50149">
          <wp:simplePos x="0" y="0"/>
          <wp:positionH relativeFrom="page">
            <wp:align>center</wp:align>
          </wp:positionH>
          <wp:positionV relativeFrom="page">
            <wp:align>center</wp:align>
          </wp:positionV>
          <wp:extent cx="7559245" cy="10692673"/>
          <wp:effectExtent l="0" t="0" r="0" b="1270"/>
          <wp:wrapNone/>
          <wp:docPr id="819345910" name="Picture 819345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2946" w14:textId="3C4D9B7B" w:rsidR="008E0C77" w:rsidRPr="00651144" w:rsidRDefault="008E0C77">
    <w:pPr>
      <w:pStyle w:val="Headertext"/>
      <w:pBdr>
        <w:bottom w:val="single" w:sz="18" w:space="1" w:color="358189" w:themeColor="accent2"/>
      </w:pBdr>
      <w:rPr>
        <w:b/>
        <w:bCs/>
        <w:color w:val="3F4A75"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E7467D"/>
    <w:multiLevelType w:val="hybridMultilevel"/>
    <w:tmpl w:val="C280357C"/>
    <w:lvl w:ilvl="0" w:tplc="41B04F00">
      <w:start w:val="1"/>
      <w:numFmt w:val="bullet"/>
      <w:lvlText w:val="•"/>
      <w:lvlJc w:val="left"/>
      <w:pPr>
        <w:tabs>
          <w:tab w:val="num" w:pos="720"/>
        </w:tabs>
        <w:ind w:left="720" w:hanging="360"/>
      </w:pPr>
      <w:rPr>
        <w:rFonts w:ascii="Arial" w:hAnsi="Arial" w:hint="default"/>
      </w:rPr>
    </w:lvl>
    <w:lvl w:ilvl="1" w:tplc="3E7A4604" w:tentative="1">
      <w:start w:val="1"/>
      <w:numFmt w:val="bullet"/>
      <w:lvlText w:val="•"/>
      <w:lvlJc w:val="left"/>
      <w:pPr>
        <w:tabs>
          <w:tab w:val="num" w:pos="1440"/>
        </w:tabs>
        <w:ind w:left="1440" w:hanging="360"/>
      </w:pPr>
      <w:rPr>
        <w:rFonts w:ascii="Arial" w:hAnsi="Arial" w:hint="default"/>
      </w:rPr>
    </w:lvl>
    <w:lvl w:ilvl="2" w:tplc="6A76D20E" w:tentative="1">
      <w:start w:val="1"/>
      <w:numFmt w:val="bullet"/>
      <w:lvlText w:val="•"/>
      <w:lvlJc w:val="left"/>
      <w:pPr>
        <w:tabs>
          <w:tab w:val="num" w:pos="2160"/>
        </w:tabs>
        <w:ind w:left="2160" w:hanging="360"/>
      </w:pPr>
      <w:rPr>
        <w:rFonts w:ascii="Arial" w:hAnsi="Arial" w:hint="default"/>
      </w:rPr>
    </w:lvl>
    <w:lvl w:ilvl="3" w:tplc="EA54470A" w:tentative="1">
      <w:start w:val="1"/>
      <w:numFmt w:val="bullet"/>
      <w:lvlText w:val="•"/>
      <w:lvlJc w:val="left"/>
      <w:pPr>
        <w:tabs>
          <w:tab w:val="num" w:pos="2880"/>
        </w:tabs>
        <w:ind w:left="2880" w:hanging="360"/>
      </w:pPr>
      <w:rPr>
        <w:rFonts w:ascii="Arial" w:hAnsi="Arial" w:hint="default"/>
      </w:rPr>
    </w:lvl>
    <w:lvl w:ilvl="4" w:tplc="9AEE34EA" w:tentative="1">
      <w:start w:val="1"/>
      <w:numFmt w:val="bullet"/>
      <w:lvlText w:val="•"/>
      <w:lvlJc w:val="left"/>
      <w:pPr>
        <w:tabs>
          <w:tab w:val="num" w:pos="3600"/>
        </w:tabs>
        <w:ind w:left="3600" w:hanging="360"/>
      </w:pPr>
      <w:rPr>
        <w:rFonts w:ascii="Arial" w:hAnsi="Arial" w:hint="default"/>
      </w:rPr>
    </w:lvl>
    <w:lvl w:ilvl="5" w:tplc="48E05062" w:tentative="1">
      <w:start w:val="1"/>
      <w:numFmt w:val="bullet"/>
      <w:lvlText w:val="•"/>
      <w:lvlJc w:val="left"/>
      <w:pPr>
        <w:tabs>
          <w:tab w:val="num" w:pos="4320"/>
        </w:tabs>
        <w:ind w:left="4320" w:hanging="360"/>
      </w:pPr>
      <w:rPr>
        <w:rFonts w:ascii="Arial" w:hAnsi="Arial" w:hint="default"/>
      </w:rPr>
    </w:lvl>
    <w:lvl w:ilvl="6" w:tplc="13AE48AC" w:tentative="1">
      <w:start w:val="1"/>
      <w:numFmt w:val="bullet"/>
      <w:lvlText w:val="•"/>
      <w:lvlJc w:val="left"/>
      <w:pPr>
        <w:tabs>
          <w:tab w:val="num" w:pos="5040"/>
        </w:tabs>
        <w:ind w:left="5040" w:hanging="360"/>
      </w:pPr>
      <w:rPr>
        <w:rFonts w:ascii="Arial" w:hAnsi="Arial" w:hint="default"/>
      </w:rPr>
    </w:lvl>
    <w:lvl w:ilvl="7" w:tplc="7E66A9F6" w:tentative="1">
      <w:start w:val="1"/>
      <w:numFmt w:val="bullet"/>
      <w:lvlText w:val="•"/>
      <w:lvlJc w:val="left"/>
      <w:pPr>
        <w:tabs>
          <w:tab w:val="num" w:pos="5760"/>
        </w:tabs>
        <w:ind w:left="5760" w:hanging="360"/>
      </w:pPr>
      <w:rPr>
        <w:rFonts w:ascii="Arial" w:hAnsi="Arial" w:hint="default"/>
      </w:rPr>
    </w:lvl>
    <w:lvl w:ilvl="8" w:tplc="B61246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8F3728"/>
    <w:multiLevelType w:val="multilevel"/>
    <w:tmpl w:val="ABBE07B8"/>
    <w:lvl w:ilvl="0">
      <w:start w:val="1"/>
      <w:numFmt w:val="decimal"/>
      <w:lvlText w:val="%1"/>
      <w:lvlJc w:val="left"/>
      <w:pPr>
        <w:ind w:left="851" w:hanging="851"/>
      </w:pPr>
    </w:lvl>
    <w:lvl w:ilvl="1">
      <w:start w:val="1"/>
      <w:numFmt w:val="decimal"/>
      <w:pStyle w:val="Style2"/>
      <w:lvlText w:val="%1.%2"/>
      <w:lvlJc w:val="left"/>
      <w:pPr>
        <w:ind w:left="851" w:hanging="851"/>
      </w:pPr>
      <w:rPr>
        <w:i w:val="0"/>
        <w:smallCaps w:val="0"/>
        <w:strike w:val="0"/>
        <w:u w:val="none"/>
        <w:vertAlign w:val="baseline"/>
      </w:r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2" w15:restartNumberingAfterBreak="0">
    <w:nsid w:val="11B1685D"/>
    <w:multiLevelType w:val="hybridMultilevel"/>
    <w:tmpl w:val="EA10148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56EB5"/>
    <w:multiLevelType w:val="hybridMultilevel"/>
    <w:tmpl w:val="AB24F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BF2317"/>
    <w:multiLevelType w:val="hybridMultilevel"/>
    <w:tmpl w:val="252EBFD2"/>
    <w:lvl w:ilvl="0" w:tplc="0C090011">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D94064C"/>
    <w:multiLevelType w:val="hybridMultilevel"/>
    <w:tmpl w:val="13088F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E055DE"/>
    <w:multiLevelType w:val="hybridMultilevel"/>
    <w:tmpl w:val="61A2F8C8"/>
    <w:lvl w:ilvl="0" w:tplc="04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FA4755"/>
    <w:multiLevelType w:val="hybridMultilevel"/>
    <w:tmpl w:val="AB1A712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226600"/>
    <w:multiLevelType w:val="hybridMultilevel"/>
    <w:tmpl w:val="B2482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36144C"/>
    <w:multiLevelType w:val="hybridMultilevel"/>
    <w:tmpl w:val="9F064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1C544A"/>
    <w:multiLevelType w:val="multilevel"/>
    <w:tmpl w:val="F920E70C"/>
    <w:lvl w:ilvl="0">
      <w:start w:val="1"/>
      <w:numFmt w:val="decimal"/>
      <w:lvlText w:val="%1"/>
      <w:lvlJc w:val="left"/>
      <w:pPr>
        <w:ind w:left="851" w:hanging="851"/>
      </w:pPr>
      <w:rPr>
        <w:rFonts w:hint="default"/>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9" w15:restartNumberingAfterBreak="0">
    <w:nsid w:val="764C2207"/>
    <w:multiLevelType w:val="hybridMultilevel"/>
    <w:tmpl w:val="2C528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FE409D"/>
    <w:multiLevelType w:val="hybridMultilevel"/>
    <w:tmpl w:val="13564AD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2"/>
  </w:num>
  <w:num w:numId="3" w16cid:durableId="1111165562">
    <w:abstractNumId w:val="27"/>
  </w:num>
  <w:num w:numId="4" w16cid:durableId="1656956847">
    <w:abstractNumId w:val="8"/>
  </w:num>
  <w:num w:numId="5" w16cid:durableId="1573807520">
    <w:abstractNumId w:val="8"/>
    <w:lvlOverride w:ilvl="0">
      <w:startOverride w:val="1"/>
    </w:lvlOverride>
  </w:num>
  <w:num w:numId="6" w16cid:durableId="306908385">
    <w:abstractNumId w:val="10"/>
  </w:num>
  <w:num w:numId="7" w16cid:durableId="739521073">
    <w:abstractNumId w:val="20"/>
  </w:num>
  <w:num w:numId="8" w16cid:durableId="1364792563">
    <w:abstractNumId w:val="2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31"/>
  </w:num>
  <w:num w:numId="17" w16cid:durableId="784426807">
    <w:abstractNumId w:val="13"/>
  </w:num>
  <w:num w:numId="18" w16cid:durableId="1485246168">
    <w:abstractNumId w:val="14"/>
  </w:num>
  <w:num w:numId="19" w16cid:durableId="204174500">
    <w:abstractNumId w:val="17"/>
  </w:num>
  <w:num w:numId="20" w16cid:durableId="583033642">
    <w:abstractNumId w:val="13"/>
  </w:num>
  <w:num w:numId="21" w16cid:durableId="411392521">
    <w:abstractNumId w:val="17"/>
  </w:num>
  <w:num w:numId="22" w16cid:durableId="1149708572">
    <w:abstractNumId w:val="31"/>
  </w:num>
  <w:num w:numId="23" w16cid:durableId="759183430">
    <w:abstractNumId w:val="22"/>
  </w:num>
  <w:num w:numId="24" w16cid:durableId="936640889">
    <w:abstractNumId w:val="27"/>
  </w:num>
  <w:num w:numId="25" w16cid:durableId="682364219">
    <w:abstractNumId w:val="8"/>
  </w:num>
  <w:num w:numId="26" w16cid:durableId="2122454649">
    <w:abstractNumId w:val="21"/>
  </w:num>
  <w:num w:numId="27" w16cid:durableId="1929384218">
    <w:abstractNumId w:val="11"/>
  </w:num>
  <w:num w:numId="28" w16cid:durableId="433945206">
    <w:abstractNumId w:val="28"/>
  </w:num>
  <w:num w:numId="29" w16cid:durableId="1469012215">
    <w:abstractNumId w:val="9"/>
  </w:num>
  <w:num w:numId="30" w16cid:durableId="1055855720">
    <w:abstractNumId w:val="15"/>
  </w:num>
  <w:num w:numId="31" w16cid:durableId="413670790">
    <w:abstractNumId w:val="24"/>
  </w:num>
  <w:num w:numId="32" w16cid:durableId="1167356527">
    <w:abstractNumId w:val="12"/>
  </w:num>
  <w:num w:numId="33" w16cid:durableId="820970682">
    <w:abstractNumId w:val="29"/>
  </w:num>
  <w:num w:numId="34" w16cid:durableId="1093942157">
    <w:abstractNumId w:val="23"/>
  </w:num>
  <w:num w:numId="35" w16cid:durableId="1744642486">
    <w:abstractNumId w:val="30"/>
  </w:num>
  <w:num w:numId="36" w16cid:durableId="1077704245">
    <w:abstractNumId w:val="16"/>
  </w:num>
  <w:num w:numId="37" w16cid:durableId="163015666">
    <w:abstractNumId w:val="25"/>
  </w:num>
  <w:num w:numId="38" w16cid:durableId="1477607033">
    <w:abstractNumId w:val="18"/>
  </w:num>
  <w:num w:numId="39" w16cid:durableId="1617953342">
    <w:abstractNumId w:val="25"/>
  </w:num>
  <w:num w:numId="40" w16cid:durableId="1924030290">
    <w:abstractNumId w:val="23"/>
  </w:num>
  <w:num w:numId="41" w16cid:durableId="1750885840">
    <w:abstractNumId w:val="1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0"/>
    <w:rsid w:val="00001F41"/>
    <w:rsid w:val="0000364C"/>
    <w:rsid w:val="00003743"/>
    <w:rsid w:val="000047B4"/>
    <w:rsid w:val="00005712"/>
    <w:rsid w:val="00005DFB"/>
    <w:rsid w:val="00007FD8"/>
    <w:rsid w:val="000117F8"/>
    <w:rsid w:val="00013461"/>
    <w:rsid w:val="000225D3"/>
    <w:rsid w:val="00022CCF"/>
    <w:rsid w:val="00026139"/>
    <w:rsid w:val="00027071"/>
    <w:rsid w:val="00027601"/>
    <w:rsid w:val="00031408"/>
    <w:rsid w:val="00033321"/>
    <w:rsid w:val="000338E5"/>
    <w:rsid w:val="00033ECC"/>
    <w:rsid w:val="0003422F"/>
    <w:rsid w:val="000417FB"/>
    <w:rsid w:val="00044174"/>
    <w:rsid w:val="00046FF0"/>
    <w:rsid w:val="00050176"/>
    <w:rsid w:val="00050E57"/>
    <w:rsid w:val="00051311"/>
    <w:rsid w:val="00062B65"/>
    <w:rsid w:val="00063B88"/>
    <w:rsid w:val="000662E8"/>
    <w:rsid w:val="00066F68"/>
    <w:rsid w:val="00067456"/>
    <w:rsid w:val="00071506"/>
    <w:rsid w:val="0007154F"/>
    <w:rsid w:val="00071676"/>
    <w:rsid w:val="000725E0"/>
    <w:rsid w:val="00072DED"/>
    <w:rsid w:val="00081AB1"/>
    <w:rsid w:val="00090316"/>
    <w:rsid w:val="00090EC9"/>
    <w:rsid w:val="00093981"/>
    <w:rsid w:val="000939FF"/>
    <w:rsid w:val="00093CD9"/>
    <w:rsid w:val="000A6B17"/>
    <w:rsid w:val="000B067A"/>
    <w:rsid w:val="000B1540"/>
    <w:rsid w:val="000B16BA"/>
    <w:rsid w:val="000B33FD"/>
    <w:rsid w:val="000B4ABA"/>
    <w:rsid w:val="000C16AA"/>
    <w:rsid w:val="000C1815"/>
    <w:rsid w:val="000C4B02"/>
    <w:rsid w:val="000C4B16"/>
    <w:rsid w:val="000C50C3"/>
    <w:rsid w:val="000C697B"/>
    <w:rsid w:val="000D1307"/>
    <w:rsid w:val="000D21F6"/>
    <w:rsid w:val="000D3B67"/>
    <w:rsid w:val="000D42C3"/>
    <w:rsid w:val="000D4500"/>
    <w:rsid w:val="000D670C"/>
    <w:rsid w:val="000D738A"/>
    <w:rsid w:val="000D7AEA"/>
    <w:rsid w:val="000E01A9"/>
    <w:rsid w:val="000E2C66"/>
    <w:rsid w:val="000E6344"/>
    <w:rsid w:val="000E6E7D"/>
    <w:rsid w:val="000F123C"/>
    <w:rsid w:val="000F2265"/>
    <w:rsid w:val="000F26A4"/>
    <w:rsid w:val="000F2FED"/>
    <w:rsid w:val="000F4F48"/>
    <w:rsid w:val="000F5B09"/>
    <w:rsid w:val="000F7F8B"/>
    <w:rsid w:val="001003A8"/>
    <w:rsid w:val="0010199E"/>
    <w:rsid w:val="00103A89"/>
    <w:rsid w:val="0010616D"/>
    <w:rsid w:val="00110478"/>
    <w:rsid w:val="00111193"/>
    <w:rsid w:val="00111493"/>
    <w:rsid w:val="0011711B"/>
    <w:rsid w:val="00117F8A"/>
    <w:rsid w:val="001203C9"/>
    <w:rsid w:val="00120B7D"/>
    <w:rsid w:val="00121B9B"/>
    <w:rsid w:val="00122ADC"/>
    <w:rsid w:val="00130192"/>
    <w:rsid w:val="00130F59"/>
    <w:rsid w:val="00131419"/>
    <w:rsid w:val="00132F06"/>
    <w:rsid w:val="001334E1"/>
    <w:rsid w:val="00133EC0"/>
    <w:rsid w:val="001354F9"/>
    <w:rsid w:val="001378FD"/>
    <w:rsid w:val="00141CE5"/>
    <w:rsid w:val="00144908"/>
    <w:rsid w:val="001568BA"/>
    <w:rsid w:val="001571C7"/>
    <w:rsid w:val="00157FAE"/>
    <w:rsid w:val="00161094"/>
    <w:rsid w:val="00171556"/>
    <w:rsid w:val="0017286F"/>
    <w:rsid w:val="00172986"/>
    <w:rsid w:val="00172A55"/>
    <w:rsid w:val="001749AB"/>
    <w:rsid w:val="00174C5B"/>
    <w:rsid w:val="001758CD"/>
    <w:rsid w:val="0017617C"/>
    <w:rsid w:val="0017665C"/>
    <w:rsid w:val="00177AD2"/>
    <w:rsid w:val="00180D66"/>
    <w:rsid w:val="00181453"/>
    <w:rsid w:val="001815A8"/>
    <w:rsid w:val="001840FA"/>
    <w:rsid w:val="00190079"/>
    <w:rsid w:val="001928F1"/>
    <w:rsid w:val="0019622E"/>
    <w:rsid w:val="001966A7"/>
    <w:rsid w:val="001A0D9E"/>
    <w:rsid w:val="001A0F7E"/>
    <w:rsid w:val="001A1FD8"/>
    <w:rsid w:val="001A33E1"/>
    <w:rsid w:val="001A391A"/>
    <w:rsid w:val="001A4627"/>
    <w:rsid w:val="001A4979"/>
    <w:rsid w:val="001A6956"/>
    <w:rsid w:val="001B15D3"/>
    <w:rsid w:val="001B2AC9"/>
    <w:rsid w:val="001B3443"/>
    <w:rsid w:val="001B4AE9"/>
    <w:rsid w:val="001C0326"/>
    <w:rsid w:val="001C192F"/>
    <w:rsid w:val="001C362E"/>
    <w:rsid w:val="001C3C42"/>
    <w:rsid w:val="001C3CFB"/>
    <w:rsid w:val="001C5585"/>
    <w:rsid w:val="001C7D1B"/>
    <w:rsid w:val="001D360B"/>
    <w:rsid w:val="001D7869"/>
    <w:rsid w:val="001E3962"/>
    <w:rsid w:val="001E5428"/>
    <w:rsid w:val="001E5DF0"/>
    <w:rsid w:val="001F1A34"/>
    <w:rsid w:val="001F1E3C"/>
    <w:rsid w:val="001F2F78"/>
    <w:rsid w:val="002026CD"/>
    <w:rsid w:val="002033FC"/>
    <w:rsid w:val="002044BB"/>
    <w:rsid w:val="00210B09"/>
    <w:rsid w:val="00210C9E"/>
    <w:rsid w:val="00211840"/>
    <w:rsid w:val="00214C00"/>
    <w:rsid w:val="00220E5F"/>
    <w:rsid w:val="002212B5"/>
    <w:rsid w:val="002230C5"/>
    <w:rsid w:val="00225CFA"/>
    <w:rsid w:val="00226668"/>
    <w:rsid w:val="0022691C"/>
    <w:rsid w:val="0023000A"/>
    <w:rsid w:val="00233809"/>
    <w:rsid w:val="002375E3"/>
    <w:rsid w:val="00240046"/>
    <w:rsid w:val="00241D0C"/>
    <w:rsid w:val="0024627B"/>
    <w:rsid w:val="0024797F"/>
    <w:rsid w:val="00250E85"/>
    <w:rsid w:val="0025119E"/>
    <w:rsid w:val="00251269"/>
    <w:rsid w:val="002535C0"/>
    <w:rsid w:val="002579FE"/>
    <w:rsid w:val="00257C8D"/>
    <w:rsid w:val="0026311C"/>
    <w:rsid w:val="0026668C"/>
    <w:rsid w:val="00266AC1"/>
    <w:rsid w:val="0027178C"/>
    <w:rsid w:val="002719FA"/>
    <w:rsid w:val="00272668"/>
    <w:rsid w:val="0027330B"/>
    <w:rsid w:val="002803AD"/>
    <w:rsid w:val="0028188B"/>
    <w:rsid w:val="00281E8B"/>
    <w:rsid w:val="00282052"/>
    <w:rsid w:val="0028519E"/>
    <w:rsid w:val="002856A5"/>
    <w:rsid w:val="002872ED"/>
    <w:rsid w:val="002905C2"/>
    <w:rsid w:val="002914E1"/>
    <w:rsid w:val="0029204A"/>
    <w:rsid w:val="0029244E"/>
    <w:rsid w:val="00292514"/>
    <w:rsid w:val="002928CD"/>
    <w:rsid w:val="00292BC3"/>
    <w:rsid w:val="00295AF2"/>
    <w:rsid w:val="00295C40"/>
    <w:rsid w:val="00295C91"/>
    <w:rsid w:val="00297151"/>
    <w:rsid w:val="002A0910"/>
    <w:rsid w:val="002A1AB6"/>
    <w:rsid w:val="002A3E0D"/>
    <w:rsid w:val="002B019E"/>
    <w:rsid w:val="002B20E6"/>
    <w:rsid w:val="002B42A3"/>
    <w:rsid w:val="002C08E1"/>
    <w:rsid w:val="002C0CDD"/>
    <w:rsid w:val="002C198A"/>
    <w:rsid w:val="002C37E6"/>
    <w:rsid w:val="002D63BA"/>
    <w:rsid w:val="002E1A1D"/>
    <w:rsid w:val="002E229E"/>
    <w:rsid w:val="002E4081"/>
    <w:rsid w:val="002E575C"/>
    <w:rsid w:val="002E5B78"/>
    <w:rsid w:val="002F3AE3"/>
    <w:rsid w:val="002F4169"/>
    <w:rsid w:val="002F48BD"/>
    <w:rsid w:val="0030464B"/>
    <w:rsid w:val="00304F16"/>
    <w:rsid w:val="00305C6B"/>
    <w:rsid w:val="00306165"/>
    <w:rsid w:val="0030786C"/>
    <w:rsid w:val="00312431"/>
    <w:rsid w:val="00313AD2"/>
    <w:rsid w:val="003148D0"/>
    <w:rsid w:val="00315E79"/>
    <w:rsid w:val="00317A75"/>
    <w:rsid w:val="0032121E"/>
    <w:rsid w:val="003233DE"/>
    <w:rsid w:val="003236C2"/>
    <w:rsid w:val="00323C04"/>
    <w:rsid w:val="0032466B"/>
    <w:rsid w:val="0032707E"/>
    <w:rsid w:val="00327B44"/>
    <w:rsid w:val="003327BE"/>
    <w:rsid w:val="003330EB"/>
    <w:rsid w:val="003339CE"/>
    <w:rsid w:val="00336605"/>
    <w:rsid w:val="003402A2"/>
    <w:rsid w:val="003415FD"/>
    <w:rsid w:val="003429F0"/>
    <w:rsid w:val="00342EFA"/>
    <w:rsid w:val="00344501"/>
    <w:rsid w:val="0035097A"/>
    <w:rsid w:val="00351FEE"/>
    <w:rsid w:val="00353E31"/>
    <w:rsid w:val="003540A4"/>
    <w:rsid w:val="00355C6B"/>
    <w:rsid w:val="00360E4E"/>
    <w:rsid w:val="0036270D"/>
    <w:rsid w:val="00363AB9"/>
    <w:rsid w:val="00365FA0"/>
    <w:rsid w:val="00370AAA"/>
    <w:rsid w:val="00370CAE"/>
    <w:rsid w:val="00375F77"/>
    <w:rsid w:val="003760F4"/>
    <w:rsid w:val="00376BDD"/>
    <w:rsid w:val="00377A78"/>
    <w:rsid w:val="00381BBE"/>
    <w:rsid w:val="00382903"/>
    <w:rsid w:val="003846FF"/>
    <w:rsid w:val="00385AD4"/>
    <w:rsid w:val="00387924"/>
    <w:rsid w:val="003936FC"/>
    <w:rsid w:val="0039384D"/>
    <w:rsid w:val="003945E9"/>
    <w:rsid w:val="00395C23"/>
    <w:rsid w:val="003A2E4F"/>
    <w:rsid w:val="003A4438"/>
    <w:rsid w:val="003A5013"/>
    <w:rsid w:val="003A5078"/>
    <w:rsid w:val="003A62DD"/>
    <w:rsid w:val="003A775A"/>
    <w:rsid w:val="003A7D04"/>
    <w:rsid w:val="003B0DAB"/>
    <w:rsid w:val="003B213A"/>
    <w:rsid w:val="003B25FC"/>
    <w:rsid w:val="003B43AD"/>
    <w:rsid w:val="003B586F"/>
    <w:rsid w:val="003B7D22"/>
    <w:rsid w:val="003C0F16"/>
    <w:rsid w:val="003C0FEC"/>
    <w:rsid w:val="003C15B8"/>
    <w:rsid w:val="003C2A65"/>
    <w:rsid w:val="003C2AC8"/>
    <w:rsid w:val="003C46A6"/>
    <w:rsid w:val="003D0819"/>
    <w:rsid w:val="003D17F9"/>
    <w:rsid w:val="003D2D88"/>
    <w:rsid w:val="003D41EA"/>
    <w:rsid w:val="003D4850"/>
    <w:rsid w:val="003D535A"/>
    <w:rsid w:val="003D7C0D"/>
    <w:rsid w:val="003E3A83"/>
    <w:rsid w:val="003E4F68"/>
    <w:rsid w:val="003E5265"/>
    <w:rsid w:val="003F0569"/>
    <w:rsid w:val="003F0955"/>
    <w:rsid w:val="003F2ABD"/>
    <w:rsid w:val="003F5C2A"/>
    <w:rsid w:val="003F6ABB"/>
    <w:rsid w:val="003F6FE1"/>
    <w:rsid w:val="003F704B"/>
    <w:rsid w:val="00400F00"/>
    <w:rsid w:val="004034D8"/>
    <w:rsid w:val="00403A3F"/>
    <w:rsid w:val="00404F8B"/>
    <w:rsid w:val="00404FD4"/>
    <w:rsid w:val="00405256"/>
    <w:rsid w:val="00410031"/>
    <w:rsid w:val="00410CF9"/>
    <w:rsid w:val="004110B2"/>
    <w:rsid w:val="004115A2"/>
    <w:rsid w:val="00413229"/>
    <w:rsid w:val="00415C81"/>
    <w:rsid w:val="00415EA3"/>
    <w:rsid w:val="00416731"/>
    <w:rsid w:val="00416AD6"/>
    <w:rsid w:val="004170ED"/>
    <w:rsid w:val="0042480B"/>
    <w:rsid w:val="00425035"/>
    <w:rsid w:val="00430900"/>
    <w:rsid w:val="004315A4"/>
    <w:rsid w:val="0043182A"/>
    <w:rsid w:val="00432378"/>
    <w:rsid w:val="004347D9"/>
    <w:rsid w:val="00437CFD"/>
    <w:rsid w:val="00440D65"/>
    <w:rsid w:val="004435E6"/>
    <w:rsid w:val="00447E31"/>
    <w:rsid w:val="00453923"/>
    <w:rsid w:val="00454B9B"/>
    <w:rsid w:val="00457858"/>
    <w:rsid w:val="00460B0B"/>
    <w:rsid w:val="00461023"/>
    <w:rsid w:val="00462FAC"/>
    <w:rsid w:val="00464631"/>
    <w:rsid w:val="00464B79"/>
    <w:rsid w:val="00464CF7"/>
    <w:rsid w:val="00466DA2"/>
    <w:rsid w:val="00467BBF"/>
    <w:rsid w:val="0047077A"/>
    <w:rsid w:val="004747CA"/>
    <w:rsid w:val="004765F3"/>
    <w:rsid w:val="004767E5"/>
    <w:rsid w:val="00476841"/>
    <w:rsid w:val="004867E2"/>
    <w:rsid w:val="0048705C"/>
    <w:rsid w:val="004929A9"/>
    <w:rsid w:val="00495323"/>
    <w:rsid w:val="00495E58"/>
    <w:rsid w:val="004A3B7D"/>
    <w:rsid w:val="004B05D2"/>
    <w:rsid w:val="004B064A"/>
    <w:rsid w:val="004C1871"/>
    <w:rsid w:val="004C2FEC"/>
    <w:rsid w:val="004C6BCF"/>
    <w:rsid w:val="004D4C14"/>
    <w:rsid w:val="004D4FE2"/>
    <w:rsid w:val="004D58BF"/>
    <w:rsid w:val="004D5C68"/>
    <w:rsid w:val="004D7CCD"/>
    <w:rsid w:val="004E31A6"/>
    <w:rsid w:val="004E4335"/>
    <w:rsid w:val="004E546B"/>
    <w:rsid w:val="004E5AAC"/>
    <w:rsid w:val="004E5ACF"/>
    <w:rsid w:val="004F13AE"/>
    <w:rsid w:val="004F13EE"/>
    <w:rsid w:val="004F1CB3"/>
    <w:rsid w:val="004F1EB7"/>
    <w:rsid w:val="004F2022"/>
    <w:rsid w:val="004F7617"/>
    <w:rsid w:val="004F7C05"/>
    <w:rsid w:val="0050158D"/>
    <w:rsid w:val="00501A8C"/>
    <w:rsid w:val="00501C94"/>
    <w:rsid w:val="00503223"/>
    <w:rsid w:val="005049F0"/>
    <w:rsid w:val="00506432"/>
    <w:rsid w:val="00511C43"/>
    <w:rsid w:val="0051242B"/>
    <w:rsid w:val="005145AA"/>
    <w:rsid w:val="0052051D"/>
    <w:rsid w:val="005214FE"/>
    <w:rsid w:val="005279D1"/>
    <w:rsid w:val="00532930"/>
    <w:rsid w:val="00541AB7"/>
    <w:rsid w:val="0054382B"/>
    <w:rsid w:val="00545267"/>
    <w:rsid w:val="00545EE6"/>
    <w:rsid w:val="0054759B"/>
    <w:rsid w:val="00550675"/>
    <w:rsid w:val="005529FB"/>
    <w:rsid w:val="005550E7"/>
    <w:rsid w:val="005561DC"/>
    <w:rsid w:val="005564FB"/>
    <w:rsid w:val="005572C7"/>
    <w:rsid w:val="00561A82"/>
    <w:rsid w:val="005650ED"/>
    <w:rsid w:val="00566F73"/>
    <w:rsid w:val="00567540"/>
    <w:rsid w:val="00570CD5"/>
    <w:rsid w:val="005715F0"/>
    <w:rsid w:val="00575754"/>
    <w:rsid w:val="00582A94"/>
    <w:rsid w:val="005877DB"/>
    <w:rsid w:val="0059068E"/>
    <w:rsid w:val="00591E20"/>
    <w:rsid w:val="005930DD"/>
    <w:rsid w:val="00594647"/>
    <w:rsid w:val="00594B42"/>
    <w:rsid w:val="00595408"/>
    <w:rsid w:val="00595E84"/>
    <w:rsid w:val="005964C3"/>
    <w:rsid w:val="00597D79"/>
    <w:rsid w:val="005A0C59"/>
    <w:rsid w:val="005A15D8"/>
    <w:rsid w:val="005A3AA5"/>
    <w:rsid w:val="005A48EB"/>
    <w:rsid w:val="005A6CFB"/>
    <w:rsid w:val="005B3E03"/>
    <w:rsid w:val="005B7DD5"/>
    <w:rsid w:val="005C57B0"/>
    <w:rsid w:val="005C5AEB"/>
    <w:rsid w:val="005D4AD9"/>
    <w:rsid w:val="005E01EE"/>
    <w:rsid w:val="005E0A3F"/>
    <w:rsid w:val="005E6883"/>
    <w:rsid w:val="005E772F"/>
    <w:rsid w:val="005F280D"/>
    <w:rsid w:val="005F460F"/>
    <w:rsid w:val="005F4ECA"/>
    <w:rsid w:val="005F5F83"/>
    <w:rsid w:val="00603484"/>
    <w:rsid w:val="00603C58"/>
    <w:rsid w:val="006041BE"/>
    <w:rsid w:val="0060430B"/>
    <w:rsid w:val="006043C7"/>
    <w:rsid w:val="00604B9C"/>
    <w:rsid w:val="00605660"/>
    <w:rsid w:val="00607BDA"/>
    <w:rsid w:val="00610C17"/>
    <w:rsid w:val="00612408"/>
    <w:rsid w:val="00615D23"/>
    <w:rsid w:val="00624B52"/>
    <w:rsid w:val="00625D5B"/>
    <w:rsid w:val="0062635E"/>
    <w:rsid w:val="0062721E"/>
    <w:rsid w:val="00631DF4"/>
    <w:rsid w:val="0063283A"/>
    <w:rsid w:val="0063376D"/>
    <w:rsid w:val="00634175"/>
    <w:rsid w:val="006408AC"/>
    <w:rsid w:val="00643A6A"/>
    <w:rsid w:val="00645D6A"/>
    <w:rsid w:val="006511B6"/>
    <w:rsid w:val="00652742"/>
    <w:rsid w:val="00653AE6"/>
    <w:rsid w:val="00654651"/>
    <w:rsid w:val="00657FF8"/>
    <w:rsid w:val="0066506F"/>
    <w:rsid w:val="0066654B"/>
    <w:rsid w:val="006669AA"/>
    <w:rsid w:val="00670D99"/>
    <w:rsid w:val="00670E2B"/>
    <w:rsid w:val="00672743"/>
    <w:rsid w:val="006734BB"/>
    <w:rsid w:val="0067389C"/>
    <w:rsid w:val="006760EE"/>
    <w:rsid w:val="00677CD2"/>
    <w:rsid w:val="00681A34"/>
    <w:rsid w:val="00681D3A"/>
    <w:rsid w:val="006821EB"/>
    <w:rsid w:val="00684632"/>
    <w:rsid w:val="00684B06"/>
    <w:rsid w:val="00686B4C"/>
    <w:rsid w:val="00690BB5"/>
    <w:rsid w:val="00695501"/>
    <w:rsid w:val="006A0AD1"/>
    <w:rsid w:val="006A6204"/>
    <w:rsid w:val="006B222E"/>
    <w:rsid w:val="006B2286"/>
    <w:rsid w:val="006B56BB"/>
    <w:rsid w:val="006B6580"/>
    <w:rsid w:val="006C2772"/>
    <w:rsid w:val="006C3AE9"/>
    <w:rsid w:val="006C77A8"/>
    <w:rsid w:val="006D4098"/>
    <w:rsid w:val="006D608B"/>
    <w:rsid w:val="006D7681"/>
    <w:rsid w:val="006D7B2E"/>
    <w:rsid w:val="006E02EA"/>
    <w:rsid w:val="006E0968"/>
    <w:rsid w:val="006E2AF6"/>
    <w:rsid w:val="006E334A"/>
    <w:rsid w:val="006F4111"/>
    <w:rsid w:val="006F6078"/>
    <w:rsid w:val="006F7960"/>
    <w:rsid w:val="00701275"/>
    <w:rsid w:val="007062F6"/>
    <w:rsid w:val="00707F56"/>
    <w:rsid w:val="00712F8A"/>
    <w:rsid w:val="0071312F"/>
    <w:rsid w:val="00713558"/>
    <w:rsid w:val="00715110"/>
    <w:rsid w:val="00720022"/>
    <w:rsid w:val="00720D08"/>
    <w:rsid w:val="00724B70"/>
    <w:rsid w:val="007263B9"/>
    <w:rsid w:val="007334F8"/>
    <w:rsid w:val="007339CD"/>
    <w:rsid w:val="007359D8"/>
    <w:rsid w:val="007362D4"/>
    <w:rsid w:val="00737009"/>
    <w:rsid w:val="007503B7"/>
    <w:rsid w:val="00751A23"/>
    <w:rsid w:val="007545B3"/>
    <w:rsid w:val="00754815"/>
    <w:rsid w:val="007564C3"/>
    <w:rsid w:val="007608F2"/>
    <w:rsid w:val="0076430D"/>
    <w:rsid w:val="0076672A"/>
    <w:rsid w:val="007673DD"/>
    <w:rsid w:val="00773054"/>
    <w:rsid w:val="00775E45"/>
    <w:rsid w:val="00776E74"/>
    <w:rsid w:val="00777740"/>
    <w:rsid w:val="00784692"/>
    <w:rsid w:val="00785169"/>
    <w:rsid w:val="00790153"/>
    <w:rsid w:val="00791559"/>
    <w:rsid w:val="007954AB"/>
    <w:rsid w:val="00797944"/>
    <w:rsid w:val="00797974"/>
    <w:rsid w:val="007A14C5"/>
    <w:rsid w:val="007A3E38"/>
    <w:rsid w:val="007A4A10"/>
    <w:rsid w:val="007A7496"/>
    <w:rsid w:val="007A7C86"/>
    <w:rsid w:val="007B11B7"/>
    <w:rsid w:val="007B1760"/>
    <w:rsid w:val="007B3D03"/>
    <w:rsid w:val="007C22BA"/>
    <w:rsid w:val="007C525E"/>
    <w:rsid w:val="007C6D9C"/>
    <w:rsid w:val="007C7DDB"/>
    <w:rsid w:val="007D2CC7"/>
    <w:rsid w:val="007D673D"/>
    <w:rsid w:val="007D73B3"/>
    <w:rsid w:val="007D7DD5"/>
    <w:rsid w:val="007E06EE"/>
    <w:rsid w:val="007E0EC9"/>
    <w:rsid w:val="007E1FA9"/>
    <w:rsid w:val="007E4A3C"/>
    <w:rsid w:val="007F2220"/>
    <w:rsid w:val="007F293B"/>
    <w:rsid w:val="007F3074"/>
    <w:rsid w:val="007F4B3E"/>
    <w:rsid w:val="007F588A"/>
    <w:rsid w:val="00800175"/>
    <w:rsid w:val="00802675"/>
    <w:rsid w:val="00806E4E"/>
    <w:rsid w:val="008127AF"/>
    <w:rsid w:val="00812B46"/>
    <w:rsid w:val="00815700"/>
    <w:rsid w:val="008172BC"/>
    <w:rsid w:val="00817683"/>
    <w:rsid w:val="00817B70"/>
    <w:rsid w:val="0082431C"/>
    <w:rsid w:val="00825A91"/>
    <w:rsid w:val="008264EB"/>
    <w:rsid w:val="0082698B"/>
    <w:rsid w:val="00826B8F"/>
    <w:rsid w:val="00831E8A"/>
    <w:rsid w:val="00835C76"/>
    <w:rsid w:val="008371F4"/>
    <w:rsid w:val="00843049"/>
    <w:rsid w:val="00843580"/>
    <w:rsid w:val="00851F0C"/>
    <w:rsid w:val="0085209B"/>
    <w:rsid w:val="00856B66"/>
    <w:rsid w:val="00861A5F"/>
    <w:rsid w:val="008644AD"/>
    <w:rsid w:val="00865735"/>
    <w:rsid w:val="00865DDB"/>
    <w:rsid w:val="00867538"/>
    <w:rsid w:val="00867724"/>
    <w:rsid w:val="00870409"/>
    <w:rsid w:val="00873D90"/>
    <w:rsid w:val="00873FC8"/>
    <w:rsid w:val="00874F8B"/>
    <w:rsid w:val="008764E5"/>
    <w:rsid w:val="00882F3D"/>
    <w:rsid w:val="0088469C"/>
    <w:rsid w:val="00884C63"/>
    <w:rsid w:val="00885908"/>
    <w:rsid w:val="008864B7"/>
    <w:rsid w:val="00891C9F"/>
    <w:rsid w:val="00891CCC"/>
    <w:rsid w:val="00894278"/>
    <w:rsid w:val="0089677E"/>
    <w:rsid w:val="00896E8C"/>
    <w:rsid w:val="008A0B74"/>
    <w:rsid w:val="008A7438"/>
    <w:rsid w:val="008B1334"/>
    <w:rsid w:val="008B568E"/>
    <w:rsid w:val="008B5952"/>
    <w:rsid w:val="008C0278"/>
    <w:rsid w:val="008C24E9"/>
    <w:rsid w:val="008C39F1"/>
    <w:rsid w:val="008D0533"/>
    <w:rsid w:val="008D42CB"/>
    <w:rsid w:val="008D48C9"/>
    <w:rsid w:val="008D5B79"/>
    <w:rsid w:val="008D6381"/>
    <w:rsid w:val="008D6FEA"/>
    <w:rsid w:val="008E0C77"/>
    <w:rsid w:val="008E1DCC"/>
    <w:rsid w:val="008E2342"/>
    <w:rsid w:val="008E29B4"/>
    <w:rsid w:val="008E51C9"/>
    <w:rsid w:val="008E625F"/>
    <w:rsid w:val="008F0FE8"/>
    <w:rsid w:val="008F21D9"/>
    <w:rsid w:val="008F264D"/>
    <w:rsid w:val="008F5AAE"/>
    <w:rsid w:val="009044A3"/>
    <w:rsid w:val="009074E1"/>
    <w:rsid w:val="009112F7"/>
    <w:rsid w:val="009122AF"/>
    <w:rsid w:val="009127BC"/>
    <w:rsid w:val="00912D54"/>
    <w:rsid w:val="0091389F"/>
    <w:rsid w:val="009208F7"/>
    <w:rsid w:val="009211DE"/>
    <w:rsid w:val="00922517"/>
    <w:rsid w:val="00922722"/>
    <w:rsid w:val="00922E50"/>
    <w:rsid w:val="00923E0C"/>
    <w:rsid w:val="0092406A"/>
    <w:rsid w:val="009253A9"/>
    <w:rsid w:val="009261E6"/>
    <w:rsid w:val="00926896"/>
    <w:rsid w:val="009268E1"/>
    <w:rsid w:val="00926D0C"/>
    <w:rsid w:val="00930FA1"/>
    <w:rsid w:val="00931CC6"/>
    <w:rsid w:val="00932423"/>
    <w:rsid w:val="00932868"/>
    <w:rsid w:val="00932B6F"/>
    <w:rsid w:val="00933955"/>
    <w:rsid w:val="00933AE5"/>
    <w:rsid w:val="00934368"/>
    <w:rsid w:val="0093587F"/>
    <w:rsid w:val="00935D30"/>
    <w:rsid w:val="009361ED"/>
    <w:rsid w:val="0094377B"/>
    <w:rsid w:val="00945695"/>
    <w:rsid w:val="00945E7F"/>
    <w:rsid w:val="009460BE"/>
    <w:rsid w:val="00950C9B"/>
    <w:rsid w:val="009516F6"/>
    <w:rsid w:val="00952951"/>
    <w:rsid w:val="009557C1"/>
    <w:rsid w:val="00956F65"/>
    <w:rsid w:val="009572B2"/>
    <w:rsid w:val="009603FF"/>
    <w:rsid w:val="00960D6E"/>
    <w:rsid w:val="00961AF3"/>
    <w:rsid w:val="0096216C"/>
    <w:rsid w:val="00962667"/>
    <w:rsid w:val="0096768C"/>
    <w:rsid w:val="00967B84"/>
    <w:rsid w:val="00972BC1"/>
    <w:rsid w:val="00974B59"/>
    <w:rsid w:val="00976E53"/>
    <w:rsid w:val="009819C5"/>
    <w:rsid w:val="00981ED1"/>
    <w:rsid w:val="0098340B"/>
    <w:rsid w:val="0098431B"/>
    <w:rsid w:val="00986830"/>
    <w:rsid w:val="00991DA7"/>
    <w:rsid w:val="009924C3"/>
    <w:rsid w:val="00993102"/>
    <w:rsid w:val="009A54C9"/>
    <w:rsid w:val="009C4A39"/>
    <w:rsid w:val="009C6F10"/>
    <w:rsid w:val="009D0753"/>
    <w:rsid w:val="009D148F"/>
    <w:rsid w:val="009D39C0"/>
    <w:rsid w:val="009D3D70"/>
    <w:rsid w:val="009E0E5A"/>
    <w:rsid w:val="009E12CC"/>
    <w:rsid w:val="009E2012"/>
    <w:rsid w:val="009E6F7E"/>
    <w:rsid w:val="009E7A57"/>
    <w:rsid w:val="009F304A"/>
    <w:rsid w:val="009F4F01"/>
    <w:rsid w:val="009F4F6A"/>
    <w:rsid w:val="009F52BC"/>
    <w:rsid w:val="009F5B03"/>
    <w:rsid w:val="00A04084"/>
    <w:rsid w:val="00A04E25"/>
    <w:rsid w:val="00A0614E"/>
    <w:rsid w:val="00A13238"/>
    <w:rsid w:val="00A16E36"/>
    <w:rsid w:val="00A202D8"/>
    <w:rsid w:val="00A23D03"/>
    <w:rsid w:val="00A24961"/>
    <w:rsid w:val="00A24B10"/>
    <w:rsid w:val="00A2528B"/>
    <w:rsid w:val="00A262F0"/>
    <w:rsid w:val="00A27865"/>
    <w:rsid w:val="00A30E9B"/>
    <w:rsid w:val="00A3236B"/>
    <w:rsid w:val="00A42CE0"/>
    <w:rsid w:val="00A4331D"/>
    <w:rsid w:val="00A441C8"/>
    <w:rsid w:val="00A4512D"/>
    <w:rsid w:val="00A45F2A"/>
    <w:rsid w:val="00A50244"/>
    <w:rsid w:val="00A5409D"/>
    <w:rsid w:val="00A564E1"/>
    <w:rsid w:val="00A56BF0"/>
    <w:rsid w:val="00A56F17"/>
    <w:rsid w:val="00A627D7"/>
    <w:rsid w:val="00A64FB7"/>
    <w:rsid w:val="00A656C7"/>
    <w:rsid w:val="00A65D4E"/>
    <w:rsid w:val="00A705AF"/>
    <w:rsid w:val="00A72037"/>
    <w:rsid w:val="00A72454"/>
    <w:rsid w:val="00A73854"/>
    <w:rsid w:val="00A74345"/>
    <w:rsid w:val="00A77696"/>
    <w:rsid w:val="00A77FB3"/>
    <w:rsid w:val="00A80557"/>
    <w:rsid w:val="00A81D33"/>
    <w:rsid w:val="00A8418B"/>
    <w:rsid w:val="00A85A12"/>
    <w:rsid w:val="00A86488"/>
    <w:rsid w:val="00A87342"/>
    <w:rsid w:val="00A92A6E"/>
    <w:rsid w:val="00A930AE"/>
    <w:rsid w:val="00A94779"/>
    <w:rsid w:val="00A96514"/>
    <w:rsid w:val="00AA1A95"/>
    <w:rsid w:val="00AA260F"/>
    <w:rsid w:val="00AB0716"/>
    <w:rsid w:val="00AB1EE7"/>
    <w:rsid w:val="00AB3FE8"/>
    <w:rsid w:val="00AB46BB"/>
    <w:rsid w:val="00AB4B37"/>
    <w:rsid w:val="00AB5762"/>
    <w:rsid w:val="00AC2526"/>
    <w:rsid w:val="00AC2679"/>
    <w:rsid w:val="00AC2B07"/>
    <w:rsid w:val="00AC3652"/>
    <w:rsid w:val="00AC4BE4"/>
    <w:rsid w:val="00AC6BF9"/>
    <w:rsid w:val="00AD05E6"/>
    <w:rsid w:val="00AD0D3F"/>
    <w:rsid w:val="00AD0F3C"/>
    <w:rsid w:val="00AD17A5"/>
    <w:rsid w:val="00AD1C5A"/>
    <w:rsid w:val="00AE0D9E"/>
    <w:rsid w:val="00AE1673"/>
    <w:rsid w:val="00AE1D7D"/>
    <w:rsid w:val="00AE2A8B"/>
    <w:rsid w:val="00AE3F64"/>
    <w:rsid w:val="00AF7386"/>
    <w:rsid w:val="00AF7934"/>
    <w:rsid w:val="00B00B81"/>
    <w:rsid w:val="00B00F21"/>
    <w:rsid w:val="00B011D0"/>
    <w:rsid w:val="00B01B0B"/>
    <w:rsid w:val="00B02D2A"/>
    <w:rsid w:val="00B042A4"/>
    <w:rsid w:val="00B04572"/>
    <w:rsid w:val="00B04580"/>
    <w:rsid w:val="00B04B09"/>
    <w:rsid w:val="00B050F2"/>
    <w:rsid w:val="00B0515F"/>
    <w:rsid w:val="00B10A71"/>
    <w:rsid w:val="00B15424"/>
    <w:rsid w:val="00B16A51"/>
    <w:rsid w:val="00B2041E"/>
    <w:rsid w:val="00B25440"/>
    <w:rsid w:val="00B279F7"/>
    <w:rsid w:val="00B32222"/>
    <w:rsid w:val="00B327EC"/>
    <w:rsid w:val="00B337E1"/>
    <w:rsid w:val="00B34C59"/>
    <w:rsid w:val="00B3618D"/>
    <w:rsid w:val="00B36233"/>
    <w:rsid w:val="00B42851"/>
    <w:rsid w:val="00B45AC7"/>
    <w:rsid w:val="00B47F56"/>
    <w:rsid w:val="00B524AA"/>
    <w:rsid w:val="00B5372F"/>
    <w:rsid w:val="00B567B0"/>
    <w:rsid w:val="00B578E9"/>
    <w:rsid w:val="00B61129"/>
    <w:rsid w:val="00B6230F"/>
    <w:rsid w:val="00B66C0F"/>
    <w:rsid w:val="00B67E7F"/>
    <w:rsid w:val="00B75A04"/>
    <w:rsid w:val="00B7742F"/>
    <w:rsid w:val="00B8039C"/>
    <w:rsid w:val="00B81F5F"/>
    <w:rsid w:val="00B839B2"/>
    <w:rsid w:val="00B84DFF"/>
    <w:rsid w:val="00B854F2"/>
    <w:rsid w:val="00B94252"/>
    <w:rsid w:val="00B9715A"/>
    <w:rsid w:val="00BA14BE"/>
    <w:rsid w:val="00BA2732"/>
    <w:rsid w:val="00BA293D"/>
    <w:rsid w:val="00BA3493"/>
    <w:rsid w:val="00BA49BC"/>
    <w:rsid w:val="00BA56B7"/>
    <w:rsid w:val="00BA6BA2"/>
    <w:rsid w:val="00BA7A1E"/>
    <w:rsid w:val="00BA7CA9"/>
    <w:rsid w:val="00BB00A4"/>
    <w:rsid w:val="00BB2F6C"/>
    <w:rsid w:val="00BB33B2"/>
    <w:rsid w:val="00BB3875"/>
    <w:rsid w:val="00BB5860"/>
    <w:rsid w:val="00BB69FE"/>
    <w:rsid w:val="00BB6AAD"/>
    <w:rsid w:val="00BC48DB"/>
    <w:rsid w:val="00BC4A19"/>
    <w:rsid w:val="00BC4E6D"/>
    <w:rsid w:val="00BC65A0"/>
    <w:rsid w:val="00BD0617"/>
    <w:rsid w:val="00BD07C0"/>
    <w:rsid w:val="00BD1351"/>
    <w:rsid w:val="00BD2E9B"/>
    <w:rsid w:val="00BD3269"/>
    <w:rsid w:val="00BD7AEB"/>
    <w:rsid w:val="00BE2BCF"/>
    <w:rsid w:val="00BE5CE6"/>
    <w:rsid w:val="00BF2B6A"/>
    <w:rsid w:val="00BF56D0"/>
    <w:rsid w:val="00BF7AD7"/>
    <w:rsid w:val="00C00930"/>
    <w:rsid w:val="00C00C76"/>
    <w:rsid w:val="00C060AD"/>
    <w:rsid w:val="00C0670D"/>
    <w:rsid w:val="00C113BF"/>
    <w:rsid w:val="00C1183F"/>
    <w:rsid w:val="00C1684D"/>
    <w:rsid w:val="00C2176E"/>
    <w:rsid w:val="00C23430"/>
    <w:rsid w:val="00C24F68"/>
    <w:rsid w:val="00C25014"/>
    <w:rsid w:val="00C26406"/>
    <w:rsid w:val="00C27688"/>
    <w:rsid w:val="00C27A5D"/>
    <w:rsid w:val="00C27D67"/>
    <w:rsid w:val="00C3556A"/>
    <w:rsid w:val="00C4150F"/>
    <w:rsid w:val="00C44124"/>
    <w:rsid w:val="00C45D20"/>
    <w:rsid w:val="00C4631F"/>
    <w:rsid w:val="00C50E16"/>
    <w:rsid w:val="00C51184"/>
    <w:rsid w:val="00C519B9"/>
    <w:rsid w:val="00C55258"/>
    <w:rsid w:val="00C55276"/>
    <w:rsid w:val="00C61CEC"/>
    <w:rsid w:val="00C66A78"/>
    <w:rsid w:val="00C81408"/>
    <w:rsid w:val="00C829F4"/>
    <w:rsid w:val="00C82EEB"/>
    <w:rsid w:val="00C85CFB"/>
    <w:rsid w:val="00C92DD6"/>
    <w:rsid w:val="00C95EB2"/>
    <w:rsid w:val="00C971DC"/>
    <w:rsid w:val="00CA0630"/>
    <w:rsid w:val="00CA16B7"/>
    <w:rsid w:val="00CA4BE3"/>
    <w:rsid w:val="00CA62AE"/>
    <w:rsid w:val="00CA673E"/>
    <w:rsid w:val="00CA772D"/>
    <w:rsid w:val="00CB1805"/>
    <w:rsid w:val="00CB5B1A"/>
    <w:rsid w:val="00CB7FC8"/>
    <w:rsid w:val="00CC058E"/>
    <w:rsid w:val="00CC1598"/>
    <w:rsid w:val="00CC2184"/>
    <w:rsid w:val="00CC220B"/>
    <w:rsid w:val="00CC5C43"/>
    <w:rsid w:val="00CD02AE"/>
    <w:rsid w:val="00CD1E72"/>
    <w:rsid w:val="00CD1EBF"/>
    <w:rsid w:val="00CD2A4F"/>
    <w:rsid w:val="00CE03CA"/>
    <w:rsid w:val="00CE22F1"/>
    <w:rsid w:val="00CE50F2"/>
    <w:rsid w:val="00CE6502"/>
    <w:rsid w:val="00CF7D3C"/>
    <w:rsid w:val="00D03933"/>
    <w:rsid w:val="00D03BA5"/>
    <w:rsid w:val="00D139D6"/>
    <w:rsid w:val="00D147EB"/>
    <w:rsid w:val="00D21FE9"/>
    <w:rsid w:val="00D24B82"/>
    <w:rsid w:val="00D30ECA"/>
    <w:rsid w:val="00D34667"/>
    <w:rsid w:val="00D34AE5"/>
    <w:rsid w:val="00D401E1"/>
    <w:rsid w:val="00D408B4"/>
    <w:rsid w:val="00D423B1"/>
    <w:rsid w:val="00D43B86"/>
    <w:rsid w:val="00D45D94"/>
    <w:rsid w:val="00D5177F"/>
    <w:rsid w:val="00D524C8"/>
    <w:rsid w:val="00D5507A"/>
    <w:rsid w:val="00D57070"/>
    <w:rsid w:val="00D60E25"/>
    <w:rsid w:val="00D64EEA"/>
    <w:rsid w:val="00D70E24"/>
    <w:rsid w:val="00D72B61"/>
    <w:rsid w:val="00D7395A"/>
    <w:rsid w:val="00D74E3E"/>
    <w:rsid w:val="00D7717F"/>
    <w:rsid w:val="00D77A6E"/>
    <w:rsid w:val="00D80E13"/>
    <w:rsid w:val="00D80FB9"/>
    <w:rsid w:val="00D87263"/>
    <w:rsid w:val="00D87959"/>
    <w:rsid w:val="00D97DA3"/>
    <w:rsid w:val="00DA0007"/>
    <w:rsid w:val="00DA2E68"/>
    <w:rsid w:val="00DA3B44"/>
    <w:rsid w:val="00DA3D1D"/>
    <w:rsid w:val="00DA5693"/>
    <w:rsid w:val="00DB0138"/>
    <w:rsid w:val="00DB08C2"/>
    <w:rsid w:val="00DB1BA7"/>
    <w:rsid w:val="00DB2FB1"/>
    <w:rsid w:val="00DB6286"/>
    <w:rsid w:val="00DB645F"/>
    <w:rsid w:val="00DB76E9"/>
    <w:rsid w:val="00DC0A67"/>
    <w:rsid w:val="00DC1D5E"/>
    <w:rsid w:val="00DC2313"/>
    <w:rsid w:val="00DC5220"/>
    <w:rsid w:val="00DC7910"/>
    <w:rsid w:val="00DD2061"/>
    <w:rsid w:val="00DD290E"/>
    <w:rsid w:val="00DD3BBE"/>
    <w:rsid w:val="00DD7DAB"/>
    <w:rsid w:val="00DE0F9E"/>
    <w:rsid w:val="00DE1EEA"/>
    <w:rsid w:val="00DE3355"/>
    <w:rsid w:val="00DF0976"/>
    <w:rsid w:val="00DF0E10"/>
    <w:rsid w:val="00DF30BA"/>
    <w:rsid w:val="00DF42B3"/>
    <w:rsid w:val="00DF486F"/>
    <w:rsid w:val="00DF5B5B"/>
    <w:rsid w:val="00DF7619"/>
    <w:rsid w:val="00E042D8"/>
    <w:rsid w:val="00E05F71"/>
    <w:rsid w:val="00E072D2"/>
    <w:rsid w:val="00E07EE7"/>
    <w:rsid w:val="00E1103B"/>
    <w:rsid w:val="00E12690"/>
    <w:rsid w:val="00E126BC"/>
    <w:rsid w:val="00E12B6D"/>
    <w:rsid w:val="00E174E1"/>
    <w:rsid w:val="00E17B44"/>
    <w:rsid w:val="00E27FEA"/>
    <w:rsid w:val="00E367D9"/>
    <w:rsid w:val="00E4086F"/>
    <w:rsid w:val="00E43B3C"/>
    <w:rsid w:val="00E45E97"/>
    <w:rsid w:val="00E47241"/>
    <w:rsid w:val="00E50188"/>
    <w:rsid w:val="00E50B51"/>
    <w:rsid w:val="00E5101E"/>
    <w:rsid w:val="00E515CB"/>
    <w:rsid w:val="00E52260"/>
    <w:rsid w:val="00E559A7"/>
    <w:rsid w:val="00E61CC1"/>
    <w:rsid w:val="00E6339B"/>
    <w:rsid w:val="00E639B6"/>
    <w:rsid w:val="00E6434B"/>
    <w:rsid w:val="00E6463D"/>
    <w:rsid w:val="00E65653"/>
    <w:rsid w:val="00E67708"/>
    <w:rsid w:val="00E70560"/>
    <w:rsid w:val="00E72E9B"/>
    <w:rsid w:val="00E82782"/>
    <w:rsid w:val="00E849DA"/>
    <w:rsid w:val="00E9462E"/>
    <w:rsid w:val="00EA235F"/>
    <w:rsid w:val="00EA470E"/>
    <w:rsid w:val="00EA47A7"/>
    <w:rsid w:val="00EA4CB0"/>
    <w:rsid w:val="00EA57EB"/>
    <w:rsid w:val="00EB0045"/>
    <w:rsid w:val="00EB0573"/>
    <w:rsid w:val="00EB3226"/>
    <w:rsid w:val="00EB4647"/>
    <w:rsid w:val="00EB5953"/>
    <w:rsid w:val="00EB5A8C"/>
    <w:rsid w:val="00EC213A"/>
    <w:rsid w:val="00EC6603"/>
    <w:rsid w:val="00EC7744"/>
    <w:rsid w:val="00EC78E5"/>
    <w:rsid w:val="00EC7BA8"/>
    <w:rsid w:val="00ED0DAD"/>
    <w:rsid w:val="00ED0F46"/>
    <w:rsid w:val="00ED2373"/>
    <w:rsid w:val="00ED50E4"/>
    <w:rsid w:val="00ED5EEF"/>
    <w:rsid w:val="00EE3E8A"/>
    <w:rsid w:val="00EF2B34"/>
    <w:rsid w:val="00EF5423"/>
    <w:rsid w:val="00EF6ECA"/>
    <w:rsid w:val="00F00E51"/>
    <w:rsid w:val="00F024E1"/>
    <w:rsid w:val="00F049F6"/>
    <w:rsid w:val="00F056DE"/>
    <w:rsid w:val="00F06C10"/>
    <w:rsid w:val="00F07213"/>
    <w:rsid w:val="00F1096F"/>
    <w:rsid w:val="00F1135B"/>
    <w:rsid w:val="00F12589"/>
    <w:rsid w:val="00F12595"/>
    <w:rsid w:val="00F131BC"/>
    <w:rsid w:val="00F134D9"/>
    <w:rsid w:val="00F13DE2"/>
    <w:rsid w:val="00F1403D"/>
    <w:rsid w:val="00F1463F"/>
    <w:rsid w:val="00F14A1C"/>
    <w:rsid w:val="00F20153"/>
    <w:rsid w:val="00F20427"/>
    <w:rsid w:val="00F21302"/>
    <w:rsid w:val="00F27276"/>
    <w:rsid w:val="00F27369"/>
    <w:rsid w:val="00F321DE"/>
    <w:rsid w:val="00F33777"/>
    <w:rsid w:val="00F369F0"/>
    <w:rsid w:val="00F40648"/>
    <w:rsid w:val="00F42CD8"/>
    <w:rsid w:val="00F43C77"/>
    <w:rsid w:val="00F47DA2"/>
    <w:rsid w:val="00F519FC"/>
    <w:rsid w:val="00F56DA2"/>
    <w:rsid w:val="00F6239D"/>
    <w:rsid w:val="00F65916"/>
    <w:rsid w:val="00F65E46"/>
    <w:rsid w:val="00F66287"/>
    <w:rsid w:val="00F6776F"/>
    <w:rsid w:val="00F708FE"/>
    <w:rsid w:val="00F715D2"/>
    <w:rsid w:val="00F72060"/>
    <w:rsid w:val="00F7274F"/>
    <w:rsid w:val="00F76FA8"/>
    <w:rsid w:val="00F83FB6"/>
    <w:rsid w:val="00F936A8"/>
    <w:rsid w:val="00F93F08"/>
    <w:rsid w:val="00F94CED"/>
    <w:rsid w:val="00F9515A"/>
    <w:rsid w:val="00FA2CEE"/>
    <w:rsid w:val="00FA318C"/>
    <w:rsid w:val="00FA3B88"/>
    <w:rsid w:val="00FB389D"/>
    <w:rsid w:val="00FB637C"/>
    <w:rsid w:val="00FB6F92"/>
    <w:rsid w:val="00FB7A06"/>
    <w:rsid w:val="00FC026E"/>
    <w:rsid w:val="00FC5124"/>
    <w:rsid w:val="00FC79EE"/>
    <w:rsid w:val="00FC7E67"/>
    <w:rsid w:val="00FD2096"/>
    <w:rsid w:val="00FD4731"/>
    <w:rsid w:val="00FD5408"/>
    <w:rsid w:val="00FF0AB0"/>
    <w:rsid w:val="00FF0B29"/>
    <w:rsid w:val="00FF28AC"/>
    <w:rsid w:val="00FF7F62"/>
    <w:rsid w:val="042E8EA5"/>
    <w:rsid w:val="0731B3D2"/>
    <w:rsid w:val="0D8FAE26"/>
    <w:rsid w:val="121BF175"/>
    <w:rsid w:val="1B45CB71"/>
    <w:rsid w:val="222A4A0A"/>
    <w:rsid w:val="267DFC20"/>
    <w:rsid w:val="3A1015C2"/>
    <w:rsid w:val="43EB3959"/>
    <w:rsid w:val="47410019"/>
    <w:rsid w:val="48EFA81F"/>
    <w:rsid w:val="543947B8"/>
    <w:rsid w:val="605B564B"/>
    <w:rsid w:val="64C47B4F"/>
    <w:rsid w:val="69F5D516"/>
    <w:rsid w:val="6BCECC41"/>
    <w:rsid w:val="7485980C"/>
    <w:rsid w:val="764CC7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AC86C"/>
  <w15:docId w15:val="{FD2624A6-96C5-4D6A-B047-1F9D7F37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customStyle="1" w:styleId="Paragraphtext">
    <w:name w:val="Paragraph text"/>
    <w:basedOn w:val="Normal"/>
    <w:qFormat/>
    <w:rsid w:val="001C362E"/>
    <w:pPr>
      <w:spacing w:after="60" w:line="240" w:lineRule="auto"/>
    </w:pPr>
    <w:rPr>
      <w:sz w:val="21"/>
    </w:rPr>
  </w:style>
  <w:style w:type="paragraph" w:styleId="TOC2">
    <w:name w:val="toc 2"/>
    <w:basedOn w:val="Normal"/>
    <w:next w:val="Normal"/>
    <w:autoRedefine/>
    <w:uiPriority w:val="39"/>
    <w:unhideWhenUsed/>
    <w:rsid w:val="001C362E"/>
    <w:pPr>
      <w:spacing w:before="0" w:after="100" w:line="240" w:lineRule="auto"/>
      <w:ind w:left="220"/>
    </w:pPr>
    <w:rPr>
      <w:color w:val="auto"/>
    </w:rPr>
  </w:style>
  <w:style w:type="paragraph" w:customStyle="1" w:styleId="Style2">
    <w:name w:val="Style2"/>
    <w:basedOn w:val="Heading2"/>
    <w:next w:val="Normal"/>
    <w:link w:val="Style2Char"/>
    <w:qFormat/>
    <w:rsid w:val="001C362E"/>
    <w:pPr>
      <w:numPr>
        <w:ilvl w:val="1"/>
        <w:numId w:val="27"/>
      </w:numPr>
    </w:pPr>
    <w:rPr>
      <w:b w:val="0"/>
      <w:sz w:val="32"/>
    </w:rPr>
  </w:style>
  <w:style w:type="character" w:customStyle="1" w:styleId="Style2Char">
    <w:name w:val="Style2 Char"/>
    <w:basedOn w:val="DefaultParagraphFont"/>
    <w:link w:val="Style2"/>
    <w:rsid w:val="001C362E"/>
    <w:rPr>
      <w:rFonts w:ascii="Arial" w:hAnsi="Arial" w:cs="Arial"/>
      <w:bCs/>
      <w:iCs/>
      <w:color w:val="358189"/>
      <w:sz w:val="32"/>
      <w:szCs w:val="28"/>
      <w:lang w:eastAsia="en-US"/>
    </w:rPr>
  </w:style>
  <w:style w:type="paragraph" w:styleId="TOC1">
    <w:name w:val="toc 1"/>
    <w:basedOn w:val="Normal"/>
    <w:next w:val="Normal"/>
    <w:autoRedefine/>
    <w:uiPriority w:val="39"/>
    <w:unhideWhenUsed/>
    <w:rsid w:val="00B02D2A"/>
    <w:pPr>
      <w:spacing w:after="100"/>
    </w:pPr>
  </w:style>
  <w:style w:type="table" w:customStyle="1" w:styleId="TableGrid1">
    <w:name w:val="Table Grid1"/>
    <w:basedOn w:val="TableNormal"/>
    <w:next w:val="TableGrid"/>
    <w:rsid w:val="00AB07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B0716"/>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784692"/>
    <w:rPr>
      <w:sz w:val="16"/>
      <w:szCs w:val="16"/>
    </w:rPr>
  </w:style>
  <w:style w:type="paragraph" w:styleId="CommentText">
    <w:name w:val="annotation text"/>
    <w:basedOn w:val="Normal"/>
    <w:link w:val="CommentTextChar"/>
    <w:unhideWhenUsed/>
    <w:rsid w:val="00784692"/>
    <w:pPr>
      <w:spacing w:line="240" w:lineRule="auto"/>
    </w:pPr>
    <w:rPr>
      <w:sz w:val="20"/>
      <w:szCs w:val="20"/>
    </w:rPr>
  </w:style>
  <w:style w:type="character" w:customStyle="1" w:styleId="CommentTextChar">
    <w:name w:val="Comment Text Char"/>
    <w:basedOn w:val="DefaultParagraphFont"/>
    <w:link w:val="CommentText"/>
    <w:rsid w:val="00784692"/>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784692"/>
    <w:rPr>
      <w:b/>
      <w:bCs/>
    </w:rPr>
  </w:style>
  <w:style w:type="character" w:customStyle="1" w:styleId="CommentSubjectChar">
    <w:name w:val="Comment Subject Char"/>
    <w:basedOn w:val="CommentTextChar"/>
    <w:link w:val="CommentSubject"/>
    <w:semiHidden/>
    <w:rsid w:val="00784692"/>
    <w:rPr>
      <w:rFonts w:ascii="Arial" w:hAnsi="Arial"/>
      <w:b/>
      <w:bCs/>
      <w:color w:val="000000" w:themeColor="text1"/>
      <w:lang w:eastAsia="en-US"/>
    </w:rPr>
  </w:style>
  <w:style w:type="paragraph" w:styleId="Revision">
    <w:name w:val="Revision"/>
    <w:hidden/>
    <w:uiPriority w:val="99"/>
    <w:semiHidden/>
    <w:rsid w:val="00E1269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6f83a-7bbe-4975-97ba-c1d51892bdc9">
      <Terms xmlns="http://schemas.microsoft.com/office/infopath/2007/PartnerControls"/>
    </lcf76f155ced4ddcb4097134ff3c332f>
    <TaxCatchAll xmlns="787a4934-6a8e-4db4-ac59-4851a358ace4"/>
    <_Flow_SignoffStatus xmlns="ac56f83a-7bbe-4975-97ba-c1d51892bd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63902774-8232-45EF-9E63-FC0C7785779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c56f83a-7bbe-4975-97ba-c1d51892bdc9"/>
    <ds:schemaRef ds:uri="787a4934-6a8e-4db4-ac59-4851a358ace4"/>
  </ds:schemaRefs>
</ds:datastoreItem>
</file>

<file path=customXml/itemProps4.xml><?xml version="1.0" encoding="utf-8"?>
<ds:datastoreItem xmlns:ds="http://schemas.openxmlformats.org/officeDocument/2006/customXml" ds:itemID="{6B8CD512-C546-457D-9A09-869A2B81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3929c-73cf-4954-abfe-147dc3517892}" enabled="0" method="" siteId="{34a3929c-73cf-4954-abfe-147dc3517892}" removed="1"/>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1675</Words>
  <Characters>9933</Characters>
  <Application>Microsoft Office Word</Application>
  <DocSecurity>0</DocSecurity>
  <Lines>169</Lines>
  <Paragraphs>67</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Technical Advisory Group for NDIS functional capacity</dc:subject>
  <dc:creator>Department of Health, Disability and Ageing</dc:creator>
  <cp:keywords>NDIS; disability</cp:keywords>
  <cp:lastModifiedBy>NEWBERRY, Jacqui</cp:lastModifiedBy>
  <cp:revision>4</cp:revision>
  <cp:lastPrinted>2026-07-08T03:28:00Z</cp:lastPrinted>
  <dcterms:created xsi:type="dcterms:W3CDTF">2026-07-08T03:26:00Z</dcterms:created>
  <dcterms:modified xsi:type="dcterms:W3CDTF">2026-07-08T03:29:00Z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Section">
    <vt:lpwstr>5;#PCPD CC Corporate Communication SN|73cff0d0-7b20-43e0-ad96-75a3b55de641</vt:lpwstr>
  </property>
  <property fmtid="{D5CDD505-2E9C-101B-9397-08002B2CF9AE}" pid="5" name="_dlc_DocIdItemGuid">
    <vt:lpwstr>31723939-1f5e-4599-b4f5-97a6898c18a2</vt:lpwstr>
  </property>
  <property fmtid="{D5CDD505-2E9C-101B-9397-08002B2CF9AE}" pid="6" name="Keywords1">
    <vt:lpwstr>4;#Visual identity|a54ebda2-a0fd-45ec-8fc0-1cf31001b526;#4;# Publication|ceddc8ea-8859-47b3-b823-3ba7a7ee3d12</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Visual identity|a54ebda2-a0fd-45ec-8fc0-1cf31001b526; Publication|ceddc8ea-8859-47b3-b823-3ba7a7ee3d12</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SharedWithUsers">
    <vt:lpwstr>499;#DESA, Katarina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ontentTypeId">
    <vt:lpwstr>0x01010003D6F7A6E83A27478D2AFBADC664AD2C</vt:lpwstr>
  </property>
  <property fmtid="{D5CDD505-2E9C-101B-9397-08002B2CF9AE}" pid="25" name="ClassificationContentMarkingHeaderShapeIds">
    <vt:lpwstr>7a9d08a9,137493b1,6e0e12b4,987f6c</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3db3a267,7c5ff0c0,168d5a27,5d14ceac</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2026-07-08T01:38:26Z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b6b4a596-123e-4514-945e-94975e559179</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