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DB0B" w14:textId="77777777" w:rsidR="00E83D5E" w:rsidRPr="007C3A56" w:rsidRDefault="00E83D5E" w:rsidP="007C3A56">
      <w:pPr>
        <w:pStyle w:val="Title"/>
      </w:pPr>
      <w:r w:rsidRPr="00E83D5E">
        <w:t>Supporting Living Organ Donors Program Guidelines</w:t>
      </w:r>
    </w:p>
    <w:p w14:paraId="14451CC6" w14:textId="17FF7BC4" w:rsidR="00E83D5E" w:rsidRPr="007C3A56" w:rsidRDefault="00E83D5E" w:rsidP="007C3A56">
      <w:pPr>
        <w:pStyle w:val="Subtitle"/>
      </w:pPr>
      <w:r w:rsidRPr="007C3A56">
        <w:t>Organ and Tissue Policy and Programs Section</w:t>
      </w:r>
    </w:p>
    <w:p w14:paraId="3A6DA15C" w14:textId="68A5D8D7" w:rsidR="00E83D5E" w:rsidRPr="007C3A56" w:rsidRDefault="00E83D5E" w:rsidP="007C3A56">
      <w:pPr>
        <w:pStyle w:val="Date"/>
      </w:pPr>
      <w:r w:rsidRPr="007C3A56">
        <w:t>J</w:t>
      </w:r>
      <w:r w:rsidR="00D21916" w:rsidRPr="007C3A56">
        <w:t>uly</w:t>
      </w:r>
      <w:r w:rsidRPr="007C3A56">
        <w:t xml:space="preserve"> 202</w:t>
      </w:r>
      <w:r w:rsidR="0096045B" w:rsidRPr="007C3A56">
        <w:t>6</w:t>
      </w:r>
    </w:p>
    <w:p w14:paraId="286A7BA5" w14:textId="77777777" w:rsidR="00F01B19" w:rsidRPr="00F01B19" w:rsidRDefault="00F01B19" w:rsidP="00F01B19">
      <w:pPr>
        <w:rPr>
          <w:lang w:val="en-GB" w:bidi="ar-SA"/>
        </w:rPr>
      </w:pPr>
      <w:r w:rsidRPr="00F01B19">
        <w:rPr>
          <w:lang w:val="en-GB" w:bidi="ar-SA"/>
        </w:rPr>
        <w:br w:type="page"/>
      </w:r>
    </w:p>
    <w:sdt>
      <w:sdtPr>
        <w:rPr>
          <w:lang w:val="en-GB"/>
        </w:rPr>
        <w:id w:val="-144046253"/>
        <w:docPartObj>
          <w:docPartGallery w:val="Table of Contents"/>
          <w:docPartUnique/>
        </w:docPartObj>
      </w:sdtPr>
      <w:sdtEndPr>
        <w:rPr>
          <w:rFonts w:ascii="Arial" w:eastAsiaTheme="minorEastAsia" w:hAnsi="Arial" w:cstheme="minorBidi"/>
          <w:b w:val="0"/>
          <w:bCs/>
          <w:noProof/>
          <w:kern w:val="2"/>
          <w:sz w:val="24"/>
          <w:szCs w:val="24"/>
          <w:lang w:eastAsia="en-GB"/>
          <w14:ligatures w14:val="standardContextual"/>
        </w:rPr>
      </w:sdtEndPr>
      <w:sdtContent>
        <w:p w14:paraId="23E31F35" w14:textId="29D56CA5" w:rsidR="00F01B19" w:rsidRDefault="00F01B19">
          <w:pPr>
            <w:pStyle w:val="TOCHeading"/>
          </w:pPr>
          <w:r>
            <w:rPr>
              <w:lang w:val="en-GB"/>
            </w:rPr>
            <w:t>Contents</w:t>
          </w:r>
        </w:p>
        <w:p w14:paraId="255FCE65" w14:textId="60FF2991" w:rsidR="00F01B19" w:rsidRDefault="00F01B19">
          <w:pPr>
            <w:pStyle w:val="TOC1"/>
            <w:rPr>
              <w:rFonts w:asciiTheme="minorHAnsi" w:hAnsiTheme="minorHAnsi"/>
              <w:bCs w:val="0"/>
              <w:lang w:val="en-AU" w:eastAsia="ja-JP"/>
            </w:rPr>
          </w:pPr>
          <w:r w:rsidRPr="00F01B19">
            <w:fldChar w:fldCharType="begin"/>
          </w:r>
          <w:r w:rsidRPr="00F01B19">
            <w:instrText xml:space="preserve"> TOC \o "1-3" \h \z \u </w:instrText>
          </w:r>
          <w:r w:rsidRPr="00F01B19">
            <w:fldChar w:fldCharType="separate"/>
          </w:r>
          <w:hyperlink w:anchor="_Toc235185581" w:history="1">
            <w:r w:rsidRPr="00C66261">
              <w:rPr>
                <w:rStyle w:val="Hyperlink"/>
                <w:lang w:bidi="en-US"/>
              </w:rPr>
              <w:t>1</w:t>
            </w:r>
            <w:r>
              <w:rPr>
                <w:rFonts w:asciiTheme="minorHAnsi" w:hAnsiTheme="minorHAnsi"/>
                <w:bCs w:val="0"/>
                <w:lang w:val="en-AU" w:eastAsia="ja-JP"/>
              </w:rPr>
              <w:tab/>
            </w:r>
            <w:r w:rsidRPr="00C66261">
              <w:rPr>
                <w:rStyle w:val="Hyperlink"/>
                <w:lang w:bidi="en-US"/>
              </w:rPr>
              <w:t>Supporting Living Organ Donors Program overview</w:t>
            </w:r>
            <w:r>
              <w:rPr>
                <w:webHidden/>
              </w:rPr>
              <w:tab/>
            </w:r>
            <w:r>
              <w:rPr>
                <w:webHidden/>
              </w:rPr>
              <w:fldChar w:fldCharType="begin"/>
            </w:r>
            <w:r>
              <w:rPr>
                <w:webHidden/>
              </w:rPr>
              <w:instrText xml:space="preserve"> PAGEREF _Toc235185581 \h </w:instrText>
            </w:r>
            <w:r>
              <w:rPr>
                <w:webHidden/>
              </w:rPr>
            </w:r>
            <w:r>
              <w:rPr>
                <w:webHidden/>
              </w:rPr>
              <w:fldChar w:fldCharType="separate"/>
            </w:r>
            <w:r>
              <w:rPr>
                <w:webHidden/>
              </w:rPr>
              <w:t>4</w:t>
            </w:r>
            <w:r>
              <w:rPr>
                <w:webHidden/>
              </w:rPr>
              <w:fldChar w:fldCharType="end"/>
            </w:r>
          </w:hyperlink>
        </w:p>
        <w:p w14:paraId="677DB1EF" w14:textId="3B32F862" w:rsidR="00F01B19" w:rsidRDefault="00F01B19">
          <w:pPr>
            <w:pStyle w:val="TOC2"/>
            <w:rPr>
              <w:rFonts w:asciiTheme="minorHAnsi" w:hAnsiTheme="minorHAnsi"/>
              <w:lang w:eastAsia="ja-JP"/>
            </w:rPr>
          </w:pPr>
          <w:hyperlink w:anchor="_Toc235185582" w:history="1">
            <w:r w:rsidRPr="00C66261">
              <w:rPr>
                <w:rStyle w:val="Hyperlink"/>
                <w:lang w:bidi="en-US"/>
              </w:rPr>
              <w:t>1.1</w:t>
            </w:r>
            <w:r>
              <w:rPr>
                <w:rFonts w:asciiTheme="minorHAnsi" w:hAnsiTheme="minorHAnsi"/>
                <w:lang w:eastAsia="ja-JP"/>
              </w:rPr>
              <w:tab/>
            </w:r>
            <w:r w:rsidRPr="00C66261">
              <w:rPr>
                <w:rStyle w:val="Hyperlink"/>
                <w:lang w:bidi="en-US"/>
              </w:rPr>
              <w:t>The purpose of the Program</w:t>
            </w:r>
            <w:r>
              <w:rPr>
                <w:webHidden/>
              </w:rPr>
              <w:tab/>
            </w:r>
            <w:r>
              <w:rPr>
                <w:webHidden/>
              </w:rPr>
              <w:fldChar w:fldCharType="begin"/>
            </w:r>
            <w:r>
              <w:rPr>
                <w:webHidden/>
              </w:rPr>
              <w:instrText xml:space="preserve"> PAGEREF _Toc235185582 \h </w:instrText>
            </w:r>
            <w:r>
              <w:rPr>
                <w:webHidden/>
              </w:rPr>
            </w:r>
            <w:r>
              <w:rPr>
                <w:webHidden/>
              </w:rPr>
              <w:fldChar w:fldCharType="separate"/>
            </w:r>
            <w:r>
              <w:rPr>
                <w:webHidden/>
              </w:rPr>
              <w:t>4</w:t>
            </w:r>
            <w:r>
              <w:rPr>
                <w:webHidden/>
              </w:rPr>
              <w:fldChar w:fldCharType="end"/>
            </w:r>
          </w:hyperlink>
        </w:p>
        <w:p w14:paraId="5C201555" w14:textId="2BC29E0E" w:rsidR="00F01B19" w:rsidRDefault="00F01B19">
          <w:pPr>
            <w:pStyle w:val="TOC2"/>
            <w:rPr>
              <w:rFonts w:asciiTheme="minorHAnsi" w:hAnsiTheme="minorHAnsi"/>
              <w:lang w:eastAsia="ja-JP"/>
            </w:rPr>
          </w:pPr>
          <w:hyperlink w:anchor="_Toc235185583" w:history="1">
            <w:r w:rsidRPr="00C66261">
              <w:rPr>
                <w:rStyle w:val="Hyperlink"/>
                <w:lang w:bidi="en-US"/>
              </w:rPr>
              <w:t>1.2</w:t>
            </w:r>
            <w:r>
              <w:rPr>
                <w:rFonts w:asciiTheme="minorHAnsi" w:hAnsiTheme="minorHAnsi"/>
                <w:lang w:eastAsia="ja-JP"/>
              </w:rPr>
              <w:tab/>
            </w:r>
            <w:r w:rsidRPr="00C66261">
              <w:rPr>
                <w:rStyle w:val="Hyperlink"/>
                <w:lang w:bidi="en-US"/>
              </w:rPr>
              <w:t>About the Program</w:t>
            </w:r>
            <w:r>
              <w:rPr>
                <w:webHidden/>
              </w:rPr>
              <w:tab/>
            </w:r>
            <w:r>
              <w:rPr>
                <w:webHidden/>
              </w:rPr>
              <w:fldChar w:fldCharType="begin"/>
            </w:r>
            <w:r>
              <w:rPr>
                <w:webHidden/>
              </w:rPr>
              <w:instrText xml:space="preserve"> PAGEREF _Toc235185583 \h </w:instrText>
            </w:r>
            <w:r>
              <w:rPr>
                <w:webHidden/>
              </w:rPr>
            </w:r>
            <w:r>
              <w:rPr>
                <w:webHidden/>
              </w:rPr>
              <w:fldChar w:fldCharType="separate"/>
            </w:r>
            <w:r>
              <w:rPr>
                <w:webHidden/>
              </w:rPr>
              <w:t>4</w:t>
            </w:r>
            <w:r>
              <w:rPr>
                <w:webHidden/>
              </w:rPr>
              <w:fldChar w:fldCharType="end"/>
            </w:r>
          </w:hyperlink>
        </w:p>
        <w:p w14:paraId="55DF5337" w14:textId="1318581E" w:rsidR="00F01B19" w:rsidRDefault="00F01B19">
          <w:pPr>
            <w:pStyle w:val="TOC2"/>
            <w:rPr>
              <w:rFonts w:asciiTheme="minorHAnsi" w:hAnsiTheme="minorHAnsi"/>
              <w:lang w:eastAsia="ja-JP"/>
            </w:rPr>
          </w:pPr>
          <w:hyperlink w:anchor="_Toc235185584" w:history="1">
            <w:r w:rsidRPr="00C66261">
              <w:rPr>
                <w:rStyle w:val="Hyperlink"/>
                <w:lang w:bidi="en-US"/>
              </w:rPr>
              <w:t>1.3</w:t>
            </w:r>
            <w:r>
              <w:rPr>
                <w:rFonts w:asciiTheme="minorHAnsi" w:hAnsiTheme="minorHAnsi"/>
                <w:lang w:eastAsia="ja-JP"/>
              </w:rPr>
              <w:tab/>
            </w:r>
            <w:r w:rsidRPr="00C66261">
              <w:rPr>
                <w:rStyle w:val="Hyperlink"/>
                <w:lang w:bidi="en-US"/>
              </w:rPr>
              <w:t>Eligibility</w:t>
            </w:r>
            <w:r>
              <w:rPr>
                <w:webHidden/>
              </w:rPr>
              <w:tab/>
            </w:r>
            <w:r>
              <w:rPr>
                <w:webHidden/>
              </w:rPr>
              <w:fldChar w:fldCharType="begin"/>
            </w:r>
            <w:r>
              <w:rPr>
                <w:webHidden/>
              </w:rPr>
              <w:instrText xml:space="preserve"> PAGEREF _Toc235185584 \h </w:instrText>
            </w:r>
            <w:r>
              <w:rPr>
                <w:webHidden/>
              </w:rPr>
            </w:r>
            <w:r>
              <w:rPr>
                <w:webHidden/>
              </w:rPr>
              <w:fldChar w:fldCharType="separate"/>
            </w:r>
            <w:r>
              <w:rPr>
                <w:webHidden/>
              </w:rPr>
              <w:t>4</w:t>
            </w:r>
            <w:r>
              <w:rPr>
                <w:webHidden/>
              </w:rPr>
              <w:fldChar w:fldCharType="end"/>
            </w:r>
          </w:hyperlink>
        </w:p>
        <w:p w14:paraId="7388500D" w14:textId="20341003" w:rsidR="00F01B19" w:rsidRDefault="00F01B19">
          <w:pPr>
            <w:pStyle w:val="TOC2"/>
            <w:rPr>
              <w:rFonts w:asciiTheme="minorHAnsi" w:hAnsiTheme="minorHAnsi"/>
              <w:lang w:eastAsia="ja-JP"/>
            </w:rPr>
          </w:pPr>
          <w:hyperlink w:anchor="_Toc235185585" w:history="1">
            <w:r w:rsidRPr="00C66261">
              <w:rPr>
                <w:rStyle w:val="Hyperlink"/>
                <w:lang w:bidi="en-US"/>
              </w:rPr>
              <w:t>1.4</w:t>
            </w:r>
            <w:r>
              <w:rPr>
                <w:rFonts w:asciiTheme="minorHAnsi" w:hAnsiTheme="minorHAnsi"/>
                <w:lang w:eastAsia="ja-JP"/>
              </w:rPr>
              <w:tab/>
            </w:r>
            <w:r w:rsidRPr="00C66261">
              <w:rPr>
                <w:rStyle w:val="Hyperlink"/>
                <w:lang w:bidi="en-US"/>
              </w:rPr>
              <w:t>Contact information</w:t>
            </w:r>
            <w:r>
              <w:rPr>
                <w:webHidden/>
              </w:rPr>
              <w:tab/>
            </w:r>
            <w:r>
              <w:rPr>
                <w:webHidden/>
              </w:rPr>
              <w:fldChar w:fldCharType="begin"/>
            </w:r>
            <w:r>
              <w:rPr>
                <w:webHidden/>
              </w:rPr>
              <w:instrText xml:space="preserve"> PAGEREF _Toc235185585 \h </w:instrText>
            </w:r>
            <w:r>
              <w:rPr>
                <w:webHidden/>
              </w:rPr>
            </w:r>
            <w:r>
              <w:rPr>
                <w:webHidden/>
              </w:rPr>
              <w:fldChar w:fldCharType="separate"/>
            </w:r>
            <w:r>
              <w:rPr>
                <w:webHidden/>
              </w:rPr>
              <w:t>4</w:t>
            </w:r>
            <w:r>
              <w:rPr>
                <w:webHidden/>
              </w:rPr>
              <w:fldChar w:fldCharType="end"/>
            </w:r>
          </w:hyperlink>
        </w:p>
        <w:p w14:paraId="4F73F237" w14:textId="0B1B6BE7" w:rsidR="00F01B19" w:rsidRDefault="00F01B19">
          <w:pPr>
            <w:pStyle w:val="TOC2"/>
            <w:rPr>
              <w:rFonts w:asciiTheme="minorHAnsi" w:hAnsiTheme="minorHAnsi"/>
              <w:lang w:eastAsia="ja-JP"/>
            </w:rPr>
          </w:pPr>
          <w:hyperlink w:anchor="_Toc235185586" w:history="1">
            <w:r w:rsidRPr="00C66261">
              <w:rPr>
                <w:rStyle w:val="Hyperlink"/>
                <w:lang w:bidi="en-US"/>
              </w:rPr>
              <w:t>1.5</w:t>
            </w:r>
            <w:r>
              <w:rPr>
                <w:rFonts w:asciiTheme="minorHAnsi" w:hAnsiTheme="minorHAnsi"/>
                <w:lang w:eastAsia="ja-JP"/>
              </w:rPr>
              <w:tab/>
            </w:r>
            <w:r w:rsidRPr="00C66261">
              <w:rPr>
                <w:rStyle w:val="Hyperlink"/>
                <w:lang w:bidi="en-US"/>
              </w:rPr>
              <w:t>Required documentation and supporting evidence</w:t>
            </w:r>
            <w:r>
              <w:rPr>
                <w:webHidden/>
              </w:rPr>
              <w:tab/>
            </w:r>
            <w:r>
              <w:rPr>
                <w:webHidden/>
              </w:rPr>
              <w:fldChar w:fldCharType="begin"/>
            </w:r>
            <w:r>
              <w:rPr>
                <w:webHidden/>
              </w:rPr>
              <w:instrText xml:space="preserve"> PAGEREF _Toc235185586 \h </w:instrText>
            </w:r>
            <w:r>
              <w:rPr>
                <w:webHidden/>
              </w:rPr>
            </w:r>
            <w:r>
              <w:rPr>
                <w:webHidden/>
              </w:rPr>
              <w:fldChar w:fldCharType="separate"/>
            </w:r>
            <w:r>
              <w:rPr>
                <w:webHidden/>
              </w:rPr>
              <w:t>5</w:t>
            </w:r>
            <w:r>
              <w:rPr>
                <w:webHidden/>
              </w:rPr>
              <w:fldChar w:fldCharType="end"/>
            </w:r>
          </w:hyperlink>
        </w:p>
        <w:p w14:paraId="2E200C9C" w14:textId="4E709200" w:rsidR="00F01B19" w:rsidRDefault="00F01B19">
          <w:pPr>
            <w:pStyle w:val="TOC3"/>
            <w:rPr>
              <w:rFonts w:asciiTheme="minorHAnsi" w:hAnsiTheme="minorHAnsi"/>
              <w:lang w:eastAsia="ja-JP"/>
            </w:rPr>
          </w:pPr>
          <w:hyperlink w:anchor="_Toc235185587" w:history="1">
            <w:r w:rsidRPr="00C66261">
              <w:rPr>
                <w:rStyle w:val="Hyperlink"/>
              </w:rPr>
              <w:t>1.5.1</w:t>
            </w:r>
            <w:r>
              <w:rPr>
                <w:rFonts w:asciiTheme="minorHAnsi" w:hAnsiTheme="minorHAnsi"/>
                <w:lang w:eastAsia="ja-JP"/>
              </w:rPr>
              <w:tab/>
            </w:r>
            <w:r w:rsidRPr="00C66261">
              <w:rPr>
                <w:rStyle w:val="Hyperlink"/>
              </w:rPr>
              <w:t>Application form</w:t>
            </w:r>
            <w:r>
              <w:rPr>
                <w:webHidden/>
              </w:rPr>
              <w:tab/>
            </w:r>
            <w:r>
              <w:rPr>
                <w:webHidden/>
              </w:rPr>
              <w:fldChar w:fldCharType="begin"/>
            </w:r>
            <w:r>
              <w:rPr>
                <w:webHidden/>
              </w:rPr>
              <w:instrText xml:space="preserve"> PAGEREF _Toc235185587 \h </w:instrText>
            </w:r>
            <w:r>
              <w:rPr>
                <w:webHidden/>
              </w:rPr>
            </w:r>
            <w:r>
              <w:rPr>
                <w:webHidden/>
              </w:rPr>
              <w:fldChar w:fldCharType="separate"/>
            </w:r>
            <w:r>
              <w:rPr>
                <w:webHidden/>
              </w:rPr>
              <w:t>6</w:t>
            </w:r>
            <w:r>
              <w:rPr>
                <w:webHidden/>
              </w:rPr>
              <w:fldChar w:fldCharType="end"/>
            </w:r>
          </w:hyperlink>
        </w:p>
        <w:p w14:paraId="1E909457" w14:textId="75B3925D" w:rsidR="00F01B19" w:rsidRDefault="00F01B19">
          <w:pPr>
            <w:pStyle w:val="TOC3"/>
            <w:rPr>
              <w:rFonts w:asciiTheme="minorHAnsi" w:hAnsiTheme="minorHAnsi"/>
              <w:lang w:eastAsia="ja-JP"/>
            </w:rPr>
          </w:pPr>
          <w:hyperlink w:anchor="_Toc235185588" w:history="1">
            <w:r w:rsidRPr="00C66261">
              <w:rPr>
                <w:rStyle w:val="Hyperlink"/>
              </w:rPr>
              <w:t>1.5.2</w:t>
            </w:r>
            <w:r>
              <w:rPr>
                <w:rFonts w:asciiTheme="minorHAnsi" w:hAnsiTheme="minorHAnsi"/>
                <w:lang w:eastAsia="ja-JP"/>
              </w:rPr>
              <w:tab/>
            </w:r>
            <w:r w:rsidRPr="00C66261">
              <w:rPr>
                <w:rStyle w:val="Hyperlink"/>
              </w:rPr>
              <w:t>Extended medical leave form</w:t>
            </w:r>
            <w:r>
              <w:rPr>
                <w:webHidden/>
              </w:rPr>
              <w:tab/>
            </w:r>
            <w:r>
              <w:rPr>
                <w:webHidden/>
              </w:rPr>
              <w:fldChar w:fldCharType="begin"/>
            </w:r>
            <w:r>
              <w:rPr>
                <w:webHidden/>
              </w:rPr>
              <w:instrText xml:space="preserve"> PAGEREF _Toc235185588 \h </w:instrText>
            </w:r>
            <w:r>
              <w:rPr>
                <w:webHidden/>
              </w:rPr>
            </w:r>
            <w:r>
              <w:rPr>
                <w:webHidden/>
              </w:rPr>
              <w:fldChar w:fldCharType="separate"/>
            </w:r>
            <w:r>
              <w:rPr>
                <w:webHidden/>
              </w:rPr>
              <w:t>6</w:t>
            </w:r>
            <w:r>
              <w:rPr>
                <w:webHidden/>
              </w:rPr>
              <w:fldChar w:fldCharType="end"/>
            </w:r>
          </w:hyperlink>
        </w:p>
        <w:p w14:paraId="2B979504" w14:textId="5BED0B4C" w:rsidR="00F01B19" w:rsidRDefault="00F01B19">
          <w:pPr>
            <w:pStyle w:val="TOC3"/>
            <w:rPr>
              <w:rFonts w:asciiTheme="minorHAnsi" w:hAnsiTheme="minorHAnsi"/>
              <w:lang w:eastAsia="ja-JP"/>
            </w:rPr>
          </w:pPr>
          <w:hyperlink w:anchor="_Toc235185589" w:history="1">
            <w:r w:rsidRPr="00C66261">
              <w:rPr>
                <w:rStyle w:val="Hyperlink"/>
              </w:rPr>
              <w:t>1.5.3</w:t>
            </w:r>
            <w:r>
              <w:rPr>
                <w:rFonts w:asciiTheme="minorHAnsi" w:hAnsiTheme="minorHAnsi"/>
                <w:lang w:eastAsia="ja-JP"/>
              </w:rPr>
              <w:tab/>
            </w:r>
            <w:r w:rsidRPr="00C66261">
              <w:rPr>
                <w:rStyle w:val="Hyperlink"/>
              </w:rPr>
              <w:t>Appointment tracker (optional)</w:t>
            </w:r>
            <w:r>
              <w:rPr>
                <w:webHidden/>
              </w:rPr>
              <w:tab/>
            </w:r>
            <w:r>
              <w:rPr>
                <w:webHidden/>
              </w:rPr>
              <w:fldChar w:fldCharType="begin"/>
            </w:r>
            <w:r>
              <w:rPr>
                <w:webHidden/>
              </w:rPr>
              <w:instrText xml:space="preserve"> PAGEREF _Toc235185589 \h </w:instrText>
            </w:r>
            <w:r>
              <w:rPr>
                <w:webHidden/>
              </w:rPr>
            </w:r>
            <w:r>
              <w:rPr>
                <w:webHidden/>
              </w:rPr>
              <w:fldChar w:fldCharType="separate"/>
            </w:r>
            <w:r>
              <w:rPr>
                <w:webHidden/>
              </w:rPr>
              <w:t>6</w:t>
            </w:r>
            <w:r>
              <w:rPr>
                <w:webHidden/>
              </w:rPr>
              <w:fldChar w:fldCharType="end"/>
            </w:r>
          </w:hyperlink>
        </w:p>
        <w:p w14:paraId="713C71E6" w14:textId="70EEA5A9" w:rsidR="00F01B19" w:rsidRDefault="00F01B19">
          <w:pPr>
            <w:pStyle w:val="TOC3"/>
            <w:rPr>
              <w:rFonts w:asciiTheme="minorHAnsi" w:hAnsiTheme="minorHAnsi"/>
              <w:lang w:eastAsia="ja-JP"/>
            </w:rPr>
          </w:pPr>
          <w:hyperlink w:anchor="_Toc235185590" w:history="1">
            <w:r w:rsidRPr="00C66261">
              <w:rPr>
                <w:rStyle w:val="Hyperlink"/>
              </w:rPr>
              <w:t>1.5.4</w:t>
            </w:r>
            <w:r>
              <w:rPr>
                <w:rFonts w:asciiTheme="minorHAnsi" w:hAnsiTheme="minorHAnsi"/>
                <w:lang w:eastAsia="ja-JP"/>
              </w:rPr>
              <w:tab/>
            </w:r>
            <w:r w:rsidRPr="00C66261">
              <w:rPr>
                <w:rStyle w:val="Hyperlink"/>
              </w:rPr>
              <w:t>Out-of-pocket expenses tracker (optional)</w:t>
            </w:r>
            <w:r>
              <w:rPr>
                <w:webHidden/>
              </w:rPr>
              <w:tab/>
            </w:r>
            <w:r>
              <w:rPr>
                <w:webHidden/>
              </w:rPr>
              <w:fldChar w:fldCharType="begin"/>
            </w:r>
            <w:r>
              <w:rPr>
                <w:webHidden/>
              </w:rPr>
              <w:instrText xml:space="preserve"> PAGEREF _Toc235185590 \h </w:instrText>
            </w:r>
            <w:r>
              <w:rPr>
                <w:webHidden/>
              </w:rPr>
            </w:r>
            <w:r>
              <w:rPr>
                <w:webHidden/>
              </w:rPr>
              <w:fldChar w:fldCharType="separate"/>
            </w:r>
            <w:r>
              <w:rPr>
                <w:webHidden/>
              </w:rPr>
              <w:t>6</w:t>
            </w:r>
            <w:r>
              <w:rPr>
                <w:webHidden/>
              </w:rPr>
              <w:fldChar w:fldCharType="end"/>
            </w:r>
          </w:hyperlink>
        </w:p>
        <w:p w14:paraId="36EA6E48" w14:textId="1C003106" w:rsidR="00F01B19" w:rsidRDefault="00F01B19">
          <w:pPr>
            <w:pStyle w:val="TOC3"/>
            <w:rPr>
              <w:rFonts w:asciiTheme="minorHAnsi" w:hAnsiTheme="minorHAnsi"/>
              <w:lang w:eastAsia="ja-JP"/>
            </w:rPr>
          </w:pPr>
          <w:hyperlink w:anchor="_Toc235185591" w:history="1">
            <w:r w:rsidRPr="00C66261">
              <w:rPr>
                <w:rStyle w:val="Hyperlink"/>
              </w:rPr>
              <w:t>1.5.5</w:t>
            </w:r>
            <w:r>
              <w:rPr>
                <w:rFonts w:asciiTheme="minorHAnsi" w:hAnsiTheme="minorHAnsi"/>
                <w:lang w:eastAsia="ja-JP"/>
              </w:rPr>
              <w:tab/>
            </w:r>
            <w:r w:rsidRPr="00C66261">
              <w:rPr>
                <w:rStyle w:val="Hyperlink"/>
              </w:rPr>
              <w:t>Leave tracker (optional)</w:t>
            </w:r>
            <w:r>
              <w:rPr>
                <w:webHidden/>
              </w:rPr>
              <w:tab/>
            </w:r>
            <w:r>
              <w:rPr>
                <w:webHidden/>
              </w:rPr>
              <w:fldChar w:fldCharType="begin"/>
            </w:r>
            <w:r>
              <w:rPr>
                <w:webHidden/>
              </w:rPr>
              <w:instrText xml:space="preserve"> PAGEREF _Toc235185591 \h </w:instrText>
            </w:r>
            <w:r>
              <w:rPr>
                <w:webHidden/>
              </w:rPr>
            </w:r>
            <w:r>
              <w:rPr>
                <w:webHidden/>
              </w:rPr>
              <w:fldChar w:fldCharType="separate"/>
            </w:r>
            <w:r>
              <w:rPr>
                <w:webHidden/>
              </w:rPr>
              <w:t>6</w:t>
            </w:r>
            <w:r>
              <w:rPr>
                <w:webHidden/>
              </w:rPr>
              <w:fldChar w:fldCharType="end"/>
            </w:r>
          </w:hyperlink>
        </w:p>
        <w:p w14:paraId="5A957F05" w14:textId="22D82FF0" w:rsidR="00F01B19" w:rsidRDefault="00F01B19">
          <w:pPr>
            <w:pStyle w:val="TOC1"/>
            <w:rPr>
              <w:rFonts w:asciiTheme="minorHAnsi" w:hAnsiTheme="minorHAnsi"/>
              <w:bCs w:val="0"/>
              <w:lang w:val="en-AU" w:eastAsia="ja-JP"/>
            </w:rPr>
          </w:pPr>
          <w:hyperlink w:anchor="_Toc235185592" w:history="1">
            <w:r w:rsidRPr="00C66261">
              <w:rPr>
                <w:rStyle w:val="Hyperlink"/>
                <w:lang w:bidi="en-US"/>
              </w:rPr>
              <w:t>2</w:t>
            </w:r>
            <w:r>
              <w:rPr>
                <w:rFonts w:asciiTheme="minorHAnsi" w:hAnsiTheme="minorHAnsi"/>
                <w:bCs w:val="0"/>
                <w:lang w:val="en-AU" w:eastAsia="ja-JP"/>
              </w:rPr>
              <w:tab/>
            </w:r>
            <w:r w:rsidRPr="00C66261">
              <w:rPr>
                <w:rStyle w:val="Hyperlink"/>
                <w:lang w:bidi="en-US"/>
              </w:rPr>
              <w:t>Leave reimbursement for full-time, part-time and casual employees</w:t>
            </w:r>
            <w:r>
              <w:rPr>
                <w:webHidden/>
              </w:rPr>
              <w:tab/>
            </w:r>
            <w:r>
              <w:rPr>
                <w:webHidden/>
              </w:rPr>
              <w:fldChar w:fldCharType="begin"/>
            </w:r>
            <w:r>
              <w:rPr>
                <w:webHidden/>
              </w:rPr>
              <w:instrText xml:space="preserve"> PAGEREF _Toc235185592 \h </w:instrText>
            </w:r>
            <w:r>
              <w:rPr>
                <w:webHidden/>
              </w:rPr>
            </w:r>
            <w:r>
              <w:rPr>
                <w:webHidden/>
              </w:rPr>
              <w:fldChar w:fldCharType="separate"/>
            </w:r>
            <w:r>
              <w:rPr>
                <w:webHidden/>
              </w:rPr>
              <w:t>7</w:t>
            </w:r>
            <w:r>
              <w:rPr>
                <w:webHidden/>
              </w:rPr>
              <w:fldChar w:fldCharType="end"/>
            </w:r>
          </w:hyperlink>
        </w:p>
        <w:p w14:paraId="3436CBDE" w14:textId="405FA7D0" w:rsidR="00F01B19" w:rsidRDefault="00F01B19">
          <w:pPr>
            <w:pStyle w:val="TOC2"/>
            <w:rPr>
              <w:rFonts w:asciiTheme="minorHAnsi" w:hAnsiTheme="minorHAnsi"/>
              <w:lang w:eastAsia="ja-JP"/>
            </w:rPr>
          </w:pPr>
          <w:hyperlink w:anchor="_Toc235185593" w:history="1">
            <w:r w:rsidRPr="00C66261">
              <w:rPr>
                <w:rStyle w:val="Hyperlink"/>
                <w:lang w:bidi="en-US"/>
              </w:rPr>
              <w:t>2.1</w:t>
            </w:r>
            <w:r>
              <w:rPr>
                <w:rFonts w:asciiTheme="minorHAnsi" w:hAnsiTheme="minorHAnsi"/>
                <w:lang w:eastAsia="ja-JP"/>
              </w:rPr>
              <w:tab/>
            </w:r>
            <w:r w:rsidRPr="00C66261">
              <w:rPr>
                <w:rStyle w:val="Hyperlink"/>
                <w:lang w:bidi="en-US"/>
              </w:rPr>
              <w:t>Process overview</w:t>
            </w:r>
            <w:r>
              <w:rPr>
                <w:webHidden/>
              </w:rPr>
              <w:tab/>
            </w:r>
            <w:r>
              <w:rPr>
                <w:webHidden/>
              </w:rPr>
              <w:fldChar w:fldCharType="begin"/>
            </w:r>
            <w:r>
              <w:rPr>
                <w:webHidden/>
              </w:rPr>
              <w:instrText xml:space="preserve"> PAGEREF _Toc235185593 \h </w:instrText>
            </w:r>
            <w:r>
              <w:rPr>
                <w:webHidden/>
              </w:rPr>
            </w:r>
            <w:r>
              <w:rPr>
                <w:webHidden/>
              </w:rPr>
              <w:fldChar w:fldCharType="separate"/>
            </w:r>
            <w:r>
              <w:rPr>
                <w:webHidden/>
              </w:rPr>
              <w:t>7</w:t>
            </w:r>
            <w:r>
              <w:rPr>
                <w:webHidden/>
              </w:rPr>
              <w:fldChar w:fldCharType="end"/>
            </w:r>
          </w:hyperlink>
        </w:p>
        <w:p w14:paraId="3537D073" w14:textId="44D2D5E0" w:rsidR="00F01B19" w:rsidRDefault="00F01B19">
          <w:pPr>
            <w:pStyle w:val="TOC2"/>
            <w:rPr>
              <w:rFonts w:asciiTheme="minorHAnsi" w:hAnsiTheme="minorHAnsi"/>
              <w:lang w:eastAsia="ja-JP"/>
            </w:rPr>
          </w:pPr>
          <w:hyperlink w:anchor="_Toc235185594" w:history="1">
            <w:r w:rsidRPr="00C66261">
              <w:rPr>
                <w:rStyle w:val="Hyperlink"/>
                <w:lang w:bidi="en-US"/>
              </w:rPr>
              <w:t>2.2</w:t>
            </w:r>
            <w:r>
              <w:rPr>
                <w:rFonts w:asciiTheme="minorHAnsi" w:hAnsiTheme="minorHAnsi"/>
                <w:lang w:eastAsia="ja-JP"/>
              </w:rPr>
              <w:tab/>
            </w:r>
            <w:r w:rsidRPr="00C66261">
              <w:rPr>
                <w:rStyle w:val="Hyperlink"/>
                <w:lang w:bidi="en-US"/>
              </w:rPr>
              <w:t>Process Steps</w:t>
            </w:r>
            <w:r>
              <w:rPr>
                <w:webHidden/>
              </w:rPr>
              <w:tab/>
            </w:r>
            <w:r>
              <w:rPr>
                <w:webHidden/>
              </w:rPr>
              <w:fldChar w:fldCharType="begin"/>
            </w:r>
            <w:r>
              <w:rPr>
                <w:webHidden/>
              </w:rPr>
              <w:instrText xml:space="preserve"> PAGEREF _Toc235185594 \h </w:instrText>
            </w:r>
            <w:r>
              <w:rPr>
                <w:webHidden/>
              </w:rPr>
            </w:r>
            <w:r>
              <w:rPr>
                <w:webHidden/>
              </w:rPr>
              <w:fldChar w:fldCharType="separate"/>
            </w:r>
            <w:r>
              <w:rPr>
                <w:webHidden/>
              </w:rPr>
              <w:t>7</w:t>
            </w:r>
            <w:r>
              <w:rPr>
                <w:webHidden/>
              </w:rPr>
              <w:fldChar w:fldCharType="end"/>
            </w:r>
          </w:hyperlink>
        </w:p>
        <w:p w14:paraId="3944AC96" w14:textId="7A678E1B" w:rsidR="00F01B19" w:rsidRDefault="00F01B19">
          <w:pPr>
            <w:pStyle w:val="TOC3"/>
            <w:rPr>
              <w:rFonts w:asciiTheme="minorHAnsi" w:hAnsiTheme="minorHAnsi"/>
              <w:lang w:eastAsia="ja-JP"/>
            </w:rPr>
          </w:pPr>
          <w:hyperlink w:anchor="_Toc235185595" w:history="1">
            <w:r w:rsidRPr="00C66261">
              <w:rPr>
                <w:rStyle w:val="Hyperlink"/>
              </w:rPr>
              <w:t>2.2.1</w:t>
            </w:r>
            <w:r>
              <w:rPr>
                <w:rFonts w:asciiTheme="minorHAnsi" w:hAnsiTheme="minorHAnsi"/>
                <w:lang w:eastAsia="ja-JP"/>
              </w:rPr>
              <w:tab/>
            </w:r>
            <w:r w:rsidRPr="00C66261">
              <w:rPr>
                <w:rStyle w:val="Hyperlink"/>
              </w:rPr>
              <w:t>A conversation between the potential donor and their employer</w:t>
            </w:r>
            <w:r>
              <w:rPr>
                <w:webHidden/>
              </w:rPr>
              <w:tab/>
            </w:r>
            <w:r>
              <w:rPr>
                <w:webHidden/>
              </w:rPr>
              <w:fldChar w:fldCharType="begin"/>
            </w:r>
            <w:r>
              <w:rPr>
                <w:webHidden/>
              </w:rPr>
              <w:instrText xml:space="preserve"> PAGEREF _Toc235185595 \h </w:instrText>
            </w:r>
            <w:r>
              <w:rPr>
                <w:webHidden/>
              </w:rPr>
            </w:r>
            <w:r>
              <w:rPr>
                <w:webHidden/>
              </w:rPr>
              <w:fldChar w:fldCharType="separate"/>
            </w:r>
            <w:r>
              <w:rPr>
                <w:webHidden/>
              </w:rPr>
              <w:t>7</w:t>
            </w:r>
            <w:r>
              <w:rPr>
                <w:webHidden/>
              </w:rPr>
              <w:fldChar w:fldCharType="end"/>
            </w:r>
          </w:hyperlink>
        </w:p>
        <w:p w14:paraId="1A9DC40C" w14:textId="79563CF8" w:rsidR="00F01B19" w:rsidRDefault="00F01B19">
          <w:pPr>
            <w:pStyle w:val="TOC3"/>
            <w:rPr>
              <w:rFonts w:asciiTheme="minorHAnsi" w:hAnsiTheme="minorHAnsi"/>
              <w:lang w:eastAsia="ja-JP"/>
            </w:rPr>
          </w:pPr>
          <w:hyperlink w:anchor="_Toc235185596" w:history="1">
            <w:r w:rsidRPr="00C66261">
              <w:rPr>
                <w:rStyle w:val="Hyperlink"/>
              </w:rPr>
              <w:t>2.2.2</w:t>
            </w:r>
            <w:r>
              <w:rPr>
                <w:rFonts w:asciiTheme="minorHAnsi" w:hAnsiTheme="minorHAnsi"/>
                <w:lang w:eastAsia="ja-JP"/>
              </w:rPr>
              <w:tab/>
            </w:r>
            <w:r w:rsidRPr="00C66261">
              <w:rPr>
                <w:rStyle w:val="Hyperlink"/>
              </w:rPr>
              <w:t>Complete the application form</w:t>
            </w:r>
            <w:r>
              <w:rPr>
                <w:webHidden/>
              </w:rPr>
              <w:tab/>
            </w:r>
            <w:r>
              <w:rPr>
                <w:webHidden/>
              </w:rPr>
              <w:fldChar w:fldCharType="begin"/>
            </w:r>
            <w:r>
              <w:rPr>
                <w:webHidden/>
              </w:rPr>
              <w:instrText xml:space="preserve"> PAGEREF _Toc235185596 \h </w:instrText>
            </w:r>
            <w:r>
              <w:rPr>
                <w:webHidden/>
              </w:rPr>
            </w:r>
            <w:r>
              <w:rPr>
                <w:webHidden/>
              </w:rPr>
              <w:fldChar w:fldCharType="separate"/>
            </w:r>
            <w:r>
              <w:rPr>
                <w:webHidden/>
              </w:rPr>
              <w:t>7</w:t>
            </w:r>
            <w:r>
              <w:rPr>
                <w:webHidden/>
              </w:rPr>
              <w:fldChar w:fldCharType="end"/>
            </w:r>
          </w:hyperlink>
        </w:p>
        <w:p w14:paraId="3176B3C3" w14:textId="2013246E" w:rsidR="00F01B19" w:rsidRDefault="00F01B19">
          <w:pPr>
            <w:pStyle w:val="TOC3"/>
            <w:rPr>
              <w:rFonts w:asciiTheme="minorHAnsi" w:hAnsiTheme="minorHAnsi"/>
              <w:lang w:eastAsia="ja-JP"/>
            </w:rPr>
          </w:pPr>
          <w:hyperlink w:anchor="_Toc235185597" w:history="1">
            <w:r w:rsidRPr="00C66261">
              <w:rPr>
                <w:rStyle w:val="Hyperlink"/>
              </w:rPr>
              <w:t>2.2.3</w:t>
            </w:r>
            <w:r>
              <w:rPr>
                <w:rFonts w:asciiTheme="minorHAnsi" w:hAnsiTheme="minorHAnsi"/>
                <w:lang w:eastAsia="ja-JP"/>
              </w:rPr>
              <w:tab/>
            </w:r>
            <w:r w:rsidRPr="00C66261">
              <w:rPr>
                <w:rStyle w:val="Hyperlink"/>
              </w:rPr>
              <w:t>Claiming for leave reimbursement</w:t>
            </w:r>
            <w:r>
              <w:rPr>
                <w:webHidden/>
              </w:rPr>
              <w:tab/>
            </w:r>
            <w:r>
              <w:rPr>
                <w:webHidden/>
              </w:rPr>
              <w:fldChar w:fldCharType="begin"/>
            </w:r>
            <w:r>
              <w:rPr>
                <w:webHidden/>
              </w:rPr>
              <w:instrText xml:space="preserve"> PAGEREF _Toc235185597 \h </w:instrText>
            </w:r>
            <w:r>
              <w:rPr>
                <w:webHidden/>
              </w:rPr>
            </w:r>
            <w:r>
              <w:rPr>
                <w:webHidden/>
              </w:rPr>
              <w:fldChar w:fldCharType="separate"/>
            </w:r>
            <w:r>
              <w:rPr>
                <w:webHidden/>
              </w:rPr>
              <w:t>8</w:t>
            </w:r>
            <w:r>
              <w:rPr>
                <w:webHidden/>
              </w:rPr>
              <w:fldChar w:fldCharType="end"/>
            </w:r>
          </w:hyperlink>
        </w:p>
        <w:p w14:paraId="31DB0A8B" w14:textId="78525A14" w:rsidR="00F01B19" w:rsidRDefault="00F01B19">
          <w:pPr>
            <w:pStyle w:val="TOC1"/>
            <w:rPr>
              <w:rFonts w:asciiTheme="minorHAnsi" w:hAnsiTheme="minorHAnsi"/>
              <w:bCs w:val="0"/>
              <w:lang w:val="en-AU" w:eastAsia="ja-JP"/>
            </w:rPr>
          </w:pPr>
          <w:hyperlink w:anchor="_Toc235185598" w:history="1">
            <w:r w:rsidRPr="00C66261">
              <w:rPr>
                <w:rStyle w:val="Hyperlink"/>
                <w:lang w:bidi="en-US"/>
              </w:rPr>
              <w:t>3</w:t>
            </w:r>
            <w:r>
              <w:rPr>
                <w:rFonts w:asciiTheme="minorHAnsi" w:hAnsiTheme="minorHAnsi"/>
                <w:bCs w:val="0"/>
                <w:lang w:val="en-AU" w:eastAsia="ja-JP"/>
              </w:rPr>
              <w:tab/>
            </w:r>
            <w:r w:rsidRPr="00C66261">
              <w:rPr>
                <w:rStyle w:val="Hyperlink"/>
                <w:lang w:bidi="en-US"/>
              </w:rPr>
              <w:t>Leave reimbursement for self-employed donors</w:t>
            </w:r>
            <w:r>
              <w:rPr>
                <w:webHidden/>
              </w:rPr>
              <w:tab/>
            </w:r>
            <w:r>
              <w:rPr>
                <w:webHidden/>
              </w:rPr>
              <w:fldChar w:fldCharType="begin"/>
            </w:r>
            <w:r>
              <w:rPr>
                <w:webHidden/>
              </w:rPr>
              <w:instrText xml:space="preserve"> PAGEREF _Toc235185598 \h </w:instrText>
            </w:r>
            <w:r>
              <w:rPr>
                <w:webHidden/>
              </w:rPr>
            </w:r>
            <w:r>
              <w:rPr>
                <w:webHidden/>
              </w:rPr>
              <w:fldChar w:fldCharType="separate"/>
            </w:r>
            <w:r>
              <w:rPr>
                <w:webHidden/>
              </w:rPr>
              <w:t>10</w:t>
            </w:r>
            <w:r>
              <w:rPr>
                <w:webHidden/>
              </w:rPr>
              <w:fldChar w:fldCharType="end"/>
            </w:r>
          </w:hyperlink>
        </w:p>
        <w:p w14:paraId="3B305402" w14:textId="38E3715C" w:rsidR="00F01B19" w:rsidRDefault="00F01B19">
          <w:pPr>
            <w:pStyle w:val="TOC2"/>
            <w:rPr>
              <w:rFonts w:asciiTheme="minorHAnsi" w:hAnsiTheme="minorHAnsi"/>
              <w:lang w:eastAsia="ja-JP"/>
            </w:rPr>
          </w:pPr>
          <w:hyperlink w:anchor="_Toc235185599" w:history="1">
            <w:r w:rsidRPr="00C66261">
              <w:rPr>
                <w:rStyle w:val="Hyperlink"/>
                <w:lang w:bidi="en-US"/>
              </w:rPr>
              <w:t>3.1</w:t>
            </w:r>
            <w:r>
              <w:rPr>
                <w:rFonts w:asciiTheme="minorHAnsi" w:hAnsiTheme="minorHAnsi"/>
                <w:lang w:eastAsia="ja-JP"/>
              </w:rPr>
              <w:tab/>
            </w:r>
            <w:r w:rsidRPr="00C66261">
              <w:rPr>
                <w:rStyle w:val="Hyperlink"/>
                <w:lang w:bidi="en-US"/>
              </w:rPr>
              <w:t>Process overview</w:t>
            </w:r>
            <w:r>
              <w:rPr>
                <w:webHidden/>
              </w:rPr>
              <w:tab/>
            </w:r>
            <w:r>
              <w:rPr>
                <w:webHidden/>
              </w:rPr>
              <w:fldChar w:fldCharType="begin"/>
            </w:r>
            <w:r>
              <w:rPr>
                <w:webHidden/>
              </w:rPr>
              <w:instrText xml:space="preserve"> PAGEREF _Toc235185599 \h </w:instrText>
            </w:r>
            <w:r>
              <w:rPr>
                <w:webHidden/>
              </w:rPr>
            </w:r>
            <w:r>
              <w:rPr>
                <w:webHidden/>
              </w:rPr>
              <w:fldChar w:fldCharType="separate"/>
            </w:r>
            <w:r>
              <w:rPr>
                <w:webHidden/>
              </w:rPr>
              <w:t>10</w:t>
            </w:r>
            <w:r>
              <w:rPr>
                <w:webHidden/>
              </w:rPr>
              <w:fldChar w:fldCharType="end"/>
            </w:r>
          </w:hyperlink>
        </w:p>
        <w:p w14:paraId="48139E94" w14:textId="4DA318BE" w:rsidR="00F01B19" w:rsidRDefault="00F01B19">
          <w:pPr>
            <w:pStyle w:val="TOC2"/>
            <w:rPr>
              <w:rFonts w:asciiTheme="minorHAnsi" w:hAnsiTheme="minorHAnsi"/>
              <w:lang w:eastAsia="ja-JP"/>
            </w:rPr>
          </w:pPr>
          <w:hyperlink w:anchor="_Toc235185600" w:history="1">
            <w:r w:rsidRPr="00C66261">
              <w:rPr>
                <w:rStyle w:val="Hyperlink"/>
                <w:lang w:bidi="en-US"/>
              </w:rPr>
              <w:t>3.2</w:t>
            </w:r>
            <w:r>
              <w:rPr>
                <w:rFonts w:asciiTheme="minorHAnsi" w:hAnsiTheme="minorHAnsi"/>
                <w:lang w:eastAsia="ja-JP"/>
              </w:rPr>
              <w:tab/>
            </w:r>
            <w:r w:rsidRPr="00C66261">
              <w:rPr>
                <w:rStyle w:val="Hyperlink"/>
                <w:lang w:bidi="en-US"/>
              </w:rPr>
              <w:t>Process steps</w:t>
            </w:r>
            <w:r>
              <w:rPr>
                <w:webHidden/>
              </w:rPr>
              <w:tab/>
            </w:r>
            <w:r>
              <w:rPr>
                <w:webHidden/>
              </w:rPr>
              <w:fldChar w:fldCharType="begin"/>
            </w:r>
            <w:r>
              <w:rPr>
                <w:webHidden/>
              </w:rPr>
              <w:instrText xml:space="preserve"> PAGEREF _Toc235185600 \h </w:instrText>
            </w:r>
            <w:r>
              <w:rPr>
                <w:webHidden/>
              </w:rPr>
            </w:r>
            <w:r>
              <w:rPr>
                <w:webHidden/>
              </w:rPr>
              <w:fldChar w:fldCharType="separate"/>
            </w:r>
            <w:r>
              <w:rPr>
                <w:webHidden/>
              </w:rPr>
              <w:t>10</w:t>
            </w:r>
            <w:r>
              <w:rPr>
                <w:webHidden/>
              </w:rPr>
              <w:fldChar w:fldCharType="end"/>
            </w:r>
          </w:hyperlink>
        </w:p>
        <w:p w14:paraId="33B7630A" w14:textId="6108B31F" w:rsidR="00F01B19" w:rsidRDefault="00F01B19">
          <w:pPr>
            <w:pStyle w:val="TOC3"/>
            <w:rPr>
              <w:rFonts w:asciiTheme="minorHAnsi" w:hAnsiTheme="minorHAnsi"/>
              <w:lang w:eastAsia="ja-JP"/>
            </w:rPr>
          </w:pPr>
          <w:hyperlink w:anchor="_Toc235185601" w:history="1">
            <w:r w:rsidRPr="00C66261">
              <w:rPr>
                <w:rStyle w:val="Hyperlink"/>
              </w:rPr>
              <w:t>3.2.1</w:t>
            </w:r>
            <w:r>
              <w:rPr>
                <w:rFonts w:asciiTheme="minorHAnsi" w:hAnsiTheme="minorHAnsi"/>
                <w:lang w:eastAsia="ja-JP"/>
              </w:rPr>
              <w:tab/>
            </w:r>
            <w:r w:rsidRPr="00C66261">
              <w:rPr>
                <w:rStyle w:val="Hyperlink"/>
              </w:rPr>
              <w:t>Complete the application form</w:t>
            </w:r>
            <w:r>
              <w:rPr>
                <w:webHidden/>
              </w:rPr>
              <w:tab/>
            </w:r>
            <w:r>
              <w:rPr>
                <w:webHidden/>
              </w:rPr>
              <w:fldChar w:fldCharType="begin"/>
            </w:r>
            <w:r>
              <w:rPr>
                <w:webHidden/>
              </w:rPr>
              <w:instrText xml:space="preserve"> PAGEREF _Toc235185601 \h </w:instrText>
            </w:r>
            <w:r>
              <w:rPr>
                <w:webHidden/>
              </w:rPr>
            </w:r>
            <w:r>
              <w:rPr>
                <w:webHidden/>
              </w:rPr>
              <w:fldChar w:fldCharType="separate"/>
            </w:r>
            <w:r>
              <w:rPr>
                <w:webHidden/>
              </w:rPr>
              <w:t>10</w:t>
            </w:r>
            <w:r>
              <w:rPr>
                <w:webHidden/>
              </w:rPr>
              <w:fldChar w:fldCharType="end"/>
            </w:r>
          </w:hyperlink>
        </w:p>
        <w:p w14:paraId="1D5F5738" w14:textId="31FF4818" w:rsidR="00F01B19" w:rsidRDefault="00F01B19">
          <w:pPr>
            <w:pStyle w:val="TOC3"/>
            <w:rPr>
              <w:rFonts w:asciiTheme="minorHAnsi" w:hAnsiTheme="minorHAnsi"/>
              <w:lang w:eastAsia="ja-JP"/>
            </w:rPr>
          </w:pPr>
          <w:hyperlink w:anchor="_Toc235185602" w:history="1">
            <w:r w:rsidRPr="00C66261">
              <w:rPr>
                <w:rStyle w:val="Hyperlink"/>
              </w:rPr>
              <w:t>3.2.2</w:t>
            </w:r>
            <w:r>
              <w:rPr>
                <w:rFonts w:asciiTheme="minorHAnsi" w:hAnsiTheme="minorHAnsi"/>
                <w:lang w:eastAsia="ja-JP"/>
              </w:rPr>
              <w:tab/>
            </w:r>
            <w:r w:rsidRPr="00C66261">
              <w:rPr>
                <w:rStyle w:val="Hyperlink"/>
              </w:rPr>
              <w:t>Claiming for leave reimbursement</w:t>
            </w:r>
            <w:r>
              <w:rPr>
                <w:webHidden/>
              </w:rPr>
              <w:tab/>
            </w:r>
            <w:r>
              <w:rPr>
                <w:webHidden/>
              </w:rPr>
              <w:fldChar w:fldCharType="begin"/>
            </w:r>
            <w:r>
              <w:rPr>
                <w:webHidden/>
              </w:rPr>
              <w:instrText xml:space="preserve"> PAGEREF _Toc235185602 \h </w:instrText>
            </w:r>
            <w:r>
              <w:rPr>
                <w:webHidden/>
              </w:rPr>
            </w:r>
            <w:r>
              <w:rPr>
                <w:webHidden/>
              </w:rPr>
              <w:fldChar w:fldCharType="separate"/>
            </w:r>
            <w:r>
              <w:rPr>
                <w:webHidden/>
              </w:rPr>
              <w:t>10</w:t>
            </w:r>
            <w:r>
              <w:rPr>
                <w:webHidden/>
              </w:rPr>
              <w:fldChar w:fldCharType="end"/>
            </w:r>
          </w:hyperlink>
        </w:p>
        <w:p w14:paraId="6DA1B7FD" w14:textId="4F82F572" w:rsidR="00F01B19" w:rsidRDefault="00F01B19">
          <w:pPr>
            <w:pStyle w:val="TOC1"/>
            <w:rPr>
              <w:rFonts w:asciiTheme="minorHAnsi" w:hAnsiTheme="minorHAnsi"/>
              <w:bCs w:val="0"/>
              <w:lang w:val="en-AU" w:eastAsia="ja-JP"/>
            </w:rPr>
          </w:pPr>
          <w:hyperlink w:anchor="_Toc235185603" w:history="1">
            <w:r w:rsidRPr="00C66261">
              <w:rPr>
                <w:rStyle w:val="Hyperlink"/>
                <w:lang w:bidi="en-US"/>
              </w:rPr>
              <w:t>4</w:t>
            </w:r>
            <w:r>
              <w:rPr>
                <w:rFonts w:asciiTheme="minorHAnsi" w:hAnsiTheme="minorHAnsi"/>
                <w:bCs w:val="0"/>
                <w:lang w:val="en-AU" w:eastAsia="ja-JP"/>
              </w:rPr>
              <w:tab/>
            </w:r>
            <w:r w:rsidRPr="00C66261">
              <w:rPr>
                <w:rStyle w:val="Hyperlink"/>
                <w:lang w:bidi="en-US"/>
              </w:rPr>
              <w:t>$500 lump-sum payment – Australian donors</w:t>
            </w:r>
            <w:r>
              <w:rPr>
                <w:webHidden/>
              </w:rPr>
              <w:tab/>
            </w:r>
            <w:r>
              <w:rPr>
                <w:webHidden/>
              </w:rPr>
              <w:fldChar w:fldCharType="begin"/>
            </w:r>
            <w:r>
              <w:rPr>
                <w:webHidden/>
              </w:rPr>
              <w:instrText xml:space="preserve"> PAGEREF _Toc235185603 \h </w:instrText>
            </w:r>
            <w:r>
              <w:rPr>
                <w:webHidden/>
              </w:rPr>
            </w:r>
            <w:r>
              <w:rPr>
                <w:webHidden/>
              </w:rPr>
              <w:fldChar w:fldCharType="separate"/>
            </w:r>
            <w:r>
              <w:rPr>
                <w:webHidden/>
              </w:rPr>
              <w:t>12</w:t>
            </w:r>
            <w:r>
              <w:rPr>
                <w:webHidden/>
              </w:rPr>
              <w:fldChar w:fldCharType="end"/>
            </w:r>
          </w:hyperlink>
        </w:p>
        <w:p w14:paraId="701C4B09" w14:textId="4CAB303A" w:rsidR="00F01B19" w:rsidRDefault="00F01B19">
          <w:pPr>
            <w:pStyle w:val="TOC2"/>
            <w:rPr>
              <w:rFonts w:asciiTheme="minorHAnsi" w:hAnsiTheme="minorHAnsi"/>
              <w:lang w:eastAsia="ja-JP"/>
            </w:rPr>
          </w:pPr>
          <w:hyperlink w:anchor="_Toc235185604" w:history="1">
            <w:r w:rsidRPr="00C66261">
              <w:rPr>
                <w:rStyle w:val="Hyperlink"/>
                <w:lang w:bidi="en-US"/>
              </w:rPr>
              <w:t>4.1</w:t>
            </w:r>
            <w:r>
              <w:rPr>
                <w:rFonts w:asciiTheme="minorHAnsi" w:hAnsiTheme="minorHAnsi"/>
                <w:lang w:eastAsia="ja-JP"/>
              </w:rPr>
              <w:tab/>
            </w:r>
            <w:r w:rsidRPr="00C66261">
              <w:rPr>
                <w:rStyle w:val="Hyperlink"/>
                <w:lang w:bidi="en-US"/>
              </w:rPr>
              <w:t>Process overview</w:t>
            </w:r>
            <w:r>
              <w:rPr>
                <w:webHidden/>
              </w:rPr>
              <w:tab/>
            </w:r>
            <w:r>
              <w:rPr>
                <w:webHidden/>
              </w:rPr>
              <w:fldChar w:fldCharType="begin"/>
            </w:r>
            <w:r>
              <w:rPr>
                <w:webHidden/>
              </w:rPr>
              <w:instrText xml:space="preserve"> PAGEREF _Toc235185604 \h </w:instrText>
            </w:r>
            <w:r>
              <w:rPr>
                <w:webHidden/>
              </w:rPr>
            </w:r>
            <w:r>
              <w:rPr>
                <w:webHidden/>
              </w:rPr>
              <w:fldChar w:fldCharType="separate"/>
            </w:r>
            <w:r>
              <w:rPr>
                <w:webHidden/>
              </w:rPr>
              <w:t>12</w:t>
            </w:r>
            <w:r>
              <w:rPr>
                <w:webHidden/>
              </w:rPr>
              <w:fldChar w:fldCharType="end"/>
            </w:r>
          </w:hyperlink>
        </w:p>
        <w:p w14:paraId="0877884B" w14:textId="09B38A2E" w:rsidR="00F01B19" w:rsidRDefault="00F01B19">
          <w:pPr>
            <w:pStyle w:val="TOC2"/>
            <w:rPr>
              <w:rFonts w:asciiTheme="minorHAnsi" w:hAnsiTheme="minorHAnsi"/>
              <w:lang w:eastAsia="ja-JP"/>
            </w:rPr>
          </w:pPr>
          <w:hyperlink w:anchor="_Toc235185605" w:history="1">
            <w:r w:rsidRPr="00C66261">
              <w:rPr>
                <w:rStyle w:val="Hyperlink"/>
                <w:lang w:bidi="en-US"/>
              </w:rPr>
              <w:t>4.2</w:t>
            </w:r>
            <w:r>
              <w:rPr>
                <w:rFonts w:asciiTheme="minorHAnsi" w:hAnsiTheme="minorHAnsi"/>
                <w:lang w:eastAsia="ja-JP"/>
              </w:rPr>
              <w:tab/>
            </w:r>
            <w:r w:rsidRPr="00C66261">
              <w:rPr>
                <w:rStyle w:val="Hyperlink"/>
                <w:lang w:bidi="en-US"/>
              </w:rPr>
              <w:t>Process steps</w:t>
            </w:r>
            <w:r>
              <w:rPr>
                <w:webHidden/>
              </w:rPr>
              <w:tab/>
            </w:r>
            <w:r>
              <w:rPr>
                <w:webHidden/>
              </w:rPr>
              <w:fldChar w:fldCharType="begin"/>
            </w:r>
            <w:r>
              <w:rPr>
                <w:webHidden/>
              </w:rPr>
              <w:instrText xml:space="preserve"> PAGEREF _Toc235185605 \h </w:instrText>
            </w:r>
            <w:r>
              <w:rPr>
                <w:webHidden/>
              </w:rPr>
            </w:r>
            <w:r>
              <w:rPr>
                <w:webHidden/>
              </w:rPr>
              <w:fldChar w:fldCharType="separate"/>
            </w:r>
            <w:r>
              <w:rPr>
                <w:webHidden/>
              </w:rPr>
              <w:t>12</w:t>
            </w:r>
            <w:r>
              <w:rPr>
                <w:webHidden/>
              </w:rPr>
              <w:fldChar w:fldCharType="end"/>
            </w:r>
          </w:hyperlink>
        </w:p>
        <w:p w14:paraId="6CB447A3" w14:textId="7DC630A3" w:rsidR="00F01B19" w:rsidRDefault="00F01B19">
          <w:pPr>
            <w:pStyle w:val="TOC3"/>
            <w:rPr>
              <w:rFonts w:asciiTheme="minorHAnsi" w:hAnsiTheme="minorHAnsi"/>
              <w:lang w:eastAsia="ja-JP"/>
            </w:rPr>
          </w:pPr>
          <w:hyperlink w:anchor="_Toc235185606" w:history="1">
            <w:r w:rsidRPr="00C66261">
              <w:rPr>
                <w:rStyle w:val="Hyperlink"/>
              </w:rPr>
              <w:t>4.2.1</w:t>
            </w:r>
            <w:r>
              <w:rPr>
                <w:rFonts w:asciiTheme="minorHAnsi" w:hAnsiTheme="minorHAnsi"/>
                <w:lang w:eastAsia="ja-JP"/>
              </w:rPr>
              <w:tab/>
            </w:r>
            <w:r w:rsidRPr="00C66261">
              <w:rPr>
                <w:rStyle w:val="Hyperlink"/>
              </w:rPr>
              <w:t>Complete the application form</w:t>
            </w:r>
            <w:r>
              <w:rPr>
                <w:webHidden/>
              </w:rPr>
              <w:tab/>
            </w:r>
            <w:r>
              <w:rPr>
                <w:webHidden/>
              </w:rPr>
              <w:fldChar w:fldCharType="begin"/>
            </w:r>
            <w:r>
              <w:rPr>
                <w:webHidden/>
              </w:rPr>
              <w:instrText xml:space="preserve"> PAGEREF _Toc235185606 \h </w:instrText>
            </w:r>
            <w:r>
              <w:rPr>
                <w:webHidden/>
              </w:rPr>
            </w:r>
            <w:r>
              <w:rPr>
                <w:webHidden/>
              </w:rPr>
              <w:fldChar w:fldCharType="separate"/>
            </w:r>
            <w:r>
              <w:rPr>
                <w:webHidden/>
              </w:rPr>
              <w:t>12</w:t>
            </w:r>
            <w:r>
              <w:rPr>
                <w:webHidden/>
              </w:rPr>
              <w:fldChar w:fldCharType="end"/>
            </w:r>
          </w:hyperlink>
        </w:p>
        <w:p w14:paraId="5B2D205D" w14:textId="662EB7CA" w:rsidR="00F01B19" w:rsidRDefault="00F01B19">
          <w:pPr>
            <w:pStyle w:val="TOC1"/>
            <w:rPr>
              <w:rFonts w:asciiTheme="minorHAnsi" w:hAnsiTheme="minorHAnsi"/>
              <w:bCs w:val="0"/>
              <w:lang w:val="en-AU" w:eastAsia="ja-JP"/>
            </w:rPr>
          </w:pPr>
          <w:hyperlink w:anchor="_Toc235185607" w:history="1">
            <w:r w:rsidRPr="00C66261">
              <w:rPr>
                <w:rStyle w:val="Hyperlink"/>
                <w:lang w:bidi="en-US"/>
              </w:rPr>
              <w:t>5</w:t>
            </w:r>
            <w:r>
              <w:rPr>
                <w:rFonts w:asciiTheme="minorHAnsi" w:hAnsiTheme="minorHAnsi"/>
                <w:bCs w:val="0"/>
                <w:lang w:val="en-AU" w:eastAsia="ja-JP"/>
              </w:rPr>
              <w:tab/>
            </w:r>
            <w:r w:rsidRPr="00C66261">
              <w:rPr>
                <w:rStyle w:val="Hyperlink"/>
                <w:lang w:bidi="en-US"/>
              </w:rPr>
              <w:t>Out-of-pocket expenses reimbursement over $500 – Australian donors</w:t>
            </w:r>
            <w:r>
              <w:rPr>
                <w:webHidden/>
              </w:rPr>
              <w:tab/>
            </w:r>
            <w:r>
              <w:rPr>
                <w:webHidden/>
              </w:rPr>
              <w:fldChar w:fldCharType="begin"/>
            </w:r>
            <w:r>
              <w:rPr>
                <w:webHidden/>
              </w:rPr>
              <w:instrText xml:space="preserve"> PAGEREF _Toc235185607 \h </w:instrText>
            </w:r>
            <w:r>
              <w:rPr>
                <w:webHidden/>
              </w:rPr>
            </w:r>
            <w:r>
              <w:rPr>
                <w:webHidden/>
              </w:rPr>
              <w:fldChar w:fldCharType="separate"/>
            </w:r>
            <w:r>
              <w:rPr>
                <w:webHidden/>
              </w:rPr>
              <w:t>14</w:t>
            </w:r>
            <w:r>
              <w:rPr>
                <w:webHidden/>
              </w:rPr>
              <w:fldChar w:fldCharType="end"/>
            </w:r>
          </w:hyperlink>
        </w:p>
        <w:p w14:paraId="6D3F7C34" w14:textId="2677B0F3" w:rsidR="00F01B19" w:rsidRDefault="00F01B19">
          <w:pPr>
            <w:pStyle w:val="TOC2"/>
            <w:rPr>
              <w:rFonts w:asciiTheme="minorHAnsi" w:hAnsiTheme="minorHAnsi"/>
              <w:lang w:eastAsia="ja-JP"/>
            </w:rPr>
          </w:pPr>
          <w:hyperlink w:anchor="_Toc235185608" w:history="1">
            <w:r w:rsidRPr="00C66261">
              <w:rPr>
                <w:rStyle w:val="Hyperlink"/>
                <w:lang w:bidi="en-US"/>
              </w:rPr>
              <w:t>5.1</w:t>
            </w:r>
            <w:r>
              <w:rPr>
                <w:rFonts w:asciiTheme="minorHAnsi" w:hAnsiTheme="minorHAnsi"/>
                <w:lang w:eastAsia="ja-JP"/>
              </w:rPr>
              <w:tab/>
            </w:r>
            <w:r w:rsidRPr="00C66261">
              <w:rPr>
                <w:rStyle w:val="Hyperlink"/>
                <w:lang w:bidi="en-US"/>
              </w:rPr>
              <w:t>Process overview</w:t>
            </w:r>
            <w:r>
              <w:rPr>
                <w:webHidden/>
              </w:rPr>
              <w:tab/>
            </w:r>
            <w:r>
              <w:rPr>
                <w:webHidden/>
              </w:rPr>
              <w:fldChar w:fldCharType="begin"/>
            </w:r>
            <w:r>
              <w:rPr>
                <w:webHidden/>
              </w:rPr>
              <w:instrText xml:space="preserve"> PAGEREF _Toc235185608 \h </w:instrText>
            </w:r>
            <w:r>
              <w:rPr>
                <w:webHidden/>
              </w:rPr>
            </w:r>
            <w:r>
              <w:rPr>
                <w:webHidden/>
              </w:rPr>
              <w:fldChar w:fldCharType="separate"/>
            </w:r>
            <w:r>
              <w:rPr>
                <w:webHidden/>
              </w:rPr>
              <w:t>14</w:t>
            </w:r>
            <w:r>
              <w:rPr>
                <w:webHidden/>
              </w:rPr>
              <w:fldChar w:fldCharType="end"/>
            </w:r>
          </w:hyperlink>
        </w:p>
        <w:p w14:paraId="378CD0BA" w14:textId="2CC19707" w:rsidR="00F01B19" w:rsidRDefault="00F01B19">
          <w:pPr>
            <w:pStyle w:val="TOC3"/>
            <w:rPr>
              <w:rFonts w:asciiTheme="minorHAnsi" w:hAnsiTheme="minorHAnsi"/>
              <w:lang w:eastAsia="ja-JP"/>
            </w:rPr>
          </w:pPr>
          <w:hyperlink w:anchor="_Toc235185609" w:history="1">
            <w:r w:rsidRPr="00C66261">
              <w:rPr>
                <w:rStyle w:val="Hyperlink"/>
              </w:rPr>
              <w:t>5.1.1</w:t>
            </w:r>
            <w:r>
              <w:rPr>
                <w:rFonts w:asciiTheme="minorHAnsi" w:hAnsiTheme="minorHAnsi"/>
                <w:lang w:eastAsia="ja-JP"/>
              </w:rPr>
              <w:tab/>
            </w:r>
            <w:r w:rsidRPr="00C66261">
              <w:rPr>
                <w:rStyle w:val="Hyperlink"/>
              </w:rPr>
              <w:t>What can be claimed</w:t>
            </w:r>
            <w:r>
              <w:rPr>
                <w:webHidden/>
              </w:rPr>
              <w:tab/>
            </w:r>
            <w:r>
              <w:rPr>
                <w:webHidden/>
              </w:rPr>
              <w:fldChar w:fldCharType="begin"/>
            </w:r>
            <w:r>
              <w:rPr>
                <w:webHidden/>
              </w:rPr>
              <w:instrText xml:space="preserve"> PAGEREF _Toc235185609 \h </w:instrText>
            </w:r>
            <w:r>
              <w:rPr>
                <w:webHidden/>
              </w:rPr>
            </w:r>
            <w:r>
              <w:rPr>
                <w:webHidden/>
              </w:rPr>
              <w:fldChar w:fldCharType="separate"/>
            </w:r>
            <w:r>
              <w:rPr>
                <w:webHidden/>
              </w:rPr>
              <w:t>14</w:t>
            </w:r>
            <w:r>
              <w:rPr>
                <w:webHidden/>
              </w:rPr>
              <w:fldChar w:fldCharType="end"/>
            </w:r>
          </w:hyperlink>
        </w:p>
        <w:p w14:paraId="30303089" w14:textId="38F1BC56" w:rsidR="00F01B19" w:rsidRDefault="00F01B19">
          <w:pPr>
            <w:pStyle w:val="TOC2"/>
            <w:rPr>
              <w:rFonts w:asciiTheme="minorHAnsi" w:hAnsiTheme="minorHAnsi"/>
              <w:lang w:eastAsia="ja-JP"/>
            </w:rPr>
          </w:pPr>
          <w:hyperlink w:anchor="_Toc235185610" w:history="1">
            <w:r w:rsidRPr="00C66261">
              <w:rPr>
                <w:rStyle w:val="Hyperlink"/>
                <w:lang w:bidi="en-US"/>
              </w:rPr>
              <w:t>5.2</w:t>
            </w:r>
            <w:r>
              <w:rPr>
                <w:rFonts w:asciiTheme="minorHAnsi" w:hAnsiTheme="minorHAnsi"/>
                <w:lang w:eastAsia="ja-JP"/>
              </w:rPr>
              <w:tab/>
            </w:r>
            <w:r w:rsidRPr="00C66261">
              <w:rPr>
                <w:rStyle w:val="Hyperlink"/>
                <w:lang w:bidi="en-US"/>
              </w:rPr>
              <w:t>Process steps</w:t>
            </w:r>
            <w:r>
              <w:rPr>
                <w:webHidden/>
              </w:rPr>
              <w:tab/>
            </w:r>
            <w:r>
              <w:rPr>
                <w:webHidden/>
              </w:rPr>
              <w:fldChar w:fldCharType="begin"/>
            </w:r>
            <w:r>
              <w:rPr>
                <w:webHidden/>
              </w:rPr>
              <w:instrText xml:space="preserve"> PAGEREF _Toc235185610 \h </w:instrText>
            </w:r>
            <w:r>
              <w:rPr>
                <w:webHidden/>
              </w:rPr>
            </w:r>
            <w:r>
              <w:rPr>
                <w:webHidden/>
              </w:rPr>
              <w:fldChar w:fldCharType="separate"/>
            </w:r>
            <w:r>
              <w:rPr>
                <w:webHidden/>
              </w:rPr>
              <w:t>15</w:t>
            </w:r>
            <w:r>
              <w:rPr>
                <w:webHidden/>
              </w:rPr>
              <w:fldChar w:fldCharType="end"/>
            </w:r>
          </w:hyperlink>
        </w:p>
        <w:p w14:paraId="43C2BDC1" w14:textId="337B458F" w:rsidR="00F01B19" w:rsidRDefault="00F01B19">
          <w:pPr>
            <w:pStyle w:val="TOC3"/>
            <w:rPr>
              <w:rFonts w:asciiTheme="minorHAnsi" w:hAnsiTheme="minorHAnsi"/>
              <w:lang w:eastAsia="ja-JP"/>
            </w:rPr>
          </w:pPr>
          <w:hyperlink w:anchor="_Toc235185611" w:history="1">
            <w:r w:rsidRPr="00C66261">
              <w:rPr>
                <w:rStyle w:val="Hyperlink"/>
              </w:rPr>
              <w:t>5.2.1</w:t>
            </w:r>
            <w:r>
              <w:rPr>
                <w:rFonts w:asciiTheme="minorHAnsi" w:hAnsiTheme="minorHAnsi"/>
                <w:lang w:eastAsia="ja-JP"/>
              </w:rPr>
              <w:tab/>
            </w:r>
            <w:r w:rsidRPr="00C66261">
              <w:rPr>
                <w:rStyle w:val="Hyperlink"/>
              </w:rPr>
              <w:t>Complete the application form</w:t>
            </w:r>
            <w:r>
              <w:rPr>
                <w:webHidden/>
              </w:rPr>
              <w:tab/>
            </w:r>
            <w:r>
              <w:rPr>
                <w:webHidden/>
              </w:rPr>
              <w:fldChar w:fldCharType="begin"/>
            </w:r>
            <w:r>
              <w:rPr>
                <w:webHidden/>
              </w:rPr>
              <w:instrText xml:space="preserve"> PAGEREF _Toc235185611 \h </w:instrText>
            </w:r>
            <w:r>
              <w:rPr>
                <w:webHidden/>
              </w:rPr>
            </w:r>
            <w:r>
              <w:rPr>
                <w:webHidden/>
              </w:rPr>
              <w:fldChar w:fldCharType="separate"/>
            </w:r>
            <w:r>
              <w:rPr>
                <w:webHidden/>
              </w:rPr>
              <w:t>15</w:t>
            </w:r>
            <w:r>
              <w:rPr>
                <w:webHidden/>
              </w:rPr>
              <w:fldChar w:fldCharType="end"/>
            </w:r>
          </w:hyperlink>
        </w:p>
        <w:p w14:paraId="20F6619E" w14:textId="719BE053" w:rsidR="00F01B19" w:rsidRDefault="00F01B19">
          <w:pPr>
            <w:pStyle w:val="TOC3"/>
            <w:rPr>
              <w:rFonts w:asciiTheme="minorHAnsi" w:hAnsiTheme="minorHAnsi"/>
              <w:lang w:eastAsia="ja-JP"/>
            </w:rPr>
          </w:pPr>
          <w:hyperlink w:anchor="_Toc235185612" w:history="1">
            <w:r w:rsidRPr="00C66261">
              <w:rPr>
                <w:rStyle w:val="Hyperlink"/>
              </w:rPr>
              <w:t>5.2.2</w:t>
            </w:r>
            <w:r>
              <w:rPr>
                <w:rFonts w:asciiTheme="minorHAnsi" w:hAnsiTheme="minorHAnsi"/>
                <w:lang w:eastAsia="ja-JP"/>
              </w:rPr>
              <w:tab/>
            </w:r>
            <w:r w:rsidRPr="00C66261">
              <w:rPr>
                <w:rStyle w:val="Hyperlink"/>
              </w:rPr>
              <w:t>Claiming for out-of-pocket expenses</w:t>
            </w:r>
            <w:r>
              <w:rPr>
                <w:webHidden/>
              </w:rPr>
              <w:tab/>
            </w:r>
            <w:r>
              <w:rPr>
                <w:webHidden/>
              </w:rPr>
              <w:fldChar w:fldCharType="begin"/>
            </w:r>
            <w:r>
              <w:rPr>
                <w:webHidden/>
              </w:rPr>
              <w:instrText xml:space="preserve"> PAGEREF _Toc235185612 \h </w:instrText>
            </w:r>
            <w:r>
              <w:rPr>
                <w:webHidden/>
              </w:rPr>
            </w:r>
            <w:r>
              <w:rPr>
                <w:webHidden/>
              </w:rPr>
              <w:fldChar w:fldCharType="separate"/>
            </w:r>
            <w:r>
              <w:rPr>
                <w:webHidden/>
              </w:rPr>
              <w:t>15</w:t>
            </w:r>
            <w:r>
              <w:rPr>
                <w:webHidden/>
              </w:rPr>
              <w:fldChar w:fldCharType="end"/>
            </w:r>
          </w:hyperlink>
        </w:p>
        <w:p w14:paraId="270BAF56" w14:textId="213F6A4B" w:rsidR="00F01B19" w:rsidRDefault="00F01B19">
          <w:pPr>
            <w:pStyle w:val="TOC1"/>
            <w:rPr>
              <w:rFonts w:asciiTheme="minorHAnsi" w:hAnsiTheme="minorHAnsi"/>
              <w:bCs w:val="0"/>
              <w:lang w:val="en-AU" w:eastAsia="ja-JP"/>
            </w:rPr>
          </w:pPr>
          <w:hyperlink w:anchor="_Toc235185613" w:history="1">
            <w:r w:rsidRPr="00C66261">
              <w:rPr>
                <w:rStyle w:val="Hyperlink"/>
                <w:lang w:bidi="en-US"/>
              </w:rPr>
              <w:t>6</w:t>
            </w:r>
            <w:r>
              <w:rPr>
                <w:rFonts w:asciiTheme="minorHAnsi" w:hAnsiTheme="minorHAnsi"/>
                <w:bCs w:val="0"/>
                <w:lang w:val="en-AU" w:eastAsia="ja-JP"/>
              </w:rPr>
              <w:tab/>
            </w:r>
            <w:r w:rsidRPr="00C66261">
              <w:rPr>
                <w:rStyle w:val="Hyperlink"/>
                <w:lang w:bidi="en-US"/>
              </w:rPr>
              <w:t>Out-of-pocket expenses reimbursement – International donors</w:t>
            </w:r>
            <w:r>
              <w:rPr>
                <w:webHidden/>
              </w:rPr>
              <w:tab/>
            </w:r>
            <w:r>
              <w:rPr>
                <w:webHidden/>
              </w:rPr>
              <w:fldChar w:fldCharType="begin"/>
            </w:r>
            <w:r>
              <w:rPr>
                <w:webHidden/>
              </w:rPr>
              <w:instrText xml:space="preserve"> PAGEREF _Toc235185613 \h </w:instrText>
            </w:r>
            <w:r>
              <w:rPr>
                <w:webHidden/>
              </w:rPr>
            </w:r>
            <w:r>
              <w:rPr>
                <w:webHidden/>
              </w:rPr>
              <w:fldChar w:fldCharType="separate"/>
            </w:r>
            <w:r>
              <w:rPr>
                <w:webHidden/>
              </w:rPr>
              <w:t>16</w:t>
            </w:r>
            <w:r>
              <w:rPr>
                <w:webHidden/>
              </w:rPr>
              <w:fldChar w:fldCharType="end"/>
            </w:r>
          </w:hyperlink>
        </w:p>
        <w:p w14:paraId="06522DEB" w14:textId="0604ECAA" w:rsidR="00F01B19" w:rsidRDefault="00F01B19">
          <w:pPr>
            <w:pStyle w:val="TOC2"/>
            <w:rPr>
              <w:rFonts w:asciiTheme="minorHAnsi" w:hAnsiTheme="minorHAnsi"/>
              <w:lang w:eastAsia="ja-JP"/>
            </w:rPr>
          </w:pPr>
          <w:hyperlink w:anchor="_Toc235185614" w:history="1">
            <w:r w:rsidRPr="00C66261">
              <w:rPr>
                <w:rStyle w:val="Hyperlink"/>
                <w:lang w:bidi="en-US"/>
              </w:rPr>
              <w:t>6.1</w:t>
            </w:r>
            <w:r>
              <w:rPr>
                <w:rFonts w:asciiTheme="minorHAnsi" w:hAnsiTheme="minorHAnsi"/>
                <w:lang w:eastAsia="ja-JP"/>
              </w:rPr>
              <w:tab/>
            </w:r>
            <w:r w:rsidRPr="00C66261">
              <w:rPr>
                <w:rStyle w:val="Hyperlink"/>
                <w:lang w:bidi="en-US"/>
              </w:rPr>
              <w:t>Process overview</w:t>
            </w:r>
            <w:r>
              <w:rPr>
                <w:webHidden/>
              </w:rPr>
              <w:tab/>
            </w:r>
            <w:r>
              <w:rPr>
                <w:webHidden/>
              </w:rPr>
              <w:fldChar w:fldCharType="begin"/>
            </w:r>
            <w:r>
              <w:rPr>
                <w:webHidden/>
              </w:rPr>
              <w:instrText xml:space="preserve"> PAGEREF _Toc235185614 \h </w:instrText>
            </w:r>
            <w:r>
              <w:rPr>
                <w:webHidden/>
              </w:rPr>
            </w:r>
            <w:r>
              <w:rPr>
                <w:webHidden/>
              </w:rPr>
              <w:fldChar w:fldCharType="separate"/>
            </w:r>
            <w:r>
              <w:rPr>
                <w:webHidden/>
              </w:rPr>
              <w:t>16</w:t>
            </w:r>
            <w:r>
              <w:rPr>
                <w:webHidden/>
              </w:rPr>
              <w:fldChar w:fldCharType="end"/>
            </w:r>
          </w:hyperlink>
        </w:p>
        <w:p w14:paraId="19B84247" w14:textId="10517047" w:rsidR="00F01B19" w:rsidRDefault="00F01B19">
          <w:pPr>
            <w:pStyle w:val="TOC3"/>
            <w:rPr>
              <w:rFonts w:asciiTheme="minorHAnsi" w:hAnsiTheme="minorHAnsi"/>
              <w:lang w:eastAsia="ja-JP"/>
            </w:rPr>
          </w:pPr>
          <w:hyperlink w:anchor="_Toc235185615" w:history="1">
            <w:r w:rsidRPr="00C66261">
              <w:rPr>
                <w:rStyle w:val="Hyperlink"/>
              </w:rPr>
              <w:t>6.1.1</w:t>
            </w:r>
            <w:r>
              <w:rPr>
                <w:rFonts w:asciiTheme="minorHAnsi" w:hAnsiTheme="minorHAnsi"/>
                <w:lang w:eastAsia="ja-JP"/>
              </w:rPr>
              <w:tab/>
            </w:r>
            <w:r w:rsidRPr="00C66261">
              <w:rPr>
                <w:rStyle w:val="Hyperlink"/>
              </w:rPr>
              <w:t>What can be claimed</w:t>
            </w:r>
            <w:r>
              <w:rPr>
                <w:webHidden/>
              </w:rPr>
              <w:tab/>
            </w:r>
            <w:r>
              <w:rPr>
                <w:webHidden/>
              </w:rPr>
              <w:fldChar w:fldCharType="begin"/>
            </w:r>
            <w:r>
              <w:rPr>
                <w:webHidden/>
              </w:rPr>
              <w:instrText xml:space="preserve"> PAGEREF _Toc235185615 \h </w:instrText>
            </w:r>
            <w:r>
              <w:rPr>
                <w:webHidden/>
              </w:rPr>
            </w:r>
            <w:r>
              <w:rPr>
                <w:webHidden/>
              </w:rPr>
              <w:fldChar w:fldCharType="separate"/>
            </w:r>
            <w:r>
              <w:rPr>
                <w:webHidden/>
              </w:rPr>
              <w:t>16</w:t>
            </w:r>
            <w:r>
              <w:rPr>
                <w:webHidden/>
              </w:rPr>
              <w:fldChar w:fldCharType="end"/>
            </w:r>
          </w:hyperlink>
        </w:p>
        <w:p w14:paraId="4CD35038" w14:textId="69984E2D" w:rsidR="00F01B19" w:rsidRDefault="00F01B19">
          <w:pPr>
            <w:pStyle w:val="TOC2"/>
            <w:rPr>
              <w:rFonts w:asciiTheme="minorHAnsi" w:hAnsiTheme="minorHAnsi"/>
              <w:lang w:eastAsia="ja-JP"/>
            </w:rPr>
          </w:pPr>
          <w:hyperlink w:anchor="_Toc235185616" w:history="1">
            <w:r w:rsidRPr="00C66261">
              <w:rPr>
                <w:rStyle w:val="Hyperlink"/>
                <w:lang w:bidi="en-US"/>
              </w:rPr>
              <w:t>6.2</w:t>
            </w:r>
            <w:r>
              <w:rPr>
                <w:rFonts w:asciiTheme="minorHAnsi" w:hAnsiTheme="minorHAnsi"/>
                <w:lang w:eastAsia="ja-JP"/>
              </w:rPr>
              <w:tab/>
            </w:r>
            <w:r w:rsidRPr="00C66261">
              <w:rPr>
                <w:rStyle w:val="Hyperlink"/>
                <w:lang w:bidi="en-US"/>
              </w:rPr>
              <w:t>Process steps</w:t>
            </w:r>
            <w:r>
              <w:rPr>
                <w:webHidden/>
              </w:rPr>
              <w:tab/>
            </w:r>
            <w:r>
              <w:rPr>
                <w:webHidden/>
              </w:rPr>
              <w:fldChar w:fldCharType="begin"/>
            </w:r>
            <w:r>
              <w:rPr>
                <w:webHidden/>
              </w:rPr>
              <w:instrText xml:space="preserve"> PAGEREF _Toc235185616 \h </w:instrText>
            </w:r>
            <w:r>
              <w:rPr>
                <w:webHidden/>
              </w:rPr>
            </w:r>
            <w:r>
              <w:rPr>
                <w:webHidden/>
              </w:rPr>
              <w:fldChar w:fldCharType="separate"/>
            </w:r>
            <w:r>
              <w:rPr>
                <w:webHidden/>
              </w:rPr>
              <w:t>18</w:t>
            </w:r>
            <w:r>
              <w:rPr>
                <w:webHidden/>
              </w:rPr>
              <w:fldChar w:fldCharType="end"/>
            </w:r>
          </w:hyperlink>
        </w:p>
        <w:p w14:paraId="61B9578C" w14:textId="680CC0AA" w:rsidR="00F01B19" w:rsidRDefault="00F01B19">
          <w:pPr>
            <w:pStyle w:val="TOC3"/>
            <w:rPr>
              <w:rFonts w:asciiTheme="minorHAnsi" w:hAnsiTheme="minorHAnsi"/>
              <w:lang w:eastAsia="ja-JP"/>
            </w:rPr>
          </w:pPr>
          <w:hyperlink w:anchor="_Toc235185617" w:history="1">
            <w:r w:rsidRPr="00C66261">
              <w:rPr>
                <w:rStyle w:val="Hyperlink"/>
              </w:rPr>
              <w:t>6.2.1</w:t>
            </w:r>
            <w:r>
              <w:rPr>
                <w:rFonts w:asciiTheme="minorHAnsi" w:hAnsiTheme="minorHAnsi"/>
                <w:lang w:eastAsia="ja-JP"/>
              </w:rPr>
              <w:tab/>
            </w:r>
            <w:r w:rsidRPr="00C66261">
              <w:rPr>
                <w:rStyle w:val="Hyperlink"/>
              </w:rPr>
              <w:t>Complete the application form</w:t>
            </w:r>
            <w:r>
              <w:rPr>
                <w:webHidden/>
              </w:rPr>
              <w:tab/>
            </w:r>
            <w:r>
              <w:rPr>
                <w:webHidden/>
              </w:rPr>
              <w:fldChar w:fldCharType="begin"/>
            </w:r>
            <w:r>
              <w:rPr>
                <w:webHidden/>
              </w:rPr>
              <w:instrText xml:space="preserve"> PAGEREF _Toc235185617 \h </w:instrText>
            </w:r>
            <w:r>
              <w:rPr>
                <w:webHidden/>
              </w:rPr>
            </w:r>
            <w:r>
              <w:rPr>
                <w:webHidden/>
              </w:rPr>
              <w:fldChar w:fldCharType="separate"/>
            </w:r>
            <w:r>
              <w:rPr>
                <w:webHidden/>
              </w:rPr>
              <w:t>18</w:t>
            </w:r>
            <w:r>
              <w:rPr>
                <w:webHidden/>
              </w:rPr>
              <w:fldChar w:fldCharType="end"/>
            </w:r>
          </w:hyperlink>
        </w:p>
        <w:p w14:paraId="1E608295" w14:textId="081598DD" w:rsidR="00F01B19" w:rsidRDefault="00F01B19">
          <w:pPr>
            <w:pStyle w:val="TOC3"/>
            <w:rPr>
              <w:rFonts w:asciiTheme="minorHAnsi" w:hAnsiTheme="minorHAnsi"/>
              <w:lang w:eastAsia="ja-JP"/>
            </w:rPr>
          </w:pPr>
          <w:hyperlink w:anchor="_Toc235185618" w:history="1">
            <w:r w:rsidRPr="00C66261">
              <w:rPr>
                <w:rStyle w:val="Hyperlink"/>
              </w:rPr>
              <w:t>6.2.2</w:t>
            </w:r>
            <w:r>
              <w:rPr>
                <w:rFonts w:asciiTheme="minorHAnsi" w:hAnsiTheme="minorHAnsi"/>
                <w:lang w:eastAsia="ja-JP"/>
              </w:rPr>
              <w:tab/>
            </w:r>
            <w:r w:rsidRPr="00C66261">
              <w:rPr>
                <w:rStyle w:val="Hyperlink"/>
              </w:rPr>
              <w:t>Claiming for out-of-pocket expenses</w:t>
            </w:r>
            <w:r>
              <w:rPr>
                <w:webHidden/>
              </w:rPr>
              <w:tab/>
            </w:r>
            <w:r>
              <w:rPr>
                <w:webHidden/>
              </w:rPr>
              <w:fldChar w:fldCharType="begin"/>
            </w:r>
            <w:r>
              <w:rPr>
                <w:webHidden/>
              </w:rPr>
              <w:instrText xml:space="preserve"> PAGEREF _Toc235185618 \h </w:instrText>
            </w:r>
            <w:r>
              <w:rPr>
                <w:webHidden/>
              </w:rPr>
            </w:r>
            <w:r>
              <w:rPr>
                <w:webHidden/>
              </w:rPr>
              <w:fldChar w:fldCharType="separate"/>
            </w:r>
            <w:r>
              <w:rPr>
                <w:webHidden/>
              </w:rPr>
              <w:t>18</w:t>
            </w:r>
            <w:r>
              <w:rPr>
                <w:webHidden/>
              </w:rPr>
              <w:fldChar w:fldCharType="end"/>
            </w:r>
          </w:hyperlink>
        </w:p>
        <w:p w14:paraId="777E571B" w14:textId="7BA21CC2" w:rsidR="00F01B19" w:rsidRDefault="00F01B19">
          <w:pPr>
            <w:pStyle w:val="TOC1"/>
            <w:rPr>
              <w:rFonts w:asciiTheme="minorHAnsi" w:hAnsiTheme="minorHAnsi"/>
              <w:bCs w:val="0"/>
              <w:lang w:val="en-AU" w:eastAsia="ja-JP"/>
            </w:rPr>
          </w:pPr>
          <w:hyperlink w:anchor="_Toc235185619" w:history="1">
            <w:r w:rsidRPr="00C66261">
              <w:rPr>
                <w:rStyle w:val="Hyperlink"/>
                <w:lang w:bidi="en-US"/>
              </w:rPr>
              <w:t>7</w:t>
            </w:r>
            <w:r>
              <w:rPr>
                <w:rFonts w:asciiTheme="minorHAnsi" w:hAnsiTheme="minorHAnsi"/>
                <w:bCs w:val="0"/>
                <w:lang w:val="en-AU" w:eastAsia="ja-JP"/>
              </w:rPr>
              <w:tab/>
            </w:r>
            <w:r w:rsidRPr="00C66261">
              <w:rPr>
                <w:rStyle w:val="Hyperlink"/>
                <w:lang w:bidi="en-US"/>
              </w:rPr>
              <w:t>Requesting a review of application assessment</w:t>
            </w:r>
            <w:r>
              <w:rPr>
                <w:webHidden/>
              </w:rPr>
              <w:tab/>
            </w:r>
            <w:r>
              <w:rPr>
                <w:webHidden/>
              </w:rPr>
              <w:fldChar w:fldCharType="begin"/>
            </w:r>
            <w:r>
              <w:rPr>
                <w:webHidden/>
              </w:rPr>
              <w:instrText xml:space="preserve"> PAGEREF _Toc235185619 \h </w:instrText>
            </w:r>
            <w:r>
              <w:rPr>
                <w:webHidden/>
              </w:rPr>
            </w:r>
            <w:r>
              <w:rPr>
                <w:webHidden/>
              </w:rPr>
              <w:fldChar w:fldCharType="separate"/>
            </w:r>
            <w:r>
              <w:rPr>
                <w:webHidden/>
              </w:rPr>
              <w:t>19</w:t>
            </w:r>
            <w:r>
              <w:rPr>
                <w:webHidden/>
              </w:rPr>
              <w:fldChar w:fldCharType="end"/>
            </w:r>
          </w:hyperlink>
        </w:p>
        <w:p w14:paraId="44E0A3DD" w14:textId="59AE31F5" w:rsidR="00F01B19" w:rsidRDefault="00F01B19">
          <w:pPr>
            <w:pStyle w:val="TOC1"/>
            <w:rPr>
              <w:rFonts w:asciiTheme="minorHAnsi" w:hAnsiTheme="minorHAnsi"/>
              <w:bCs w:val="0"/>
              <w:lang w:val="en-AU" w:eastAsia="ja-JP"/>
            </w:rPr>
          </w:pPr>
          <w:hyperlink w:anchor="_Toc235185620" w:history="1">
            <w:r w:rsidRPr="00C66261">
              <w:rPr>
                <w:rStyle w:val="Hyperlink"/>
                <w:lang w:bidi="en-US"/>
              </w:rPr>
              <w:t>8</w:t>
            </w:r>
            <w:r>
              <w:rPr>
                <w:rFonts w:asciiTheme="minorHAnsi" w:hAnsiTheme="minorHAnsi"/>
                <w:bCs w:val="0"/>
                <w:lang w:val="en-AU" w:eastAsia="ja-JP"/>
              </w:rPr>
              <w:tab/>
            </w:r>
            <w:r w:rsidRPr="00C66261">
              <w:rPr>
                <w:rStyle w:val="Hyperlink"/>
                <w:lang w:bidi="en-US"/>
              </w:rPr>
              <w:t>Definitions</w:t>
            </w:r>
            <w:r>
              <w:rPr>
                <w:webHidden/>
              </w:rPr>
              <w:tab/>
            </w:r>
            <w:r>
              <w:rPr>
                <w:webHidden/>
              </w:rPr>
              <w:fldChar w:fldCharType="begin"/>
            </w:r>
            <w:r>
              <w:rPr>
                <w:webHidden/>
              </w:rPr>
              <w:instrText xml:space="preserve"> PAGEREF _Toc235185620 \h </w:instrText>
            </w:r>
            <w:r>
              <w:rPr>
                <w:webHidden/>
              </w:rPr>
            </w:r>
            <w:r>
              <w:rPr>
                <w:webHidden/>
              </w:rPr>
              <w:fldChar w:fldCharType="separate"/>
            </w:r>
            <w:r>
              <w:rPr>
                <w:webHidden/>
              </w:rPr>
              <w:t>20</w:t>
            </w:r>
            <w:r>
              <w:rPr>
                <w:webHidden/>
              </w:rPr>
              <w:fldChar w:fldCharType="end"/>
            </w:r>
          </w:hyperlink>
        </w:p>
        <w:p w14:paraId="78FB3544" w14:textId="6E70EBBF" w:rsidR="00F01B19" w:rsidRDefault="00F01B19">
          <w:pPr>
            <w:pStyle w:val="TOC2"/>
            <w:rPr>
              <w:rFonts w:asciiTheme="minorHAnsi" w:hAnsiTheme="minorHAnsi"/>
              <w:lang w:eastAsia="ja-JP"/>
            </w:rPr>
          </w:pPr>
          <w:hyperlink w:anchor="_Toc235185621" w:history="1">
            <w:r w:rsidRPr="00C66261">
              <w:rPr>
                <w:rStyle w:val="Hyperlink"/>
                <w:lang w:bidi="en-US"/>
              </w:rPr>
              <w:t>8.1</w:t>
            </w:r>
            <w:r>
              <w:rPr>
                <w:rFonts w:asciiTheme="minorHAnsi" w:hAnsiTheme="minorHAnsi"/>
                <w:lang w:eastAsia="ja-JP"/>
              </w:rPr>
              <w:tab/>
            </w:r>
            <w:r w:rsidRPr="00C66261">
              <w:rPr>
                <w:rStyle w:val="Hyperlink"/>
                <w:lang w:bidi="en-US"/>
              </w:rPr>
              <w:t>Definitions</w:t>
            </w:r>
            <w:r>
              <w:rPr>
                <w:webHidden/>
              </w:rPr>
              <w:tab/>
            </w:r>
            <w:r>
              <w:rPr>
                <w:webHidden/>
              </w:rPr>
              <w:fldChar w:fldCharType="begin"/>
            </w:r>
            <w:r>
              <w:rPr>
                <w:webHidden/>
              </w:rPr>
              <w:instrText xml:space="preserve"> PAGEREF _Toc235185621 \h </w:instrText>
            </w:r>
            <w:r>
              <w:rPr>
                <w:webHidden/>
              </w:rPr>
            </w:r>
            <w:r>
              <w:rPr>
                <w:webHidden/>
              </w:rPr>
              <w:fldChar w:fldCharType="separate"/>
            </w:r>
            <w:r>
              <w:rPr>
                <w:webHidden/>
              </w:rPr>
              <w:t>20</w:t>
            </w:r>
            <w:r>
              <w:rPr>
                <w:webHidden/>
              </w:rPr>
              <w:fldChar w:fldCharType="end"/>
            </w:r>
          </w:hyperlink>
        </w:p>
        <w:p w14:paraId="5B310B05" w14:textId="583765B1" w:rsidR="00F01B19" w:rsidRPr="00F01B19" w:rsidRDefault="00F01B19" w:rsidP="00F01B19">
          <w:pPr>
            <w:pStyle w:val="TOC1"/>
          </w:pPr>
          <w:r w:rsidRPr="00F01B19">
            <w:fldChar w:fldCharType="end"/>
          </w:r>
        </w:p>
      </w:sdtContent>
    </w:sdt>
    <w:p w14:paraId="75BE2AE6" w14:textId="50B41A87" w:rsidR="00F01B19" w:rsidRPr="00F01B19" w:rsidRDefault="00F01B19" w:rsidP="00F01B19">
      <w:pPr>
        <w:rPr>
          <w:lang w:val="en-GB" w:bidi="ar-SA"/>
        </w:rPr>
      </w:pPr>
      <w:r w:rsidRPr="00F01B19">
        <w:rPr>
          <w:lang w:val="en-GB" w:bidi="ar-SA"/>
        </w:rPr>
        <w:br w:type="page"/>
      </w:r>
    </w:p>
    <w:p w14:paraId="1AD42090" w14:textId="1051269E" w:rsidR="00E83D5E" w:rsidRPr="00E83D5E" w:rsidRDefault="00E83D5E" w:rsidP="007C3A56">
      <w:pPr>
        <w:pStyle w:val="Heading1"/>
      </w:pPr>
      <w:bookmarkStart w:id="0" w:name="_Toc235185581"/>
      <w:r w:rsidRPr="00E83D5E">
        <w:t>Supporting Living Organ Donors Program overview</w:t>
      </w:r>
      <w:bookmarkEnd w:id="0"/>
    </w:p>
    <w:p w14:paraId="56F1FB7E" w14:textId="6400CF8F" w:rsidR="00E83D5E" w:rsidRPr="00E83D5E" w:rsidRDefault="00E83D5E" w:rsidP="007C3A56">
      <w:pPr>
        <w:pStyle w:val="Heading2"/>
      </w:pPr>
      <w:bookmarkStart w:id="1" w:name="_Toc235185582"/>
      <w:r w:rsidRPr="00E83D5E">
        <w:t>The purpose of the Program</w:t>
      </w:r>
      <w:bookmarkEnd w:id="1"/>
    </w:p>
    <w:p w14:paraId="1C4A000B" w14:textId="21C50313" w:rsidR="00E83D5E" w:rsidRPr="007C3A56" w:rsidRDefault="00E83D5E" w:rsidP="007C3A56">
      <w:pPr>
        <w:rPr>
          <w:lang w:val="en-GB" w:bidi="ar-SA"/>
        </w:rPr>
      </w:pPr>
      <w:r w:rsidRPr="007C3A56">
        <w:rPr>
          <w:lang w:val="en-GB" w:bidi="ar-SA"/>
        </w:rPr>
        <w:t xml:space="preserve">Living organ donation is </w:t>
      </w:r>
      <w:r w:rsidR="0096045B" w:rsidRPr="007C3A56">
        <w:rPr>
          <w:lang w:val="en-GB" w:bidi="ar-SA"/>
        </w:rPr>
        <w:t xml:space="preserve">a </w:t>
      </w:r>
      <w:r w:rsidRPr="007C3A56">
        <w:rPr>
          <w:lang w:val="en-GB" w:bidi="ar-SA"/>
        </w:rPr>
        <w:t xml:space="preserve">major surgery and carries risk for the donor. </w:t>
      </w:r>
      <w:r w:rsidR="00F47A4C" w:rsidRPr="007C3A56">
        <w:rPr>
          <w:lang w:val="en-GB" w:bidi="ar-SA"/>
        </w:rPr>
        <w:t xml:space="preserve">Potential </w:t>
      </w:r>
      <w:r w:rsidRPr="007C3A56">
        <w:rPr>
          <w:lang w:val="en-GB" w:bidi="ar-SA"/>
        </w:rPr>
        <w:t xml:space="preserve">donors undergo extensive work-up testing to ensure they are physically and mentally able to </w:t>
      </w:r>
      <w:proofErr w:type="gramStart"/>
      <w:r w:rsidRPr="007C3A56">
        <w:rPr>
          <w:lang w:val="en-GB" w:bidi="ar-SA"/>
        </w:rPr>
        <w:t>donate</w:t>
      </w:r>
      <w:r w:rsidR="00227B59" w:rsidRPr="007C3A56">
        <w:rPr>
          <w:lang w:val="en-GB" w:bidi="ar-SA"/>
        </w:rPr>
        <w:t>, and</w:t>
      </w:r>
      <w:proofErr w:type="gramEnd"/>
      <w:r w:rsidR="00227B59" w:rsidRPr="007C3A56">
        <w:rPr>
          <w:lang w:val="en-GB" w:bidi="ar-SA"/>
        </w:rPr>
        <w:t xml:space="preserve"> may be required to travel for medical appointments</w:t>
      </w:r>
      <w:r w:rsidR="00AC2BD4" w:rsidRPr="007C3A56">
        <w:rPr>
          <w:lang w:val="en-GB" w:bidi="ar-SA"/>
        </w:rPr>
        <w:t>.</w:t>
      </w:r>
      <w:r w:rsidR="00277ED8" w:rsidRPr="007C3A56">
        <w:rPr>
          <w:lang w:val="en-GB" w:bidi="ar-SA"/>
        </w:rPr>
        <w:t xml:space="preserve"> </w:t>
      </w:r>
      <w:r w:rsidRPr="007C3A56">
        <w:rPr>
          <w:lang w:val="en-GB" w:bidi="ar-SA"/>
        </w:rPr>
        <w:t xml:space="preserve">If donation surgery proceeds, </w:t>
      </w:r>
      <w:r w:rsidR="00DA1175" w:rsidRPr="007C3A56">
        <w:rPr>
          <w:lang w:val="en-GB" w:bidi="ar-SA"/>
        </w:rPr>
        <w:t xml:space="preserve">living organ </w:t>
      </w:r>
      <w:r w:rsidRPr="007C3A56">
        <w:rPr>
          <w:lang w:val="en-GB" w:bidi="ar-SA"/>
        </w:rPr>
        <w:t xml:space="preserve">donors </w:t>
      </w:r>
      <w:r w:rsidR="008D45EB" w:rsidRPr="007C3A56">
        <w:rPr>
          <w:lang w:val="en-GB" w:bidi="ar-SA"/>
        </w:rPr>
        <w:t xml:space="preserve">(donors) </w:t>
      </w:r>
      <w:r w:rsidRPr="007C3A56">
        <w:rPr>
          <w:lang w:val="en-GB" w:bidi="ar-SA"/>
        </w:rPr>
        <w:t xml:space="preserve">may require a significant amount of time off work to recover. </w:t>
      </w:r>
    </w:p>
    <w:p w14:paraId="5DF075B8" w14:textId="2878B680" w:rsidR="00E83D5E" w:rsidRPr="007C3A56" w:rsidRDefault="00E83D5E" w:rsidP="007C3A56">
      <w:pPr>
        <w:rPr>
          <w:lang w:val="en-GB" w:bidi="ar-SA"/>
        </w:rPr>
      </w:pPr>
      <w:r w:rsidRPr="007C3A56">
        <w:rPr>
          <w:lang w:val="en-GB" w:bidi="ar-SA"/>
        </w:rPr>
        <w:t>The Supporting Living Organ Donors Program (</w:t>
      </w:r>
      <w:r w:rsidR="0096045B" w:rsidRPr="007C3A56">
        <w:rPr>
          <w:lang w:val="en-GB" w:bidi="ar-SA"/>
        </w:rPr>
        <w:t xml:space="preserve">the </w:t>
      </w:r>
      <w:r w:rsidRPr="007C3A56">
        <w:rPr>
          <w:lang w:val="en-GB" w:bidi="ar-SA"/>
        </w:rPr>
        <w:t>Program) aims to ensure that taking time off work and travel and accommodation expenses are not a barrier for individuals considering donation.</w:t>
      </w:r>
    </w:p>
    <w:p w14:paraId="6CE0F7DF" w14:textId="77777777" w:rsidR="00E83D5E" w:rsidRPr="007C3A56" w:rsidRDefault="00E83D5E" w:rsidP="007C3A56">
      <w:pPr>
        <w:rPr>
          <w:lang w:val="en-GB" w:bidi="ar-SA"/>
        </w:rPr>
      </w:pPr>
      <w:r w:rsidRPr="007C3A56">
        <w:rPr>
          <w:lang w:val="en-GB" w:bidi="ar-SA"/>
        </w:rPr>
        <w:t>The Program is not an incentive to donate. It is designed to help support those individuals who wish to donate but cannot afford to due to loss of income and the financial stress it would cause for them and their family.</w:t>
      </w:r>
    </w:p>
    <w:p w14:paraId="0D9212A9" w14:textId="63EFC999" w:rsidR="00E83D5E" w:rsidRPr="007C3A56" w:rsidRDefault="00E83D5E" w:rsidP="007C3A56">
      <w:pPr>
        <w:pStyle w:val="Heading2"/>
      </w:pPr>
      <w:bookmarkStart w:id="2" w:name="_Toc235185583"/>
      <w:r w:rsidRPr="007C3A56">
        <w:t>About the Program</w:t>
      </w:r>
      <w:bookmarkEnd w:id="2"/>
    </w:p>
    <w:p w14:paraId="37E29F8F" w14:textId="30EAA746" w:rsidR="00E83D5E" w:rsidRPr="007C3A56" w:rsidRDefault="00E83D5E" w:rsidP="007C3A56">
      <w:pPr>
        <w:rPr>
          <w:lang w:val="en-GB" w:bidi="ar-SA"/>
        </w:rPr>
      </w:pPr>
      <w:r w:rsidRPr="007C3A56">
        <w:rPr>
          <w:lang w:val="en-GB" w:bidi="ar-SA"/>
        </w:rPr>
        <w:t>The Program supports donors</w:t>
      </w:r>
      <w:r w:rsidR="00B35554" w:rsidRPr="007C3A56">
        <w:rPr>
          <w:lang w:val="en-GB" w:bidi="ar-SA"/>
        </w:rPr>
        <w:t xml:space="preserve"> and potential donors</w:t>
      </w:r>
      <w:r w:rsidRPr="007C3A56">
        <w:rPr>
          <w:lang w:val="en-GB" w:bidi="ar-SA"/>
        </w:rPr>
        <w:t xml:space="preserve"> by reimbursing some of their:</w:t>
      </w:r>
    </w:p>
    <w:p w14:paraId="0C0FF357" w14:textId="2899E1CD" w:rsidR="00E83D5E" w:rsidRPr="006A5495" w:rsidRDefault="00E83D5E" w:rsidP="00607ED1">
      <w:pPr>
        <w:pStyle w:val="ListBullet"/>
        <w:rPr>
          <w:lang w:val="en-GB" w:bidi="ar-SA"/>
        </w:rPr>
      </w:pPr>
      <w:r w:rsidRPr="006A5495">
        <w:rPr>
          <w:lang w:val="en-GB" w:bidi="ar-SA"/>
        </w:rPr>
        <w:t>paid leave for donation, for full-time, part-time and casual employment (See part 2), or</w:t>
      </w:r>
    </w:p>
    <w:p w14:paraId="5AF70188" w14:textId="75494442" w:rsidR="00E83D5E" w:rsidRPr="006A5495" w:rsidRDefault="00E83D5E" w:rsidP="00607ED1">
      <w:pPr>
        <w:pStyle w:val="ListBullet"/>
        <w:rPr>
          <w:lang w:val="en-GB" w:bidi="ar-SA"/>
        </w:rPr>
      </w:pPr>
      <w:r w:rsidRPr="006A5495">
        <w:rPr>
          <w:lang w:val="en-GB" w:bidi="ar-SA"/>
        </w:rPr>
        <w:t>income lost for donation, for self-employed donors (see part 3), and/or</w:t>
      </w:r>
    </w:p>
    <w:p w14:paraId="5102AFB2" w14:textId="31628196" w:rsidR="00E83D5E" w:rsidRPr="006A5495" w:rsidRDefault="00E83D5E" w:rsidP="00607ED1">
      <w:pPr>
        <w:pStyle w:val="ListBullet"/>
        <w:rPr>
          <w:lang w:val="en-GB" w:bidi="ar-SA"/>
        </w:rPr>
      </w:pPr>
      <w:r w:rsidRPr="006A5495">
        <w:rPr>
          <w:lang w:val="en-GB" w:bidi="ar-SA"/>
        </w:rPr>
        <w:t xml:space="preserve">out-of-pocket travel and accommodation expenses for donors. This may be a </w:t>
      </w:r>
      <w:proofErr w:type="gramStart"/>
      <w:r w:rsidRPr="006A5495">
        <w:rPr>
          <w:lang w:val="en-GB" w:bidi="ar-SA"/>
        </w:rPr>
        <w:t>lump-sum</w:t>
      </w:r>
      <w:proofErr w:type="gramEnd"/>
      <w:r w:rsidRPr="006A5495">
        <w:rPr>
          <w:lang w:val="en-GB" w:bidi="ar-SA"/>
        </w:rPr>
        <w:t xml:space="preserve"> $500 payment for </w:t>
      </w:r>
      <w:r w:rsidR="006A5495">
        <w:rPr>
          <w:lang w:val="en-GB" w:bidi="ar-SA"/>
        </w:rPr>
        <w:br/>
      </w:r>
      <w:r w:rsidRPr="006A5495">
        <w:rPr>
          <w:lang w:val="en-GB" w:bidi="ar-SA"/>
        </w:rPr>
        <w:t xml:space="preserve">eligible Australian donors (see part 4) </w:t>
      </w:r>
      <w:r w:rsidRPr="00607ED1">
        <w:rPr>
          <w:rStyle w:val="Strong"/>
        </w:rPr>
        <w:t>or</w:t>
      </w:r>
      <w:r w:rsidRPr="006A5495">
        <w:rPr>
          <w:lang w:val="en-GB" w:bidi="ar-SA"/>
        </w:rPr>
        <w:t xml:space="preserve"> out-of-pocket expenses up to $4,000 (see part 5). </w:t>
      </w:r>
    </w:p>
    <w:p w14:paraId="6F1B3214" w14:textId="315AAAB7" w:rsidR="00E83D5E" w:rsidRPr="007C3A56" w:rsidRDefault="00E83D5E" w:rsidP="007C3A56">
      <w:pPr>
        <w:pStyle w:val="Heading2"/>
      </w:pPr>
      <w:bookmarkStart w:id="3" w:name="_Toc235185584"/>
      <w:r w:rsidRPr="007C3A56">
        <w:t>Eligibility</w:t>
      </w:r>
      <w:bookmarkEnd w:id="3"/>
    </w:p>
    <w:p w14:paraId="015D111F" w14:textId="77777777" w:rsidR="00E83D5E" w:rsidRPr="00133328" w:rsidRDefault="00E83D5E" w:rsidP="00607ED1">
      <w:pPr>
        <w:rPr>
          <w:lang w:val="en-GB" w:bidi="ar-SA"/>
        </w:rPr>
      </w:pPr>
      <w:r w:rsidRPr="00133328">
        <w:rPr>
          <w:lang w:val="en-GB" w:bidi="ar-SA"/>
        </w:rPr>
        <w:t xml:space="preserve">To be eligible for </w:t>
      </w:r>
      <w:r w:rsidRPr="00133328">
        <w:rPr>
          <w:rStyle w:val="Strong"/>
          <w:lang w:val="en-GB" w:bidi="ar-SA"/>
        </w:rPr>
        <w:t>leave</w:t>
      </w:r>
      <w:r w:rsidRPr="00133328">
        <w:rPr>
          <w:lang w:val="en-GB" w:bidi="ar-SA"/>
        </w:rPr>
        <w:t xml:space="preserve"> reimbursement, you must have donated a kidney or partial liver, or completed work-up testing and be:</w:t>
      </w:r>
    </w:p>
    <w:p w14:paraId="6A667C72" w14:textId="2DF584F3" w:rsidR="00E83D5E" w:rsidRPr="006A5495" w:rsidRDefault="00E83D5E" w:rsidP="00607ED1">
      <w:pPr>
        <w:pStyle w:val="ListBullet"/>
        <w:rPr>
          <w:lang w:val="en-GB" w:bidi="ar-SA"/>
        </w:rPr>
      </w:pPr>
      <w:r w:rsidRPr="006A5495">
        <w:rPr>
          <w:lang w:val="en-GB" w:bidi="ar-SA"/>
        </w:rPr>
        <w:t>donating in Australia*, and</w:t>
      </w:r>
    </w:p>
    <w:p w14:paraId="78C1055E" w14:textId="4F025ED6" w:rsidR="00E83D5E" w:rsidRPr="006A5495" w:rsidRDefault="00E83D5E" w:rsidP="00607ED1">
      <w:pPr>
        <w:pStyle w:val="ListBullet"/>
        <w:rPr>
          <w:lang w:val="en-GB" w:bidi="ar-SA"/>
        </w:rPr>
      </w:pPr>
      <w:r w:rsidRPr="006A5495">
        <w:rPr>
          <w:lang w:val="en-GB" w:bidi="ar-SA"/>
        </w:rPr>
        <w:t xml:space="preserve">an Australian resident (as defined by the </w:t>
      </w:r>
      <w:r w:rsidRPr="00607ED1">
        <w:rPr>
          <w:rStyle w:val="Emphasis"/>
        </w:rPr>
        <w:t>Health Insurance Act 1973</w:t>
      </w:r>
      <w:r w:rsidRPr="006A5495">
        <w:rPr>
          <w:lang w:val="en-GB" w:bidi="ar-SA"/>
        </w:rPr>
        <w:t>), and</w:t>
      </w:r>
    </w:p>
    <w:p w14:paraId="1FF7D84B" w14:textId="267C8619" w:rsidR="00E83D5E" w:rsidRPr="006A5495" w:rsidRDefault="00E83D5E" w:rsidP="00607ED1">
      <w:pPr>
        <w:pStyle w:val="ListBullet"/>
        <w:rPr>
          <w:lang w:val="en-GB" w:bidi="ar-SA"/>
        </w:rPr>
      </w:pPr>
      <w:r w:rsidRPr="006A5495">
        <w:rPr>
          <w:lang w:val="en-GB" w:bidi="ar-SA"/>
        </w:rPr>
        <w:t>have a valid Medicare card, and</w:t>
      </w:r>
    </w:p>
    <w:p w14:paraId="02317384" w14:textId="579D44AA" w:rsidR="00E83D5E" w:rsidRPr="006A5495" w:rsidRDefault="00E83D5E" w:rsidP="00607ED1">
      <w:pPr>
        <w:pStyle w:val="ListBullet"/>
        <w:rPr>
          <w:lang w:val="en-GB" w:bidi="ar-SA"/>
        </w:rPr>
      </w:pPr>
      <w:r w:rsidRPr="006A5495">
        <w:rPr>
          <w:lang w:val="en-GB" w:bidi="ar-SA"/>
        </w:rPr>
        <w:t>18 years of age or older, and</w:t>
      </w:r>
    </w:p>
    <w:p w14:paraId="3E294042" w14:textId="097F6DA3" w:rsidR="00E83D5E" w:rsidRPr="006A5495" w:rsidRDefault="00E83D5E" w:rsidP="00607ED1">
      <w:pPr>
        <w:pStyle w:val="ListBullet"/>
        <w:rPr>
          <w:lang w:val="en-GB" w:bidi="ar-SA"/>
        </w:rPr>
      </w:pPr>
      <w:r w:rsidRPr="006A5495">
        <w:rPr>
          <w:lang w:val="en-GB" w:bidi="ar-SA"/>
        </w:rPr>
        <w:t>employed by a registered Australian business with an active ABN. (The employer must be willing to participate in the program); OR</w:t>
      </w:r>
    </w:p>
    <w:p w14:paraId="4F92EB63" w14:textId="15187026" w:rsidR="00E83D5E" w:rsidRPr="006A5495" w:rsidRDefault="00E83D5E" w:rsidP="00607ED1">
      <w:pPr>
        <w:pStyle w:val="ListBullet"/>
        <w:rPr>
          <w:lang w:val="en-GB" w:bidi="ar-SA"/>
        </w:rPr>
      </w:pPr>
      <w:r w:rsidRPr="006A5495">
        <w:rPr>
          <w:lang w:val="en-GB" w:bidi="ar-SA"/>
        </w:rPr>
        <w:t>self-employed with an active ABN.</w:t>
      </w:r>
    </w:p>
    <w:p w14:paraId="525D036A" w14:textId="77777777" w:rsidR="00E83D5E" w:rsidRPr="008B05FE" w:rsidRDefault="00E83D5E" w:rsidP="008B05FE">
      <w:pPr>
        <w:rPr>
          <w:lang w:val="en-GB" w:bidi="ar-SA"/>
        </w:rPr>
      </w:pPr>
      <w:r w:rsidRPr="008B05FE">
        <w:rPr>
          <w:lang w:val="en-GB" w:bidi="ar-SA"/>
        </w:rPr>
        <w:t>To be eligible for out-of-pocket expenses reimbursement, you must have donated a kidney or partial liver, or completed work-up testing and be:</w:t>
      </w:r>
    </w:p>
    <w:p w14:paraId="5558DA2A" w14:textId="6D91D4B1" w:rsidR="00E83D5E" w:rsidRPr="006A5495" w:rsidRDefault="00E83D5E" w:rsidP="00607ED1">
      <w:pPr>
        <w:pStyle w:val="ListBullet"/>
        <w:rPr>
          <w:lang w:val="en-GB" w:bidi="ar-SA"/>
        </w:rPr>
      </w:pPr>
      <w:r w:rsidRPr="006A5495">
        <w:rPr>
          <w:lang w:val="en-GB" w:bidi="ar-SA"/>
        </w:rPr>
        <w:t>donating in Australia*, and</w:t>
      </w:r>
    </w:p>
    <w:p w14:paraId="4CB6633C" w14:textId="24B490F2" w:rsidR="00E83D5E" w:rsidRPr="006A5495" w:rsidRDefault="00E83D5E" w:rsidP="00607ED1">
      <w:pPr>
        <w:pStyle w:val="ListBullet"/>
        <w:rPr>
          <w:lang w:val="en-GB" w:bidi="ar-SA"/>
        </w:rPr>
      </w:pPr>
      <w:r w:rsidRPr="006A5495">
        <w:rPr>
          <w:lang w:val="en-GB" w:bidi="ar-SA"/>
        </w:rPr>
        <w:t xml:space="preserve">an Australian resident (as defined by the </w:t>
      </w:r>
      <w:r w:rsidRPr="00607ED1">
        <w:rPr>
          <w:rStyle w:val="Emphasis"/>
        </w:rPr>
        <w:t>Health Insurance Act 1973</w:t>
      </w:r>
      <w:r w:rsidRPr="006A5495">
        <w:rPr>
          <w:lang w:val="en-GB" w:bidi="ar-SA"/>
        </w:rPr>
        <w:t xml:space="preserve">), with a valid Medicare card OR donating to an Australian resident (as defined by the </w:t>
      </w:r>
      <w:r w:rsidRPr="00607ED1">
        <w:rPr>
          <w:rStyle w:val="Emphasis"/>
        </w:rPr>
        <w:t>Health Insurance Act 1973</w:t>
      </w:r>
      <w:r w:rsidRPr="006A5495">
        <w:rPr>
          <w:lang w:val="en-GB" w:bidi="ar-SA"/>
        </w:rPr>
        <w:t>), with a valid Medicare card, and</w:t>
      </w:r>
    </w:p>
    <w:p w14:paraId="0C09D6CE" w14:textId="00B1B5D1" w:rsidR="00E83D5E" w:rsidRPr="00F10225" w:rsidRDefault="006A5495" w:rsidP="00607ED1">
      <w:pPr>
        <w:pStyle w:val="ListBullet"/>
        <w:rPr>
          <w:lang w:bidi="ar-SA"/>
        </w:rPr>
      </w:pPr>
      <w:r w:rsidRPr="00F10225">
        <w:t>•</w:t>
      </w:r>
      <w:r w:rsidRPr="00F10225">
        <w:tab/>
      </w:r>
      <w:r w:rsidR="00E83D5E" w:rsidRPr="00F10225">
        <w:rPr>
          <w:lang w:bidi="ar-SA"/>
        </w:rPr>
        <w:t>18 years of age or older</w:t>
      </w:r>
    </w:p>
    <w:p w14:paraId="708266CA" w14:textId="13EE69EE" w:rsidR="00E83D5E" w:rsidRPr="007C3A56" w:rsidRDefault="00E83D5E" w:rsidP="007C3A56">
      <w:pPr>
        <w:pStyle w:val="Heading2"/>
      </w:pPr>
      <w:bookmarkStart w:id="4" w:name="_Toc235185585"/>
      <w:r w:rsidRPr="007C3A56">
        <w:t>Contact information</w:t>
      </w:r>
      <w:bookmarkEnd w:id="4"/>
    </w:p>
    <w:p w14:paraId="55AE37F0" w14:textId="7657D826" w:rsidR="00E83D5E" w:rsidRPr="00607ED1" w:rsidRDefault="00E83D5E" w:rsidP="00607ED1">
      <w:pPr>
        <w:rPr>
          <w:lang w:val="en-GB" w:bidi="ar-SA"/>
        </w:rPr>
      </w:pPr>
      <w:r w:rsidRPr="00607ED1">
        <w:rPr>
          <w:rStyle w:val="Strong"/>
          <w:lang w:val="en-GB" w:bidi="ar-SA"/>
        </w:rPr>
        <w:t>Visit</w:t>
      </w:r>
      <w:r w:rsidRPr="00607ED1">
        <w:rPr>
          <w:lang w:val="en-GB" w:bidi="ar-SA"/>
        </w:rPr>
        <w:tab/>
      </w:r>
      <w:hyperlink r:id="rId11" w:history="1">
        <w:r w:rsidRPr="00607ED1">
          <w:rPr>
            <w:rStyle w:val="Hyperlink"/>
            <w:lang w:val="en-GB" w:bidi="ar-SA"/>
          </w:rPr>
          <w:t>Department of Health, Disability and Ageing</w:t>
        </w:r>
      </w:hyperlink>
      <w:r w:rsidRPr="00607ED1">
        <w:rPr>
          <w:lang w:val="en-GB" w:bidi="ar-SA"/>
        </w:rPr>
        <w:t xml:space="preserve"> website</w:t>
      </w:r>
    </w:p>
    <w:p w14:paraId="17A4C30A" w14:textId="281382A0" w:rsidR="00E83D5E" w:rsidRPr="00607ED1" w:rsidRDefault="00E83D5E" w:rsidP="00607ED1">
      <w:pPr>
        <w:rPr>
          <w:lang w:val="en-GB" w:bidi="ar-SA"/>
        </w:rPr>
      </w:pPr>
      <w:r w:rsidRPr="00607ED1">
        <w:rPr>
          <w:rStyle w:val="Strong"/>
          <w:lang w:val="en-GB" w:bidi="ar-SA"/>
        </w:rPr>
        <w:t>Email</w:t>
      </w:r>
      <w:r w:rsidRPr="00607ED1">
        <w:rPr>
          <w:lang w:val="en-GB" w:bidi="ar-SA"/>
        </w:rPr>
        <w:tab/>
      </w:r>
      <w:hyperlink r:id="rId12" w:history="1">
        <w:r w:rsidRPr="00607ED1">
          <w:rPr>
            <w:rStyle w:val="Hyperlink"/>
            <w:lang w:val="en-GB" w:bidi="ar-SA"/>
          </w:rPr>
          <w:t>livingorgandonation@health.gov.au</w:t>
        </w:r>
      </w:hyperlink>
      <w:r w:rsidRPr="00607ED1">
        <w:rPr>
          <w:lang w:val="en-GB" w:bidi="ar-SA"/>
        </w:rPr>
        <w:t xml:space="preserve"> </w:t>
      </w:r>
    </w:p>
    <w:p w14:paraId="26DB09BC" w14:textId="77777777" w:rsidR="00E83D5E" w:rsidRPr="00607ED1" w:rsidRDefault="00E83D5E" w:rsidP="00607ED1">
      <w:pPr>
        <w:rPr>
          <w:lang w:val="en-GB" w:bidi="ar-SA"/>
        </w:rPr>
      </w:pPr>
      <w:r w:rsidRPr="00607ED1">
        <w:rPr>
          <w:rStyle w:val="Strong"/>
          <w:lang w:val="en-GB" w:bidi="ar-SA"/>
        </w:rPr>
        <w:t>Phone</w:t>
      </w:r>
      <w:r w:rsidRPr="00607ED1">
        <w:rPr>
          <w:lang w:val="en-GB" w:bidi="ar-SA"/>
        </w:rPr>
        <w:tab/>
        <w:t>(02) 6289 5055</w:t>
      </w:r>
    </w:p>
    <w:p w14:paraId="406D25B0" w14:textId="77777777" w:rsidR="00D35A9F" w:rsidRPr="00607ED1" w:rsidRDefault="00D35A9F" w:rsidP="00607ED1">
      <w:pPr>
        <w:rPr>
          <w:lang w:val="en-GB" w:bidi="ar-SA"/>
        </w:rPr>
      </w:pPr>
      <w:r>
        <w:br w:type="page"/>
      </w:r>
    </w:p>
    <w:p w14:paraId="3C11467E" w14:textId="59576583" w:rsidR="00E83D5E" w:rsidRPr="00E83D5E" w:rsidRDefault="00E83D5E" w:rsidP="00607ED1">
      <w:pPr>
        <w:pStyle w:val="Heading2"/>
      </w:pPr>
      <w:bookmarkStart w:id="5" w:name="_Toc235185586"/>
      <w:r w:rsidRPr="00E83D5E">
        <w:t>Required documentation and supporting evidence</w:t>
      </w:r>
      <w:bookmarkEnd w:id="5"/>
    </w:p>
    <w:p w14:paraId="7DCA1767" w14:textId="48708FDD" w:rsidR="00E83D5E" w:rsidRPr="00607ED1" w:rsidRDefault="00E83D5E" w:rsidP="00607ED1">
      <w:pPr>
        <w:pStyle w:val="ListNumber2"/>
      </w:pPr>
      <w:r w:rsidRPr="00E83D5E">
        <w:t xml:space="preserve">People who are eligible for the Program are required to submit several documents. The mandatory documentation </w:t>
      </w:r>
      <w:r w:rsidRPr="00607ED1">
        <w:t>for ALL applications</w:t>
      </w:r>
      <w:r w:rsidRPr="00E83D5E">
        <w:t xml:space="preserve"> includes:</w:t>
      </w:r>
    </w:p>
    <w:p w14:paraId="4CF0BD22" w14:textId="3CAEB26C" w:rsidR="00E83D5E" w:rsidRPr="00E83D5E" w:rsidRDefault="00E83D5E" w:rsidP="00607ED1">
      <w:pPr>
        <w:pStyle w:val="ListBullet"/>
        <w:rPr>
          <w:lang w:val="en-GB" w:bidi="ar-SA"/>
        </w:rPr>
      </w:pPr>
      <w:r w:rsidRPr="00E83D5E">
        <w:rPr>
          <w:lang w:val="en-GB" w:bidi="ar-SA"/>
        </w:rPr>
        <w:t>completed application form (</w:t>
      </w:r>
      <w:hyperlink w:anchor="_1.5.1_Application_form" w:history="1">
        <w:r w:rsidRPr="00DD2069">
          <w:rPr>
            <w:rStyle w:val="Hyperlink"/>
            <w:lang w:val="en-GB" w:bidi="ar-SA"/>
          </w:rPr>
          <w:t>see part 1.5.1</w:t>
        </w:r>
      </w:hyperlink>
      <w:r w:rsidRPr="00E83D5E">
        <w:rPr>
          <w:lang w:val="en-GB" w:bidi="ar-SA"/>
        </w:rPr>
        <w:t>)</w:t>
      </w:r>
    </w:p>
    <w:p w14:paraId="4A949EC9" w14:textId="4C4FBF91" w:rsidR="00E83D5E" w:rsidRPr="00E83D5E" w:rsidRDefault="00E83D5E" w:rsidP="00607ED1">
      <w:pPr>
        <w:pStyle w:val="ListNumber2"/>
      </w:pPr>
      <w:r w:rsidRPr="00E83D5E">
        <w:t xml:space="preserve">If applying for the $500 lump-sum payment, </w:t>
      </w:r>
      <w:r w:rsidR="0096045B">
        <w:t xml:space="preserve">mandatory </w:t>
      </w:r>
      <w:r w:rsidRPr="00E83D5E">
        <w:t>documentation also includes:</w:t>
      </w:r>
    </w:p>
    <w:p w14:paraId="429C7244" w14:textId="55E76C4A" w:rsidR="00E83D5E" w:rsidRPr="00E83D5E" w:rsidRDefault="00E83D5E" w:rsidP="00607ED1">
      <w:pPr>
        <w:pStyle w:val="ListBullet"/>
      </w:pPr>
      <w:r w:rsidRPr="00E83D5E">
        <w:t>medical certificate for donation surgery</w:t>
      </w:r>
    </w:p>
    <w:p w14:paraId="06D86E1A" w14:textId="3FF0711C" w:rsidR="00E83D5E" w:rsidRPr="00E83D5E" w:rsidRDefault="00E83D5E" w:rsidP="00607ED1">
      <w:pPr>
        <w:pStyle w:val="ListNumber2"/>
      </w:pPr>
      <w:r w:rsidRPr="00E83D5E">
        <w:t>If applying for reimbursement of paid leave, the mandatory documentation also includes:</w:t>
      </w:r>
    </w:p>
    <w:p w14:paraId="3804954A" w14:textId="76FBCC57" w:rsidR="00E83D5E" w:rsidRPr="00E83D5E" w:rsidRDefault="00E83D5E" w:rsidP="00607ED1">
      <w:pPr>
        <w:pStyle w:val="ListBullet"/>
        <w:rPr>
          <w:lang w:val="en-GB" w:bidi="ar-SA"/>
        </w:rPr>
      </w:pPr>
      <w:r w:rsidRPr="00E83D5E">
        <w:rPr>
          <w:lang w:val="en-GB" w:bidi="ar-SA"/>
        </w:rPr>
        <w:t>payslips that confirm donor was paid for leave</w:t>
      </w:r>
    </w:p>
    <w:p w14:paraId="22E01A6A" w14:textId="33B10A11" w:rsidR="00E83D5E" w:rsidRPr="00F10225" w:rsidRDefault="00E83D5E" w:rsidP="00607ED1">
      <w:pPr>
        <w:pStyle w:val="ListBullet"/>
      </w:pPr>
      <w:r w:rsidRPr="00F10225">
        <w:t>medical certificate that shows the dates for hospital admission, discharge and recovery period</w:t>
      </w:r>
    </w:p>
    <w:p w14:paraId="0A6228E1" w14:textId="1F0C3DB0" w:rsidR="00E83D5E" w:rsidRPr="00E83D5E" w:rsidRDefault="00E83D5E" w:rsidP="00607ED1">
      <w:pPr>
        <w:pStyle w:val="ListBullet"/>
      </w:pPr>
      <w:r w:rsidRPr="00E83D5E">
        <w:t xml:space="preserve">evidence of work-up testing appointments (if claiming leave </w:t>
      </w:r>
      <w:r w:rsidR="00BC1C78" w:rsidRPr="00E83D5E">
        <w:t xml:space="preserve">for those </w:t>
      </w:r>
      <w:r w:rsidRPr="00E83D5E">
        <w:t>dates)</w:t>
      </w:r>
    </w:p>
    <w:p w14:paraId="72C70771" w14:textId="6965E31A" w:rsidR="00E83D5E" w:rsidRPr="00E83D5E" w:rsidRDefault="00E83D5E" w:rsidP="00607ED1">
      <w:pPr>
        <w:pStyle w:val="ListBullet"/>
        <w:rPr>
          <w:lang w:val="en-GB" w:bidi="ar-SA"/>
        </w:rPr>
      </w:pPr>
      <w:r w:rsidRPr="00E83D5E">
        <w:rPr>
          <w:lang w:val="en-GB" w:bidi="ar-SA"/>
        </w:rPr>
        <w:t>appointment tracker (</w:t>
      </w:r>
      <w:r w:rsidRPr="00607ED1">
        <w:t xml:space="preserve">not mandatory but streamlines the assessment process, </w:t>
      </w:r>
      <w:hyperlink w:anchor="_1.5.3_Appointment_tracker" w:history="1">
        <w:r w:rsidR="00607ED1" w:rsidRPr="00DD2069">
          <w:rPr>
            <w:rStyle w:val="Hyperlink"/>
          </w:rPr>
          <w:t>see part 1.5.3</w:t>
        </w:r>
      </w:hyperlink>
      <w:r w:rsidRPr="00E83D5E">
        <w:rPr>
          <w:lang w:val="en-GB" w:bidi="ar-SA"/>
        </w:rPr>
        <w:t>)</w:t>
      </w:r>
    </w:p>
    <w:p w14:paraId="587573BC" w14:textId="09EBCA27" w:rsidR="00E83D5E" w:rsidRPr="00E83D5E" w:rsidRDefault="00E83D5E" w:rsidP="00607ED1">
      <w:pPr>
        <w:pStyle w:val="ListNumber2"/>
      </w:pPr>
      <w:r w:rsidRPr="00E83D5E">
        <w:t>If self-employed and applying for reimbursement of lost income</w:t>
      </w:r>
      <w:r w:rsidR="0096045B">
        <w:t>, the mandatory documentation also includes</w:t>
      </w:r>
      <w:r w:rsidRPr="00E83D5E">
        <w:t>:</w:t>
      </w:r>
    </w:p>
    <w:p w14:paraId="2CE5CC8A" w14:textId="7C50D7C0" w:rsidR="00E83D5E" w:rsidRPr="00E83D5E" w:rsidRDefault="00E83D5E" w:rsidP="00607ED1">
      <w:pPr>
        <w:pStyle w:val="ListBullet"/>
        <w:rPr>
          <w:lang w:val="en-GB" w:bidi="ar-SA"/>
        </w:rPr>
      </w:pPr>
      <w:r w:rsidRPr="00E83D5E">
        <w:rPr>
          <w:lang w:val="en-GB" w:bidi="ar-SA"/>
        </w:rPr>
        <w:t xml:space="preserve">evidence of business income that includes </w:t>
      </w:r>
      <w:r w:rsidRPr="00DD2069">
        <w:rPr>
          <w:rStyle w:val="Strong"/>
        </w:rPr>
        <w:t>at least</w:t>
      </w:r>
      <w:r w:rsidRPr="00E83D5E">
        <w:rPr>
          <w:lang w:val="en-GB" w:bidi="ar-SA"/>
        </w:rPr>
        <w:t xml:space="preserve"> 3 months of business activity prior to surgery, and</w:t>
      </w:r>
      <w:r w:rsidR="0096045B">
        <w:rPr>
          <w:lang w:val="en-GB" w:bidi="ar-SA"/>
        </w:rPr>
        <w:t>/or</w:t>
      </w:r>
      <w:r w:rsidRPr="00E83D5E">
        <w:rPr>
          <w:lang w:val="en-GB" w:bidi="ar-SA"/>
        </w:rPr>
        <w:t xml:space="preserve"> across the date of surgery. This may include 1 or more of the following: </w:t>
      </w:r>
    </w:p>
    <w:p w14:paraId="06E48A6D" w14:textId="2E4E5AF7" w:rsidR="00E83D5E" w:rsidRPr="00607ED1" w:rsidRDefault="001247AE" w:rsidP="00607ED1">
      <w:pPr>
        <w:pStyle w:val="ListBullet2"/>
        <w:rPr>
          <w:lang w:val="en-GB" w:bidi="ar-SA"/>
        </w:rPr>
      </w:pPr>
      <w:r w:rsidRPr="00607ED1">
        <w:t>M</w:t>
      </w:r>
      <w:proofErr w:type="spellStart"/>
      <w:r w:rsidR="00E83D5E" w:rsidRPr="00607ED1">
        <w:rPr>
          <w:lang w:val="en-GB" w:bidi="ar-SA"/>
        </w:rPr>
        <w:t>ost</w:t>
      </w:r>
      <w:proofErr w:type="spellEnd"/>
      <w:r w:rsidR="00E83D5E" w:rsidRPr="00607ED1">
        <w:rPr>
          <w:lang w:val="en-GB" w:bidi="ar-SA"/>
        </w:rPr>
        <w:t xml:space="preserve"> recent Tax Return</w:t>
      </w:r>
    </w:p>
    <w:p w14:paraId="089F253C" w14:textId="541DB7A9" w:rsidR="00E83D5E" w:rsidRPr="00607ED1" w:rsidRDefault="00E83D5E" w:rsidP="00607ED1">
      <w:pPr>
        <w:pStyle w:val="ListBullet2"/>
        <w:rPr>
          <w:lang w:val="en-GB" w:bidi="ar-SA"/>
        </w:rPr>
      </w:pPr>
      <w:r w:rsidRPr="00607ED1">
        <w:rPr>
          <w:lang w:val="en-GB" w:bidi="ar-SA"/>
        </w:rPr>
        <w:t>Profit and Loss Statement</w:t>
      </w:r>
    </w:p>
    <w:p w14:paraId="5C6413A9" w14:textId="270657FD" w:rsidR="00E83D5E" w:rsidRPr="00607ED1" w:rsidRDefault="00E83D5E" w:rsidP="00607ED1">
      <w:pPr>
        <w:pStyle w:val="ListBullet2"/>
        <w:rPr>
          <w:lang w:val="en-GB" w:bidi="ar-SA"/>
        </w:rPr>
      </w:pPr>
      <w:r w:rsidRPr="00607ED1">
        <w:rPr>
          <w:lang w:val="en-GB" w:bidi="ar-SA"/>
        </w:rPr>
        <w:t xml:space="preserve">Bank Statements </w:t>
      </w:r>
    </w:p>
    <w:p w14:paraId="06532253" w14:textId="3D6923F6" w:rsidR="00E83D5E" w:rsidRPr="00607ED1" w:rsidRDefault="00E83D5E" w:rsidP="00607ED1">
      <w:pPr>
        <w:pStyle w:val="ListBullet2"/>
        <w:rPr>
          <w:lang w:val="en-GB" w:bidi="ar-SA"/>
        </w:rPr>
      </w:pPr>
      <w:r w:rsidRPr="00607ED1">
        <w:rPr>
          <w:lang w:val="en-GB" w:bidi="ar-SA"/>
        </w:rPr>
        <w:t>Payslips</w:t>
      </w:r>
    </w:p>
    <w:p w14:paraId="1E42F947" w14:textId="2E589C96" w:rsidR="0096045B" w:rsidRPr="00F10225" w:rsidRDefault="0096045B" w:rsidP="00607ED1">
      <w:pPr>
        <w:pStyle w:val="ListBullet"/>
      </w:pPr>
      <w:r w:rsidRPr="00F10225">
        <w:t>medical certificate that shows the dates for hospital admission, discharge and recovery period</w:t>
      </w:r>
    </w:p>
    <w:p w14:paraId="0A61CC1F" w14:textId="676D96D3" w:rsidR="0096045B" w:rsidRPr="00E83D5E" w:rsidRDefault="0096045B" w:rsidP="00607ED1">
      <w:pPr>
        <w:pStyle w:val="ListBullet"/>
      </w:pPr>
      <w:r w:rsidRPr="00E83D5E">
        <w:t xml:space="preserve">evidence of work-up testing appointments (if claiming leave </w:t>
      </w:r>
      <w:r w:rsidR="00683775" w:rsidRPr="00E83D5E">
        <w:t xml:space="preserve">for those </w:t>
      </w:r>
      <w:r w:rsidRPr="00E83D5E">
        <w:t>dates)</w:t>
      </w:r>
    </w:p>
    <w:p w14:paraId="64E084FF" w14:textId="36DA974F" w:rsidR="0096045B" w:rsidRPr="00DD2069" w:rsidRDefault="0096045B" w:rsidP="00607ED1">
      <w:pPr>
        <w:pStyle w:val="ListBullet"/>
      </w:pPr>
      <w:r w:rsidRPr="00DD2069">
        <w:t>appointment tracker (</w:t>
      </w:r>
      <w:r w:rsidRPr="00607ED1">
        <w:t xml:space="preserve">not mandatory but streamlines the assessment process, </w:t>
      </w:r>
      <w:hyperlink w:anchor="_1.5.3_Appointment_tracker" w:history="1">
        <w:r w:rsidRPr="00DD2069">
          <w:rPr>
            <w:rStyle w:val="Hyperlink"/>
          </w:rPr>
          <w:t>see part 1.5.3</w:t>
        </w:r>
      </w:hyperlink>
      <w:r w:rsidRPr="00DD2069">
        <w:t>)</w:t>
      </w:r>
    </w:p>
    <w:p w14:paraId="3E587B28" w14:textId="64D76734" w:rsidR="00E83D5E" w:rsidRPr="00E83D5E" w:rsidRDefault="00E83D5E" w:rsidP="00607ED1">
      <w:pPr>
        <w:pStyle w:val="ListNumber2"/>
      </w:pPr>
      <w:r w:rsidRPr="00E83D5E">
        <w:t>If more than the standard 9 weeks (or 342 hours) of leave is required, the donor may be eligible for up to the maximum of 18 weeks (or 684 hours)</w:t>
      </w:r>
      <w:r w:rsidR="00A402B6">
        <w:t xml:space="preserve"> of leave</w:t>
      </w:r>
      <w:r w:rsidRPr="00E83D5E">
        <w:t xml:space="preserve">. The mandatory documentation also includes: </w:t>
      </w:r>
    </w:p>
    <w:p w14:paraId="63797F6D" w14:textId="23CB344D" w:rsidR="00E83D5E" w:rsidRPr="00E83D5E" w:rsidRDefault="00E83D5E" w:rsidP="00607ED1">
      <w:pPr>
        <w:pStyle w:val="ListBullet"/>
        <w:rPr>
          <w:lang w:val="en-GB" w:bidi="ar-SA"/>
        </w:rPr>
      </w:pPr>
      <w:r w:rsidRPr="00E83D5E">
        <w:rPr>
          <w:lang w:val="en-GB" w:bidi="ar-SA"/>
        </w:rPr>
        <w:t xml:space="preserve">the completed extended medical leave form signed by the donor’s surgeon or transplant coordinator. </w:t>
      </w:r>
    </w:p>
    <w:p w14:paraId="471A66E4" w14:textId="23B2A7A3" w:rsidR="00E83D5E" w:rsidRPr="00E83D5E" w:rsidRDefault="00E83D5E" w:rsidP="00607ED1">
      <w:pPr>
        <w:pStyle w:val="ListNumber2"/>
      </w:pPr>
      <w:r w:rsidRPr="00E83D5E">
        <w:t>If applying for reimbursement of more than $500 for travel and accommodation out-of-pocket expenses, the mandatory documentation required for reimbursement up to $4,000 (including the first $500) also includes:</w:t>
      </w:r>
    </w:p>
    <w:p w14:paraId="5AEA210D" w14:textId="2FF4FFC1" w:rsidR="00E83D5E" w:rsidRPr="00E83D5E" w:rsidRDefault="00E83D5E" w:rsidP="00607ED1">
      <w:pPr>
        <w:pStyle w:val="ListBullet"/>
        <w:rPr>
          <w:lang w:val="en-GB" w:bidi="ar-SA"/>
        </w:rPr>
      </w:pPr>
      <w:r w:rsidRPr="00E83D5E">
        <w:rPr>
          <w:lang w:val="en-GB" w:bidi="ar-SA"/>
        </w:rPr>
        <w:t>medical certificate/s that shows the dates for hospital admission, discharge and recovery period</w:t>
      </w:r>
    </w:p>
    <w:p w14:paraId="6302E2F6" w14:textId="24696E42" w:rsidR="00E83D5E" w:rsidRPr="00F10225" w:rsidRDefault="00E83D5E" w:rsidP="00607ED1">
      <w:pPr>
        <w:pStyle w:val="ListBullet"/>
        <w:rPr>
          <w:lang w:val="en-GB" w:bidi="ar-SA"/>
        </w:rPr>
      </w:pPr>
      <w:r w:rsidRPr="00F10225">
        <w:rPr>
          <w:lang w:val="en-GB" w:bidi="ar-SA"/>
        </w:rPr>
        <w:t xml:space="preserve">evidence of work-up testing appointments (if claiming </w:t>
      </w:r>
      <w:r w:rsidR="00AB534B">
        <w:rPr>
          <w:lang w:val="en-GB" w:bidi="ar-SA"/>
        </w:rPr>
        <w:t xml:space="preserve">out of pocket expenses </w:t>
      </w:r>
      <w:r w:rsidRPr="00F10225">
        <w:rPr>
          <w:lang w:val="en-GB" w:bidi="ar-SA"/>
        </w:rPr>
        <w:t>for those appointments)</w:t>
      </w:r>
    </w:p>
    <w:p w14:paraId="6F6E138E" w14:textId="77777777" w:rsidR="00607ED1" w:rsidRDefault="00E83D5E" w:rsidP="00607ED1">
      <w:pPr>
        <w:pStyle w:val="ListBullet"/>
        <w:rPr>
          <w:lang w:val="en-GB" w:bidi="ar-SA"/>
        </w:rPr>
      </w:pPr>
      <w:r w:rsidRPr="00E83D5E">
        <w:rPr>
          <w:lang w:val="en-GB" w:bidi="ar-SA"/>
        </w:rPr>
        <w:t>receipts or bank statements showing out-of-pocket expenses on and around the dates of testing, appointments and surgery (or a statutory declaration if no receipt)</w:t>
      </w:r>
    </w:p>
    <w:p w14:paraId="5B8257DF" w14:textId="40898D6D" w:rsidR="00E83D5E" w:rsidRPr="00607ED1" w:rsidRDefault="00E83D5E" w:rsidP="00607ED1">
      <w:pPr>
        <w:pStyle w:val="ListBullet"/>
        <w:rPr>
          <w:lang w:val="en-GB" w:bidi="ar-SA"/>
        </w:rPr>
      </w:pPr>
      <w:r w:rsidRPr="00DD2069">
        <w:rPr>
          <w:lang w:val="en-GB" w:bidi="ar-SA"/>
        </w:rPr>
        <w:t>out-of-pocket expense tracker (</w:t>
      </w:r>
      <w:r w:rsidRPr="00607ED1">
        <w:rPr>
          <w:lang w:val="en-GB" w:bidi="ar-SA"/>
        </w:rPr>
        <w:t xml:space="preserve">not mandatory but streamlines the assessment process, </w:t>
      </w:r>
      <w:hyperlink w:anchor="_1.5.3_Appointment_tracker" w:history="1">
        <w:r w:rsidRPr="00DD2069">
          <w:rPr>
            <w:rStyle w:val="Hyperlink"/>
            <w:lang w:val="en-GB" w:bidi="ar-SA"/>
          </w:rPr>
          <w:t>see part 1.5.3</w:t>
        </w:r>
      </w:hyperlink>
      <w:r w:rsidRPr="00DD2069">
        <w:rPr>
          <w:lang w:val="en-GB" w:bidi="ar-SA"/>
        </w:rPr>
        <w:t>)</w:t>
      </w:r>
    </w:p>
    <w:p w14:paraId="119531C1" w14:textId="77777777" w:rsidR="00CA6628" w:rsidRPr="008B05FE" w:rsidRDefault="00CA6628" w:rsidP="008B05FE">
      <w:pPr>
        <w:rPr>
          <w:lang w:val="en-GB" w:bidi="ar-SA"/>
        </w:rPr>
      </w:pPr>
      <w:r w:rsidRPr="008B05FE">
        <w:rPr>
          <w:lang w:val="en-GB" w:bidi="ar-SA"/>
        </w:rPr>
        <w:br w:type="page"/>
      </w:r>
    </w:p>
    <w:p w14:paraId="03F8B4D1" w14:textId="4E8D0381" w:rsidR="00E83D5E" w:rsidRPr="00E83D5E" w:rsidRDefault="00E83D5E" w:rsidP="008B05FE">
      <w:pPr>
        <w:pStyle w:val="Heading3"/>
      </w:pPr>
      <w:bookmarkStart w:id="6" w:name="_1.5.1_Application_form"/>
      <w:bookmarkStart w:id="7" w:name="_Toc235185109"/>
      <w:bookmarkStart w:id="8" w:name="_Toc235185289"/>
      <w:bookmarkStart w:id="9" w:name="_Toc235185587"/>
      <w:bookmarkEnd w:id="6"/>
      <w:r w:rsidRPr="00E83D5E">
        <w:t>Application form</w:t>
      </w:r>
      <w:bookmarkEnd w:id="7"/>
      <w:bookmarkEnd w:id="8"/>
      <w:bookmarkEnd w:id="9"/>
    </w:p>
    <w:p w14:paraId="773D74F0" w14:textId="4E9E0222" w:rsidR="00E83D5E" w:rsidRPr="008B05FE" w:rsidRDefault="00E83D5E" w:rsidP="008B05FE">
      <w:pPr>
        <w:rPr>
          <w:lang w:val="en-GB" w:bidi="ar-SA"/>
        </w:rPr>
      </w:pPr>
      <w:r w:rsidRPr="008B05FE">
        <w:rPr>
          <w:lang w:val="en-GB" w:bidi="ar-SA"/>
        </w:rPr>
        <w:t xml:space="preserve">The application form is required to assess a donor’s eligibility to participate in the Program and to verify the donor’s claim. Along with supporting evidence, the application form is used to calculate reimbursement payments to be made to the </w:t>
      </w:r>
      <w:r w:rsidR="001D0B75" w:rsidRPr="008B05FE">
        <w:rPr>
          <w:lang w:val="en-GB" w:bidi="ar-SA"/>
        </w:rPr>
        <w:t>donor and/or their employer</w:t>
      </w:r>
      <w:r w:rsidRPr="008B05FE">
        <w:rPr>
          <w:lang w:val="en-GB" w:bidi="ar-SA"/>
        </w:rPr>
        <w:t xml:space="preserve">. </w:t>
      </w:r>
    </w:p>
    <w:p w14:paraId="0BBC122D" w14:textId="4E8921CE" w:rsidR="00E83D5E" w:rsidRPr="008B05FE" w:rsidRDefault="00E83D5E" w:rsidP="008B05FE">
      <w:pPr>
        <w:rPr>
          <w:lang w:val="en-GB" w:bidi="ar-SA"/>
        </w:rPr>
      </w:pPr>
      <w:r w:rsidRPr="008B05FE">
        <w:rPr>
          <w:lang w:val="en-GB" w:bidi="ar-SA"/>
        </w:rPr>
        <w:t xml:space="preserve">The form should be submitted within 120 days following surgery. Consideration will be given to applications submitted after this timeframe; however, the donor will need to email </w:t>
      </w:r>
      <w:hyperlink r:id="rId13" w:history="1">
        <w:r w:rsidRPr="008B05FE">
          <w:rPr>
            <w:rStyle w:val="Hyperlink"/>
            <w:lang w:val="en-GB" w:bidi="ar-SA"/>
          </w:rPr>
          <w:t>livingorgandonation@health.gov.au</w:t>
        </w:r>
      </w:hyperlink>
      <w:r w:rsidRPr="008B05FE">
        <w:rPr>
          <w:lang w:val="en-GB" w:bidi="ar-SA"/>
        </w:rPr>
        <w:t xml:space="preserve">. </w:t>
      </w:r>
    </w:p>
    <w:p w14:paraId="49120CE8" w14:textId="77777777" w:rsidR="00E83D5E" w:rsidRPr="002267A5" w:rsidRDefault="00E83D5E" w:rsidP="002267A5">
      <w:pPr>
        <w:rPr>
          <w:lang w:val="en-GB" w:bidi="ar-SA"/>
        </w:rPr>
      </w:pPr>
      <w:r w:rsidRPr="002267A5">
        <w:rPr>
          <w:lang w:val="en-GB" w:bidi="ar-SA"/>
        </w:rPr>
        <w:t>The application form comprises two parts:</w:t>
      </w:r>
    </w:p>
    <w:p w14:paraId="548601D6" w14:textId="7AA6FE9D" w:rsidR="00E83D5E" w:rsidRPr="008B05FE" w:rsidRDefault="00E83D5E" w:rsidP="008B05FE">
      <w:pPr>
        <w:rPr>
          <w:lang w:val="en-GB" w:bidi="ar-SA"/>
        </w:rPr>
      </w:pPr>
      <w:r w:rsidRPr="008B05FE">
        <w:rPr>
          <w:rStyle w:val="Strong"/>
          <w:lang w:val="en-GB" w:bidi="ar-SA"/>
        </w:rPr>
        <w:t>Part A – Donor information</w:t>
      </w:r>
      <w:r w:rsidRPr="008B05FE">
        <w:rPr>
          <w:lang w:val="en-GB" w:bidi="ar-SA"/>
        </w:rPr>
        <w:t xml:space="preserve"> – to be completed and signed by the donor </w:t>
      </w:r>
      <w:r w:rsidR="001D0B75" w:rsidRPr="008B05FE">
        <w:rPr>
          <w:lang w:val="en-GB" w:bidi="ar-SA"/>
        </w:rPr>
        <w:t>(</w:t>
      </w:r>
      <w:r w:rsidRPr="008B05FE">
        <w:rPr>
          <w:lang w:val="en-GB" w:bidi="ar-SA"/>
        </w:rPr>
        <w:t>and self-employed donors</w:t>
      </w:r>
      <w:r w:rsidR="001D0B75" w:rsidRPr="008B05FE">
        <w:rPr>
          <w:lang w:val="en-GB" w:bidi="ar-SA"/>
        </w:rPr>
        <w:t>)</w:t>
      </w:r>
      <w:r w:rsidRPr="008B05FE">
        <w:rPr>
          <w:lang w:val="en-GB" w:bidi="ar-SA"/>
        </w:rPr>
        <w:t xml:space="preserve">. </w:t>
      </w:r>
    </w:p>
    <w:p w14:paraId="34015B9D" w14:textId="77777777" w:rsidR="00E83D5E" w:rsidRPr="008B05FE" w:rsidRDefault="00E83D5E" w:rsidP="008B05FE">
      <w:pPr>
        <w:rPr>
          <w:lang w:val="en-GB" w:bidi="ar-SA"/>
        </w:rPr>
      </w:pPr>
      <w:r w:rsidRPr="008B05FE">
        <w:rPr>
          <w:rStyle w:val="Strong"/>
          <w:lang w:val="en-GB" w:bidi="ar-SA"/>
        </w:rPr>
        <w:t xml:space="preserve">Part B – Employer information </w:t>
      </w:r>
      <w:r w:rsidRPr="008B05FE">
        <w:rPr>
          <w:lang w:val="en-GB" w:bidi="ar-SA"/>
        </w:rPr>
        <w:t xml:space="preserve">– to be completed and signed by the donor’s employer (if the donor is employed and claiming for reimbursement of leave taken).  </w:t>
      </w:r>
    </w:p>
    <w:p w14:paraId="33246CF4" w14:textId="45372B06" w:rsidR="00E83D5E" w:rsidRPr="00E83D5E" w:rsidRDefault="00E83D5E" w:rsidP="008B05FE">
      <w:pPr>
        <w:pStyle w:val="Heading3"/>
      </w:pPr>
      <w:bookmarkStart w:id="10" w:name="_Toc235185110"/>
      <w:bookmarkStart w:id="11" w:name="_Toc235185290"/>
      <w:bookmarkStart w:id="12" w:name="_Toc235185588"/>
      <w:r w:rsidRPr="00E83D5E">
        <w:t>Extended medical leave form</w:t>
      </w:r>
      <w:bookmarkEnd w:id="10"/>
      <w:bookmarkEnd w:id="11"/>
      <w:bookmarkEnd w:id="12"/>
      <w:r w:rsidRPr="00E83D5E">
        <w:t xml:space="preserve"> </w:t>
      </w:r>
    </w:p>
    <w:p w14:paraId="17749B18" w14:textId="77777777" w:rsidR="00E83D5E" w:rsidRPr="008B05FE" w:rsidRDefault="00E83D5E" w:rsidP="008B05FE">
      <w:pPr>
        <w:rPr>
          <w:lang w:val="en-GB" w:bidi="ar-SA"/>
        </w:rPr>
      </w:pPr>
      <w:r w:rsidRPr="008B05FE">
        <w:rPr>
          <w:lang w:val="en-GB" w:bidi="ar-SA"/>
        </w:rPr>
        <w:t>The extended medical leave form will need to be completed and signed by the donor’s surgeon or transplant coordinator if the donor is seeking to claim leave reimbursement of more than 9 weeks (342 hours), and up to 18 weeks (or 684 hours).</w:t>
      </w:r>
    </w:p>
    <w:p w14:paraId="6F6EA203" w14:textId="2462EFB6" w:rsidR="00E83D5E" w:rsidRPr="00E83D5E" w:rsidRDefault="00E83D5E" w:rsidP="008B05FE">
      <w:pPr>
        <w:pStyle w:val="Heading3"/>
      </w:pPr>
      <w:bookmarkStart w:id="13" w:name="_1.5.3_Appointment_tracker"/>
      <w:bookmarkStart w:id="14" w:name="_Toc235185111"/>
      <w:bookmarkStart w:id="15" w:name="_Toc235185291"/>
      <w:bookmarkStart w:id="16" w:name="_Toc235185589"/>
      <w:bookmarkEnd w:id="13"/>
      <w:r w:rsidRPr="00E83D5E">
        <w:t xml:space="preserve">Appointment tracker </w:t>
      </w:r>
      <w:r w:rsidRPr="00F749D3">
        <w:t>(optional)</w:t>
      </w:r>
      <w:bookmarkEnd w:id="14"/>
      <w:bookmarkEnd w:id="15"/>
      <w:bookmarkEnd w:id="16"/>
    </w:p>
    <w:p w14:paraId="024A3312" w14:textId="13563DA0" w:rsidR="00E83D5E" w:rsidRPr="008B05FE" w:rsidRDefault="00E83D5E" w:rsidP="008B05FE">
      <w:pPr>
        <w:rPr>
          <w:lang w:val="en-GB" w:bidi="ar-SA"/>
        </w:rPr>
      </w:pPr>
      <w:r w:rsidRPr="008B05FE">
        <w:rPr>
          <w:lang w:val="en-GB" w:bidi="ar-SA"/>
        </w:rPr>
        <w:t xml:space="preserve">The appointment tracker is an optional document to assist donors </w:t>
      </w:r>
      <w:r w:rsidR="001D0B75" w:rsidRPr="008B05FE">
        <w:rPr>
          <w:lang w:val="en-GB" w:bidi="ar-SA"/>
        </w:rPr>
        <w:t>with</w:t>
      </w:r>
      <w:r w:rsidRPr="008B05FE">
        <w:rPr>
          <w:lang w:val="en-GB" w:bidi="ar-SA"/>
        </w:rPr>
        <w:t xml:space="preserve"> track</w:t>
      </w:r>
      <w:r w:rsidR="001D0B75" w:rsidRPr="008B05FE">
        <w:rPr>
          <w:lang w:val="en-GB" w:bidi="ar-SA"/>
        </w:rPr>
        <w:t>ing</w:t>
      </w:r>
      <w:r w:rsidRPr="008B05FE">
        <w:rPr>
          <w:lang w:val="en-GB" w:bidi="ar-SA"/>
        </w:rPr>
        <w:t xml:space="preserve"> medical appointments.</w:t>
      </w:r>
    </w:p>
    <w:p w14:paraId="7395F541" w14:textId="3D5F7D49" w:rsidR="00E83D5E" w:rsidRPr="008B05FE" w:rsidRDefault="00E83D5E" w:rsidP="008B05FE">
      <w:pPr>
        <w:rPr>
          <w:lang w:val="en-GB" w:bidi="ar-SA"/>
        </w:rPr>
      </w:pPr>
      <w:r w:rsidRPr="008B05FE">
        <w:rPr>
          <w:lang w:val="en-GB" w:bidi="ar-SA"/>
        </w:rPr>
        <w:t>The appointment tracker when signed by a transplant coordinator will be assessed as evidence of appointment dates if claiming for reimbursement of leave and/or out-of-pocket expenses under the Program.</w:t>
      </w:r>
    </w:p>
    <w:p w14:paraId="5AEEB5E6" w14:textId="77777777" w:rsidR="00E83D5E" w:rsidRPr="008B05FE" w:rsidRDefault="00E83D5E" w:rsidP="008B05FE">
      <w:pPr>
        <w:rPr>
          <w:lang w:val="en-GB" w:bidi="ar-SA"/>
        </w:rPr>
      </w:pPr>
      <w:r w:rsidRPr="008B05FE">
        <w:rPr>
          <w:rStyle w:val="Strong"/>
          <w:lang w:val="en-GB" w:bidi="ar-SA"/>
        </w:rPr>
        <w:t>Note</w:t>
      </w:r>
      <w:r w:rsidRPr="008B05FE">
        <w:rPr>
          <w:lang w:val="en-GB" w:bidi="ar-SA"/>
        </w:rPr>
        <w:t>: This tracker is for the purpose of claiming under the Program only. It should not be used for other purposes where a medical certificate is required e.g. evidence required by the donor’s employer.</w:t>
      </w:r>
    </w:p>
    <w:p w14:paraId="12C53012" w14:textId="563E9BFC" w:rsidR="00E83D5E" w:rsidRPr="00E83D5E" w:rsidRDefault="00E83D5E" w:rsidP="008B05FE">
      <w:pPr>
        <w:pStyle w:val="Heading3"/>
      </w:pPr>
      <w:bookmarkStart w:id="17" w:name="_Toc235185112"/>
      <w:bookmarkStart w:id="18" w:name="_Toc235185292"/>
      <w:bookmarkStart w:id="19" w:name="_Toc235185590"/>
      <w:r w:rsidRPr="00E83D5E">
        <w:t xml:space="preserve">Out-of-pocket expenses tracker </w:t>
      </w:r>
      <w:r w:rsidRPr="00F749D3">
        <w:t>(optional)</w:t>
      </w:r>
      <w:bookmarkEnd w:id="17"/>
      <w:bookmarkEnd w:id="18"/>
      <w:bookmarkEnd w:id="19"/>
    </w:p>
    <w:p w14:paraId="31D1CB27" w14:textId="17AF5BBF" w:rsidR="00E83D5E" w:rsidRPr="008B05FE" w:rsidRDefault="00E83D5E" w:rsidP="008B05FE">
      <w:pPr>
        <w:rPr>
          <w:lang w:val="en-GB" w:bidi="ar-SA"/>
        </w:rPr>
      </w:pPr>
      <w:r w:rsidRPr="008B05FE">
        <w:rPr>
          <w:lang w:val="en-GB" w:bidi="ar-SA"/>
        </w:rPr>
        <w:t xml:space="preserve">The out-of-pocket expenses tracker is an optional document, to assist donors </w:t>
      </w:r>
      <w:r w:rsidR="001D0B75" w:rsidRPr="008B05FE">
        <w:rPr>
          <w:lang w:val="en-GB" w:bidi="ar-SA"/>
        </w:rPr>
        <w:t>with</w:t>
      </w:r>
      <w:r w:rsidRPr="008B05FE">
        <w:rPr>
          <w:lang w:val="en-GB" w:bidi="ar-SA"/>
        </w:rPr>
        <w:t xml:space="preserve"> track</w:t>
      </w:r>
      <w:r w:rsidR="001D0B75" w:rsidRPr="008B05FE">
        <w:rPr>
          <w:lang w:val="en-GB" w:bidi="ar-SA"/>
        </w:rPr>
        <w:t>ing</w:t>
      </w:r>
      <w:r w:rsidRPr="008B05FE">
        <w:rPr>
          <w:lang w:val="en-GB" w:bidi="ar-SA"/>
        </w:rPr>
        <w:t xml:space="preserve"> expenses incurred whilst travelling for medical appointments and for donation surgery.</w:t>
      </w:r>
    </w:p>
    <w:p w14:paraId="586B5BE0" w14:textId="49C07721" w:rsidR="00E83D5E" w:rsidRPr="008B05FE" w:rsidRDefault="00E83D5E" w:rsidP="008B05FE">
      <w:pPr>
        <w:rPr>
          <w:lang w:val="en-GB" w:bidi="ar-SA"/>
        </w:rPr>
      </w:pPr>
      <w:r w:rsidRPr="008B05FE">
        <w:rPr>
          <w:lang w:val="en-GB" w:bidi="ar-SA"/>
        </w:rPr>
        <w:t xml:space="preserve">The out-of-pocket expenses tracker can be </w:t>
      </w:r>
      <w:r w:rsidR="001D0B75" w:rsidRPr="008B05FE">
        <w:rPr>
          <w:lang w:val="en-GB" w:bidi="ar-SA"/>
        </w:rPr>
        <w:t xml:space="preserve">used by </w:t>
      </w:r>
      <w:r w:rsidRPr="008B05FE">
        <w:rPr>
          <w:lang w:val="en-GB" w:bidi="ar-SA"/>
        </w:rPr>
        <w:t>assessors to confirm costs incurred when calculating reimbursement.</w:t>
      </w:r>
    </w:p>
    <w:p w14:paraId="29B08FDF" w14:textId="77777777" w:rsidR="00E83D5E" w:rsidRPr="008B05FE" w:rsidRDefault="00E83D5E" w:rsidP="008B05FE">
      <w:pPr>
        <w:rPr>
          <w:lang w:val="en-GB" w:bidi="ar-SA"/>
        </w:rPr>
      </w:pPr>
      <w:r w:rsidRPr="008B05FE">
        <w:rPr>
          <w:lang w:val="en-GB" w:bidi="ar-SA"/>
        </w:rPr>
        <w:t>Costs included in the claim without appropriate evidence, will not be included in the reimbursement.</w:t>
      </w:r>
    </w:p>
    <w:p w14:paraId="758C1C46" w14:textId="69B59DAD" w:rsidR="00E83D5E" w:rsidRPr="00E83D5E" w:rsidRDefault="00E83D5E" w:rsidP="008B05FE">
      <w:pPr>
        <w:pStyle w:val="Heading3"/>
      </w:pPr>
      <w:bookmarkStart w:id="20" w:name="_Toc235185113"/>
      <w:bookmarkStart w:id="21" w:name="_Toc235185293"/>
      <w:bookmarkStart w:id="22" w:name="_Toc235185591"/>
      <w:r w:rsidRPr="00E83D5E">
        <w:t xml:space="preserve">Leave tracker </w:t>
      </w:r>
      <w:r w:rsidRPr="00633032">
        <w:t>(optional)</w:t>
      </w:r>
      <w:bookmarkEnd w:id="20"/>
      <w:bookmarkEnd w:id="21"/>
      <w:bookmarkEnd w:id="22"/>
    </w:p>
    <w:p w14:paraId="5F64C7CF" w14:textId="5DF74219" w:rsidR="00224AEC" w:rsidRPr="008B05FE" w:rsidRDefault="00E83D5E" w:rsidP="008B05FE">
      <w:pPr>
        <w:rPr>
          <w:lang w:val="en-GB" w:bidi="ar-SA"/>
        </w:rPr>
        <w:sectPr w:rsidR="00224AEC" w:rsidRPr="008B05FE" w:rsidSect="001D52B2">
          <w:headerReference w:type="even" r:id="rId14"/>
          <w:footerReference w:type="even" r:id="rId15"/>
          <w:footerReference w:type="default" r:id="rId16"/>
          <w:headerReference w:type="first" r:id="rId17"/>
          <w:footerReference w:type="first" r:id="rId18"/>
          <w:pgSz w:w="11906" w:h="16838"/>
          <w:pgMar w:top="1134" w:right="720" w:bottom="720" w:left="720" w:header="720" w:footer="720" w:gutter="0"/>
          <w:cols w:space="720"/>
          <w:noEndnote/>
          <w:titlePg/>
          <w:docGrid w:linePitch="272"/>
        </w:sectPr>
      </w:pPr>
      <w:r w:rsidRPr="008B05FE">
        <w:rPr>
          <w:lang w:val="en-GB" w:bidi="ar-SA"/>
        </w:rPr>
        <w:t xml:space="preserve">The leave tracker is an optional </w:t>
      </w:r>
      <w:r w:rsidR="001E45AA" w:rsidRPr="008B05FE">
        <w:rPr>
          <w:lang w:val="en-GB" w:bidi="ar-SA"/>
        </w:rPr>
        <w:t>document;</w:t>
      </w:r>
      <w:r w:rsidRPr="008B05FE">
        <w:rPr>
          <w:lang w:val="en-GB" w:bidi="ar-SA"/>
        </w:rPr>
        <w:t xml:space="preserve"> to assist donors </w:t>
      </w:r>
      <w:r w:rsidR="001D0B75" w:rsidRPr="008B05FE">
        <w:rPr>
          <w:lang w:val="en-GB" w:bidi="ar-SA"/>
        </w:rPr>
        <w:t>with</w:t>
      </w:r>
      <w:r w:rsidRPr="008B05FE">
        <w:rPr>
          <w:lang w:val="en-GB" w:bidi="ar-SA"/>
        </w:rPr>
        <w:t xml:space="preserve"> track</w:t>
      </w:r>
      <w:r w:rsidR="001D0B75" w:rsidRPr="008B05FE">
        <w:rPr>
          <w:lang w:val="en-GB" w:bidi="ar-SA"/>
        </w:rPr>
        <w:t>ing</w:t>
      </w:r>
      <w:r w:rsidRPr="008B05FE">
        <w:rPr>
          <w:lang w:val="en-GB" w:bidi="ar-SA"/>
        </w:rPr>
        <w:t xml:space="preserve"> leave they take associated with their donation. This may include leave for work-up testing, medical appointments, surgery and recovery.</w:t>
      </w:r>
    </w:p>
    <w:p w14:paraId="308D17FC" w14:textId="70FA5CC9" w:rsidR="00E83D5E" w:rsidRPr="00E83D5E" w:rsidRDefault="00E83D5E" w:rsidP="00DD2069">
      <w:pPr>
        <w:pStyle w:val="Heading1"/>
      </w:pPr>
      <w:bookmarkStart w:id="23" w:name="_Toc235185592"/>
      <w:r w:rsidRPr="00E83D5E">
        <w:t>Leave reimbursement for full-time, part-time and casual employees</w:t>
      </w:r>
      <w:bookmarkEnd w:id="23"/>
    </w:p>
    <w:p w14:paraId="2FDDD9AB" w14:textId="006ADAE2" w:rsidR="00E83D5E" w:rsidRPr="00E83D5E" w:rsidRDefault="00E83D5E" w:rsidP="00DD2069">
      <w:pPr>
        <w:pStyle w:val="Heading2"/>
      </w:pPr>
      <w:bookmarkStart w:id="24" w:name="_Toc235185593"/>
      <w:r w:rsidRPr="00E83D5E">
        <w:t>Process overview</w:t>
      </w:r>
      <w:bookmarkEnd w:id="24"/>
    </w:p>
    <w:p w14:paraId="6CF434A8" w14:textId="77777777" w:rsidR="00E83D5E" w:rsidRPr="002267A5" w:rsidRDefault="00E83D5E" w:rsidP="002267A5">
      <w:pPr>
        <w:rPr>
          <w:lang w:val="en-GB" w:bidi="ar-SA"/>
        </w:rPr>
      </w:pPr>
      <w:r w:rsidRPr="002267A5">
        <w:rPr>
          <w:lang w:val="en-GB" w:bidi="ar-SA"/>
        </w:rPr>
        <w:t>The key steps for potential donors and donors who are full-time, part-time, or casually employed to claim leave reimbursement are:</w:t>
      </w:r>
    </w:p>
    <w:p w14:paraId="6F95126E" w14:textId="2B5E3D2F" w:rsidR="00E83D5E" w:rsidRPr="00317E6C" w:rsidRDefault="00E83D5E" w:rsidP="001E45AA">
      <w:pPr>
        <w:pStyle w:val="ListNumber"/>
      </w:pPr>
      <w:r w:rsidRPr="00317E6C">
        <w:t xml:space="preserve">Prior to surgery – </w:t>
      </w:r>
      <w:r w:rsidR="00EE62EA" w:rsidRPr="00317E6C">
        <w:t xml:space="preserve">the potential donor has a </w:t>
      </w:r>
      <w:r w:rsidRPr="00317E6C">
        <w:t xml:space="preserve">conversation </w:t>
      </w:r>
      <w:r w:rsidR="00EE62EA" w:rsidRPr="00317E6C">
        <w:t>with</w:t>
      </w:r>
      <w:r w:rsidRPr="00317E6C">
        <w:t xml:space="preserve"> their employer. Employer agrees to participate in the Program. </w:t>
      </w:r>
    </w:p>
    <w:p w14:paraId="44F0FA79" w14:textId="4C2DC853" w:rsidR="00E83D5E" w:rsidRPr="00317E6C" w:rsidRDefault="00E83D5E" w:rsidP="001E45AA">
      <w:pPr>
        <w:pStyle w:val="ListNumber"/>
      </w:pPr>
      <w:r w:rsidRPr="00317E6C">
        <w:t>Potential donor takes leave for work-up appointments and is paid during this time by the employer.</w:t>
      </w:r>
    </w:p>
    <w:p w14:paraId="6BC5DF2D" w14:textId="7D4D60F8" w:rsidR="00E83D5E" w:rsidRPr="00317E6C" w:rsidRDefault="00F47A4C" w:rsidP="00317E6C">
      <w:pPr>
        <w:pStyle w:val="ListNumber4"/>
      </w:pPr>
      <w:r w:rsidRPr="00317E6C">
        <w:t xml:space="preserve">If a potential donor </w:t>
      </w:r>
      <w:r w:rsidR="00AD299D" w:rsidRPr="00317E6C">
        <w:t xml:space="preserve">is </w:t>
      </w:r>
      <w:r w:rsidRPr="00317E6C">
        <w:t>found unsuitable to donate following work</w:t>
      </w:r>
      <w:r w:rsidR="0045212C" w:rsidRPr="00317E6C">
        <w:t>-</w:t>
      </w:r>
      <w:r w:rsidRPr="00317E6C">
        <w:t>up appointments or is claiming for work</w:t>
      </w:r>
      <w:r w:rsidR="0045212C" w:rsidRPr="00317E6C">
        <w:t>-</w:t>
      </w:r>
      <w:r w:rsidRPr="00317E6C">
        <w:t>up appointments only, the application form can be submitted following the last appointment.</w:t>
      </w:r>
    </w:p>
    <w:p w14:paraId="210FBEC8" w14:textId="281EABEF" w:rsidR="00E83D5E" w:rsidRPr="00317E6C" w:rsidRDefault="00E83D5E" w:rsidP="001E45AA">
      <w:pPr>
        <w:pStyle w:val="ListNumber"/>
      </w:pPr>
      <w:r w:rsidRPr="00317E6C">
        <w:rPr>
          <w:rStyle w:val="Strong"/>
        </w:rPr>
        <w:t>Donor takes leave</w:t>
      </w:r>
      <w:r w:rsidRPr="00317E6C">
        <w:t xml:space="preserve"> for donation surgery and </w:t>
      </w:r>
      <w:proofErr w:type="gramStart"/>
      <w:r w:rsidRPr="00317E6C">
        <w:t>recovery,</w:t>
      </w:r>
      <w:r w:rsidR="005206BB" w:rsidRPr="00317E6C">
        <w:t xml:space="preserve"> </w:t>
      </w:r>
      <w:r w:rsidRPr="00317E6C">
        <w:t>and</w:t>
      </w:r>
      <w:proofErr w:type="gramEnd"/>
      <w:r w:rsidRPr="00317E6C">
        <w:t xml:space="preserve"> is paid during this time by the employer.</w:t>
      </w:r>
    </w:p>
    <w:p w14:paraId="7416B4D4" w14:textId="6DBFA592" w:rsidR="00E83D5E" w:rsidRPr="00317E6C" w:rsidRDefault="00E83D5E" w:rsidP="001E45AA">
      <w:pPr>
        <w:pStyle w:val="ListNumber"/>
      </w:pPr>
      <w:r w:rsidRPr="00317E6C">
        <w:t>Donor returns to work following surgery and recovery.</w:t>
      </w:r>
    </w:p>
    <w:p w14:paraId="26240F5F" w14:textId="69B1B1EB" w:rsidR="00E83D5E" w:rsidRPr="00317E6C" w:rsidRDefault="00E83D5E" w:rsidP="001E45AA">
      <w:pPr>
        <w:pStyle w:val="ListNumber"/>
      </w:pPr>
      <w:r w:rsidRPr="00317E6C">
        <w:t>Donor submits the application form with supporting evidence to the Department of Health, Disability and Ageing (department).</w:t>
      </w:r>
    </w:p>
    <w:p w14:paraId="506E67C8" w14:textId="4FA1A7C1" w:rsidR="00E83D5E" w:rsidRPr="00317E6C" w:rsidRDefault="00E83D5E" w:rsidP="001E45AA">
      <w:pPr>
        <w:pStyle w:val="ListNumber"/>
      </w:pPr>
      <w:r w:rsidRPr="00317E6C">
        <w:t xml:space="preserve">The application is processed by the department. </w:t>
      </w:r>
    </w:p>
    <w:p w14:paraId="36904D4E" w14:textId="3FA2DD48" w:rsidR="00E83D5E" w:rsidRPr="00317E6C" w:rsidRDefault="00E83D5E" w:rsidP="00317E6C">
      <w:pPr>
        <w:pStyle w:val="List"/>
      </w:pPr>
      <w:r w:rsidRPr="00317E6C">
        <w:rPr>
          <w:rStyle w:val="Strong"/>
        </w:rPr>
        <w:t>Step 1</w:t>
      </w:r>
      <w:r w:rsidRPr="00317E6C">
        <w:t xml:space="preserve"> – Program </w:t>
      </w:r>
      <w:r w:rsidR="001D0B75" w:rsidRPr="00317E6C">
        <w:t>C</w:t>
      </w:r>
      <w:r w:rsidRPr="00317E6C">
        <w:t xml:space="preserve">oordinator (the ‘assessor’) assesses the information in the application form and the evidence provided. </w:t>
      </w:r>
    </w:p>
    <w:p w14:paraId="58F28785" w14:textId="660FDC36" w:rsidR="00E83D5E" w:rsidRPr="00317E6C" w:rsidRDefault="00E83D5E" w:rsidP="00317E6C">
      <w:pPr>
        <w:pStyle w:val="List"/>
      </w:pPr>
      <w:r w:rsidRPr="00317E6C">
        <w:rPr>
          <w:rStyle w:val="Strong"/>
        </w:rPr>
        <w:t>Step 2</w:t>
      </w:r>
      <w:r w:rsidRPr="00317E6C">
        <w:t xml:space="preserve"> – The application is then sent to another Program </w:t>
      </w:r>
      <w:r w:rsidR="001D0B75" w:rsidRPr="00317E6C">
        <w:t>C</w:t>
      </w:r>
      <w:r w:rsidRPr="00317E6C">
        <w:t>oordinator or manager (the ‘reviewer’), to verify the initial assessment.</w:t>
      </w:r>
    </w:p>
    <w:p w14:paraId="6B45DF84" w14:textId="097FE148" w:rsidR="00E83D5E" w:rsidRPr="00317E6C" w:rsidRDefault="00E83D5E" w:rsidP="00317E6C">
      <w:pPr>
        <w:pStyle w:val="List"/>
      </w:pPr>
      <w:r w:rsidRPr="00317E6C">
        <w:rPr>
          <w:rStyle w:val="Strong"/>
        </w:rPr>
        <w:t>Step 3</w:t>
      </w:r>
      <w:r w:rsidRPr="00317E6C">
        <w:t xml:space="preserve"> – The application is then sent to the Program delegate (the ‘approver’), who endorses the final assessment and approves payment of the reimbursement amount. </w:t>
      </w:r>
    </w:p>
    <w:p w14:paraId="729CC1DD" w14:textId="1BCD34C7" w:rsidR="00E83D5E" w:rsidRPr="00317E6C" w:rsidRDefault="00E83D5E" w:rsidP="001E45AA">
      <w:pPr>
        <w:pStyle w:val="ListNumber"/>
      </w:pPr>
      <w:r w:rsidRPr="00317E6C">
        <w:t xml:space="preserve">The approved application is processed for payment. Payment is made to the employer’s nominated account within 14 days after the Accounts area receive notification. </w:t>
      </w:r>
    </w:p>
    <w:p w14:paraId="02C61F52" w14:textId="67C34040" w:rsidR="00E83D5E" w:rsidRPr="00317E6C" w:rsidRDefault="001D0B75" w:rsidP="001E45AA">
      <w:pPr>
        <w:pStyle w:val="ListNumber"/>
      </w:pPr>
      <w:r w:rsidRPr="00317E6C">
        <w:t>Payment advice l</w:t>
      </w:r>
      <w:r w:rsidR="00E83D5E" w:rsidRPr="00317E6C">
        <w:t>etters to provide notification of payment are sent to the</w:t>
      </w:r>
      <w:r w:rsidRPr="00317E6C">
        <w:t xml:space="preserve"> donor and</w:t>
      </w:r>
      <w:r w:rsidR="00E83D5E" w:rsidRPr="00317E6C">
        <w:t xml:space="preserve"> employer via email.</w:t>
      </w:r>
    </w:p>
    <w:p w14:paraId="05AC2CCA" w14:textId="7AF94F67" w:rsidR="00E83D5E" w:rsidRPr="00317E6C" w:rsidRDefault="00E83D5E" w:rsidP="001E45AA">
      <w:pPr>
        <w:pStyle w:val="ListNumber"/>
      </w:pPr>
      <w:r w:rsidRPr="00317E6C">
        <w:t>Employer uses the payment to re-credit the donor’s leave, or as a reimbursement where an ex-gratia payment was made to the donor.</w:t>
      </w:r>
    </w:p>
    <w:p w14:paraId="393EE401" w14:textId="77BEC3C6" w:rsidR="00E83D5E" w:rsidRPr="002267A5" w:rsidRDefault="00E83D5E" w:rsidP="002267A5">
      <w:pPr>
        <w:rPr>
          <w:lang w:val="en-GB" w:bidi="ar-SA"/>
        </w:rPr>
      </w:pPr>
      <w:r w:rsidRPr="002267A5">
        <w:rPr>
          <w:lang w:val="en-GB" w:bidi="ar-SA"/>
        </w:rPr>
        <w:t xml:space="preserve">For claiming out-of-pocket expenses – </w:t>
      </w:r>
      <w:hyperlink w:anchor="_$500_lump-sum_payment" w:history="1">
        <w:r w:rsidRPr="00906A9B">
          <w:rPr>
            <w:rStyle w:val="Hyperlink"/>
            <w:lang w:val="en-GB" w:bidi="ar-SA"/>
          </w:rPr>
          <w:t>see parts 4</w:t>
        </w:r>
      </w:hyperlink>
      <w:r w:rsidRPr="002267A5">
        <w:rPr>
          <w:lang w:val="en-GB" w:bidi="ar-SA"/>
        </w:rPr>
        <w:t xml:space="preserve"> and </w:t>
      </w:r>
      <w:hyperlink w:anchor="_Out-of-pocket_expenses_reimbursemen" w:history="1">
        <w:r w:rsidRPr="00906A9B">
          <w:rPr>
            <w:rStyle w:val="Hyperlink"/>
            <w:lang w:val="en-GB" w:bidi="ar-SA"/>
          </w:rPr>
          <w:t>5</w:t>
        </w:r>
      </w:hyperlink>
      <w:r w:rsidRPr="002267A5">
        <w:rPr>
          <w:lang w:val="en-GB" w:bidi="ar-SA"/>
        </w:rPr>
        <w:t xml:space="preserve"> for details. </w:t>
      </w:r>
    </w:p>
    <w:p w14:paraId="3CBDC1B0" w14:textId="3215CB9C" w:rsidR="00E83D5E" w:rsidRPr="00E83D5E" w:rsidRDefault="00E83D5E" w:rsidP="00DD2069">
      <w:pPr>
        <w:pStyle w:val="Heading2"/>
      </w:pPr>
      <w:bookmarkStart w:id="25" w:name="_Toc235185594"/>
      <w:r w:rsidRPr="00E83D5E">
        <w:t>Process Steps</w:t>
      </w:r>
      <w:bookmarkEnd w:id="25"/>
    </w:p>
    <w:p w14:paraId="56BC447E" w14:textId="028E7E4F" w:rsidR="00E83D5E" w:rsidRPr="00E83D5E" w:rsidRDefault="00E83D5E" w:rsidP="008B05FE">
      <w:pPr>
        <w:pStyle w:val="Heading3"/>
      </w:pPr>
      <w:bookmarkStart w:id="26" w:name="_Toc235185114"/>
      <w:bookmarkStart w:id="27" w:name="_Toc235185294"/>
      <w:bookmarkStart w:id="28" w:name="_Toc235185595"/>
      <w:r w:rsidRPr="00E83D5E">
        <w:t xml:space="preserve">A conversation between the </w:t>
      </w:r>
      <w:r w:rsidR="00630885">
        <w:t xml:space="preserve">potential </w:t>
      </w:r>
      <w:r w:rsidRPr="00E83D5E">
        <w:t>donor and their employer</w:t>
      </w:r>
      <w:bookmarkEnd w:id="26"/>
      <w:bookmarkEnd w:id="27"/>
      <w:bookmarkEnd w:id="28"/>
    </w:p>
    <w:p w14:paraId="0F9C8186" w14:textId="36C105B0" w:rsidR="00E83D5E" w:rsidRPr="002267A5" w:rsidRDefault="00E83D5E" w:rsidP="002267A5">
      <w:pPr>
        <w:rPr>
          <w:lang w:val="en-GB" w:bidi="ar-SA"/>
        </w:rPr>
      </w:pPr>
      <w:r w:rsidRPr="002267A5">
        <w:rPr>
          <w:lang w:val="en-GB" w:bidi="ar-SA"/>
        </w:rPr>
        <w:t xml:space="preserve">Prior to surgery and submitting the application form, the </w:t>
      </w:r>
      <w:r w:rsidR="00F47A4C" w:rsidRPr="002267A5">
        <w:rPr>
          <w:lang w:val="en-GB" w:bidi="ar-SA"/>
        </w:rPr>
        <w:t xml:space="preserve">potential </w:t>
      </w:r>
      <w:r w:rsidRPr="002267A5">
        <w:rPr>
          <w:lang w:val="en-GB" w:bidi="ar-SA"/>
        </w:rPr>
        <w:t xml:space="preserve">donor should have a conversation with their employer to ensure they both understand the Program. </w:t>
      </w:r>
    </w:p>
    <w:p w14:paraId="0221ACCD" w14:textId="77777777" w:rsidR="00E83D5E" w:rsidRPr="002267A5" w:rsidRDefault="00E83D5E" w:rsidP="002267A5">
      <w:pPr>
        <w:rPr>
          <w:lang w:val="en-GB" w:bidi="ar-SA"/>
        </w:rPr>
      </w:pPr>
      <w:r w:rsidRPr="002267A5">
        <w:rPr>
          <w:lang w:val="en-GB" w:bidi="ar-SA"/>
        </w:rPr>
        <w:t xml:space="preserve">If the donor intends to claim for reimbursement of leave or ex-gratia payments, the employer must agree to participate and pay the donor for their time off. </w:t>
      </w:r>
    </w:p>
    <w:p w14:paraId="60EEF403" w14:textId="46B97B40" w:rsidR="00E83D5E" w:rsidRPr="002267A5" w:rsidRDefault="00E83D5E" w:rsidP="002267A5">
      <w:pPr>
        <w:rPr>
          <w:lang w:val="en-AU" w:bidi="ar-SA"/>
        </w:rPr>
      </w:pPr>
      <w:r w:rsidRPr="002267A5">
        <w:rPr>
          <w:lang w:val="en-GB" w:bidi="ar-SA"/>
        </w:rPr>
        <w:t xml:space="preserve">If the donor is a casual employee, or if the donor doesn’t have sufficient leave credits, the donor and their employer should agree on how the donor will be paid during their leave. For casual </w:t>
      </w:r>
      <w:r w:rsidR="008D45EB" w:rsidRPr="002267A5">
        <w:rPr>
          <w:lang w:val="en-GB" w:bidi="ar-SA"/>
        </w:rPr>
        <w:t xml:space="preserve">or part-time </w:t>
      </w:r>
      <w:r w:rsidRPr="002267A5">
        <w:rPr>
          <w:lang w:val="en-GB" w:bidi="ar-SA"/>
        </w:rPr>
        <w:t>employees, it is suggested that employers pay the donor based on the donor’s average weekly hours.</w:t>
      </w:r>
      <w:r w:rsidR="000A5505" w:rsidRPr="002267A5">
        <w:rPr>
          <w:lang w:val="en-GB" w:bidi="ar-SA"/>
        </w:rPr>
        <w:t xml:space="preserve"> </w:t>
      </w:r>
    </w:p>
    <w:p w14:paraId="4A13F221" w14:textId="4338254F" w:rsidR="00E83D5E" w:rsidRPr="002267A5" w:rsidRDefault="00E83D5E" w:rsidP="002267A5">
      <w:pPr>
        <w:rPr>
          <w:lang w:val="en-GB" w:bidi="ar-SA"/>
        </w:rPr>
      </w:pPr>
      <w:r w:rsidRPr="002267A5">
        <w:rPr>
          <w:lang w:val="en-GB" w:bidi="ar-SA"/>
        </w:rPr>
        <w:t xml:space="preserve">Should an employer pay the donor at their normal wage, the employer may be out-of-pocket if the donor’s normal wage is above the </w:t>
      </w:r>
      <w:hyperlink r:id="rId19" w:history="1">
        <w:r w:rsidRPr="002267A5">
          <w:rPr>
            <w:rStyle w:val="Hyperlink"/>
            <w:lang w:val="en-GB" w:bidi="ar-SA"/>
          </w:rPr>
          <w:t>National Minimum Wage</w:t>
        </w:r>
      </w:hyperlink>
      <w:r w:rsidRPr="002267A5">
        <w:rPr>
          <w:lang w:val="en-GB" w:bidi="ar-SA"/>
        </w:rPr>
        <w:t xml:space="preserve"> (NMW). There may also be out-of-pocket administrative costs, such as tax and superannuation to be considered by the employer. </w:t>
      </w:r>
    </w:p>
    <w:p w14:paraId="7A3CC110" w14:textId="4DCA68BC" w:rsidR="00E83D5E" w:rsidRPr="002267A5" w:rsidRDefault="00E83D5E" w:rsidP="002267A5">
      <w:pPr>
        <w:rPr>
          <w:lang w:val="en-GB" w:bidi="ar-SA"/>
        </w:rPr>
      </w:pPr>
      <w:r w:rsidRPr="002267A5">
        <w:rPr>
          <w:lang w:val="en-GB" w:bidi="ar-SA"/>
        </w:rPr>
        <w:t xml:space="preserve">Although employers are encouraged to re-credit their employee’s leave entitlements in full, there </w:t>
      </w:r>
      <w:r w:rsidR="001D0B75" w:rsidRPr="002267A5">
        <w:rPr>
          <w:lang w:val="en-GB" w:bidi="ar-SA"/>
        </w:rPr>
        <w:t>may be</w:t>
      </w:r>
      <w:r w:rsidRPr="002267A5">
        <w:rPr>
          <w:lang w:val="en-GB" w:bidi="ar-SA"/>
        </w:rPr>
        <w:t xml:space="preserve"> no legal obligation to do so. </w:t>
      </w:r>
    </w:p>
    <w:p w14:paraId="07C7844B" w14:textId="77CD672D" w:rsidR="00E83D5E" w:rsidRPr="002267A5" w:rsidRDefault="00E83D5E" w:rsidP="002267A5">
      <w:pPr>
        <w:rPr>
          <w:lang w:val="en-GB" w:bidi="ar-SA"/>
        </w:rPr>
      </w:pPr>
      <w:r w:rsidRPr="002267A5">
        <w:rPr>
          <w:lang w:val="en-GB" w:bidi="ar-SA"/>
        </w:rPr>
        <w:t xml:space="preserve">An employer may wish to only re-credit a portion of the leave entitlements used by the employee, noting that the reimbursement payment is calculated at the NMW. </w:t>
      </w:r>
    </w:p>
    <w:p w14:paraId="1B4144FB" w14:textId="77777777" w:rsidR="00D35A9F" w:rsidRPr="002267A5" w:rsidRDefault="00E83D5E" w:rsidP="002267A5">
      <w:pPr>
        <w:rPr>
          <w:lang w:val="en-GB" w:bidi="ar-SA"/>
        </w:rPr>
      </w:pPr>
      <w:r w:rsidRPr="002267A5">
        <w:rPr>
          <w:lang w:val="en-GB" w:bidi="ar-SA"/>
        </w:rPr>
        <w:t xml:space="preserve">Alternatively, an employer may choose to pay the donor at the NMW for time off, for which they would be reimbursed in full under the Program up to 342 hours of leave or 684 hours for donors that require extended medical leave and provide an extended medical leave form. </w:t>
      </w:r>
    </w:p>
    <w:p w14:paraId="3FCB3E20" w14:textId="77CB1D7E" w:rsidR="00E83D5E" w:rsidRPr="00E83D5E" w:rsidRDefault="00E83D5E" w:rsidP="008B05FE">
      <w:pPr>
        <w:pStyle w:val="Heading3"/>
      </w:pPr>
      <w:bookmarkStart w:id="29" w:name="_Toc235185115"/>
      <w:bookmarkStart w:id="30" w:name="_Toc235185295"/>
      <w:bookmarkStart w:id="31" w:name="_Toc235185596"/>
      <w:bookmarkStart w:id="32" w:name="_Complete_the_application"/>
      <w:bookmarkEnd w:id="32"/>
      <w:r w:rsidRPr="00E83D5E">
        <w:t>Complete the application form</w:t>
      </w:r>
      <w:bookmarkEnd w:id="29"/>
      <w:bookmarkEnd w:id="30"/>
      <w:bookmarkEnd w:id="31"/>
    </w:p>
    <w:p w14:paraId="731B2E3C" w14:textId="77777777" w:rsidR="00E83D5E" w:rsidRPr="008B05FE" w:rsidRDefault="00E83D5E" w:rsidP="008B05FE">
      <w:pPr>
        <w:rPr>
          <w:lang w:val="en-GB" w:bidi="ar-SA"/>
        </w:rPr>
      </w:pPr>
      <w:r w:rsidRPr="008B05FE">
        <w:rPr>
          <w:lang w:val="en-GB" w:bidi="ar-SA"/>
        </w:rPr>
        <w:t xml:space="preserve">To participate in the Program, the donor must complete and </w:t>
      </w:r>
      <w:proofErr w:type="gramStart"/>
      <w:r w:rsidRPr="008B05FE">
        <w:rPr>
          <w:lang w:val="en-GB" w:bidi="ar-SA"/>
        </w:rPr>
        <w:t>submit an application</w:t>
      </w:r>
      <w:proofErr w:type="gramEnd"/>
      <w:r w:rsidRPr="008B05FE">
        <w:rPr>
          <w:lang w:val="en-GB" w:bidi="ar-SA"/>
        </w:rPr>
        <w:t xml:space="preserve"> form within 120 calendar days following their return to work after donation surgery. If the donor is claiming for reimbursement of leave, the employer must complete and sign Part B of this form to indicate that they agree to participate in the Program. </w:t>
      </w:r>
    </w:p>
    <w:p w14:paraId="74C9A11D" w14:textId="674136FA" w:rsidR="00E83D5E" w:rsidRPr="002267A5" w:rsidRDefault="00E83D5E" w:rsidP="002267A5">
      <w:pPr>
        <w:rPr>
          <w:lang w:val="en-GB" w:bidi="ar-SA"/>
        </w:rPr>
      </w:pPr>
      <w:r w:rsidRPr="002267A5">
        <w:rPr>
          <w:rStyle w:val="Strong"/>
          <w:lang w:val="en-GB" w:bidi="ar-SA"/>
        </w:rPr>
        <w:t>Part A – Donor information</w:t>
      </w:r>
      <w:r w:rsidRPr="002267A5">
        <w:rPr>
          <w:lang w:val="en-GB" w:bidi="ar-SA"/>
        </w:rPr>
        <w:t xml:space="preserve"> – to be completed and signed by the donor </w:t>
      </w:r>
      <w:r w:rsidR="001D0B75" w:rsidRPr="002267A5">
        <w:rPr>
          <w:lang w:val="en-GB" w:bidi="ar-SA"/>
        </w:rPr>
        <w:t>(and</w:t>
      </w:r>
      <w:r w:rsidRPr="002267A5">
        <w:rPr>
          <w:lang w:val="en-GB" w:bidi="ar-SA"/>
        </w:rPr>
        <w:t xml:space="preserve"> self-employed donors</w:t>
      </w:r>
      <w:r w:rsidR="001D0B75" w:rsidRPr="002267A5">
        <w:rPr>
          <w:lang w:val="en-GB" w:bidi="ar-SA"/>
        </w:rPr>
        <w:t>)</w:t>
      </w:r>
      <w:r w:rsidRPr="002267A5">
        <w:rPr>
          <w:lang w:val="en-GB" w:bidi="ar-SA"/>
        </w:rPr>
        <w:t xml:space="preserve">. </w:t>
      </w:r>
    </w:p>
    <w:p w14:paraId="7636D655" w14:textId="0834C016" w:rsidR="00E83D5E" w:rsidRPr="002267A5" w:rsidRDefault="00E83D5E" w:rsidP="002267A5">
      <w:pPr>
        <w:rPr>
          <w:lang w:val="en-GB" w:bidi="ar-SA"/>
        </w:rPr>
      </w:pPr>
      <w:r w:rsidRPr="002267A5">
        <w:rPr>
          <w:rStyle w:val="Strong"/>
          <w:lang w:val="en-GB" w:bidi="ar-SA"/>
        </w:rPr>
        <w:t>Part B – Employer information</w:t>
      </w:r>
      <w:r w:rsidRPr="002267A5">
        <w:rPr>
          <w:lang w:val="en-GB" w:bidi="ar-SA"/>
        </w:rPr>
        <w:t xml:space="preserve"> – to be completed and signed by the donor’s employer.</w:t>
      </w:r>
    </w:p>
    <w:p w14:paraId="30C98460" w14:textId="77777777" w:rsidR="00E83D5E" w:rsidRPr="002267A5" w:rsidRDefault="00E83D5E" w:rsidP="002267A5">
      <w:pPr>
        <w:rPr>
          <w:lang w:val="en-GB" w:bidi="ar-SA"/>
        </w:rPr>
      </w:pPr>
      <w:r w:rsidRPr="00133328">
        <w:rPr>
          <w:lang w:val="en-GB" w:bidi="ar-SA"/>
        </w:rPr>
        <w:t>I</w:t>
      </w:r>
      <w:r w:rsidRPr="002267A5">
        <w:rPr>
          <w:lang w:val="en-GB" w:bidi="ar-SA"/>
        </w:rPr>
        <w:t xml:space="preserve">ncomplete applications cannot be assessed. If the application is incomplete and/or more information is required, the donor will be contacted by the department and processing of the application will be delayed. Refer to </w:t>
      </w:r>
      <w:proofErr w:type="spellStart"/>
      <w:r w:rsidRPr="002267A5">
        <w:rPr>
          <w:lang w:val="en-GB" w:bidi="ar-SA"/>
        </w:rPr>
        <w:t>part</w:t>
      </w:r>
      <w:proofErr w:type="spellEnd"/>
      <w:r w:rsidRPr="002267A5">
        <w:rPr>
          <w:lang w:val="en-GB" w:bidi="ar-SA"/>
        </w:rPr>
        <w:t xml:space="preserve"> 1.5 for evidence requirements.  </w:t>
      </w:r>
    </w:p>
    <w:p w14:paraId="3DE81657" w14:textId="77777777" w:rsidR="00E83D5E" w:rsidRPr="002267A5" w:rsidRDefault="00E83D5E" w:rsidP="002267A5">
      <w:pPr>
        <w:rPr>
          <w:lang w:val="en-GB" w:bidi="ar-SA"/>
        </w:rPr>
      </w:pPr>
      <w:r w:rsidRPr="002267A5">
        <w:rPr>
          <w:lang w:val="en-GB" w:bidi="ar-SA"/>
        </w:rPr>
        <w:t xml:space="preserve">If the application is ineligible, the donor and employer will be contacted by the department and receive an email notification advising of this outcome. Refer to part 7 regarding a review of decision. </w:t>
      </w:r>
    </w:p>
    <w:p w14:paraId="0BADDBAE" w14:textId="13BCB946" w:rsidR="00E83D5E" w:rsidRPr="00E83D5E" w:rsidRDefault="00E83D5E" w:rsidP="008B05FE">
      <w:pPr>
        <w:pStyle w:val="Heading3"/>
      </w:pPr>
      <w:bookmarkStart w:id="33" w:name="_Toc235185116"/>
      <w:bookmarkStart w:id="34" w:name="_Toc235185296"/>
      <w:bookmarkStart w:id="35" w:name="_Toc235185597"/>
      <w:r w:rsidRPr="00E83D5E">
        <w:t>Claiming for leave reimbursement</w:t>
      </w:r>
      <w:bookmarkEnd w:id="33"/>
      <w:bookmarkEnd w:id="34"/>
      <w:bookmarkEnd w:id="35"/>
    </w:p>
    <w:p w14:paraId="27D14E0C" w14:textId="6CAFC0BB" w:rsidR="00E83D5E" w:rsidRPr="002267A5" w:rsidRDefault="00E83D5E" w:rsidP="002267A5">
      <w:pPr>
        <w:rPr>
          <w:lang w:val="en-GB" w:bidi="ar-SA"/>
        </w:rPr>
      </w:pPr>
      <w:r w:rsidRPr="002267A5">
        <w:rPr>
          <w:lang w:val="en-GB" w:bidi="ar-SA"/>
        </w:rPr>
        <w:t xml:space="preserve">In addition to completing the application form, the donor must provide evidence to support the claim (see part 1.5 for details). Examples of </w:t>
      </w:r>
      <w:r w:rsidR="001D0B75" w:rsidRPr="002267A5">
        <w:rPr>
          <w:lang w:val="en-GB" w:bidi="ar-SA"/>
        </w:rPr>
        <w:t xml:space="preserve">medical </w:t>
      </w:r>
      <w:r w:rsidRPr="002267A5">
        <w:rPr>
          <w:lang w:val="en-GB" w:bidi="ar-SA"/>
        </w:rPr>
        <w:t xml:space="preserve">evidence </w:t>
      </w:r>
      <w:proofErr w:type="gramStart"/>
      <w:r w:rsidRPr="002267A5">
        <w:rPr>
          <w:lang w:val="en-GB" w:bidi="ar-SA"/>
        </w:rPr>
        <w:t>are:</w:t>
      </w:r>
      <w:proofErr w:type="gramEnd"/>
      <w:r w:rsidRPr="002267A5">
        <w:rPr>
          <w:lang w:val="en-GB" w:bidi="ar-SA"/>
        </w:rPr>
        <w:t xml:space="preserve"> a medical certificate, appointment tracker, or other </w:t>
      </w:r>
      <w:r w:rsidR="001D0B75" w:rsidRPr="002267A5">
        <w:rPr>
          <w:lang w:val="en-GB" w:bidi="ar-SA"/>
        </w:rPr>
        <w:t>written confirmation from the transplant coordinator or surgeon</w:t>
      </w:r>
      <w:r w:rsidRPr="002267A5">
        <w:rPr>
          <w:lang w:val="en-GB" w:bidi="ar-SA"/>
        </w:rPr>
        <w:t xml:space="preserve"> that verifies the dates of leave taken</w:t>
      </w:r>
      <w:r w:rsidR="001D0B75" w:rsidRPr="002267A5">
        <w:rPr>
          <w:lang w:val="en-GB" w:bidi="ar-SA"/>
        </w:rPr>
        <w:t>. This is also required for</w:t>
      </w:r>
      <w:r w:rsidRPr="002267A5">
        <w:rPr>
          <w:lang w:val="en-GB" w:bidi="ar-SA"/>
        </w:rPr>
        <w:t xml:space="preserve"> leave taken to attend medical appointments for work-up testing. Evidence</w:t>
      </w:r>
      <w:r w:rsidR="001D0B75" w:rsidRPr="002267A5">
        <w:rPr>
          <w:lang w:val="en-GB" w:bidi="ar-SA"/>
        </w:rPr>
        <w:t xml:space="preserve"> that the donor was paid for their leave</w:t>
      </w:r>
      <w:r w:rsidRPr="002267A5">
        <w:rPr>
          <w:lang w:val="en-GB" w:bidi="ar-SA"/>
        </w:rPr>
        <w:t>, such as payslips, that align with the dates of the medical certificate/signed appointment tracker</w:t>
      </w:r>
      <w:r w:rsidR="007D0916" w:rsidRPr="002267A5">
        <w:rPr>
          <w:lang w:val="en-GB" w:bidi="ar-SA"/>
        </w:rPr>
        <w:t xml:space="preserve">, </w:t>
      </w:r>
      <w:r w:rsidRPr="002267A5">
        <w:rPr>
          <w:lang w:val="en-GB" w:bidi="ar-SA"/>
        </w:rPr>
        <w:t xml:space="preserve">is also required. </w:t>
      </w:r>
    </w:p>
    <w:p w14:paraId="23ABDFCD" w14:textId="5EA53020" w:rsidR="00E83D5E" w:rsidRPr="00DD2069" w:rsidRDefault="00E83D5E" w:rsidP="00DD2069">
      <w:pPr>
        <w:rPr>
          <w:rStyle w:val="Strong"/>
          <w:lang w:val="en-GB" w:bidi="ar-SA"/>
        </w:rPr>
      </w:pPr>
      <w:r w:rsidRPr="00DD2069">
        <w:rPr>
          <w:rStyle w:val="Strong"/>
          <w:lang w:val="en-GB" w:bidi="ar-SA"/>
        </w:rPr>
        <w:t>Hours of leave claimed without a medical certificate and evidence of payment, will not be used in calculating the reimbursement payment.</w:t>
      </w:r>
    </w:p>
    <w:p w14:paraId="13B59337" w14:textId="05D5085B" w:rsidR="00E83D5E" w:rsidRPr="008B05FE" w:rsidRDefault="4AA2D89D" w:rsidP="008B05FE">
      <w:pPr>
        <w:rPr>
          <w:lang w:val="en-AU" w:bidi="ar-SA"/>
        </w:rPr>
      </w:pPr>
      <w:r w:rsidRPr="008B05FE">
        <w:rPr>
          <w:lang w:val="en-GB" w:bidi="ar-SA"/>
        </w:rPr>
        <w:t>A claim for</w:t>
      </w:r>
      <w:r w:rsidR="2FD9732C" w:rsidRPr="008B05FE">
        <w:rPr>
          <w:lang w:val="en-GB" w:bidi="ar-SA"/>
        </w:rPr>
        <w:t xml:space="preserve"> reimbursement of</w:t>
      </w:r>
      <w:r w:rsidRPr="008B05FE">
        <w:rPr>
          <w:lang w:val="en-GB" w:bidi="ar-SA"/>
        </w:rPr>
        <w:t xml:space="preserve"> leave taken for medical appointments to undergo work-up testing, donation surgery and recovery cannot exceed 342 hours (or 684 hours for donors that require extended medical leave and provide an extended medical leave form).</w:t>
      </w:r>
      <w:r w:rsidR="08153E0C" w:rsidRPr="008B05FE">
        <w:rPr>
          <w:lang w:val="en-GB" w:bidi="ar-SA"/>
        </w:rPr>
        <w:t xml:space="preserve"> </w:t>
      </w:r>
    </w:p>
    <w:p w14:paraId="37DD735B" w14:textId="77777777" w:rsidR="00E83D5E" w:rsidRPr="008B05FE" w:rsidRDefault="00E83D5E" w:rsidP="008B05FE">
      <w:pPr>
        <w:rPr>
          <w:lang w:val="en-GB" w:bidi="ar-SA"/>
        </w:rPr>
      </w:pPr>
      <w:r w:rsidRPr="008B05FE">
        <w:rPr>
          <w:lang w:val="en-GB" w:bidi="ar-SA"/>
        </w:rPr>
        <w:t xml:space="preserve">An application can only be submitted </w:t>
      </w:r>
      <w:r w:rsidRPr="008B05FE">
        <w:rPr>
          <w:rStyle w:val="Strong"/>
          <w:lang w:val="en-GB" w:bidi="ar-SA"/>
        </w:rPr>
        <w:t>after</w:t>
      </w:r>
      <w:r w:rsidRPr="008B05FE">
        <w:rPr>
          <w:lang w:val="en-GB" w:bidi="ar-SA"/>
        </w:rPr>
        <w:t xml:space="preserve"> all leave is completed and the employer has paid the donor for their time off work. Applications will not be progressed until all supporting documentation has been received.</w:t>
      </w:r>
    </w:p>
    <w:p w14:paraId="459F43BF" w14:textId="77777777" w:rsidR="00E83D5E" w:rsidRPr="002267A5" w:rsidRDefault="00E83D5E" w:rsidP="002267A5">
      <w:pPr>
        <w:rPr>
          <w:lang w:val="en-GB" w:bidi="ar-SA"/>
        </w:rPr>
      </w:pPr>
      <w:r w:rsidRPr="002267A5">
        <w:rPr>
          <w:lang w:val="en-GB" w:bidi="ar-SA"/>
        </w:rPr>
        <w:t>Program payment calculations do not include:</w:t>
      </w:r>
    </w:p>
    <w:p w14:paraId="09F6E07D" w14:textId="07BBAC27" w:rsidR="00E83D5E" w:rsidRPr="00DD2069" w:rsidRDefault="00E83D5E" w:rsidP="00DD2069">
      <w:pPr>
        <w:pStyle w:val="ListBullet"/>
        <w:rPr>
          <w:lang w:val="en-GB" w:bidi="ar-SA"/>
        </w:rPr>
      </w:pPr>
      <w:r w:rsidRPr="00DD2069">
        <w:rPr>
          <w:lang w:val="en-GB" w:bidi="ar-SA"/>
        </w:rPr>
        <w:t>unpaid leave</w:t>
      </w:r>
    </w:p>
    <w:p w14:paraId="5F0ED6AD" w14:textId="3A5EB454" w:rsidR="00E83D5E" w:rsidRPr="00DD2069" w:rsidRDefault="00E83D5E" w:rsidP="00DD2069">
      <w:pPr>
        <w:pStyle w:val="ListBullet"/>
        <w:rPr>
          <w:lang w:val="en-GB" w:bidi="ar-SA"/>
        </w:rPr>
      </w:pPr>
      <w:r w:rsidRPr="00DD2069">
        <w:rPr>
          <w:lang w:val="en-GB" w:bidi="ar-SA"/>
        </w:rPr>
        <w:t>leave taken for purposes other than donation (i.e. carer’s leave)</w:t>
      </w:r>
    </w:p>
    <w:p w14:paraId="574E9EB0" w14:textId="48BCDD49" w:rsidR="00E83D5E" w:rsidRPr="00DD2069" w:rsidRDefault="00E83D5E" w:rsidP="00DD2069">
      <w:pPr>
        <w:pStyle w:val="ListBullet"/>
        <w:rPr>
          <w:lang w:val="en-GB" w:bidi="ar-SA"/>
        </w:rPr>
      </w:pPr>
      <w:r w:rsidRPr="00DD2069">
        <w:rPr>
          <w:lang w:val="en-GB" w:bidi="ar-SA"/>
        </w:rPr>
        <w:t xml:space="preserve">casual loading for casual employees and </w:t>
      </w:r>
    </w:p>
    <w:p w14:paraId="7E2A98BB" w14:textId="2A93F376" w:rsidR="00E83D5E" w:rsidRPr="00DD2069" w:rsidRDefault="00E83D5E" w:rsidP="00DD2069">
      <w:pPr>
        <w:pStyle w:val="ListBullet"/>
        <w:rPr>
          <w:lang w:val="en-GB" w:bidi="ar-SA"/>
        </w:rPr>
      </w:pPr>
      <w:r w:rsidRPr="00DD2069">
        <w:rPr>
          <w:lang w:val="en-GB" w:bidi="ar-SA"/>
        </w:rPr>
        <w:t>public holidays not usually worked.</w:t>
      </w:r>
    </w:p>
    <w:p w14:paraId="4332331F" w14:textId="6AB9CE27" w:rsidR="00E83D5E" w:rsidRPr="00DD2069" w:rsidRDefault="00E83D5E" w:rsidP="00DD2069">
      <w:pPr>
        <w:rPr>
          <w:rStyle w:val="Strong"/>
          <w:lang w:val="en-GB" w:bidi="ar-SA"/>
        </w:rPr>
      </w:pPr>
      <w:r w:rsidRPr="00DD2069">
        <w:rPr>
          <w:rStyle w:val="Strong"/>
          <w:lang w:val="en-GB" w:bidi="ar-SA"/>
        </w:rPr>
        <w:t>* If also claiming for out-of-pocket expenses, please refer to parts 4 and 5.</w:t>
      </w:r>
    </w:p>
    <w:p w14:paraId="64788CA9" w14:textId="77777777" w:rsidR="00224AEC" w:rsidRPr="00DD2069" w:rsidRDefault="00224AEC" w:rsidP="00DD2069">
      <w:pPr>
        <w:rPr>
          <w:lang w:val="en-GB" w:bidi="ar-SA"/>
        </w:rPr>
      </w:pPr>
      <w:r w:rsidRPr="00DD2069">
        <w:rPr>
          <w:lang w:val="en-GB" w:bidi="ar-SA"/>
        </w:rPr>
        <w:br w:type="page"/>
      </w:r>
    </w:p>
    <w:p w14:paraId="68D55F6D" w14:textId="752696EA" w:rsidR="00E83D5E" w:rsidRPr="00DD2069" w:rsidRDefault="00E83D5E" w:rsidP="00DD2069">
      <w:pPr>
        <w:pStyle w:val="Heading4"/>
      </w:pPr>
      <w:r w:rsidRPr="00DD2069">
        <w:t>CASE STUDY 1</w:t>
      </w:r>
    </w:p>
    <w:p w14:paraId="5CBABCA0" w14:textId="77777777" w:rsidR="00E83D5E" w:rsidRPr="00317E6C" w:rsidRDefault="00E83D5E" w:rsidP="00317E6C">
      <w:pPr>
        <w:rPr>
          <w:rStyle w:val="Strong"/>
          <w:lang w:val="en-GB" w:bidi="ar-SA"/>
        </w:rPr>
      </w:pPr>
      <w:r w:rsidRPr="00317E6C">
        <w:rPr>
          <w:rStyle w:val="Strong"/>
          <w:lang w:val="en-GB" w:bidi="ar-SA"/>
        </w:rPr>
        <w:t xml:space="preserve">Claire is donating a kidney to her sister Julie. She is required to take 7 weeks off work following surgery. She has used 1 week of paid annual leave to travel to her nearest transplant hospital for work-up testing. Claire will use her paid sick leave to undergo surgery and recovery. Claire earns more than the NMW. What can Claire claim through the Program? </w:t>
      </w:r>
    </w:p>
    <w:p w14:paraId="02E332C6" w14:textId="77777777" w:rsidR="00E83D5E" w:rsidRPr="00DD2069" w:rsidRDefault="00E83D5E" w:rsidP="00DD2069">
      <w:pPr>
        <w:rPr>
          <w:rStyle w:val="Emphasis"/>
        </w:rPr>
      </w:pPr>
      <w:r w:rsidRPr="00DD2069">
        <w:rPr>
          <w:rStyle w:val="Emphasis"/>
        </w:rPr>
        <w:t xml:space="preserve">Claire will need to have a conversation with her employer to determine if they are willing to participate in the Program. The employer will need to understand that Claire will take her paid leave as normal (7.5 hours per day), and the Program will reimburse Claire’s paid leave hours at the NMW. </w:t>
      </w:r>
    </w:p>
    <w:p w14:paraId="611F97F1" w14:textId="77777777" w:rsidR="00E83D5E" w:rsidRPr="00DD2069" w:rsidRDefault="00E83D5E" w:rsidP="00DD2069">
      <w:pPr>
        <w:rPr>
          <w:rStyle w:val="Emphasis"/>
        </w:rPr>
      </w:pPr>
      <w:r w:rsidRPr="00DD2069">
        <w:rPr>
          <w:rStyle w:val="Emphasis"/>
        </w:rPr>
        <w:t xml:space="preserve">Claire can claim for both the annual leave she used for her work-up testing, and the sick leave she will use for her surgery and recovery. A total of 300 hours of paid leave. </w:t>
      </w:r>
    </w:p>
    <w:p w14:paraId="1414D35F" w14:textId="77777777" w:rsidR="00E83D5E" w:rsidRPr="00DD2069" w:rsidRDefault="00E83D5E" w:rsidP="00DD2069">
      <w:pPr>
        <w:rPr>
          <w:rStyle w:val="Emphasis"/>
        </w:rPr>
      </w:pPr>
      <w:r w:rsidRPr="00DD2069">
        <w:rPr>
          <w:rStyle w:val="Emphasis"/>
        </w:rPr>
        <w:t>The employer will then need to decide if they are willing to replenish all of Claire’s leave or a portion of her leave, in line with the reimbursement amount which is calculated at the NMW.</w:t>
      </w:r>
    </w:p>
    <w:p w14:paraId="7DFD8D51" w14:textId="77777777" w:rsidR="00E83D5E" w:rsidRPr="00317E6C" w:rsidRDefault="00E83D5E" w:rsidP="00317E6C">
      <w:pPr>
        <w:rPr>
          <w:rStyle w:val="IntenseEmphasis"/>
          <w:lang w:val="en-GB" w:bidi="ar-SA"/>
        </w:rPr>
      </w:pPr>
      <w:r w:rsidRPr="00317E6C">
        <w:rPr>
          <w:rStyle w:val="IntenseEmphasis"/>
          <w:lang w:val="en-GB" w:bidi="ar-SA"/>
        </w:rPr>
        <w:t>The reimbursement payment will be made to the employer’s nominated business bank account.</w:t>
      </w:r>
    </w:p>
    <w:p w14:paraId="03236A45" w14:textId="77777777" w:rsidR="00E83D5E" w:rsidRPr="00DD2069" w:rsidRDefault="00E83D5E" w:rsidP="00DD2069">
      <w:pPr>
        <w:pStyle w:val="Heading4"/>
      </w:pPr>
      <w:r w:rsidRPr="00DD2069">
        <w:t>CASE STUDY 2</w:t>
      </w:r>
    </w:p>
    <w:p w14:paraId="00B086B4" w14:textId="77777777" w:rsidR="00E83D5E" w:rsidRPr="00317E6C" w:rsidRDefault="00E83D5E" w:rsidP="00317E6C">
      <w:pPr>
        <w:rPr>
          <w:rStyle w:val="Strong"/>
          <w:lang w:val="en-GB" w:bidi="ar-SA"/>
        </w:rPr>
      </w:pPr>
      <w:r w:rsidRPr="00317E6C">
        <w:rPr>
          <w:rStyle w:val="Strong"/>
          <w:lang w:val="en-GB" w:bidi="ar-SA"/>
        </w:rPr>
        <w:t>Trevor is an aged care worker who would like to donate his kidney altruistically. His transplant coordinator has indicated he may need 9 weeks off work for surgery and recovery. Unfortunately, Trevor only has 4 weeks of sick leave and 2 weeks of recreational leave. Trevor earns more than the NMW. What are Trevor’s options for claiming reimbursement of leave through the Program?</w:t>
      </w:r>
    </w:p>
    <w:p w14:paraId="0F2C4C43" w14:textId="77777777" w:rsidR="00E83D5E" w:rsidRPr="002C662A" w:rsidRDefault="00E83D5E" w:rsidP="002C662A">
      <w:pPr>
        <w:rPr>
          <w:rStyle w:val="Emphasis"/>
        </w:rPr>
      </w:pPr>
      <w:r w:rsidRPr="002C662A">
        <w:rPr>
          <w:rStyle w:val="Emphasis"/>
        </w:rPr>
        <w:t xml:space="preserve">Trevor will need to have a conversation with his employer to determine if they are willing to participate in the Program. The employer will need to understand that the Program can only reimburse paid leave at the NMW. </w:t>
      </w:r>
    </w:p>
    <w:p w14:paraId="3176588A" w14:textId="1E1C505D" w:rsidR="00E83D5E" w:rsidRPr="002C662A" w:rsidRDefault="00E83D5E" w:rsidP="002C662A">
      <w:pPr>
        <w:rPr>
          <w:rStyle w:val="Emphasis"/>
        </w:rPr>
      </w:pPr>
      <w:r w:rsidRPr="002C662A">
        <w:rPr>
          <w:rStyle w:val="Emphasis"/>
        </w:rPr>
        <w:t>The employer will then need to decide following Trevor’s 6 weeks of paid leave, if they could provide an ex-gratia payment to Trevor for his additional time off work (3 weeks). His employer will be reimbursed for 6 weeks of leave plus the ex-gratia</w:t>
      </w:r>
      <w:r w:rsidR="00153600" w:rsidRPr="002C662A">
        <w:rPr>
          <w:rStyle w:val="Emphasis"/>
        </w:rPr>
        <w:t xml:space="preserve"> payment</w:t>
      </w:r>
      <w:r w:rsidRPr="002C662A">
        <w:rPr>
          <w:rStyle w:val="Emphasis"/>
        </w:rPr>
        <w:t xml:space="preserve"> calculated at the NMW.</w:t>
      </w:r>
    </w:p>
    <w:p w14:paraId="242F614F" w14:textId="77777777" w:rsidR="00E83D5E" w:rsidRPr="002C662A" w:rsidRDefault="00E83D5E" w:rsidP="002C662A">
      <w:pPr>
        <w:rPr>
          <w:rStyle w:val="Emphasis"/>
        </w:rPr>
      </w:pPr>
      <w:r w:rsidRPr="002C662A">
        <w:rPr>
          <w:rStyle w:val="Emphasis"/>
        </w:rPr>
        <w:t>If the employer is not willing to provide an ex-gratia payment, Trevor can take his 6 weeks of paid leave and the remainder as leave without pay. His employer will be reimbursed for 6 weeks of leave at the NMW. The employer can choose to re-credit all 6 weeks of Trevor’s leave, or they can choose to re-credit a proportion of Trevor’s leave credits, in line with the reimbursement amount which is calculated at the NMW.</w:t>
      </w:r>
    </w:p>
    <w:p w14:paraId="48B4E213" w14:textId="236F4E45" w:rsidR="00E83D5E" w:rsidRPr="002C662A" w:rsidRDefault="00E83D5E" w:rsidP="002C662A">
      <w:pPr>
        <w:rPr>
          <w:rStyle w:val="Emphasis"/>
        </w:rPr>
      </w:pPr>
      <w:r w:rsidRPr="002C662A">
        <w:rPr>
          <w:rStyle w:val="Emphasis"/>
        </w:rPr>
        <w:t xml:space="preserve">If Trevor’s employer is willing to provide Trevor with an ex-gratia payment for the entire 9 week leave period, or for the 3 weeks not covered by Trevor’s sick and annual leave, the employer can choose to pay Trevor at his usual rate and the employer will be out-of-pocket for the difference between his usual </w:t>
      </w:r>
      <w:r w:rsidR="00153600" w:rsidRPr="002C662A">
        <w:rPr>
          <w:rStyle w:val="Emphasis"/>
        </w:rPr>
        <w:t>rat</w:t>
      </w:r>
      <w:r w:rsidRPr="002C662A">
        <w:rPr>
          <w:rStyle w:val="Emphasis"/>
        </w:rPr>
        <w:t xml:space="preserve">e and the NMW. Or they can provide the payment at the NMW and receive full reimbursement. </w:t>
      </w:r>
    </w:p>
    <w:p w14:paraId="5E51CC97" w14:textId="77777777" w:rsidR="00E83D5E" w:rsidRPr="00DD2069" w:rsidRDefault="00E83D5E" w:rsidP="00DD2069">
      <w:pPr>
        <w:rPr>
          <w:rStyle w:val="IntenseEmphasis"/>
          <w:lang w:val="en-GB" w:bidi="ar-SA"/>
        </w:rPr>
      </w:pPr>
      <w:r w:rsidRPr="00DD2069">
        <w:rPr>
          <w:rStyle w:val="IntenseEmphasis"/>
          <w:lang w:val="en-GB" w:bidi="ar-SA"/>
        </w:rPr>
        <w:t>The reimbursement payment will be made to the employer’s nominated business bank account.</w:t>
      </w:r>
    </w:p>
    <w:p w14:paraId="6CAE11CE" w14:textId="77777777" w:rsidR="00224AEC" w:rsidRPr="008B05FE" w:rsidRDefault="00224AEC" w:rsidP="008B05FE">
      <w:pPr>
        <w:rPr>
          <w:lang w:val="en-GB" w:bidi="ar-SA"/>
        </w:rPr>
        <w:sectPr w:rsidR="00224AEC" w:rsidRPr="008B05FE" w:rsidSect="00E83D5E">
          <w:pgSz w:w="11906" w:h="16838"/>
          <w:pgMar w:top="720" w:right="720" w:bottom="720" w:left="720" w:header="720" w:footer="720" w:gutter="0"/>
          <w:cols w:space="720"/>
          <w:noEndnote/>
        </w:sectPr>
      </w:pPr>
    </w:p>
    <w:p w14:paraId="636BC045" w14:textId="3BBA5337" w:rsidR="00E83D5E" w:rsidRPr="00E83D5E" w:rsidRDefault="00E83D5E" w:rsidP="00DD2069">
      <w:pPr>
        <w:pStyle w:val="Heading1"/>
      </w:pPr>
      <w:bookmarkStart w:id="36" w:name="_Toc235185598"/>
      <w:r w:rsidRPr="00E83D5E">
        <w:t>Leave reimbursement for self-employed donors</w:t>
      </w:r>
      <w:bookmarkEnd w:id="36"/>
    </w:p>
    <w:p w14:paraId="37BC0AE9" w14:textId="77777777" w:rsidR="00E83D5E" w:rsidRPr="008B05FE" w:rsidRDefault="00E83D5E" w:rsidP="008B05FE">
      <w:pPr>
        <w:rPr>
          <w:lang w:val="en-GB" w:bidi="ar-SA"/>
        </w:rPr>
      </w:pPr>
      <w:r w:rsidRPr="008B05FE">
        <w:rPr>
          <w:lang w:val="en-GB" w:bidi="ar-SA"/>
        </w:rPr>
        <w:t>This section provides an overview of the key steps followed the receipt of an application, to finalising a payment under the Program for donors who are self-employed.</w:t>
      </w:r>
    </w:p>
    <w:p w14:paraId="43FB5015" w14:textId="2F0638E7" w:rsidR="00E83D5E" w:rsidRPr="00E83D5E" w:rsidRDefault="00E83D5E" w:rsidP="0016438B">
      <w:pPr>
        <w:pStyle w:val="Heading2"/>
      </w:pPr>
      <w:bookmarkStart w:id="37" w:name="_Toc235185117"/>
      <w:bookmarkStart w:id="38" w:name="_Toc235185599"/>
      <w:r w:rsidRPr="00E83D5E">
        <w:t>Process overview</w:t>
      </w:r>
      <w:bookmarkEnd w:id="37"/>
      <w:bookmarkEnd w:id="38"/>
    </w:p>
    <w:p w14:paraId="1B3BFB64" w14:textId="77777777" w:rsidR="00E83D5E" w:rsidRPr="008B05FE" w:rsidRDefault="00E83D5E" w:rsidP="008B05FE">
      <w:pPr>
        <w:rPr>
          <w:lang w:val="en-GB" w:bidi="ar-SA"/>
        </w:rPr>
      </w:pPr>
      <w:r w:rsidRPr="008B05FE">
        <w:rPr>
          <w:lang w:val="en-GB" w:bidi="ar-SA"/>
        </w:rPr>
        <w:t>The key steps for potential donors and donors who are self-employed to claim leave reimbursement are:</w:t>
      </w:r>
    </w:p>
    <w:p w14:paraId="6727E2EC" w14:textId="264C6CCD" w:rsidR="00E83D5E" w:rsidRPr="008B05FE" w:rsidRDefault="00E83D5E" w:rsidP="002C662A">
      <w:pPr>
        <w:pStyle w:val="ListNumber"/>
        <w:numPr>
          <w:ilvl w:val="0"/>
          <w:numId w:val="42"/>
        </w:numPr>
        <w:ind w:left="414" w:hanging="357"/>
      </w:pPr>
      <w:r w:rsidRPr="008B05FE">
        <w:t>Prior to surgery –</w:t>
      </w:r>
      <w:r w:rsidR="00F319A1" w:rsidRPr="008B05FE">
        <w:t xml:space="preserve"> potential</w:t>
      </w:r>
      <w:r w:rsidRPr="008B05FE">
        <w:t xml:space="preserve"> donor considers participating in the Program. </w:t>
      </w:r>
    </w:p>
    <w:p w14:paraId="00396F66" w14:textId="2FB859C8" w:rsidR="00E83D5E" w:rsidRPr="008B05FE" w:rsidRDefault="00E83D5E" w:rsidP="001E45AA">
      <w:pPr>
        <w:pStyle w:val="ListNumber"/>
      </w:pPr>
      <w:r w:rsidRPr="008B05FE">
        <w:t>Potential donor takes leave for work-up appointments.</w:t>
      </w:r>
    </w:p>
    <w:p w14:paraId="7C8164EC" w14:textId="2E33EABA" w:rsidR="00C87C3D" w:rsidRPr="008B05FE" w:rsidRDefault="00F47A4C" w:rsidP="002C662A">
      <w:pPr>
        <w:pStyle w:val="ListNumber4"/>
        <w:numPr>
          <w:ilvl w:val="0"/>
          <w:numId w:val="43"/>
        </w:numPr>
      </w:pPr>
      <w:r w:rsidRPr="008B05FE">
        <w:t>If a potential donor</w:t>
      </w:r>
      <w:r w:rsidR="006B2859" w:rsidRPr="008B05FE">
        <w:t xml:space="preserve"> is</w:t>
      </w:r>
      <w:r w:rsidRPr="008B05FE">
        <w:t xml:space="preserve"> found unsuitable to donate following work</w:t>
      </w:r>
      <w:r w:rsidR="0045212C" w:rsidRPr="008B05FE">
        <w:t>-</w:t>
      </w:r>
      <w:r w:rsidRPr="008B05FE">
        <w:t>up appointments or is claiming for work</w:t>
      </w:r>
      <w:r w:rsidR="0045212C" w:rsidRPr="008B05FE">
        <w:t>-</w:t>
      </w:r>
      <w:r w:rsidRPr="008B05FE">
        <w:t>up appointments only, the application form can be submitted following the last appointment.</w:t>
      </w:r>
    </w:p>
    <w:p w14:paraId="0134C0C8" w14:textId="55F11616" w:rsidR="00E83D5E" w:rsidRPr="008B05FE" w:rsidRDefault="00E83D5E" w:rsidP="001E45AA">
      <w:pPr>
        <w:pStyle w:val="ListNumber"/>
      </w:pPr>
      <w:r w:rsidRPr="008B05FE">
        <w:t>Donor takes leave for donation surgery and recovery.</w:t>
      </w:r>
    </w:p>
    <w:p w14:paraId="5FD46A8F" w14:textId="69706C92" w:rsidR="00E83D5E" w:rsidRPr="008B05FE" w:rsidRDefault="00E83D5E" w:rsidP="001E45AA">
      <w:pPr>
        <w:pStyle w:val="ListNumber"/>
      </w:pPr>
      <w:r w:rsidRPr="008B05FE">
        <w:t>Donor returns to work following surgery and recovery</w:t>
      </w:r>
      <w:r w:rsidR="00153600" w:rsidRPr="008B05FE">
        <w:t>.</w:t>
      </w:r>
    </w:p>
    <w:p w14:paraId="7308C8BD" w14:textId="7DFA09C3" w:rsidR="00E83D5E" w:rsidRPr="008B05FE" w:rsidRDefault="00E83D5E" w:rsidP="001E45AA">
      <w:pPr>
        <w:pStyle w:val="ListNumber"/>
      </w:pPr>
      <w:r w:rsidRPr="008B05FE">
        <w:t>Donor submits the application form with supporting evidence to the department</w:t>
      </w:r>
    </w:p>
    <w:p w14:paraId="3309E955" w14:textId="40B92564" w:rsidR="00E83D5E" w:rsidRPr="008B05FE" w:rsidRDefault="00E83D5E" w:rsidP="001E45AA">
      <w:pPr>
        <w:pStyle w:val="ListNumber"/>
      </w:pPr>
      <w:r w:rsidRPr="008B05FE">
        <w:t xml:space="preserve">The application is processed by the department. </w:t>
      </w:r>
    </w:p>
    <w:p w14:paraId="1E49204C" w14:textId="27CA1B1D" w:rsidR="00E83D5E" w:rsidRPr="008B05FE" w:rsidRDefault="00E83D5E" w:rsidP="008B05FE">
      <w:pPr>
        <w:pStyle w:val="List"/>
      </w:pPr>
      <w:r w:rsidRPr="008B05FE">
        <w:rPr>
          <w:rStyle w:val="Strong"/>
        </w:rPr>
        <w:t>Step 1</w:t>
      </w:r>
      <w:r w:rsidRPr="008B05FE">
        <w:t xml:space="preserve"> – Program </w:t>
      </w:r>
      <w:r w:rsidR="00153600" w:rsidRPr="008B05FE">
        <w:t>C</w:t>
      </w:r>
      <w:r w:rsidRPr="008B05FE">
        <w:t xml:space="preserve">oordinator (the ‘assessor’) assesses the information in the application form and the evidence provided. </w:t>
      </w:r>
    </w:p>
    <w:p w14:paraId="7668C2D9" w14:textId="0F7EFCE2" w:rsidR="00E83D5E" w:rsidRPr="008B05FE" w:rsidRDefault="00E83D5E" w:rsidP="008B05FE">
      <w:pPr>
        <w:pStyle w:val="List"/>
      </w:pPr>
      <w:r w:rsidRPr="008B05FE">
        <w:rPr>
          <w:rStyle w:val="Strong"/>
        </w:rPr>
        <w:t>Step 2</w:t>
      </w:r>
      <w:r w:rsidRPr="008B05FE">
        <w:t xml:space="preserve"> – The application is then sent to a Program </w:t>
      </w:r>
      <w:r w:rsidR="00153600" w:rsidRPr="008B05FE">
        <w:t>C</w:t>
      </w:r>
      <w:r w:rsidRPr="008B05FE">
        <w:t>oordinator or manager (the ‘reviewer’), to verify the assessor’s evaluation.</w:t>
      </w:r>
    </w:p>
    <w:p w14:paraId="2C07E45D" w14:textId="15B8194F" w:rsidR="00E83D5E" w:rsidRPr="008B05FE" w:rsidRDefault="00E83D5E" w:rsidP="008B05FE">
      <w:pPr>
        <w:pStyle w:val="List"/>
      </w:pPr>
      <w:r w:rsidRPr="008B05FE">
        <w:rPr>
          <w:rStyle w:val="Strong"/>
        </w:rPr>
        <w:t>Step 3</w:t>
      </w:r>
      <w:r w:rsidRPr="008B05FE">
        <w:t xml:space="preserve"> – The application is then sent to the Program delegate (the </w:t>
      </w:r>
      <w:r w:rsidR="00153600" w:rsidRPr="008B05FE">
        <w:t>‘</w:t>
      </w:r>
      <w:r w:rsidRPr="008B05FE">
        <w:t>approver</w:t>
      </w:r>
      <w:r w:rsidR="00153600" w:rsidRPr="008B05FE">
        <w:t>’</w:t>
      </w:r>
      <w:r w:rsidRPr="008B05FE">
        <w:t xml:space="preserve">), who endorses the final assessment and reimbursement amount. </w:t>
      </w:r>
    </w:p>
    <w:p w14:paraId="45D07C0E" w14:textId="67CD2801" w:rsidR="00E83D5E" w:rsidRPr="008B05FE" w:rsidRDefault="00E83D5E" w:rsidP="001E45AA">
      <w:pPr>
        <w:pStyle w:val="ListNumber"/>
      </w:pPr>
      <w:r w:rsidRPr="008B05FE">
        <w:t xml:space="preserve">The approved application is processed for payment. Payment is transferred to the donor’s nominated account within 14 days after the Accounts area receive notification. </w:t>
      </w:r>
    </w:p>
    <w:p w14:paraId="6A340EBC" w14:textId="63CB524C" w:rsidR="00E83D5E" w:rsidRPr="008B05FE" w:rsidRDefault="00E83D5E" w:rsidP="001E45AA">
      <w:pPr>
        <w:pStyle w:val="ListNumber"/>
      </w:pPr>
      <w:r w:rsidRPr="008B05FE">
        <w:t xml:space="preserve">A </w:t>
      </w:r>
      <w:r w:rsidR="00153600" w:rsidRPr="008B05FE">
        <w:t xml:space="preserve">payment advice </w:t>
      </w:r>
      <w:r w:rsidRPr="008B05FE">
        <w:t>letter for notification of payment is sent to the donor via email.</w:t>
      </w:r>
    </w:p>
    <w:p w14:paraId="6A26207B" w14:textId="403BF6F7" w:rsidR="00E83D5E" w:rsidRPr="008B05FE" w:rsidRDefault="00E83D5E" w:rsidP="001E45AA">
      <w:pPr>
        <w:pStyle w:val="ListNumber"/>
      </w:pPr>
      <w:r w:rsidRPr="008B05FE">
        <w:t>Donor uses the payment as reimbursement for income lost due to donation.</w:t>
      </w:r>
    </w:p>
    <w:p w14:paraId="53B8F4E3" w14:textId="77777777" w:rsidR="00E83D5E" w:rsidRPr="008B05FE" w:rsidRDefault="00E83D5E" w:rsidP="008B05FE">
      <w:pPr>
        <w:rPr>
          <w:lang w:val="en-GB" w:bidi="ar-SA"/>
        </w:rPr>
      </w:pPr>
      <w:r w:rsidRPr="008B05FE">
        <w:rPr>
          <w:lang w:val="en-GB" w:bidi="ar-SA"/>
        </w:rPr>
        <w:t>See parts 4 and 5 for details on claiming out-of-pocket expenses.</w:t>
      </w:r>
    </w:p>
    <w:p w14:paraId="79977902" w14:textId="14104F6D" w:rsidR="00E83D5E" w:rsidRPr="00E83D5E" w:rsidRDefault="00E83D5E" w:rsidP="0016438B">
      <w:pPr>
        <w:pStyle w:val="Heading2"/>
      </w:pPr>
      <w:bookmarkStart w:id="39" w:name="_Toc235185118"/>
      <w:bookmarkStart w:id="40" w:name="_Toc235185600"/>
      <w:r w:rsidRPr="00E83D5E">
        <w:t>Process steps</w:t>
      </w:r>
      <w:bookmarkEnd w:id="39"/>
      <w:bookmarkEnd w:id="40"/>
    </w:p>
    <w:p w14:paraId="430A4C0B" w14:textId="426D6F88" w:rsidR="00E83D5E" w:rsidRPr="00133328" w:rsidRDefault="00E83D5E" w:rsidP="00133328">
      <w:pPr>
        <w:pStyle w:val="Heading3"/>
      </w:pPr>
      <w:bookmarkStart w:id="41" w:name="_Toc235185119"/>
      <w:bookmarkStart w:id="42" w:name="_Toc235185297"/>
      <w:bookmarkStart w:id="43" w:name="_Toc235185601"/>
      <w:r w:rsidRPr="00133328">
        <w:t>Complete the application form</w:t>
      </w:r>
      <w:bookmarkEnd w:id="41"/>
      <w:bookmarkEnd w:id="42"/>
      <w:bookmarkEnd w:id="43"/>
    </w:p>
    <w:p w14:paraId="7D1427D2" w14:textId="4931D362" w:rsidR="00E83D5E" w:rsidRPr="008B05FE" w:rsidRDefault="00E83D5E" w:rsidP="008B05FE">
      <w:pPr>
        <w:rPr>
          <w:lang w:val="en-GB" w:bidi="ar-SA"/>
        </w:rPr>
      </w:pPr>
      <w:r w:rsidRPr="008B05FE">
        <w:rPr>
          <w:lang w:val="en-GB" w:bidi="ar-SA"/>
        </w:rPr>
        <w:t>To participate in the Program, the donor must complete and submit Part A of the application form following their return to work and within 120 calendar days of the</w:t>
      </w:r>
      <w:r w:rsidR="00153600" w:rsidRPr="008B05FE">
        <w:rPr>
          <w:lang w:val="en-GB" w:bidi="ar-SA"/>
        </w:rPr>
        <w:t>ir</w:t>
      </w:r>
      <w:r w:rsidRPr="008B05FE">
        <w:rPr>
          <w:lang w:val="en-GB" w:bidi="ar-SA"/>
        </w:rPr>
        <w:t xml:space="preserve"> donation surgery. </w:t>
      </w:r>
    </w:p>
    <w:p w14:paraId="09489DBA" w14:textId="77777777" w:rsidR="00E83D5E" w:rsidRPr="008B05FE" w:rsidRDefault="00E83D5E" w:rsidP="008B05FE">
      <w:pPr>
        <w:rPr>
          <w:lang w:val="en-GB" w:bidi="ar-SA"/>
        </w:rPr>
      </w:pPr>
      <w:r w:rsidRPr="008B05FE">
        <w:rPr>
          <w:lang w:val="en-GB" w:bidi="ar-SA"/>
        </w:rPr>
        <w:t xml:space="preserve">Incomplete applications </w:t>
      </w:r>
      <w:r w:rsidRPr="008B05FE">
        <w:rPr>
          <w:rStyle w:val="Strong"/>
          <w:lang w:val="en-GB" w:bidi="ar-SA"/>
        </w:rPr>
        <w:t>cannot</w:t>
      </w:r>
      <w:r w:rsidRPr="008B05FE">
        <w:rPr>
          <w:lang w:val="en-GB" w:bidi="ar-SA"/>
        </w:rPr>
        <w:t xml:space="preserve"> be assessed. If the application is incomplete and/or more information is required, the donor will be contacted by the department and processing of the application will be delayed. Refer to </w:t>
      </w:r>
      <w:proofErr w:type="spellStart"/>
      <w:r w:rsidRPr="008B05FE">
        <w:rPr>
          <w:lang w:val="en-GB" w:bidi="ar-SA"/>
        </w:rPr>
        <w:t>part</w:t>
      </w:r>
      <w:proofErr w:type="spellEnd"/>
      <w:r w:rsidRPr="008B05FE">
        <w:rPr>
          <w:lang w:val="en-GB" w:bidi="ar-SA"/>
        </w:rPr>
        <w:t xml:space="preserve"> 1.5 for evidence requirements.  </w:t>
      </w:r>
    </w:p>
    <w:p w14:paraId="41D7948E" w14:textId="3DF25B09" w:rsidR="00E83D5E" w:rsidRPr="008B05FE" w:rsidRDefault="00E83D5E" w:rsidP="008B05FE">
      <w:pPr>
        <w:rPr>
          <w:lang w:val="en-GB" w:bidi="ar-SA"/>
        </w:rPr>
      </w:pPr>
      <w:r w:rsidRPr="008B05FE">
        <w:rPr>
          <w:lang w:val="en-GB" w:bidi="ar-SA"/>
        </w:rPr>
        <w:t xml:space="preserve">If the application is ineligible, the donor will be contacted by the department. Refer to part 7 regarding a review of decision. </w:t>
      </w:r>
    </w:p>
    <w:p w14:paraId="066AD6F8" w14:textId="3D406828" w:rsidR="00E83D5E" w:rsidRPr="00E83D5E" w:rsidRDefault="00E83D5E" w:rsidP="00133328">
      <w:pPr>
        <w:pStyle w:val="Heading3"/>
      </w:pPr>
      <w:bookmarkStart w:id="44" w:name="_Toc235185120"/>
      <w:bookmarkStart w:id="45" w:name="_Toc235185298"/>
      <w:bookmarkStart w:id="46" w:name="_Toc235185602"/>
      <w:r w:rsidRPr="00E83D5E">
        <w:t>Claiming for leave reimbursement</w:t>
      </w:r>
      <w:bookmarkEnd w:id="44"/>
      <w:bookmarkEnd w:id="45"/>
      <w:bookmarkEnd w:id="46"/>
    </w:p>
    <w:p w14:paraId="4BC5913B" w14:textId="6F5AF880" w:rsidR="00E83D5E" w:rsidRPr="008B05FE" w:rsidRDefault="00E83D5E" w:rsidP="008B05FE">
      <w:pPr>
        <w:rPr>
          <w:lang w:val="en-GB" w:bidi="ar-SA"/>
        </w:rPr>
      </w:pPr>
      <w:r w:rsidRPr="008B05FE">
        <w:rPr>
          <w:lang w:val="en-GB" w:bidi="ar-SA"/>
        </w:rPr>
        <w:t>Self-employed donors must provide suitable evidence of income. This can include their most recent tax return, profit and loss statement, relevant payslips or bank statements. This evidence is used to determine if the donor earns more than the NMW.</w:t>
      </w:r>
    </w:p>
    <w:p w14:paraId="7561538E" w14:textId="79A8825A" w:rsidR="00E83D5E" w:rsidRPr="008B05FE" w:rsidRDefault="00E83D5E" w:rsidP="008B05FE">
      <w:pPr>
        <w:rPr>
          <w:lang w:val="en-GB" w:bidi="ar-SA"/>
        </w:rPr>
      </w:pPr>
      <w:r w:rsidRPr="008B05FE">
        <w:rPr>
          <w:lang w:val="en-GB" w:bidi="ar-SA"/>
        </w:rPr>
        <w:t>Self-employed donors will be paid at the NMW or their hourly rate, whichever is the lesser</w:t>
      </w:r>
      <w:r w:rsidR="00153600" w:rsidRPr="008B05FE">
        <w:rPr>
          <w:lang w:val="en-GB" w:bidi="ar-SA"/>
        </w:rPr>
        <w:t xml:space="preserve"> amount</w:t>
      </w:r>
      <w:r w:rsidRPr="008B05FE">
        <w:rPr>
          <w:lang w:val="en-GB" w:bidi="ar-SA"/>
        </w:rPr>
        <w:t xml:space="preserve">. </w:t>
      </w:r>
    </w:p>
    <w:p w14:paraId="31CF6799" w14:textId="7E4D1CE8" w:rsidR="00E83D5E" w:rsidRPr="008B05FE" w:rsidRDefault="00E83D5E" w:rsidP="008B05FE">
      <w:pPr>
        <w:rPr>
          <w:lang w:val="en-GB" w:bidi="ar-SA"/>
        </w:rPr>
      </w:pPr>
      <w:r w:rsidRPr="008B05FE">
        <w:rPr>
          <w:lang w:val="en-GB" w:bidi="ar-SA"/>
        </w:rPr>
        <w:t>In addition, the donor must provide</w:t>
      </w:r>
      <w:r w:rsidR="00153600" w:rsidRPr="008B05FE">
        <w:rPr>
          <w:lang w:val="en-GB" w:bidi="ar-SA"/>
        </w:rPr>
        <w:t xml:space="preserve"> medical</w:t>
      </w:r>
      <w:r w:rsidRPr="008B05FE">
        <w:rPr>
          <w:lang w:val="en-GB" w:bidi="ar-SA"/>
        </w:rPr>
        <w:t xml:space="preserve"> evidence to support the claim for leave. Examples of </w:t>
      </w:r>
      <w:r w:rsidR="00153600" w:rsidRPr="008B05FE">
        <w:rPr>
          <w:lang w:val="en-GB" w:bidi="ar-SA"/>
        </w:rPr>
        <w:t xml:space="preserve">medical </w:t>
      </w:r>
      <w:r w:rsidRPr="008B05FE">
        <w:rPr>
          <w:lang w:val="en-GB" w:bidi="ar-SA"/>
        </w:rPr>
        <w:t xml:space="preserve">evidence </w:t>
      </w:r>
      <w:proofErr w:type="gramStart"/>
      <w:r w:rsidRPr="008B05FE">
        <w:rPr>
          <w:lang w:val="en-GB" w:bidi="ar-SA"/>
        </w:rPr>
        <w:t>are:</w:t>
      </w:r>
      <w:proofErr w:type="gramEnd"/>
      <w:r w:rsidRPr="008B05FE">
        <w:rPr>
          <w:lang w:val="en-GB" w:bidi="ar-SA"/>
        </w:rPr>
        <w:t xml:space="preserve"> medical certificates, a signed appointment tracker or other </w:t>
      </w:r>
      <w:r w:rsidR="00153600" w:rsidRPr="008B05FE">
        <w:rPr>
          <w:lang w:val="en-GB" w:bidi="ar-SA"/>
        </w:rPr>
        <w:t>written confirmation from the transplant coordinator or surgeon</w:t>
      </w:r>
      <w:r w:rsidR="00E814DF" w:rsidRPr="008B05FE">
        <w:rPr>
          <w:lang w:val="en-GB" w:bidi="ar-SA"/>
        </w:rPr>
        <w:t xml:space="preserve"> </w:t>
      </w:r>
      <w:r w:rsidRPr="008B05FE">
        <w:rPr>
          <w:lang w:val="en-GB" w:bidi="ar-SA"/>
        </w:rPr>
        <w:t>that verifies the dates of leave taken</w:t>
      </w:r>
      <w:r w:rsidR="00E814DF" w:rsidRPr="008B05FE">
        <w:rPr>
          <w:lang w:val="en-GB" w:bidi="ar-SA"/>
        </w:rPr>
        <w:t xml:space="preserve">. This is also required </w:t>
      </w:r>
      <w:r w:rsidRPr="008B05FE">
        <w:rPr>
          <w:lang w:val="en-GB" w:bidi="ar-SA"/>
        </w:rPr>
        <w:t>for leave taken to attend medical appointments for work-up testing.</w:t>
      </w:r>
    </w:p>
    <w:p w14:paraId="7CC6198B" w14:textId="5D9B6458" w:rsidR="00E83D5E" w:rsidRPr="008B05FE" w:rsidRDefault="00E83D5E" w:rsidP="008B05FE">
      <w:pPr>
        <w:rPr>
          <w:rStyle w:val="Strong"/>
          <w:lang w:val="en-GB" w:bidi="ar-SA"/>
        </w:rPr>
      </w:pPr>
      <w:r w:rsidRPr="008B05FE">
        <w:rPr>
          <w:rStyle w:val="Strong"/>
          <w:lang w:val="en-GB" w:bidi="ar-SA"/>
        </w:rPr>
        <w:t>Hours of leave claimed without a medical certificate and evidenc</w:t>
      </w:r>
      <w:r w:rsidR="00E814DF" w:rsidRPr="008B05FE">
        <w:rPr>
          <w:rStyle w:val="Strong"/>
          <w:lang w:val="en-GB" w:bidi="ar-SA"/>
        </w:rPr>
        <w:t>e</w:t>
      </w:r>
      <w:r w:rsidRPr="008B05FE">
        <w:rPr>
          <w:rStyle w:val="Strong"/>
          <w:lang w:val="en-GB" w:bidi="ar-SA"/>
        </w:rPr>
        <w:t>, will not be used in calculating the reimbursement payment.</w:t>
      </w:r>
    </w:p>
    <w:p w14:paraId="56CED5D7" w14:textId="50A635D3" w:rsidR="00E83D5E" w:rsidRPr="008B05FE" w:rsidRDefault="00E83D5E" w:rsidP="008B05FE">
      <w:pPr>
        <w:rPr>
          <w:lang w:val="en-GB" w:bidi="ar-SA"/>
        </w:rPr>
      </w:pPr>
      <w:r w:rsidRPr="008B05FE">
        <w:rPr>
          <w:lang w:val="en-GB" w:bidi="ar-SA"/>
        </w:rPr>
        <w:t xml:space="preserve">A claim for </w:t>
      </w:r>
      <w:r w:rsidR="00E814DF" w:rsidRPr="008B05FE">
        <w:rPr>
          <w:lang w:val="en-GB" w:bidi="ar-SA"/>
        </w:rPr>
        <w:t xml:space="preserve">reimbursement of </w:t>
      </w:r>
      <w:r w:rsidRPr="008B05FE">
        <w:rPr>
          <w:lang w:val="en-GB" w:bidi="ar-SA"/>
        </w:rPr>
        <w:t>leave taken for medical appointments to undergo work-up testing, donation surgery and recovery cannot exceed 342 hours (or 684 hours for donors that require extended medical leave and provide an extended medical leave form).</w:t>
      </w:r>
    </w:p>
    <w:p w14:paraId="57EE8C1F" w14:textId="77777777" w:rsidR="00E83D5E" w:rsidRPr="008B05FE" w:rsidRDefault="00E83D5E" w:rsidP="008B05FE">
      <w:pPr>
        <w:rPr>
          <w:lang w:val="en-GB" w:bidi="ar-SA"/>
        </w:rPr>
      </w:pPr>
      <w:r w:rsidRPr="008B05FE">
        <w:rPr>
          <w:lang w:val="en-GB" w:bidi="ar-SA"/>
        </w:rPr>
        <w:t xml:space="preserve">An application </w:t>
      </w:r>
      <w:r w:rsidRPr="008B05FE">
        <w:rPr>
          <w:rStyle w:val="Strong"/>
          <w:lang w:val="en-GB" w:bidi="ar-SA"/>
        </w:rPr>
        <w:t>can</w:t>
      </w:r>
      <w:r w:rsidRPr="008B05FE">
        <w:rPr>
          <w:lang w:val="en-GB" w:bidi="ar-SA"/>
        </w:rPr>
        <w:t xml:space="preserve"> only be submitted after the donor has completed all leave related to the donation and returned to work.</w:t>
      </w:r>
    </w:p>
    <w:p w14:paraId="75825421" w14:textId="6CEE0F8F" w:rsidR="00E83D5E" w:rsidRPr="008B05FE" w:rsidRDefault="00E83D5E" w:rsidP="008B05FE">
      <w:pPr>
        <w:rPr>
          <w:rStyle w:val="Strong"/>
          <w:lang w:val="en-GB" w:bidi="ar-SA"/>
        </w:rPr>
      </w:pPr>
      <w:r w:rsidRPr="008B05FE">
        <w:rPr>
          <w:rStyle w:val="Strong"/>
          <w:lang w:val="en-GB" w:bidi="ar-SA"/>
        </w:rPr>
        <w:t>* If also claiming for out-of-pocket expenses, please refer to parts 4 and 5.</w:t>
      </w:r>
    </w:p>
    <w:p w14:paraId="23E27226" w14:textId="794FE799" w:rsidR="00E83D5E" w:rsidRPr="00E83D5E" w:rsidRDefault="00E83D5E" w:rsidP="008B05FE">
      <w:pPr>
        <w:pStyle w:val="Heading4"/>
      </w:pPr>
      <w:r w:rsidRPr="00E83D5E">
        <w:t>CASE STUDY 3</w:t>
      </w:r>
    </w:p>
    <w:p w14:paraId="4141CE88" w14:textId="77777777" w:rsidR="00E83D5E" w:rsidRPr="008B05FE" w:rsidRDefault="00E83D5E" w:rsidP="008B05FE">
      <w:pPr>
        <w:rPr>
          <w:rStyle w:val="Strong"/>
          <w:lang w:val="en-GB" w:bidi="ar-SA"/>
        </w:rPr>
      </w:pPr>
      <w:r w:rsidRPr="008B05FE">
        <w:rPr>
          <w:rStyle w:val="Strong"/>
          <w:lang w:val="en-GB" w:bidi="ar-SA"/>
        </w:rPr>
        <w:t>Brooke donates her kidney to her husband Paul. Although both Brooke and Paul earn their income from their gardening business, only Brooke as the donor, is eligible to claim under the Program. How is Brooke’s self-employed leave reimbursement payment calculated?</w:t>
      </w:r>
    </w:p>
    <w:p w14:paraId="149D1020" w14:textId="7E09F41E" w:rsidR="00E83D5E" w:rsidRPr="008B05FE" w:rsidRDefault="00E83D5E" w:rsidP="008B05FE">
      <w:pPr>
        <w:rPr>
          <w:rStyle w:val="Emphasis"/>
        </w:rPr>
      </w:pPr>
      <w:r w:rsidRPr="008B05FE">
        <w:rPr>
          <w:rStyle w:val="Emphasis"/>
        </w:rPr>
        <w:t>Brooke will complete and submit Part A of the application form and provide supporting evidence. Brooke’s evidence includes a tax return from the previous year</w:t>
      </w:r>
      <w:r w:rsidR="00E814DF" w:rsidRPr="008B05FE">
        <w:rPr>
          <w:rStyle w:val="Emphasis"/>
        </w:rPr>
        <w:t>. Brooke also includes</w:t>
      </w:r>
      <w:r w:rsidRPr="008B05FE">
        <w:rPr>
          <w:rStyle w:val="Emphasis"/>
        </w:rPr>
        <w:t xml:space="preserve"> a profit-and-loss statement</w:t>
      </w:r>
      <w:r w:rsidR="00E814DF" w:rsidRPr="008B05FE">
        <w:rPr>
          <w:rStyle w:val="Emphasis"/>
        </w:rPr>
        <w:t xml:space="preserve"> for the three months leading up to her surgery</w:t>
      </w:r>
      <w:r w:rsidRPr="008B05FE">
        <w:rPr>
          <w:rStyle w:val="Emphasis"/>
        </w:rPr>
        <w:t>. As the business is run as a partnership, Program staff will calculate Brooke’s annual self-employed income by dividing the gross business income by 2. Based on information provided in the application form and evidence, this figure is used to calculate Brooke’s average hourly rate.</w:t>
      </w:r>
    </w:p>
    <w:p w14:paraId="6880517F" w14:textId="77777777" w:rsidR="00E83D5E" w:rsidRPr="008B05FE" w:rsidRDefault="00E83D5E" w:rsidP="008B05FE">
      <w:pPr>
        <w:rPr>
          <w:rStyle w:val="Emphasis"/>
        </w:rPr>
      </w:pPr>
      <w:r w:rsidRPr="008B05FE">
        <w:rPr>
          <w:rStyle w:val="Emphasis"/>
        </w:rPr>
        <w:t xml:space="preserve">As Brooke’s hourly rate is above the NMW, Brooke can be reimbursed for her leave at the NMW for the financial year in which her leave was taken. Brooke’s leave hours will be calculated using the evidence she has provided. Her total number of leave hours will be multiplied by the NMW to calculate Brooke’s total leave reimbursement payment. </w:t>
      </w:r>
    </w:p>
    <w:p w14:paraId="1DC365FB" w14:textId="77777777" w:rsidR="00E83D5E" w:rsidRPr="00317E6C" w:rsidRDefault="00E83D5E" w:rsidP="00317E6C">
      <w:pPr>
        <w:rPr>
          <w:rStyle w:val="IntenseEmphasis"/>
          <w:lang w:val="en-GB" w:bidi="ar-SA"/>
        </w:rPr>
      </w:pPr>
      <w:r w:rsidRPr="00317E6C">
        <w:rPr>
          <w:rStyle w:val="IntenseEmphasis"/>
          <w:lang w:val="en-GB" w:bidi="ar-SA"/>
        </w:rPr>
        <w:t>The reimbursement payment will be made directly to Brooke’s nominated business bank account.</w:t>
      </w:r>
    </w:p>
    <w:p w14:paraId="6C2C16C9" w14:textId="77777777" w:rsidR="00E83D5E" w:rsidRPr="00317E6C" w:rsidRDefault="00E83D5E" w:rsidP="00317E6C">
      <w:pPr>
        <w:rPr>
          <w:rStyle w:val="IntenseEmphasis"/>
          <w:lang w:val="en-GB" w:bidi="ar-SA"/>
        </w:rPr>
      </w:pPr>
    </w:p>
    <w:p w14:paraId="03D7C761" w14:textId="77777777" w:rsidR="00224AEC" w:rsidRPr="008B05FE" w:rsidRDefault="00224AEC" w:rsidP="008B05FE">
      <w:pPr>
        <w:rPr>
          <w:lang w:val="en-GB" w:bidi="ar-SA"/>
        </w:rPr>
        <w:sectPr w:rsidR="00224AEC" w:rsidRPr="008B05FE" w:rsidSect="00E83D5E">
          <w:pgSz w:w="11906" w:h="16838"/>
          <w:pgMar w:top="720" w:right="720" w:bottom="720" w:left="720" w:header="720" w:footer="720" w:gutter="0"/>
          <w:cols w:space="720"/>
          <w:noEndnote/>
        </w:sectPr>
      </w:pPr>
    </w:p>
    <w:p w14:paraId="72731D98" w14:textId="7E892384" w:rsidR="00E83D5E" w:rsidRPr="00E83D5E" w:rsidRDefault="00E83D5E" w:rsidP="00DD2069">
      <w:pPr>
        <w:pStyle w:val="Heading1"/>
      </w:pPr>
      <w:bookmarkStart w:id="47" w:name="_Toc235185603"/>
      <w:bookmarkStart w:id="48" w:name="_$500_lump-sum_payment"/>
      <w:bookmarkEnd w:id="48"/>
      <w:r w:rsidRPr="00E83D5E">
        <w:t>$500 lump-sum payment – Australian donors</w:t>
      </w:r>
      <w:bookmarkEnd w:id="47"/>
    </w:p>
    <w:p w14:paraId="454344BB" w14:textId="10D373A1" w:rsidR="00E83D5E" w:rsidRPr="008B05FE" w:rsidRDefault="00E83D5E" w:rsidP="008B05FE">
      <w:pPr>
        <w:rPr>
          <w:lang w:val="en-GB" w:bidi="ar-SA"/>
        </w:rPr>
      </w:pPr>
      <w:r w:rsidRPr="008B05FE">
        <w:rPr>
          <w:lang w:val="en-GB" w:bidi="ar-SA"/>
        </w:rPr>
        <w:t>This section provides an overview of the key steps for Australian donors, to claim a $500 lump-sum reimbursement payment for out-of-pocket travel and accommodation expenses associated with donation.</w:t>
      </w:r>
    </w:p>
    <w:p w14:paraId="5D6E3137" w14:textId="22370AE1" w:rsidR="00482567" w:rsidRPr="008B05FE" w:rsidRDefault="00482567" w:rsidP="008B05FE">
      <w:pPr>
        <w:rPr>
          <w:lang w:val="en-GB" w:bidi="ar-SA"/>
        </w:rPr>
      </w:pPr>
      <w:r w:rsidRPr="008B05FE">
        <w:rPr>
          <w:lang w:val="en-GB" w:bidi="ar-SA"/>
        </w:rPr>
        <w:t>The donor provides Part A of the application form with evidence that verifies the date of surgery.</w:t>
      </w:r>
    </w:p>
    <w:p w14:paraId="53BCC699" w14:textId="2AC21947" w:rsidR="00E83D5E" w:rsidRPr="008B05FE" w:rsidRDefault="00E83D5E" w:rsidP="008B05FE">
      <w:pPr>
        <w:rPr>
          <w:lang w:val="en-GB" w:bidi="ar-SA"/>
        </w:rPr>
      </w:pPr>
      <w:r w:rsidRPr="008B05FE">
        <w:rPr>
          <w:lang w:val="en-GB" w:bidi="ar-SA"/>
        </w:rPr>
        <w:t xml:space="preserve">The process for claiming out-of-pocket expenses more than $500, or for potential donors who do not have surgery, is outlined in </w:t>
      </w:r>
      <w:hyperlink w:anchor="_Out-of-pocket_expenses_reimbursemen_1" w:history="1">
        <w:r w:rsidRPr="00906A9B">
          <w:rPr>
            <w:rStyle w:val="Hyperlink"/>
            <w:lang w:val="en-GB" w:bidi="ar-SA"/>
          </w:rPr>
          <w:t>part 5</w:t>
        </w:r>
      </w:hyperlink>
      <w:r w:rsidRPr="008B05FE">
        <w:rPr>
          <w:lang w:val="en-GB" w:bidi="ar-SA"/>
        </w:rPr>
        <w:t xml:space="preserve">. </w:t>
      </w:r>
    </w:p>
    <w:p w14:paraId="0C1BB7F9" w14:textId="64DB66F3" w:rsidR="00E83D5E" w:rsidRPr="008B05FE" w:rsidRDefault="00E83D5E" w:rsidP="008B05FE">
      <w:pPr>
        <w:rPr>
          <w:lang w:val="en-GB" w:bidi="ar-SA"/>
        </w:rPr>
      </w:pPr>
      <w:r w:rsidRPr="008B05FE">
        <w:rPr>
          <w:lang w:val="en-GB" w:bidi="ar-SA"/>
        </w:rPr>
        <w:t>If the donor is also claiming for leave reimbursement, the application form should not be submitted until the donor has completed their recovery and returned to work</w:t>
      </w:r>
      <w:r w:rsidR="00E814DF" w:rsidRPr="008B05FE">
        <w:rPr>
          <w:lang w:val="en-GB" w:bidi="ar-SA"/>
        </w:rPr>
        <w:t>.</w:t>
      </w:r>
    </w:p>
    <w:p w14:paraId="1E6D7D83" w14:textId="77777777" w:rsidR="00E83D5E" w:rsidRPr="008B05FE" w:rsidRDefault="00E83D5E" w:rsidP="008B05FE">
      <w:pPr>
        <w:rPr>
          <w:lang w:val="en-GB" w:bidi="ar-SA"/>
        </w:rPr>
      </w:pPr>
      <w:r w:rsidRPr="008B05FE">
        <w:rPr>
          <w:lang w:val="en-GB" w:bidi="ar-SA"/>
        </w:rPr>
        <w:t xml:space="preserve">Applications will not be progressed until the application </w:t>
      </w:r>
      <w:proofErr w:type="gramStart"/>
      <w:r w:rsidRPr="008B05FE">
        <w:rPr>
          <w:lang w:val="en-GB" w:bidi="ar-SA"/>
        </w:rPr>
        <w:t>form</w:t>
      </w:r>
      <w:proofErr w:type="gramEnd"/>
      <w:r w:rsidRPr="008B05FE">
        <w:rPr>
          <w:lang w:val="en-GB" w:bidi="ar-SA"/>
        </w:rPr>
        <w:t xml:space="preserve"> and all supporting documentation has been received. </w:t>
      </w:r>
    </w:p>
    <w:p w14:paraId="6974CAF3" w14:textId="2A8EFBCD" w:rsidR="00E83D5E" w:rsidRPr="00E83D5E" w:rsidRDefault="00E83D5E" w:rsidP="0016438B">
      <w:pPr>
        <w:pStyle w:val="Heading2"/>
      </w:pPr>
      <w:bookmarkStart w:id="49" w:name="_Toc235185121"/>
      <w:bookmarkStart w:id="50" w:name="_Toc235185604"/>
      <w:r w:rsidRPr="00E83D5E">
        <w:t>Process overview</w:t>
      </w:r>
      <w:bookmarkEnd w:id="49"/>
      <w:bookmarkEnd w:id="50"/>
    </w:p>
    <w:p w14:paraId="409ACD9B" w14:textId="49CA0634" w:rsidR="00E83D5E" w:rsidRPr="002267A5" w:rsidRDefault="00E83D5E" w:rsidP="002267A5">
      <w:pPr>
        <w:rPr>
          <w:lang w:val="en-GB" w:bidi="ar-SA"/>
        </w:rPr>
      </w:pPr>
      <w:r w:rsidRPr="002267A5">
        <w:rPr>
          <w:lang w:val="en-GB" w:bidi="ar-SA"/>
        </w:rPr>
        <w:t xml:space="preserve">The key steps </w:t>
      </w:r>
      <w:r w:rsidR="00E814DF" w:rsidRPr="002267A5">
        <w:rPr>
          <w:lang w:val="en-GB" w:bidi="ar-SA"/>
        </w:rPr>
        <w:t>for</w:t>
      </w:r>
      <w:r w:rsidRPr="002267A5">
        <w:rPr>
          <w:lang w:val="en-GB" w:bidi="ar-SA"/>
        </w:rPr>
        <w:t xml:space="preserve"> claiming the $500 lump sum payment are:</w:t>
      </w:r>
    </w:p>
    <w:p w14:paraId="0DCE7A6B" w14:textId="3449C342" w:rsidR="00E83D5E" w:rsidRPr="008B05FE" w:rsidRDefault="00E83D5E" w:rsidP="00906A9B">
      <w:pPr>
        <w:pStyle w:val="ListNumber"/>
        <w:numPr>
          <w:ilvl w:val="0"/>
          <w:numId w:val="45"/>
        </w:numPr>
        <w:ind w:left="425" w:hanging="357"/>
      </w:pPr>
      <w:r w:rsidRPr="008B05FE">
        <w:t>Potential donor attends medical appointments.</w:t>
      </w:r>
    </w:p>
    <w:p w14:paraId="453B1CCF" w14:textId="699EE3FD" w:rsidR="00E83D5E" w:rsidRPr="008B05FE" w:rsidRDefault="00E83D5E" w:rsidP="001E45AA">
      <w:pPr>
        <w:pStyle w:val="ListNumber"/>
      </w:pPr>
      <w:r w:rsidRPr="008B05FE">
        <w:t>Donor undergoes surgery.</w:t>
      </w:r>
    </w:p>
    <w:p w14:paraId="07CD050C" w14:textId="2D3D1550" w:rsidR="00E83D5E" w:rsidRPr="008B05FE" w:rsidRDefault="00E83D5E" w:rsidP="001E45AA">
      <w:pPr>
        <w:pStyle w:val="ListNumber"/>
      </w:pPr>
      <w:r w:rsidRPr="008B05FE">
        <w:t xml:space="preserve">Donor </w:t>
      </w:r>
      <w:proofErr w:type="gramStart"/>
      <w:r w:rsidRPr="008B05FE">
        <w:t>submits an application</w:t>
      </w:r>
      <w:proofErr w:type="gramEnd"/>
      <w:r w:rsidRPr="008B05FE">
        <w:t xml:space="preserve"> form and includes a copy of their medical certificate as evidence of their surgery date.</w:t>
      </w:r>
    </w:p>
    <w:p w14:paraId="5F475AA6" w14:textId="48E3A3FF" w:rsidR="00E83D5E" w:rsidRPr="008B05FE" w:rsidRDefault="00E83D5E" w:rsidP="001E45AA">
      <w:pPr>
        <w:pStyle w:val="ListNumber"/>
      </w:pPr>
      <w:r w:rsidRPr="008B05FE">
        <w:t>The application is processed by the department.</w:t>
      </w:r>
    </w:p>
    <w:p w14:paraId="4F6D8279" w14:textId="7C4184E7" w:rsidR="00E83D5E" w:rsidRPr="008B05FE" w:rsidRDefault="00E83D5E" w:rsidP="008B05FE">
      <w:pPr>
        <w:pStyle w:val="List"/>
      </w:pPr>
      <w:r w:rsidRPr="008B05FE">
        <w:rPr>
          <w:rStyle w:val="Strong"/>
        </w:rPr>
        <w:t>Step 1</w:t>
      </w:r>
      <w:r w:rsidRPr="008B05FE">
        <w:t xml:space="preserve"> – Program </w:t>
      </w:r>
      <w:r w:rsidR="00E814DF" w:rsidRPr="008B05FE">
        <w:t>C</w:t>
      </w:r>
      <w:r w:rsidRPr="008B05FE">
        <w:t xml:space="preserve">oordinator (the ‘assessor’) assesses the information in the application form. </w:t>
      </w:r>
    </w:p>
    <w:p w14:paraId="37333293" w14:textId="789490EB" w:rsidR="00E83D5E" w:rsidRPr="008B05FE" w:rsidRDefault="00E83D5E" w:rsidP="008B05FE">
      <w:pPr>
        <w:pStyle w:val="List"/>
      </w:pPr>
      <w:r w:rsidRPr="008B05FE">
        <w:rPr>
          <w:rStyle w:val="Strong"/>
        </w:rPr>
        <w:t>Step 2</w:t>
      </w:r>
      <w:r w:rsidRPr="008B05FE">
        <w:t xml:space="preserve"> – The application is then sent to a Program </w:t>
      </w:r>
      <w:r w:rsidR="00E814DF" w:rsidRPr="008B05FE">
        <w:t>C</w:t>
      </w:r>
      <w:r w:rsidRPr="008B05FE">
        <w:t>oordinator or manager (the ‘reviewer’), to verify the assessor’s evaluation.</w:t>
      </w:r>
    </w:p>
    <w:p w14:paraId="42280A58" w14:textId="76888313" w:rsidR="00E83D5E" w:rsidRPr="008B05FE" w:rsidRDefault="00E83D5E" w:rsidP="008B05FE">
      <w:pPr>
        <w:pStyle w:val="List"/>
      </w:pPr>
      <w:r w:rsidRPr="008B05FE">
        <w:rPr>
          <w:rStyle w:val="Strong"/>
        </w:rPr>
        <w:t>Step 3</w:t>
      </w:r>
      <w:r w:rsidRPr="008B05FE">
        <w:t xml:space="preserve"> – The application is then sent to the Program delegate (the </w:t>
      </w:r>
      <w:r w:rsidR="00E814DF" w:rsidRPr="008B05FE">
        <w:t>‘</w:t>
      </w:r>
      <w:r w:rsidRPr="008B05FE">
        <w:t>approver</w:t>
      </w:r>
      <w:r w:rsidR="00E814DF" w:rsidRPr="008B05FE">
        <w:t>’</w:t>
      </w:r>
      <w:r w:rsidRPr="008B05FE">
        <w:t>), who endorses the final assessment and reimbursement amount.</w:t>
      </w:r>
    </w:p>
    <w:p w14:paraId="15219CC0" w14:textId="12A36126" w:rsidR="00E83D5E" w:rsidRPr="008B05FE" w:rsidRDefault="00E83D5E" w:rsidP="001E45AA">
      <w:pPr>
        <w:pStyle w:val="ListNumber"/>
      </w:pPr>
      <w:r w:rsidRPr="008B05FE">
        <w:t xml:space="preserve">The approved application is processed for payment. Payment of $500 is made to the donor’s nominated bank account within 14 days after the Accounts area receive notification. </w:t>
      </w:r>
    </w:p>
    <w:p w14:paraId="45872FDE" w14:textId="46B2B8B4" w:rsidR="00E83D5E" w:rsidRPr="00133328" w:rsidRDefault="00E814DF" w:rsidP="001E45AA">
      <w:pPr>
        <w:pStyle w:val="ListNumber"/>
      </w:pPr>
      <w:r w:rsidRPr="008B05FE">
        <w:t>A payment advi</w:t>
      </w:r>
      <w:r w:rsidRPr="00133328">
        <w:t>ce letter</w:t>
      </w:r>
      <w:r w:rsidR="00E83D5E" w:rsidRPr="00133328">
        <w:t xml:space="preserve"> for notification of payment is sent to the donor via email.</w:t>
      </w:r>
    </w:p>
    <w:p w14:paraId="6E442160" w14:textId="62845E59" w:rsidR="00E83D5E" w:rsidRPr="00E83D5E" w:rsidRDefault="00E83D5E" w:rsidP="0016438B">
      <w:pPr>
        <w:pStyle w:val="Heading2"/>
      </w:pPr>
      <w:bookmarkStart w:id="51" w:name="_Toc235185122"/>
      <w:bookmarkStart w:id="52" w:name="_Toc235185605"/>
      <w:r w:rsidRPr="00E83D5E">
        <w:t>Process steps</w:t>
      </w:r>
      <w:bookmarkEnd w:id="51"/>
      <w:bookmarkEnd w:id="52"/>
    </w:p>
    <w:p w14:paraId="46C155E3" w14:textId="5DD5A158" w:rsidR="00E83D5E" w:rsidRPr="00E83D5E" w:rsidRDefault="00E83D5E" w:rsidP="008B05FE">
      <w:pPr>
        <w:pStyle w:val="Heading3"/>
      </w:pPr>
      <w:bookmarkStart w:id="53" w:name="_Toc235185123"/>
      <w:bookmarkStart w:id="54" w:name="_Toc235185299"/>
      <w:bookmarkStart w:id="55" w:name="_Toc235185606"/>
      <w:r w:rsidRPr="00E83D5E">
        <w:t>Complete the application form</w:t>
      </w:r>
      <w:bookmarkEnd w:id="53"/>
      <w:bookmarkEnd w:id="54"/>
      <w:bookmarkEnd w:id="55"/>
    </w:p>
    <w:p w14:paraId="0208C29B" w14:textId="5754153B" w:rsidR="00E83D5E" w:rsidRPr="001472A2" w:rsidRDefault="00E83D5E" w:rsidP="001472A2">
      <w:pPr>
        <w:rPr>
          <w:lang w:val="en-GB" w:bidi="ar-SA"/>
        </w:rPr>
      </w:pPr>
      <w:r w:rsidRPr="001472A2">
        <w:rPr>
          <w:lang w:val="en-GB" w:bidi="ar-SA"/>
        </w:rPr>
        <w:t xml:space="preserve">If the donor is employed </w:t>
      </w:r>
      <w:proofErr w:type="gramStart"/>
      <w:r w:rsidRPr="001472A2">
        <w:rPr>
          <w:lang w:val="en-GB" w:bidi="ar-SA"/>
        </w:rPr>
        <w:t>and also</w:t>
      </w:r>
      <w:proofErr w:type="gramEnd"/>
      <w:r w:rsidRPr="001472A2">
        <w:rPr>
          <w:lang w:val="en-GB" w:bidi="ar-SA"/>
        </w:rPr>
        <w:t xml:space="preserve"> claiming leave reimbursement, the application form will need to be completed as described in </w:t>
      </w:r>
      <w:hyperlink w:anchor="_Complete_the_application" w:history="1">
        <w:r w:rsidRPr="00906A9B">
          <w:rPr>
            <w:rStyle w:val="Hyperlink"/>
            <w:lang w:val="en-GB" w:bidi="ar-SA"/>
          </w:rPr>
          <w:t>part 2.2.2</w:t>
        </w:r>
      </w:hyperlink>
      <w:r w:rsidRPr="001472A2">
        <w:rPr>
          <w:lang w:val="en-GB" w:bidi="ar-SA"/>
        </w:rPr>
        <w:t xml:space="preserve"> or </w:t>
      </w:r>
      <w:hyperlink w:anchor="_Complete_the_application" w:history="1">
        <w:r w:rsidRPr="00906A9B">
          <w:rPr>
            <w:rStyle w:val="Hyperlink"/>
            <w:lang w:val="en-GB" w:bidi="ar-SA"/>
          </w:rPr>
          <w:t>part 3.2.1</w:t>
        </w:r>
      </w:hyperlink>
      <w:r w:rsidRPr="001472A2">
        <w:rPr>
          <w:lang w:val="en-GB" w:bidi="ar-SA"/>
        </w:rPr>
        <w:t>.</w:t>
      </w:r>
    </w:p>
    <w:p w14:paraId="251E5F52" w14:textId="77777777" w:rsidR="00E83D5E" w:rsidRPr="001472A2" w:rsidRDefault="00E83D5E" w:rsidP="001472A2">
      <w:pPr>
        <w:rPr>
          <w:lang w:val="en-GB" w:bidi="ar-SA"/>
        </w:rPr>
      </w:pPr>
      <w:r w:rsidRPr="001472A2">
        <w:rPr>
          <w:lang w:val="en-GB" w:bidi="ar-SA"/>
        </w:rPr>
        <w:t xml:space="preserve">If the donor is not employed, only Part A of the application form will need to be completed. The form should be submitted after the donor has undergone surgery. </w:t>
      </w:r>
    </w:p>
    <w:p w14:paraId="193B8A4F" w14:textId="77777777" w:rsidR="00E83D5E" w:rsidRPr="001472A2" w:rsidRDefault="00E83D5E" w:rsidP="001472A2">
      <w:pPr>
        <w:rPr>
          <w:lang w:val="en-GB" w:bidi="ar-SA"/>
        </w:rPr>
      </w:pPr>
      <w:r w:rsidRPr="001472A2">
        <w:rPr>
          <w:lang w:val="en-GB" w:bidi="ar-SA"/>
        </w:rPr>
        <w:t>Incomplete applications cannot be assessed. If the application is incomplete, and/or more information is required, the donor will be contacted by the department and processing of the application will be delayed.</w:t>
      </w:r>
    </w:p>
    <w:p w14:paraId="1C35C80D" w14:textId="5164B4BF" w:rsidR="00E83D5E" w:rsidRPr="001472A2" w:rsidRDefault="00E83D5E" w:rsidP="001472A2">
      <w:pPr>
        <w:rPr>
          <w:lang w:val="en-GB" w:bidi="ar-SA"/>
        </w:rPr>
      </w:pPr>
      <w:r w:rsidRPr="001472A2">
        <w:rPr>
          <w:lang w:val="en-GB" w:bidi="ar-SA"/>
        </w:rPr>
        <w:t>If the application is ineligible, the donor will receive an email notification advising of this outcome. Refer to part 7 regarding a review of decision.</w:t>
      </w:r>
    </w:p>
    <w:p w14:paraId="34BB0005" w14:textId="77777777" w:rsidR="006A5495" w:rsidRPr="008B05FE" w:rsidRDefault="006A5495" w:rsidP="008B05FE">
      <w:pPr>
        <w:rPr>
          <w:lang w:val="en-GB" w:bidi="ar-SA"/>
        </w:rPr>
      </w:pPr>
      <w:r w:rsidRPr="008B05FE">
        <w:rPr>
          <w:lang w:val="en-GB" w:bidi="ar-SA"/>
        </w:rPr>
        <w:br w:type="page"/>
      </w:r>
    </w:p>
    <w:p w14:paraId="30FAD489" w14:textId="27D86C2F" w:rsidR="00E83D5E" w:rsidRPr="008B05FE" w:rsidRDefault="00E83D5E" w:rsidP="008B05FE">
      <w:pPr>
        <w:pStyle w:val="Heading4"/>
      </w:pPr>
      <w:r w:rsidRPr="008B05FE">
        <w:t>CASE STUDY 4</w:t>
      </w:r>
    </w:p>
    <w:p w14:paraId="21B84BE9" w14:textId="77777777" w:rsidR="00E83D5E" w:rsidRPr="008B05FE" w:rsidRDefault="00E83D5E" w:rsidP="008B05FE">
      <w:pPr>
        <w:rPr>
          <w:rStyle w:val="Strong"/>
          <w:lang w:val="en-GB" w:bidi="ar-SA"/>
        </w:rPr>
      </w:pPr>
      <w:r w:rsidRPr="008B05FE">
        <w:rPr>
          <w:rStyle w:val="Strong"/>
          <w:lang w:val="en-GB" w:bidi="ar-SA"/>
        </w:rPr>
        <w:t xml:space="preserve">Ryan donated his kidney to his son. Ryan lived 40 minutes away from the hospital and chose to drive his own car to appointments. Ryan took time off work and paid for petrol, tolls and parking to attend multiple appointments over 18 months. </w:t>
      </w:r>
    </w:p>
    <w:p w14:paraId="3644EFB4" w14:textId="77777777" w:rsidR="00E83D5E" w:rsidRPr="008B05FE" w:rsidRDefault="00E83D5E" w:rsidP="008B05FE">
      <w:pPr>
        <w:rPr>
          <w:rStyle w:val="Strong"/>
          <w:lang w:val="en-GB" w:bidi="ar-SA"/>
        </w:rPr>
      </w:pPr>
      <w:r w:rsidRPr="008B05FE">
        <w:rPr>
          <w:rStyle w:val="Strong"/>
          <w:lang w:val="en-GB" w:bidi="ar-SA"/>
        </w:rPr>
        <w:t xml:space="preserve">How can Ryan be reimbursed for his out-of-pocket expenses? </w:t>
      </w:r>
    </w:p>
    <w:p w14:paraId="0DAC9FDD" w14:textId="77777777" w:rsidR="00E83D5E" w:rsidRPr="008B05FE" w:rsidRDefault="00E83D5E" w:rsidP="008B05FE">
      <w:pPr>
        <w:rPr>
          <w:rStyle w:val="Strong"/>
          <w:lang w:val="en-GB" w:bidi="ar-SA"/>
        </w:rPr>
      </w:pPr>
      <w:r w:rsidRPr="008B05FE">
        <w:rPr>
          <w:rStyle w:val="Strong"/>
          <w:lang w:val="en-GB" w:bidi="ar-SA"/>
        </w:rPr>
        <w:t xml:space="preserve">As Ryan is employed, paid above the National Minimum Wage (NMW), and intending to claim for reimbursement of his paid leave, he will need to wait until his return to work before submitting his application. </w:t>
      </w:r>
    </w:p>
    <w:p w14:paraId="327DA219" w14:textId="2FB6D683" w:rsidR="00E83D5E" w:rsidRPr="008B05FE" w:rsidRDefault="00E83D5E" w:rsidP="008B05FE">
      <w:pPr>
        <w:rPr>
          <w:rStyle w:val="Emphasis"/>
        </w:rPr>
      </w:pPr>
      <w:r w:rsidRPr="008B05FE">
        <w:rPr>
          <w:rStyle w:val="Emphasis"/>
        </w:rPr>
        <w:t xml:space="preserve">To apply for the </w:t>
      </w:r>
      <w:r w:rsidR="00E814DF" w:rsidRPr="008B05FE">
        <w:rPr>
          <w:rStyle w:val="Emphasis"/>
        </w:rPr>
        <w:t>P</w:t>
      </w:r>
      <w:r w:rsidRPr="008B05FE">
        <w:rPr>
          <w:rStyle w:val="Emphasis"/>
        </w:rPr>
        <w:t xml:space="preserve">rogram, Ryan will need to fill out Part A and have his employer fill out Part B of the application form. He will also need to provide a medical certificate which shows his surgery date.  </w:t>
      </w:r>
    </w:p>
    <w:p w14:paraId="18C0777F" w14:textId="7B528786" w:rsidR="00E83D5E" w:rsidRPr="008B05FE" w:rsidRDefault="00E83D5E" w:rsidP="008B05FE">
      <w:pPr>
        <w:rPr>
          <w:rStyle w:val="Emphasis"/>
        </w:rPr>
      </w:pPr>
      <w:r w:rsidRPr="008B05FE">
        <w:rPr>
          <w:rStyle w:val="Emphasis"/>
        </w:rPr>
        <w:t>Ryan will be paid a $500 lump-sum payment to cover his out-of-pocket travel expenses, based on the evidence he has provided.</w:t>
      </w:r>
      <w:r w:rsidR="00E814DF" w:rsidRPr="008B05FE">
        <w:rPr>
          <w:rStyle w:val="Emphasis"/>
        </w:rPr>
        <w:t xml:space="preserve"> Ryan also provides payslips showing that he received paid leave. </w:t>
      </w:r>
      <w:r w:rsidRPr="008B05FE">
        <w:rPr>
          <w:rStyle w:val="Emphasis"/>
        </w:rPr>
        <w:t xml:space="preserve">Ryan’s employer will be reimbursed </w:t>
      </w:r>
      <w:r w:rsidR="00E814DF" w:rsidRPr="008B05FE">
        <w:rPr>
          <w:rStyle w:val="Emphasis"/>
        </w:rPr>
        <w:t xml:space="preserve">at </w:t>
      </w:r>
      <w:r w:rsidRPr="008B05FE">
        <w:rPr>
          <w:rStyle w:val="Emphasis"/>
        </w:rPr>
        <w:t xml:space="preserve">the NMW for the hours of paid leave, allowing them to replenish Ryan’s leave. </w:t>
      </w:r>
    </w:p>
    <w:p w14:paraId="2AB4F185" w14:textId="77777777" w:rsidR="00E83D5E" w:rsidRPr="008B05FE" w:rsidRDefault="00E83D5E" w:rsidP="008B05FE">
      <w:pPr>
        <w:rPr>
          <w:rStyle w:val="Emphasis"/>
        </w:rPr>
      </w:pPr>
      <w:r w:rsidRPr="008B05FE">
        <w:rPr>
          <w:rStyle w:val="Emphasis"/>
        </w:rPr>
        <w:t xml:space="preserve">The $500 lump-sum payment will be made directly to Ryan’s nominated bank account. </w:t>
      </w:r>
    </w:p>
    <w:p w14:paraId="7AA23F7F" w14:textId="68969F94" w:rsidR="00E83D5E" w:rsidRPr="008B05FE" w:rsidRDefault="00E83D5E" w:rsidP="008B05FE">
      <w:pPr>
        <w:rPr>
          <w:rStyle w:val="IntenseEmphasis"/>
          <w:lang w:val="en-GB" w:bidi="ar-SA"/>
        </w:rPr>
      </w:pPr>
      <w:r w:rsidRPr="008B05FE">
        <w:rPr>
          <w:rStyle w:val="IntenseEmphasis"/>
          <w:lang w:val="en-GB" w:bidi="ar-SA"/>
        </w:rPr>
        <w:t>The leave</w:t>
      </w:r>
      <w:r w:rsidR="000B2AFB" w:rsidRPr="008B05FE">
        <w:rPr>
          <w:rStyle w:val="IntenseEmphasis"/>
          <w:lang w:val="en-GB" w:bidi="ar-SA"/>
        </w:rPr>
        <w:t xml:space="preserve"> reimbursement</w:t>
      </w:r>
      <w:r w:rsidRPr="008B05FE">
        <w:rPr>
          <w:rStyle w:val="IntenseEmphasis"/>
          <w:lang w:val="en-GB" w:bidi="ar-SA"/>
        </w:rPr>
        <w:t xml:space="preserve"> payment will be made to the employer’s nominated business bank account. </w:t>
      </w:r>
    </w:p>
    <w:p w14:paraId="3C7489B6" w14:textId="77777777" w:rsidR="006A5495" w:rsidRPr="008B05FE" w:rsidRDefault="006A5495" w:rsidP="008B05FE">
      <w:pPr>
        <w:rPr>
          <w:lang w:val="en-GB" w:bidi="ar-SA"/>
        </w:rPr>
        <w:sectPr w:rsidR="006A5495" w:rsidRPr="008B05FE" w:rsidSect="00E83D5E">
          <w:pgSz w:w="11906" w:h="16838"/>
          <w:pgMar w:top="720" w:right="720" w:bottom="720" w:left="720" w:header="720" w:footer="720" w:gutter="0"/>
          <w:cols w:space="720"/>
          <w:noEndnote/>
        </w:sectPr>
      </w:pPr>
    </w:p>
    <w:p w14:paraId="4B8266F4" w14:textId="6FC702BD" w:rsidR="00E83D5E" w:rsidRPr="00E83D5E" w:rsidRDefault="00E83D5E" w:rsidP="00DD2069">
      <w:pPr>
        <w:pStyle w:val="Heading1"/>
      </w:pPr>
      <w:bookmarkStart w:id="56" w:name="_Toc235185607"/>
      <w:bookmarkStart w:id="57" w:name="_Out-of-pocket_expenses_reimbursemen_1"/>
      <w:bookmarkEnd w:id="57"/>
      <w:r w:rsidRPr="00E83D5E">
        <w:t>Out-of-pocket expenses reimbursement over $500 – Australian donors</w:t>
      </w:r>
      <w:bookmarkEnd w:id="56"/>
    </w:p>
    <w:p w14:paraId="64B47AA7" w14:textId="7B9C1561" w:rsidR="00E83D5E" w:rsidRPr="002267A5" w:rsidRDefault="00E83D5E" w:rsidP="002267A5">
      <w:pPr>
        <w:rPr>
          <w:lang w:val="en-GB" w:bidi="ar-SA"/>
        </w:rPr>
      </w:pPr>
      <w:r w:rsidRPr="002267A5">
        <w:rPr>
          <w:lang w:val="en-GB" w:bidi="ar-SA"/>
        </w:rPr>
        <w:t xml:space="preserve">This section provides an overview of the key steps for all </w:t>
      </w:r>
      <w:r w:rsidR="000B2AFB" w:rsidRPr="002267A5">
        <w:rPr>
          <w:lang w:val="en-GB" w:bidi="ar-SA"/>
        </w:rPr>
        <w:t xml:space="preserve">Australian </w:t>
      </w:r>
      <w:r w:rsidRPr="002267A5">
        <w:rPr>
          <w:lang w:val="en-GB" w:bidi="ar-SA"/>
        </w:rPr>
        <w:t>donors</w:t>
      </w:r>
      <w:r w:rsidR="005206BB" w:rsidRPr="002267A5">
        <w:rPr>
          <w:lang w:val="en-GB" w:bidi="ar-SA"/>
        </w:rPr>
        <w:t xml:space="preserve"> and potential </w:t>
      </w:r>
      <w:r w:rsidR="00E97373" w:rsidRPr="002267A5">
        <w:rPr>
          <w:lang w:val="en-GB" w:bidi="ar-SA"/>
        </w:rPr>
        <w:t>donors,</w:t>
      </w:r>
      <w:r w:rsidRPr="002267A5">
        <w:rPr>
          <w:lang w:val="en-GB" w:bidi="ar-SA"/>
        </w:rPr>
        <w:t xml:space="preserve"> to claim for out-of-pocket expenses under the Program that exceed $500. The total reimbursement for out-of-pocket expenses cannot exceed $4,000 for each donor</w:t>
      </w:r>
      <w:r w:rsidR="000B2AFB" w:rsidRPr="002267A5">
        <w:rPr>
          <w:lang w:val="en-GB" w:bidi="ar-SA"/>
        </w:rPr>
        <w:t xml:space="preserve"> (and their support person)</w:t>
      </w:r>
      <w:r w:rsidRPr="002267A5">
        <w:rPr>
          <w:lang w:val="en-GB" w:bidi="ar-SA"/>
        </w:rPr>
        <w:t xml:space="preserve">. Evidence will need to be submitted for the entire amount of out-of-pocket expenditure (including the first $500). </w:t>
      </w:r>
    </w:p>
    <w:p w14:paraId="7AD2349A" w14:textId="06A26927" w:rsidR="00E83D5E" w:rsidRPr="00E83D5E" w:rsidRDefault="00E83D5E" w:rsidP="0016438B">
      <w:pPr>
        <w:pStyle w:val="Heading2"/>
      </w:pPr>
      <w:bookmarkStart w:id="58" w:name="_Toc235185124"/>
      <w:bookmarkStart w:id="59" w:name="_Toc235185608"/>
      <w:r w:rsidRPr="00E83D5E">
        <w:t>Process overview</w:t>
      </w:r>
      <w:bookmarkEnd w:id="58"/>
      <w:bookmarkEnd w:id="59"/>
    </w:p>
    <w:p w14:paraId="6D38F346" w14:textId="06B19498" w:rsidR="00E83D5E" w:rsidRPr="002267A5" w:rsidRDefault="00E83D5E" w:rsidP="002267A5">
      <w:pPr>
        <w:rPr>
          <w:lang w:val="en-GB" w:bidi="ar-SA"/>
        </w:rPr>
      </w:pPr>
      <w:r w:rsidRPr="002267A5">
        <w:rPr>
          <w:lang w:val="en-GB" w:bidi="ar-SA"/>
        </w:rPr>
        <w:t>The key steps in the process of claiming out-of-pocket expense reimbursement</w:t>
      </w:r>
      <w:r w:rsidR="000B2AFB" w:rsidRPr="002267A5">
        <w:rPr>
          <w:lang w:val="en-GB" w:bidi="ar-SA"/>
        </w:rPr>
        <w:t xml:space="preserve"> for Australian donors</w:t>
      </w:r>
      <w:r w:rsidRPr="002267A5">
        <w:rPr>
          <w:lang w:val="en-GB" w:bidi="ar-SA"/>
        </w:rPr>
        <w:t xml:space="preserve"> are:</w:t>
      </w:r>
    </w:p>
    <w:p w14:paraId="0CDBC39F" w14:textId="7E01FF4E" w:rsidR="005206BB" w:rsidRPr="002267A5" w:rsidRDefault="005206BB" w:rsidP="00906A9B">
      <w:pPr>
        <w:pStyle w:val="ListNumber"/>
        <w:numPr>
          <w:ilvl w:val="0"/>
          <w:numId w:val="44"/>
        </w:numPr>
        <w:ind w:left="425" w:hanging="357"/>
      </w:pPr>
      <w:r w:rsidRPr="002267A5">
        <w:t>P</w:t>
      </w:r>
      <w:r w:rsidR="00F47A4C" w:rsidRPr="002267A5">
        <w:t xml:space="preserve">otential </w:t>
      </w:r>
      <w:r w:rsidR="00E83D5E" w:rsidRPr="002267A5">
        <w:t xml:space="preserve">donor attends work-up appointments. </w:t>
      </w:r>
      <w:r w:rsidR="00F47A4C" w:rsidRPr="002267A5">
        <w:t>Potential d</w:t>
      </w:r>
      <w:r w:rsidR="00E83D5E" w:rsidRPr="002267A5">
        <w:t xml:space="preserve">onor keeps receipts and a record of travel and accommodation expenses incurred due to work-up. </w:t>
      </w:r>
      <w:r w:rsidRPr="002267A5">
        <w:t xml:space="preserve">If potential donor </w:t>
      </w:r>
      <w:r w:rsidR="00CE51A6" w:rsidRPr="002267A5">
        <w:t xml:space="preserve">is </w:t>
      </w:r>
      <w:r w:rsidRPr="002267A5">
        <w:t>found unsuitable to donate following work</w:t>
      </w:r>
      <w:r w:rsidR="0046759F" w:rsidRPr="002267A5">
        <w:t>-</w:t>
      </w:r>
      <w:r w:rsidRPr="002267A5">
        <w:t>up appointments, the application form can be submitted following the last appointment.</w:t>
      </w:r>
    </w:p>
    <w:p w14:paraId="09424DA3" w14:textId="0D9F8210" w:rsidR="00E83D5E" w:rsidRPr="002267A5" w:rsidRDefault="00E83D5E" w:rsidP="001E45AA">
      <w:pPr>
        <w:pStyle w:val="ListNumber"/>
      </w:pPr>
      <w:r w:rsidRPr="002267A5">
        <w:t>Donor undergoes surger</w:t>
      </w:r>
      <w:r w:rsidR="000B2AFB" w:rsidRPr="002267A5">
        <w:t>y</w:t>
      </w:r>
      <w:r w:rsidRPr="002267A5">
        <w:t xml:space="preserve">. Donor keeps receipts and a record of expenses incurred due to donation. </w:t>
      </w:r>
    </w:p>
    <w:p w14:paraId="4FA91AD0" w14:textId="0D42697A" w:rsidR="00E83D5E" w:rsidRPr="002267A5" w:rsidRDefault="00E83D5E" w:rsidP="002267A5">
      <w:pPr>
        <w:pStyle w:val="ListNumber3"/>
      </w:pPr>
      <w:r w:rsidRPr="002267A5">
        <w:t xml:space="preserve">Donor support person travel and accommodation expenses incurred during donor’s hospital admission for donation surgery can also be claimed under the Program. </w:t>
      </w:r>
    </w:p>
    <w:p w14:paraId="25768B09" w14:textId="415952CB" w:rsidR="00E83D5E" w:rsidRPr="002267A5" w:rsidRDefault="00E83D5E" w:rsidP="001E45AA">
      <w:pPr>
        <w:pStyle w:val="ListNumber"/>
      </w:pPr>
      <w:r w:rsidRPr="002267A5">
        <w:t>Donor submits the application form and includes copies of:</w:t>
      </w:r>
    </w:p>
    <w:p w14:paraId="4FC09A35" w14:textId="56211DAD" w:rsidR="00E83D5E" w:rsidRPr="002267A5" w:rsidRDefault="00E83D5E" w:rsidP="002267A5">
      <w:pPr>
        <w:pStyle w:val="ListNumber3"/>
        <w:numPr>
          <w:ilvl w:val="0"/>
          <w:numId w:val="37"/>
        </w:numPr>
      </w:pPr>
      <w:r w:rsidRPr="002267A5">
        <w:t>medical certificates, appointment tracker or other evidence confirming dates of medical appointments for work-up testing appointments and surgery/recovery</w:t>
      </w:r>
    </w:p>
    <w:p w14:paraId="2AE8B71A" w14:textId="7A80D874" w:rsidR="00E83D5E" w:rsidRPr="002267A5" w:rsidRDefault="00E83D5E" w:rsidP="002267A5">
      <w:pPr>
        <w:pStyle w:val="ListNumber3"/>
      </w:pPr>
      <w:r w:rsidRPr="002267A5">
        <w:t xml:space="preserve">out-of-pocket expense tracker (optional) </w:t>
      </w:r>
    </w:p>
    <w:p w14:paraId="3CC51DBD" w14:textId="4A2DC9FE" w:rsidR="00E83D5E" w:rsidRPr="002267A5" w:rsidRDefault="00E83D5E" w:rsidP="002267A5">
      <w:pPr>
        <w:pStyle w:val="ListNumber3"/>
      </w:pPr>
      <w:r w:rsidRPr="002267A5">
        <w:t>itemised receipts for all expenses included in the claim.</w:t>
      </w:r>
    </w:p>
    <w:p w14:paraId="7112A576" w14:textId="34F65CA8" w:rsidR="00E83D5E" w:rsidRPr="002267A5" w:rsidRDefault="00E83D5E" w:rsidP="001E45AA">
      <w:pPr>
        <w:pStyle w:val="ListNumber"/>
      </w:pPr>
      <w:r w:rsidRPr="002267A5">
        <w:t>The application is processed by the department.</w:t>
      </w:r>
    </w:p>
    <w:p w14:paraId="73629CD8" w14:textId="637F3F04" w:rsidR="00E83D5E" w:rsidRPr="002267A5" w:rsidRDefault="00E83D5E" w:rsidP="002267A5">
      <w:pPr>
        <w:pStyle w:val="List"/>
      </w:pPr>
      <w:r w:rsidRPr="002267A5">
        <w:rPr>
          <w:rStyle w:val="Strong"/>
        </w:rPr>
        <w:t>Step 1</w:t>
      </w:r>
      <w:r w:rsidRPr="002267A5">
        <w:t xml:space="preserve"> – Program </w:t>
      </w:r>
      <w:r w:rsidR="000B2AFB" w:rsidRPr="002267A5">
        <w:t>C</w:t>
      </w:r>
      <w:r w:rsidRPr="002267A5">
        <w:t xml:space="preserve">oordinator (the ‘assessor’) assesses the information in the application form. </w:t>
      </w:r>
    </w:p>
    <w:p w14:paraId="292809C6" w14:textId="23A159D1" w:rsidR="00E83D5E" w:rsidRPr="002267A5" w:rsidRDefault="00E83D5E" w:rsidP="002267A5">
      <w:pPr>
        <w:pStyle w:val="List"/>
      </w:pPr>
      <w:r w:rsidRPr="002267A5">
        <w:rPr>
          <w:rStyle w:val="Strong"/>
        </w:rPr>
        <w:t>Step 2</w:t>
      </w:r>
      <w:r w:rsidRPr="002267A5">
        <w:t xml:space="preserve"> – The application is then sent to a Program </w:t>
      </w:r>
      <w:r w:rsidR="000B2AFB" w:rsidRPr="002267A5">
        <w:t>C</w:t>
      </w:r>
      <w:r w:rsidRPr="002267A5">
        <w:t>oordinator or manager (the ‘reviewer’), to verify the assessor’s evaluation.</w:t>
      </w:r>
    </w:p>
    <w:p w14:paraId="000BBBCA" w14:textId="7FFF66D6" w:rsidR="00E83D5E" w:rsidRPr="002267A5" w:rsidRDefault="00E83D5E" w:rsidP="002267A5">
      <w:pPr>
        <w:pStyle w:val="List"/>
      </w:pPr>
      <w:r w:rsidRPr="002267A5">
        <w:rPr>
          <w:rStyle w:val="Strong"/>
        </w:rPr>
        <w:t>Step 3</w:t>
      </w:r>
      <w:r w:rsidRPr="002267A5">
        <w:t xml:space="preserve"> – The application is then sent to the Program delegate (the </w:t>
      </w:r>
      <w:r w:rsidR="000B2AFB" w:rsidRPr="002267A5">
        <w:t>‘</w:t>
      </w:r>
      <w:r w:rsidRPr="002267A5">
        <w:t>approver</w:t>
      </w:r>
      <w:r w:rsidR="000B2AFB" w:rsidRPr="002267A5">
        <w:t>’</w:t>
      </w:r>
      <w:r w:rsidRPr="002267A5">
        <w:t>), who endorses the final assessment and calculated reimbursement amount.</w:t>
      </w:r>
    </w:p>
    <w:p w14:paraId="5D2FD31A" w14:textId="4F2B7945" w:rsidR="00E83D5E" w:rsidRPr="002267A5" w:rsidRDefault="00E83D5E" w:rsidP="001E45AA">
      <w:pPr>
        <w:pStyle w:val="ListNumber"/>
      </w:pPr>
      <w:r w:rsidRPr="002267A5">
        <w:t xml:space="preserve">The approved application is processed for payment. Payment is calculated and made to the donor’s nominated bank account. </w:t>
      </w:r>
    </w:p>
    <w:p w14:paraId="0EC2786C" w14:textId="002E25F3" w:rsidR="00E83D5E" w:rsidRPr="002267A5" w:rsidRDefault="000B2AFB" w:rsidP="001E45AA">
      <w:pPr>
        <w:pStyle w:val="ListNumber"/>
      </w:pPr>
      <w:r w:rsidRPr="002267A5">
        <w:t>A payment advice letter</w:t>
      </w:r>
      <w:r w:rsidR="00E83D5E" w:rsidRPr="002267A5">
        <w:t xml:space="preserve"> for notification of payment is sent to the donor via email.</w:t>
      </w:r>
    </w:p>
    <w:p w14:paraId="55927E88" w14:textId="480B62B6" w:rsidR="00E83D5E" w:rsidRPr="00E83D5E" w:rsidRDefault="00E83D5E" w:rsidP="008B05FE">
      <w:pPr>
        <w:pStyle w:val="Heading3"/>
      </w:pPr>
      <w:bookmarkStart w:id="60" w:name="_Toc235185125"/>
      <w:bookmarkStart w:id="61" w:name="_Toc235185300"/>
      <w:bookmarkStart w:id="62" w:name="_Toc235185609"/>
      <w:r w:rsidRPr="00E83D5E">
        <w:t>What can be claimed</w:t>
      </w:r>
      <w:bookmarkEnd w:id="60"/>
      <w:bookmarkEnd w:id="61"/>
      <w:bookmarkEnd w:id="62"/>
      <w:r w:rsidRPr="00E83D5E">
        <w:t xml:space="preserve"> </w:t>
      </w:r>
    </w:p>
    <w:p w14:paraId="3E405C32" w14:textId="254FA8E3" w:rsidR="00E83D5E" w:rsidRPr="00133328" w:rsidRDefault="00E83D5E" w:rsidP="00133328">
      <w:pPr>
        <w:rPr>
          <w:lang w:val="en-GB" w:bidi="ar-SA"/>
        </w:rPr>
      </w:pPr>
      <w:r w:rsidRPr="00133328">
        <w:rPr>
          <w:lang w:val="en-GB" w:bidi="ar-SA"/>
        </w:rPr>
        <w:t xml:space="preserve">Under the Program, donors </w:t>
      </w:r>
      <w:r w:rsidR="003245C4" w:rsidRPr="00133328">
        <w:rPr>
          <w:lang w:val="en-GB" w:bidi="ar-SA"/>
        </w:rPr>
        <w:t xml:space="preserve">and potential donors </w:t>
      </w:r>
      <w:r w:rsidRPr="00133328">
        <w:rPr>
          <w:lang w:val="en-GB" w:bidi="ar-SA"/>
        </w:rPr>
        <w:t>can make a claim for the following out-of-pocket expenses:</w:t>
      </w:r>
    </w:p>
    <w:p w14:paraId="3EBD9763" w14:textId="36FE94D9" w:rsidR="00546990" w:rsidRPr="00317E6C" w:rsidRDefault="5F313F1C" w:rsidP="00317E6C">
      <w:pPr>
        <w:pStyle w:val="ListBullet"/>
        <w:rPr>
          <w:lang w:val="en-GB" w:bidi="ar-SA"/>
        </w:rPr>
      </w:pPr>
      <w:r w:rsidRPr="00317E6C">
        <w:rPr>
          <w:lang w:val="en-AU" w:bidi="ar-SA"/>
        </w:rPr>
        <w:t>Accommodation may be claimed for the minimum number of nights required to attend work-up appointments, donation surgery and recovery post</w:t>
      </w:r>
      <w:r w:rsidR="004D6F49" w:rsidRPr="00317E6C">
        <w:rPr>
          <w:lang w:val="en-AU" w:bidi="ar-SA"/>
        </w:rPr>
        <w:t>-</w:t>
      </w:r>
      <w:r w:rsidRPr="00317E6C">
        <w:rPr>
          <w:lang w:val="en-AU" w:bidi="ar-SA"/>
        </w:rPr>
        <w:t xml:space="preserve">discharge, up to the relevant caps below. Accommodation </w:t>
      </w:r>
      <w:r w:rsidR="43AF4180" w:rsidRPr="00317E6C">
        <w:rPr>
          <w:lang w:val="en-AU" w:bidi="ar-SA"/>
        </w:rPr>
        <w:t>(</w:t>
      </w:r>
      <w:r w:rsidRPr="00317E6C">
        <w:rPr>
          <w:lang w:val="en-AU" w:bidi="ar-SA"/>
        </w:rPr>
        <w:t>based on reasonable amounts, in line with the ATO Tax Determination on reasonable travel allowances) may be claimed for</w:t>
      </w:r>
      <w:r w:rsidR="00546990" w:rsidRPr="00317E6C">
        <w:rPr>
          <w:lang w:val="en-AU" w:bidi="ar-SA"/>
        </w:rPr>
        <w:t>:</w:t>
      </w:r>
    </w:p>
    <w:p w14:paraId="55B53BB4" w14:textId="217ECE78" w:rsidR="00546990" w:rsidRPr="00546990" w:rsidRDefault="00546990" w:rsidP="002267A5">
      <w:pPr>
        <w:pStyle w:val="ListNumber3"/>
        <w:numPr>
          <w:ilvl w:val="0"/>
          <w:numId w:val="38"/>
        </w:numPr>
      </w:pPr>
      <w:r>
        <w:t>appointments - accommodation is covered the night prior and the night of the appointment.</w:t>
      </w:r>
    </w:p>
    <w:p w14:paraId="51119F3D" w14:textId="4A3B082B" w:rsidR="00F03AC7" w:rsidRPr="004A527F" w:rsidRDefault="00F03AC7" w:rsidP="00317E6C">
      <w:pPr>
        <w:pStyle w:val="ListNumber3"/>
      </w:pPr>
      <w:r>
        <w:t xml:space="preserve">donation surgery – accommodation is covered for </w:t>
      </w:r>
      <w:r w:rsidR="00E238F9">
        <w:t>the night</w:t>
      </w:r>
      <w:r>
        <w:t xml:space="preserve"> prior to hospital admission and up to 7 </w:t>
      </w:r>
      <w:r w:rsidR="005B68B1">
        <w:t>nights</w:t>
      </w:r>
      <w:r>
        <w:t xml:space="preserve"> post-discharge.</w:t>
      </w:r>
    </w:p>
    <w:p w14:paraId="084CDF24" w14:textId="2DAAEBF8" w:rsidR="000B2AFB" w:rsidRPr="00546990" w:rsidRDefault="00F03AC7" w:rsidP="00317E6C">
      <w:pPr>
        <w:pStyle w:val="ListNumber3"/>
        <w:rPr>
          <w:lang w:val="en-AU"/>
        </w:rPr>
      </w:pPr>
      <w:r>
        <w:t>o</w:t>
      </w:r>
      <w:r w:rsidRPr="00F47A4C">
        <w:t>ther reasonable circumstances may be considered, where additional accommodation is needed for clinical, travel or logistical reasons.</w:t>
      </w:r>
      <w:r w:rsidR="00E46A15" w:rsidRPr="00E46A15">
        <w:rPr>
          <w:lang w:val="en-AU"/>
        </w:rPr>
        <w:t xml:space="preserve"> Claims outside these caps (</w:t>
      </w:r>
      <w:proofErr w:type="spellStart"/>
      <w:r w:rsidR="00E46A15" w:rsidRPr="00E46A15">
        <w:rPr>
          <w:lang w:val="en-AU"/>
        </w:rPr>
        <w:t>e.g</w:t>
      </w:r>
      <w:proofErr w:type="spellEnd"/>
      <w:r w:rsidR="00E46A15" w:rsidRPr="00E46A15">
        <w:rPr>
          <w:lang w:val="en-AU"/>
        </w:rPr>
        <w:t xml:space="preserve"> if the donor is required to stay near the hospital beyond 7 </w:t>
      </w:r>
      <w:r w:rsidR="005B68B1">
        <w:rPr>
          <w:lang w:val="en-AU"/>
        </w:rPr>
        <w:t>nights</w:t>
      </w:r>
      <w:r w:rsidR="00E46A15" w:rsidRPr="00E46A15">
        <w:rPr>
          <w:lang w:val="en-AU"/>
        </w:rPr>
        <w:t xml:space="preserve"> post</w:t>
      </w:r>
      <w:r w:rsidR="00C87C3D">
        <w:rPr>
          <w:lang w:val="en-AU"/>
        </w:rPr>
        <w:t>-</w:t>
      </w:r>
      <w:r w:rsidR="00E46A15" w:rsidRPr="00E46A15">
        <w:rPr>
          <w:lang w:val="en-AU"/>
        </w:rPr>
        <w:t>discharge) must be supported by written evidence from the transplant coordinator or surgeon.</w:t>
      </w:r>
    </w:p>
    <w:p w14:paraId="00149F1B" w14:textId="6AFB7A81" w:rsidR="00E83D5E" w:rsidRPr="00317E6C" w:rsidRDefault="00E83D5E" w:rsidP="00317E6C">
      <w:pPr>
        <w:pStyle w:val="ListBullet"/>
        <w:rPr>
          <w:lang w:val="en-GB" w:bidi="ar-SA"/>
        </w:rPr>
      </w:pPr>
      <w:r w:rsidRPr="00317E6C">
        <w:rPr>
          <w:lang w:val="en-GB" w:bidi="ar-SA"/>
        </w:rPr>
        <w:t>economy airfares</w:t>
      </w:r>
    </w:p>
    <w:p w14:paraId="32288BBA" w14:textId="719C84DA" w:rsidR="00E83D5E" w:rsidRPr="00317E6C" w:rsidRDefault="00E83D5E" w:rsidP="00317E6C">
      <w:pPr>
        <w:pStyle w:val="ListBullet"/>
        <w:rPr>
          <w:lang w:val="en-GB" w:bidi="ar-SA"/>
        </w:rPr>
      </w:pPr>
      <w:r w:rsidRPr="00317E6C">
        <w:rPr>
          <w:lang w:val="en-GB" w:bidi="ar-SA"/>
        </w:rPr>
        <w:t>public transport including bus, train and taxi fares</w:t>
      </w:r>
    </w:p>
    <w:p w14:paraId="58852BE6" w14:textId="5EF8CC37" w:rsidR="00E83D5E" w:rsidRPr="00317E6C" w:rsidRDefault="00E83D5E" w:rsidP="00317E6C">
      <w:pPr>
        <w:pStyle w:val="ListBullet"/>
        <w:rPr>
          <w:lang w:val="en-GB" w:bidi="ar-SA"/>
        </w:rPr>
      </w:pPr>
      <w:r w:rsidRPr="00317E6C">
        <w:rPr>
          <w:lang w:val="en-GB" w:bidi="ar-SA"/>
        </w:rPr>
        <w:t>car hire</w:t>
      </w:r>
    </w:p>
    <w:p w14:paraId="07F1E90E" w14:textId="17407AA6" w:rsidR="00E83D5E" w:rsidRPr="00317E6C" w:rsidRDefault="00E83D5E" w:rsidP="00317E6C">
      <w:pPr>
        <w:pStyle w:val="ListBullet"/>
        <w:rPr>
          <w:lang w:val="en-GB" w:bidi="ar-SA"/>
        </w:rPr>
      </w:pPr>
      <w:r w:rsidRPr="00317E6C">
        <w:rPr>
          <w:lang w:val="en-GB" w:bidi="ar-SA"/>
        </w:rPr>
        <w:t xml:space="preserve">parking for the day of appointment </w:t>
      </w:r>
    </w:p>
    <w:p w14:paraId="66867109" w14:textId="1A1C484A" w:rsidR="00E83D5E" w:rsidRPr="00317E6C" w:rsidRDefault="00E83D5E" w:rsidP="00317E6C">
      <w:pPr>
        <w:pStyle w:val="ListBullet"/>
        <w:rPr>
          <w:lang w:val="en-GB" w:bidi="ar-SA"/>
        </w:rPr>
      </w:pPr>
      <w:r w:rsidRPr="00317E6C">
        <w:rPr>
          <w:lang w:val="en-GB" w:bidi="ar-SA"/>
        </w:rPr>
        <w:t>petrol – reimbursed at the applicable ATO car expenses rate using the cents per kilometre method</w:t>
      </w:r>
    </w:p>
    <w:p w14:paraId="4EAB53E4" w14:textId="01E8AE04" w:rsidR="00E83D5E" w:rsidRDefault="00E83D5E" w:rsidP="00317E6C">
      <w:pPr>
        <w:pStyle w:val="ListBullet"/>
        <w:rPr>
          <w:lang w:val="en-GB" w:bidi="ar-SA"/>
        </w:rPr>
      </w:pPr>
      <w:r w:rsidRPr="00043657">
        <w:rPr>
          <w:lang w:val="en-GB" w:bidi="ar-SA"/>
        </w:rPr>
        <w:t>road tolls</w:t>
      </w:r>
    </w:p>
    <w:p w14:paraId="05D93AE9" w14:textId="5FEB76CD" w:rsidR="000B2AFB" w:rsidRPr="008B05FE" w:rsidRDefault="000B2AFB" w:rsidP="00906A9B">
      <w:pPr>
        <w:keepNext/>
        <w:pageBreakBefore/>
        <w:rPr>
          <w:lang w:val="en-GB" w:bidi="ar-SA"/>
        </w:rPr>
      </w:pPr>
      <w:r w:rsidRPr="008B05FE">
        <w:rPr>
          <w:lang w:val="en-GB" w:bidi="ar-SA"/>
        </w:rPr>
        <w:t>Under the Program, the following</w:t>
      </w:r>
      <w:r w:rsidR="0026132D" w:rsidRPr="008B05FE">
        <w:rPr>
          <w:lang w:val="en-GB" w:bidi="ar-SA"/>
        </w:rPr>
        <w:t xml:space="preserve"> donor support person out-of-pocket expenses can be claimed:</w:t>
      </w:r>
    </w:p>
    <w:p w14:paraId="56A5767A" w14:textId="1A61182D" w:rsidR="0026132D" w:rsidRPr="00043657" w:rsidRDefault="0026132D" w:rsidP="00317E6C">
      <w:pPr>
        <w:pStyle w:val="ListBullet"/>
        <w:rPr>
          <w:lang w:val="en-GB" w:bidi="ar-SA"/>
        </w:rPr>
      </w:pPr>
      <w:r>
        <w:rPr>
          <w:lang w:val="en-GB" w:bidi="ar-SA"/>
        </w:rPr>
        <w:t xml:space="preserve">Accommodation </w:t>
      </w:r>
      <w:r w:rsidRPr="00133328">
        <w:t>during</w:t>
      </w:r>
      <w:r>
        <w:rPr>
          <w:lang w:val="en-GB" w:bidi="ar-SA"/>
        </w:rPr>
        <w:t xml:space="preserve"> the </w:t>
      </w:r>
      <w:proofErr w:type="gramStart"/>
      <w:r>
        <w:rPr>
          <w:lang w:val="en-GB" w:bidi="ar-SA"/>
        </w:rPr>
        <w:t>donors</w:t>
      </w:r>
      <w:proofErr w:type="gramEnd"/>
      <w:r>
        <w:rPr>
          <w:lang w:val="en-GB" w:bidi="ar-SA"/>
        </w:rPr>
        <w:t xml:space="preserve"> hospital admission.</w:t>
      </w:r>
    </w:p>
    <w:p w14:paraId="24BF1105" w14:textId="3146B74D" w:rsidR="0026132D" w:rsidRDefault="0026132D" w:rsidP="00317E6C">
      <w:pPr>
        <w:pStyle w:val="ListBullet"/>
        <w:rPr>
          <w:lang w:val="en-GB" w:bidi="ar-SA"/>
        </w:rPr>
      </w:pPr>
      <w:r>
        <w:rPr>
          <w:lang w:val="en-GB" w:bidi="ar-SA"/>
        </w:rPr>
        <w:t>Economy airfares:</w:t>
      </w:r>
    </w:p>
    <w:p w14:paraId="010CDB38" w14:textId="3605E0BF" w:rsidR="0026132D" w:rsidRDefault="0026132D" w:rsidP="00317E6C">
      <w:pPr>
        <w:pStyle w:val="ListNumber3"/>
        <w:numPr>
          <w:ilvl w:val="0"/>
          <w:numId w:val="24"/>
        </w:numPr>
      </w:pPr>
      <w:r>
        <w:t>Flight for travel up to 7 days before donor’s hospital admission for surgery.</w:t>
      </w:r>
    </w:p>
    <w:p w14:paraId="45F0E744" w14:textId="55B6E1C9" w:rsidR="0026132D" w:rsidRPr="00043657" w:rsidRDefault="0026132D" w:rsidP="00317E6C">
      <w:pPr>
        <w:pStyle w:val="ListNumber3"/>
      </w:pPr>
      <w:r>
        <w:t>Return flight up to 7 days after the donor is discharged from hospital or at the same time as the donor’s return flight.</w:t>
      </w:r>
    </w:p>
    <w:p w14:paraId="50FCB978" w14:textId="62CA44B5" w:rsidR="0026132D" w:rsidRDefault="0026132D" w:rsidP="00317E6C">
      <w:pPr>
        <w:pStyle w:val="ListBullet"/>
        <w:rPr>
          <w:lang w:val="en-GB" w:bidi="ar-SA"/>
        </w:rPr>
      </w:pPr>
      <w:r>
        <w:rPr>
          <w:lang w:val="en-GB" w:bidi="ar-SA"/>
        </w:rPr>
        <w:t xml:space="preserve">Travel expenses </w:t>
      </w:r>
      <w:r w:rsidRPr="00133328">
        <w:t>during</w:t>
      </w:r>
      <w:r>
        <w:rPr>
          <w:lang w:val="en-GB" w:bidi="ar-SA"/>
        </w:rPr>
        <w:t xml:space="preserve"> the donor’s hospital admission.</w:t>
      </w:r>
    </w:p>
    <w:p w14:paraId="0A9F3B01" w14:textId="163DE811" w:rsidR="0026132D" w:rsidRPr="008B05FE" w:rsidRDefault="0026132D" w:rsidP="008B05FE">
      <w:pPr>
        <w:rPr>
          <w:lang w:val="en-GB" w:bidi="ar-SA"/>
        </w:rPr>
      </w:pPr>
      <w:r w:rsidRPr="008B05FE">
        <w:rPr>
          <w:lang w:val="en-GB" w:bidi="ar-SA"/>
        </w:rPr>
        <w:t>Support person out-of-pocket expenses are included in the donor’s $4,000 total.</w:t>
      </w:r>
    </w:p>
    <w:p w14:paraId="221FC1FF" w14:textId="0F4B411C" w:rsidR="00E83D5E" w:rsidRPr="008B05FE" w:rsidRDefault="00E83D5E" w:rsidP="008B05FE">
      <w:pPr>
        <w:rPr>
          <w:lang w:val="en-GB" w:bidi="ar-SA"/>
        </w:rPr>
      </w:pPr>
      <w:r w:rsidRPr="008B05FE">
        <w:rPr>
          <w:lang w:val="en-GB" w:bidi="ar-SA"/>
        </w:rPr>
        <w:t xml:space="preserve">Other </w:t>
      </w:r>
      <w:r w:rsidR="0026132D" w:rsidRPr="008B05FE">
        <w:rPr>
          <w:lang w:val="en-GB" w:bidi="ar-SA"/>
        </w:rPr>
        <w:t>costs</w:t>
      </w:r>
      <w:r w:rsidRPr="008B05FE">
        <w:rPr>
          <w:lang w:val="en-GB" w:bidi="ar-SA"/>
        </w:rPr>
        <w:t xml:space="preserve"> such as meals, childcare and medical expenses cannot be claimed under the Program. </w:t>
      </w:r>
    </w:p>
    <w:p w14:paraId="72A9CF97" w14:textId="77777777" w:rsidR="00D35A9F" w:rsidRPr="008B05FE" w:rsidRDefault="00E83D5E" w:rsidP="008B05FE">
      <w:pPr>
        <w:rPr>
          <w:lang w:val="en-GB" w:bidi="ar-SA"/>
        </w:rPr>
      </w:pPr>
      <w:r w:rsidRPr="008B05FE">
        <w:rPr>
          <w:lang w:val="en-GB" w:bidi="ar-SA"/>
        </w:rPr>
        <w:t>If receipts are not available, a statutory declaration describing the cost and date it was incurred will need to be provided to support the claim.</w:t>
      </w:r>
    </w:p>
    <w:p w14:paraId="4D77DE3A" w14:textId="2527CEAB" w:rsidR="00E83D5E" w:rsidRPr="00E83D5E" w:rsidRDefault="00E83D5E" w:rsidP="00317E6C">
      <w:pPr>
        <w:pStyle w:val="Heading2"/>
      </w:pPr>
      <w:bookmarkStart w:id="63" w:name="_Toc235185610"/>
      <w:r w:rsidRPr="00E83D5E">
        <w:t>Process steps</w:t>
      </w:r>
      <w:bookmarkEnd w:id="63"/>
    </w:p>
    <w:p w14:paraId="0A9533C3" w14:textId="3822B984" w:rsidR="00E83D5E" w:rsidRPr="00E83D5E" w:rsidRDefault="00E83D5E" w:rsidP="008B05FE">
      <w:pPr>
        <w:pStyle w:val="Heading3"/>
      </w:pPr>
      <w:bookmarkStart w:id="64" w:name="_Toc235185126"/>
      <w:bookmarkStart w:id="65" w:name="_Toc235185301"/>
      <w:bookmarkStart w:id="66" w:name="_Toc235185611"/>
      <w:r w:rsidRPr="00E83D5E">
        <w:t>Complete the application form</w:t>
      </w:r>
      <w:bookmarkEnd w:id="64"/>
      <w:bookmarkEnd w:id="65"/>
      <w:bookmarkEnd w:id="66"/>
    </w:p>
    <w:p w14:paraId="18EF6768" w14:textId="5A3B3C1B" w:rsidR="00E83D5E" w:rsidRPr="00317E6C" w:rsidRDefault="4AA2D89D" w:rsidP="00317E6C">
      <w:pPr>
        <w:rPr>
          <w:lang w:val="en-GB" w:bidi="ar-SA"/>
        </w:rPr>
      </w:pPr>
      <w:r w:rsidRPr="008B05FE">
        <w:rPr>
          <w:lang w:val="en-GB" w:bidi="ar-SA"/>
        </w:rPr>
        <w:t>If the donor is employed</w:t>
      </w:r>
      <w:r w:rsidR="029C03E9" w:rsidRPr="008B05FE">
        <w:rPr>
          <w:lang w:val="en-GB" w:bidi="ar-SA"/>
        </w:rPr>
        <w:t xml:space="preserve"> and claiming leave reimbursement</w:t>
      </w:r>
      <w:r w:rsidRPr="008B05FE">
        <w:rPr>
          <w:lang w:val="en-GB" w:bidi="ar-SA"/>
        </w:rPr>
        <w:t xml:space="preserve">, the application form will need to be completed as </w:t>
      </w:r>
      <w:r w:rsidRPr="00317E6C">
        <w:rPr>
          <w:lang w:val="en-GB" w:bidi="ar-SA"/>
        </w:rPr>
        <w:t>described in part 2.2.2 or part 3.2.1 of these Guidelines.</w:t>
      </w:r>
    </w:p>
    <w:p w14:paraId="52AC1FDB" w14:textId="46A16302" w:rsidR="00E83D5E" w:rsidRPr="00317E6C" w:rsidRDefault="00E83D5E" w:rsidP="00317E6C">
      <w:pPr>
        <w:rPr>
          <w:lang w:val="en-GB" w:bidi="ar-SA"/>
        </w:rPr>
      </w:pPr>
      <w:r w:rsidRPr="00317E6C">
        <w:rPr>
          <w:lang w:val="en-GB" w:bidi="ar-SA"/>
        </w:rPr>
        <w:t xml:space="preserve">If the donor is not employed, only Part A of the application form will need to be completed. The form should be submitted after the donor has </w:t>
      </w:r>
      <w:r w:rsidR="0026132D" w:rsidRPr="00317E6C">
        <w:rPr>
          <w:lang w:val="en-GB" w:bidi="ar-SA"/>
        </w:rPr>
        <w:t>undergone surgery</w:t>
      </w:r>
      <w:r w:rsidRPr="00317E6C">
        <w:rPr>
          <w:lang w:val="en-GB" w:bidi="ar-SA"/>
        </w:rPr>
        <w:t xml:space="preserve">. Incomplete applications cannot be assessed. If the application is incomplete, and/or more information is required, the donor will be contacted by the department and processing of the application will be delayed. </w:t>
      </w:r>
    </w:p>
    <w:p w14:paraId="304EF3F2" w14:textId="77777777" w:rsidR="00E83D5E" w:rsidRPr="00317E6C" w:rsidRDefault="00E83D5E" w:rsidP="00317E6C">
      <w:pPr>
        <w:rPr>
          <w:lang w:val="en-GB" w:bidi="ar-SA"/>
        </w:rPr>
      </w:pPr>
      <w:r w:rsidRPr="00317E6C">
        <w:rPr>
          <w:lang w:val="en-GB" w:bidi="ar-SA"/>
        </w:rPr>
        <w:t xml:space="preserve">If the application is ineligible, the donor will receive an email notification advising of this outcome. Refer to part 7 regarding a review of decision. </w:t>
      </w:r>
    </w:p>
    <w:p w14:paraId="5FF14728" w14:textId="7C7AAA3E" w:rsidR="00E83D5E" w:rsidRPr="00E83D5E" w:rsidRDefault="00E83D5E" w:rsidP="008B05FE">
      <w:pPr>
        <w:pStyle w:val="Heading3"/>
      </w:pPr>
      <w:bookmarkStart w:id="67" w:name="_Toc235185127"/>
      <w:bookmarkStart w:id="68" w:name="_Toc235185302"/>
      <w:bookmarkStart w:id="69" w:name="_Toc235185612"/>
      <w:r w:rsidRPr="00E83D5E">
        <w:t>Claiming for out-of-pocket expenses</w:t>
      </w:r>
      <w:bookmarkEnd w:id="67"/>
      <w:bookmarkEnd w:id="68"/>
      <w:bookmarkEnd w:id="69"/>
    </w:p>
    <w:p w14:paraId="4643A4DE" w14:textId="77777777" w:rsidR="00E83D5E" w:rsidRPr="00317E6C" w:rsidRDefault="00E83D5E" w:rsidP="00317E6C">
      <w:pPr>
        <w:rPr>
          <w:lang w:val="en-GB" w:bidi="ar-SA"/>
        </w:rPr>
      </w:pPr>
      <w:r w:rsidRPr="00317E6C">
        <w:rPr>
          <w:lang w:val="en-GB" w:bidi="ar-SA"/>
        </w:rPr>
        <w:t xml:space="preserve">The donor can claim for out-of-pocket expenses (as described in part 5.1) above the $500 lump-sum payment, incurred due to work-up tests, donation and follow-up appointments.  </w:t>
      </w:r>
    </w:p>
    <w:p w14:paraId="2C18C299" w14:textId="3786F69B" w:rsidR="00E83D5E" w:rsidRPr="002267A5" w:rsidRDefault="00E83D5E" w:rsidP="002267A5">
      <w:pPr>
        <w:rPr>
          <w:lang w:val="en-GB" w:bidi="ar-SA"/>
        </w:rPr>
      </w:pPr>
      <w:r w:rsidRPr="002267A5">
        <w:rPr>
          <w:lang w:val="en-GB" w:bidi="ar-SA"/>
        </w:rPr>
        <w:t xml:space="preserve">To claim for out-of-pocket expenses, the donor </w:t>
      </w:r>
      <w:r w:rsidRPr="002267A5">
        <w:rPr>
          <w:rStyle w:val="Strong"/>
          <w:lang w:val="en-GB" w:bidi="ar-SA"/>
        </w:rPr>
        <w:t>must</w:t>
      </w:r>
      <w:r w:rsidRPr="002267A5">
        <w:rPr>
          <w:lang w:val="en-GB" w:bidi="ar-SA"/>
        </w:rPr>
        <w:t xml:space="preserve"> provide evidence that verifies the dates of appointments and surgery and itemised receipts that demonstrate out-of-pocket expenses incurred on and around these dates.</w:t>
      </w:r>
    </w:p>
    <w:p w14:paraId="4CEE3B47" w14:textId="2C14E699" w:rsidR="00E83D5E" w:rsidRPr="002267A5" w:rsidRDefault="00E83D5E" w:rsidP="002267A5">
      <w:pPr>
        <w:rPr>
          <w:lang w:val="en-GB" w:bidi="ar-SA"/>
        </w:rPr>
      </w:pPr>
      <w:r w:rsidRPr="002267A5">
        <w:rPr>
          <w:lang w:val="en-GB" w:bidi="ar-SA"/>
        </w:rPr>
        <w:t>An application should not be submitted until the donor has completed their recovery and returned to work (if claiming for both leave and out-of-pocket expenses)</w:t>
      </w:r>
      <w:r w:rsidR="0026132D" w:rsidRPr="002267A5">
        <w:rPr>
          <w:lang w:val="en-GB" w:bidi="ar-SA"/>
        </w:rPr>
        <w:t>.</w:t>
      </w:r>
      <w:r w:rsidRPr="002267A5">
        <w:rPr>
          <w:lang w:val="en-GB" w:bidi="ar-SA"/>
        </w:rPr>
        <w:t xml:space="preserve"> </w:t>
      </w:r>
    </w:p>
    <w:p w14:paraId="742DE8BC" w14:textId="7B0BCB5B" w:rsidR="0058759F" w:rsidRPr="002267A5" w:rsidRDefault="0058759F" w:rsidP="002267A5">
      <w:pPr>
        <w:rPr>
          <w:lang w:val="en-GB" w:bidi="ar-SA"/>
        </w:rPr>
      </w:pPr>
      <w:r w:rsidRPr="002267A5">
        <w:rPr>
          <w:lang w:val="en-GB" w:bidi="ar-SA"/>
        </w:rPr>
        <w:t xml:space="preserve">If the potential donor was found unsuitable to donate following </w:t>
      </w:r>
      <w:r w:rsidR="00252AE8" w:rsidRPr="002267A5">
        <w:rPr>
          <w:lang w:val="en-GB" w:bidi="ar-SA"/>
        </w:rPr>
        <w:t>medical evaluation</w:t>
      </w:r>
      <w:r w:rsidRPr="002267A5">
        <w:rPr>
          <w:lang w:val="en-GB" w:bidi="ar-SA"/>
        </w:rPr>
        <w:t xml:space="preserve">, the application form </w:t>
      </w:r>
      <w:r w:rsidR="00BD6F80" w:rsidRPr="002267A5">
        <w:rPr>
          <w:lang w:val="en-GB" w:bidi="ar-SA"/>
        </w:rPr>
        <w:t xml:space="preserve">for </w:t>
      </w:r>
      <w:r w:rsidR="0083576B" w:rsidRPr="002267A5">
        <w:rPr>
          <w:lang w:val="en-GB" w:bidi="ar-SA"/>
        </w:rPr>
        <w:t xml:space="preserve">out-of-pocket expenses (and or leave reimbursement) </w:t>
      </w:r>
      <w:r w:rsidRPr="002267A5">
        <w:rPr>
          <w:lang w:val="en-GB" w:bidi="ar-SA"/>
        </w:rPr>
        <w:t>can be submitted following the last work up appointment.</w:t>
      </w:r>
      <w:r w:rsidR="00BD6F80" w:rsidRPr="002267A5">
        <w:rPr>
          <w:lang w:val="en-GB" w:bidi="ar-SA"/>
        </w:rPr>
        <w:t xml:space="preserve"> </w:t>
      </w:r>
    </w:p>
    <w:p w14:paraId="6A64E882" w14:textId="77777777" w:rsidR="00E83D5E" w:rsidRPr="002267A5" w:rsidRDefault="00E83D5E" w:rsidP="002267A5">
      <w:pPr>
        <w:rPr>
          <w:lang w:val="en-GB" w:bidi="ar-SA"/>
        </w:rPr>
      </w:pPr>
      <w:r w:rsidRPr="002267A5">
        <w:rPr>
          <w:lang w:val="en-GB" w:bidi="ar-SA"/>
        </w:rPr>
        <w:t xml:space="preserve">Claims will not be progressed until the application </w:t>
      </w:r>
      <w:proofErr w:type="gramStart"/>
      <w:r w:rsidRPr="002267A5">
        <w:rPr>
          <w:lang w:val="en-GB" w:bidi="ar-SA"/>
        </w:rPr>
        <w:t>form</w:t>
      </w:r>
      <w:proofErr w:type="gramEnd"/>
      <w:r w:rsidRPr="002267A5">
        <w:rPr>
          <w:lang w:val="en-GB" w:bidi="ar-SA"/>
        </w:rPr>
        <w:t xml:space="preserve"> and all supporting documentation has been received. To assist with recording expenses to be claimed under the Program, the out-of-pocket expenses tracker can be completed.</w:t>
      </w:r>
    </w:p>
    <w:p w14:paraId="3C38BBA3" w14:textId="77777777" w:rsidR="00E83D5E" w:rsidRPr="002267A5" w:rsidRDefault="00E83D5E" w:rsidP="002267A5">
      <w:pPr>
        <w:rPr>
          <w:lang w:val="en-GB" w:bidi="ar-SA"/>
        </w:rPr>
      </w:pPr>
      <w:r w:rsidRPr="002267A5">
        <w:rPr>
          <w:lang w:val="en-GB" w:bidi="ar-SA"/>
        </w:rPr>
        <w:t xml:space="preserve">The total reimbursement for out-of-pocket expenses cannot exceed $4,000 for each donor. Any travel and accommodation expenses claimed for a support person during the donor’s hospital admission are also included in the $4,000 maximum reimbursement amount. </w:t>
      </w:r>
    </w:p>
    <w:p w14:paraId="2F252F9D" w14:textId="5DD3E6CA" w:rsidR="00E83D5E" w:rsidRPr="008B05FE" w:rsidRDefault="00E83D5E" w:rsidP="008B05FE">
      <w:pPr>
        <w:pStyle w:val="Heading4"/>
      </w:pPr>
      <w:r w:rsidRPr="008B05FE">
        <w:t>CASE STUDY 5</w:t>
      </w:r>
    </w:p>
    <w:p w14:paraId="40A067A9" w14:textId="38DF520D" w:rsidR="00E83D5E" w:rsidRPr="00317E6C" w:rsidRDefault="00E83D5E" w:rsidP="00317E6C">
      <w:pPr>
        <w:rPr>
          <w:rStyle w:val="Strong"/>
          <w:lang w:val="en-GB" w:bidi="ar-SA"/>
        </w:rPr>
      </w:pPr>
      <w:r w:rsidRPr="00317E6C">
        <w:rPr>
          <w:rStyle w:val="Strong"/>
          <w:lang w:val="en-GB" w:bidi="ar-SA"/>
        </w:rPr>
        <w:t xml:space="preserve">Deepa donated her kidney to her brother Kalan. She had to travel from regional NSW to Brisbane for work-up appointments and surgery. Deepa drove her own car to her local work-up appointments and to the airport. She flew between regional NSW and Brisbane for appointments and surgery, stayed in a hotel close to the hospital and used a taxi to travel from the airport to her hotel. Deepa is not employed so did not have to take leave. Deepa’s husband accompanied her for her donation surgery and stayed in the accommodation while Deepa was in hospital. Deepa spent approximately $3,000 on travel and accommodation. How can Deepa be reimbursed for her out-of-pocket expenses? </w:t>
      </w:r>
    </w:p>
    <w:p w14:paraId="64B59F20" w14:textId="77777777" w:rsidR="00E83D5E" w:rsidRPr="00317E6C" w:rsidRDefault="00E83D5E" w:rsidP="00317E6C">
      <w:pPr>
        <w:rPr>
          <w:rStyle w:val="Emphasis"/>
        </w:rPr>
      </w:pPr>
      <w:r w:rsidRPr="00317E6C">
        <w:rPr>
          <w:rStyle w:val="Emphasis"/>
        </w:rPr>
        <w:t xml:space="preserve">To apply for the program, Deepa will need to fill out Part A of the application form. As Deepa is claiming for more than $500, she will not receive the $500 lump-sum payment and will need to provide evidence for the entire $3,000 she wishes to claim. Evidence includes receipts for the out-of-pocket travel and accommodation expenses she wishes to claim for and verified appointment and surgery dates. </w:t>
      </w:r>
    </w:p>
    <w:p w14:paraId="26A67B93" w14:textId="20CA3885" w:rsidR="00E83D5E" w:rsidRPr="00317E6C" w:rsidRDefault="00E83D5E" w:rsidP="00317E6C">
      <w:pPr>
        <w:rPr>
          <w:rStyle w:val="Emphasis"/>
        </w:rPr>
      </w:pPr>
      <w:r w:rsidRPr="00317E6C">
        <w:rPr>
          <w:rStyle w:val="Emphasis"/>
        </w:rPr>
        <w:t>Deepa’s out-of-pocket reimbursement payment will be calculated using the evidence she has provided, including medical certificates, signed appointment tracker and receipts. If her evidence shows that she spent $3,000 on travel and accommodation, she will receive a reimbursement</w:t>
      </w:r>
      <w:r w:rsidR="0026132D" w:rsidRPr="00317E6C">
        <w:rPr>
          <w:rStyle w:val="Emphasis"/>
        </w:rPr>
        <w:t xml:space="preserve"> payment</w:t>
      </w:r>
      <w:r w:rsidRPr="00317E6C">
        <w:rPr>
          <w:rStyle w:val="Emphasis"/>
        </w:rPr>
        <w:t xml:space="preserve"> for $3,000. </w:t>
      </w:r>
    </w:p>
    <w:p w14:paraId="5BDF6DEC" w14:textId="77777777" w:rsidR="00E83D5E" w:rsidRPr="00317E6C" w:rsidRDefault="00E83D5E" w:rsidP="00317E6C">
      <w:pPr>
        <w:rPr>
          <w:rStyle w:val="IntenseEmphasis"/>
          <w:lang w:val="en-GB" w:bidi="ar-SA"/>
        </w:rPr>
      </w:pPr>
      <w:r w:rsidRPr="00317E6C">
        <w:rPr>
          <w:rStyle w:val="IntenseEmphasis"/>
          <w:lang w:val="en-GB" w:bidi="ar-SA"/>
        </w:rPr>
        <w:t>The reimbursement payment will be made directly to Deepa’s nominated bank account.</w:t>
      </w:r>
    </w:p>
    <w:p w14:paraId="7A38AECA" w14:textId="77777777" w:rsidR="006A5495" w:rsidRPr="00317E6C" w:rsidRDefault="006A5495" w:rsidP="00317E6C">
      <w:pPr>
        <w:rPr>
          <w:rStyle w:val="IntenseEmphasis"/>
          <w:lang w:val="en-GB" w:bidi="ar-SA"/>
        </w:rPr>
        <w:sectPr w:rsidR="006A5495" w:rsidRPr="00317E6C" w:rsidSect="00E83D5E">
          <w:pgSz w:w="11906" w:h="16838"/>
          <w:pgMar w:top="720" w:right="720" w:bottom="720" w:left="720" w:header="720" w:footer="720" w:gutter="0"/>
          <w:cols w:space="720"/>
          <w:noEndnote/>
        </w:sectPr>
      </w:pPr>
    </w:p>
    <w:p w14:paraId="102321A2" w14:textId="71F1C4E8" w:rsidR="00E83D5E" w:rsidRPr="00E83D5E" w:rsidRDefault="00E83D5E" w:rsidP="00DD2069">
      <w:pPr>
        <w:pStyle w:val="Heading1"/>
      </w:pPr>
      <w:bookmarkStart w:id="70" w:name="_Toc235185613"/>
      <w:bookmarkStart w:id="71" w:name="_Out-of-pocket_expenses_reimbursemen"/>
      <w:bookmarkEnd w:id="71"/>
      <w:r w:rsidRPr="00E83D5E">
        <w:t>Out-of-pocket expenses reimbursement – International donors</w:t>
      </w:r>
      <w:bookmarkEnd w:id="70"/>
    </w:p>
    <w:p w14:paraId="2ECDFFF2" w14:textId="5A5B1559" w:rsidR="00E83D5E" w:rsidRPr="002267A5" w:rsidRDefault="4AA2D89D" w:rsidP="002267A5">
      <w:pPr>
        <w:rPr>
          <w:lang w:val="en-GB" w:bidi="ar-SA"/>
        </w:rPr>
      </w:pPr>
      <w:r w:rsidRPr="002267A5">
        <w:rPr>
          <w:lang w:val="en-GB" w:bidi="ar-SA"/>
        </w:rPr>
        <w:t>This section provides an overview of the key steps for international donors</w:t>
      </w:r>
      <w:r w:rsidR="2843DA3E" w:rsidRPr="002267A5">
        <w:rPr>
          <w:lang w:val="en-GB" w:bidi="ar-SA"/>
        </w:rPr>
        <w:t xml:space="preserve"> and potential</w:t>
      </w:r>
      <w:r w:rsidR="7CE29896" w:rsidRPr="002267A5">
        <w:rPr>
          <w:lang w:val="en-GB" w:bidi="ar-SA"/>
        </w:rPr>
        <w:t xml:space="preserve"> </w:t>
      </w:r>
      <w:r w:rsidR="2843DA3E" w:rsidRPr="002267A5">
        <w:rPr>
          <w:lang w:val="en-GB" w:bidi="ar-SA"/>
        </w:rPr>
        <w:t>donors</w:t>
      </w:r>
      <w:r w:rsidRPr="002267A5">
        <w:rPr>
          <w:lang w:val="en-GB" w:bidi="ar-SA"/>
        </w:rPr>
        <w:t>, donating to an Australian recipient with a valid Medicare card, to claim for out-of-pocket expenses up to $4,000.</w:t>
      </w:r>
      <w:r w:rsidR="1B275141" w:rsidRPr="002267A5">
        <w:rPr>
          <w:lang w:val="en-GB" w:bidi="ar-SA"/>
        </w:rPr>
        <w:t xml:space="preserve"> The total reimbursement for out-of-pocket expenses cannot exceed $4,000 for each donor (and including their support person).</w:t>
      </w:r>
    </w:p>
    <w:p w14:paraId="2FE0B451" w14:textId="77777777" w:rsidR="00E83D5E" w:rsidRPr="002267A5" w:rsidRDefault="00E83D5E" w:rsidP="002267A5">
      <w:pPr>
        <w:rPr>
          <w:lang w:val="en-GB" w:bidi="ar-SA"/>
        </w:rPr>
      </w:pPr>
      <w:r w:rsidRPr="002267A5">
        <w:rPr>
          <w:lang w:val="en-GB" w:bidi="ar-SA"/>
        </w:rPr>
        <w:t>Evidence will need to be submitted for the entire amount of out-of-pocket expenditure the donor wishes to claim.</w:t>
      </w:r>
    </w:p>
    <w:p w14:paraId="5A725340" w14:textId="2B461297" w:rsidR="00E83D5E" w:rsidRPr="00E83D5E" w:rsidRDefault="00E83D5E" w:rsidP="0016438B">
      <w:pPr>
        <w:pStyle w:val="Heading2"/>
      </w:pPr>
      <w:bookmarkStart w:id="72" w:name="_Toc235185128"/>
      <w:bookmarkStart w:id="73" w:name="_Toc235185614"/>
      <w:r w:rsidRPr="00E83D5E">
        <w:t>Process overview</w:t>
      </w:r>
      <w:bookmarkEnd w:id="72"/>
      <w:bookmarkEnd w:id="73"/>
    </w:p>
    <w:p w14:paraId="6EF0B78E" w14:textId="77777777" w:rsidR="00E83D5E" w:rsidRPr="002267A5" w:rsidRDefault="00E83D5E" w:rsidP="002267A5">
      <w:pPr>
        <w:rPr>
          <w:lang w:val="en-GB" w:bidi="ar-SA"/>
        </w:rPr>
      </w:pPr>
      <w:r w:rsidRPr="002267A5">
        <w:rPr>
          <w:lang w:val="en-GB" w:bidi="ar-SA"/>
        </w:rPr>
        <w:t>The key steps in the process of claiming out-of-pocket expense reimbursement for international donors are:</w:t>
      </w:r>
    </w:p>
    <w:p w14:paraId="23BEC5B6" w14:textId="3A4F4118" w:rsidR="00E83D5E" w:rsidRPr="002267A5" w:rsidRDefault="00E83D5E" w:rsidP="00906A9B">
      <w:pPr>
        <w:pStyle w:val="ListNumber"/>
        <w:numPr>
          <w:ilvl w:val="0"/>
          <w:numId w:val="46"/>
        </w:numPr>
        <w:ind w:left="425" w:hanging="357"/>
      </w:pPr>
      <w:r w:rsidRPr="002267A5">
        <w:t>P</w:t>
      </w:r>
      <w:r w:rsidR="00F47A4C" w:rsidRPr="002267A5">
        <w:t xml:space="preserve">otential </w:t>
      </w:r>
      <w:r w:rsidRPr="002267A5">
        <w:t xml:space="preserve">donor attends work-up appointments. </w:t>
      </w:r>
      <w:r w:rsidR="00F47A4C" w:rsidRPr="002267A5">
        <w:t xml:space="preserve">If potential donor </w:t>
      </w:r>
      <w:r w:rsidR="0083576B" w:rsidRPr="002267A5">
        <w:t xml:space="preserve">is </w:t>
      </w:r>
      <w:r w:rsidR="00F47A4C" w:rsidRPr="002267A5">
        <w:t>found unsuitable to donate following work</w:t>
      </w:r>
      <w:r w:rsidR="00C87C3D" w:rsidRPr="002267A5">
        <w:t>-</w:t>
      </w:r>
      <w:r w:rsidR="00F47A4C" w:rsidRPr="002267A5">
        <w:t>up appointments, the application form can be submitted following the last appointment.</w:t>
      </w:r>
    </w:p>
    <w:p w14:paraId="68B3AC29" w14:textId="38CB9AA0" w:rsidR="00E83D5E" w:rsidRPr="002267A5" w:rsidRDefault="00E83D5E" w:rsidP="001E45AA">
      <w:pPr>
        <w:pStyle w:val="ListNumber"/>
      </w:pPr>
      <w:r w:rsidRPr="002267A5">
        <w:t>Donor undergoes surger</w:t>
      </w:r>
      <w:r w:rsidR="0026132D" w:rsidRPr="002267A5">
        <w:t>y</w:t>
      </w:r>
      <w:r w:rsidRPr="002267A5">
        <w:t xml:space="preserve">. Donor keeps receipts and a record of travel and accommodation expenses incurred due to work-up testing and donation. </w:t>
      </w:r>
    </w:p>
    <w:p w14:paraId="4FE080F4" w14:textId="169EC32C" w:rsidR="00E83D5E" w:rsidRPr="002267A5" w:rsidRDefault="00E83D5E" w:rsidP="001E45AA">
      <w:pPr>
        <w:pStyle w:val="ListNumber"/>
      </w:pPr>
      <w:r w:rsidRPr="002267A5">
        <w:t>Donor submits the application form and includes copies of:</w:t>
      </w:r>
    </w:p>
    <w:p w14:paraId="72BFE53B" w14:textId="3D562003" w:rsidR="00E83D5E" w:rsidRPr="002267A5" w:rsidRDefault="00E83D5E" w:rsidP="002267A5">
      <w:pPr>
        <w:pStyle w:val="ListNumber3"/>
        <w:numPr>
          <w:ilvl w:val="0"/>
          <w:numId w:val="30"/>
        </w:numPr>
      </w:pPr>
      <w:r w:rsidRPr="002267A5">
        <w:t>medical certificates, appointment tracker or other evidence confirming dates of medical appointments for work-up testing appointments and surgery/recovery</w:t>
      </w:r>
    </w:p>
    <w:p w14:paraId="46CA0B68" w14:textId="048C8F28" w:rsidR="00E83D5E" w:rsidRPr="002267A5" w:rsidRDefault="00E83D5E" w:rsidP="002267A5">
      <w:pPr>
        <w:pStyle w:val="ListNumber3"/>
      </w:pPr>
      <w:r w:rsidRPr="002267A5">
        <w:t xml:space="preserve">out-of-pocket expense tracker (optional)  </w:t>
      </w:r>
    </w:p>
    <w:p w14:paraId="5024821A" w14:textId="2149BF53" w:rsidR="00E83D5E" w:rsidRPr="002267A5" w:rsidRDefault="00E83D5E" w:rsidP="002267A5">
      <w:pPr>
        <w:pStyle w:val="ListNumber3"/>
      </w:pPr>
      <w:r w:rsidRPr="002267A5">
        <w:t>itemised receipts for all expenses included in the claim</w:t>
      </w:r>
    </w:p>
    <w:p w14:paraId="239FF9D0" w14:textId="2F417C6C" w:rsidR="00E83D5E" w:rsidRPr="00E83D5E" w:rsidRDefault="00E83D5E" w:rsidP="001E45AA">
      <w:pPr>
        <w:pStyle w:val="ListNumber"/>
      </w:pPr>
      <w:r w:rsidRPr="00E83D5E">
        <w:t>The application is processed by the department.</w:t>
      </w:r>
    </w:p>
    <w:p w14:paraId="4B3F5649" w14:textId="45166993" w:rsidR="00E83D5E" w:rsidRPr="002267A5" w:rsidRDefault="00E83D5E" w:rsidP="002267A5">
      <w:pPr>
        <w:pStyle w:val="List"/>
      </w:pPr>
      <w:r w:rsidRPr="002267A5">
        <w:rPr>
          <w:rStyle w:val="Strong"/>
        </w:rPr>
        <w:t>Step 1</w:t>
      </w:r>
      <w:r w:rsidRPr="002267A5">
        <w:t xml:space="preserve"> – Program </w:t>
      </w:r>
      <w:r w:rsidR="0026132D" w:rsidRPr="002267A5">
        <w:t>C</w:t>
      </w:r>
      <w:r w:rsidRPr="002267A5">
        <w:t xml:space="preserve">oordinator (the ‘assessor’) assesses the information in the application form. </w:t>
      </w:r>
    </w:p>
    <w:p w14:paraId="57DE116C" w14:textId="0A9D06B1" w:rsidR="00E83D5E" w:rsidRPr="002267A5" w:rsidRDefault="00E83D5E" w:rsidP="002267A5">
      <w:pPr>
        <w:pStyle w:val="List"/>
      </w:pPr>
      <w:r w:rsidRPr="002267A5">
        <w:rPr>
          <w:rStyle w:val="Strong"/>
        </w:rPr>
        <w:t>Step 2</w:t>
      </w:r>
      <w:r w:rsidRPr="002267A5">
        <w:t xml:space="preserve"> – The application is then sent to a Program </w:t>
      </w:r>
      <w:r w:rsidR="0026132D" w:rsidRPr="002267A5">
        <w:t>C</w:t>
      </w:r>
      <w:r w:rsidRPr="002267A5">
        <w:t>oordinator or manager (the ‘reviewer’), to verify the assessor’s evaluation.</w:t>
      </w:r>
    </w:p>
    <w:p w14:paraId="7D4F5371" w14:textId="2ABDF520" w:rsidR="00E83D5E" w:rsidRPr="002267A5" w:rsidRDefault="00E83D5E" w:rsidP="002267A5">
      <w:pPr>
        <w:pStyle w:val="List"/>
      </w:pPr>
      <w:r w:rsidRPr="002267A5">
        <w:rPr>
          <w:rStyle w:val="Strong"/>
        </w:rPr>
        <w:t>Step 3</w:t>
      </w:r>
      <w:r w:rsidRPr="002267A5">
        <w:t xml:space="preserve"> – The application is then sent to the Program delegate (the </w:t>
      </w:r>
      <w:r w:rsidR="0026132D" w:rsidRPr="002267A5">
        <w:t>‘</w:t>
      </w:r>
      <w:r w:rsidRPr="002267A5">
        <w:t>approver</w:t>
      </w:r>
      <w:r w:rsidR="0026132D" w:rsidRPr="002267A5">
        <w:t>’</w:t>
      </w:r>
      <w:r w:rsidRPr="002267A5">
        <w:t>), who endorses the final assessment and calculated reimbursement amount.</w:t>
      </w:r>
    </w:p>
    <w:p w14:paraId="674115E0" w14:textId="16444095" w:rsidR="00E83D5E" w:rsidRPr="002267A5" w:rsidRDefault="00E83D5E" w:rsidP="001E45AA">
      <w:pPr>
        <w:pStyle w:val="ListNumber"/>
      </w:pPr>
      <w:r w:rsidRPr="002267A5">
        <w:t xml:space="preserve">The approved application is processed for payment. Payment is calculated and made to the donor’s nominated bank account. </w:t>
      </w:r>
    </w:p>
    <w:p w14:paraId="46F12E15" w14:textId="7E9B53F7" w:rsidR="00E83D5E" w:rsidRPr="002267A5" w:rsidRDefault="0026132D" w:rsidP="001E45AA">
      <w:pPr>
        <w:pStyle w:val="ListNumber"/>
      </w:pPr>
      <w:r w:rsidRPr="002267A5">
        <w:t>A payment advice letter</w:t>
      </w:r>
      <w:r w:rsidR="00E83D5E" w:rsidRPr="002267A5">
        <w:t xml:space="preserve"> for notification of payment is sent to the donor via email.</w:t>
      </w:r>
    </w:p>
    <w:p w14:paraId="2D81B133" w14:textId="6218C7C0" w:rsidR="00E83D5E" w:rsidRPr="00E83D5E" w:rsidRDefault="00E83D5E" w:rsidP="008B05FE">
      <w:pPr>
        <w:pStyle w:val="Heading3"/>
      </w:pPr>
      <w:bookmarkStart w:id="74" w:name="_Toc235185129"/>
      <w:bookmarkStart w:id="75" w:name="_Toc235185303"/>
      <w:bookmarkStart w:id="76" w:name="_Toc235185615"/>
      <w:r w:rsidRPr="00E83D5E">
        <w:t>What can be claimed</w:t>
      </w:r>
      <w:bookmarkEnd w:id="74"/>
      <w:bookmarkEnd w:id="75"/>
      <w:bookmarkEnd w:id="76"/>
      <w:r w:rsidRPr="00E83D5E">
        <w:t xml:space="preserve"> </w:t>
      </w:r>
    </w:p>
    <w:p w14:paraId="6887322E" w14:textId="77777777" w:rsidR="00546990" w:rsidRPr="008B05FE" w:rsidRDefault="00546990" w:rsidP="008B05FE">
      <w:pPr>
        <w:rPr>
          <w:lang w:val="en-GB" w:bidi="ar-SA"/>
        </w:rPr>
      </w:pPr>
      <w:r w:rsidRPr="008B05FE">
        <w:rPr>
          <w:lang w:val="en-GB" w:bidi="ar-SA"/>
        </w:rPr>
        <w:t>Under the Program, donors and potential donors can make a claim for the following out-of-pocket expenses:</w:t>
      </w:r>
    </w:p>
    <w:p w14:paraId="18B7EA2E" w14:textId="46E210F5" w:rsidR="00F47A4C" w:rsidRPr="00E97373" w:rsidRDefault="00F47A4C" w:rsidP="00317E6C">
      <w:pPr>
        <w:pStyle w:val="ListBullet"/>
        <w:rPr>
          <w:lang w:val="en-GB" w:bidi="ar-SA"/>
        </w:rPr>
      </w:pPr>
      <w:r w:rsidRPr="00E97373">
        <w:rPr>
          <w:lang w:val="en-AU" w:bidi="ar-SA"/>
        </w:rPr>
        <w:t>Accommodation may be claimed for the minimum number of nights required to attend work-up appointments, donation surgery and recovery post</w:t>
      </w:r>
      <w:r w:rsidR="00C87C3D">
        <w:rPr>
          <w:lang w:val="en-AU" w:bidi="ar-SA"/>
        </w:rPr>
        <w:t>-</w:t>
      </w:r>
      <w:r w:rsidRPr="00E97373">
        <w:rPr>
          <w:lang w:val="en-AU" w:bidi="ar-SA"/>
        </w:rPr>
        <w:t>discharge, up to the relevant caps below. Accommodation based on reasonable amounts, in line with the ATO Tax Determination on reasonable travel allowances) may be claimed for:</w:t>
      </w:r>
    </w:p>
    <w:p w14:paraId="33129A40" w14:textId="2CF125B0" w:rsidR="00F47A4C" w:rsidRPr="00DD2069" w:rsidRDefault="00F47A4C" w:rsidP="002267A5">
      <w:pPr>
        <w:pStyle w:val="ListNumber3"/>
        <w:numPr>
          <w:ilvl w:val="0"/>
          <w:numId w:val="32"/>
        </w:numPr>
      </w:pPr>
      <w:r w:rsidRPr="00DD2069">
        <w:t xml:space="preserve">For appointments – accommodation is covered </w:t>
      </w:r>
      <w:r w:rsidR="005850FF" w:rsidRPr="00DD2069">
        <w:t>the night</w:t>
      </w:r>
      <w:r w:rsidRPr="00DD2069">
        <w:t xml:space="preserve"> prior and the night of the appointment</w:t>
      </w:r>
    </w:p>
    <w:p w14:paraId="79BF8362" w14:textId="0D9BD03F" w:rsidR="00F47A4C" w:rsidRPr="00DD2069" w:rsidRDefault="00F47A4C" w:rsidP="00DD2069">
      <w:pPr>
        <w:pStyle w:val="ListNumber3"/>
      </w:pPr>
      <w:r w:rsidRPr="00DD2069">
        <w:t xml:space="preserve">For donation surgery – accommodation is covered for </w:t>
      </w:r>
      <w:r w:rsidR="005850FF" w:rsidRPr="00DD2069">
        <w:t>the night</w:t>
      </w:r>
      <w:r w:rsidRPr="00DD2069">
        <w:t xml:space="preserve"> prior to hospital admission and up to </w:t>
      </w:r>
      <w:r w:rsidR="00E46A15" w:rsidRPr="00DD2069">
        <w:t xml:space="preserve">7 </w:t>
      </w:r>
      <w:r w:rsidR="00E238F9" w:rsidRPr="00DD2069">
        <w:t>nights</w:t>
      </w:r>
      <w:r w:rsidRPr="00DD2069">
        <w:t xml:space="preserve"> post-discharge.</w:t>
      </w:r>
    </w:p>
    <w:p w14:paraId="0044D24F" w14:textId="17964689" w:rsidR="00F47A4C" w:rsidRPr="00DD2069" w:rsidRDefault="00F47A4C" w:rsidP="00DD2069">
      <w:pPr>
        <w:pStyle w:val="ListNumber3"/>
      </w:pPr>
      <w:r w:rsidRPr="00DD2069">
        <w:t>Other reasonable circumstances may be considered, where additional accommodation is needed for clinical, travel or logistical reasons.</w:t>
      </w:r>
      <w:r w:rsidR="003620B1" w:rsidRPr="00DD2069">
        <w:t xml:space="preserve"> Claims outside these caps (</w:t>
      </w:r>
      <w:proofErr w:type="spellStart"/>
      <w:r w:rsidR="003620B1" w:rsidRPr="00DD2069">
        <w:t>e.g</w:t>
      </w:r>
      <w:proofErr w:type="spellEnd"/>
      <w:r w:rsidR="003620B1" w:rsidRPr="00DD2069">
        <w:t xml:space="preserve"> if the donor is required to stay near the hospital beyond 7 </w:t>
      </w:r>
      <w:r w:rsidR="00E238F9" w:rsidRPr="00DD2069">
        <w:t>nights</w:t>
      </w:r>
      <w:r w:rsidR="003620B1" w:rsidRPr="00DD2069">
        <w:t xml:space="preserve"> post</w:t>
      </w:r>
      <w:r w:rsidR="00C87C3D" w:rsidRPr="00DD2069">
        <w:t>-</w:t>
      </w:r>
      <w:r w:rsidR="003620B1" w:rsidRPr="00DD2069">
        <w:t>discharge) must be supported by written evidence from the transplant coordinator or surgeon.</w:t>
      </w:r>
    </w:p>
    <w:p w14:paraId="16A4BB00" w14:textId="77777777" w:rsidR="0026132D" w:rsidRPr="00043657" w:rsidRDefault="0026132D" w:rsidP="00DD2069">
      <w:pPr>
        <w:pStyle w:val="ListBullet"/>
        <w:rPr>
          <w:lang w:val="en-GB" w:bidi="ar-SA"/>
        </w:rPr>
      </w:pPr>
      <w:r w:rsidRPr="00043657">
        <w:rPr>
          <w:lang w:val="en-GB" w:bidi="ar-SA"/>
        </w:rPr>
        <w:t>economy airfares</w:t>
      </w:r>
    </w:p>
    <w:p w14:paraId="48A6BE33" w14:textId="77777777" w:rsidR="0026132D" w:rsidRPr="00043657" w:rsidRDefault="0026132D" w:rsidP="00DD2069">
      <w:pPr>
        <w:pStyle w:val="ListBullet"/>
        <w:rPr>
          <w:lang w:val="en-GB" w:bidi="ar-SA"/>
        </w:rPr>
      </w:pPr>
      <w:r w:rsidRPr="00043657">
        <w:rPr>
          <w:lang w:val="en-GB" w:bidi="ar-SA"/>
        </w:rPr>
        <w:t>public transport including bus, train and taxi fares</w:t>
      </w:r>
    </w:p>
    <w:p w14:paraId="3FDB8424" w14:textId="77777777" w:rsidR="0026132D" w:rsidRPr="00043657" w:rsidRDefault="0026132D" w:rsidP="00DD2069">
      <w:pPr>
        <w:pStyle w:val="ListBullet"/>
        <w:rPr>
          <w:lang w:val="en-GB" w:bidi="ar-SA"/>
        </w:rPr>
      </w:pPr>
      <w:r w:rsidRPr="00043657">
        <w:rPr>
          <w:lang w:val="en-GB" w:bidi="ar-SA"/>
        </w:rPr>
        <w:t>car hire</w:t>
      </w:r>
    </w:p>
    <w:p w14:paraId="63693C35" w14:textId="77777777" w:rsidR="0026132D" w:rsidRPr="00043657" w:rsidRDefault="0026132D" w:rsidP="00DD2069">
      <w:pPr>
        <w:pStyle w:val="ListBullet"/>
        <w:rPr>
          <w:lang w:val="en-GB" w:bidi="ar-SA"/>
        </w:rPr>
      </w:pPr>
      <w:r w:rsidRPr="00043657">
        <w:rPr>
          <w:lang w:val="en-GB" w:bidi="ar-SA"/>
        </w:rPr>
        <w:t xml:space="preserve">parking for the day of appointment </w:t>
      </w:r>
    </w:p>
    <w:p w14:paraId="5737A301" w14:textId="77777777" w:rsidR="0026132D" w:rsidRPr="00043657" w:rsidRDefault="0026132D" w:rsidP="00DD2069">
      <w:pPr>
        <w:pStyle w:val="ListBullet"/>
        <w:rPr>
          <w:lang w:val="en-GB" w:bidi="ar-SA"/>
        </w:rPr>
      </w:pPr>
      <w:r w:rsidRPr="00043657">
        <w:rPr>
          <w:lang w:val="en-GB" w:bidi="ar-SA"/>
        </w:rPr>
        <w:t>petrol – reimbursed at the applicable ATO car expenses rate using the cents per kilometre method</w:t>
      </w:r>
    </w:p>
    <w:p w14:paraId="0C7550D5" w14:textId="77777777" w:rsidR="0026132D" w:rsidRPr="002267A5" w:rsidRDefault="0026132D" w:rsidP="002267A5">
      <w:pPr>
        <w:rPr>
          <w:lang w:val="en-GB" w:bidi="ar-SA"/>
        </w:rPr>
      </w:pPr>
      <w:r w:rsidRPr="002267A5">
        <w:rPr>
          <w:lang w:val="en-GB" w:bidi="ar-SA"/>
        </w:rPr>
        <w:t>road tolls</w:t>
      </w:r>
    </w:p>
    <w:p w14:paraId="0BAAAB56" w14:textId="77777777" w:rsidR="0026132D" w:rsidRPr="002267A5" w:rsidRDefault="0026132D" w:rsidP="002267A5">
      <w:pPr>
        <w:rPr>
          <w:lang w:val="en-GB" w:bidi="ar-SA"/>
        </w:rPr>
      </w:pPr>
      <w:r w:rsidRPr="002267A5">
        <w:rPr>
          <w:lang w:val="en-GB" w:bidi="ar-SA"/>
        </w:rPr>
        <w:t>Under the Program, the following donor support person out-of-pocket expenses can be claimed:</w:t>
      </w:r>
    </w:p>
    <w:p w14:paraId="2D7BBF4F" w14:textId="77777777" w:rsidR="0026132D" w:rsidRPr="00043657" w:rsidRDefault="0026132D" w:rsidP="00DD2069">
      <w:pPr>
        <w:pStyle w:val="ListBullet"/>
        <w:rPr>
          <w:lang w:val="en-GB" w:bidi="ar-SA"/>
        </w:rPr>
      </w:pPr>
      <w:r>
        <w:rPr>
          <w:lang w:val="en-GB" w:bidi="ar-SA"/>
        </w:rPr>
        <w:t xml:space="preserve">Accommodation </w:t>
      </w:r>
      <w:r w:rsidRPr="00DD2069">
        <w:t>during</w:t>
      </w:r>
      <w:r>
        <w:rPr>
          <w:lang w:val="en-GB" w:bidi="ar-SA"/>
        </w:rPr>
        <w:t xml:space="preserve"> the </w:t>
      </w:r>
      <w:proofErr w:type="gramStart"/>
      <w:r>
        <w:rPr>
          <w:lang w:val="en-GB" w:bidi="ar-SA"/>
        </w:rPr>
        <w:t>donors</w:t>
      </w:r>
      <w:proofErr w:type="gramEnd"/>
      <w:r>
        <w:rPr>
          <w:lang w:val="en-GB" w:bidi="ar-SA"/>
        </w:rPr>
        <w:t xml:space="preserve"> hospital admission.</w:t>
      </w:r>
    </w:p>
    <w:p w14:paraId="7F6714F5" w14:textId="77777777" w:rsidR="0026132D" w:rsidRDefault="0026132D" w:rsidP="00DD2069">
      <w:pPr>
        <w:pStyle w:val="ListBullet"/>
        <w:rPr>
          <w:lang w:val="en-GB" w:bidi="ar-SA"/>
        </w:rPr>
      </w:pPr>
      <w:r>
        <w:rPr>
          <w:lang w:val="en-GB" w:bidi="ar-SA"/>
        </w:rPr>
        <w:t>Economy airfares:</w:t>
      </w:r>
    </w:p>
    <w:p w14:paraId="309C0459" w14:textId="77777777" w:rsidR="0026132D" w:rsidRDefault="0026132D" w:rsidP="00DD2069">
      <w:pPr>
        <w:pStyle w:val="ListNumber3"/>
        <w:numPr>
          <w:ilvl w:val="0"/>
          <w:numId w:val="23"/>
        </w:numPr>
      </w:pPr>
      <w:r>
        <w:t>Flight for travel up to 7 days before donor’s hospital admission for surgery.</w:t>
      </w:r>
    </w:p>
    <w:p w14:paraId="6C5FA238" w14:textId="77777777" w:rsidR="0026132D" w:rsidRPr="00043657" w:rsidRDefault="0026132D" w:rsidP="00DD2069">
      <w:pPr>
        <w:pStyle w:val="ListNumber3"/>
      </w:pPr>
      <w:r>
        <w:t>Return flight up to 7 days after the donor is discharged from hospital or at the same time as the donor’s return flight.</w:t>
      </w:r>
    </w:p>
    <w:p w14:paraId="2BDF4105" w14:textId="77777777" w:rsidR="0026132D" w:rsidRDefault="0026132D" w:rsidP="00DD2069">
      <w:pPr>
        <w:pStyle w:val="ListBullet"/>
        <w:rPr>
          <w:lang w:val="en-GB" w:bidi="ar-SA"/>
        </w:rPr>
      </w:pPr>
      <w:r>
        <w:rPr>
          <w:lang w:val="en-GB" w:bidi="ar-SA"/>
        </w:rPr>
        <w:t xml:space="preserve">Travel expenses </w:t>
      </w:r>
      <w:r w:rsidRPr="00DD2069">
        <w:t>during</w:t>
      </w:r>
      <w:r>
        <w:rPr>
          <w:lang w:val="en-GB" w:bidi="ar-SA"/>
        </w:rPr>
        <w:t xml:space="preserve"> the donor’s hospital admission.</w:t>
      </w:r>
    </w:p>
    <w:p w14:paraId="2ECE2E44" w14:textId="77777777" w:rsidR="0026132D" w:rsidRPr="002267A5" w:rsidRDefault="0026132D" w:rsidP="002267A5">
      <w:pPr>
        <w:rPr>
          <w:lang w:val="en-GB" w:bidi="ar-SA"/>
        </w:rPr>
      </w:pPr>
      <w:r w:rsidRPr="002267A5">
        <w:rPr>
          <w:lang w:val="en-GB" w:bidi="ar-SA"/>
        </w:rPr>
        <w:t>Support person out-of-pocket expenses are included in the donor’s $4,000 total.</w:t>
      </w:r>
    </w:p>
    <w:p w14:paraId="6D8AD72D" w14:textId="0D7011BB" w:rsidR="00043657" w:rsidRPr="002267A5" w:rsidRDefault="00E83D5E" w:rsidP="002267A5">
      <w:pPr>
        <w:rPr>
          <w:lang w:val="en-GB" w:bidi="ar-SA"/>
        </w:rPr>
      </w:pPr>
      <w:r w:rsidRPr="002267A5">
        <w:rPr>
          <w:lang w:val="en-GB" w:bidi="ar-SA"/>
        </w:rPr>
        <w:t xml:space="preserve">Other </w:t>
      </w:r>
      <w:r w:rsidR="0026132D" w:rsidRPr="002267A5">
        <w:rPr>
          <w:lang w:val="en-GB" w:bidi="ar-SA"/>
        </w:rPr>
        <w:t>costs</w:t>
      </w:r>
      <w:r w:rsidRPr="002267A5">
        <w:rPr>
          <w:lang w:val="en-GB" w:bidi="ar-SA"/>
        </w:rPr>
        <w:t xml:space="preserve"> such as meals, childcare</w:t>
      </w:r>
      <w:r w:rsidR="0026132D" w:rsidRPr="002267A5">
        <w:rPr>
          <w:lang w:val="en-GB" w:bidi="ar-SA"/>
        </w:rPr>
        <w:t>,</w:t>
      </w:r>
      <w:r w:rsidRPr="002267A5">
        <w:rPr>
          <w:lang w:val="en-GB" w:bidi="ar-SA"/>
        </w:rPr>
        <w:t xml:space="preserve"> medical expenses</w:t>
      </w:r>
      <w:r w:rsidR="0026132D" w:rsidRPr="002267A5">
        <w:rPr>
          <w:lang w:val="en-GB" w:bidi="ar-SA"/>
        </w:rPr>
        <w:t>, and visa expenses</w:t>
      </w:r>
      <w:r w:rsidRPr="002267A5">
        <w:rPr>
          <w:lang w:val="en-GB" w:bidi="ar-SA"/>
        </w:rPr>
        <w:t xml:space="preserve"> cannot be claimed under the Program.  </w:t>
      </w:r>
    </w:p>
    <w:p w14:paraId="21D6A37D" w14:textId="77777777" w:rsidR="00043657" w:rsidRPr="002267A5" w:rsidRDefault="00043657" w:rsidP="002267A5">
      <w:pPr>
        <w:rPr>
          <w:lang w:val="en-GB" w:bidi="ar-SA"/>
        </w:rPr>
      </w:pPr>
      <w:r w:rsidRPr="002267A5">
        <w:rPr>
          <w:lang w:val="en-GB" w:bidi="ar-SA"/>
        </w:rPr>
        <w:br w:type="page"/>
      </w:r>
    </w:p>
    <w:p w14:paraId="026DCF5D" w14:textId="7D626677" w:rsidR="00E83D5E" w:rsidRPr="00E83D5E" w:rsidRDefault="00E83D5E" w:rsidP="0057658C">
      <w:pPr>
        <w:pStyle w:val="Heading2"/>
      </w:pPr>
      <w:bookmarkStart w:id="77" w:name="_Toc235185616"/>
      <w:r w:rsidRPr="00E83D5E">
        <w:t>Process steps</w:t>
      </w:r>
      <w:bookmarkEnd w:id="77"/>
    </w:p>
    <w:p w14:paraId="49B8D98F" w14:textId="7C22C644" w:rsidR="00E83D5E" w:rsidRPr="00E83D5E" w:rsidRDefault="00E83D5E" w:rsidP="008B05FE">
      <w:pPr>
        <w:pStyle w:val="Heading3"/>
      </w:pPr>
      <w:bookmarkStart w:id="78" w:name="_Toc235185130"/>
      <w:bookmarkStart w:id="79" w:name="_Toc235185304"/>
      <w:bookmarkStart w:id="80" w:name="_Toc235185617"/>
      <w:r w:rsidRPr="00E83D5E">
        <w:t>Complete the application form</w:t>
      </w:r>
      <w:bookmarkEnd w:id="78"/>
      <w:bookmarkEnd w:id="79"/>
      <w:bookmarkEnd w:id="80"/>
    </w:p>
    <w:p w14:paraId="537F1453" w14:textId="65417B5F" w:rsidR="00E83D5E" w:rsidRPr="002267A5" w:rsidRDefault="00E83D5E" w:rsidP="002267A5">
      <w:pPr>
        <w:rPr>
          <w:lang w:val="en-GB" w:bidi="ar-SA"/>
        </w:rPr>
      </w:pPr>
      <w:r w:rsidRPr="002267A5">
        <w:rPr>
          <w:lang w:val="en-GB" w:bidi="ar-SA"/>
        </w:rPr>
        <w:t xml:space="preserve">Only Part A of the application form will need to be completed. The form should be submitted after the </w:t>
      </w:r>
      <w:r w:rsidR="008572FF" w:rsidRPr="002267A5">
        <w:rPr>
          <w:lang w:val="en-GB" w:bidi="ar-SA"/>
        </w:rPr>
        <w:t xml:space="preserve">living organ </w:t>
      </w:r>
      <w:r w:rsidRPr="002267A5">
        <w:rPr>
          <w:lang w:val="en-GB" w:bidi="ar-SA"/>
        </w:rPr>
        <w:t xml:space="preserve">donor has </w:t>
      </w:r>
      <w:r w:rsidR="0086686B" w:rsidRPr="002267A5">
        <w:rPr>
          <w:lang w:val="en-GB" w:bidi="ar-SA"/>
        </w:rPr>
        <w:t>undergone surgery</w:t>
      </w:r>
      <w:r w:rsidR="008572FF" w:rsidRPr="002267A5">
        <w:rPr>
          <w:lang w:val="en-GB" w:bidi="ar-SA"/>
        </w:rPr>
        <w:t xml:space="preserve"> or following the last appointment if the potential donor was found unsuitable to donate</w:t>
      </w:r>
      <w:r w:rsidR="008E3A10" w:rsidRPr="002267A5">
        <w:rPr>
          <w:lang w:val="en-GB" w:bidi="ar-SA"/>
        </w:rPr>
        <w:t xml:space="preserve"> following medical </w:t>
      </w:r>
      <w:r w:rsidR="4CF393DE" w:rsidRPr="002267A5">
        <w:rPr>
          <w:lang w:val="en-GB" w:bidi="ar-SA"/>
        </w:rPr>
        <w:t>evaluation</w:t>
      </w:r>
      <w:r w:rsidRPr="002267A5">
        <w:rPr>
          <w:lang w:val="en-GB" w:bidi="ar-SA"/>
        </w:rPr>
        <w:t xml:space="preserve">. </w:t>
      </w:r>
    </w:p>
    <w:p w14:paraId="4D3B88AC" w14:textId="77777777" w:rsidR="00E83D5E" w:rsidRPr="002267A5" w:rsidRDefault="00E83D5E" w:rsidP="002267A5">
      <w:pPr>
        <w:rPr>
          <w:lang w:val="en-GB" w:bidi="ar-SA"/>
        </w:rPr>
      </w:pPr>
      <w:r w:rsidRPr="002267A5">
        <w:rPr>
          <w:lang w:val="en-GB" w:bidi="ar-SA"/>
        </w:rPr>
        <w:t xml:space="preserve">Incomplete applications cannot be assessed. If the application is incomplete, and/or more information is required, the donor will be contacted by the department and processing of the application will be delayed. </w:t>
      </w:r>
    </w:p>
    <w:p w14:paraId="7FF70420" w14:textId="65492A50" w:rsidR="00E83D5E" w:rsidRPr="002267A5" w:rsidRDefault="00E83D5E" w:rsidP="002267A5">
      <w:pPr>
        <w:rPr>
          <w:lang w:val="en-GB" w:bidi="ar-SA"/>
        </w:rPr>
      </w:pPr>
      <w:r w:rsidRPr="002267A5">
        <w:rPr>
          <w:lang w:val="en-GB" w:bidi="ar-SA"/>
        </w:rPr>
        <w:t>If the application is ineligible, the donor will receive an email notification advising of this outcome. Refer to part 7 regarding a review of decision.</w:t>
      </w:r>
    </w:p>
    <w:p w14:paraId="42663111" w14:textId="274F6903" w:rsidR="00E83D5E" w:rsidRPr="00E83D5E" w:rsidRDefault="00E83D5E" w:rsidP="008B05FE">
      <w:pPr>
        <w:pStyle w:val="Heading3"/>
      </w:pPr>
      <w:bookmarkStart w:id="81" w:name="_Toc235185131"/>
      <w:bookmarkStart w:id="82" w:name="_Toc235185305"/>
      <w:bookmarkStart w:id="83" w:name="_Toc235185618"/>
      <w:r w:rsidRPr="00E83D5E">
        <w:t>Claiming for out-of-pocket expenses</w:t>
      </w:r>
      <w:bookmarkEnd w:id="81"/>
      <w:bookmarkEnd w:id="82"/>
      <w:bookmarkEnd w:id="83"/>
    </w:p>
    <w:p w14:paraId="65753350" w14:textId="76102ADC" w:rsidR="00E83D5E" w:rsidRPr="002267A5" w:rsidRDefault="00E83D5E" w:rsidP="002267A5">
      <w:pPr>
        <w:rPr>
          <w:lang w:val="en-GB" w:bidi="ar-SA"/>
        </w:rPr>
      </w:pPr>
      <w:r w:rsidRPr="002267A5">
        <w:rPr>
          <w:lang w:val="en-GB" w:bidi="ar-SA"/>
        </w:rPr>
        <w:t>The donor can claim for out-of-pocket expenses (as described in part 6.1) incurred due to work-up tests, donation and follow up appointments.</w:t>
      </w:r>
    </w:p>
    <w:p w14:paraId="5C3E719B" w14:textId="6688043B" w:rsidR="00E83D5E" w:rsidRPr="002267A5" w:rsidRDefault="00E83D5E" w:rsidP="002267A5">
      <w:pPr>
        <w:rPr>
          <w:lang w:val="en-GB" w:bidi="ar-SA"/>
        </w:rPr>
      </w:pPr>
      <w:r w:rsidRPr="002267A5">
        <w:rPr>
          <w:lang w:val="en-GB" w:bidi="ar-SA"/>
        </w:rPr>
        <w:t xml:space="preserve">To claim for out-of-pocket expenses, the donor </w:t>
      </w:r>
      <w:r w:rsidR="008572FF" w:rsidRPr="002267A5">
        <w:rPr>
          <w:lang w:val="en-GB" w:bidi="ar-SA"/>
        </w:rPr>
        <w:t xml:space="preserve">or potential donor </w:t>
      </w:r>
      <w:r w:rsidRPr="002267A5">
        <w:rPr>
          <w:lang w:val="en-GB" w:bidi="ar-SA"/>
        </w:rPr>
        <w:t>must provide evidence that verifies the dates of appointments and surgery and itemised receipts that demonstrate out-of-pocket expenses incurred on and around these dates.</w:t>
      </w:r>
    </w:p>
    <w:p w14:paraId="62993693" w14:textId="77777777" w:rsidR="00E83D5E" w:rsidRPr="002267A5" w:rsidRDefault="00E83D5E" w:rsidP="002267A5">
      <w:pPr>
        <w:rPr>
          <w:lang w:val="en-GB" w:bidi="ar-SA"/>
        </w:rPr>
      </w:pPr>
      <w:r w:rsidRPr="002267A5">
        <w:rPr>
          <w:lang w:val="en-GB" w:bidi="ar-SA"/>
        </w:rPr>
        <w:t xml:space="preserve">Claims will not be progressed until the application </w:t>
      </w:r>
      <w:proofErr w:type="gramStart"/>
      <w:r w:rsidRPr="002267A5">
        <w:rPr>
          <w:lang w:val="en-GB" w:bidi="ar-SA"/>
        </w:rPr>
        <w:t>form</w:t>
      </w:r>
      <w:proofErr w:type="gramEnd"/>
      <w:r w:rsidRPr="002267A5">
        <w:rPr>
          <w:lang w:val="en-GB" w:bidi="ar-SA"/>
        </w:rPr>
        <w:t xml:space="preserve"> and all supporting documentation has been received. </w:t>
      </w:r>
    </w:p>
    <w:p w14:paraId="2ACF9B7E" w14:textId="20537262" w:rsidR="00E83D5E" w:rsidRPr="002267A5" w:rsidRDefault="00E83D5E" w:rsidP="002267A5">
      <w:pPr>
        <w:rPr>
          <w:lang w:val="en-GB" w:bidi="ar-SA"/>
        </w:rPr>
      </w:pPr>
      <w:r w:rsidRPr="002267A5">
        <w:rPr>
          <w:lang w:val="en-GB" w:bidi="ar-SA"/>
        </w:rPr>
        <w:t xml:space="preserve">To assist with recording expenses to be claimed under the </w:t>
      </w:r>
      <w:r w:rsidR="0086686B" w:rsidRPr="002267A5">
        <w:rPr>
          <w:lang w:val="en-GB" w:bidi="ar-SA"/>
        </w:rPr>
        <w:t>P</w:t>
      </w:r>
      <w:r w:rsidRPr="002267A5">
        <w:rPr>
          <w:lang w:val="en-GB" w:bidi="ar-SA"/>
        </w:rPr>
        <w:t>rogram, the out-of-pocket expenses tracker can be completed.</w:t>
      </w:r>
    </w:p>
    <w:p w14:paraId="798CEE70" w14:textId="77777777" w:rsidR="00E83D5E" w:rsidRPr="002267A5" w:rsidRDefault="00E83D5E" w:rsidP="002267A5">
      <w:pPr>
        <w:rPr>
          <w:lang w:val="en-GB" w:bidi="ar-SA"/>
        </w:rPr>
      </w:pPr>
      <w:r w:rsidRPr="002267A5">
        <w:rPr>
          <w:lang w:val="en-GB" w:bidi="ar-SA"/>
        </w:rPr>
        <w:t>The total reimbursement for out-of-pocket expenses cannot exceed $4,000 for each donor. Any travel and accommodation expenses claimed for a support person during the donor’s hospital admission are also included in the $4,000 maximum reimbursement amount.</w:t>
      </w:r>
    </w:p>
    <w:p w14:paraId="70BA0AD8" w14:textId="77777777" w:rsidR="006A5495" w:rsidRPr="002267A5" w:rsidRDefault="006A5495" w:rsidP="002267A5">
      <w:pPr>
        <w:rPr>
          <w:lang w:val="en-GB" w:bidi="ar-SA"/>
        </w:rPr>
        <w:sectPr w:rsidR="006A5495" w:rsidRPr="002267A5" w:rsidSect="00E83D5E">
          <w:pgSz w:w="11906" w:h="16838"/>
          <w:pgMar w:top="720" w:right="720" w:bottom="720" w:left="720" w:header="720" w:footer="720" w:gutter="0"/>
          <w:cols w:space="720"/>
          <w:noEndnote/>
        </w:sectPr>
      </w:pPr>
    </w:p>
    <w:p w14:paraId="6B1F4467" w14:textId="491E8F96" w:rsidR="00E83D5E" w:rsidRPr="00E83D5E" w:rsidRDefault="00E83D5E" w:rsidP="00DD2069">
      <w:pPr>
        <w:pStyle w:val="Heading1"/>
      </w:pPr>
      <w:bookmarkStart w:id="84" w:name="_Toc235185619"/>
      <w:r w:rsidRPr="00E83D5E">
        <w:t>Requesting a review of application assessment</w:t>
      </w:r>
      <w:bookmarkEnd w:id="84"/>
      <w:r w:rsidRPr="00E83D5E">
        <w:t xml:space="preserve"> </w:t>
      </w:r>
    </w:p>
    <w:p w14:paraId="29900C2B" w14:textId="6C2584DA" w:rsidR="00E83D5E" w:rsidRPr="002267A5" w:rsidRDefault="00E83D5E" w:rsidP="002267A5">
      <w:pPr>
        <w:rPr>
          <w:lang w:val="en-GB" w:bidi="ar-SA"/>
        </w:rPr>
      </w:pPr>
      <w:r w:rsidRPr="002267A5">
        <w:rPr>
          <w:lang w:val="en-GB" w:bidi="ar-SA"/>
        </w:rPr>
        <w:t xml:space="preserve">If the donor does not agree with the department’s assessment of their claim, they can email </w:t>
      </w:r>
      <w:hyperlink r:id="rId20" w:history="1">
        <w:r w:rsidRPr="002267A5">
          <w:rPr>
            <w:rStyle w:val="Hyperlink"/>
            <w:lang w:val="en-GB" w:bidi="ar-SA"/>
          </w:rPr>
          <w:t>livingorgandonation@health.gov.au</w:t>
        </w:r>
      </w:hyperlink>
      <w:r w:rsidRPr="002267A5">
        <w:rPr>
          <w:lang w:val="en-GB" w:bidi="ar-SA"/>
        </w:rPr>
        <w:t xml:space="preserve"> within 28 days of the decision to request a review. </w:t>
      </w:r>
    </w:p>
    <w:p w14:paraId="162FA511" w14:textId="77777777" w:rsidR="00E83D5E" w:rsidRPr="002267A5" w:rsidRDefault="00E83D5E" w:rsidP="002267A5">
      <w:pPr>
        <w:rPr>
          <w:lang w:val="en-GB" w:bidi="ar-SA"/>
        </w:rPr>
      </w:pPr>
      <w:r w:rsidRPr="002267A5">
        <w:rPr>
          <w:lang w:val="en-GB" w:bidi="ar-SA"/>
        </w:rPr>
        <w:t>A team member who was not involved in the original assessment will review the case. The donor will be informed of the outcome within 21 days. If a longer review period is required, the department will contact the donor.</w:t>
      </w:r>
    </w:p>
    <w:p w14:paraId="3CDC2FAE" w14:textId="5D26568E" w:rsidR="00E83D5E" w:rsidRPr="002267A5" w:rsidRDefault="00E83D5E" w:rsidP="002267A5">
      <w:pPr>
        <w:rPr>
          <w:lang w:val="en-GB" w:bidi="ar-SA"/>
        </w:rPr>
      </w:pPr>
      <w:r w:rsidRPr="002267A5">
        <w:rPr>
          <w:lang w:val="en-GB" w:bidi="ar-SA"/>
        </w:rPr>
        <w:t>If the donor is still not satisfied with the review outcome, they can contact the </w:t>
      </w:r>
      <w:hyperlink r:id="rId21" w:history="1">
        <w:r w:rsidRPr="00DD2069">
          <w:rPr>
            <w:rStyle w:val="Hyperlink"/>
            <w:lang w:val="en-GB" w:bidi="ar-SA"/>
          </w:rPr>
          <w:t>Commonwealth Ombudsman</w:t>
        </w:r>
      </w:hyperlink>
      <w:r w:rsidRPr="002267A5">
        <w:rPr>
          <w:lang w:val="en-GB" w:bidi="ar-SA"/>
        </w:rPr>
        <w:t>.</w:t>
      </w:r>
    </w:p>
    <w:p w14:paraId="65B527D9" w14:textId="77777777" w:rsidR="00F749D3" w:rsidRPr="008B05FE" w:rsidRDefault="00F749D3" w:rsidP="008B05FE">
      <w:pPr>
        <w:rPr>
          <w:lang w:val="en-GB" w:bidi="ar-SA"/>
        </w:rPr>
        <w:sectPr w:rsidR="00F749D3" w:rsidRPr="008B05FE" w:rsidSect="00E83D5E">
          <w:pgSz w:w="11906" w:h="16838"/>
          <w:pgMar w:top="720" w:right="720" w:bottom="720" w:left="720" w:header="720" w:footer="720" w:gutter="0"/>
          <w:cols w:space="720"/>
          <w:noEndnote/>
        </w:sectPr>
      </w:pPr>
    </w:p>
    <w:p w14:paraId="661DEA05" w14:textId="47EC5C03" w:rsidR="00E83D5E" w:rsidRPr="00E83D5E" w:rsidRDefault="00E83D5E" w:rsidP="00DD2069">
      <w:pPr>
        <w:pStyle w:val="Heading1"/>
      </w:pPr>
      <w:bookmarkStart w:id="85" w:name="_Toc235185620"/>
      <w:r w:rsidRPr="00E83D5E">
        <w:t>Definitions</w:t>
      </w:r>
      <w:bookmarkEnd w:id="85"/>
    </w:p>
    <w:p w14:paraId="24A7AA6B" w14:textId="77777777" w:rsidR="00E83D5E" w:rsidRPr="002267A5" w:rsidRDefault="00E83D5E" w:rsidP="002267A5">
      <w:pPr>
        <w:rPr>
          <w:lang w:val="en-GB" w:bidi="ar-SA"/>
        </w:rPr>
      </w:pPr>
      <w:r w:rsidRPr="002267A5">
        <w:rPr>
          <w:lang w:val="en-GB" w:bidi="ar-SA"/>
        </w:rPr>
        <w:t>This section provides definitions of terms used in the Supporting Living Organ Donors Program.</w:t>
      </w:r>
    </w:p>
    <w:p w14:paraId="4F41943A" w14:textId="428E0E3B" w:rsidR="00E83D5E" w:rsidRPr="00E83D5E" w:rsidRDefault="00E83D5E" w:rsidP="00317E6C">
      <w:pPr>
        <w:pStyle w:val="Heading2"/>
      </w:pPr>
      <w:bookmarkStart w:id="86" w:name="_Toc235185621"/>
      <w:r w:rsidRPr="00E83D5E">
        <w:t>Definitions</w:t>
      </w:r>
      <w:bookmarkEnd w:id="86"/>
    </w:p>
    <w:p w14:paraId="21E0483E" w14:textId="77777777" w:rsidR="00E83D5E" w:rsidRPr="00317E6C" w:rsidRDefault="00E83D5E" w:rsidP="00317E6C">
      <w:pPr>
        <w:rPr>
          <w:rStyle w:val="Strong"/>
          <w:lang w:val="en-GB" w:bidi="ar-SA"/>
        </w:rPr>
      </w:pPr>
      <w:r w:rsidRPr="00317E6C">
        <w:rPr>
          <w:rStyle w:val="Strong"/>
          <w:lang w:val="en-GB" w:bidi="ar-SA"/>
        </w:rPr>
        <w:t>Living organ donor</w:t>
      </w:r>
    </w:p>
    <w:p w14:paraId="34403DD4" w14:textId="77777777" w:rsidR="00E83D5E" w:rsidRPr="002267A5" w:rsidRDefault="00E83D5E" w:rsidP="002267A5">
      <w:pPr>
        <w:rPr>
          <w:lang w:val="en-GB" w:bidi="ar-SA"/>
        </w:rPr>
      </w:pPr>
      <w:proofErr w:type="gramStart"/>
      <w:r w:rsidRPr="002267A5">
        <w:rPr>
          <w:lang w:val="en-GB" w:bidi="ar-SA"/>
        </w:rPr>
        <w:t>For the purpose of</w:t>
      </w:r>
      <w:proofErr w:type="gramEnd"/>
      <w:r w:rsidRPr="002267A5">
        <w:rPr>
          <w:lang w:val="en-GB" w:bidi="ar-SA"/>
        </w:rPr>
        <w:t xml:space="preserve"> this Program, a living organ donor is a person who donates a kidney or partial liver to someone with end stage kidney disease or liver failure.</w:t>
      </w:r>
    </w:p>
    <w:p w14:paraId="1F90B68C" w14:textId="77777777" w:rsidR="00E83D5E" w:rsidRPr="002267A5" w:rsidRDefault="00E83D5E" w:rsidP="002267A5">
      <w:pPr>
        <w:rPr>
          <w:lang w:val="en-GB" w:bidi="ar-SA"/>
        </w:rPr>
      </w:pPr>
      <w:r w:rsidRPr="002267A5">
        <w:rPr>
          <w:lang w:val="en-GB" w:bidi="ar-SA"/>
        </w:rPr>
        <w:t xml:space="preserve">This Program does not cover living donors of other tissues, such as blood, bone marrow, or reproductive tissues. </w:t>
      </w:r>
    </w:p>
    <w:p w14:paraId="0DB7EC1C" w14:textId="77777777" w:rsidR="00E83D5E" w:rsidRPr="00317E6C" w:rsidRDefault="00E83D5E" w:rsidP="00317E6C">
      <w:pPr>
        <w:rPr>
          <w:rStyle w:val="Strong"/>
          <w:lang w:val="en-GB" w:bidi="ar-SA"/>
        </w:rPr>
      </w:pPr>
      <w:r w:rsidRPr="00317E6C">
        <w:rPr>
          <w:rStyle w:val="Strong"/>
          <w:lang w:val="en-GB" w:bidi="ar-SA"/>
        </w:rPr>
        <w:t>Potential donor</w:t>
      </w:r>
    </w:p>
    <w:p w14:paraId="63E99A14" w14:textId="1C26D636" w:rsidR="00E83D5E" w:rsidRPr="002267A5" w:rsidRDefault="00E83D5E" w:rsidP="002267A5">
      <w:pPr>
        <w:rPr>
          <w:lang w:val="en-AU" w:bidi="ar-SA"/>
        </w:rPr>
      </w:pPr>
      <w:r w:rsidRPr="002267A5">
        <w:rPr>
          <w:lang w:val="en-GB" w:bidi="ar-SA"/>
        </w:rPr>
        <w:t>Someone who has made a fully informed decision to undergo medical evaluation to be a living organ donor</w:t>
      </w:r>
      <w:r w:rsidR="00F47A4C" w:rsidRPr="002267A5">
        <w:rPr>
          <w:lang w:val="en-GB" w:bidi="ar-SA"/>
        </w:rPr>
        <w:t xml:space="preserve">. </w:t>
      </w:r>
      <w:r w:rsidR="00F47A4C" w:rsidRPr="002267A5">
        <w:rPr>
          <w:lang w:val="en-AU" w:bidi="ar-SA"/>
        </w:rPr>
        <w:t>A person becomes a living organ donor once they proceed to donation surgery.</w:t>
      </w:r>
    </w:p>
    <w:p w14:paraId="13C8DC0B" w14:textId="77777777" w:rsidR="00E83D5E" w:rsidRPr="00317E6C" w:rsidRDefault="00E83D5E" w:rsidP="00317E6C">
      <w:pPr>
        <w:rPr>
          <w:rStyle w:val="Strong"/>
          <w:lang w:val="en-GB" w:bidi="ar-SA"/>
        </w:rPr>
      </w:pPr>
      <w:r w:rsidRPr="00317E6C">
        <w:rPr>
          <w:rStyle w:val="Strong"/>
          <w:lang w:val="en-GB" w:bidi="ar-SA"/>
        </w:rPr>
        <w:t>Work-up</w:t>
      </w:r>
    </w:p>
    <w:p w14:paraId="1BAE3F41" w14:textId="77777777" w:rsidR="00E83D5E" w:rsidRPr="002267A5" w:rsidRDefault="00E83D5E" w:rsidP="002267A5">
      <w:pPr>
        <w:rPr>
          <w:lang w:val="en-GB" w:bidi="ar-SA"/>
        </w:rPr>
      </w:pPr>
      <w:r w:rsidRPr="002267A5">
        <w:rPr>
          <w:lang w:val="en-GB" w:bidi="ar-SA"/>
        </w:rPr>
        <w:t>Tests of physical and mental health that are taken to ensure the donor is medically suitable to proceed to donation.</w:t>
      </w:r>
    </w:p>
    <w:p w14:paraId="06BD6F5E" w14:textId="77777777" w:rsidR="00E83D5E" w:rsidRPr="00317E6C" w:rsidRDefault="00E83D5E" w:rsidP="00317E6C">
      <w:pPr>
        <w:rPr>
          <w:rStyle w:val="Strong"/>
          <w:lang w:val="en-GB" w:bidi="ar-SA"/>
        </w:rPr>
      </w:pPr>
      <w:r w:rsidRPr="00317E6C">
        <w:rPr>
          <w:rStyle w:val="Strong"/>
          <w:lang w:val="en-GB" w:bidi="ar-SA"/>
        </w:rPr>
        <w:t>Regular (hours)</w:t>
      </w:r>
    </w:p>
    <w:p w14:paraId="2C6618F4" w14:textId="77777777" w:rsidR="00E83D5E" w:rsidRPr="002267A5" w:rsidRDefault="00E83D5E" w:rsidP="002267A5">
      <w:pPr>
        <w:rPr>
          <w:lang w:val="en-GB" w:bidi="ar-SA"/>
        </w:rPr>
      </w:pPr>
      <w:r w:rsidRPr="002267A5">
        <w:rPr>
          <w:lang w:val="en-GB" w:bidi="ar-SA"/>
        </w:rPr>
        <w:t xml:space="preserve">Casual employees can calculate their ‘regular’ hours by averaging their weekly hours worked over 8 weeks, or 56 days. </w:t>
      </w:r>
    </w:p>
    <w:p w14:paraId="63D81E22" w14:textId="77777777" w:rsidR="00E83D5E" w:rsidRPr="00317E6C" w:rsidRDefault="00E83D5E" w:rsidP="00317E6C">
      <w:pPr>
        <w:rPr>
          <w:rStyle w:val="Strong"/>
          <w:lang w:val="en-GB" w:bidi="ar-SA"/>
        </w:rPr>
      </w:pPr>
      <w:r w:rsidRPr="00317E6C">
        <w:rPr>
          <w:rStyle w:val="Strong"/>
          <w:lang w:val="en-GB" w:bidi="ar-SA"/>
        </w:rPr>
        <w:t>Ex-gratia payment</w:t>
      </w:r>
    </w:p>
    <w:p w14:paraId="7508E1DA" w14:textId="77777777" w:rsidR="00E83D5E" w:rsidRPr="002267A5" w:rsidRDefault="00E83D5E" w:rsidP="002267A5">
      <w:pPr>
        <w:rPr>
          <w:lang w:val="en-GB" w:bidi="ar-SA"/>
        </w:rPr>
      </w:pPr>
      <w:r w:rsidRPr="002267A5">
        <w:rPr>
          <w:lang w:val="en-GB" w:bidi="ar-SA"/>
        </w:rPr>
        <w:t>For the purposes of this Program, an ex-gratia payment is a sum of money provided by an employer to an employee and at the discretion of the employer (i.e. without there being any legal obligation or legal liability to do so) where the employee has no entitlement to paid leave.</w:t>
      </w:r>
    </w:p>
    <w:p w14:paraId="70CD70C9" w14:textId="77777777" w:rsidR="00E83D5E" w:rsidRPr="00317E6C" w:rsidRDefault="00E83D5E" w:rsidP="00317E6C">
      <w:pPr>
        <w:rPr>
          <w:rStyle w:val="Strong"/>
          <w:lang w:val="en-GB" w:bidi="ar-SA"/>
        </w:rPr>
      </w:pPr>
      <w:r w:rsidRPr="00317E6C">
        <w:rPr>
          <w:rStyle w:val="Strong"/>
          <w:lang w:val="en-GB" w:bidi="ar-SA"/>
        </w:rPr>
        <w:t>Out-of-pocket expenses</w:t>
      </w:r>
    </w:p>
    <w:p w14:paraId="146CD452" w14:textId="2C272EF6" w:rsidR="00E83D5E" w:rsidRPr="002267A5" w:rsidRDefault="00E83D5E" w:rsidP="002267A5">
      <w:pPr>
        <w:rPr>
          <w:lang w:val="en-GB" w:bidi="ar-SA"/>
        </w:rPr>
      </w:pPr>
      <w:r w:rsidRPr="002267A5">
        <w:rPr>
          <w:lang w:val="en-GB" w:bidi="ar-SA"/>
        </w:rPr>
        <w:t xml:space="preserve">Out-of-pocket expenses are costs e.g. </w:t>
      </w:r>
      <w:r w:rsidR="0086686B" w:rsidRPr="002267A5">
        <w:rPr>
          <w:lang w:val="en-GB" w:bidi="ar-SA"/>
        </w:rPr>
        <w:t xml:space="preserve">for </w:t>
      </w:r>
      <w:r w:rsidRPr="002267A5">
        <w:rPr>
          <w:lang w:val="en-GB" w:bidi="ar-SA"/>
        </w:rPr>
        <w:t xml:space="preserve">accommodation and transport incurred by a donor </w:t>
      </w:r>
      <w:proofErr w:type="gramStart"/>
      <w:r w:rsidRPr="002267A5">
        <w:rPr>
          <w:lang w:val="en-GB" w:bidi="ar-SA"/>
        </w:rPr>
        <w:t>as a result of</w:t>
      </w:r>
      <w:proofErr w:type="gramEnd"/>
      <w:r w:rsidRPr="002267A5">
        <w:rPr>
          <w:lang w:val="en-GB" w:bidi="ar-SA"/>
        </w:rPr>
        <w:t xml:space="preserve"> attending medical appointments.</w:t>
      </w:r>
    </w:p>
    <w:p w14:paraId="2E1A06A9" w14:textId="77777777" w:rsidR="00E83D5E" w:rsidRPr="00317E6C" w:rsidRDefault="00E83D5E" w:rsidP="00317E6C">
      <w:pPr>
        <w:rPr>
          <w:rStyle w:val="Strong"/>
          <w:lang w:val="en-GB" w:bidi="ar-SA"/>
        </w:rPr>
      </w:pPr>
      <w:r w:rsidRPr="00317E6C">
        <w:rPr>
          <w:rStyle w:val="Strong"/>
          <w:lang w:val="en-GB" w:bidi="ar-SA"/>
        </w:rPr>
        <w:t xml:space="preserve">Reasonable amounts for accommodation </w:t>
      </w:r>
    </w:p>
    <w:p w14:paraId="377E5610" w14:textId="7D329FE5" w:rsidR="00E83D5E" w:rsidRPr="002267A5" w:rsidRDefault="00E83D5E" w:rsidP="002267A5">
      <w:pPr>
        <w:rPr>
          <w:lang w:val="en-GB" w:bidi="ar-SA"/>
        </w:rPr>
      </w:pPr>
      <w:r w:rsidRPr="002267A5">
        <w:rPr>
          <w:lang w:val="en-GB" w:bidi="ar-SA"/>
        </w:rPr>
        <w:t xml:space="preserve">The Program allows for reimbursement of accommodation expenses in line with the Australian Taxation Office’s </w:t>
      </w:r>
      <w:r w:rsidR="0086686B" w:rsidRPr="002267A5">
        <w:rPr>
          <w:lang w:val="en-GB" w:bidi="ar-SA"/>
        </w:rPr>
        <w:t>r</w:t>
      </w:r>
      <w:r w:rsidRPr="002267A5">
        <w:rPr>
          <w:lang w:val="en-GB" w:bidi="ar-SA"/>
        </w:rPr>
        <w:t xml:space="preserve">easonable </w:t>
      </w:r>
      <w:r w:rsidR="0086686B" w:rsidRPr="002267A5">
        <w:rPr>
          <w:lang w:val="en-GB" w:bidi="ar-SA"/>
        </w:rPr>
        <w:t>t</w:t>
      </w:r>
      <w:r w:rsidRPr="002267A5">
        <w:rPr>
          <w:lang w:val="en-GB" w:bidi="ar-SA"/>
        </w:rPr>
        <w:t>ravel expense rates.</w:t>
      </w:r>
    </w:p>
    <w:p w14:paraId="04B88765" w14:textId="7881F582" w:rsidR="00E83D5E" w:rsidRPr="002267A5" w:rsidRDefault="00E83D5E" w:rsidP="002267A5">
      <w:pPr>
        <w:rPr>
          <w:lang w:val="en-GB" w:bidi="ar-SA"/>
        </w:rPr>
      </w:pPr>
      <w:hyperlink r:id="rId22" w:history="1">
        <w:r w:rsidRPr="002267A5">
          <w:rPr>
            <w:rStyle w:val="Hyperlink"/>
            <w:lang w:val="en-GB" w:bidi="ar-SA"/>
          </w:rPr>
          <w:t>National Minimum Wage (NMW)</w:t>
        </w:r>
      </w:hyperlink>
    </w:p>
    <w:p w14:paraId="362EF087" w14:textId="77777777" w:rsidR="00E83D5E" w:rsidRPr="002267A5" w:rsidRDefault="00E83D5E" w:rsidP="002267A5">
      <w:pPr>
        <w:rPr>
          <w:lang w:val="en-GB" w:bidi="ar-SA"/>
        </w:rPr>
      </w:pPr>
      <w:r w:rsidRPr="002267A5">
        <w:rPr>
          <w:lang w:val="en-GB" w:bidi="ar-SA"/>
        </w:rPr>
        <w:t>All employees working in Australia are entitled to a minimum wage. This is the minimum amount an employee can be paid for the work that they’re doing.</w:t>
      </w:r>
    </w:p>
    <w:p w14:paraId="4FA2AF67" w14:textId="069D6E72" w:rsidR="0086686B" w:rsidRPr="00317E6C" w:rsidRDefault="0086686B" w:rsidP="00317E6C">
      <w:pPr>
        <w:rPr>
          <w:rStyle w:val="Strong"/>
          <w:lang w:val="en-GB" w:bidi="ar-SA"/>
        </w:rPr>
      </w:pPr>
      <w:r w:rsidRPr="00317E6C">
        <w:rPr>
          <w:rStyle w:val="Strong"/>
          <w:lang w:val="en-GB" w:bidi="ar-SA"/>
        </w:rPr>
        <w:t>Support person</w:t>
      </w:r>
    </w:p>
    <w:p w14:paraId="07EE76A5" w14:textId="4FC67617" w:rsidR="003F477D" w:rsidRPr="002267A5" w:rsidRDefault="00310CED" w:rsidP="002267A5">
      <w:pPr>
        <w:rPr>
          <w:lang w:val="en-AU" w:bidi="ar-SA"/>
        </w:rPr>
      </w:pPr>
      <w:r w:rsidRPr="002267A5">
        <w:rPr>
          <w:lang w:val="en-AU" w:bidi="ar-SA"/>
        </w:rPr>
        <w:t>A family member or adult responsible for the donor</w:t>
      </w:r>
      <w:r w:rsidR="00DF2013" w:rsidRPr="002267A5">
        <w:rPr>
          <w:lang w:val="en-AU" w:bidi="ar-SA"/>
        </w:rPr>
        <w:t>’</w:t>
      </w:r>
      <w:r w:rsidRPr="002267A5">
        <w:rPr>
          <w:lang w:val="en-AU" w:bidi="ar-SA"/>
        </w:rPr>
        <w:t>s needs.</w:t>
      </w:r>
    </w:p>
    <w:sectPr w:rsidR="003F477D" w:rsidRPr="002267A5" w:rsidSect="00E83D5E">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F2AB" w14:textId="77777777" w:rsidR="00005F8F" w:rsidRDefault="00005F8F" w:rsidP="00BB0A89">
      <w:pPr>
        <w:spacing w:after="0" w:line="240" w:lineRule="auto"/>
      </w:pPr>
      <w:r>
        <w:separator/>
      </w:r>
    </w:p>
  </w:endnote>
  <w:endnote w:type="continuationSeparator" w:id="0">
    <w:p w14:paraId="6139D498" w14:textId="77777777" w:rsidR="00005F8F" w:rsidRDefault="00005F8F" w:rsidP="00BB0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old">
    <w:panose1 w:val="020B070402020202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540B" w14:textId="685EC6EC" w:rsidR="00D35A9F" w:rsidRDefault="0096045B" w:rsidP="000240B2">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58245" behindDoc="0" locked="0" layoutInCell="1" allowOverlap="1" wp14:anchorId="1702305E" wp14:editId="475C2DE2">
              <wp:simplePos x="635" y="635"/>
              <wp:positionH relativeFrom="page">
                <wp:align>center</wp:align>
              </wp:positionH>
              <wp:positionV relativeFrom="page">
                <wp:align>bottom</wp:align>
              </wp:positionV>
              <wp:extent cx="622300" cy="342900"/>
              <wp:effectExtent l="0" t="0" r="6350" b="0"/>
              <wp:wrapNone/>
              <wp:docPr id="20468648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2DA8ECAC" w14:textId="448C45D8" w:rsidR="0096045B" w:rsidRPr="0096045B" w:rsidRDefault="0096045B" w:rsidP="0096045B">
                          <w:pPr>
                            <w:spacing w:after="0"/>
                            <w:rPr>
                              <w:rFonts w:ascii="Aptos" w:eastAsia="Aptos" w:hAnsi="Aptos" w:cs="Aptos"/>
                              <w:noProof/>
                              <w:color w:val="FF0000"/>
                              <w:sz w:val="24"/>
                              <w:szCs w:val="24"/>
                            </w:rPr>
                          </w:pPr>
                          <w:r w:rsidRPr="009604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02305E" id="_x0000_t202" coordsize="21600,21600" o:spt="202" path="m,l,21600r21600,l21600,xe">
              <v:stroke joinstyle="miter"/>
              <v:path gradientshapeok="t" o:connecttype="rect"/>
            </v:shapetype>
            <v:shape id="Text Box 5" o:spid="_x0000_s1027" type="#_x0000_t202" alt="OFFICIAL" style="position:absolute;margin-left:0;margin-top:0;width:49pt;height:27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2zYCwIAABwEAAAOAAAAZHJzL2Uyb0RvYy54bWysU01v2zAMvQ/YfxB0X+ykW7EacYqsRYYB&#10;QVsgHXpWZCk2YIkCpcTOfv0oOU7abqdhF/mZpPjx+DS/7U3LDgp9A7bk00nOmbISqsbuSv7zefXp&#10;K2c+CFuJFqwq+VF5frv4+GHeuULNoIa2UsgoifVF50peh+CKLPOyVkb4CThlyakBjQj0i7usQtFR&#10;dtNmszy/zjrAyiFI5T1Z7wcnX6T8WisZHrX2KrC25NRbSCemcxvPbDEXxQ6Fqxt5akP8QxdGNJaK&#10;nlPdiyDYHps/UplGInjQYSLBZKB1I1WagaaZ5u+m2dTCqTQLkePdmSb//9LKh8PGPSEL/TfoaYGR&#10;kM75wpMxztNrNPFLnTLyE4XHM22qD0yS8Xo2u8rJI8l19Xl2Q5iyZJfLDn34rsCwCEqOtJVEljis&#10;fRhCx5BYy8Kqadu0mda+MVDOaMkuHUYU+m3PmupV91uojjQUwrBv7+SqodJr4cOTQFowdUuiDY90&#10;6Ba6ksMJcVYD/vqbPcYT7+TlrCPBlNySojlrf1jaR9TWCHAE2wSmN/mXSI/dmzsgGU7pRTiZIFkx&#10;tCPUCOaF5LyMhcglrKRyJd+O8C4MyqXnINVymYJIRk6Etd04GVNHuiKXz/2LQHciPNCmHmBUkyje&#10;8T7ExpveLfeB2E9LidQORJ4YJwmmtZ6eS9T46/8UdXnUi98AAAD//wMAUEsDBBQABgAIAAAAIQBt&#10;CNwa2QAAAAMBAAAPAAAAZHJzL2Rvd25yZXYueG1sTI/BTsMwDIbvSLxDZCRuLGUDtHVNJzSJ0xDS&#10;Ni7cssRrC41TNe7WvT2GC1ws/fqtz5+L1RhadcI+NZEM3E8yUEgu+oYqA+/7l7s5qMSWvG0joYEL&#10;JliV11eFzX080xZPO66UQCjl1kDN3OVaJ1djsGkSOyTpjrEPliX2lfa9PQs8tHqaZU862IbkQm07&#10;XNfovnZDMPC45dfhjfazj3F6+dx0azc7bpwxtzfj8xIU48h/y/CjL+pQitMhDuSTag3II/w7pVvM&#10;JR2E+5CBLgv93738BgAA//8DAFBLAQItABQABgAIAAAAIQC2gziS/gAAAOEBAAATAAAAAAAAAAAA&#10;AAAAAAAAAABbQ29udGVudF9UeXBlc10ueG1sUEsBAi0AFAAGAAgAAAAhADj9If/WAAAAlAEAAAsA&#10;AAAAAAAAAAAAAAAALwEAAF9yZWxzLy5yZWxzUEsBAi0AFAAGAAgAAAAhALSfbNgLAgAAHAQAAA4A&#10;AAAAAAAAAAAAAAAALgIAAGRycy9lMm9Eb2MueG1sUEsBAi0AFAAGAAgAAAAhAG0I3BrZAAAAAwEA&#10;AA8AAAAAAAAAAAAAAAAAZQQAAGRycy9kb3ducmV2LnhtbFBLBQYAAAAABAAEAPMAAABrBQAAAAA=&#10;" filled="f" stroked="f">
              <v:textbox style="mso-fit-shape-to-text:t" inset="0,0,0,15pt">
                <w:txbxContent>
                  <w:p w14:paraId="2DA8ECAC" w14:textId="448C45D8" w:rsidR="0096045B" w:rsidRPr="0096045B" w:rsidRDefault="0096045B" w:rsidP="0096045B">
                    <w:pPr>
                      <w:spacing w:after="0"/>
                      <w:rPr>
                        <w:rFonts w:ascii="Aptos" w:eastAsia="Aptos" w:hAnsi="Aptos" w:cs="Aptos"/>
                        <w:noProof/>
                        <w:color w:val="FF0000"/>
                        <w:sz w:val="24"/>
                        <w:szCs w:val="24"/>
                      </w:rPr>
                    </w:pPr>
                    <w:r w:rsidRPr="0096045B">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2075549589"/>
      <w:docPartObj>
        <w:docPartGallery w:val="Page Numbers (Bottom of Page)"/>
        <w:docPartUnique/>
      </w:docPartObj>
    </w:sdtPr>
    <w:sdtContent>
      <w:p w14:paraId="0327ED97" w14:textId="77777777" w:rsidR="00D35A9F" w:rsidRDefault="00D35A9F" w:rsidP="000240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B15872B" w14:textId="77777777" w:rsidR="00BB0A89" w:rsidRDefault="00BB0A89" w:rsidP="00D35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E196" w14:textId="1480E17B" w:rsidR="00D35A9F" w:rsidRPr="00D35A9F" w:rsidRDefault="0096045B" w:rsidP="000240B2">
    <w:pPr>
      <w:pStyle w:val="Footer"/>
      <w:framePr w:wrap="none" w:vAnchor="text" w:hAnchor="margin" w:xAlign="right" w:y="1"/>
      <w:rPr>
        <w:rStyle w:val="PageNumber"/>
        <w:sz w:val="16"/>
        <w:szCs w:val="16"/>
      </w:rPr>
    </w:pPr>
    <w:r>
      <w:rPr>
        <w:noProof/>
        <w14:ligatures w14:val="standardContextual"/>
      </w:rPr>
      <mc:AlternateContent>
        <mc:Choice Requires="wps">
          <w:drawing>
            <wp:anchor distT="0" distB="0" distL="0" distR="0" simplePos="0" relativeHeight="251658246" behindDoc="0" locked="0" layoutInCell="1" allowOverlap="1" wp14:anchorId="2F56E9F3" wp14:editId="1952CE8A">
              <wp:simplePos x="7047230" y="10285095"/>
              <wp:positionH relativeFrom="page">
                <wp:align>center</wp:align>
              </wp:positionH>
              <wp:positionV relativeFrom="page">
                <wp:align>bottom</wp:align>
              </wp:positionV>
              <wp:extent cx="622300" cy="342900"/>
              <wp:effectExtent l="0" t="0" r="6350" b="0"/>
              <wp:wrapNone/>
              <wp:docPr id="6073460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56EFBC99" w14:textId="4623234E" w:rsidR="0096045B" w:rsidRPr="0096045B" w:rsidRDefault="0096045B" w:rsidP="0096045B">
                          <w:pPr>
                            <w:spacing w:after="0"/>
                            <w:rPr>
                              <w:rFonts w:ascii="Aptos" w:eastAsia="Aptos" w:hAnsi="Aptos" w:cs="Aptos"/>
                              <w:noProof/>
                              <w:color w:val="FF0000"/>
                              <w:sz w:val="24"/>
                              <w:szCs w:val="24"/>
                            </w:rPr>
                          </w:pPr>
                          <w:r w:rsidRPr="009604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6E9F3" id="_x0000_t202" coordsize="21600,21600" o:spt="202" path="m,l,21600r21600,l21600,xe">
              <v:stroke joinstyle="miter"/>
              <v:path gradientshapeok="t" o:connecttype="rect"/>
            </v:shapetype>
            <v:shape id="Text Box 6" o:spid="_x0000_s1028" type="#_x0000_t202" alt="OFFICIAL" style="position:absolute;margin-left:0;margin-top:0;width:49pt;height:27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ueDQIAABwEAAAOAAAAZHJzL2Uyb0RvYy54bWysU01v2zAMvQ/YfxB0X+y4W7EacYqsRYYB&#10;RVsgHXpWZCk2YIkCpcTOfv0oOU62bqdhF/mZpPjx+LS4HUzHDgp9C7bi81nOmbIS6tbuKv79Zf3h&#10;M2c+CFuLDqyq+FF5frt8/27Ru1IV0EBXK2SUxPqydxVvQnBllnnZKCP8DJyy5NSARgT6xV1Wo+gp&#10;u+myIs+vsx6wdghSeU/W+9HJlym/1kqGJ629CqyrOPUW0onp3MYzWy5EuUPhmlae2hD/0IURraWi&#10;51T3Igi2x/aPVKaVCB50mEkwGWjdSpVmoGnm+ZtpNo1wKs1C5Hh3psn/v7Ty8bBxz8jC8AUGWmAk&#10;pHe+9GSM8wwaTfxSp4z8ROHxTJsaApNkvC6Kq5w8klxXH4sbwpQlu1x26MNXBYZFUHGkrSSyxOHB&#10;hzF0Com1LKzbrkub6exvBsoZLdmlw4jCsB1YW1e8mLrfQn2koRDGfXsn1y2VfhA+PAukBVO3JNrw&#10;RIfuoK84nBBnDeCPv9ljPPFOXs56EkzFLSmas+6bpX1EbU0AJ7BNYH6Tf4r02L25A5LhnF6EkwmS&#10;FUM3QY1gXknOq1iIXMJKKlfx7QTvwqhceg5SrVYpiGTkRHiwGydj6khX5PJleBXoToQH2tQjTGoS&#10;5Rvex9h407vVPhD7aSmR2pHIE+MkwbTW03OJGv/1P0VdHvXyJwAAAP//AwBQSwMEFAAGAAgAAAAh&#10;AG0I3BrZAAAAAwEAAA8AAABkcnMvZG93bnJldi54bWxMj8FOwzAMhu9IvENkJG4sZQO0dU0nNInT&#10;ENI2LtyyxGsLjVM17ta9PYYLXCz9+q3Pn4vVGFp1wj41kQzcTzJQSC76hioD7/uXuzmoxJa8bSOh&#10;gQsmWJXXV4XNfTzTFk87rpRAKOXWQM3c5VonV2OwaRI7JOmOsQ+WJfaV9r09Czy0epplTzrYhuRC&#10;bTtc1+i+dkMw8Ljl1+GN9rOPcXr53HRrNztunDG3N+PzEhTjyH/L8KMv6lCK0yEO5JNqDcgj/Dul&#10;W8wlHYT7kIEuC/3fvfwGAAD//wMAUEsBAi0AFAAGAAgAAAAhALaDOJL+AAAA4QEAABMAAAAAAAAA&#10;AAAAAAAAAAAAAFtDb250ZW50X1R5cGVzXS54bWxQSwECLQAUAAYACAAAACEAOP0h/9YAAACUAQAA&#10;CwAAAAAAAAAAAAAAAAAvAQAAX3JlbHMvLnJlbHNQSwECLQAUAAYACAAAACEAA167ng0CAAAcBAAA&#10;DgAAAAAAAAAAAAAAAAAuAgAAZHJzL2Uyb0RvYy54bWxQSwECLQAUAAYACAAAACEAbQjcGtkAAAAD&#10;AQAADwAAAAAAAAAAAAAAAABnBAAAZHJzL2Rvd25yZXYueG1sUEsFBgAAAAAEAAQA8wAAAG0FAAAA&#10;AA==&#10;" filled="f" stroked="f">
              <v:textbox style="mso-fit-shape-to-text:t" inset="0,0,0,15pt">
                <w:txbxContent>
                  <w:p w14:paraId="56EFBC99" w14:textId="4623234E" w:rsidR="0096045B" w:rsidRPr="0096045B" w:rsidRDefault="0096045B" w:rsidP="0096045B">
                    <w:pPr>
                      <w:spacing w:after="0"/>
                      <w:rPr>
                        <w:rFonts w:ascii="Aptos" w:eastAsia="Aptos" w:hAnsi="Aptos" w:cs="Aptos"/>
                        <w:noProof/>
                        <w:color w:val="FF0000"/>
                        <w:sz w:val="24"/>
                        <w:szCs w:val="24"/>
                      </w:rPr>
                    </w:pPr>
                    <w:r w:rsidRPr="0096045B">
                      <w:rPr>
                        <w:rFonts w:ascii="Aptos" w:eastAsia="Aptos" w:hAnsi="Aptos" w:cs="Aptos"/>
                        <w:noProof/>
                        <w:color w:val="FF0000"/>
                        <w:sz w:val="24"/>
                        <w:szCs w:val="24"/>
                      </w:rPr>
                      <w:t>OFFICIAL</w:t>
                    </w:r>
                  </w:p>
                </w:txbxContent>
              </v:textbox>
              <w10:wrap anchorx="page" anchory="page"/>
            </v:shape>
          </w:pict>
        </mc:Fallback>
      </mc:AlternateContent>
    </w:r>
    <w:sdt>
      <w:sdtPr>
        <w:rPr>
          <w:rStyle w:val="PageNumber"/>
        </w:rPr>
        <w:id w:val="2062351646"/>
        <w:docPartObj>
          <w:docPartGallery w:val="Page Numbers (Bottom of Page)"/>
          <w:docPartUnique/>
        </w:docPartObj>
      </w:sdtPr>
      <w:sdtEndPr>
        <w:rPr>
          <w:rStyle w:val="PageNumber"/>
          <w:sz w:val="16"/>
          <w:szCs w:val="16"/>
        </w:rPr>
      </w:sdtEndPr>
      <w:sdtContent>
        <w:r w:rsidR="00D35A9F" w:rsidRPr="00D35A9F">
          <w:rPr>
            <w:rStyle w:val="PageNumber"/>
            <w:sz w:val="16"/>
            <w:szCs w:val="16"/>
          </w:rPr>
          <w:fldChar w:fldCharType="begin"/>
        </w:r>
        <w:r w:rsidR="00D35A9F" w:rsidRPr="00D35A9F">
          <w:rPr>
            <w:rStyle w:val="PageNumber"/>
            <w:sz w:val="16"/>
            <w:szCs w:val="16"/>
          </w:rPr>
          <w:instrText xml:space="preserve"> PAGE </w:instrText>
        </w:r>
        <w:r w:rsidR="00D35A9F" w:rsidRPr="00D35A9F">
          <w:rPr>
            <w:rStyle w:val="PageNumber"/>
            <w:sz w:val="16"/>
            <w:szCs w:val="16"/>
          </w:rPr>
          <w:fldChar w:fldCharType="separate"/>
        </w:r>
        <w:r w:rsidR="00D35A9F" w:rsidRPr="00D35A9F">
          <w:rPr>
            <w:rStyle w:val="PageNumber"/>
            <w:noProof/>
            <w:sz w:val="16"/>
            <w:szCs w:val="16"/>
          </w:rPr>
          <w:t>2</w:t>
        </w:r>
        <w:r w:rsidR="00D35A9F" w:rsidRPr="00D35A9F">
          <w:rPr>
            <w:rStyle w:val="PageNumber"/>
            <w:sz w:val="16"/>
            <w:szCs w:val="16"/>
          </w:rPr>
          <w:fldChar w:fldCharType="end"/>
        </w:r>
      </w:sdtContent>
    </w:sdt>
  </w:p>
  <w:p w14:paraId="6FC93F0E" w14:textId="5C31713B" w:rsidR="00BB0A89" w:rsidRPr="001E45AA" w:rsidRDefault="1DD74743" w:rsidP="001E45AA">
    <w:pPr>
      <w:pStyle w:val="Footer"/>
    </w:pPr>
    <w:r w:rsidRPr="001E45AA">
      <w:t>Supporting Living Organ Donors Program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36F9" w14:textId="3389DF15" w:rsidR="00D35A9F" w:rsidRPr="00D35A9F" w:rsidRDefault="0096045B" w:rsidP="000240B2">
    <w:pPr>
      <w:pStyle w:val="Footer"/>
      <w:framePr w:wrap="none" w:vAnchor="text" w:hAnchor="margin" w:xAlign="right" w:y="1"/>
      <w:rPr>
        <w:rStyle w:val="PageNumber"/>
        <w:sz w:val="14"/>
        <w:szCs w:val="14"/>
      </w:rPr>
    </w:pPr>
    <w:r>
      <w:rPr>
        <w:noProof/>
        <w14:ligatures w14:val="standardContextual"/>
      </w:rPr>
      <mc:AlternateContent>
        <mc:Choice Requires="wps">
          <w:drawing>
            <wp:anchor distT="0" distB="0" distL="0" distR="0" simplePos="0" relativeHeight="251658244" behindDoc="0" locked="0" layoutInCell="1" allowOverlap="1" wp14:anchorId="4B3FE77E" wp14:editId="6656B8C4">
              <wp:simplePos x="7056120" y="10287000"/>
              <wp:positionH relativeFrom="page">
                <wp:align>center</wp:align>
              </wp:positionH>
              <wp:positionV relativeFrom="page">
                <wp:align>bottom</wp:align>
              </wp:positionV>
              <wp:extent cx="622300" cy="342900"/>
              <wp:effectExtent l="0" t="0" r="6350" b="0"/>
              <wp:wrapNone/>
              <wp:docPr id="15833641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55F23F06" w14:textId="49689DB3" w:rsidR="0096045B" w:rsidRPr="0096045B" w:rsidRDefault="0096045B" w:rsidP="0096045B">
                          <w:pPr>
                            <w:spacing w:after="0"/>
                            <w:rPr>
                              <w:rFonts w:ascii="Aptos" w:eastAsia="Aptos" w:hAnsi="Aptos" w:cs="Aptos"/>
                              <w:noProof/>
                              <w:color w:val="FF0000"/>
                              <w:sz w:val="24"/>
                              <w:szCs w:val="24"/>
                            </w:rPr>
                          </w:pPr>
                          <w:r w:rsidRPr="0096045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3FE77E" id="_x0000_t202" coordsize="21600,21600" o:spt="202" path="m,l,21600r21600,l21600,xe">
              <v:stroke joinstyle="miter"/>
              <v:path gradientshapeok="t" o:connecttype="rect"/>
            </v:shapetype>
            <v:shape id="Text Box 4" o:spid="_x0000_s1029" type="#_x0000_t202" alt="OFFICIAL" style="position:absolute;margin-left:0;margin-top:0;width:49pt;height:27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mjDAIAABwEAAAOAAAAZHJzL2Uyb0RvYy54bWysU01v2zAMvQ/YfxB0X+ykW7EacYqsRYYB&#10;QVsgHXpWZDk2IIkCpcTOfv0oOU62rqdiF/mZpPjx+DS/7Y1mB4W+BVvy6STnTFkJVWt3Jf/5vPr0&#10;lTMfhK2EBqtKflSe3y4+fph3rlAzaEBXChklsb7oXMmbEFyRZV42ygg/AacsOWtAIwL94i6rUHSU&#10;3ehslufXWQdYOQSpvCfr/eDki5S/rpUMj3XtVWC65NRbSCemcxvPbDEXxQ6Fa1p5akO8owsjWktF&#10;z6nuRRBsj+0/qUwrETzUYSLBZFDXrVRpBppmmr+aZtMIp9IsRI53Z5r8/0srHw4b94Qs9N+gpwVG&#10;QjrnC0/GOE9fo4lf6pSRnyg8nmlTfWCSjNez2VVOHkmuq8+zG8KUJbtcdujDdwWGRVBypK0kssRh&#10;7cMQOobEWhZWrdZpM9r+ZaCc0ZJdOowo9NuetRUVH7vfQnWkoRCGfXsnVy2VXgsfngTSgqlbEm14&#10;pKPW0JUcToizBvDXW/YYT7yTl7OOBFNyS4rmTP+wtI+orRHgCLYJTG/yL5Eeuzd3QDKc0otwMkGy&#10;YtAjrBHMC8l5GQuRS1hJ5Uq+HeFdGJRLz0Gq5TIFkYycCGu7cTKmjnRFLp/7F4HuRHigTT3AqCZR&#10;vOJ9iI03vVvuA7GflhKpHYg8MU4STGs9PZeo8T//U9TlUS9+AwAA//8DAFBLAwQUAAYACAAAACEA&#10;bQjcGtkAAAADAQAADwAAAGRycy9kb3ducmV2LnhtbEyPwU7DMAyG70i8Q2QkbixlA7R1TSc0idMQ&#10;0jYu3LLEawuNUzXu1r09hgtcLP36rc+fi9UYWnXCPjWRDNxPMlBILvqGKgPv+5e7OajElrxtI6GB&#10;CyZYlddXhc19PNMWTzuulEAo5dZAzdzlWidXY7BpEjsk6Y6xD5Yl9pX2vT0LPLR6mmVPOtiG5EJt&#10;O1zX6L52QzDwuOXX4Y32s49xevncdGs3O26cMbc34/MSFOPIf8vwoy/qUIrTIQ7kk2oNyCP8O6Vb&#10;zCUdhPuQgS4L/d+9/AYAAP//AwBQSwECLQAUAAYACAAAACEAtoM4kv4AAADhAQAAEwAAAAAAAAAA&#10;AAAAAAAAAAAAW0NvbnRlbnRfVHlwZXNdLnhtbFBLAQItABQABgAIAAAAIQA4/SH/1gAAAJQBAAAL&#10;AAAAAAAAAAAAAAAAAC8BAABfcmVscy8ucmVsc1BLAQItABQABgAIAAAAIQBu4QmjDAIAABwEAAAO&#10;AAAAAAAAAAAAAAAAAC4CAABkcnMvZTJvRG9jLnhtbFBLAQItABQABgAIAAAAIQBtCNwa2QAAAAMB&#10;AAAPAAAAAAAAAAAAAAAAAGYEAABkcnMvZG93bnJldi54bWxQSwUGAAAAAAQABADzAAAAbAUAAAAA&#10;" filled="f" stroked="f">
              <v:textbox style="mso-fit-shape-to-text:t" inset="0,0,0,15pt">
                <w:txbxContent>
                  <w:p w14:paraId="55F23F06" w14:textId="49689DB3" w:rsidR="0096045B" w:rsidRPr="0096045B" w:rsidRDefault="0096045B" w:rsidP="0096045B">
                    <w:pPr>
                      <w:spacing w:after="0"/>
                      <w:rPr>
                        <w:rFonts w:ascii="Aptos" w:eastAsia="Aptos" w:hAnsi="Aptos" w:cs="Aptos"/>
                        <w:noProof/>
                        <w:color w:val="FF0000"/>
                        <w:sz w:val="24"/>
                        <w:szCs w:val="24"/>
                      </w:rPr>
                    </w:pPr>
                    <w:r w:rsidRPr="0096045B">
                      <w:rPr>
                        <w:rFonts w:ascii="Aptos" w:eastAsia="Aptos" w:hAnsi="Aptos" w:cs="Aptos"/>
                        <w:noProof/>
                        <w:color w:val="FF0000"/>
                        <w:sz w:val="24"/>
                        <w:szCs w:val="24"/>
                      </w:rPr>
                      <w:t>OFFICIAL</w:t>
                    </w:r>
                  </w:p>
                </w:txbxContent>
              </v:textbox>
              <w10:wrap anchorx="page" anchory="page"/>
            </v:shape>
          </w:pict>
        </mc:Fallback>
      </mc:AlternateContent>
    </w:r>
    <w:sdt>
      <w:sdtPr>
        <w:rPr>
          <w:rStyle w:val="PageNumber"/>
        </w:rPr>
        <w:id w:val="-1753195321"/>
        <w:docPartObj>
          <w:docPartGallery w:val="Page Numbers (Bottom of Page)"/>
          <w:docPartUnique/>
        </w:docPartObj>
      </w:sdtPr>
      <w:sdtEndPr>
        <w:rPr>
          <w:rStyle w:val="PageNumber"/>
          <w:sz w:val="14"/>
          <w:szCs w:val="14"/>
        </w:rPr>
      </w:sdtEndPr>
      <w:sdtContent>
        <w:r w:rsidR="00D35A9F" w:rsidRPr="00D35A9F">
          <w:rPr>
            <w:rStyle w:val="PageNumber"/>
            <w:sz w:val="14"/>
            <w:szCs w:val="14"/>
          </w:rPr>
          <w:fldChar w:fldCharType="begin"/>
        </w:r>
        <w:r w:rsidR="00D35A9F" w:rsidRPr="00D35A9F">
          <w:rPr>
            <w:rStyle w:val="PageNumber"/>
            <w:sz w:val="14"/>
            <w:szCs w:val="14"/>
          </w:rPr>
          <w:instrText xml:space="preserve"> PAGE </w:instrText>
        </w:r>
        <w:r w:rsidR="00D35A9F" w:rsidRPr="00D35A9F">
          <w:rPr>
            <w:rStyle w:val="PageNumber"/>
            <w:sz w:val="14"/>
            <w:szCs w:val="14"/>
          </w:rPr>
          <w:fldChar w:fldCharType="separate"/>
        </w:r>
        <w:r w:rsidR="00D35A9F" w:rsidRPr="00D35A9F">
          <w:rPr>
            <w:rStyle w:val="PageNumber"/>
            <w:noProof/>
            <w:sz w:val="14"/>
            <w:szCs w:val="14"/>
          </w:rPr>
          <w:t>1</w:t>
        </w:r>
        <w:r w:rsidR="00D35A9F" w:rsidRPr="00D35A9F">
          <w:rPr>
            <w:rStyle w:val="PageNumber"/>
            <w:sz w:val="14"/>
            <w:szCs w:val="14"/>
          </w:rPr>
          <w:fldChar w:fldCharType="end"/>
        </w:r>
      </w:sdtContent>
    </w:sdt>
  </w:p>
  <w:p w14:paraId="2C4F0683" w14:textId="0BCC5EC9" w:rsidR="00BB0A89" w:rsidRPr="001E45AA" w:rsidRDefault="1DD74743" w:rsidP="001E45AA">
    <w:pPr>
      <w:pStyle w:val="Footer"/>
    </w:pPr>
    <w:r w:rsidRPr="1DD74743">
      <w:t>Supporting Living Organ Donors Program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3838" w14:textId="77777777" w:rsidR="00005F8F" w:rsidRDefault="00005F8F" w:rsidP="00BB0A89">
      <w:pPr>
        <w:spacing w:after="0" w:line="240" w:lineRule="auto"/>
      </w:pPr>
      <w:r>
        <w:separator/>
      </w:r>
    </w:p>
  </w:footnote>
  <w:footnote w:type="continuationSeparator" w:id="0">
    <w:p w14:paraId="2C83F945" w14:textId="77777777" w:rsidR="00005F8F" w:rsidRDefault="00005F8F" w:rsidP="00BB0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96C8" w14:textId="6789E1F0" w:rsidR="0096045B" w:rsidRDefault="0096045B">
    <w:pPr>
      <w:pStyle w:val="Header"/>
    </w:pPr>
    <w:r>
      <w:rPr>
        <w:noProof/>
        <w14:ligatures w14:val="standardContextual"/>
      </w:rPr>
      <mc:AlternateContent>
        <mc:Choice Requires="wps">
          <w:drawing>
            <wp:anchor distT="0" distB="0" distL="0" distR="0" simplePos="0" relativeHeight="251658242" behindDoc="0" locked="0" layoutInCell="1" allowOverlap="1" wp14:anchorId="2FADB225" wp14:editId="0325729E">
              <wp:simplePos x="635" y="635"/>
              <wp:positionH relativeFrom="page">
                <wp:align>center</wp:align>
              </wp:positionH>
              <wp:positionV relativeFrom="page">
                <wp:align>top</wp:align>
              </wp:positionV>
              <wp:extent cx="622300" cy="342900"/>
              <wp:effectExtent l="0" t="0" r="6350" b="0"/>
              <wp:wrapNone/>
              <wp:docPr id="15312776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42900"/>
                      </a:xfrm>
                      <a:prstGeom prst="rect">
                        <a:avLst/>
                      </a:prstGeom>
                      <a:noFill/>
                      <a:ln>
                        <a:noFill/>
                      </a:ln>
                    </wps:spPr>
                    <wps:txbx>
                      <w:txbxContent>
                        <w:p w14:paraId="74FA7B78" w14:textId="485F9345" w:rsidR="0096045B" w:rsidRPr="0096045B" w:rsidRDefault="0096045B" w:rsidP="0096045B">
                          <w:pPr>
                            <w:spacing w:after="0"/>
                            <w:rPr>
                              <w:rFonts w:ascii="Aptos" w:eastAsia="Aptos" w:hAnsi="Aptos" w:cs="Aptos"/>
                              <w:noProof/>
                              <w:color w:val="FF0000"/>
                              <w:sz w:val="24"/>
                              <w:szCs w:val="24"/>
                            </w:rPr>
                          </w:pPr>
                          <w:r w:rsidRPr="0096045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ADB225" id="_x0000_t202" coordsize="21600,21600" o:spt="202" path="m,l,21600r21600,l21600,xe">
              <v:stroke joinstyle="miter"/>
              <v:path gradientshapeok="t" o:connecttype="rect"/>
            </v:shapetype>
            <v:shape id="Text Box 2" o:spid="_x0000_s1026" type="#_x0000_t202" alt="OFFICIAL" style="position:absolute;margin-left:0;margin-top:0;width:49pt;height:27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XNCAIAABUEAAAOAAAAZHJzL2Uyb0RvYy54bWysU8Fu2zAMvQ/YPwi6L3bSrViNOEXWIsOA&#10;oi2QDj0rshQbkEVBYmJnXz9KtpOt22nYRaZJ6pF8fFre9q1hR+VDA7bk81nOmbISqsbuS/79ZfPh&#10;M2cBha2EAatKflKB367ev1t2rlALqMFUyjMCsaHoXMlrRFdkWZC1akWYgVOWghp8K5B+/T6rvOgI&#10;vTXZIs+vsw585TxIFQJ574cgXyV8rZXEJ62DQmZKTr1hOn06d/HMVktR7L1wdSPHNsQ/dNGKxlLR&#10;M9S9QMEOvvkDqm2khwAaZxLaDLRupEoz0DTz/M0021o4lWYhcoI70xT+H6x8PG7ds2fYf4GeFhgJ&#10;6VwoAjnjPL32bfxSp4ziROHpTJvqkUlyXi8WVzlFJIWuPi5uyCaU7HLZ+YBfFbQsGiX3tJVEljg+&#10;BBxSp5RYy8KmMSZtxtjfHIQZPdmlw2hhv+vHtndQnWgaD8Oig5Obhmo+iIDPwtNmqU1SKz7RoQ10&#10;JYfR4qwG/+Nv/phPhFOUs46UUnJLUubMfLO0iCiqZMxv8k+RBT+5d5NhD+0dkP7m9BScTGbMQzOZ&#10;2kP7Sjpex0IUElZSuZLjZN7hIFl6B1Kt1ymJ9OMEPtitkxE68hRJfOlfhXcj00greoRJRqJ4Q/iQ&#10;G28Gtz4g0Z62ETkdiBypJu2lfY7vJIr71/+UdXnNq58AAAD//wMAUEsDBBQABgAIAAAAIQCO+wCl&#10;2QAAAAMBAAAPAAAAZHJzL2Rvd25yZXYueG1sTI9BT8JAEIXvJPyHzZh4k22NNVi7JYSEAzdE9Lx0&#10;x7banW26A1R+vaMXubzk5U3e+6ZYjL5TJxxiG8hAOktAIVXBtVQb2L+u7+agIltytguEBr4xwqKc&#10;Tgqbu3CmFzztuFZSQjG3BhrmPtc6Vg16G2ehR5LsIwzestih1m6wZyn3nb5PkkftbUuy0NgeVw1W&#10;X7ujN9Bmy8Apvm3Wn+8+Dellu8kuW2Nub8blMyjGkf+P4Rdf0KEUpkM4kouqMyCP8J9K9jQXdzCQ&#10;PSSgy0Jfs5c/AAAA//8DAFBLAQItABQABgAIAAAAIQC2gziS/gAAAOEBAAATAAAAAAAAAAAAAAAA&#10;AAAAAABbQ29udGVudF9UeXBlc10ueG1sUEsBAi0AFAAGAAgAAAAhADj9If/WAAAAlAEAAAsAAAAA&#10;AAAAAAAAAAAALwEAAF9yZWxzLy5yZWxzUEsBAi0AFAAGAAgAAAAhAEJ1Rc0IAgAAFQQAAA4AAAAA&#10;AAAAAAAAAAAALgIAAGRycy9lMm9Eb2MueG1sUEsBAi0AFAAGAAgAAAAhAI77AKXZAAAAAwEAAA8A&#10;AAAAAAAAAAAAAAAAYgQAAGRycy9kb3ducmV2LnhtbFBLBQYAAAAABAAEAPMAAABoBQAAAAA=&#10;" filled="f" stroked="f">
              <v:textbox style="mso-fit-shape-to-text:t" inset="0,15pt,0,0">
                <w:txbxContent>
                  <w:p w14:paraId="74FA7B78" w14:textId="485F9345" w:rsidR="0096045B" w:rsidRPr="0096045B" w:rsidRDefault="0096045B" w:rsidP="0096045B">
                    <w:pPr>
                      <w:spacing w:after="0"/>
                      <w:rPr>
                        <w:rFonts w:ascii="Aptos" w:eastAsia="Aptos" w:hAnsi="Aptos" w:cs="Aptos"/>
                        <w:noProof/>
                        <w:color w:val="FF0000"/>
                        <w:sz w:val="24"/>
                        <w:szCs w:val="24"/>
                      </w:rPr>
                    </w:pPr>
                    <w:r w:rsidRPr="0096045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DB2C" w14:textId="3967D758" w:rsidR="00BB0A89" w:rsidRDefault="001D52B2">
    <w:pPr>
      <w:pStyle w:val="Header"/>
    </w:pPr>
    <w:r>
      <w:rPr>
        <w:noProof/>
        <w14:ligatures w14:val="standardContextual"/>
      </w:rPr>
      <w:drawing>
        <wp:inline distT="0" distB="0" distL="0" distR="0" wp14:anchorId="5FBD24BB" wp14:editId="76370AFF">
          <wp:extent cx="3279600" cy="543600"/>
          <wp:effectExtent l="0" t="0" r="0" b="8890"/>
          <wp:docPr id="502748570" name="Picture 3" descr="Logo featuring Australian Government emblem on left and Supporting Living Organ Donors Program text with abstract human figures in orange and blue on right. Design represents official support initiative for living organ don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48570" name="Picture 3" descr="Logo featuring Australian Government emblem on left and Supporting Living Organ Donors Program text with abstract human figures in orange and blue on right. Design represents official support initiative for living organ donors."/>
                  <pic:cNvPicPr/>
                </pic:nvPicPr>
                <pic:blipFill>
                  <a:blip r:embed="rId1">
                    <a:extLst>
                      <a:ext uri="{28A0092B-C50C-407E-A947-70E740481C1C}">
                        <a14:useLocalDpi xmlns:a14="http://schemas.microsoft.com/office/drawing/2010/main" val="0"/>
                      </a:ext>
                    </a:extLst>
                  </a:blip>
                  <a:stretch>
                    <a:fillRect/>
                  </a:stretch>
                </pic:blipFill>
                <pic:spPr>
                  <a:xfrm>
                    <a:off x="0" y="0"/>
                    <a:ext cx="3279600" cy="543600"/>
                  </a:xfrm>
                  <a:prstGeom prst="rect">
                    <a:avLst/>
                  </a:prstGeom>
                </pic:spPr>
              </pic:pic>
            </a:graphicData>
          </a:graphic>
        </wp:inline>
      </w:drawing>
    </w:r>
    <w:r w:rsidR="00BB0A89">
      <w:rPr>
        <w:noProof/>
        <w14:ligatures w14:val="standardContextual"/>
      </w:rPr>
      <w:drawing>
        <wp:anchor distT="0" distB="0" distL="114300" distR="114300" simplePos="0" relativeHeight="251658240" behindDoc="1" locked="0" layoutInCell="1" allowOverlap="0" wp14:anchorId="5868A2C0" wp14:editId="4CB36A93">
          <wp:simplePos x="0" y="0"/>
          <wp:positionH relativeFrom="page">
            <wp:posOffset>540385</wp:posOffset>
          </wp:positionH>
          <wp:positionV relativeFrom="page">
            <wp:posOffset>540385</wp:posOffset>
          </wp:positionV>
          <wp:extent cx="3279600" cy="543600"/>
          <wp:effectExtent l="0" t="0" r="0" b="2540"/>
          <wp:wrapNone/>
          <wp:docPr id="1568927437" name="Picture 3" descr="Logo featuring Australian Government emblem alongside Supporting Living Organ Donors Program text and icon with two stylised human figures in orange and blue. Design represents official government initiative supporting organ donation and donor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48570" name="Picture 3" descr="Logo featuring Australian Government emblem alongside Supporting Living Organ Donors Program text and icon with two stylised human figures in orange and blue. Design represents official government initiative supporting organ donation and donor care."/>
                  <pic:cNvPicPr/>
                </pic:nvPicPr>
                <pic:blipFill>
                  <a:blip r:embed="rId1">
                    <a:extLst>
                      <a:ext uri="{28A0092B-C50C-407E-A947-70E740481C1C}">
                        <a14:useLocalDpi xmlns:a14="http://schemas.microsoft.com/office/drawing/2010/main" val="0"/>
                      </a:ext>
                    </a:extLst>
                  </a:blip>
                  <a:stretch>
                    <a:fillRect/>
                  </a:stretch>
                </pic:blipFill>
                <pic:spPr>
                  <a:xfrm>
                    <a:off x="0" y="0"/>
                    <a:ext cx="3279600" cy="54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E29C72"/>
    <w:lvl w:ilvl="0">
      <w:start w:val="1"/>
      <w:numFmt w:val="lowerRoman"/>
      <w:pStyle w:val="ListNumber4"/>
      <w:lvlText w:val="%1."/>
      <w:lvlJc w:val="left"/>
      <w:pPr>
        <w:ind w:left="1492" w:hanging="360"/>
      </w:pPr>
      <w:rPr>
        <w:rFonts w:hint="default"/>
        <w:b w:val="0"/>
        <w:i w:val="0"/>
        <w:sz w:val="20"/>
      </w:rPr>
    </w:lvl>
  </w:abstractNum>
  <w:abstractNum w:abstractNumId="1" w15:restartNumberingAfterBreak="0">
    <w:nsid w:val="FFFFFF7D"/>
    <w:multiLevelType w:val="singleLevel"/>
    <w:tmpl w:val="9A183AF2"/>
    <w:lvl w:ilvl="0">
      <w:start w:val="1"/>
      <w:numFmt w:val="lowerLetter"/>
      <w:lvlText w:val="%1."/>
      <w:lvlJc w:val="left"/>
      <w:pPr>
        <w:ind w:left="644" w:hanging="360"/>
      </w:pPr>
      <w:rPr>
        <w:rFonts w:hint="default"/>
        <w:b/>
        <w:i w:val="0"/>
        <w:sz w:val="20"/>
      </w:rPr>
    </w:lvl>
  </w:abstractNum>
  <w:abstractNum w:abstractNumId="2" w15:restartNumberingAfterBreak="0">
    <w:nsid w:val="FFFFFF7E"/>
    <w:multiLevelType w:val="singleLevel"/>
    <w:tmpl w:val="9F260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5E41F6"/>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C338EBA6"/>
    <w:lvl w:ilvl="0">
      <w:start w:val="1"/>
      <w:numFmt w:val="bullet"/>
      <w:pStyle w:val="ListBullet2"/>
      <w:lvlText w:val="­"/>
      <w:lvlJc w:val="left"/>
      <w:pPr>
        <w:ind w:left="643" w:hanging="360"/>
      </w:pPr>
      <w:rPr>
        <w:rFonts w:ascii="Arial" w:hAnsi="Arial" w:hint="default"/>
      </w:rPr>
    </w:lvl>
  </w:abstractNum>
  <w:abstractNum w:abstractNumId="5" w15:restartNumberingAfterBreak="0">
    <w:nsid w:val="FFFFFF88"/>
    <w:multiLevelType w:val="singleLevel"/>
    <w:tmpl w:val="1EE8FD0C"/>
    <w:lvl w:ilvl="0">
      <w:start w:val="1"/>
      <w:numFmt w:val="lowerLetter"/>
      <w:lvlText w:val="%1."/>
      <w:lvlJc w:val="left"/>
      <w:pPr>
        <w:ind w:left="360" w:hanging="360"/>
      </w:pPr>
      <w:rPr>
        <w:rFonts w:hint="default"/>
        <w:b/>
        <w:i w:val="0"/>
        <w:sz w:val="20"/>
      </w:rPr>
    </w:lvl>
  </w:abstractNum>
  <w:abstractNum w:abstractNumId="6" w15:restartNumberingAfterBreak="0">
    <w:nsid w:val="FFFFFF89"/>
    <w:multiLevelType w:val="singleLevel"/>
    <w:tmpl w:val="C750E7C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C55771"/>
    <w:multiLevelType w:val="hybridMultilevel"/>
    <w:tmpl w:val="285CA2CE"/>
    <w:lvl w:ilvl="0" w:tplc="4FAAC2C2">
      <w:start w:val="6"/>
      <w:numFmt w:val="bullet"/>
      <w:lvlText w:val="•"/>
      <w:lvlJc w:val="left"/>
      <w:pPr>
        <w:ind w:left="720" w:hanging="360"/>
      </w:pPr>
      <w:rPr>
        <w:rFonts w:ascii="Arial" w:eastAsia="Myriad Pr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B5CA7"/>
    <w:multiLevelType w:val="hybridMultilevel"/>
    <w:tmpl w:val="98F6A8D8"/>
    <w:lvl w:ilvl="0" w:tplc="FD16DBE8">
      <w:start w:val="1"/>
      <w:numFmt w:val="lowerLetter"/>
      <w:lvlText w:val="%1)"/>
      <w:lvlJc w:val="left"/>
      <w:pPr>
        <w:ind w:left="2160" w:hanging="360"/>
      </w:pPr>
    </w:lvl>
    <w:lvl w:ilvl="1" w:tplc="F32800D0">
      <w:start w:val="1"/>
      <w:numFmt w:val="lowerLetter"/>
      <w:lvlText w:val="%2)"/>
      <w:lvlJc w:val="left"/>
      <w:pPr>
        <w:ind w:left="2160" w:hanging="360"/>
      </w:pPr>
    </w:lvl>
    <w:lvl w:ilvl="2" w:tplc="7DC8061C">
      <w:start w:val="1"/>
      <w:numFmt w:val="lowerLetter"/>
      <w:lvlText w:val="%3)"/>
      <w:lvlJc w:val="left"/>
      <w:pPr>
        <w:ind w:left="2160" w:hanging="360"/>
      </w:pPr>
    </w:lvl>
    <w:lvl w:ilvl="3" w:tplc="AB3CAA3E">
      <w:start w:val="1"/>
      <w:numFmt w:val="lowerLetter"/>
      <w:lvlText w:val="%4)"/>
      <w:lvlJc w:val="left"/>
      <w:pPr>
        <w:ind w:left="2160" w:hanging="360"/>
      </w:pPr>
    </w:lvl>
    <w:lvl w:ilvl="4" w:tplc="B9BA85CE">
      <w:start w:val="1"/>
      <w:numFmt w:val="lowerLetter"/>
      <w:lvlText w:val="%5)"/>
      <w:lvlJc w:val="left"/>
      <w:pPr>
        <w:ind w:left="2160" w:hanging="360"/>
      </w:pPr>
    </w:lvl>
    <w:lvl w:ilvl="5" w:tplc="94A860EC">
      <w:start w:val="1"/>
      <w:numFmt w:val="lowerLetter"/>
      <w:lvlText w:val="%6)"/>
      <w:lvlJc w:val="left"/>
      <w:pPr>
        <w:ind w:left="2160" w:hanging="360"/>
      </w:pPr>
    </w:lvl>
    <w:lvl w:ilvl="6" w:tplc="AC48D4EA">
      <w:start w:val="1"/>
      <w:numFmt w:val="lowerLetter"/>
      <w:lvlText w:val="%7)"/>
      <w:lvlJc w:val="left"/>
      <w:pPr>
        <w:ind w:left="2160" w:hanging="360"/>
      </w:pPr>
    </w:lvl>
    <w:lvl w:ilvl="7" w:tplc="923EE434">
      <w:start w:val="1"/>
      <w:numFmt w:val="lowerLetter"/>
      <w:lvlText w:val="%8)"/>
      <w:lvlJc w:val="left"/>
      <w:pPr>
        <w:ind w:left="2160" w:hanging="360"/>
      </w:pPr>
    </w:lvl>
    <w:lvl w:ilvl="8" w:tplc="5DF4CAC6">
      <w:start w:val="1"/>
      <w:numFmt w:val="lowerLetter"/>
      <w:lvlText w:val="%9)"/>
      <w:lvlJc w:val="left"/>
      <w:pPr>
        <w:ind w:left="2160" w:hanging="360"/>
      </w:pPr>
    </w:lvl>
  </w:abstractNum>
  <w:abstractNum w:abstractNumId="9" w15:restartNumberingAfterBreak="0">
    <w:nsid w:val="255F5B84"/>
    <w:multiLevelType w:val="hybridMultilevel"/>
    <w:tmpl w:val="E9560BAC"/>
    <w:lvl w:ilvl="0" w:tplc="CEBCA77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91C0B"/>
    <w:multiLevelType w:val="hybridMultilevel"/>
    <w:tmpl w:val="F50A091A"/>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2C3F1E75"/>
    <w:multiLevelType w:val="multilevel"/>
    <w:tmpl w:val="58169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2273A0C"/>
    <w:multiLevelType w:val="multilevel"/>
    <w:tmpl w:val="BD029F1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997E56"/>
    <w:multiLevelType w:val="multilevel"/>
    <w:tmpl w:val="09F42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763069B"/>
    <w:multiLevelType w:val="hybridMultilevel"/>
    <w:tmpl w:val="31AC2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404DF1"/>
    <w:multiLevelType w:val="hybridMultilevel"/>
    <w:tmpl w:val="13040848"/>
    <w:lvl w:ilvl="0" w:tplc="2A6013A2">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345337"/>
    <w:multiLevelType w:val="hybridMultilevel"/>
    <w:tmpl w:val="7A266674"/>
    <w:lvl w:ilvl="0" w:tplc="0C09001B">
      <w:start w:val="1"/>
      <w:numFmt w:val="lowerRoman"/>
      <w:lvlText w:val="%1."/>
      <w:lvlJc w:val="righ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7" w15:restartNumberingAfterBreak="0">
    <w:nsid w:val="5FD77856"/>
    <w:multiLevelType w:val="hybridMultilevel"/>
    <w:tmpl w:val="6DEC4DD0"/>
    <w:lvl w:ilvl="0" w:tplc="7AE8B4C6">
      <w:start w:val="1"/>
      <w:numFmt w:val="bullet"/>
      <w:lvlText w:val=" "/>
      <w:lvlJc w:val="left"/>
      <w:pPr>
        <w:tabs>
          <w:tab w:val="num" w:pos="284"/>
        </w:tabs>
        <w:ind w:left="284" w:hanging="284"/>
      </w:pPr>
      <w:rPr>
        <w:rFonts w:ascii="Arial Bold" w:hAnsi="Arial Bold" w:hint="default"/>
        <w:b/>
        <w:i w:val="0"/>
        <w:color w:val="06A7E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912EA"/>
    <w:multiLevelType w:val="hybridMultilevel"/>
    <w:tmpl w:val="8FF8ABCC"/>
    <w:lvl w:ilvl="0" w:tplc="0C090001">
      <w:start w:val="1"/>
      <w:numFmt w:val="bullet"/>
      <w:lvlText w:val=""/>
      <w:lvlJc w:val="left"/>
      <w:pPr>
        <w:ind w:left="587" w:hanging="360"/>
      </w:pPr>
      <w:rPr>
        <w:rFonts w:ascii="Symbol" w:hAnsi="Symbol" w:hint="default"/>
      </w:rPr>
    </w:lvl>
    <w:lvl w:ilvl="1" w:tplc="0C090003">
      <w:start w:val="1"/>
      <w:numFmt w:val="bullet"/>
      <w:lvlText w:val="o"/>
      <w:lvlJc w:val="left"/>
      <w:pPr>
        <w:ind w:left="1307" w:hanging="360"/>
      </w:pPr>
      <w:rPr>
        <w:rFonts w:ascii="Courier New" w:hAnsi="Courier New" w:cs="Courier New" w:hint="default"/>
      </w:rPr>
    </w:lvl>
    <w:lvl w:ilvl="2" w:tplc="0C090005">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9" w15:restartNumberingAfterBreak="0">
    <w:nsid w:val="6A157252"/>
    <w:multiLevelType w:val="hybridMultilevel"/>
    <w:tmpl w:val="2398E31A"/>
    <w:lvl w:ilvl="0" w:tplc="FC54ACDE">
      <w:start w:val="1"/>
      <w:numFmt w:val="lowerLetter"/>
      <w:pStyle w:val="ListNumber3"/>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733A41FD"/>
    <w:multiLevelType w:val="hybridMultilevel"/>
    <w:tmpl w:val="DFBE3302"/>
    <w:lvl w:ilvl="0" w:tplc="26CA63BC">
      <w:start w:val="1"/>
      <w:numFmt w:val="lowerLetter"/>
      <w:pStyle w:val="ListNumber2"/>
      <w:lvlText w:val="%1."/>
      <w:lvlJc w:val="left"/>
      <w:pPr>
        <w:ind w:left="720" w:hanging="360"/>
      </w:pPr>
      <w:rPr>
        <w:rFonts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D635D8"/>
    <w:multiLevelType w:val="hybridMultilevel"/>
    <w:tmpl w:val="D75094EA"/>
    <w:lvl w:ilvl="0" w:tplc="8EF8307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F01B98"/>
    <w:multiLevelType w:val="multilevel"/>
    <w:tmpl w:val="90F4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D320C"/>
    <w:multiLevelType w:val="hybridMultilevel"/>
    <w:tmpl w:val="AD94A3BC"/>
    <w:lvl w:ilvl="0" w:tplc="BBF656FA">
      <w:start w:val="8"/>
      <w:numFmt w:val="bullet"/>
      <w:lvlText w:val="•"/>
      <w:lvlJc w:val="left"/>
      <w:pPr>
        <w:ind w:left="720" w:hanging="360"/>
      </w:pPr>
      <w:rPr>
        <w:rFonts w:ascii="Arial" w:eastAsia="Myriad Pro" w:hAnsi="Arial" w:cs="Arial" w:hint="default"/>
      </w:rPr>
    </w:lvl>
    <w:lvl w:ilvl="1" w:tplc="0C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554870">
    <w:abstractNumId w:val="17"/>
  </w:num>
  <w:num w:numId="2" w16cid:durableId="2048681917">
    <w:abstractNumId w:val="17"/>
  </w:num>
  <w:num w:numId="3" w16cid:durableId="1472936997">
    <w:abstractNumId w:val="17"/>
  </w:num>
  <w:num w:numId="4" w16cid:durableId="90204691">
    <w:abstractNumId w:val="9"/>
  </w:num>
  <w:num w:numId="5" w16cid:durableId="1990867487">
    <w:abstractNumId w:val="9"/>
  </w:num>
  <w:num w:numId="6" w16cid:durableId="491261733">
    <w:abstractNumId w:val="7"/>
  </w:num>
  <w:num w:numId="7" w16cid:durableId="651250781">
    <w:abstractNumId w:val="23"/>
  </w:num>
  <w:num w:numId="8" w16cid:durableId="1205561620">
    <w:abstractNumId w:val="8"/>
  </w:num>
  <w:num w:numId="9" w16cid:durableId="851191044">
    <w:abstractNumId w:val="14"/>
  </w:num>
  <w:num w:numId="10" w16cid:durableId="716003658">
    <w:abstractNumId w:val="10"/>
  </w:num>
  <w:num w:numId="11" w16cid:durableId="2033602630">
    <w:abstractNumId w:val="18"/>
  </w:num>
  <w:num w:numId="12" w16cid:durableId="2081901256">
    <w:abstractNumId w:val="13"/>
  </w:num>
  <w:num w:numId="13" w16cid:durableId="614403805">
    <w:abstractNumId w:val="11"/>
  </w:num>
  <w:num w:numId="14" w16cid:durableId="761149548">
    <w:abstractNumId w:val="19"/>
  </w:num>
  <w:num w:numId="15" w16cid:durableId="1329940085">
    <w:abstractNumId w:val="22"/>
  </w:num>
  <w:num w:numId="16" w16cid:durableId="936668355">
    <w:abstractNumId w:val="16"/>
  </w:num>
  <w:num w:numId="17" w16cid:durableId="1807091019">
    <w:abstractNumId w:val="12"/>
  </w:num>
  <w:num w:numId="18" w16cid:durableId="2131968553">
    <w:abstractNumId w:val="6"/>
  </w:num>
  <w:num w:numId="19" w16cid:durableId="578097776">
    <w:abstractNumId w:val="3"/>
  </w:num>
  <w:num w:numId="20" w16cid:durableId="536283122">
    <w:abstractNumId w:val="20"/>
  </w:num>
  <w:num w:numId="21" w16cid:durableId="1509755992">
    <w:abstractNumId w:val="4"/>
  </w:num>
  <w:num w:numId="22" w16cid:durableId="1116945657">
    <w:abstractNumId w:val="2"/>
  </w:num>
  <w:num w:numId="23" w16cid:durableId="730732005">
    <w:abstractNumId w:val="19"/>
    <w:lvlOverride w:ilvl="0">
      <w:startOverride w:val="1"/>
    </w:lvlOverride>
  </w:num>
  <w:num w:numId="24" w16cid:durableId="1985239145">
    <w:abstractNumId w:val="19"/>
    <w:lvlOverride w:ilvl="0">
      <w:startOverride w:val="1"/>
    </w:lvlOverride>
  </w:num>
  <w:num w:numId="25" w16cid:durableId="1697808344">
    <w:abstractNumId w:val="1"/>
  </w:num>
  <w:num w:numId="26" w16cid:durableId="209535014">
    <w:abstractNumId w:val="0"/>
  </w:num>
  <w:num w:numId="27" w16cid:durableId="1311397828">
    <w:abstractNumId w:val="5"/>
  </w:num>
  <w:num w:numId="28" w16cid:durableId="1456947583">
    <w:abstractNumId w:val="21"/>
  </w:num>
  <w:num w:numId="29" w16cid:durableId="252519350">
    <w:abstractNumId w:val="20"/>
    <w:lvlOverride w:ilvl="0">
      <w:startOverride w:val="1"/>
    </w:lvlOverride>
  </w:num>
  <w:num w:numId="30" w16cid:durableId="672531943">
    <w:abstractNumId w:val="19"/>
    <w:lvlOverride w:ilvl="0">
      <w:startOverride w:val="1"/>
    </w:lvlOverride>
  </w:num>
  <w:num w:numId="31" w16cid:durableId="151143160">
    <w:abstractNumId w:val="5"/>
    <w:lvlOverride w:ilvl="0">
      <w:startOverride w:val="1"/>
    </w:lvlOverride>
  </w:num>
  <w:num w:numId="32" w16cid:durableId="263153573">
    <w:abstractNumId w:val="19"/>
    <w:lvlOverride w:ilvl="0">
      <w:startOverride w:val="1"/>
    </w:lvlOverride>
  </w:num>
  <w:num w:numId="33" w16cid:durableId="35353044">
    <w:abstractNumId w:val="5"/>
    <w:lvlOverride w:ilvl="0">
      <w:startOverride w:val="1"/>
    </w:lvlOverride>
  </w:num>
  <w:num w:numId="34" w16cid:durableId="568925814">
    <w:abstractNumId w:val="19"/>
  </w:num>
  <w:num w:numId="35" w16cid:durableId="502357563">
    <w:abstractNumId w:val="19"/>
  </w:num>
  <w:num w:numId="36" w16cid:durableId="1995714662">
    <w:abstractNumId w:val="19"/>
  </w:num>
  <w:num w:numId="37" w16cid:durableId="1034384505">
    <w:abstractNumId w:val="19"/>
    <w:lvlOverride w:ilvl="0">
      <w:startOverride w:val="1"/>
    </w:lvlOverride>
  </w:num>
  <w:num w:numId="38" w16cid:durableId="1441878493">
    <w:abstractNumId w:val="19"/>
    <w:lvlOverride w:ilvl="0">
      <w:startOverride w:val="1"/>
    </w:lvlOverride>
  </w:num>
  <w:num w:numId="39" w16cid:durableId="1900283075">
    <w:abstractNumId w:val="5"/>
    <w:lvlOverride w:ilvl="0">
      <w:startOverride w:val="1"/>
    </w:lvlOverride>
  </w:num>
  <w:num w:numId="40" w16cid:durableId="983511150">
    <w:abstractNumId w:val="5"/>
    <w:lvlOverride w:ilvl="0">
      <w:startOverride w:val="1"/>
    </w:lvlOverride>
  </w:num>
  <w:num w:numId="41" w16cid:durableId="551501786">
    <w:abstractNumId w:val="15"/>
  </w:num>
  <w:num w:numId="42" w16cid:durableId="1857036952">
    <w:abstractNumId w:val="15"/>
    <w:lvlOverride w:ilvl="0">
      <w:startOverride w:val="1"/>
    </w:lvlOverride>
  </w:num>
  <w:num w:numId="43" w16cid:durableId="747654826">
    <w:abstractNumId w:val="0"/>
    <w:lvlOverride w:ilvl="0">
      <w:startOverride w:val="1"/>
    </w:lvlOverride>
  </w:num>
  <w:num w:numId="44" w16cid:durableId="645864142">
    <w:abstractNumId w:val="15"/>
    <w:lvlOverride w:ilvl="0">
      <w:startOverride w:val="1"/>
    </w:lvlOverride>
  </w:num>
  <w:num w:numId="45" w16cid:durableId="679237294">
    <w:abstractNumId w:val="15"/>
    <w:lvlOverride w:ilvl="0">
      <w:startOverride w:val="1"/>
    </w:lvlOverride>
  </w:num>
  <w:num w:numId="46" w16cid:durableId="48879269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5E"/>
    <w:rsid w:val="00005F8F"/>
    <w:rsid w:val="000240B2"/>
    <w:rsid w:val="000414F5"/>
    <w:rsid w:val="00043657"/>
    <w:rsid w:val="00094B69"/>
    <w:rsid w:val="000A5505"/>
    <w:rsid w:val="000B2AFB"/>
    <w:rsid w:val="001247AE"/>
    <w:rsid w:val="00133328"/>
    <w:rsid w:val="00146B53"/>
    <w:rsid w:val="001472A2"/>
    <w:rsid w:val="00152C5A"/>
    <w:rsid w:val="00153600"/>
    <w:rsid w:val="0016438B"/>
    <w:rsid w:val="0019544E"/>
    <w:rsid w:val="001C1380"/>
    <w:rsid w:val="001C6EF5"/>
    <w:rsid w:val="001D0B75"/>
    <w:rsid w:val="001D52B2"/>
    <w:rsid w:val="001E45AA"/>
    <w:rsid w:val="001F363C"/>
    <w:rsid w:val="00224AEC"/>
    <w:rsid w:val="002267A5"/>
    <w:rsid w:val="00227B59"/>
    <w:rsid w:val="00252AE8"/>
    <w:rsid w:val="00257C6C"/>
    <w:rsid w:val="0026132D"/>
    <w:rsid w:val="00277ED8"/>
    <w:rsid w:val="002A7CBB"/>
    <w:rsid w:val="002C662A"/>
    <w:rsid w:val="002D35D7"/>
    <w:rsid w:val="00310CED"/>
    <w:rsid w:val="00317E6C"/>
    <w:rsid w:val="003245C4"/>
    <w:rsid w:val="003253A2"/>
    <w:rsid w:val="0033603C"/>
    <w:rsid w:val="00345C0E"/>
    <w:rsid w:val="00354D19"/>
    <w:rsid w:val="00355513"/>
    <w:rsid w:val="003620B1"/>
    <w:rsid w:val="003621E3"/>
    <w:rsid w:val="0037356F"/>
    <w:rsid w:val="00380B92"/>
    <w:rsid w:val="0039320E"/>
    <w:rsid w:val="003B3C1C"/>
    <w:rsid w:val="003F477D"/>
    <w:rsid w:val="004046C5"/>
    <w:rsid w:val="0040599E"/>
    <w:rsid w:val="0045212C"/>
    <w:rsid w:val="00460B54"/>
    <w:rsid w:val="0046759F"/>
    <w:rsid w:val="00480DBF"/>
    <w:rsid w:val="00482567"/>
    <w:rsid w:val="004907A4"/>
    <w:rsid w:val="004C6E0A"/>
    <w:rsid w:val="004D6F49"/>
    <w:rsid w:val="004E3E3E"/>
    <w:rsid w:val="004F2B8F"/>
    <w:rsid w:val="005206BB"/>
    <w:rsid w:val="00546990"/>
    <w:rsid w:val="00546D95"/>
    <w:rsid w:val="00562712"/>
    <w:rsid w:val="0057658C"/>
    <w:rsid w:val="005850FF"/>
    <w:rsid w:val="005852EB"/>
    <w:rsid w:val="0058759F"/>
    <w:rsid w:val="005B68B1"/>
    <w:rsid w:val="005D6E39"/>
    <w:rsid w:val="00604C1D"/>
    <w:rsid w:val="00607ED1"/>
    <w:rsid w:val="0062699A"/>
    <w:rsid w:val="00630885"/>
    <w:rsid w:val="00633032"/>
    <w:rsid w:val="0067565A"/>
    <w:rsid w:val="00683775"/>
    <w:rsid w:val="00691E7C"/>
    <w:rsid w:val="00697D40"/>
    <w:rsid w:val="006A3F69"/>
    <w:rsid w:val="006A44A1"/>
    <w:rsid w:val="006A4BD3"/>
    <w:rsid w:val="006A5495"/>
    <w:rsid w:val="006B2859"/>
    <w:rsid w:val="00721BD1"/>
    <w:rsid w:val="00740050"/>
    <w:rsid w:val="007A363F"/>
    <w:rsid w:val="007C3A56"/>
    <w:rsid w:val="007D0916"/>
    <w:rsid w:val="0083576B"/>
    <w:rsid w:val="008572FF"/>
    <w:rsid w:val="0086686B"/>
    <w:rsid w:val="00872D1B"/>
    <w:rsid w:val="008745F6"/>
    <w:rsid w:val="00880C64"/>
    <w:rsid w:val="00890208"/>
    <w:rsid w:val="00897ADE"/>
    <w:rsid w:val="008B05FE"/>
    <w:rsid w:val="008D45EB"/>
    <w:rsid w:val="008E3A10"/>
    <w:rsid w:val="00906A9B"/>
    <w:rsid w:val="00926D2D"/>
    <w:rsid w:val="0093404D"/>
    <w:rsid w:val="00955394"/>
    <w:rsid w:val="0096045B"/>
    <w:rsid w:val="00972992"/>
    <w:rsid w:val="009B02D4"/>
    <w:rsid w:val="009C3F2C"/>
    <w:rsid w:val="009C7225"/>
    <w:rsid w:val="009D4285"/>
    <w:rsid w:val="009E3315"/>
    <w:rsid w:val="00A402B6"/>
    <w:rsid w:val="00A5550C"/>
    <w:rsid w:val="00A57245"/>
    <w:rsid w:val="00A609D6"/>
    <w:rsid w:val="00A639A8"/>
    <w:rsid w:val="00A7047D"/>
    <w:rsid w:val="00A71240"/>
    <w:rsid w:val="00A865E9"/>
    <w:rsid w:val="00A8734D"/>
    <w:rsid w:val="00AB534B"/>
    <w:rsid w:val="00AC2BD4"/>
    <w:rsid w:val="00AD299D"/>
    <w:rsid w:val="00AE60F9"/>
    <w:rsid w:val="00B35554"/>
    <w:rsid w:val="00B461A3"/>
    <w:rsid w:val="00B74BC8"/>
    <w:rsid w:val="00B91056"/>
    <w:rsid w:val="00B95483"/>
    <w:rsid w:val="00BB0A89"/>
    <w:rsid w:val="00BC1C78"/>
    <w:rsid w:val="00BC288B"/>
    <w:rsid w:val="00BD4B71"/>
    <w:rsid w:val="00BD6F80"/>
    <w:rsid w:val="00BE78FE"/>
    <w:rsid w:val="00C40AC5"/>
    <w:rsid w:val="00C43ED3"/>
    <w:rsid w:val="00C47693"/>
    <w:rsid w:val="00C51B78"/>
    <w:rsid w:val="00C629D8"/>
    <w:rsid w:val="00C73C6B"/>
    <w:rsid w:val="00C87C3D"/>
    <w:rsid w:val="00CA22AD"/>
    <w:rsid w:val="00CA6628"/>
    <w:rsid w:val="00CB5F4C"/>
    <w:rsid w:val="00CE51A6"/>
    <w:rsid w:val="00D01F3C"/>
    <w:rsid w:val="00D04E46"/>
    <w:rsid w:val="00D21916"/>
    <w:rsid w:val="00D232C1"/>
    <w:rsid w:val="00D24559"/>
    <w:rsid w:val="00D35A9F"/>
    <w:rsid w:val="00D755C2"/>
    <w:rsid w:val="00D95081"/>
    <w:rsid w:val="00D975E1"/>
    <w:rsid w:val="00DA1175"/>
    <w:rsid w:val="00DB7E19"/>
    <w:rsid w:val="00DD2069"/>
    <w:rsid w:val="00DD65B5"/>
    <w:rsid w:val="00DE1762"/>
    <w:rsid w:val="00DF2013"/>
    <w:rsid w:val="00E238F9"/>
    <w:rsid w:val="00E27854"/>
    <w:rsid w:val="00E32932"/>
    <w:rsid w:val="00E46A15"/>
    <w:rsid w:val="00E72115"/>
    <w:rsid w:val="00E814DF"/>
    <w:rsid w:val="00E83D5E"/>
    <w:rsid w:val="00E97373"/>
    <w:rsid w:val="00EE62EA"/>
    <w:rsid w:val="00F01B19"/>
    <w:rsid w:val="00F03AC7"/>
    <w:rsid w:val="00F10225"/>
    <w:rsid w:val="00F153A0"/>
    <w:rsid w:val="00F2389F"/>
    <w:rsid w:val="00F319A1"/>
    <w:rsid w:val="00F47A4C"/>
    <w:rsid w:val="00F54488"/>
    <w:rsid w:val="00F63507"/>
    <w:rsid w:val="00F749D3"/>
    <w:rsid w:val="00FA642B"/>
    <w:rsid w:val="00FE1E64"/>
    <w:rsid w:val="029C03E9"/>
    <w:rsid w:val="08153E0C"/>
    <w:rsid w:val="1B275141"/>
    <w:rsid w:val="1DD74743"/>
    <w:rsid w:val="1E3AF0F7"/>
    <w:rsid w:val="21B76317"/>
    <w:rsid w:val="2843DA3E"/>
    <w:rsid w:val="2FD9732C"/>
    <w:rsid w:val="3E21CCDB"/>
    <w:rsid w:val="43AF4180"/>
    <w:rsid w:val="4AA2D89D"/>
    <w:rsid w:val="4CF393DE"/>
    <w:rsid w:val="5011A45C"/>
    <w:rsid w:val="51D79D1D"/>
    <w:rsid w:val="5F313F1C"/>
    <w:rsid w:val="66C066F8"/>
    <w:rsid w:val="72E38D3F"/>
    <w:rsid w:val="7CE298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9FA12"/>
  <w15:chartTrackingRefBased/>
  <w15:docId w15:val="{67D9675A-67C6-446F-98ED-64828FB6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yriad Pro"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6A9B"/>
    <w:pPr>
      <w:widowControl w:val="0"/>
      <w:autoSpaceDE w:val="0"/>
      <w:autoSpaceDN w:val="0"/>
      <w:spacing w:before="120" w:after="120" w:line="260" w:lineRule="exact"/>
    </w:pPr>
    <w:rPr>
      <w:rFonts w:ascii="Arial" w:hAnsi="Arial" w:cs="Myriad Pro"/>
      <w:kern w:val="0"/>
      <w:sz w:val="20"/>
      <w:szCs w:val="22"/>
      <w:lang w:val="en-US" w:bidi="en-US"/>
      <w14:ligatures w14:val="none"/>
    </w:rPr>
  </w:style>
  <w:style w:type="paragraph" w:styleId="Heading1">
    <w:name w:val="heading 1"/>
    <w:basedOn w:val="Normal"/>
    <w:next w:val="Normal"/>
    <w:link w:val="Heading1Char"/>
    <w:uiPriority w:val="9"/>
    <w:qFormat/>
    <w:rsid w:val="00DD2069"/>
    <w:pPr>
      <w:keepNext/>
      <w:keepLines/>
      <w:numPr>
        <w:numId w:val="17"/>
      </w:numPr>
      <w:spacing w:before="240" w:after="240" w:line="276" w:lineRule="auto"/>
      <w:ind w:left="431" w:hanging="431"/>
      <w:outlineLvl w:val="0"/>
    </w:pPr>
    <w:rPr>
      <w:rFonts w:eastAsiaTheme="majorEastAsia" w:cs="Times New Roman (Headings CS)"/>
      <w:sz w:val="40"/>
      <w:szCs w:val="32"/>
    </w:rPr>
  </w:style>
  <w:style w:type="paragraph" w:styleId="Heading2">
    <w:name w:val="heading 2"/>
    <w:basedOn w:val="Normal"/>
    <w:next w:val="Normal"/>
    <w:link w:val="Heading2Char"/>
    <w:uiPriority w:val="9"/>
    <w:unhideWhenUsed/>
    <w:qFormat/>
    <w:rsid w:val="00906A9B"/>
    <w:pPr>
      <w:keepNext/>
      <w:keepLines/>
      <w:numPr>
        <w:ilvl w:val="1"/>
        <w:numId w:val="17"/>
      </w:numPr>
      <w:spacing w:before="240" w:after="240" w:line="240" w:lineRule="auto"/>
      <w:ind w:left="578" w:hanging="578"/>
      <w:outlineLvl w:val="1"/>
    </w:pPr>
    <w:rPr>
      <w:rFonts w:eastAsiaTheme="majorEastAsia" w:cstheme="majorBidi"/>
      <w:b/>
      <w:sz w:val="26"/>
      <w:szCs w:val="26"/>
    </w:rPr>
  </w:style>
  <w:style w:type="paragraph" w:styleId="Heading3">
    <w:name w:val="heading 3"/>
    <w:basedOn w:val="Normal"/>
    <w:next w:val="Normal"/>
    <w:link w:val="Heading3Char"/>
    <w:autoRedefine/>
    <w:qFormat/>
    <w:rsid w:val="00133328"/>
    <w:pPr>
      <w:keepNext/>
      <w:widowControl/>
      <w:numPr>
        <w:ilvl w:val="2"/>
        <w:numId w:val="17"/>
      </w:numPr>
      <w:suppressAutoHyphens/>
      <w:adjustRightInd w:val="0"/>
      <w:spacing w:before="57" w:after="57" w:line="260" w:lineRule="atLeast"/>
      <w:textAlignment w:val="center"/>
      <w:outlineLvl w:val="2"/>
    </w:pPr>
    <w:rPr>
      <w:rFonts w:cs="Arial"/>
      <w:b/>
      <w:bCs/>
      <w:color w:val="000000"/>
      <w:sz w:val="22"/>
      <w:lang w:val="en-GB" w:bidi="ar-SA"/>
      <w14:ligatures w14:val="standardContextual"/>
    </w:rPr>
  </w:style>
  <w:style w:type="paragraph" w:styleId="Heading4">
    <w:name w:val="heading 4"/>
    <w:basedOn w:val="Normal"/>
    <w:next w:val="Normal"/>
    <w:link w:val="Heading4Char"/>
    <w:autoRedefine/>
    <w:qFormat/>
    <w:rsid w:val="00DD2069"/>
    <w:pPr>
      <w:keepNext/>
      <w:widowControl/>
      <w:autoSpaceDE/>
      <w:autoSpaceDN/>
      <w:spacing w:before="240" w:line="240" w:lineRule="auto"/>
      <w:outlineLvl w:val="3"/>
    </w:pPr>
    <w:rPr>
      <w:rFonts w:asciiTheme="minorHAnsi" w:eastAsia="Times New Roman" w:hAnsiTheme="minorHAnsi" w:cs="Times New Roman"/>
      <w:b/>
      <w:bCs/>
      <w:sz w:val="28"/>
      <w:szCs w:val="26"/>
      <w:lang w:val="en-AU" w:eastAsia="en-AU" w:bidi="ar-SA"/>
    </w:rPr>
  </w:style>
  <w:style w:type="paragraph" w:styleId="Heading5">
    <w:name w:val="heading 5"/>
    <w:basedOn w:val="Normal"/>
    <w:next w:val="Normal"/>
    <w:link w:val="Heading5Char"/>
    <w:uiPriority w:val="9"/>
    <w:semiHidden/>
    <w:unhideWhenUsed/>
    <w:qFormat/>
    <w:rsid w:val="00E83D5E"/>
    <w:pPr>
      <w:keepNext/>
      <w:keepLines/>
      <w:numPr>
        <w:ilvl w:val="4"/>
        <w:numId w:val="17"/>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3D5E"/>
    <w:pPr>
      <w:keepNext/>
      <w:keepLines/>
      <w:numPr>
        <w:ilvl w:val="5"/>
        <w:numId w:val="17"/>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3D5E"/>
    <w:pPr>
      <w:keepNext/>
      <w:keepLines/>
      <w:numPr>
        <w:ilvl w:val="6"/>
        <w:numId w:val="17"/>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3D5E"/>
    <w:pPr>
      <w:keepNext/>
      <w:keepLines/>
      <w:numPr>
        <w:ilvl w:val="7"/>
        <w:numId w:val="17"/>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3D5E"/>
    <w:pPr>
      <w:keepNext/>
      <w:keepLines/>
      <w:numPr>
        <w:ilvl w:val="8"/>
        <w:numId w:val="17"/>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069"/>
    <w:rPr>
      <w:rFonts w:ascii="Arial" w:eastAsiaTheme="majorEastAsia" w:hAnsi="Arial" w:cs="Times New Roman (Headings CS)"/>
      <w:kern w:val="0"/>
      <w:sz w:val="40"/>
      <w:szCs w:val="32"/>
      <w:lang w:val="en-US" w:bidi="en-US"/>
      <w14:ligatures w14:val="none"/>
    </w:rPr>
  </w:style>
  <w:style w:type="paragraph" w:styleId="Footer">
    <w:name w:val="footer"/>
    <w:basedOn w:val="Normal"/>
    <w:link w:val="FooterChar"/>
    <w:uiPriority w:val="99"/>
    <w:unhideWhenUsed/>
    <w:rsid w:val="003B3C1C"/>
    <w:pPr>
      <w:tabs>
        <w:tab w:val="center" w:pos="4680"/>
        <w:tab w:val="right" w:pos="9360"/>
      </w:tabs>
    </w:pPr>
    <w:rPr>
      <w:color w:val="000000" w:themeColor="text1"/>
    </w:rPr>
  </w:style>
  <w:style w:type="character" w:customStyle="1" w:styleId="FooterChar">
    <w:name w:val="Footer Char"/>
    <w:basedOn w:val="DefaultParagraphFont"/>
    <w:link w:val="Footer"/>
    <w:uiPriority w:val="99"/>
    <w:rsid w:val="003B3C1C"/>
    <w:rPr>
      <w:rFonts w:ascii="Arial" w:hAnsi="Arial"/>
      <w:color w:val="000000" w:themeColor="text1"/>
    </w:rPr>
  </w:style>
  <w:style w:type="character" w:customStyle="1" w:styleId="Heading3Char">
    <w:name w:val="Heading 3 Char"/>
    <w:basedOn w:val="DefaultParagraphFont"/>
    <w:link w:val="Heading3"/>
    <w:rsid w:val="00133328"/>
    <w:rPr>
      <w:rFonts w:ascii="Arial" w:hAnsi="Arial" w:cs="Arial"/>
      <w:b/>
      <w:bCs/>
      <w:color w:val="000000"/>
      <w:kern w:val="0"/>
      <w:sz w:val="22"/>
      <w:szCs w:val="22"/>
      <w:lang w:val="en-GB"/>
    </w:rPr>
  </w:style>
  <w:style w:type="character" w:customStyle="1" w:styleId="Heading2Char">
    <w:name w:val="Heading 2 Char"/>
    <w:basedOn w:val="DefaultParagraphFont"/>
    <w:link w:val="Heading2"/>
    <w:uiPriority w:val="9"/>
    <w:rsid w:val="00906A9B"/>
    <w:rPr>
      <w:rFonts w:ascii="Arial" w:eastAsiaTheme="majorEastAsia" w:hAnsi="Arial" w:cstheme="majorBidi"/>
      <w:b/>
      <w:kern w:val="0"/>
      <w:sz w:val="26"/>
      <w:szCs w:val="26"/>
      <w:lang w:val="en-US" w:bidi="en-US"/>
      <w14:ligatures w14:val="none"/>
    </w:rPr>
  </w:style>
  <w:style w:type="paragraph" w:styleId="TOC1">
    <w:name w:val="toc 1"/>
    <w:basedOn w:val="Normal"/>
    <w:next w:val="Normal"/>
    <w:autoRedefine/>
    <w:uiPriority w:val="39"/>
    <w:unhideWhenUsed/>
    <w:qFormat/>
    <w:rsid w:val="00F01B19"/>
    <w:pPr>
      <w:tabs>
        <w:tab w:val="left" w:pos="403"/>
        <w:tab w:val="right" w:leader="dot" w:pos="10456"/>
      </w:tabs>
      <w:spacing w:after="0"/>
    </w:pPr>
    <w:rPr>
      <w:rFonts w:eastAsiaTheme="minorEastAsia" w:cstheme="minorBidi"/>
      <w:bCs/>
      <w:noProof/>
      <w:kern w:val="2"/>
      <w:sz w:val="24"/>
      <w:szCs w:val="24"/>
      <w:lang w:val="en-GB" w:eastAsia="en-GB" w:bidi="ar-SA"/>
      <w14:ligatures w14:val="standardContextual"/>
    </w:rPr>
  </w:style>
  <w:style w:type="paragraph" w:styleId="TOC2">
    <w:name w:val="toc 2"/>
    <w:basedOn w:val="Normal"/>
    <w:next w:val="Normal"/>
    <w:autoRedefine/>
    <w:uiPriority w:val="39"/>
    <w:unhideWhenUsed/>
    <w:qFormat/>
    <w:rsid w:val="00F01B19"/>
    <w:pPr>
      <w:tabs>
        <w:tab w:val="left" w:pos="720"/>
        <w:tab w:val="right" w:leader="dot" w:pos="10456"/>
      </w:tabs>
      <w:spacing w:after="0"/>
      <w:ind w:left="200"/>
    </w:pPr>
    <w:rPr>
      <w:rFonts w:eastAsiaTheme="minorEastAsia" w:cstheme="minorBidi"/>
      <w:noProof/>
      <w:kern w:val="2"/>
      <w:sz w:val="24"/>
      <w:szCs w:val="24"/>
      <w:lang w:val="en-AU" w:eastAsia="en-GB" w:bidi="ar-SA"/>
      <w14:ligatures w14:val="standardContextual"/>
    </w:rPr>
  </w:style>
  <w:style w:type="paragraph" w:styleId="TOC3">
    <w:name w:val="toc 3"/>
    <w:basedOn w:val="Normal"/>
    <w:next w:val="Normal"/>
    <w:autoRedefine/>
    <w:uiPriority w:val="39"/>
    <w:unhideWhenUsed/>
    <w:qFormat/>
    <w:rsid w:val="00F01B19"/>
    <w:pPr>
      <w:tabs>
        <w:tab w:val="left" w:pos="1200"/>
        <w:tab w:val="right" w:leader="dot" w:pos="10456"/>
      </w:tabs>
      <w:spacing w:after="0"/>
      <w:ind w:left="403"/>
    </w:pPr>
    <w:rPr>
      <w:rFonts w:eastAsiaTheme="minorEastAsia" w:cstheme="minorBidi"/>
      <w:noProof/>
      <w:kern w:val="2"/>
      <w:sz w:val="24"/>
      <w:szCs w:val="24"/>
      <w:lang w:val="en-AU" w:eastAsia="en-GB" w:bidi="ar-SA"/>
      <w14:ligatures w14:val="standardContextual"/>
    </w:rPr>
  </w:style>
  <w:style w:type="paragraph" w:styleId="TableofFigures">
    <w:name w:val="table of figures"/>
    <w:basedOn w:val="Normal"/>
    <w:next w:val="Normal"/>
    <w:autoRedefine/>
    <w:uiPriority w:val="99"/>
    <w:unhideWhenUsed/>
    <w:qFormat/>
    <w:rsid w:val="005D6E39"/>
  </w:style>
  <w:style w:type="paragraph" w:customStyle="1" w:styleId="Style1">
    <w:name w:val="Style1"/>
    <w:autoRedefine/>
    <w:uiPriority w:val="1"/>
    <w:qFormat/>
    <w:rsid w:val="005D6E39"/>
    <w:pPr>
      <w:widowControl w:val="0"/>
      <w:autoSpaceDE w:val="0"/>
      <w:autoSpaceDN w:val="0"/>
      <w:spacing w:before="240" w:after="120" w:line="240" w:lineRule="exact"/>
    </w:pPr>
    <w:rPr>
      <w:rFonts w:ascii="Arial" w:hAnsi="Arial" w:cs="Myriad Pro"/>
      <w:b/>
      <w:bCs/>
      <w:color w:val="000000" w:themeColor="text1"/>
      <w:sz w:val="18"/>
      <w:szCs w:val="18"/>
      <w:lang w:val="en-US" w:bidi="en-US"/>
    </w:rPr>
  </w:style>
  <w:style w:type="paragraph" w:customStyle="1" w:styleId="ContentsHeading">
    <w:name w:val="Contents Heading"/>
    <w:autoRedefine/>
    <w:uiPriority w:val="1"/>
    <w:qFormat/>
    <w:rsid w:val="005D6E39"/>
    <w:pPr>
      <w:widowControl w:val="0"/>
      <w:autoSpaceDE w:val="0"/>
      <w:autoSpaceDN w:val="0"/>
      <w:spacing w:after="120" w:line="520" w:lineRule="exact"/>
    </w:pPr>
    <w:rPr>
      <w:rFonts w:ascii="Arial" w:eastAsiaTheme="majorEastAsia" w:hAnsi="Arial" w:cs="Arial"/>
      <w:bCs/>
      <w:color w:val="007BB7"/>
      <w:spacing w:val="-10"/>
      <w:kern w:val="28"/>
      <w:sz w:val="48"/>
      <w:szCs w:val="48"/>
      <w:lang w:val="en-US" w:bidi="en-US"/>
    </w:rPr>
  </w:style>
  <w:style w:type="paragraph" w:styleId="BodyText">
    <w:name w:val="Body Text"/>
    <w:basedOn w:val="Normal"/>
    <w:link w:val="BodyTextChar"/>
    <w:uiPriority w:val="99"/>
    <w:semiHidden/>
    <w:unhideWhenUsed/>
    <w:rsid w:val="00C51B78"/>
  </w:style>
  <w:style w:type="character" w:customStyle="1" w:styleId="BodyTextChar">
    <w:name w:val="Body Text Char"/>
    <w:basedOn w:val="DefaultParagraphFont"/>
    <w:link w:val="BodyText"/>
    <w:uiPriority w:val="99"/>
    <w:semiHidden/>
    <w:rsid w:val="00C51B78"/>
    <w:rPr>
      <w:rFonts w:ascii="Arial" w:hAnsi="Arial" w:cs="Myriad Pro"/>
      <w:sz w:val="20"/>
      <w:szCs w:val="22"/>
      <w:lang w:val="en-US" w:bidi="en-US"/>
    </w:rPr>
  </w:style>
  <w:style w:type="character" w:styleId="HTMLVariable">
    <w:name w:val="HTML Variable"/>
    <w:basedOn w:val="DefaultParagraphFont"/>
    <w:uiPriority w:val="99"/>
    <w:unhideWhenUsed/>
    <w:rsid w:val="00F01B19"/>
    <w:rPr>
      <w:i/>
      <w:iCs/>
    </w:rPr>
  </w:style>
  <w:style w:type="character" w:customStyle="1" w:styleId="Heading4Char">
    <w:name w:val="Heading 4 Char"/>
    <w:basedOn w:val="DefaultParagraphFont"/>
    <w:link w:val="Heading4"/>
    <w:rsid w:val="00DD2069"/>
    <w:rPr>
      <w:rFonts w:eastAsia="Times New Roman" w:cs="Times New Roman"/>
      <w:b/>
      <w:bCs/>
      <w:kern w:val="0"/>
      <w:sz w:val="28"/>
      <w:szCs w:val="26"/>
      <w:lang w:eastAsia="en-AU"/>
      <w14:ligatures w14:val="none"/>
    </w:rPr>
  </w:style>
  <w:style w:type="character" w:customStyle="1" w:styleId="Heading5Char">
    <w:name w:val="Heading 5 Char"/>
    <w:basedOn w:val="DefaultParagraphFont"/>
    <w:link w:val="Heading5"/>
    <w:uiPriority w:val="9"/>
    <w:semiHidden/>
    <w:rsid w:val="00E83D5E"/>
    <w:rPr>
      <w:rFonts w:eastAsiaTheme="majorEastAsia" w:cstheme="majorBidi"/>
      <w:color w:val="0F4761" w:themeColor="accent1" w:themeShade="BF"/>
      <w:kern w:val="0"/>
      <w:sz w:val="20"/>
      <w:szCs w:val="22"/>
      <w:lang w:val="en-US" w:bidi="en-US"/>
      <w14:ligatures w14:val="none"/>
    </w:rPr>
  </w:style>
  <w:style w:type="character" w:customStyle="1" w:styleId="Heading6Char">
    <w:name w:val="Heading 6 Char"/>
    <w:basedOn w:val="DefaultParagraphFont"/>
    <w:link w:val="Heading6"/>
    <w:uiPriority w:val="9"/>
    <w:semiHidden/>
    <w:rsid w:val="00E83D5E"/>
    <w:rPr>
      <w:rFonts w:eastAsiaTheme="majorEastAsia" w:cstheme="majorBidi"/>
      <w:i/>
      <w:iCs/>
      <w:color w:val="595959" w:themeColor="text1" w:themeTint="A6"/>
      <w:kern w:val="0"/>
      <w:sz w:val="20"/>
      <w:szCs w:val="22"/>
      <w:lang w:val="en-US" w:bidi="en-US"/>
      <w14:ligatures w14:val="none"/>
    </w:rPr>
  </w:style>
  <w:style w:type="character" w:customStyle="1" w:styleId="Heading7Char">
    <w:name w:val="Heading 7 Char"/>
    <w:basedOn w:val="DefaultParagraphFont"/>
    <w:link w:val="Heading7"/>
    <w:uiPriority w:val="9"/>
    <w:semiHidden/>
    <w:rsid w:val="00E83D5E"/>
    <w:rPr>
      <w:rFonts w:eastAsiaTheme="majorEastAsia" w:cstheme="majorBidi"/>
      <w:color w:val="595959" w:themeColor="text1" w:themeTint="A6"/>
      <w:kern w:val="0"/>
      <w:sz w:val="20"/>
      <w:szCs w:val="22"/>
      <w:lang w:val="en-US" w:bidi="en-US"/>
      <w14:ligatures w14:val="none"/>
    </w:rPr>
  </w:style>
  <w:style w:type="character" w:customStyle="1" w:styleId="Heading8Char">
    <w:name w:val="Heading 8 Char"/>
    <w:basedOn w:val="DefaultParagraphFont"/>
    <w:link w:val="Heading8"/>
    <w:uiPriority w:val="9"/>
    <w:semiHidden/>
    <w:rsid w:val="00E83D5E"/>
    <w:rPr>
      <w:rFonts w:eastAsiaTheme="majorEastAsia" w:cstheme="majorBidi"/>
      <w:i/>
      <w:iCs/>
      <w:color w:val="272727" w:themeColor="text1" w:themeTint="D8"/>
      <w:kern w:val="0"/>
      <w:sz w:val="20"/>
      <w:szCs w:val="22"/>
      <w:lang w:val="en-US" w:bidi="en-US"/>
      <w14:ligatures w14:val="none"/>
    </w:rPr>
  </w:style>
  <w:style w:type="character" w:customStyle="1" w:styleId="Heading9Char">
    <w:name w:val="Heading 9 Char"/>
    <w:basedOn w:val="DefaultParagraphFont"/>
    <w:link w:val="Heading9"/>
    <w:uiPriority w:val="9"/>
    <w:semiHidden/>
    <w:rsid w:val="00E83D5E"/>
    <w:rPr>
      <w:rFonts w:eastAsiaTheme="majorEastAsia" w:cstheme="majorBidi"/>
      <w:color w:val="272727" w:themeColor="text1" w:themeTint="D8"/>
      <w:kern w:val="0"/>
      <w:sz w:val="20"/>
      <w:szCs w:val="22"/>
      <w:lang w:val="en-US" w:bidi="en-US"/>
      <w14:ligatures w14:val="none"/>
    </w:rPr>
  </w:style>
  <w:style w:type="paragraph" w:styleId="Title">
    <w:name w:val="Title"/>
    <w:basedOn w:val="Normal"/>
    <w:next w:val="Normal"/>
    <w:link w:val="TitleChar"/>
    <w:uiPriority w:val="99"/>
    <w:qFormat/>
    <w:rsid w:val="00F01B19"/>
    <w:pPr>
      <w:widowControl/>
      <w:adjustRightInd w:val="0"/>
      <w:spacing w:before="2400" w:after="1200" w:line="860" w:lineRule="atLeast"/>
      <w:textAlignment w:val="center"/>
    </w:pPr>
    <w:rPr>
      <w:rFonts w:cs="Arial"/>
      <w:color w:val="000000"/>
      <w:sz w:val="86"/>
      <w:szCs w:val="86"/>
      <w:lang w:val="en-GB" w:bidi="ar-SA"/>
      <w14:ligatures w14:val="standardContextual"/>
    </w:rPr>
  </w:style>
  <w:style w:type="character" w:customStyle="1" w:styleId="TitleChar">
    <w:name w:val="Title Char"/>
    <w:basedOn w:val="DefaultParagraphFont"/>
    <w:link w:val="Title"/>
    <w:uiPriority w:val="99"/>
    <w:rsid w:val="00F01B19"/>
    <w:rPr>
      <w:rFonts w:ascii="Arial" w:hAnsi="Arial" w:cs="Arial"/>
      <w:color w:val="000000"/>
      <w:kern w:val="0"/>
      <w:sz w:val="86"/>
      <w:szCs w:val="86"/>
      <w:lang w:val="en-GB"/>
    </w:rPr>
  </w:style>
  <w:style w:type="paragraph" w:styleId="Subtitle">
    <w:name w:val="Subtitle"/>
    <w:basedOn w:val="Normal"/>
    <w:next w:val="Normal"/>
    <w:link w:val="SubtitleChar"/>
    <w:uiPriority w:val="11"/>
    <w:qFormat/>
    <w:rsid w:val="007C3A56"/>
    <w:pPr>
      <w:widowControl/>
      <w:tabs>
        <w:tab w:val="left" w:pos="227"/>
      </w:tabs>
      <w:suppressAutoHyphens/>
      <w:adjustRightInd w:val="0"/>
      <w:spacing w:after="170" w:line="240" w:lineRule="atLeast"/>
      <w:textAlignment w:val="center"/>
    </w:pPr>
    <w:rPr>
      <w:rFonts w:cs="Arial"/>
      <w:color w:val="000000"/>
      <w:sz w:val="28"/>
      <w:szCs w:val="28"/>
      <w:lang w:val="en-GB" w:bidi="ar-SA"/>
      <w14:ligatures w14:val="standardContextual"/>
    </w:rPr>
  </w:style>
  <w:style w:type="character" w:customStyle="1" w:styleId="SubtitleChar">
    <w:name w:val="Subtitle Char"/>
    <w:basedOn w:val="DefaultParagraphFont"/>
    <w:link w:val="Subtitle"/>
    <w:uiPriority w:val="11"/>
    <w:rsid w:val="007C3A56"/>
    <w:rPr>
      <w:rFonts w:ascii="Arial" w:hAnsi="Arial" w:cs="Arial"/>
      <w:color w:val="000000"/>
      <w:kern w:val="0"/>
      <w:sz w:val="28"/>
      <w:szCs w:val="28"/>
      <w:lang w:val="en-GB"/>
    </w:rPr>
  </w:style>
  <w:style w:type="paragraph" w:styleId="Quote">
    <w:name w:val="Quote"/>
    <w:basedOn w:val="Normal"/>
    <w:next w:val="Normal"/>
    <w:link w:val="QuoteChar"/>
    <w:uiPriority w:val="29"/>
    <w:qFormat/>
    <w:rsid w:val="00E83D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3D5E"/>
    <w:rPr>
      <w:rFonts w:ascii="Arial" w:hAnsi="Arial" w:cs="Myriad Pro"/>
      <w:i/>
      <w:iCs/>
      <w:color w:val="404040" w:themeColor="text1" w:themeTint="BF"/>
      <w:kern w:val="0"/>
      <w:sz w:val="20"/>
      <w:szCs w:val="22"/>
      <w:lang w:val="en-US" w:bidi="en-US"/>
      <w14:ligatures w14:val="none"/>
    </w:rPr>
  </w:style>
  <w:style w:type="paragraph" w:styleId="ListParagraph">
    <w:name w:val="List Paragraph"/>
    <w:basedOn w:val="Normal"/>
    <w:uiPriority w:val="34"/>
    <w:qFormat/>
    <w:rsid w:val="00E83D5E"/>
    <w:pPr>
      <w:ind w:left="720"/>
      <w:contextualSpacing/>
    </w:pPr>
  </w:style>
  <w:style w:type="character" w:styleId="IntenseEmphasis">
    <w:name w:val="Intense Emphasis"/>
    <w:basedOn w:val="DefaultParagraphFont"/>
    <w:uiPriority w:val="21"/>
    <w:qFormat/>
    <w:rsid w:val="00DD2069"/>
    <w:rPr>
      <w:b/>
      <w:i/>
      <w:iCs/>
      <w:color w:val="auto"/>
    </w:rPr>
  </w:style>
  <w:style w:type="paragraph" w:styleId="IntenseQuote">
    <w:name w:val="Intense Quote"/>
    <w:basedOn w:val="Normal"/>
    <w:next w:val="Normal"/>
    <w:link w:val="IntenseQuoteChar"/>
    <w:uiPriority w:val="30"/>
    <w:qFormat/>
    <w:rsid w:val="00E83D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D5E"/>
    <w:rPr>
      <w:rFonts w:ascii="Arial" w:hAnsi="Arial" w:cs="Myriad Pro"/>
      <w:i/>
      <w:iCs/>
      <w:color w:val="0F4761" w:themeColor="accent1" w:themeShade="BF"/>
      <w:kern w:val="0"/>
      <w:sz w:val="20"/>
      <w:szCs w:val="22"/>
      <w:lang w:val="en-US" w:bidi="en-US"/>
      <w14:ligatures w14:val="none"/>
    </w:rPr>
  </w:style>
  <w:style w:type="character" w:styleId="IntenseReference">
    <w:name w:val="Intense Reference"/>
    <w:basedOn w:val="DefaultParagraphFont"/>
    <w:uiPriority w:val="32"/>
    <w:qFormat/>
    <w:rsid w:val="00E83D5E"/>
    <w:rPr>
      <w:b/>
      <w:bCs/>
      <w:smallCaps/>
      <w:color w:val="0F4761" w:themeColor="accent1" w:themeShade="BF"/>
      <w:spacing w:val="5"/>
    </w:rPr>
  </w:style>
  <w:style w:type="paragraph" w:customStyle="1" w:styleId="BodyTextBody">
    <w:name w:val="Body Text (Body)"/>
    <w:basedOn w:val="Normal"/>
    <w:uiPriority w:val="99"/>
    <w:rsid w:val="00E83D5E"/>
    <w:pPr>
      <w:widowControl/>
      <w:tabs>
        <w:tab w:val="left" w:pos="227"/>
      </w:tabs>
      <w:suppressAutoHyphens/>
      <w:adjustRightInd w:val="0"/>
      <w:spacing w:after="170" w:line="240" w:lineRule="atLeast"/>
      <w:textAlignment w:val="center"/>
    </w:pPr>
    <w:rPr>
      <w:rFonts w:cs="Arial"/>
      <w:color w:val="000000"/>
      <w:szCs w:val="20"/>
      <w:lang w:val="en-GB" w:bidi="ar-SA"/>
      <w14:ligatures w14:val="standardContextual"/>
    </w:rPr>
  </w:style>
  <w:style w:type="paragraph" w:customStyle="1" w:styleId="IndentedbodytextBody">
    <w:name w:val="Indented body text (Body)"/>
    <w:basedOn w:val="BodyTextBody"/>
    <w:uiPriority w:val="99"/>
    <w:rsid w:val="00E83D5E"/>
    <w:pPr>
      <w:ind w:left="397" w:hanging="227"/>
    </w:pPr>
  </w:style>
  <w:style w:type="character" w:styleId="Hyperlink">
    <w:name w:val="Hyperlink"/>
    <w:basedOn w:val="DefaultParagraphFont"/>
    <w:uiPriority w:val="99"/>
    <w:rsid w:val="00607ED1"/>
    <w:rPr>
      <w:rFonts w:ascii="Arial" w:hAnsi="Arial" w:cs="Arial"/>
      <w:color w:val="0070C0"/>
      <w:u w:val="single"/>
    </w:rPr>
  </w:style>
  <w:style w:type="paragraph" w:customStyle="1" w:styleId="Style2">
    <w:name w:val="Style2"/>
    <w:basedOn w:val="Normal"/>
    <w:uiPriority w:val="1"/>
    <w:qFormat/>
    <w:rsid w:val="00F10225"/>
    <w:pPr>
      <w:widowControl/>
      <w:tabs>
        <w:tab w:val="left" w:pos="227"/>
      </w:tabs>
      <w:suppressAutoHyphens/>
      <w:adjustRightInd w:val="0"/>
      <w:spacing w:after="170" w:line="240" w:lineRule="atLeast"/>
      <w:ind w:left="397" w:hanging="170"/>
      <w:textAlignment w:val="center"/>
    </w:pPr>
    <w:rPr>
      <w:rFonts w:cs="Arial"/>
      <w:color w:val="000000"/>
      <w:szCs w:val="20"/>
      <w:lang w:val="en-GB" w:bidi="ar-SA"/>
      <w14:ligatures w14:val="standardContextual"/>
    </w:rPr>
  </w:style>
  <w:style w:type="paragraph" w:styleId="Header">
    <w:name w:val="header"/>
    <w:basedOn w:val="Normal"/>
    <w:link w:val="HeaderChar"/>
    <w:uiPriority w:val="99"/>
    <w:unhideWhenUsed/>
    <w:rsid w:val="00BB0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89"/>
    <w:rPr>
      <w:rFonts w:ascii="Arial" w:hAnsi="Arial" w:cs="Myriad Pro"/>
      <w:kern w:val="0"/>
      <w:sz w:val="20"/>
      <w:szCs w:val="22"/>
      <w:lang w:val="en-US" w:bidi="en-US"/>
      <w14:ligatures w14:val="none"/>
    </w:rPr>
  </w:style>
  <w:style w:type="character" w:styleId="PageNumber">
    <w:name w:val="page number"/>
    <w:basedOn w:val="DefaultParagraphFont"/>
    <w:uiPriority w:val="99"/>
    <w:semiHidden/>
    <w:unhideWhenUsed/>
    <w:rsid w:val="00D35A9F"/>
  </w:style>
  <w:style w:type="character" w:styleId="UnresolvedMention">
    <w:name w:val="Unresolved Mention"/>
    <w:basedOn w:val="DefaultParagraphFont"/>
    <w:uiPriority w:val="99"/>
    <w:semiHidden/>
    <w:unhideWhenUsed/>
    <w:rsid w:val="00F153A0"/>
    <w:rPr>
      <w:color w:val="605E5C"/>
      <w:shd w:val="clear" w:color="auto" w:fill="E1DFDD"/>
    </w:rPr>
  </w:style>
  <w:style w:type="character" w:styleId="FollowedHyperlink">
    <w:name w:val="FollowedHyperlink"/>
    <w:basedOn w:val="DefaultParagraphFont"/>
    <w:uiPriority w:val="99"/>
    <w:semiHidden/>
    <w:unhideWhenUsed/>
    <w:rsid w:val="00A57245"/>
    <w:rPr>
      <w:color w:val="96607D" w:themeColor="followedHyperlink"/>
      <w:u w:val="single"/>
    </w:rPr>
  </w:style>
  <w:style w:type="character" w:styleId="CommentReference">
    <w:name w:val="annotation reference"/>
    <w:basedOn w:val="DefaultParagraphFont"/>
    <w:uiPriority w:val="99"/>
    <w:semiHidden/>
    <w:unhideWhenUsed/>
    <w:rsid w:val="000A5505"/>
    <w:rPr>
      <w:sz w:val="16"/>
      <w:szCs w:val="16"/>
    </w:rPr>
  </w:style>
  <w:style w:type="paragraph" w:styleId="CommentText">
    <w:name w:val="annotation text"/>
    <w:basedOn w:val="Normal"/>
    <w:link w:val="CommentTextChar"/>
    <w:uiPriority w:val="99"/>
    <w:unhideWhenUsed/>
    <w:rsid w:val="000A5505"/>
    <w:pPr>
      <w:spacing w:line="240" w:lineRule="auto"/>
    </w:pPr>
    <w:rPr>
      <w:szCs w:val="20"/>
    </w:rPr>
  </w:style>
  <w:style w:type="character" w:customStyle="1" w:styleId="CommentTextChar">
    <w:name w:val="Comment Text Char"/>
    <w:basedOn w:val="DefaultParagraphFont"/>
    <w:link w:val="CommentText"/>
    <w:uiPriority w:val="99"/>
    <w:rsid w:val="000A5505"/>
    <w:rPr>
      <w:rFonts w:ascii="Arial" w:hAnsi="Arial" w:cs="Myriad Pro"/>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0A5505"/>
    <w:rPr>
      <w:b/>
      <w:bCs/>
    </w:rPr>
  </w:style>
  <w:style w:type="character" w:customStyle="1" w:styleId="CommentSubjectChar">
    <w:name w:val="Comment Subject Char"/>
    <w:basedOn w:val="CommentTextChar"/>
    <w:link w:val="CommentSubject"/>
    <w:uiPriority w:val="99"/>
    <w:semiHidden/>
    <w:rsid w:val="000A5505"/>
    <w:rPr>
      <w:rFonts w:ascii="Arial" w:hAnsi="Arial" w:cs="Myriad Pro"/>
      <w:b/>
      <w:bCs/>
      <w:kern w:val="0"/>
      <w:sz w:val="20"/>
      <w:szCs w:val="20"/>
      <w:lang w:val="en-US" w:bidi="en-US"/>
      <w14:ligatures w14:val="none"/>
    </w:rPr>
  </w:style>
  <w:style w:type="paragraph" w:styleId="Revision">
    <w:name w:val="Revision"/>
    <w:hidden/>
    <w:uiPriority w:val="99"/>
    <w:semiHidden/>
    <w:rsid w:val="000A5505"/>
    <w:rPr>
      <w:rFonts w:ascii="Arial" w:hAnsi="Arial" w:cs="Myriad Pro"/>
      <w:kern w:val="0"/>
      <w:sz w:val="20"/>
      <w:szCs w:val="22"/>
      <w:lang w:val="en-US" w:bidi="en-US"/>
      <w14:ligatures w14:val="none"/>
    </w:rPr>
  </w:style>
  <w:style w:type="paragraph" w:styleId="Date">
    <w:name w:val="Date"/>
    <w:basedOn w:val="Normal"/>
    <w:next w:val="Normal"/>
    <w:link w:val="DateChar"/>
    <w:uiPriority w:val="99"/>
    <w:unhideWhenUsed/>
    <w:rsid w:val="007C3A56"/>
    <w:pPr>
      <w:widowControl/>
      <w:tabs>
        <w:tab w:val="left" w:pos="227"/>
      </w:tabs>
      <w:suppressAutoHyphens/>
      <w:adjustRightInd w:val="0"/>
      <w:spacing w:after="170" w:line="240" w:lineRule="atLeast"/>
      <w:textAlignment w:val="center"/>
    </w:pPr>
    <w:rPr>
      <w:rFonts w:cs="Arial"/>
      <w:b/>
      <w:bCs/>
      <w:color w:val="000000"/>
      <w:sz w:val="28"/>
      <w:szCs w:val="28"/>
      <w:lang w:val="en-GB" w:bidi="ar-SA"/>
      <w14:ligatures w14:val="standardContextual"/>
    </w:rPr>
  </w:style>
  <w:style w:type="character" w:customStyle="1" w:styleId="DateChar">
    <w:name w:val="Date Char"/>
    <w:basedOn w:val="DefaultParagraphFont"/>
    <w:link w:val="Date"/>
    <w:uiPriority w:val="99"/>
    <w:rsid w:val="007C3A56"/>
    <w:rPr>
      <w:rFonts w:ascii="Arial" w:hAnsi="Arial" w:cs="Arial"/>
      <w:b/>
      <w:bCs/>
      <w:color w:val="000000"/>
      <w:kern w:val="0"/>
      <w:sz w:val="28"/>
      <w:szCs w:val="28"/>
      <w:lang w:val="en-GB"/>
    </w:rPr>
  </w:style>
  <w:style w:type="paragraph" w:styleId="ListBullet">
    <w:name w:val="List Bullet"/>
    <w:basedOn w:val="Normal"/>
    <w:uiPriority w:val="99"/>
    <w:unhideWhenUsed/>
    <w:rsid w:val="00607ED1"/>
    <w:pPr>
      <w:numPr>
        <w:numId w:val="18"/>
      </w:numPr>
      <w:tabs>
        <w:tab w:val="clear" w:pos="360"/>
      </w:tabs>
      <w:ind w:left="697" w:hanging="357"/>
      <w:contextualSpacing/>
    </w:pPr>
  </w:style>
  <w:style w:type="character" w:styleId="Strong">
    <w:name w:val="Strong"/>
    <w:basedOn w:val="DefaultParagraphFont"/>
    <w:uiPriority w:val="22"/>
    <w:qFormat/>
    <w:rsid w:val="00607ED1"/>
    <w:rPr>
      <w:b/>
      <w:bCs/>
    </w:rPr>
  </w:style>
  <w:style w:type="character" w:styleId="Emphasis">
    <w:name w:val="Emphasis"/>
    <w:basedOn w:val="DefaultParagraphFont"/>
    <w:uiPriority w:val="20"/>
    <w:qFormat/>
    <w:rsid w:val="002C662A"/>
    <w:rPr>
      <w:i/>
      <w:iCs/>
      <w:lang w:val="en-GB" w:bidi="ar-SA"/>
    </w:rPr>
  </w:style>
  <w:style w:type="paragraph" w:styleId="ListNumber2">
    <w:name w:val="List Number 2"/>
    <w:basedOn w:val="Normal"/>
    <w:uiPriority w:val="99"/>
    <w:unhideWhenUsed/>
    <w:rsid w:val="00607ED1"/>
    <w:pPr>
      <w:widowControl/>
      <w:numPr>
        <w:numId w:val="20"/>
      </w:numPr>
      <w:suppressAutoHyphens/>
      <w:adjustRightInd w:val="0"/>
      <w:spacing w:after="57" w:line="240" w:lineRule="atLeast"/>
      <w:ind w:left="357" w:hanging="357"/>
      <w:textAlignment w:val="center"/>
    </w:pPr>
    <w:rPr>
      <w:rFonts w:cs="Arial"/>
      <w:color w:val="000000"/>
      <w:szCs w:val="20"/>
      <w:lang w:val="en-GB" w:bidi="ar-SA"/>
      <w14:ligatures w14:val="standardContextual"/>
    </w:rPr>
  </w:style>
  <w:style w:type="paragraph" w:styleId="ListBullet2">
    <w:name w:val="List Bullet 2"/>
    <w:basedOn w:val="Normal"/>
    <w:uiPriority w:val="99"/>
    <w:unhideWhenUsed/>
    <w:rsid w:val="00607ED1"/>
    <w:pPr>
      <w:numPr>
        <w:numId w:val="21"/>
      </w:numPr>
      <w:ind w:left="1134" w:hanging="357"/>
      <w:contextualSpacing/>
    </w:pPr>
  </w:style>
  <w:style w:type="paragraph" w:styleId="ListNumber3">
    <w:name w:val="List Number 3"/>
    <w:basedOn w:val="ListParagraph"/>
    <w:uiPriority w:val="99"/>
    <w:unhideWhenUsed/>
    <w:rsid w:val="00DD2069"/>
    <w:pPr>
      <w:widowControl/>
      <w:numPr>
        <w:numId w:val="14"/>
      </w:numPr>
      <w:tabs>
        <w:tab w:val="left" w:pos="227"/>
      </w:tabs>
      <w:suppressAutoHyphens/>
      <w:adjustRightInd w:val="0"/>
      <w:spacing w:after="113" w:line="240" w:lineRule="atLeast"/>
      <w:textAlignment w:val="center"/>
    </w:pPr>
    <w:rPr>
      <w:rFonts w:cs="Arial"/>
      <w:color w:val="000000"/>
      <w:szCs w:val="20"/>
      <w:lang w:val="en-GB" w:bidi="ar-SA"/>
      <w14:ligatures w14:val="standardContextual"/>
    </w:rPr>
  </w:style>
  <w:style w:type="paragraph" w:styleId="ListNumber4">
    <w:name w:val="List Number 4"/>
    <w:basedOn w:val="ListNumber5"/>
    <w:uiPriority w:val="99"/>
    <w:unhideWhenUsed/>
    <w:rsid w:val="00317E6C"/>
    <w:pPr>
      <w:numPr>
        <w:numId w:val="26"/>
      </w:numPr>
      <w:ind w:left="641" w:hanging="357"/>
    </w:pPr>
  </w:style>
  <w:style w:type="paragraph" w:styleId="ListNumber5">
    <w:name w:val="List Number 5"/>
    <w:basedOn w:val="Normal"/>
    <w:uiPriority w:val="99"/>
    <w:unhideWhenUsed/>
    <w:rsid w:val="00317E6C"/>
    <w:pPr>
      <w:contextualSpacing/>
    </w:pPr>
  </w:style>
  <w:style w:type="paragraph" w:styleId="ListNumber">
    <w:name w:val="List Number"/>
    <w:basedOn w:val="Normal"/>
    <w:uiPriority w:val="99"/>
    <w:unhideWhenUsed/>
    <w:rsid w:val="001E45AA"/>
    <w:pPr>
      <w:numPr>
        <w:numId w:val="41"/>
      </w:numPr>
      <w:ind w:left="426"/>
      <w:contextualSpacing/>
    </w:pPr>
    <w:rPr>
      <w:szCs w:val="20"/>
      <w:lang w:val="en-GB" w:bidi="ar-SA"/>
    </w:rPr>
  </w:style>
  <w:style w:type="paragraph" w:styleId="List">
    <w:name w:val="List"/>
    <w:basedOn w:val="Normal"/>
    <w:uiPriority w:val="99"/>
    <w:unhideWhenUsed/>
    <w:rsid w:val="00317E6C"/>
    <w:pPr>
      <w:ind w:left="624"/>
      <w:contextualSpacing/>
    </w:pPr>
    <w:rPr>
      <w:lang w:val="en-GB" w:bidi="ar-SA"/>
    </w:rPr>
  </w:style>
  <w:style w:type="paragraph" w:styleId="TOCHeading">
    <w:name w:val="TOC Heading"/>
    <w:basedOn w:val="Heading1"/>
    <w:next w:val="Normal"/>
    <w:uiPriority w:val="39"/>
    <w:unhideWhenUsed/>
    <w:qFormat/>
    <w:rsid w:val="00B95483"/>
    <w:pPr>
      <w:widowControl/>
      <w:numPr>
        <w:numId w:val="0"/>
      </w:numPr>
      <w:autoSpaceDE/>
      <w:autoSpaceDN/>
      <w:spacing w:after="0" w:line="259" w:lineRule="auto"/>
      <w:outlineLvl w:val="9"/>
    </w:pPr>
    <w:rPr>
      <w:rFonts w:asciiTheme="majorHAnsi" w:hAnsiTheme="majorHAnsi" w:cstheme="majorBidi"/>
      <w:b/>
      <w:lang w:val="en-AU"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ilto:livingorgandonation@health.gov.a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ombudsman.gov.au/" TargetMode="External"/><Relationship Id="rId7" Type="http://schemas.openxmlformats.org/officeDocument/2006/relationships/settings" Target="settings.xml"/><Relationship Id="rId12" Type="http://schemas.openxmlformats.org/officeDocument/2006/relationships/hyperlink" Target="mailto:livingorgandonation@health.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livingorgandonation@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supporting-living-organ-donors-progra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irwork.gov.au/pay-and-wages/minimum-wa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fairwork.gov.au/pay-and-wages/minimum-wag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C9B61F66557D74F9AC80A01ADC5CDC2" ma:contentTypeVersion="3" ma:contentTypeDescription="Create a new document." ma:contentTypeScope="" ma:versionID="5da91f26f37ab1da78580e14c086cdf6">
  <xsd:schema xmlns:xsd="http://www.w3.org/2001/XMLSchema" xmlns:xs="http://www.w3.org/2001/XMLSchema" xmlns:p="http://schemas.microsoft.com/office/2006/metadata/properties" xmlns:ns2="2db27af6-cab5-43b6-be87-571c99b3f8d4" targetNamespace="http://schemas.microsoft.com/office/2006/metadata/properties" ma:root="true" ma:fieldsID="57f614070187f04e53ae9a435b0613b1" ns2:_="">
    <xsd:import namespace="2db27af6-cab5-43b6-be87-571c99b3f8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27af6-cab5-43b6-be87-571c99b3f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A6315-3FA2-4840-91A4-EAD9D8EDB474}">
  <ds:schemaRefs>
    <ds:schemaRef ds:uri="http://schemas.microsoft.com/sharepoint/v3/contenttype/forms"/>
  </ds:schemaRefs>
</ds:datastoreItem>
</file>

<file path=customXml/itemProps2.xml><?xml version="1.0" encoding="utf-8"?>
<ds:datastoreItem xmlns:ds="http://schemas.openxmlformats.org/officeDocument/2006/customXml" ds:itemID="{65E04025-F679-4ACE-A22A-1BA34A3F1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38FED-51CC-5B45-A370-E80396F4F360}">
  <ds:schemaRefs>
    <ds:schemaRef ds:uri="http://schemas.openxmlformats.org/officeDocument/2006/bibliography"/>
  </ds:schemaRefs>
</ds:datastoreItem>
</file>

<file path=customXml/itemProps4.xml><?xml version="1.0" encoding="utf-8"?>
<ds:datastoreItem xmlns:ds="http://schemas.openxmlformats.org/officeDocument/2006/customXml" ds:itemID="{8F5C7A99-0679-434A-BBB4-E374E2C4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27af6-cab5-43b6-be87-571c99b3f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21</Pages>
  <Words>6665</Words>
  <Characters>37997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Supporting Living Organ Donors Program – Guidelines</vt:lpstr>
    </vt:vector>
  </TitlesOfParts>
  <Company/>
  <LinksUpToDate>false</LinksUpToDate>
  <CharactersWithSpaces>44573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Living Organ Donors Program – Guidelines</dc:title>
  <dc:subject>Supporting Living Organ Donors</dc:subject>
  <dc:creator>Australian Government Department of Health, Disability and Ageing</dc:creator>
  <cp:keywords>Supporting Living Organ Donors Program; Organ and tissue donation</cp:keywords>
  <dc:description/>
  <cp:lastModifiedBy>MASCHKE, Elvia</cp:lastModifiedBy>
  <cp:revision>15</cp:revision>
  <dcterms:created xsi:type="dcterms:W3CDTF">2026-07-15T01:44:00Z</dcterms:created>
  <dcterms:modified xsi:type="dcterms:W3CDTF">2026-07-17T03:12:00Z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58f22311,5b457154,32524ca5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5e60385e,7a00adcf,24335d61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2026-06-05T03:22:29Z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44699ba0-936b-4ce1-984e-801f41aa943d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0x0101005C9B61F66557D74F9AC80A01ADC5CDC2</vt:lpwstr>
  </property>
</Properties>
</file>