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9970" w14:textId="470DB1B4" w:rsidR="00280050" w:rsidRDefault="000A5C2B" w:rsidP="00322906">
      <w:pPr>
        <w:pStyle w:val="Heading1"/>
      </w:pPr>
      <w:r>
        <w:t xml:space="preserve">Practitioner Review Program – Key </w:t>
      </w:r>
      <w:r w:rsidR="00571F03">
        <w:t>S</w:t>
      </w:r>
      <w:r>
        <w:t>tatistics</w:t>
      </w:r>
    </w:p>
    <w:p w14:paraId="332E5C92" w14:textId="6F31D0DF" w:rsidR="009E14A1" w:rsidRPr="00A62EE9" w:rsidRDefault="000E17E4" w:rsidP="006414FD">
      <w:r>
        <w:t xml:space="preserve">Information on </w:t>
      </w:r>
      <w:r w:rsidR="00C84D2D">
        <w:t xml:space="preserve">key statistics for case </w:t>
      </w:r>
      <w:r w:rsidR="00A46BDC">
        <w:t>reviews and outcomes</w:t>
      </w:r>
      <w:r w:rsidR="00C84D2D">
        <w:t xml:space="preserve"> under the Practitioner Review Program, including</w:t>
      </w:r>
      <w:r w:rsidR="003A1D8C">
        <w:t xml:space="preserve"> case progress</w:t>
      </w:r>
      <w:r w:rsidR="00134CC1">
        <w:t>ion</w:t>
      </w:r>
      <w:r w:rsidR="005C6FF0">
        <w:t xml:space="preserve"> </w:t>
      </w:r>
      <w:r w:rsidR="003A1D8C">
        <w:t>an</w:t>
      </w:r>
      <w:r w:rsidR="005C6FF0">
        <w:t>d an</w:t>
      </w:r>
      <w:r w:rsidR="003A1D8C">
        <w:t xml:space="preserve"> overview of requests </w:t>
      </w:r>
      <w:r w:rsidR="005C6FF0">
        <w:t xml:space="preserve">made </w:t>
      </w:r>
      <w:r w:rsidR="003A1D8C">
        <w:t>to the Director PSR</w:t>
      </w:r>
      <w:r w:rsidR="00C84D2D">
        <w:t xml:space="preserve">.  </w:t>
      </w:r>
    </w:p>
    <w:p w14:paraId="1B21D016" w14:textId="46ADC4E2" w:rsidR="009E14A1" w:rsidRPr="009E14A1" w:rsidRDefault="00804196" w:rsidP="00322906">
      <w:pPr>
        <w:pStyle w:val="Heading2"/>
      </w:pPr>
      <w:r>
        <w:t>Case progression and closures under the PRP</w:t>
      </w:r>
    </w:p>
    <w:p w14:paraId="2FD2B04E" w14:textId="7E398573" w:rsidR="000304DC" w:rsidRDefault="000304DC" w:rsidP="000304DC">
      <w:pPr>
        <w:rPr>
          <w:b/>
          <w:bCs/>
        </w:rPr>
      </w:pPr>
      <w:r w:rsidRPr="000304DC">
        <w:t>The graph below shows the progress of cases reviewed under the PRP and the point at which the case was closed during review</w:t>
      </w:r>
      <w:r>
        <w:t>:</w:t>
      </w:r>
      <w:r w:rsidRPr="000304DC">
        <w:t xml:space="preserve"> </w:t>
      </w:r>
    </w:p>
    <w:p w14:paraId="1EA4C8DF" w14:textId="1F57A073" w:rsidR="000304DC" w:rsidRPr="00322906" w:rsidRDefault="000304DC" w:rsidP="00322906">
      <w:pPr>
        <w:pStyle w:val="Heading3"/>
      </w:pPr>
      <w:r w:rsidRPr="000304DC">
        <w:t xml:space="preserve">PRP Cases Closed by Outcome (for </w:t>
      </w:r>
      <w:r w:rsidR="00D976AA">
        <w:t>Apr</w:t>
      </w:r>
      <w:r w:rsidR="001904FE">
        <w:t>–</w:t>
      </w:r>
      <w:r w:rsidRPr="000304DC">
        <w:t xml:space="preserve"> </w:t>
      </w:r>
      <w:r w:rsidR="00D976AA">
        <w:t>Jun</w:t>
      </w:r>
      <w:r w:rsidRPr="000304DC">
        <w:t xml:space="preserve"> 2026)</w:t>
      </w:r>
    </w:p>
    <w:p w14:paraId="32BAC7FD" w14:textId="271D8B2B" w:rsidR="000304DC" w:rsidRPr="000304DC" w:rsidRDefault="006001F1" w:rsidP="000304DC">
      <w:r w:rsidRPr="006001F1">
        <w:rPr>
          <w:noProof/>
        </w:rPr>
        <w:drawing>
          <wp:inline distT="0" distB="0" distL="0" distR="0" wp14:anchorId="3370C9A4" wp14:editId="4F756300">
            <wp:extent cx="4876800" cy="2956260"/>
            <wp:effectExtent l="0" t="0" r="0" b="0"/>
            <wp:docPr id="1412803285" name="Picture 1" descr="A graph showing cases closed by PRP outcome for April to June 2026. It shows 34 cased closed in April 2026, 32 cases closed in May 2026 and 26 cases closed in Jun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3285" name="Picture 1" descr="A graph showing cases closed by PRP outcome for April to June 2026. It shows 34 cased closed in April 2026, 32 cases closed in May 2026 and 26 cases closed in June 2026"/>
                    <pic:cNvPicPr/>
                  </pic:nvPicPr>
                  <pic:blipFill>
                    <a:blip r:embed="rId11"/>
                    <a:stretch>
                      <a:fillRect/>
                    </a:stretch>
                  </pic:blipFill>
                  <pic:spPr>
                    <a:xfrm>
                      <a:off x="0" y="0"/>
                      <a:ext cx="4892104" cy="2965537"/>
                    </a:xfrm>
                    <a:prstGeom prst="rect">
                      <a:avLst/>
                    </a:prstGeom>
                  </pic:spPr>
                </pic:pic>
              </a:graphicData>
            </a:graphic>
          </wp:inline>
        </w:drawing>
      </w:r>
    </w:p>
    <w:p w14:paraId="34C7F3D5" w14:textId="5B1AE46A" w:rsidR="000304DC" w:rsidRPr="000304DC" w:rsidRDefault="008026A1" w:rsidP="000304DC">
      <w:r>
        <w:t>For reference, p</w:t>
      </w:r>
      <w:r w:rsidR="000304DC" w:rsidRPr="000304DC">
        <w:t>oints of closure captured with descriptions are:</w:t>
      </w:r>
    </w:p>
    <w:p w14:paraId="75E20818" w14:textId="77777777" w:rsidR="000304DC" w:rsidRPr="00C77DBA" w:rsidRDefault="000304DC" w:rsidP="00C77DBA">
      <w:pPr>
        <w:pStyle w:val="ListBullet"/>
      </w:pPr>
      <w:r w:rsidRPr="00C77DBA">
        <w:t>Closed before interview: Case accepted for review under PRP after preliminary assessment by a Professional Adviser. Subsequently closed after further assessment (pre-interview work up) by a Professional Adviser and prior to any contact initiated – not/no longer suitable for PRP review.</w:t>
      </w:r>
    </w:p>
    <w:p w14:paraId="7B5D7920" w14:textId="77777777" w:rsidR="000304DC" w:rsidRPr="00C77DBA" w:rsidRDefault="000304DC" w:rsidP="00C77DBA">
      <w:pPr>
        <w:pStyle w:val="ListBullet"/>
      </w:pPr>
      <w:r w:rsidRPr="00C77DBA">
        <w:t>Closed after interview: Practitioner was interviewed and concerns were addressed after additional information was provided at interview. Case was closed with no further action.</w:t>
      </w:r>
    </w:p>
    <w:p w14:paraId="4BFCBCEE" w14:textId="77777777" w:rsidR="000304DC" w:rsidRPr="00C77DBA" w:rsidRDefault="000304DC" w:rsidP="00C77DBA">
      <w:pPr>
        <w:pStyle w:val="ListBullet"/>
      </w:pPr>
      <w:r w:rsidRPr="00C77DBA">
        <w:t>Closed after review: Practitioner was offered a 6-month period of review. A review of the practitioner’s data after this period resulted in the case being closed with no further action.</w:t>
      </w:r>
    </w:p>
    <w:p w14:paraId="39E8DD7D" w14:textId="786A8540" w:rsidR="000304DC" w:rsidRPr="00C77DBA" w:rsidRDefault="000304DC" w:rsidP="00C77DBA">
      <w:pPr>
        <w:pStyle w:val="ListBullet"/>
      </w:pPr>
      <w:r w:rsidRPr="00C77DBA">
        <w:t>Requests to DPSR: Request made to the Director PSR for review under s86 of the Health</w:t>
      </w:r>
      <w:r w:rsidR="00491C43" w:rsidRPr="00C77DBA">
        <w:t> </w:t>
      </w:r>
      <w:r w:rsidRPr="00C77DBA">
        <w:t>Insurance Act 1973 by a delegate of the Chief Executive Medicare.</w:t>
      </w:r>
    </w:p>
    <w:p w14:paraId="3585D4E2" w14:textId="77777777" w:rsidR="000304DC" w:rsidRPr="00C77DBA" w:rsidRDefault="000304DC" w:rsidP="00C77DBA">
      <w:pPr>
        <w:pStyle w:val="ListBullet"/>
      </w:pPr>
      <w:r w:rsidRPr="00C77DBA">
        <w:t>Closed (NFA) by Delegate: Case closed after delegate review as unsuitable for PSR referral. This may be because concerns are not considered sufficient to warrant PSR review or additional information is provided to reduce/remove concerns.</w:t>
      </w:r>
    </w:p>
    <w:p w14:paraId="7DB25FB5" w14:textId="37D2ED65" w:rsidR="008026A1" w:rsidRDefault="00A862AE" w:rsidP="00D03455">
      <w:pPr>
        <w:pStyle w:val="Heading2"/>
      </w:pPr>
      <w:r>
        <w:lastRenderedPageBreak/>
        <w:t xml:space="preserve">Requests to </w:t>
      </w:r>
      <w:r w:rsidR="00AC03DD">
        <w:t xml:space="preserve">the Director </w:t>
      </w:r>
      <w:r>
        <w:t>PSR</w:t>
      </w:r>
    </w:p>
    <w:p w14:paraId="54B38C87" w14:textId="5E956DD7" w:rsidR="00B2496C" w:rsidRPr="00B2496C" w:rsidRDefault="00B2496C" w:rsidP="00B2496C">
      <w:r>
        <w:t>The following tables include an overview of requests made to the Director PSR</w:t>
      </w:r>
      <w:r w:rsidR="00B03670">
        <w:t xml:space="preserve"> (DPSR).</w:t>
      </w:r>
    </w:p>
    <w:p w14:paraId="14D78D0C" w14:textId="6CE4B70B" w:rsidR="008026A1" w:rsidRPr="00643D3B" w:rsidRDefault="00C61DFF" w:rsidP="005D3569">
      <w:pPr>
        <w:pStyle w:val="Heading3"/>
      </w:pPr>
      <w:r w:rsidRPr="00A862AE">
        <w:t xml:space="preserve">Requests for review made to </w:t>
      </w:r>
      <w:r w:rsidR="00B03670">
        <w:t>D</w:t>
      </w:r>
      <w:r w:rsidRPr="00A862AE">
        <w:t>PSR by</w:t>
      </w:r>
      <w:r w:rsidR="00DC4C55" w:rsidRPr="00A862AE">
        <w:t xml:space="preserve"> specialt</w:t>
      </w:r>
      <w:r w:rsidR="005C4961">
        <w:t>y</w:t>
      </w:r>
      <w:r w:rsidR="00BB5340">
        <w:t>:</w:t>
      </w:r>
    </w:p>
    <w:tbl>
      <w:tblPr>
        <w:tblStyle w:val="TableGrid"/>
        <w:tblpPr w:leftFromText="180" w:rightFromText="180" w:vertAnchor="text" w:tblpY="1"/>
        <w:tblW w:w="9209" w:type="dxa"/>
        <w:tblLook w:val="04A0" w:firstRow="1" w:lastRow="0" w:firstColumn="1" w:lastColumn="0" w:noHBand="0" w:noVBand="1"/>
      </w:tblPr>
      <w:tblGrid>
        <w:gridCol w:w="1049"/>
        <w:gridCol w:w="705"/>
        <w:gridCol w:w="1197"/>
        <w:gridCol w:w="705"/>
        <w:gridCol w:w="1197"/>
        <w:gridCol w:w="705"/>
        <w:gridCol w:w="1197"/>
        <w:gridCol w:w="705"/>
        <w:gridCol w:w="1197"/>
        <w:gridCol w:w="783"/>
      </w:tblGrid>
      <w:tr w:rsidR="00AB360C" w:rsidRPr="00AB360C" w14:paraId="324620EA" w14:textId="77777777" w:rsidTr="00774C6A">
        <w:trPr>
          <w:cnfStyle w:val="100000000000" w:firstRow="1" w:lastRow="0" w:firstColumn="0" w:lastColumn="0" w:oddVBand="0" w:evenVBand="0" w:oddHBand="0" w:evenHBand="0" w:firstRowFirstColumn="0" w:firstRowLastColumn="0" w:lastRowFirstColumn="0" w:lastRowLastColumn="0"/>
          <w:trHeight w:val="240"/>
          <w:tblHeader/>
        </w:trPr>
        <w:tc>
          <w:tcPr>
            <w:tcW w:w="0" w:type="auto"/>
            <w:vMerge w:val="restart"/>
            <w:hideMark/>
          </w:tcPr>
          <w:p w14:paraId="0F460254" w14:textId="658BFA17" w:rsidR="00AB360C" w:rsidRPr="00E26EEE" w:rsidRDefault="00AB360C" w:rsidP="00E26EEE">
            <w:pPr>
              <w:pStyle w:val="TableofFigures"/>
              <w:framePr w:hSpace="0" w:wrap="auto" w:vAnchor="margin" w:yAlign="inline"/>
            </w:pPr>
            <w:r w:rsidRPr="00E26EEE">
              <w:rPr>
                <w:rFonts w:ascii="Arial" w:hAnsi="Arial" w:cs="Arial"/>
              </w:rPr>
              <w:t> </w:t>
            </w:r>
          </w:p>
        </w:tc>
        <w:tc>
          <w:tcPr>
            <w:tcW w:w="0" w:type="auto"/>
            <w:gridSpan w:val="2"/>
            <w:hideMark/>
          </w:tcPr>
          <w:p w14:paraId="0BD3FB61" w14:textId="460626D0" w:rsidR="00AB360C" w:rsidRPr="00E26EEE" w:rsidRDefault="00AB360C" w:rsidP="00E26EEE">
            <w:pPr>
              <w:pStyle w:val="TableofFigures"/>
              <w:framePr w:hSpace="0" w:wrap="auto" w:vAnchor="margin" w:yAlign="inline"/>
            </w:pPr>
            <w:r w:rsidRPr="00E26EEE">
              <w:t>GPs, GP Trainees and OMPs</w:t>
            </w:r>
          </w:p>
        </w:tc>
        <w:tc>
          <w:tcPr>
            <w:tcW w:w="0" w:type="auto"/>
            <w:gridSpan w:val="2"/>
            <w:hideMark/>
          </w:tcPr>
          <w:p w14:paraId="5E5F67D1" w14:textId="750BC6F6" w:rsidR="00AB360C" w:rsidRPr="00E26EEE" w:rsidRDefault="00AB360C" w:rsidP="00E26EEE">
            <w:pPr>
              <w:pStyle w:val="TableofFigures"/>
              <w:framePr w:hSpace="0" w:wrap="auto" w:vAnchor="margin" w:yAlign="inline"/>
            </w:pPr>
            <w:r w:rsidRPr="00E26EEE">
              <w:t>Non-GP Medical Specialists</w:t>
            </w:r>
          </w:p>
        </w:tc>
        <w:tc>
          <w:tcPr>
            <w:tcW w:w="0" w:type="auto"/>
            <w:gridSpan w:val="2"/>
            <w:hideMark/>
          </w:tcPr>
          <w:p w14:paraId="0D1EA3E1" w14:textId="5FDCBD8E" w:rsidR="00AB360C" w:rsidRPr="00E26EEE" w:rsidRDefault="00AB360C" w:rsidP="00E26EEE">
            <w:pPr>
              <w:pStyle w:val="TableofFigures"/>
              <w:framePr w:hSpace="0" w:wrap="auto" w:vAnchor="margin" w:yAlign="inline"/>
            </w:pPr>
            <w:r w:rsidRPr="00E26EEE">
              <w:t>Allied Health</w:t>
            </w:r>
          </w:p>
        </w:tc>
        <w:tc>
          <w:tcPr>
            <w:tcW w:w="0" w:type="auto"/>
            <w:gridSpan w:val="2"/>
            <w:hideMark/>
          </w:tcPr>
          <w:p w14:paraId="6B81B83E" w14:textId="77777777" w:rsidR="00AB360C" w:rsidRPr="00E26EEE" w:rsidRDefault="00AB360C" w:rsidP="00E26EEE">
            <w:pPr>
              <w:pStyle w:val="TableofFigures"/>
              <w:framePr w:hSpace="0" w:wrap="auto" w:vAnchor="margin" w:yAlign="inline"/>
            </w:pPr>
            <w:r w:rsidRPr="00E26EEE">
              <w:t>Body Corporate</w:t>
            </w:r>
          </w:p>
        </w:tc>
        <w:tc>
          <w:tcPr>
            <w:tcW w:w="947" w:type="dxa"/>
            <w:hideMark/>
          </w:tcPr>
          <w:p w14:paraId="6A8603A1" w14:textId="3260E9E5" w:rsidR="00AB360C" w:rsidRPr="00E26EEE" w:rsidRDefault="00AB360C" w:rsidP="00E26EEE">
            <w:pPr>
              <w:pStyle w:val="TableofFigures"/>
              <w:framePr w:hSpace="0" w:wrap="auto" w:vAnchor="margin" w:yAlign="inline"/>
            </w:pPr>
            <w:r w:rsidRPr="00E26EEE">
              <w:t>TOTAL</w:t>
            </w:r>
          </w:p>
        </w:tc>
      </w:tr>
      <w:tr w:rsidR="00AB360C" w:rsidRPr="00AB360C" w14:paraId="58510606" w14:textId="77777777" w:rsidTr="00774C6A">
        <w:trPr>
          <w:cnfStyle w:val="100000000000" w:firstRow="1" w:lastRow="0" w:firstColumn="0" w:lastColumn="0" w:oddVBand="0" w:evenVBand="0" w:oddHBand="0" w:evenHBand="0" w:firstRowFirstColumn="0" w:firstRowLastColumn="0" w:lastRowFirstColumn="0" w:lastRowLastColumn="0"/>
          <w:trHeight w:val="270"/>
          <w:tblHeader/>
        </w:trPr>
        <w:tc>
          <w:tcPr>
            <w:tcW w:w="0" w:type="auto"/>
            <w:vMerge/>
            <w:hideMark/>
          </w:tcPr>
          <w:p w14:paraId="47697A4A" w14:textId="77777777" w:rsidR="00AB360C" w:rsidRPr="00E26EEE" w:rsidRDefault="00AB360C" w:rsidP="00E26EEE">
            <w:pPr>
              <w:pStyle w:val="TableofFigures"/>
              <w:framePr w:hSpace="0" w:wrap="auto" w:vAnchor="margin" w:yAlign="inline"/>
            </w:pPr>
          </w:p>
        </w:tc>
        <w:tc>
          <w:tcPr>
            <w:tcW w:w="0" w:type="auto"/>
            <w:hideMark/>
          </w:tcPr>
          <w:p w14:paraId="34853516" w14:textId="6773EE5B" w:rsidR="00AB360C" w:rsidRPr="00E26EEE" w:rsidRDefault="00AB360C" w:rsidP="00E26EEE">
            <w:pPr>
              <w:pStyle w:val="TableofFigures"/>
              <w:framePr w:hSpace="0" w:wrap="auto" w:vAnchor="margin" w:yAlign="inline"/>
            </w:pPr>
            <w:r w:rsidRPr="00E26EEE">
              <w:t>Cases</w:t>
            </w:r>
          </w:p>
        </w:tc>
        <w:tc>
          <w:tcPr>
            <w:tcW w:w="0" w:type="auto"/>
            <w:hideMark/>
          </w:tcPr>
          <w:p w14:paraId="75525C6A" w14:textId="74CC94C3" w:rsidR="00AB360C" w:rsidRPr="00E26EEE" w:rsidRDefault="00AB360C" w:rsidP="00E26EEE">
            <w:pPr>
              <w:pStyle w:val="TableofFigures"/>
              <w:framePr w:hSpace="0" w:wrap="auto" w:vAnchor="margin" w:yAlign="inline"/>
            </w:pPr>
            <w:r w:rsidRPr="00E26EEE">
              <w:t>Percentage</w:t>
            </w:r>
          </w:p>
        </w:tc>
        <w:tc>
          <w:tcPr>
            <w:tcW w:w="0" w:type="auto"/>
            <w:hideMark/>
          </w:tcPr>
          <w:p w14:paraId="73B03D06" w14:textId="73BEABAA" w:rsidR="00AB360C" w:rsidRPr="00E26EEE" w:rsidRDefault="00AB360C" w:rsidP="00E26EEE">
            <w:pPr>
              <w:pStyle w:val="TableofFigures"/>
              <w:framePr w:hSpace="0" w:wrap="auto" w:vAnchor="margin" w:yAlign="inline"/>
            </w:pPr>
            <w:r w:rsidRPr="00E26EEE">
              <w:t>Cases</w:t>
            </w:r>
          </w:p>
        </w:tc>
        <w:tc>
          <w:tcPr>
            <w:tcW w:w="0" w:type="auto"/>
            <w:hideMark/>
          </w:tcPr>
          <w:p w14:paraId="4B220C62" w14:textId="5354B55E" w:rsidR="00AB360C" w:rsidRPr="00E26EEE" w:rsidRDefault="00AB360C" w:rsidP="00E26EEE">
            <w:pPr>
              <w:pStyle w:val="TableofFigures"/>
              <w:framePr w:hSpace="0" w:wrap="auto" w:vAnchor="margin" w:yAlign="inline"/>
            </w:pPr>
            <w:r w:rsidRPr="00E26EEE">
              <w:t>Percentage</w:t>
            </w:r>
          </w:p>
        </w:tc>
        <w:tc>
          <w:tcPr>
            <w:tcW w:w="0" w:type="auto"/>
            <w:hideMark/>
          </w:tcPr>
          <w:p w14:paraId="7441F985" w14:textId="542966AC" w:rsidR="00AB360C" w:rsidRPr="00E26EEE" w:rsidRDefault="00AB360C" w:rsidP="00E26EEE">
            <w:pPr>
              <w:pStyle w:val="TableofFigures"/>
              <w:framePr w:hSpace="0" w:wrap="auto" w:vAnchor="margin" w:yAlign="inline"/>
            </w:pPr>
            <w:r w:rsidRPr="00E26EEE">
              <w:t>Cases</w:t>
            </w:r>
          </w:p>
        </w:tc>
        <w:tc>
          <w:tcPr>
            <w:tcW w:w="0" w:type="auto"/>
            <w:hideMark/>
          </w:tcPr>
          <w:p w14:paraId="220E4F11" w14:textId="510BEF52" w:rsidR="00AB360C" w:rsidRPr="00E26EEE" w:rsidRDefault="00AB360C" w:rsidP="00E26EEE">
            <w:pPr>
              <w:pStyle w:val="TableofFigures"/>
              <w:framePr w:hSpace="0" w:wrap="auto" w:vAnchor="margin" w:yAlign="inline"/>
            </w:pPr>
            <w:r w:rsidRPr="00E26EEE">
              <w:t>Percentage</w:t>
            </w:r>
          </w:p>
        </w:tc>
        <w:tc>
          <w:tcPr>
            <w:tcW w:w="0" w:type="auto"/>
            <w:hideMark/>
          </w:tcPr>
          <w:p w14:paraId="19FBFA72" w14:textId="77777777" w:rsidR="00AB360C" w:rsidRPr="00E26EEE" w:rsidRDefault="00AB360C" w:rsidP="00E26EEE">
            <w:pPr>
              <w:pStyle w:val="TableofFigures"/>
              <w:framePr w:hSpace="0" w:wrap="auto" w:vAnchor="margin" w:yAlign="inline"/>
            </w:pPr>
            <w:r w:rsidRPr="00E26EEE">
              <w:t>Cases</w:t>
            </w:r>
          </w:p>
        </w:tc>
        <w:tc>
          <w:tcPr>
            <w:tcW w:w="0" w:type="auto"/>
            <w:hideMark/>
          </w:tcPr>
          <w:p w14:paraId="72C3B4E3" w14:textId="77777777" w:rsidR="00AB360C" w:rsidRPr="00E26EEE" w:rsidRDefault="00AB360C" w:rsidP="00E26EEE">
            <w:pPr>
              <w:pStyle w:val="TableofFigures"/>
              <w:framePr w:hSpace="0" w:wrap="auto" w:vAnchor="margin" w:yAlign="inline"/>
            </w:pPr>
            <w:r w:rsidRPr="00E26EEE">
              <w:t>Percentage</w:t>
            </w:r>
          </w:p>
        </w:tc>
        <w:tc>
          <w:tcPr>
            <w:tcW w:w="947" w:type="dxa"/>
            <w:hideMark/>
          </w:tcPr>
          <w:p w14:paraId="58FF619F" w14:textId="065DB65B" w:rsidR="00AB360C" w:rsidRPr="00E26EEE" w:rsidRDefault="00AB360C" w:rsidP="00E26EEE">
            <w:pPr>
              <w:pStyle w:val="TableofFigures"/>
              <w:framePr w:hSpace="0" w:wrap="auto" w:vAnchor="margin" w:yAlign="inline"/>
            </w:pPr>
            <w:r w:rsidRPr="00E26EEE">
              <w:t>Cases</w:t>
            </w:r>
          </w:p>
        </w:tc>
      </w:tr>
      <w:tr w:rsidR="00AB360C" w:rsidRPr="00AB360C" w14:paraId="75C64BCD" w14:textId="77777777" w:rsidTr="00774C6A">
        <w:trPr>
          <w:trHeight w:val="240"/>
        </w:trPr>
        <w:tc>
          <w:tcPr>
            <w:tcW w:w="0" w:type="auto"/>
            <w:hideMark/>
          </w:tcPr>
          <w:p w14:paraId="3760F849" w14:textId="51E8FDBF" w:rsidR="00AB360C" w:rsidRPr="00AB360C" w:rsidRDefault="00AB360C" w:rsidP="00A27870">
            <w:pPr>
              <w:spacing w:line="240" w:lineRule="auto"/>
              <w:textAlignment w:val="baseline"/>
              <w:rPr>
                <w:rFonts w:ascii="Times New Roman" w:hAnsi="Times New Roman"/>
                <w:sz w:val="24"/>
              </w:rPr>
            </w:pPr>
            <w:r w:rsidRPr="00AB360C">
              <w:rPr>
                <w:rFonts w:ascii="Calibri" w:hAnsi="Calibri" w:cs="Calibri"/>
                <w:b/>
                <w:bCs/>
                <w:sz w:val="24"/>
              </w:rPr>
              <w:t>2025/26</w:t>
            </w:r>
          </w:p>
        </w:tc>
        <w:tc>
          <w:tcPr>
            <w:tcW w:w="0" w:type="auto"/>
            <w:hideMark/>
          </w:tcPr>
          <w:p w14:paraId="1E21D5C6" w14:textId="5D6B39CE" w:rsidR="00AB360C" w:rsidRPr="00AB360C" w:rsidRDefault="00BA00F7" w:rsidP="00C77DBA">
            <w:pPr>
              <w:pStyle w:val="Tabletextcentre"/>
              <w:framePr w:hSpace="0" w:wrap="auto" w:vAnchor="margin" w:yAlign="inline"/>
              <w:suppressOverlap w:val="0"/>
              <w:rPr>
                <w:rFonts w:ascii="Times New Roman" w:hAnsi="Times New Roman"/>
              </w:rPr>
            </w:pPr>
            <w:r>
              <w:t>93</w:t>
            </w:r>
          </w:p>
        </w:tc>
        <w:tc>
          <w:tcPr>
            <w:tcW w:w="0" w:type="auto"/>
            <w:hideMark/>
          </w:tcPr>
          <w:p w14:paraId="1312CAD3" w14:textId="07F42F14" w:rsidR="00AB360C" w:rsidRPr="00AB360C" w:rsidRDefault="00AB360C" w:rsidP="00C77DBA">
            <w:pPr>
              <w:pStyle w:val="Tabletextcentre"/>
              <w:framePr w:hSpace="0" w:wrap="auto" w:vAnchor="margin" w:yAlign="inline"/>
              <w:suppressOverlap w:val="0"/>
              <w:rPr>
                <w:rFonts w:ascii="Times New Roman" w:hAnsi="Times New Roman"/>
              </w:rPr>
            </w:pPr>
            <w:r w:rsidRPr="00AB360C">
              <w:t>7</w:t>
            </w:r>
            <w:r w:rsidR="005E18E0">
              <w:t>5</w:t>
            </w:r>
            <w:r w:rsidRPr="00AB360C">
              <w:t>%</w:t>
            </w:r>
          </w:p>
        </w:tc>
        <w:tc>
          <w:tcPr>
            <w:tcW w:w="0" w:type="auto"/>
            <w:hideMark/>
          </w:tcPr>
          <w:p w14:paraId="52FBB57A" w14:textId="63D73A96" w:rsidR="00AB360C" w:rsidRPr="00AB360C" w:rsidRDefault="00AB360C" w:rsidP="00C77DBA">
            <w:pPr>
              <w:pStyle w:val="Tabletextcentre"/>
              <w:framePr w:hSpace="0" w:wrap="auto" w:vAnchor="margin" w:yAlign="inline"/>
              <w:suppressOverlap w:val="0"/>
              <w:rPr>
                <w:rFonts w:ascii="Times New Roman" w:hAnsi="Times New Roman"/>
              </w:rPr>
            </w:pPr>
            <w:r w:rsidRPr="00AB360C">
              <w:t>1</w:t>
            </w:r>
            <w:r w:rsidR="000969D3">
              <w:t>8</w:t>
            </w:r>
          </w:p>
        </w:tc>
        <w:tc>
          <w:tcPr>
            <w:tcW w:w="0" w:type="auto"/>
            <w:hideMark/>
          </w:tcPr>
          <w:p w14:paraId="1D6DE556" w14:textId="29A5A3F1" w:rsidR="00AB360C" w:rsidRPr="00C77DBA" w:rsidRDefault="00AB360C" w:rsidP="00C77DBA">
            <w:pPr>
              <w:pStyle w:val="Tabletextcentre"/>
              <w:framePr w:hSpace="0" w:wrap="auto" w:vAnchor="margin" w:yAlign="inline"/>
              <w:suppressOverlap w:val="0"/>
            </w:pPr>
            <w:r w:rsidRPr="00C77DBA">
              <w:t>1</w:t>
            </w:r>
            <w:r w:rsidR="00A32835">
              <w:t>5</w:t>
            </w:r>
            <w:r w:rsidRPr="00C77DBA">
              <w:t>% </w:t>
            </w:r>
          </w:p>
        </w:tc>
        <w:tc>
          <w:tcPr>
            <w:tcW w:w="0" w:type="auto"/>
            <w:hideMark/>
          </w:tcPr>
          <w:p w14:paraId="1C03C9D2" w14:textId="7DF0D44E" w:rsidR="00AB360C" w:rsidRPr="00C77DBA" w:rsidRDefault="00AB360C" w:rsidP="00C77DBA">
            <w:pPr>
              <w:pStyle w:val="Tabletextcentre"/>
              <w:framePr w:hSpace="0" w:wrap="auto" w:vAnchor="margin" w:yAlign="inline"/>
              <w:suppressOverlap w:val="0"/>
            </w:pPr>
            <w:r w:rsidRPr="00C77DBA">
              <w:t>11</w:t>
            </w:r>
          </w:p>
        </w:tc>
        <w:tc>
          <w:tcPr>
            <w:tcW w:w="0" w:type="auto"/>
            <w:hideMark/>
          </w:tcPr>
          <w:p w14:paraId="58622BE5" w14:textId="3E72AF21" w:rsidR="00AB360C" w:rsidRPr="00C77DBA" w:rsidRDefault="00EE45E3" w:rsidP="00C77DBA">
            <w:pPr>
              <w:pStyle w:val="Tabletextcentre"/>
              <w:framePr w:hSpace="0" w:wrap="auto" w:vAnchor="margin" w:yAlign="inline"/>
              <w:suppressOverlap w:val="0"/>
            </w:pPr>
            <w:r>
              <w:t>8</w:t>
            </w:r>
            <w:r w:rsidR="00AB360C" w:rsidRPr="00C77DBA">
              <w:t>%</w:t>
            </w:r>
          </w:p>
        </w:tc>
        <w:tc>
          <w:tcPr>
            <w:tcW w:w="0" w:type="auto"/>
            <w:hideMark/>
          </w:tcPr>
          <w:p w14:paraId="493AC948" w14:textId="77777777" w:rsidR="00AB360C" w:rsidRPr="00AB360C" w:rsidRDefault="00AB360C" w:rsidP="00C77DBA">
            <w:pPr>
              <w:pStyle w:val="Tabletextcentre"/>
              <w:framePr w:hSpace="0" w:wrap="auto" w:vAnchor="margin" w:yAlign="inline"/>
              <w:suppressOverlap w:val="0"/>
            </w:pPr>
            <w:r w:rsidRPr="00AB360C">
              <w:t>2</w:t>
            </w:r>
          </w:p>
        </w:tc>
        <w:tc>
          <w:tcPr>
            <w:tcW w:w="0" w:type="auto"/>
            <w:hideMark/>
          </w:tcPr>
          <w:p w14:paraId="6F48A7DE" w14:textId="77777777" w:rsidR="00AB360C" w:rsidRPr="00AB360C" w:rsidRDefault="00AB360C" w:rsidP="00C77DBA">
            <w:pPr>
              <w:pStyle w:val="Tabletextcentre"/>
              <w:framePr w:hSpace="0" w:wrap="auto" w:vAnchor="margin" w:yAlign="inline"/>
              <w:suppressOverlap w:val="0"/>
            </w:pPr>
            <w:r w:rsidRPr="00AB360C">
              <w:t>2%</w:t>
            </w:r>
          </w:p>
        </w:tc>
        <w:tc>
          <w:tcPr>
            <w:tcW w:w="947" w:type="dxa"/>
            <w:hideMark/>
          </w:tcPr>
          <w:p w14:paraId="515CF23F" w14:textId="7644AEC4" w:rsidR="00AB360C" w:rsidRPr="00C77DBA" w:rsidRDefault="00AB360C" w:rsidP="00C77DBA">
            <w:pPr>
              <w:pStyle w:val="Tabletextcentre"/>
              <w:framePr w:hSpace="0" w:wrap="auto" w:vAnchor="margin" w:yAlign="inline"/>
              <w:suppressOverlap w:val="0"/>
            </w:pPr>
            <w:r w:rsidRPr="00AB360C">
              <w:t>1</w:t>
            </w:r>
            <w:r w:rsidR="00080E14">
              <w:t>24</w:t>
            </w:r>
          </w:p>
        </w:tc>
      </w:tr>
      <w:tr w:rsidR="00AB360C" w:rsidRPr="00AB360C" w14:paraId="25F5AF4F" w14:textId="77777777" w:rsidTr="00774C6A">
        <w:trPr>
          <w:trHeight w:val="240"/>
        </w:trPr>
        <w:tc>
          <w:tcPr>
            <w:tcW w:w="0" w:type="auto"/>
            <w:hideMark/>
          </w:tcPr>
          <w:p w14:paraId="5356ED69" w14:textId="3EF07667" w:rsidR="00AB360C" w:rsidRPr="00AB360C" w:rsidRDefault="00AB360C" w:rsidP="00A27870">
            <w:pPr>
              <w:spacing w:line="240" w:lineRule="auto"/>
              <w:textAlignment w:val="baseline"/>
              <w:rPr>
                <w:rFonts w:ascii="Times New Roman" w:hAnsi="Times New Roman"/>
                <w:sz w:val="24"/>
              </w:rPr>
            </w:pPr>
            <w:r w:rsidRPr="00AB360C">
              <w:rPr>
                <w:rFonts w:ascii="Calibri" w:hAnsi="Calibri" w:cs="Calibri"/>
                <w:b/>
                <w:bCs/>
                <w:color w:val="000000"/>
                <w:sz w:val="24"/>
              </w:rPr>
              <w:t>2024/25</w:t>
            </w:r>
          </w:p>
        </w:tc>
        <w:tc>
          <w:tcPr>
            <w:tcW w:w="0" w:type="auto"/>
            <w:hideMark/>
          </w:tcPr>
          <w:p w14:paraId="48DEAB63" w14:textId="02F676CF" w:rsidR="00AB360C" w:rsidRPr="00AB360C" w:rsidRDefault="00AB360C" w:rsidP="00C77DBA">
            <w:pPr>
              <w:pStyle w:val="Tabletextcentre"/>
              <w:framePr w:hSpace="0" w:wrap="auto" w:vAnchor="margin" w:yAlign="inline"/>
              <w:suppressOverlap w:val="0"/>
              <w:rPr>
                <w:rFonts w:ascii="Times New Roman" w:hAnsi="Times New Roman"/>
              </w:rPr>
            </w:pPr>
            <w:r w:rsidRPr="00AB360C">
              <w:t>98</w:t>
            </w:r>
          </w:p>
        </w:tc>
        <w:tc>
          <w:tcPr>
            <w:tcW w:w="0" w:type="auto"/>
            <w:hideMark/>
          </w:tcPr>
          <w:p w14:paraId="2161D16E" w14:textId="11F1E53E" w:rsidR="00AB360C" w:rsidRPr="00AB360C" w:rsidRDefault="00AB360C" w:rsidP="00C77DBA">
            <w:pPr>
              <w:pStyle w:val="Tabletextcentre"/>
              <w:framePr w:hSpace="0" w:wrap="auto" w:vAnchor="margin" w:yAlign="inline"/>
              <w:suppressOverlap w:val="0"/>
              <w:rPr>
                <w:rFonts w:ascii="Times New Roman" w:hAnsi="Times New Roman"/>
              </w:rPr>
            </w:pPr>
            <w:r w:rsidRPr="00AB360C">
              <w:t>84%</w:t>
            </w:r>
          </w:p>
        </w:tc>
        <w:tc>
          <w:tcPr>
            <w:tcW w:w="0" w:type="auto"/>
            <w:hideMark/>
          </w:tcPr>
          <w:p w14:paraId="40AC21FB" w14:textId="0D8DEAAD" w:rsidR="00AB360C" w:rsidRPr="00AB360C" w:rsidRDefault="00AB360C" w:rsidP="00C77DBA">
            <w:pPr>
              <w:pStyle w:val="Tabletextcentre"/>
              <w:framePr w:hSpace="0" w:wrap="auto" w:vAnchor="margin" w:yAlign="inline"/>
              <w:suppressOverlap w:val="0"/>
              <w:rPr>
                <w:rFonts w:ascii="Times New Roman" w:hAnsi="Times New Roman"/>
              </w:rPr>
            </w:pPr>
            <w:r w:rsidRPr="00AB360C">
              <w:t>17</w:t>
            </w:r>
          </w:p>
        </w:tc>
        <w:tc>
          <w:tcPr>
            <w:tcW w:w="0" w:type="auto"/>
            <w:hideMark/>
          </w:tcPr>
          <w:p w14:paraId="26A07CCB" w14:textId="3EC7AEE9" w:rsidR="00AB360C" w:rsidRPr="00C77DBA" w:rsidRDefault="00AB360C" w:rsidP="00C77DBA">
            <w:pPr>
              <w:pStyle w:val="Tabletextcentre"/>
              <w:framePr w:hSpace="0" w:wrap="auto" w:vAnchor="margin" w:yAlign="inline"/>
              <w:suppressOverlap w:val="0"/>
            </w:pPr>
            <w:r w:rsidRPr="00C77DBA">
              <w:t>15%</w:t>
            </w:r>
          </w:p>
        </w:tc>
        <w:tc>
          <w:tcPr>
            <w:tcW w:w="0" w:type="auto"/>
            <w:hideMark/>
          </w:tcPr>
          <w:p w14:paraId="75E02CB8" w14:textId="5EA0DDEB" w:rsidR="00AB360C" w:rsidRPr="00C77DBA" w:rsidRDefault="00AB360C" w:rsidP="00C77DBA">
            <w:pPr>
              <w:pStyle w:val="Tabletextcentre"/>
              <w:framePr w:hSpace="0" w:wrap="auto" w:vAnchor="margin" w:yAlign="inline"/>
              <w:suppressOverlap w:val="0"/>
            </w:pPr>
            <w:r w:rsidRPr="00C77DBA">
              <w:t>1</w:t>
            </w:r>
          </w:p>
        </w:tc>
        <w:tc>
          <w:tcPr>
            <w:tcW w:w="0" w:type="auto"/>
            <w:hideMark/>
          </w:tcPr>
          <w:p w14:paraId="342078CB" w14:textId="3DF1DD4E" w:rsidR="00AB360C" w:rsidRPr="00C77DBA" w:rsidRDefault="00AB360C" w:rsidP="00C77DBA">
            <w:pPr>
              <w:pStyle w:val="Tabletextcentre"/>
              <w:framePr w:hSpace="0" w:wrap="auto" w:vAnchor="margin" w:yAlign="inline"/>
              <w:suppressOverlap w:val="0"/>
            </w:pPr>
            <w:r w:rsidRPr="00C77DBA">
              <w:t>1%</w:t>
            </w:r>
          </w:p>
        </w:tc>
        <w:tc>
          <w:tcPr>
            <w:tcW w:w="0" w:type="auto"/>
            <w:hideMark/>
          </w:tcPr>
          <w:p w14:paraId="5CC6D797" w14:textId="77777777" w:rsidR="00AB360C" w:rsidRPr="00AB360C" w:rsidRDefault="00AB360C" w:rsidP="00C77DBA">
            <w:pPr>
              <w:pStyle w:val="Tabletextcentre"/>
              <w:framePr w:hSpace="0" w:wrap="auto" w:vAnchor="margin" w:yAlign="inline"/>
              <w:suppressOverlap w:val="0"/>
            </w:pPr>
            <w:r w:rsidRPr="00AB360C">
              <w:t>0</w:t>
            </w:r>
          </w:p>
        </w:tc>
        <w:tc>
          <w:tcPr>
            <w:tcW w:w="0" w:type="auto"/>
            <w:hideMark/>
          </w:tcPr>
          <w:p w14:paraId="53499F82" w14:textId="77777777" w:rsidR="00AB360C" w:rsidRPr="00AB360C" w:rsidRDefault="00AB360C" w:rsidP="00C77DBA">
            <w:pPr>
              <w:pStyle w:val="Tabletextcentre"/>
              <w:framePr w:hSpace="0" w:wrap="auto" w:vAnchor="margin" w:yAlign="inline"/>
              <w:suppressOverlap w:val="0"/>
            </w:pPr>
            <w:r w:rsidRPr="00AB360C">
              <w:t>0%</w:t>
            </w:r>
          </w:p>
        </w:tc>
        <w:tc>
          <w:tcPr>
            <w:tcW w:w="947" w:type="dxa"/>
            <w:hideMark/>
          </w:tcPr>
          <w:p w14:paraId="4A792E65" w14:textId="2CA2A735" w:rsidR="00AB360C" w:rsidRPr="00AB360C" w:rsidRDefault="00AB360C" w:rsidP="00C77DBA">
            <w:pPr>
              <w:pStyle w:val="Tabletextcentre"/>
              <w:framePr w:hSpace="0" w:wrap="auto" w:vAnchor="margin" w:yAlign="inline"/>
              <w:suppressOverlap w:val="0"/>
              <w:rPr>
                <w:rFonts w:ascii="Times New Roman" w:hAnsi="Times New Roman"/>
              </w:rPr>
            </w:pPr>
            <w:r w:rsidRPr="00AB360C">
              <w:t>116</w:t>
            </w:r>
          </w:p>
        </w:tc>
      </w:tr>
      <w:tr w:rsidR="00AB360C" w:rsidRPr="00AB360C" w14:paraId="19BA20A5" w14:textId="77777777" w:rsidTr="00774C6A">
        <w:trPr>
          <w:trHeight w:val="270"/>
        </w:trPr>
        <w:tc>
          <w:tcPr>
            <w:tcW w:w="0" w:type="auto"/>
            <w:hideMark/>
          </w:tcPr>
          <w:p w14:paraId="5D5342A3" w14:textId="4755BAEA" w:rsidR="00AB360C" w:rsidRPr="00AB360C" w:rsidRDefault="00AB360C" w:rsidP="00A27870">
            <w:pPr>
              <w:spacing w:line="240" w:lineRule="auto"/>
              <w:textAlignment w:val="baseline"/>
              <w:rPr>
                <w:rFonts w:ascii="Times New Roman" w:hAnsi="Times New Roman"/>
                <w:sz w:val="24"/>
              </w:rPr>
            </w:pPr>
            <w:r w:rsidRPr="00AB360C">
              <w:rPr>
                <w:rFonts w:ascii="Calibri" w:hAnsi="Calibri" w:cs="Calibri"/>
                <w:b/>
                <w:bCs/>
                <w:color w:val="000000"/>
                <w:sz w:val="24"/>
              </w:rPr>
              <w:t>2023/24</w:t>
            </w:r>
          </w:p>
        </w:tc>
        <w:tc>
          <w:tcPr>
            <w:tcW w:w="0" w:type="auto"/>
            <w:hideMark/>
          </w:tcPr>
          <w:p w14:paraId="5E30585B" w14:textId="44388511" w:rsidR="00AB360C" w:rsidRPr="00AB360C" w:rsidRDefault="00AB360C" w:rsidP="00C77DBA">
            <w:pPr>
              <w:pStyle w:val="Tabletextcentre"/>
              <w:framePr w:hSpace="0" w:wrap="auto" w:vAnchor="margin" w:yAlign="inline"/>
              <w:suppressOverlap w:val="0"/>
              <w:rPr>
                <w:rFonts w:ascii="Times New Roman" w:hAnsi="Times New Roman"/>
              </w:rPr>
            </w:pPr>
            <w:r w:rsidRPr="00AB360C">
              <w:t>80</w:t>
            </w:r>
          </w:p>
        </w:tc>
        <w:tc>
          <w:tcPr>
            <w:tcW w:w="0" w:type="auto"/>
            <w:hideMark/>
          </w:tcPr>
          <w:p w14:paraId="7FBA7F89" w14:textId="36B67D4E" w:rsidR="00AB360C" w:rsidRPr="00AB360C" w:rsidRDefault="00AB360C" w:rsidP="00C77DBA">
            <w:pPr>
              <w:pStyle w:val="Tabletextcentre"/>
              <w:framePr w:hSpace="0" w:wrap="auto" w:vAnchor="margin" w:yAlign="inline"/>
              <w:suppressOverlap w:val="0"/>
              <w:rPr>
                <w:rFonts w:ascii="Times New Roman" w:hAnsi="Times New Roman"/>
              </w:rPr>
            </w:pPr>
            <w:r w:rsidRPr="00AB360C">
              <w:t>73%</w:t>
            </w:r>
          </w:p>
        </w:tc>
        <w:tc>
          <w:tcPr>
            <w:tcW w:w="0" w:type="auto"/>
            <w:hideMark/>
          </w:tcPr>
          <w:p w14:paraId="30BB9ADD" w14:textId="1870B402" w:rsidR="00AB360C" w:rsidRPr="00AB360C" w:rsidRDefault="00AB360C" w:rsidP="00C77DBA">
            <w:pPr>
              <w:pStyle w:val="Tabletextcentre"/>
              <w:framePr w:hSpace="0" w:wrap="auto" w:vAnchor="margin" w:yAlign="inline"/>
              <w:suppressOverlap w:val="0"/>
              <w:rPr>
                <w:rFonts w:ascii="Times New Roman" w:hAnsi="Times New Roman"/>
              </w:rPr>
            </w:pPr>
            <w:r w:rsidRPr="00AB360C">
              <w:t>24</w:t>
            </w:r>
          </w:p>
        </w:tc>
        <w:tc>
          <w:tcPr>
            <w:tcW w:w="0" w:type="auto"/>
            <w:hideMark/>
          </w:tcPr>
          <w:p w14:paraId="2830DFF0" w14:textId="13DA7503" w:rsidR="00AB360C" w:rsidRPr="00C77DBA" w:rsidRDefault="00AB360C" w:rsidP="00C77DBA">
            <w:pPr>
              <w:pStyle w:val="Tabletextcentre"/>
              <w:framePr w:hSpace="0" w:wrap="auto" w:vAnchor="margin" w:yAlign="inline"/>
              <w:suppressOverlap w:val="0"/>
            </w:pPr>
            <w:r w:rsidRPr="00C77DBA">
              <w:t>22%</w:t>
            </w:r>
          </w:p>
        </w:tc>
        <w:tc>
          <w:tcPr>
            <w:tcW w:w="0" w:type="auto"/>
            <w:hideMark/>
          </w:tcPr>
          <w:p w14:paraId="760BB0E2" w14:textId="5C6E7063" w:rsidR="00AB360C" w:rsidRPr="00C77DBA" w:rsidRDefault="00AB360C" w:rsidP="00C77DBA">
            <w:pPr>
              <w:pStyle w:val="Tabletextcentre"/>
              <w:framePr w:hSpace="0" w:wrap="auto" w:vAnchor="margin" w:yAlign="inline"/>
              <w:suppressOverlap w:val="0"/>
            </w:pPr>
            <w:r w:rsidRPr="00C77DBA">
              <w:t>5</w:t>
            </w:r>
          </w:p>
        </w:tc>
        <w:tc>
          <w:tcPr>
            <w:tcW w:w="0" w:type="auto"/>
            <w:hideMark/>
          </w:tcPr>
          <w:p w14:paraId="398DBEDF" w14:textId="40FCD12F" w:rsidR="00AB360C" w:rsidRPr="00C77DBA" w:rsidRDefault="00AB360C" w:rsidP="00C77DBA">
            <w:pPr>
              <w:pStyle w:val="Tabletextcentre"/>
              <w:framePr w:hSpace="0" w:wrap="auto" w:vAnchor="margin" w:yAlign="inline"/>
              <w:suppressOverlap w:val="0"/>
            </w:pPr>
            <w:r w:rsidRPr="00C77DBA">
              <w:t>5%</w:t>
            </w:r>
          </w:p>
        </w:tc>
        <w:tc>
          <w:tcPr>
            <w:tcW w:w="0" w:type="auto"/>
            <w:hideMark/>
          </w:tcPr>
          <w:p w14:paraId="0DE032BA" w14:textId="77777777" w:rsidR="00AB360C" w:rsidRPr="00AB360C" w:rsidRDefault="00AB360C" w:rsidP="00C77DBA">
            <w:pPr>
              <w:pStyle w:val="Tabletextcentre"/>
              <w:framePr w:hSpace="0" w:wrap="auto" w:vAnchor="margin" w:yAlign="inline"/>
              <w:suppressOverlap w:val="0"/>
            </w:pPr>
            <w:r w:rsidRPr="00AB360C">
              <w:t>0</w:t>
            </w:r>
          </w:p>
        </w:tc>
        <w:tc>
          <w:tcPr>
            <w:tcW w:w="0" w:type="auto"/>
            <w:hideMark/>
          </w:tcPr>
          <w:p w14:paraId="6D06C882" w14:textId="77777777" w:rsidR="00AB360C" w:rsidRPr="00AB360C" w:rsidRDefault="00AB360C" w:rsidP="00C77DBA">
            <w:pPr>
              <w:pStyle w:val="Tabletextcentre"/>
              <w:framePr w:hSpace="0" w:wrap="auto" w:vAnchor="margin" w:yAlign="inline"/>
              <w:suppressOverlap w:val="0"/>
            </w:pPr>
            <w:r w:rsidRPr="00AB360C">
              <w:t>0%</w:t>
            </w:r>
          </w:p>
        </w:tc>
        <w:tc>
          <w:tcPr>
            <w:tcW w:w="947" w:type="dxa"/>
            <w:hideMark/>
          </w:tcPr>
          <w:p w14:paraId="3847133F" w14:textId="76F570FF" w:rsidR="00AB360C" w:rsidRPr="00AB360C" w:rsidRDefault="00AB360C" w:rsidP="00C77DBA">
            <w:pPr>
              <w:pStyle w:val="Tabletextcentre"/>
              <w:framePr w:hSpace="0" w:wrap="auto" w:vAnchor="margin" w:yAlign="inline"/>
              <w:suppressOverlap w:val="0"/>
              <w:rPr>
                <w:rFonts w:ascii="Times New Roman" w:hAnsi="Times New Roman"/>
              </w:rPr>
            </w:pPr>
            <w:r w:rsidRPr="00AB360C">
              <w:t>109</w:t>
            </w:r>
          </w:p>
        </w:tc>
      </w:tr>
    </w:tbl>
    <w:p w14:paraId="14831BBB" w14:textId="03A17EB4" w:rsidR="00AB360C" w:rsidRPr="00C77DBA" w:rsidRDefault="00AB360C" w:rsidP="00C77DBA">
      <w:pPr>
        <w:pStyle w:val="FootnoteText"/>
      </w:pPr>
      <w:r w:rsidRPr="00C77DBA">
        <w:t>Note: Dentists have been captured within allied health statistics.</w:t>
      </w:r>
    </w:p>
    <w:p w14:paraId="06554147" w14:textId="1056573C" w:rsidR="008026A1" w:rsidRDefault="00AB360C" w:rsidP="005D3569">
      <w:pPr>
        <w:pStyle w:val="Heading3"/>
      </w:pPr>
      <w:r w:rsidRPr="00A862AE">
        <w:t>Specialty breakdown of requests</w:t>
      </w:r>
      <w:r w:rsidR="00A862AE" w:rsidRPr="00A862AE">
        <w:t xml:space="preserve"> for 2025/26</w:t>
      </w:r>
      <w:r w:rsidR="00230DBA">
        <w:rPr>
          <w:rStyle w:val="FootnoteReference"/>
        </w:rPr>
        <w:footnoteReference w:id="1"/>
      </w:r>
      <w:r w:rsidR="00BB5340">
        <w:t>:</w:t>
      </w:r>
    </w:p>
    <w:tbl>
      <w:tblPr>
        <w:tblStyle w:val="TableGrid"/>
        <w:tblW w:w="5780" w:type="dxa"/>
        <w:tblLook w:val="04A0" w:firstRow="1" w:lastRow="0" w:firstColumn="1" w:lastColumn="0" w:noHBand="0" w:noVBand="1"/>
      </w:tblPr>
      <w:tblGrid>
        <w:gridCol w:w="3460"/>
        <w:gridCol w:w="960"/>
        <w:gridCol w:w="1360"/>
      </w:tblGrid>
      <w:tr w:rsidR="00F50B9F" w:rsidRPr="00F50B9F" w14:paraId="370DA30A" w14:textId="77777777" w:rsidTr="00E26EEE">
        <w:trPr>
          <w:cnfStyle w:val="100000000000" w:firstRow="1" w:lastRow="0" w:firstColumn="0" w:lastColumn="0" w:oddVBand="0" w:evenVBand="0" w:oddHBand="0" w:evenHBand="0" w:firstRowFirstColumn="0" w:firstRowLastColumn="0" w:lastRowFirstColumn="0" w:lastRowLastColumn="0"/>
          <w:trHeight w:val="960"/>
        </w:trPr>
        <w:tc>
          <w:tcPr>
            <w:tcW w:w="3460" w:type="dxa"/>
            <w:vAlign w:val="center"/>
            <w:hideMark/>
          </w:tcPr>
          <w:p w14:paraId="09D86ED3" w14:textId="77777777" w:rsidR="00F50B9F" w:rsidRPr="00F50B9F" w:rsidRDefault="00F50B9F" w:rsidP="00E26EEE">
            <w:pPr>
              <w:spacing w:line="240" w:lineRule="auto"/>
              <w:rPr>
                <w:rFonts w:ascii="Calibri" w:hAnsi="Calibri" w:cs="Calibri"/>
                <w:b w:val="0"/>
                <w:bCs/>
                <w:color w:val="000000"/>
                <w:sz w:val="24"/>
              </w:rPr>
            </w:pPr>
            <w:r w:rsidRPr="00F50B9F">
              <w:rPr>
                <w:rFonts w:ascii="Calibri" w:hAnsi="Calibri" w:cs="Calibri"/>
                <w:bCs/>
                <w:color w:val="000000"/>
                <w:sz w:val="24"/>
              </w:rPr>
              <w:t>Practitioner/Case Type</w:t>
            </w:r>
          </w:p>
        </w:tc>
        <w:tc>
          <w:tcPr>
            <w:tcW w:w="960" w:type="dxa"/>
            <w:vAlign w:val="center"/>
            <w:hideMark/>
          </w:tcPr>
          <w:p w14:paraId="4F204E1F" w14:textId="77777777" w:rsidR="00F50B9F" w:rsidRPr="00F50B9F" w:rsidRDefault="00F50B9F" w:rsidP="00E26EEE">
            <w:pPr>
              <w:spacing w:line="240" w:lineRule="auto"/>
              <w:rPr>
                <w:rFonts w:ascii="Calibri" w:hAnsi="Calibri" w:cs="Calibri"/>
                <w:b w:val="0"/>
                <w:bCs/>
                <w:color w:val="000000"/>
                <w:sz w:val="24"/>
              </w:rPr>
            </w:pPr>
            <w:r w:rsidRPr="00F50B9F">
              <w:rPr>
                <w:rFonts w:ascii="Calibri" w:hAnsi="Calibri" w:cs="Calibri"/>
                <w:bCs/>
                <w:color w:val="000000"/>
                <w:sz w:val="24"/>
              </w:rPr>
              <w:t>Total</w:t>
            </w:r>
          </w:p>
        </w:tc>
        <w:tc>
          <w:tcPr>
            <w:tcW w:w="1360" w:type="dxa"/>
            <w:vAlign w:val="center"/>
            <w:hideMark/>
          </w:tcPr>
          <w:p w14:paraId="2561E151" w14:textId="77777777" w:rsidR="00F50B9F" w:rsidRPr="00F50B9F" w:rsidRDefault="00F50B9F" w:rsidP="00E26EEE">
            <w:pPr>
              <w:spacing w:line="240" w:lineRule="auto"/>
              <w:rPr>
                <w:rFonts w:ascii="Calibri" w:hAnsi="Calibri" w:cs="Calibri"/>
                <w:b w:val="0"/>
                <w:bCs/>
                <w:color w:val="000000"/>
                <w:sz w:val="24"/>
              </w:rPr>
            </w:pPr>
            <w:r w:rsidRPr="00F50B9F">
              <w:rPr>
                <w:rFonts w:ascii="Calibri" w:hAnsi="Calibri" w:cs="Calibri"/>
                <w:bCs/>
                <w:color w:val="000000"/>
                <w:sz w:val="24"/>
              </w:rPr>
              <w:t>Percentage</w:t>
            </w:r>
          </w:p>
        </w:tc>
      </w:tr>
      <w:tr w:rsidR="00F50B9F" w:rsidRPr="00F50B9F" w14:paraId="5C35EFF9" w14:textId="77777777" w:rsidTr="00E26EEE">
        <w:trPr>
          <w:trHeight w:val="330"/>
        </w:trPr>
        <w:tc>
          <w:tcPr>
            <w:tcW w:w="3460" w:type="dxa"/>
            <w:hideMark/>
          </w:tcPr>
          <w:p w14:paraId="21347C78" w14:textId="4D78F08B" w:rsidR="00F50B9F" w:rsidRPr="00F50B9F" w:rsidRDefault="002201E9" w:rsidP="00F50B9F">
            <w:pPr>
              <w:spacing w:line="240" w:lineRule="auto"/>
              <w:rPr>
                <w:rFonts w:ascii="Calibri" w:hAnsi="Calibri" w:cs="Calibri"/>
                <w:color w:val="000000"/>
                <w:sz w:val="24"/>
              </w:rPr>
            </w:pPr>
            <w:r>
              <w:rPr>
                <w:rFonts w:ascii="Calibri" w:hAnsi="Calibri" w:cs="Calibri"/>
                <w:color w:val="000000"/>
                <w:sz w:val="24"/>
              </w:rPr>
              <w:t>General Practitioners</w:t>
            </w:r>
            <w:r w:rsidR="00016388">
              <w:rPr>
                <w:rFonts w:ascii="Calibri" w:hAnsi="Calibri" w:cs="Calibri"/>
                <w:color w:val="000000"/>
                <w:sz w:val="24"/>
              </w:rPr>
              <w:t>/OMPs/GP Trainees</w:t>
            </w:r>
          </w:p>
        </w:tc>
        <w:tc>
          <w:tcPr>
            <w:tcW w:w="960" w:type="dxa"/>
            <w:hideMark/>
          </w:tcPr>
          <w:p w14:paraId="7597C628" w14:textId="2B7C1071" w:rsidR="00F50B9F" w:rsidRPr="00F50B9F" w:rsidRDefault="00546CBD" w:rsidP="00C77DBA">
            <w:pPr>
              <w:pStyle w:val="Tabletextcentre"/>
              <w:framePr w:wrap="around"/>
            </w:pPr>
            <w:r>
              <w:t>93</w:t>
            </w:r>
          </w:p>
        </w:tc>
        <w:tc>
          <w:tcPr>
            <w:tcW w:w="1360" w:type="dxa"/>
            <w:hideMark/>
          </w:tcPr>
          <w:p w14:paraId="5A99E012" w14:textId="77777777" w:rsidR="00F50B9F" w:rsidRPr="00F50B9F" w:rsidRDefault="00F50B9F" w:rsidP="00C77DBA">
            <w:pPr>
              <w:pStyle w:val="Tabletextcentre"/>
              <w:framePr w:wrap="around"/>
            </w:pPr>
            <w:r w:rsidRPr="00F50B9F">
              <w:t>75%</w:t>
            </w:r>
          </w:p>
        </w:tc>
      </w:tr>
      <w:tr w:rsidR="00F50B9F" w:rsidRPr="00F50B9F" w14:paraId="2D3DB29A" w14:textId="77777777" w:rsidTr="00E26EEE">
        <w:trPr>
          <w:trHeight w:val="330"/>
        </w:trPr>
        <w:tc>
          <w:tcPr>
            <w:tcW w:w="3460" w:type="dxa"/>
            <w:hideMark/>
          </w:tcPr>
          <w:p w14:paraId="1C4410B4"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Body corporates</w:t>
            </w:r>
          </w:p>
        </w:tc>
        <w:tc>
          <w:tcPr>
            <w:tcW w:w="960" w:type="dxa"/>
            <w:hideMark/>
          </w:tcPr>
          <w:p w14:paraId="7A419CC8" w14:textId="77777777" w:rsidR="00F50B9F" w:rsidRPr="00F50B9F" w:rsidRDefault="00F50B9F" w:rsidP="00C77DBA">
            <w:pPr>
              <w:pStyle w:val="Tabletextcentre"/>
              <w:framePr w:wrap="around"/>
            </w:pPr>
            <w:r w:rsidRPr="00F50B9F">
              <w:t>2</w:t>
            </w:r>
          </w:p>
        </w:tc>
        <w:tc>
          <w:tcPr>
            <w:tcW w:w="1360" w:type="dxa"/>
            <w:hideMark/>
          </w:tcPr>
          <w:p w14:paraId="4228AB3A" w14:textId="77777777" w:rsidR="00F50B9F" w:rsidRPr="00F50B9F" w:rsidRDefault="00F50B9F" w:rsidP="00C77DBA">
            <w:pPr>
              <w:pStyle w:val="Tabletextcentre"/>
              <w:framePr w:wrap="around"/>
            </w:pPr>
            <w:r w:rsidRPr="00F50B9F">
              <w:t>2%</w:t>
            </w:r>
          </w:p>
        </w:tc>
      </w:tr>
      <w:tr w:rsidR="00F50B9F" w:rsidRPr="00F50B9F" w14:paraId="698A5BB9" w14:textId="77777777" w:rsidTr="00E26EEE">
        <w:trPr>
          <w:trHeight w:val="330"/>
        </w:trPr>
        <w:tc>
          <w:tcPr>
            <w:tcW w:w="3460" w:type="dxa"/>
            <w:noWrap/>
            <w:hideMark/>
          </w:tcPr>
          <w:p w14:paraId="32F99251"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Gastroenterology and Hepatology</w:t>
            </w:r>
          </w:p>
        </w:tc>
        <w:tc>
          <w:tcPr>
            <w:tcW w:w="960" w:type="dxa"/>
            <w:noWrap/>
            <w:hideMark/>
          </w:tcPr>
          <w:p w14:paraId="2B6EF522" w14:textId="77777777" w:rsidR="00F50B9F" w:rsidRPr="00F50B9F" w:rsidRDefault="00F50B9F" w:rsidP="00C77DBA">
            <w:pPr>
              <w:pStyle w:val="Tabletextcentre"/>
              <w:framePr w:wrap="around"/>
            </w:pPr>
            <w:r w:rsidRPr="00F50B9F">
              <w:t>2</w:t>
            </w:r>
          </w:p>
        </w:tc>
        <w:tc>
          <w:tcPr>
            <w:tcW w:w="1360" w:type="dxa"/>
            <w:hideMark/>
          </w:tcPr>
          <w:p w14:paraId="5ABEECAC" w14:textId="77777777" w:rsidR="00F50B9F" w:rsidRPr="00F50B9F" w:rsidRDefault="00F50B9F" w:rsidP="00C77DBA">
            <w:pPr>
              <w:pStyle w:val="Tabletextcentre"/>
              <w:framePr w:wrap="around"/>
            </w:pPr>
            <w:r w:rsidRPr="00F50B9F">
              <w:t>2%</w:t>
            </w:r>
          </w:p>
        </w:tc>
      </w:tr>
      <w:tr w:rsidR="00F50B9F" w:rsidRPr="00F50B9F" w14:paraId="3C4B3861" w14:textId="77777777" w:rsidTr="00E26EEE">
        <w:trPr>
          <w:trHeight w:val="330"/>
        </w:trPr>
        <w:tc>
          <w:tcPr>
            <w:tcW w:w="3460" w:type="dxa"/>
            <w:noWrap/>
            <w:hideMark/>
          </w:tcPr>
          <w:p w14:paraId="7BEDAEDB"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Cardiology</w:t>
            </w:r>
          </w:p>
        </w:tc>
        <w:tc>
          <w:tcPr>
            <w:tcW w:w="960" w:type="dxa"/>
            <w:noWrap/>
            <w:hideMark/>
          </w:tcPr>
          <w:p w14:paraId="685A01EA" w14:textId="77777777" w:rsidR="00F50B9F" w:rsidRPr="00F50B9F" w:rsidRDefault="00F50B9F" w:rsidP="00C77DBA">
            <w:pPr>
              <w:pStyle w:val="Tabletextcentre"/>
              <w:framePr w:wrap="around"/>
            </w:pPr>
            <w:r w:rsidRPr="00F50B9F">
              <w:t>2</w:t>
            </w:r>
          </w:p>
        </w:tc>
        <w:tc>
          <w:tcPr>
            <w:tcW w:w="1360" w:type="dxa"/>
            <w:hideMark/>
          </w:tcPr>
          <w:p w14:paraId="60085FAC" w14:textId="77777777" w:rsidR="00F50B9F" w:rsidRPr="00F50B9F" w:rsidRDefault="00F50B9F" w:rsidP="00C77DBA">
            <w:pPr>
              <w:pStyle w:val="Tabletextcentre"/>
              <w:framePr w:wrap="around"/>
            </w:pPr>
            <w:r w:rsidRPr="00F50B9F">
              <w:t>2%</w:t>
            </w:r>
          </w:p>
        </w:tc>
      </w:tr>
      <w:tr w:rsidR="00F50B9F" w:rsidRPr="00F50B9F" w14:paraId="374EF126" w14:textId="77777777" w:rsidTr="00E26EEE">
        <w:trPr>
          <w:trHeight w:val="330"/>
        </w:trPr>
        <w:tc>
          <w:tcPr>
            <w:tcW w:w="3460" w:type="dxa"/>
            <w:noWrap/>
            <w:hideMark/>
          </w:tcPr>
          <w:p w14:paraId="2CBEB47C"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ENT</w:t>
            </w:r>
          </w:p>
        </w:tc>
        <w:tc>
          <w:tcPr>
            <w:tcW w:w="960" w:type="dxa"/>
            <w:noWrap/>
            <w:hideMark/>
          </w:tcPr>
          <w:p w14:paraId="2B1ECB52" w14:textId="77777777" w:rsidR="00F50B9F" w:rsidRPr="00F50B9F" w:rsidRDefault="00F50B9F" w:rsidP="00C77DBA">
            <w:pPr>
              <w:pStyle w:val="Tabletextcentre"/>
              <w:framePr w:wrap="around"/>
            </w:pPr>
            <w:r w:rsidRPr="00F50B9F">
              <w:t>1</w:t>
            </w:r>
          </w:p>
        </w:tc>
        <w:tc>
          <w:tcPr>
            <w:tcW w:w="1360" w:type="dxa"/>
            <w:hideMark/>
          </w:tcPr>
          <w:p w14:paraId="576ACD33" w14:textId="77777777" w:rsidR="00F50B9F" w:rsidRPr="00F50B9F" w:rsidRDefault="00F50B9F" w:rsidP="00C77DBA">
            <w:pPr>
              <w:pStyle w:val="Tabletextcentre"/>
              <w:framePr w:wrap="around"/>
            </w:pPr>
            <w:r w:rsidRPr="00F50B9F">
              <w:t>1%</w:t>
            </w:r>
          </w:p>
        </w:tc>
      </w:tr>
      <w:tr w:rsidR="00F50B9F" w:rsidRPr="00F50B9F" w14:paraId="51ED40D0" w14:textId="77777777" w:rsidTr="00E26EEE">
        <w:trPr>
          <w:trHeight w:val="330"/>
        </w:trPr>
        <w:tc>
          <w:tcPr>
            <w:tcW w:w="3460" w:type="dxa"/>
            <w:noWrap/>
            <w:hideMark/>
          </w:tcPr>
          <w:p w14:paraId="6A860D8D"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Haematology</w:t>
            </w:r>
          </w:p>
        </w:tc>
        <w:tc>
          <w:tcPr>
            <w:tcW w:w="960" w:type="dxa"/>
            <w:noWrap/>
            <w:hideMark/>
          </w:tcPr>
          <w:p w14:paraId="33C2D6C1" w14:textId="77777777" w:rsidR="00F50B9F" w:rsidRPr="00F50B9F" w:rsidRDefault="00F50B9F" w:rsidP="00C77DBA">
            <w:pPr>
              <w:pStyle w:val="Tabletextcentre"/>
              <w:framePr w:wrap="around"/>
            </w:pPr>
            <w:r w:rsidRPr="00F50B9F">
              <w:t>1</w:t>
            </w:r>
          </w:p>
        </w:tc>
        <w:tc>
          <w:tcPr>
            <w:tcW w:w="1360" w:type="dxa"/>
            <w:hideMark/>
          </w:tcPr>
          <w:p w14:paraId="54B57F9B" w14:textId="77777777" w:rsidR="00F50B9F" w:rsidRPr="00F50B9F" w:rsidRDefault="00F50B9F" w:rsidP="00C77DBA">
            <w:pPr>
              <w:pStyle w:val="Tabletextcentre"/>
              <w:framePr w:wrap="around"/>
            </w:pPr>
            <w:r w:rsidRPr="00F50B9F">
              <w:t>1%</w:t>
            </w:r>
          </w:p>
        </w:tc>
      </w:tr>
      <w:tr w:rsidR="00F50B9F" w:rsidRPr="00F50B9F" w14:paraId="52FB2552" w14:textId="77777777" w:rsidTr="00E26EEE">
        <w:trPr>
          <w:trHeight w:val="330"/>
        </w:trPr>
        <w:tc>
          <w:tcPr>
            <w:tcW w:w="3460" w:type="dxa"/>
            <w:noWrap/>
            <w:hideMark/>
          </w:tcPr>
          <w:p w14:paraId="15DC4DCC"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Obstetrics and Gynaecology</w:t>
            </w:r>
          </w:p>
        </w:tc>
        <w:tc>
          <w:tcPr>
            <w:tcW w:w="960" w:type="dxa"/>
            <w:noWrap/>
            <w:hideMark/>
          </w:tcPr>
          <w:p w14:paraId="3FA1439B" w14:textId="77777777" w:rsidR="00F50B9F" w:rsidRPr="00F50B9F" w:rsidRDefault="00F50B9F" w:rsidP="00C77DBA">
            <w:pPr>
              <w:pStyle w:val="Tabletextcentre"/>
              <w:framePr w:wrap="around"/>
            </w:pPr>
            <w:r w:rsidRPr="00F50B9F">
              <w:t>2</w:t>
            </w:r>
          </w:p>
        </w:tc>
        <w:tc>
          <w:tcPr>
            <w:tcW w:w="1360" w:type="dxa"/>
            <w:hideMark/>
          </w:tcPr>
          <w:p w14:paraId="28AB6980" w14:textId="77777777" w:rsidR="00F50B9F" w:rsidRPr="00F50B9F" w:rsidRDefault="00F50B9F" w:rsidP="00C77DBA">
            <w:pPr>
              <w:pStyle w:val="Tabletextcentre"/>
              <w:framePr w:wrap="around"/>
            </w:pPr>
            <w:r w:rsidRPr="00F50B9F">
              <w:t>2%</w:t>
            </w:r>
          </w:p>
        </w:tc>
      </w:tr>
      <w:tr w:rsidR="00F50B9F" w:rsidRPr="00F50B9F" w14:paraId="27C84F3F" w14:textId="77777777" w:rsidTr="00E26EEE">
        <w:trPr>
          <w:trHeight w:val="330"/>
        </w:trPr>
        <w:tc>
          <w:tcPr>
            <w:tcW w:w="3460" w:type="dxa"/>
            <w:noWrap/>
            <w:hideMark/>
          </w:tcPr>
          <w:p w14:paraId="07D3A21E"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Optometrist</w:t>
            </w:r>
          </w:p>
        </w:tc>
        <w:tc>
          <w:tcPr>
            <w:tcW w:w="960" w:type="dxa"/>
            <w:noWrap/>
            <w:hideMark/>
          </w:tcPr>
          <w:p w14:paraId="5CFF1EE1" w14:textId="77777777" w:rsidR="00F50B9F" w:rsidRPr="00F50B9F" w:rsidRDefault="00F50B9F" w:rsidP="00C77DBA">
            <w:pPr>
              <w:pStyle w:val="Tabletextcentre"/>
              <w:framePr w:wrap="around"/>
            </w:pPr>
            <w:r w:rsidRPr="00F50B9F">
              <w:t>1</w:t>
            </w:r>
          </w:p>
        </w:tc>
        <w:tc>
          <w:tcPr>
            <w:tcW w:w="1360" w:type="dxa"/>
            <w:hideMark/>
          </w:tcPr>
          <w:p w14:paraId="4250909B" w14:textId="77777777" w:rsidR="00F50B9F" w:rsidRPr="00F50B9F" w:rsidRDefault="00F50B9F" w:rsidP="00C77DBA">
            <w:pPr>
              <w:pStyle w:val="Tabletextcentre"/>
              <w:framePr w:wrap="around"/>
            </w:pPr>
            <w:r w:rsidRPr="00F50B9F">
              <w:t>1%</w:t>
            </w:r>
          </w:p>
        </w:tc>
      </w:tr>
      <w:tr w:rsidR="00F50B9F" w:rsidRPr="00F50B9F" w14:paraId="29AEA3C6" w14:textId="77777777" w:rsidTr="00E26EEE">
        <w:trPr>
          <w:trHeight w:val="330"/>
        </w:trPr>
        <w:tc>
          <w:tcPr>
            <w:tcW w:w="3460" w:type="dxa"/>
            <w:noWrap/>
            <w:hideMark/>
          </w:tcPr>
          <w:p w14:paraId="4A94DB8F"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Clinical Psychologist</w:t>
            </w:r>
          </w:p>
        </w:tc>
        <w:tc>
          <w:tcPr>
            <w:tcW w:w="960" w:type="dxa"/>
            <w:noWrap/>
            <w:hideMark/>
          </w:tcPr>
          <w:p w14:paraId="4BB7D537" w14:textId="77777777" w:rsidR="00F50B9F" w:rsidRPr="00F50B9F" w:rsidRDefault="00F50B9F" w:rsidP="00C77DBA">
            <w:pPr>
              <w:pStyle w:val="Tabletextcentre"/>
              <w:framePr w:wrap="around"/>
            </w:pPr>
            <w:r w:rsidRPr="00F50B9F">
              <w:t>1</w:t>
            </w:r>
          </w:p>
        </w:tc>
        <w:tc>
          <w:tcPr>
            <w:tcW w:w="1360" w:type="dxa"/>
            <w:hideMark/>
          </w:tcPr>
          <w:p w14:paraId="667B77C5" w14:textId="77777777" w:rsidR="00F50B9F" w:rsidRPr="00F50B9F" w:rsidRDefault="00F50B9F" w:rsidP="00C77DBA">
            <w:pPr>
              <w:pStyle w:val="Tabletextcentre"/>
              <w:framePr w:wrap="around"/>
            </w:pPr>
            <w:r w:rsidRPr="00F50B9F">
              <w:t>1%</w:t>
            </w:r>
          </w:p>
        </w:tc>
      </w:tr>
      <w:tr w:rsidR="00F50B9F" w:rsidRPr="00F50B9F" w14:paraId="65895EBA" w14:textId="77777777" w:rsidTr="00E26EEE">
        <w:trPr>
          <w:trHeight w:val="330"/>
        </w:trPr>
        <w:tc>
          <w:tcPr>
            <w:tcW w:w="3460" w:type="dxa"/>
            <w:noWrap/>
            <w:hideMark/>
          </w:tcPr>
          <w:p w14:paraId="2BCDA94A"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Psychiatry</w:t>
            </w:r>
          </w:p>
        </w:tc>
        <w:tc>
          <w:tcPr>
            <w:tcW w:w="960" w:type="dxa"/>
            <w:noWrap/>
            <w:hideMark/>
          </w:tcPr>
          <w:p w14:paraId="0BE444DE" w14:textId="77777777" w:rsidR="00F50B9F" w:rsidRPr="00F50B9F" w:rsidRDefault="00F50B9F" w:rsidP="00C77DBA">
            <w:pPr>
              <w:pStyle w:val="Tabletextcentre"/>
              <w:framePr w:wrap="around"/>
            </w:pPr>
            <w:r w:rsidRPr="00F50B9F">
              <w:t>2</w:t>
            </w:r>
          </w:p>
        </w:tc>
        <w:tc>
          <w:tcPr>
            <w:tcW w:w="1360" w:type="dxa"/>
            <w:hideMark/>
          </w:tcPr>
          <w:p w14:paraId="4F32A8FA" w14:textId="77777777" w:rsidR="00F50B9F" w:rsidRPr="00F50B9F" w:rsidRDefault="00F50B9F" w:rsidP="00C77DBA">
            <w:pPr>
              <w:pStyle w:val="Tabletextcentre"/>
              <w:framePr w:wrap="around"/>
            </w:pPr>
            <w:r w:rsidRPr="00F50B9F">
              <w:t>2%</w:t>
            </w:r>
          </w:p>
        </w:tc>
      </w:tr>
      <w:tr w:rsidR="00F50B9F" w:rsidRPr="00F50B9F" w14:paraId="22A5D490" w14:textId="77777777" w:rsidTr="00E26EEE">
        <w:trPr>
          <w:trHeight w:val="330"/>
        </w:trPr>
        <w:tc>
          <w:tcPr>
            <w:tcW w:w="3460" w:type="dxa"/>
            <w:noWrap/>
            <w:hideMark/>
          </w:tcPr>
          <w:p w14:paraId="6203F297"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Paediatric Medicine</w:t>
            </w:r>
          </w:p>
        </w:tc>
        <w:tc>
          <w:tcPr>
            <w:tcW w:w="960" w:type="dxa"/>
            <w:noWrap/>
            <w:hideMark/>
          </w:tcPr>
          <w:p w14:paraId="4C7E6FB5" w14:textId="77777777" w:rsidR="00F50B9F" w:rsidRPr="00F50B9F" w:rsidRDefault="00F50B9F" w:rsidP="00C77DBA">
            <w:pPr>
              <w:pStyle w:val="Tabletextcentre"/>
              <w:framePr w:wrap="around"/>
            </w:pPr>
            <w:r w:rsidRPr="00F50B9F">
              <w:t>2</w:t>
            </w:r>
          </w:p>
        </w:tc>
        <w:tc>
          <w:tcPr>
            <w:tcW w:w="1360" w:type="dxa"/>
            <w:hideMark/>
          </w:tcPr>
          <w:p w14:paraId="29905F54" w14:textId="77777777" w:rsidR="00F50B9F" w:rsidRPr="00F50B9F" w:rsidRDefault="00F50B9F" w:rsidP="00C77DBA">
            <w:pPr>
              <w:pStyle w:val="Tabletextcentre"/>
              <w:framePr w:wrap="around"/>
            </w:pPr>
            <w:r w:rsidRPr="00F50B9F">
              <w:t>2%</w:t>
            </w:r>
          </w:p>
        </w:tc>
      </w:tr>
      <w:tr w:rsidR="00F50B9F" w:rsidRPr="00F50B9F" w14:paraId="2B5FD456" w14:textId="77777777" w:rsidTr="00E26EEE">
        <w:trPr>
          <w:trHeight w:val="330"/>
        </w:trPr>
        <w:tc>
          <w:tcPr>
            <w:tcW w:w="3460" w:type="dxa"/>
            <w:noWrap/>
            <w:hideMark/>
          </w:tcPr>
          <w:p w14:paraId="4ED850E2"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Nurse Practitioner</w:t>
            </w:r>
          </w:p>
        </w:tc>
        <w:tc>
          <w:tcPr>
            <w:tcW w:w="960" w:type="dxa"/>
            <w:noWrap/>
            <w:hideMark/>
          </w:tcPr>
          <w:p w14:paraId="5BA3CD42" w14:textId="0987FB6E" w:rsidR="00F50B9F" w:rsidRPr="00F50B9F" w:rsidRDefault="00546CBD" w:rsidP="00C77DBA">
            <w:pPr>
              <w:pStyle w:val="Tabletextcentre"/>
              <w:framePr w:wrap="around"/>
            </w:pPr>
            <w:r>
              <w:t>8</w:t>
            </w:r>
          </w:p>
        </w:tc>
        <w:tc>
          <w:tcPr>
            <w:tcW w:w="1360" w:type="dxa"/>
            <w:hideMark/>
          </w:tcPr>
          <w:p w14:paraId="3606510B" w14:textId="77777777" w:rsidR="00F50B9F" w:rsidRPr="00F50B9F" w:rsidRDefault="00F50B9F" w:rsidP="00C77DBA">
            <w:pPr>
              <w:pStyle w:val="Tabletextcentre"/>
              <w:framePr w:wrap="around"/>
            </w:pPr>
            <w:r w:rsidRPr="00F50B9F">
              <w:t>6%</w:t>
            </w:r>
          </w:p>
        </w:tc>
      </w:tr>
      <w:tr w:rsidR="00F50B9F" w:rsidRPr="00F50B9F" w14:paraId="403BA9BF" w14:textId="77777777" w:rsidTr="00E26EEE">
        <w:trPr>
          <w:trHeight w:val="330"/>
        </w:trPr>
        <w:tc>
          <w:tcPr>
            <w:tcW w:w="3460" w:type="dxa"/>
            <w:noWrap/>
            <w:hideMark/>
          </w:tcPr>
          <w:p w14:paraId="1661A9B5"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Podiatrist</w:t>
            </w:r>
          </w:p>
        </w:tc>
        <w:tc>
          <w:tcPr>
            <w:tcW w:w="960" w:type="dxa"/>
            <w:noWrap/>
            <w:hideMark/>
          </w:tcPr>
          <w:p w14:paraId="3BB83CA7" w14:textId="77777777" w:rsidR="00F50B9F" w:rsidRPr="00F50B9F" w:rsidRDefault="00F50B9F" w:rsidP="00C77DBA">
            <w:pPr>
              <w:pStyle w:val="Tabletextcentre"/>
              <w:framePr w:wrap="around"/>
            </w:pPr>
            <w:r w:rsidRPr="00F50B9F">
              <w:t>1</w:t>
            </w:r>
          </w:p>
        </w:tc>
        <w:tc>
          <w:tcPr>
            <w:tcW w:w="1360" w:type="dxa"/>
            <w:hideMark/>
          </w:tcPr>
          <w:p w14:paraId="25FB997A" w14:textId="77777777" w:rsidR="00F50B9F" w:rsidRPr="00F50B9F" w:rsidRDefault="00F50B9F" w:rsidP="00C77DBA">
            <w:pPr>
              <w:pStyle w:val="Tabletextcentre"/>
              <w:framePr w:wrap="around"/>
            </w:pPr>
            <w:r w:rsidRPr="00F50B9F">
              <w:t>1%</w:t>
            </w:r>
          </w:p>
        </w:tc>
      </w:tr>
      <w:tr w:rsidR="00F50B9F" w:rsidRPr="00F50B9F" w14:paraId="46EFBF1F" w14:textId="77777777" w:rsidTr="00E26EEE">
        <w:trPr>
          <w:trHeight w:val="330"/>
        </w:trPr>
        <w:tc>
          <w:tcPr>
            <w:tcW w:w="3460" w:type="dxa"/>
            <w:noWrap/>
            <w:hideMark/>
          </w:tcPr>
          <w:p w14:paraId="4BEBE8B7"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Diagnostic Radiologist</w:t>
            </w:r>
          </w:p>
        </w:tc>
        <w:tc>
          <w:tcPr>
            <w:tcW w:w="960" w:type="dxa"/>
            <w:noWrap/>
            <w:hideMark/>
          </w:tcPr>
          <w:p w14:paraId="344B96A3" w14:textId="77777777" w:rsidR="00F50B9F" w:rsidRPr="00F50B9F" w:rsidRDefault="00F50B9F" w:rsidP="00C77DBA">
            <w:pPr>
              <w:pStyle w:val="Tabletextcentre"/>
              <w:framePr w:wrap="around"/>
            </w:pPr>
            <w:r w:rsidRPr="00F50B9F">
              <w:t>3</w:t>
            </w:r>
          </w:p>
        </w:tc>
        <w:tc>
          <w:tcPr>
            <w:tcW w:w="1360" w:type="dxa"/>
            <w:hideMark/>
          </w:tcPr>
          <w:p w14:paraId="52DEC31B" w14:textId="77777777" w:rsidR="00F50B9F" w:rsidRPr="00F50B9F" w:rsidRDefault="00F50B9F" w:rsidP="00C77DBA">
            <w:pPr>
              <w:pStyle w:val="Tabletextcentre"/>
              <w:framePr w:wrap="around"/>
            </w:pPr>
            <w:r w:rsidRPr="00F50B9F">
              <w:t>3%</w:t>
            </w:r>
          </w:p>
        </w:tc>
      </w:tr>
      <w:tr w:rsidR="00F50B9F" w:rsidRPr="00F50B9F" w14:paraId="51759F24" w14:textId="77777777" w:rsidTr="00E26EEE">
        <w:trPr>
          <w:trHeight w:val="330"/>
        </w:trPr>
        <w:tc>
          <w:tcPr>
            <w:tcW w:w="3460" w:type="dxa"/>
            <w:noWrap/>
            <w:hideMark/>
          </w:tcPr>
          <w:p w14:paraId="7683D9B5"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Geriatric Medicine</w:t>
            </w:r>
          </w:p>
        </w:tc>
        <w:tc>
          <w:tcPr>
            <w:tcW w:w="960" w:type="dxa"/>
            <w:noWrap/>
            <w:hideMark/>
          </w:tcPr>
          <w:p w14:paraId="3B43DF9A" w14:textId="77777777" w:rsidR="00F50B9F" w:rsidRPr="00F50B9F" w:rsidRDefault="00F50B9F" w:rsidP="00C77DBA">
            <w:pPr>
              <w:pStyle w:val="Tabletextcentre"/>
              <w:framePr w:wrap="around"/>
            </w:pPr>
            <w:r w:rsidRPr="00F50B9F">
              <w:t>1</w:t>
            </w:r>
          </w:p>
        </w:tc>
        <w:tc>
          <w:tcPr>
            <w:tcW w:w="1360" w:type="dxa"/>
            <w:hideMark/>
          </w:tcPr>
          <w:p w14:paraId="35E5F1AF" w14:textId="77777777" w:rsidR="00F50B9F" w:rsidRPr="00F50B9F" w:rsidRDefault="00F50B9F" w:rsidP="00C77DBA">
            <w:pPr>
              <w:pStyle w:val="Tabletextcentre"/>
              <w:framePr w:wrap="around"/>
            </w:pPr>
            <w:r w:rsidRPr="00F50B9F">
              <w:t>1%</w:t>
            </w:r>
          </w:p>
        </w:tc>
      </w:tr>
      <w:tr w:rsidR="00F50B9F" w:rsidRPr="00F50B9F" w14:paraId="36789DF7" w14:textId="77777777" w:rsidTr="00E26EEE">
        <w:trPr>
          <w:trHeight w:val="330"/>
        </w:trPr>
        <w:tc>
          <w:tcPr>
            <w:tcW w:w="3460" w:type="dxa"/>
            <w:noWrap/>
            <w:hideMark/>
          </w:tcPr>
          <w:p w14:paraId="2866F661" w14:textId="77777777" w:rsidR="00F50B9F" w:rsidRPr="00F50B9F" w:rsidRDefault="00F50B9F" w:rsidP="00F50B9F">
            <w:pPr>
              <w:spacing w:line="240" w:lineRule="auto"/>
              <w:rPr>
                <w:rFonts w:ascii="Calibri" w:hAnsi="Calibri" w:cs="Calibri"/>
                <w:color w:val="000000"/>
                <w:sz w:val="24"/>
              </w:rPr>
            </w:pPr>
            <w:r w:rsidRPr="00F50B9F">
              <w:rPr>
                <w:rFonts w:ascii="Calibri" w:hAnsi="Calibri" w:cs="Calibri"/>
                <w:color w:val="000000"/>
                <w:sz w:val="24"/>
              </w:rPr>
              <w:t>Dentist</w:t>
            </w:r>
          </w:p>
        </w:tc>
        <w:tc>
          <w:tcPr>
            <w:tcW w:w="960" w:type="dxa"/>
            <w:noWrap/>
            <w:hideMark/>
          </w:tcPr>
          <w:p w14:paraId="1106B9F6" w14:textId="77777777" w:rsidR="00F50B9F" w:rsidRPr="00F50B9F" w:rsidRDefault="00F50B9F" w:rsidP="00C77DBA">
            <w:pPr>
              <w:pStyle w:val="Tabletextcentre"/>
              <w:framePr w:wrap="around"/>
            </w:pPr>
            <w:r w:rsidRPr="00F50B9F">
              <w:t>1</w:t>
            </w:r>
          </w:p>
        </w:tc>
        <w:tc>
          <w:tcPr>
            <w:tcW w:w="1360" w:type="dxa"/>
            <w:hideMark/>
          </w:tcPr>
          <w:p w14:paraId="4A18DA39" w14:textId="77777777" w:rsidR="00F50B9F" w:rsidRPr="00F50B9F" w:rsidRDefault="00F50B9F" w:rsidP="00C77DBA">
            <w:pPr>
              <w:pStyle w:val="Tabletextcentre"/>
              <w:framePr w:wrap="around"/>
            </w:pPr>
            <w:r w:rsidRPr="00F50B9F">
              <w:t>1%</w:t>
            </w:r>
          </w:p>
        </w:tc>
      </w:tr>
      <w:tr w:rsidR="00546CBD" w:rsidRPr="00F50B9F" w14:paraId="4076E10B" w14:textId="77777777" w:rsidTr="00E26EEE">
        <w:trPr>
          <w:trHeight w:val="330"/>
        </w:trPr>
        <w:tc>
          <w:tcPr>
            <w:tcW w:w="3460" w:type="dxa"/>
            <w:noWrap/>
          </w:tcPr>
          <w:p w14:paraId="157B344D" w14:textId="1C9AAC74" w:rsidR="00546CBD" w:rsidRPr="00F50B9F" w:rsidRDefault="00546CBD" w:rsidP="00F50B9F">
            <w:pPr>
              <w:spacing w:line="240" w:lineRule="auto"/>
              <w:rPr>
                <w:rFonts w:ascii="Calibri" w:hAnsi="Calibri" w:cs="Calibri"/>
                <w:color w:val="000000"/>
                <w:sz w:val="24"/>
              </w:rPr>
            </w:pPr>
            <w:r>
              <w:rPr>
                <w:rFonts w:ascii="Calibri" w:hAnsi="Calibri" w:cs="Calibri"/>
                <w:color w:val="000000"/>
                <w:sz w:val="24"/>
              </w:rPr>
              <w:t>Midwife</w:t>
            </w:r>
          </w:p>
        </w:tc>
        <w:tc>
          <w:tcPr>
            <w:tcW w:w="960" w:type="dxa"/>
            <w:noWrap/>
          </w:tcPr>
          <w:p w14:paraId="329225A5" w14:textId="74D6A458" w:rsidR="00546CBD" w:rsidRPr="00F50B9F" w:rsidRDefault="00546CBD" w:rsidP="00C77DBA">
            <w:pPr>
              <w:pStyle w:val="Tabletextcentre"/>
              <w:framePr w:wrap="around"/>
            </w:pPr>
            <w:r>
              <w:t>1</w:t>
            </w:r>
          </w:p>
        </w:tc>
        <w:tc>
          <w:tcPr>
            <w:tcW w:w="1360" w:type="dxa"/>
          </w:tcPr>
          <w:p w14:paraId="2BBB0335" w14:textId="6773F098" w:rsidR="00546CBD" w:rsidRPr="00F50B9F" w:rsidRDefault="00546CBD" w:rsidP="00C77DBA">
            <w:pPr>
              <w:pStyle w:val="Tabletextcentre"/>
              <w:framePr w:wrap="around"/>
            </w:pPr>
            <w:r>
              <w:t>1%</w:t>
            </w:r>
          </w:p>
        </w:tc>
      </w:tr>
      <w:tr w:rsidR="00F50B9F" w:rsidRPr="00F50B9F" w14:paraId="650CD486" w14:textId="77777777" w:rsidTr="00E26EEE">
        <w:trPr>
          <w:trHeight w:val="330"/>
        </w:trPr>
        <w:tc>
          <w:tcPr>
            <w:tcW w:w="3460" w:type="dxa"/>
            <w:hideMark/>
          </w:tcPr>
          <w:p w14:paraId="4C50DDBA" w14:textId="77777777" w:rsidR="00F50B9F" w:rsidRPr="00F50B9F" w:rsidRDefault="00F50B9F" w:rsidP="00F50B9F">
            <w:pPr>
              <w:spacing w:line="240" w:lineRule="auto"/>
              <w:rPr>
                <w:rFonts w:ascii="Calibri" w:hAnsi="Calibri" w:cs="Calibri"/>
                <w:b/>
                <w:bCs/>
                <w:color w:val="000000"/>
                <w:sz w:val="24"/>
              </w:rPr>
            </w:pPr>
            <w:r w:rsidRPr="00F50B9F">
              <w:rPr>
                <w:rFonts w:ascii="Calibri" w:hAnsi="Calibri" w:cs="Calibri"/>
                <w:b/>
                <w:bCs/>
                <w:color w:val="000000"/>
                <w:sz w:val="24"/>
              </w:rPr>
              <w:t>TOTAL</w:t>
            </w:r>
          </w:p>
        </w:tc>
        <w:tc>
          <w:tcPr>
            <w:tcW w:w="960" w:type="dxa"/>
            <w:hideMark/>
          </w:tcPr>
          <w:p w14:paraId="55570FF8" w14:textId="24D2EA2E" w:rsidR="00F50B9F" w:rsidRPr="00F50B9F" w:rsidRDefault="00F50B9F" w:rsidP="00F50B9F">
            <w:pPr>
              <w:spacing w:line="240" w:lineRule="auto"/>
              <w:jc w:val="center"/>
              <w:rPr>
                <w:rFonts w:ascii="Calibri" w:hAnsi="Calibri" w:cs="Calibri"/>
                <w:b/>
                <w:bCs/>
                <w:color w:val="000000"/>
                <w:sz w:val="24"/>
              </w:rPr>
            </w:pPr>
            <w:r w:rsidRPr="00F50B9F">
              <w:rPr>
                <w:rFonts w:ascii="Calibri" w:hAnsi="Calibri" w:cs="Calibri"/>
                <w:b/>
                <w:bCs/>
                <w:color w:val="000000"/>
                <w:sz w:val="24"/>
              </w:rPr>
              <w:t>1</w:t>
            </w:r>
            <w:r w:rsidR="00546CBD">
              <w:rPr>
                <w:rFonts w:ascii="Calibri" w:hAnsi="Calibri" w:cs="Calibri"/>
                <w:b/>
                <w:bCs/>
                <w:color w:val="000000"/>
                <w:sz w:val="24"/>
              </w:rPr>
              <w:t>24</w:t>
            </w:r>
          </w:p>
        </w:tc>
        <w:tc>
          <w:tcPr>
            <w:tcW w:w="1360" w:type="dxa"/>
            <w:hideMark/>
          </w:tcPr>
          <w:p w14:paraId="080C906A" w14:textId="77777777" w:rsidR="00F50B9F" w:rsidRPr="00F50B9F" w:rsidRDefault="00F50B9F" w:rsidP="00F50B9F">
            <w:pPr>
              <w:spacing w:line="240" w:lineRule="auto"/>
              <w:jc w:val="center"/>
              <w:rPr>
                <w:rFonts w:ascii="Calibri" w:hAnsi="Calibri" w:cs="Calibri"/>
                <w:b/>
                <w:bCs/>
                <w:color w:val="000000"/>
                <w:sz w:val="24"/>
              </w:rPr>
            </w:pPr>
            <w:r w:rsidRPr="00F50B9F">
              <w:rPr>
                <w:rFonts w:ascii="Calibri" w:hAnsi="Calibri" w:cs="Calibri"/>
                <w:b/>
                <w:bCs/>
                <w:color w:val="000000"/>
                <w:sz w:val="24"/>
              </w:rPr>
              <w:t>100%</w:t>
            </w:r>
          </w:p>
        </w:tc>
      </w:tr>
    </w:tbl>
    <w:p w14:paraId="417324D3" w14:textId="2D2B4947" w:rsidR="00DC4C55" w:rsidRPr="00894DDE" w:rsidRDefault="00894DDE" w:rsidP="005D3569">
      <w:pPr>
        <w:pStyle w:val="Heading3"/>
      </w:pPr>
      <w:r w:rsidRPr="00894DDE">
        <w:t>Referrals for Prescribed Patterns of Service</w:t>
      </w:r>
      <w:r w:rsidR="00851947">
        <w:t>:</w:t>
      </w:r>
    </w:p>
    <w:p w14:paraId="79C82597" w14:textId="20058F47" w:rsidR="00894DDE" w:rsidRDefault="003170A4" w:rsidP="00327400">
      <w:r w:rsidRPr="003170A4">
        <w:t>2</w:t>
      </w:r>
      <w:r w:rsidR="003C3EA8">
        <w:t>8</w:t>
      </w:r>
      <w:r w:rsidRPr="003170A4">
        <w:t xml:space="preserve"> requests were sent to </w:t>
      </w:r>
      <w:r w:rsidR="00AC78EC">
        <w:t xml:space="preserve">the </w:t>
      </w:r>
      <w:r w:rsidR="00B03670">
        <w:t>D</w:t>
      </w:r>
      <w:r w:rsidRPr="003170A4">
        <w:t>PSR for prescribed pattern</w:t>
      </w:r>
      <w:r w:rsidR="00AC78EC">
        <w:t>s</w:t>
      </w:r>
      <w:r w:rsidRPr="003170A4">
        <w:t xml:space="preserve"> of service during the period 1 July 2025 to 3</w:t>
      </w:r>
      <w:r w:rsidR="003C3EA8">
        <w:t>0 June</w:t>
      </w:r>
      <w:r w:rsidRPr="003170A4">
        <w:t xml:space="preserve"> 2026</w:t>
      </w:r>
      <w:r w:rsidR="00AC78EC">
        <w:t>:</w:t>
      </w:r>
    </w:p>
    <w:tbl>
      <w:tblPr>
        <w:tblStyle w:val="TableGrid"/>
        <w:tblW w:w="6941" w:type="dxa"/>
        <w:tblLook w:val="04A0" w:firstRow="1" w:lastRow="0" w:firstColumn="1" w:lastColumn="0" w:noHBand="0" w:noVBand="1"/>
      </w:tblPr>
      <w:tblGrid>
        <w:gridCol w:w="3256"/>
        <w:gridCol w:w="3685"/>
      </w:tblGrid>
      <w:tr w:rsidR="000F64F2" w14:paraId="499C5D47" w14:textId="77777777" w:rsidTr="00322906">
        <w:trPr>
          <w:cnfStyle w:val="100000000000" w:firstRow="1" w:lastRow="0" w:firstColumn="0" w:lastColumn="0" w:oddVBand="0" w:evenVBand="0" w:oddHBand="0" w:evenHBand="0" w:firstRowFirstColumn="0" w:firstRowLastColumn="0" w:lastRowFirstColumn="0" w:lastRowLastColumn="0"/>
          <w:tblHeader/>
        </w:trPr>
        <w:tc>
          <w:tcPr>
            <w:tcW w:w="3256" w:type="dxa"/>
            <w:vAlign w:val="center"/>
          </w:tcPr>
          <w:p w14:paraId="6130A1E3" w14:textId="77777777" w:rsidR="000F64F2" w:rsidRDefault="000F64F2" w:rsidP="00322906">
            <w:pPr>
              <w:ind w:right="170"/>
              <w:rPr>
                <w:b w:val="0"/>
              </w:rPr>
            </w:pPr>
            <w:r>
              <w:t>Prescribed Pattern of Service</w:t>
            </w:r>
          </w:p>
        </w:tc>
        <w:tc>
          <w:tcPr>
            <w:tcW w:w="3685" w:type="dxa"/>
            <w:vAlign w:val="center"/>
          </w:tcPr>
          <w:p w14:paraId="21BF7947" w14:textId="77777777" w:rsidR="000F64F2" w:rsidRDefault="000F64F2" w:rsidP="00322906">
            <w:pPr>
              <w:ind w:right="170"/>
              <w:rPr>
                <w:b w:val="0"/>
              </w:rPr>
            </w:pPr>
            <w:r>
              <w:t>No. prescribed pattern of services sent to DPSR for review</w:t>
            </w:r>
          </w:p>
        </w:tc>
      </w:tr>
      <w:tr w:rsidR="000F64F2" w:rsidRPr="00356849" w14:paraId="675ABEF9" w14:textId="77777777" w:rsidTr="00322906">
        <w:trPr>
          <w:trHeight w:val="567"/>
        </w:trPr>
        <w:tc>
          <w:tcPr>
            <w:tcW w:w="3256" w:type="dxa"/>
            <w:hideMark/>
          </w:tcPr>
          <w:p w14:paraId="0EB34762" w14:textId="5999DE8F" w:rsidR="000F64F2" w:rsidRPr="00077E62" w:rsidRDefault="000F64F2" w:rsidP="00322906">
            <w:pPr>
              <w:ind w:right="170"/>
              <w:jc w:val="center"/>
            </w:pPr>
            <w:r w:rsidRPr="00077E62">
              <w:t>80/20</w:t>
            </w:r>
            <w:r w:rsidR="00851947">
              <w:t xml:space="preserve"> Breach</w:t>
            </w:r>
          </w:p>
        </w:tc>
        <w:tc>
          <w:tcPr>
            <w:tcW w:w="3685" w:type="dxa"/>
          </w:tcPr>
          <w:p w14:paraId="0EC6453C" w14:textId="77777777" w:rsidR="000F64F2" w:rsidRPr="00356849" w:rsidRDefault="000F64F2" w:rsidP="00322906">
            <w:pPr>
              <w:ind w:right="170"/>
              <w:jc w:val="center"/>
            </w:pPr>
            <w:r>
              <w:t>3</w:t>
            </w:r>
          </w:p>
        </w:tc>
      </w:tr>
      <w:tr w:rsidR="000F64F2" w:rsidRPr="00356849" w14:paraId="194DEE0C" w14:textId="77777777" w:rsidTr="00322906">
        <w:trPr>
          <w:trHeight w:val="567"/>
        </w:trPr>
        <w:tc>
          <w:tcPr>
            <w:tcW w:w="3256" w:type="dxa"/>
          </w:tcPr>
          <w:p w14:paraId="1F5D4ECB" w14:textId="4E4514F5" w:rsidR="000F64F2" w:rsidRPr="00D17091" w:rsidRDefault="000F64F2" w:rsidP="00322906">
            <w:pPr>
              <w:ind w:right="170"/>
              <w:jc w:val="center"/>
            </w:pPr>
            <w:r w:rsidRPr="00D17091">
              <w:t>30/20</w:t>
            </w:r>
            <w:r w:rsidR="00851947">
              <w:t xml:space="preserve"> Breach</w:t>
            </w:r>
          </w:p>
        </w:tc>
        <w:tc>
          <w:tcPr>
            <w:tcW w:w="3685" w:type="dxa"/>
          </w:tcPr>
          <w:p w14:paraId="59A490A5" w14:textId="20216EBE" w:rsidR="000F64F2" w:rsidRPr="00356849" w:rsidRDefault="000F64F2" w:rsidP="00322906">
            <w:pPr>
              <w:ind w:right="170"/>
              <w:jc w:val="center"/>
            </w:pPr>
            <w:r>
              <w:t>2</w:t>
            </w:r>
            <w:r w:rsidR="003C3EA8">
              <w:t>5</w:t>
            </w:r>
          </w:p>
        </w:tc>
      </w:tr>
    </w:tbl>
    <w:p w14:paraId="3CEF8CC1" w14:textId="6C95B402" w:rsidR="002A4B1B" w:rsidRPr="002A4B1B" w:rsidRDefault="002A4B1B" w:rsidP="006414FD">
      <w:pPr>
        <w:pStyle w:val="Heading2"/>
      </w:pPr>
      <w:r w:rsidRPr="002A4B1B">
        <w:t>More information</w:t>
      </w:r>
    </w:p>
    <w:p w14:paraId="4E3841A6" w14:textId="4878B326" w:rsidR="00BF439A" w:rsidRPr="00327400" w:rsidRDefault="00BF439A" w:rsidP="00327400">
      <w:hyperlink r:id="rId12" w:history="1">
        <w:r w:rsidRPr="00327400">
          <w:rPr>
            <w:rStyle w:val="Hyperlink"/>
          </w:rPr>
          <w:t xml:space="preserve">PRP for practitioners </w:t>
        </w:r>
      </w:hyperlink>
    </w:p>
    <w:p w14:paraId="0250E201" w14:textId="2E4CE409" w:rsidR="002A4B1B" w:rsidRPr="00327400" w:rsidRDefault="002A4B1B" w:rsidP="00327400">
      <w:hyperlink r:id="rId13" w:history="1">
        <w:r w:rsidRPr="00327400">
          <w:rPr>
            <w:rStyle w:val="Hyperlink"/>
          </w:rPr>
          <w:t>Prescribed pattern of services</w:t>
        </w:r>
      </w:hyperlink>
    </w:p>
    <w:p w14:paraId="3922ABD3" w14:textId="41EC89A8" w:rsidR="000C5313" w:rsidRPr="00327400" w:rsidRDefault="000C5313" w:rsidP="00327400">
      <w:hyperlink r:id="rId14" w:history="1">
        <w:r w:rsidRPr="00327400">
          <w:rPr>
            <w:rStyle w:val="Hyperlink"/>
          </w:rPr>
          <w:t>Professional Services Review</w:t>
        </w:r>
      </w:hyperlink>
    </w:p>
    <w:sectPr w:rsidR="000C5313" w:rsidRPr="00327400" w:rsidSect="00C77DBA">
      <w:headerReference w:type="even" r:id="rId15"/>
      <w:headerReference w:type="default" r:id="rId16"/>
      <w:footerReference w:type="even" r:id="rId17"/>
      <w:footerReference w:type="default" r:id="rId18"/>
      <w:headerReference w:type="first" r:id="rId19"/>
      <w:footerReference w:type="first" r:id="rId20"/>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ADBA" w14:textId="77777777" w:rsidR="001273D3" w:rsidRDefault="001273D3" w:rsidP="00A62EE9">
      <w:pPr>
        <w:spacing w:line="240" w:lineRule="auto"/>
      </w:pPr>
      <w:r>
        <w:separator/>
      </w:r>
    </w:p>
  </w:endnote>
  <w:endnote w:type="continuationSeparator" w:id="0">
    <w:p w14:paraId="6D611117" w14:textId="77777777" w:rsidR="001273D3" w:rsidRDefault="001273D3" w:rsidP="00A62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4F14" w14:textId="695E78F5" w:rsidR="007300D9" w:rsidRDefault="007300D9">
    <w:pPr>
      <w:pStyle w:val="Footer"/>
    </w:pPr>
    <w:r>
      <w:rPr>
        <w:noProof/>
      </w:rPr>
      <mc:AlternateContent>
        <mc:Choice Requires="wps">
          <w:drawing>
            <wp:anchor distT="0" distB="0" distL="0" distR="0" simplePos="0" relativeHeight="251662336" behindDoc="0" locked="0" layoutInCell="1" allowOverlap="1" wp14:anchorId="68534B02" wp14:editId="088F5CD0">
              <wp:simplePos x="635" y="635"/>
              <wp:positionH relativeFrom="page">
                <wp:align>center</wp:align>
              </wp:positionH>
              <wp:positionV relativeFrom="page">
                <wp:align>bottom</wp:align>
              </wp:positionV>
              <wp:extent cx="551815" cy="469265"/>
              <wp:effectExtent l="0" t="0" r="635" b="0"/>
              <wp:wrapNone/>
              <wp:docPr id="8307759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01ACA449" w14:textId="57272F4D"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34B02" id="_x0000_t202" coordsize="21600,21600" o:spt="202" path="m,l,21600r21600,l21600,xe">
              <v:stroke joinstyle="miter"/>
              <v:path gradientshapeok="t" o:connecttype="rect"/>
            </v:shapetype>
            <v:shape id="Text Box 5" o:spid="_x0000_s1027" type="#_x0000_t202" alt="OFFICIAL" style="position:absolute;margin-left:0;margin-top:0;width:43.45pt;height:36.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" filled="f" stroked="f">
              <v:textbox style="mso-fit-shape-to-text:t" inset="0,0,0,15pt">
                <w:txbxContent>
                  <w:p w14:paraId="01ACA449" w14:textId="57272F4D"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5213" w14:textId="10B27C01" w:rsidR="00A62EE9" w:rsidRDefault="00F57069" w:rsidP="00683D59">
    <w:pPr>
      <w:pStyle w:val="Footer"/>
      <w:jc w:val="right"/>
    </w:pPr>
    <w:r>
      <w:t>Department of Health, Disability and Ageing</w:t>
    </w:r>
    <w:r w:rsidR="00A62EE9">
      <w:t xml:space="preserve"> – </w:t>
    </w:r>
    <w:r w:rsidR="00491C43">
      <w:t>PRP Statistics</w:t>
    </w:r>
    <w:r w:rsidR="00A62EE9">
      <w:tab/>
    </w:r>
    <w:r w:rsidR="00A62EE9">
      <w:tab/>
    </w:r>
    <w:sdt>
      <w:sdtPr>
        <w:id w:val="-603571878"/>
        <w:docPartObj>
          <w:docPartGallery w:val="Page Numbers (Bottom of Page)"/>
          <w:docPartUnique/>
        </w:docPartObj>
      </w:sdtPr>
      <w:sdtEndPr>
        <w:rPr>
          <w:noProof/>
        </w:rPr>
      </w:sdtEndPr>
      <w:sdtContent>
        <w:r w:rsidR="00A62EE9">
          <w:fldChar w:fldCharType="begin"/>
        </w:r>
        <w:r w:rsidR="00A62EE9">
          <w:instrText xml:space="preserve"> PAGE   \* MERGEFORMAT </w:instrText>
        </w:r>
        <w:r w:rsidR="00A62EE9">
          <w:fldChar w:fldCharType="separate"/>
        </w:r>
        <w:r w:rsidR="00A62EE9">
          <w:rPr>
            <w:noProof/>
          </w:rPr>
          <w:t>2</w:t>
        </w:r>
        <w:r w:rsidR="00A62EE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D74C" w14:textId="7987E0CB" w:rsidR="007300D9" w:rsidRDefault="007300D9">
    <w:pPr>
      <w:pStyle w:val="Footer"/>
    </w:pPr>
    <w:r>
      <w:rPr>
        <w:noProof/>
      </w:rPr>
      <mc:AlternateContent>
        <mc:Choice Requires="wps">
          <w:drawing>
            <wp:anchor distT="0" distB="0" distL="0" distR="0" simplePos="0" relativeHeight="251661312" behindDoc="0" locked="0" layoutInCell="1" allowOverlap="1" wp14:anchorId="6CC7BE4F" wp14:editId="4C2D05A9">
              <wp:simplePos x="635" y="635"/>
              <wp:positionH relativeFrom="page">
                <wp:align>center</wp:align>
              </wp:positionH>
              <wp:positionV relativeFrom="page">
                <wp:align>bottom</wp:align>
              </wp:positionV>
              <wp:extent cx="551815" cy="469265"/>
              <wp:effectExtent l="0" t="0" r="635" b="0"/>
              <wp:wrapNone/>
              <wp:docPr id="246825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20BB5435" w14:textId="4D9A3205"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7BE4F" id="_x0000_t202" coordsize="21600,21600" o:spt="202" path="m,l,21600r21600,l21600,xe">
              <v:stroke joinstyle="miter"/>
              <v:path gradientshapeok="t" o:connecttype="rect"/>
            </v:shapetype>
            <v:shape id="Text Box 4" o:spid="_x0000_s1029" type="#_x0000_t202" alt="OFFICIAL" style="position:absolute;margin-left:0;margin-top:0;width:43.45pt;height:36.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" filled="f" stroked="f">
              <v:textbox style="mso-fit-shape-to-text:t" inset="0,0,0,15pt">
                <w:txbxContent>
                  <w:p w14:paraId="20BB5435" w14:textId="4D9A3205"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706C" w14:textId="77777777" w:rsidR="001273D3" w:rsidRDefault="001273D3" w:rsidP="00A62EE9">
      <w:pPr>
        <w:spacing w:line="240" w:lineRule="auto"/>
      </w:pPr>
      <w:r>
        <w:separator/>
      </w:r>
    </w:p>
  </w:footnote>
  <w:footnote w:type="continuationSeparator" w:id="0">
    <w:p w14:paraId="2C64E1A5" w14:textId="77777777" w:rsidR="001273D3" w:rsidRDefault="001273D3" w:rsidP="00A62EE9">
      <w:pPr>
        <w:spacing w:line="240" w:lineRule="auto"/>
      </w:pPr>
      <w:r>
        <w:continuationSeparator/>
      </w:r>
    </w:p>
  </w:footnote>
  <w:footnote w:id="1">
    <w:p w14:paraId="545C8713" w14:textId="4D09EED7" w:rsidR="00230DBA" w:rsidRDefault="00230DBA" w:rsidP="00C77DBA">
      <w:pPr>
        <w:pStyle w:val="FootnoteText"/>
      </w:pPr>
      <w:r>
        <w:rPr>
          <w:rStyle w:val="FootnoteReference"/>
        </w:rPr>
        <w:footnoteRef/>
      </w:r>
      <w:r>
        <w:t xml:space="preserve"> </w:t>
      </w:r>
      <w:r w:rsidR="00A97F02" w:rsidRPr="00AA6171">
        <w:t>Note</w:t>
      </w:r>
      <w:r w:rsidR="005E0E51" w:rsidRPr="00AA6171">
        <w:t xml:space="preserve"> that these numbers should be considered </w:t>
      </w:r>
      <w:r w:rsidR="00C26465">
        <w:t>in the context of</w:t>
      </w:r>
      <w:r w:rsidR="00394C1F" w:rsidRPr="00AA6171">
        <w:t xml:space="preserve"> </w:t>
      </w:r>
      <w:r w:rsidR="00FE3E57" w:rsidRPr="00AA6171">
        <w:t>the number of practitioner</w:t>
      </w:r>
      <w:r w:rsidR="007A28E1" w:rsidRPr="00AA6171">
        <w:t>s</w:t>
      </w:r>
      <w:r w:rsidR="00FE3E57" w:rsidRPr="00AA6171">
        <w:t xml:space="preserve"> </w:t>
      </w:r>
      <w:r w:rsidR="00023CE0">
        <w:t>in each provider group</w:t>
      </w:r>
      <w:r w:rsidR="00F13F78">
        <w:t>,</w:t>
      </w:r>
      <w:r w:rsidR="00FE3E57" w:rsidRPr="00AA6171">
        <w:t xml:space="preserve"> the </w:t>
      </w:r>
      <w:r w:rsidR="00805BBD">
        <w:t xml:space="preserve">available </w:t>
      </w:r>
      <w:r w:rsidR="007A28E1" w:rsidRPr="00AA6171">
        <w:t>number of MBS</w:t>
      </w:r>
      <w:r w:rsidR="008B20CD" w:rsidRPr="00AA6171">
        <w:t>, PBS or CDBS</w:t>
      </w:r>
      <w:r w:rsidR="00394C1F" w:rsidRPr="00AA6171">
        <w:t xml:space="preserve"> </w:t>
      </w:r>
      <w:r w:rsidR="008B20CD" w:rsidRPr="00AA6171">
        <w:t>items</w:t>
      </w:r>
      <w:r w:rsidR="00AA6171" w:rsidRPr="00AA6171">
        <w:t xml:space="preserve"> </w:t>
      </w:r>
      <w:r w:rsidR="00805BBD">
        <w:t>for each provider group</w:t>
      </w:r>
      <w:r w:rsidR="00F13F78">
        <w:t>, and the</w:t>
      </w:r>
      <w:r w:rsidR="00B011B1">
        <w:t xml:space="preserve"> </w:t>
      </w:r>
      <w:r w:rsidR="00FA4DB6">
        <w:t>number of</w:t>
      </w:r>
      <w:r w:rsidR="00254027">
        <w:t xml:space="preserve"> </w:t>
      </w:r>
      <w:r w:rsidR="007A3E13">
        <w:t>services provided</w:t>
      </w:r>
      <w:r w:rsidR="00EB18D2">
        <w:t xml:space="preserve"> </w:t>
      </w:r>
      <w:r w:rsidR="001B294C">
        <w:t xml:space="preserve">under Medicare </w:t>
      </w:r>
      <w:r w:rsidR="00392F3A">
        <w:t xml:space="preserve">by </w:t>
      </w:r>
      <w:r w:rsidR="001B294C">
        <w:t>provider group</w:t>
      </w:r>
      <w:r w:rsidR="00EE368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3AFC" w14:textId="74C9444B" w:rsidR="007300D9" w:rsidRDefault="007300D9">
    <w:pPr>
      <w:pStyle w:val="Header"/>
    </w:pPr>
    <w:r>
      <w:rPr>
        <w:noProof/>
      </w:rPr>
      <mc:AlternateContent>
        <mc:Choice Requires="wps">
          <w:drawing>
            <wp:anchor distT="0" distB="0" distL="0" distR="0" simplePos="0" relativeHeight="251659264" behindDoc="0" locked="0" layoutInCell="1" allowOverlap="1" wp14:anchorId="684DE66F" wp14:editId="2F976E7D">
              <wp:simplePos x="635" y="635"/>
              <wp:positionH relativeFrom="page">
                <wp:align>center</wp:align>
              </wp:positionH>
              <wp:positionV relativeFrom="page">
                <wp:align>top</wp:align>
              </wp:positionV>
              <wp:extent cx="551815" cy="469265"/>
              <wp:effectExtent l="0" t="0" r="635" b="6985"/>
              <wp:wrapNone/>
              <wp:docPr id="1287222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454BBD0A" w14:textId="05A00759"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E66F" id="_x0000_t202" coordsize="21600,21600" o:spt="202" path="m,l,21600r21600,l21600,xe">
              <v:stroke joinstyle="miter"/>
              <v:path gradientshapeok="t" o:connecttype="rect"/>
            </v:shapetype>
            <v:shape id="Text Box 2" o:spid="_x0000_s1026" type="#_x0000_t202" alt="OFFICIAL" style="position:absolute;margin-left:0;margin-top:0;width:43.45pt;height:36.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" filled="f" stroked="f">
              <v:textbox style="mso-fit-shape-to-text:t" inset="0,15pt,0,0">
                <w:txbxContent>
                  <w:p w14:paraId="454BBD0A" w14:textId="05A00759"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CF58" w14:textId="20A1B033" w:rsidR="00A45FEC" w:rsidRDefault="006414FD">
    <w:pPr>
      <w:pStyle w:val="Header"/>
    </w:pPr>
    <w:r>
      <w:rPr>
        <w:noProof/>
      </w:rPr>
      <w:drawing>
        <wp:inline distT="0" distB="0" distL="0" distR="0" wp14:anchorId="75F164C6" wp14:editId="2805A00C">
          <wp:extent cx="5731510" cy="939165"/>
          <wp:effectExtent l="0" t="0" r="2540" b="0"/>
          <wp:docPr id="1126586812" name="Picture 1" descr="The 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45666" name="Picture 1" descr="The Australian Government 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5731510" cy="9391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1134" w14:textId="752221F4" w:rsidR="007300D9" w:rsidRDefault="007300D9">
    <w:pPr>
      <w:pStyle w:val="Header"/>
    </w:pPr>
    <w:r>
      <w:rPr>
        <w:noProof/>
      </w:rPr>
      <mc:AlternateContent>
        <mc:Choice Requires="wps">
          <w:drawing>
            <wp:anchor distT="0" distB="0" distL="0" distR="0" simplePos="0" relativeHeight="251658240" behindDoc="0" locked="0" layoutInCell="1" allowOverlap="1" wp14:anchorId="397D8CA5" wp14:editId="6FACBCCE">
              <wp:simplePos x="635" y="635"/>
              <wp:positionH relativeFrom="page">
                <wp:align>center</wp:align>
              </wp:positionH>
              <wp:positionV relativeFrom="page">
                <wp:align>top</wp:align>
              </wp:positionV>
              <wp:extent cx="551815" cy="469265"/>
              <wp:effectExtent l="0" t="0" r="635" b="6985"/>
              <wp:wrapNone/>
              <wp:docPr id="8997307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4EFB2777" w14:textId="1425DE58"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D8CA5" id="_x0000_t202" coordsize="21600,21600" o:spt="202" path="m,l,21600r21600,l21600,xe">
              <v:stroke joinstyle="miter"/>
              <v:path gradientshapeok="t" o:connecttype="rect"/>
            </v:shapetype>
            <v:shape id="Text Box 1" o:spid="_x0000_s1028" type="#_x0000_t202" alt="OFFICIAL" style="position:absolute;margin-left:0;margin-top:0;width:43.45pt;height:36.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" filled="f" stroked="f">
              <v:textbox style="mso-fit-shape-to-text:t" inset="0,15pt,0,0">
                <w:txbxContent>
                  <w:p w14:paraId="4EFB2777" w14:textId="1425DE58" w:rsidR="007300D9" w:rsidRPr="007300D9" w:rsidRDefault="007300D9" w:rsidP="007300D9">
                    <w:pPr>
                      <w:rPr>
                        <w:rFonts w:ascii="Calibri" w:eastAsia="Calibri" w:hAnsi="Calibri" w:cs="Calibri"/>
                        <w:noProof/>
                        <w:color w:val="FF0000"/>
                        <w:sz w:val="24"/>
                      </w:rPr>
                    </w:pPr>
                    <w:r w:rsidRPr="007300D9">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5A4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AA04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6C9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947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EF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72E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F05D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2AFB3E"/>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7AAED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449B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EE47D9"/>
    <w:multiLevelType w:val="hybridMultilevel"/>
    <w:tmpl w:val="0900BB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62E37EE"/>
    <w:multiLevelType w:val="hybridMultilevel"/>
    <w:tmpl w:val="C2142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520803">
    <w:abstractNumId w:val="11"/>
  </w:num>
  <w:num w:numId="2" w16cid:durableId="70930700">
    <w:abstractNumId w:val="9"/>
  </w:num>
  <w:num w:numId="3" w16cid:durableId="716390426">
    <w:abstractNumId w:val="7"/>
  </w:num>
  <w:num w:numId="4" w16cid:durableId="1211772610">
    <w:abstractNumId w:val="6"/>
  </w:num>
  <w:num w:numId="5" w16cid:durableId="849177695">
    <w:abstractNumId w:val="5"/>
  </w:num>
  <w:num w:numId="6" w16cid:durableId="1790316671">
    <w:abstractNumId w:val="4"/>
  </w:num>
  <w:num w:numId="7" w16cid:durableId="1985431969">
    <w:abstractNumId w:val="8"/>
  </w:num>
  <w:num w:numId="8" w16cid:durableId="2112429636">
    <w:abstractNumId w:val="3"/>
  </w:num>
  <w:num w:numId="9" w16cid:durableId="1658803851">
    <w:abstractNumId w:val="2"/>
  </w:num>
  <w:num w:numId="10" w16cid:durableId="88738037">
    <w:abstractNumId w:val="1"/>
  </w:num>
  <w:num w:numId="11" w16cid:durableId="181476094">
    <w:abstractNumId w:val="0"/>
  </w:num>
  <w:num w:numId="12" w16cid:durableId="451441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A1"/>
    <w:rsid w:val="0000287B"/>
    <w:rsid w:val="00014485"/>
    <w:rsid w:val="00016388"/>
    <w:rsid w:val="00023CE0"/>
    <w:rsid w:val="000304DC"/>
    <w:rsid w:val="00076052"/>
    <w:rsid w:val="00080E14"/>
    <w:rsid w:val="00095933"/>
    <w:rsid w:val="000969D3"/>
    <w:rsid w:val="000A5C2B"/>
    <w:rsid w:val="000B4D07"/>
    <w:rsid w:val="000C5313"/>
    <w:rsid w:val="000E0DAC"/>
    <w:rsid w:val="000E17E4"/>
    <w:rsid w:val="000F3244"/>
    <w:rsid w:val="000F64F2"/>
    <w:rsid w:val="001273D3"/>
    <w:rsid w:val="00132552"/>
    <w:rsid w:val="00134CC1"/>
    <w:rsid w:val="001904FE"/>
    <w:rsid w:val="001A024D"/>
    <w:rsid w:val="001B294C"/>
    <w:rsid w:val="001C1BC7"/>
    <w:rsid w:val="001C4A4D"/>
    <w:rsid w:val="0021283E"/>
    <w:rsid w:val="002201E9"/>
    <w:rsid w:val="00230DBA"/>
    <w:rsid w:val="00233799"/>
    <w:rsid w:val="00237578"/>
    <w:rsid w:val="00254027"/>
    <w:rsid w:val="00280050"/>
    <w:rsid w:val="002A4501"/>
    <w:rsid w:val="002A4B1B"/>
    <w:rsid w:val="002D2A8B"/>
    <w:rsid w:val="002F3B63"/>
    <w:rsid w:val="002F6D3F"/>
    <w:rsid w:val="003170A4"/>
    <w:rsid w:val="00322906"/>
    <w:rsid w:val="00327400"/>
    <w:rsid w:val="00331448"/>
    <w:rsid w:val="00332CB2"/>
    <w:rsid w:val="003362E9"/>
    <w:rsid w:val="00343E32"/>
    <w:rsid w:val="00356C03"/>
    <w:rsid w:val="00392F3A"/>
    <w:rsid w:val="00394C1F"/>
    <w:rsid w:val="003A1D8C"/>
    <w:rsid w:val="003A37A8"/>
    <w:rsid w:val="003C3EA8"/>
    <w:rsid w:val="004047EA"/>
    <w:rsid w:val="00424C84"/>
    <w:rsid w:val="0043332D"/>
    <w:rsid w:val="00455D91"/>
    <w:rsid w:val="0047576B"/>
    <w:rsid w:val="00484083"/>
    <w:rsid w:val="00491260"/>
    <w:rsid w:val="00491C43"/>
    <w:rsid w:val="00495D29"/>
    <w:rsid w:val="004964E0"/>
    <w:rsid w:val="00496742"/>
    <w:rsid w:val="004972C7"/>
    <w:rsid w:val="00497E7D"/>
    <w:rsid w:val="00520528"/>
    <w:rsid w:val="0052655B"/>
    <w:rsid w:val="005332E1"/>
    <w:rsid w:val="00546CBD"/>
    <w:rsid w:val="00571F03"/>
    <w:rsid w:val="005734CD"/>
    <w:rsid w:val="00574983"/>
    <w:rsid w:val="005B5591"/>
    <w:rsid w:val="005B5E0F"/>
    <w:rsid w:val="005C4961"/>
    <w:rsid w:val="005C6FF0"/>
    <w:rsid w:val="005D3569"/>
    <w:rsid w:val="005E0E51"/>
    <w:rsid w:val="005E18E0"/>
    <w:rsid w:val="005F137F"/>
    <w:rsid w:val="006001F1"/>
    <w:rsid w:val="006067DA"/>
    <w:rsid w:val="0061677F"/>
    <w:rsid w:val="00630746"/>
    <w:rsid w:val="006310F9"/>
    <w:rsid w:val="006353A1"/>
    <w:rsid w:val="006414FD"/>
    <w:rsid w:val="00643D3B"/>
    <w:rsid w:val="006538AD"/>
    <w:rsid w:val="0068004E"/>
    <w:rsid w:val="00682ACC"/>
    <w:rsid w:val="00683D59"/>
    <w:rsid w:val="006945C4"/>
    <w:rsid w:val="006A207A"/>
    <w:rsid w:val="006B3FE1"/>
    <w:rsid w:val="006B6EA9"/>
    <w:rsid w:val="006D38F9"/>
    <w:rsid w:val="00714D41"/>
    <w:rsid w:val="007300D9"/>
    <w:rsid w:val="00741967"/>
    <w:rsid w:val="00774C6A"/>
    <w:rsid w:val="0079308F"/>
    <w:rsid w:val="007A0DE4"/>
    <w:rsid w:val="007A28E1"/>
    <w:rsid w:val="007A3E13"/>
    <w:rsid w:val="007A5CAA"/>
    <w:rsid w:val="007D6ECF"/>
    <w:rsid w:val="007F7932"/>
    <w:rsid w:val="008026A1"/>
    <w:rsid w:val="00804196"/>
    <w:rsid w:val="00805BBD"/>
    <w:rsid w:val="00831C85"/>
    <w:rsid w:val="00851947"/>
    <w:rsid w:val="00894DDE"/>
    <w:rsid w:val="008B20CD"/>
    <w:rsid w:val="008D7A6E"/>
    <w:rsid w:val="008F1864"/>
    <w:rsid w:val="00900A45"/>
    <w:rsid w:val="0090680A"/>
    <w:rsid w:val="00914B0D"/>
    <w:rsid w:val="00931B72"/>
    <w:rsid w:val="009358F5"/>
    <w:rsid w:val="00956AED"/>
    <w:rsid w:val="0098449E"/>
    <w:rsid w:val="00986B46"/>
    <w:rsid w:val="009A04DD"/>
    <w:rsid w:val="009C106F"/>
    <w:rsid w:val="009C2532"/>
    <w:rsid w:val="009D29F0"/>
    <w:rsid w:val="009E14A1"/>
    <w:rsid w:val="009F66BE"/>
    <w:rsid w:val="00A27870"/>
    <w:rsid w:val="00A32835"/>
    <w:rsid w:val="00A43B03"/>
    <w:rsid w:val="00A45FEC"/>
    <w:rsid w:val="00A46BDC"/>
    <w:rsid w:val="00A47500"/>
    <w:rsid w:val="00A61AF0"/>
    <w:rsid w:val="00A62EE9"/>
    <w:rsid w:val="00A805D1"/>
    <w:rsid w:val="00A862AE"/>
    <w:rsid w:val="00A87A07"/>
    <w:rsid w:val="00A97F02"/>
    <w:rsid w:val="00AA4A6A"/>
    <w:rsid w:val="00AA6171"/>
    <w:rsid w:val="00AB1509"/>
    <w:rsid w:val="00AB360C"/>
    <w:rsid w:val="00AB7F4F"/>
    <w:rsid w:val="00AC03DD"/>
    <w:rsid w:val="00AC0C5D"/>
    <w:rsid w:val="00AC78EC"/>
    <w:rsid w:val="00AE08AD"/>
    <w:rsid w:val="00B011B1"/>
    <w:rsid w:val="00B03670"/>
    <w:rsid w:val="00B2496C"/>
    <w:rsid w:val="00B41A0C"/>
    <w:rsid w:val="00B53F69"/>
    <w:rsid w:val="00BA00F7"/>
    <w:rsid w:val="00BA324A"/>
    <w:rsid w:val="00BB5340"/>
    <w:rsid w:val="00BB6F3E"/>
    <w:rsid w:val="00BD1FAC"/>
    <w:rsid w:val="00BE4643"/>
    <w:rsid w:val="00BF03D7"/>
    <w:rsid w:val="00BF439A"/>
    <w:rsid w:val="00C03645"/>
    <w:rsid w:val="00C07C3F"/>
    <w:rsid w:val="00C24466"/>
    <w:rsid w:val="00C26465"/>
    <w:rsid w:val="00C61DFF"/>
    <w:rsid w:val="00C717B5"/>
    <w:rsid w:val="00C73B6E"/>
    <w:rsid w:val="00C77DBA"/>
    <w:rsid w:val="00C84D2D"/>
    <w:rsid w:val="00C87E28"/>
    <w:rsid w:val="00CE59F2"/>
    <w:rsid w:val="00D01A0E"/>
    <w:rsid w:val="00D03455"/>
    <w:rsid w:val="00D10B64"/>
    <w:rsid w:val="00D22798"/>
    <w:rsid w:val="00D308C1"/>
    <w:rsid w:val="00D73202"/>
    <w:rsid w:val="00D751A3"/>
    <w:rsid w:val="00D976AA"/>
    <w:rsid w:val="00DB5C37"/>
    <w:rsid w:val="00DC1683"/>
    <w:rsid w:val="00DC4C55"/>
    <w:rsid w:val="00DC5CB6"/>
    <w:rsid w:val="00DF19FE"/>
    <w:rsid w:val="00E04E79"/>
    <w:rsid w:val="00E10192"/>
    <w:rsid w:val="00E26EEE"/>
    <w:rsid w:val="00E365E9"/>
    <w:rsid w:val="00EA7EBB"/>
    <w:rsid w:val="00EB18D2"/>
    <w:rsid w:val="00EB6D88"/>
    <w:rsid w:val="00EC2B89"/>
    <w:rsid w:val="00ED5147"/>
    <w:rsid w:val="00EE3683"/>
    <w:rsid w:val="00EE45E3"/>
    <w:rsid w:val="00F13F32"/>
    <w:rsid w:val="00F13F78"/>
    <w:rsid w:val="00F14D6C"/>
    <w:rsid w:val="00F26FF3"/>
    <w:rsid w:val="00F43CF7"/>
    <w:rsid w:val="00F4576E"/>
    <w:rsid w:val="00F50B9F"/>
    <w:rsid w:val="00F57069"/>
    <w:rsid w:val="00F66846"/>
    <w:rsid w:val="00F83DAF"/>
    <w:rsid w:val="00F94C71"/>
    <w:rsid w:val="00FA3766"/>
    <w:rsid w:val="00FA4DB6"/>
    <w:rsid w:val="00FE3E57"/>
    <w:rsid w:val="00FF2F6B"/>
    <w:rsid w:val="40A498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599E"/>
  <w15:chartTrackingRefBased/>
  <w15:docId w15:val="{75CB36E0-072C-43FD-A0D7-AA43ABFD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BA"/>
    <w:pPr>
      <w:spacing w:after="0" w:line="360" w:lineRule="auto"/>
    </w:pPr>
    <w:rPr>
      <w:rFonts w:ascii="Arial" w:hAnsi="Arial"/>
      <w:sz w:val="20"/>
    </w:rPr>
  </w:style>
  <w:style w:type="paragraph" w:styleId="Heading1">
    <w:name w:val="heading 1"/>
    <w:next w:val="Normal"/>
    <w:link w:val="Heading1Char"/>
    <w:uiPriority w:val="9"/>
    <w:qFormat/>
    <w:rsid w:val="006414FD"/>
    <w:pPr>
      <w:keepNext/>
      <w:keepLines/>
      <w:spacing w:before="120" w:after="120"/>
      <w:outlineLvl w:val="0"/>
    </w:pPr>
    <w:rPr>
      <w:rFonts w:ascii="Arial" w:eastAsiaTheme="majorEastAsia" w:hAnsi="Arial" w:cstheme="majorBidi"/>
      <w:b/>
      <w:color w:val="44546A" w:themeColor="text2"/>
      <w:sz w:val="48"/>
      <w:szCs w:val="32"/>
    </w:rPr>
  </w:style>
  <w:style w:type="paragraph" w:styleId="Heading2">
    <w:name w:val="heading 2"/>
    <w:basedOn w:val="Heading1"/>
    <w:next w:val="Normal"/>
    <w:link w:val="Heading2Char"/>
    <w:uiPriority w:val="9"/>
    <w:unhideWhenUsed/>
    <w:qFormat/>
    <w:rsid w:val="00C77DBA"/>
    <w:pPr>
      <w:spacing w:line="240" w:lineRule="auto"/>
      <w:outlineLvl w:val="1"/>
    </w:pPr>
    <w:rPr>
      <w:color w:val="1F3864" w:themeColor="accent1" w:themeShade="80"/>
      <w:sz w:val="28"/>
      <w:szCs w:val="26"/>
    </w:rPr>
  </w:style>
  <w:style w:type="paragraph" w:styleId="Heading3">
    <w:name w:val="heading 3"/>
    <w:basedOn w:val="Heading2"/>
    <w:next w:val="Normal"/>
    <w:link w:val="Heading3Char"/>
    <w:uiPriority w:val="9"/>
    <w:unhideWhenUsed/>
    <w:qFormat/>
    <w:rsid w:val="00C77DBA"/>
    <w:pPr>
      <w:outlineLvl w:val="2"/>
    </w:pPr>
    <w:rPr>
      <w:color w:val="1F4E79" w:themeColor="accent5" w:themeShade="80"/>
      <w:sz w:val="24"/>
    </w:rPr>
  </w:style>
  <w:style w:type="paragraph" w:styleId="Heading4">
    <w:name w:val="heading 4"/>
    <w:basedOn w:val="Normal"/>
    <w:next w:val="Normal"/>
    <w:link w:val="Heading4Char"/>
    <w:uiPriority w:val="9"/>
    <w:unhideWhenUsed/>
    <w:qFormat/>
    <w:rsid w:val="00A862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5E9"/>
    <w:pPr>
      <w:ind w:left="720"/>
      <w:contextualSpacing/>
    </w:pPr>
  </w:style>
  <w:style w:type="character" w:styleId="CommentReference">
    <w:name w:val="annotation reference"/>
    <w:basedOn w:val="DefaultParagraphFont"/>
    <w:uiPriority w:val="99"/>
    <w:semiHidden/>
    <w:unhideWhenUsed/>
    <w:rsid w:val="006310F9"/>
    <w:rPr>
      <w:sz w:val="16"/>
      <w:szCs w:val="16"/>
    </w:rPr>
  </w:style>
  <w:style w:type="paragraph" w:styleId="CommentText">
    <w:name w:val="annotation text"/>
    <w:basedOn w:val="Normal"/>
    <w:link w:val="CommentTextChar"/>
    <w:uiPriority w:val="99"/>
    <w:unhideWhenUsed/>
    <w:rsid w:val="006310F9"/>
    <w:pPr>
      <w:spacing w:line="240" w:lineRule="auto"/>
    </w:pPr>
    <w:rPr>
      <w:szCs w:val="20"/>
    </w:rPr>
  </w:style>
  <w:style w:type="character" w:customStyle="1" w:styleId="CommentTextChar">
    <w:name w:val="Comment Text Char"/>
    <w:basedOn w:val="DefaultParagraphFont"/>
    <w:link w:val="CommentText"/>
    <w:uiPriority w:val="99"/>
    <w:rsid w:val="006310F9"/>
    <w:rPr>
      <w:sz w:val="20"/>
      <w:szCs w:val="20"/>
    </w:rPr>
  </w:style>
  <w:style w:type="paragraph" w:styleId="CommentSubject">
    <w:name w:val="annotation subject"/>
    <w:basedOn w:val="CommentText"/>
    <w:next w:val="CommentText"/>
    <w:link w:val="CommentSubjectChar"/>
    <w:uiPriority w:val="99"/>
    <w:semiHidden/>
    <w:unhideWhenUsed/>
    <w:rsid w:val="006310F9"/>
    <w:rPr>
      <w:b/>
      <w:bCs/>
    </w:rPr>
  </w:style>
  <w:style w:type="character" w:customStyle="1" w:styleId="CommentSubjectChar">
    <w:name w:val="Comment Subject Char"/>
    <w:basedOn w:val="CommentTextChar"/>
    <w:link w:val="CommentSubject"/>
    <w:uiPriority w:val="99"/>
    <w:semiHidden/>
    <w:rsid w:val="006310F9"/>
    <w:rPr>
      <w:b/>
      <w:bCs/>
      <w:sz w:val="20"/>
      <w:szCs w:val="20"/>
    </w:rPr>
  </w:style>
  <w:style w:type="character" w:customStyle="1" w:styleId="Heading1Char">
    <w:name w:val="Heading 1 Char"/>
    <w:basedOn w:val="DefaultParagraphFont"/>
    <w:link w:val="Heading1"/>
    <w:uiPriority w:val="9"/>
    <w:rsid w:val="006414FD"/>
    <w:rPr>
      <w:rFonts w:ascii="Arial" w:eastAsiaTheme="majorEastAsia" w:hAnsi="Arial" w:cstheme="majorBidi"/>
      <w:b/>
      <w:color w:val="44546A" w:themeColor="text2"/>
      <w:sz w:val="48"/>
      <w:szCs w:val="32"/>
    </w:rPr>
  </w:style>
  <w:style w:type="character" w:customStyle="1" w:styleId="Heading2Char">
    <w:name w:val="Heading 2 Char"/>
    <w:basedOn w:val="DefaultParagraphFont"/>
    <w:link w:val="Heading2"/>
    <w:uiPriority w:val="9"/>
    <w:rsid w:val="00C77DBA"/>
    <w:rPr>
      <w:rFonts w:ascii="Arial" w:eastAsiaTheme="majorEastAsia" w:hAnsi="Arial" w:cstheme="majorBidi"/>
      <w:b/>
      <w:color w:val="1F3864" w:themeColor="accent1" w:themeShade="80"/>
      <w:sz w:val="28"/>
      <w:szCs w:val="26"/>
    </w:rPr>
  </w:style>
  <w:style w:type="paragraph" w:styleId="Header">
    <w:name w:val="header"/>
    <w:basedOn w:val="Normal"/>
    <w:link w:val="HeaderChar"/>
    <w:uiPriority w:val="99"/>
    <w:unhideWhenUsed/>
    <w:rsid w:val="00A62EE9"/>
    <w:pPr>
      <w:tabs>
        <w:tab w:val="center" w:pos="4513"/>
        <w:tab w:val="right" w:pos="9026"/>
      </w:tabs>
      <w:spacing w:line="240" w:lineRule="auto"/>
    </w:pPr>
  </w:style>
  <w:style w:type="character" w:customStyle="1" w:styleId="HeaderChar">
    <w:name w:val="Header Char"/>
    <w:basedOn w:val="DefaultParagraphFont"/>
    <w:link w:val="Header"/>
    <w:uiPriority w:val="99"/>
    <w:rsid w:val="00A62EE9"/>
    <w:rPr>
      <w:rFonts w:ascii="Arial" w:hAnsi="Arial"/>
      <w:sz w:val="20"/>
    </w:rPr>
  </w:style>
  <w:style w:type="paragraph" w:styleId="Footer">
    <w:name w:val="footer"/>
    <w:basedOn w:val="Normal"/>
    <w:link w:val="FooterChar"/>
    <w:uiPriority w:val="99"/>
    <w:unhideWhenUsed/>
    <w:rsid w:val="00A62EE9"/>
    <w:pPr>
      <w:tabs>
        <w:tab w:val="center" w:pos="4513"/>
        <w:tab w:val="right" w:pos="9026"/>
      </w:tabs>
      <w:spacing w:line="240" w:lineRule="auto"/>
    </w:pPr>
  </w:style>
  <w:style w:type="character" w:customStyle="1" w:styleId="FooterChar">
    <w:name w:val="Footer Char"/>
    <w:basedOn w:val="DefaultParagraphFont"/>
    <w:link w:val="Footer"/>
    <w:uiPriority w:val="99"/>
    <w:rsid w:val="00A62EE9"/>
    <w:rPr>
      <w:rFonts w:ascii="Arial" w:hAnsi="Arial"/>
      <w:sz w:val="20"/>
    </w:rPr>
  </w:style>
  <w:style w:type="character" w:styleId="Hyperlink">
    <w:name w:val="Hyperlink"/>
    <w:basedOn w:val="DefaultParagraphFont"/>
    <w:uiPriority w:val="99"/>
    <w:unhideWhenUsed/>
    <w:rsid w:val="00682ACC"/>
    <w:rPr>
      <w:color w:val="0563C1" w:themeColor="hyperlink"/>
      <w:u w:val="single"/>
    </w:rPr>
  </w:style>
  <w:style w:type="character" w:styleId="UnresolvedMention">
    <w:name w:val="Unresolved Mention"/>
    <w:basedOn w:val="DefaultParagraphFont"/>
    <w:uiPriority w:val="99"/>
    <w:semiHidden/>
    <w:unhideWhenUsed/>
    <w:rsid w:val="00682ACC"/>
    <w:rPr>
      <w:color w:val="605E5C"/>
      <w:shd w:val="clear" w:color="auto" w:fill="E1DFDD"/>
    </w:rPr>
  </w:style>
  <w:style w:type="character" w:customStyle="1" w:styleId="Heading3Char">
    <w:name w:val="Heading 3 Char"/>
    <w:basedOn w:val="DefaultParagraphFont"/>
    <w:link w:val="Heading3"/>
    <w:uiPriority w:val="9"/>
    <w:rsid w:val="00C77DBA"/>
    <w:rPr>
      <w:rFonts w:ascii="Arial" w:eastAsiaTheme="majorEastAsia" w:hAnsi="Arial" w:cstheme="majorBidi"/>
      <w:b/>
      <w:color w:val="1F4E79" w:themeColor="accent5" w:themeShade="80"/>
      <w:szCs w:val="26"/>
    </w:rPr>
  </w:style>
  <w:style w:type="paragraph" w:styleId="ListBullet">
    <w:name w:val="List Bullet"/>
    <w:basedOn w:val="Normal"/>
    <w:uiPriority w:val="99"/>
    <w:unhideWhenUsed/>
    <w:rsid w:val="00A45FEC"/>
    <w:pPr>
      <w:numPr>
        <w:numId w:val="2"/>
      </w:numPr>
      <w:contextualSpacing/>
    </w:pPr>
  </w:style>
  <w:style w:type="paragraph" w:styleId="ListBullet2">
    <w:name w:val="List Bullet 2"/>
    <w:basedOn w:val="Normal"/>
    <w:uiPriority w:val="99"/>
    <w:unhideWhenUsed/>
    <w:rsid w:val="00A45FEC"/>
    <w:pPr>
      <w:numPr>
        <w:numId w:val="3"/>
      </w:numPr>
      <w:contextualSpacing/>
    </w:pPr>
  </w:style>
  <w:style w:type="character" w:styleId="Emphasis">
    <w:name w:val="Emphasis"/>
    <w:basedOn w:val="DefaultParagraphFont"/>
    <w:uiPriority w:val="20"/>
    <w:qFormat/>
    <w:rsid w:val="00A45FEC"/>
    <w:rPr>
      <w:i/>
      <w:iCs/>
    </w:rPr>
  </w:style>
  <w:style w:type="paragraph" w:styleId="Revision">
    <w:name w:val="Revision"/>
    <w:hidden/>
    <w:uiPriority w:val="99"/>
    <w:semiHidden/>
    <w:rsid w:val="00F57069"/>
    <w:pPr>
      <w:spacing w:after="0" w:line="240" w:lineRule="auto"/>
    </w:pPr>
    <w:rPr>
      <w:rFonts w:ascii="Arial" w:hAnsi="Arial"/>
      <w:sz w:val="20"/>
    </w:rPr>
  </w:style>
  <w:style w:type="character" w:customStyle="1" w:styleId="Heading4Char">
    <w:name w:val="Heading 4 Char"/>
    <w:basedOn w:val="DefaultParagraphFont"/>
    <w:link w:val="Heading4"/>
    <w:uiPriority w:val="9"/>
    <w:rsid w:val="00A862AE"/>
    <w:rPr>
      <w:rFonts w:asciiTheme="majorHAnsi" w:eastAsiaTheme="majorEastAsia" w:hAnsiTheme="majorHAnsi" w:cstheme="majorBidi"/>
      <w:i/>
      <w:iCs/>
      <w:color w:val="2F5496" w:themeColor="accent1" w:themeShade="BF"/>
      <w:sz w:val="20"/>
    </w:rPr>
  </w:style>
  <w:style w:type="table" w:styleId="TableGrid">
    <w:name w:val="Table Grid"/>
    <w:basedOn w:val="TableNormal"/>
    <w:rsid w:val="00E26EEE"/>
    <w:pPr>
      <w:spacing w:after="0" w:line="240" w:lineRule="auto"/>
    </w:pPr>
    <w:rPr>
      <w:rFonts w:asciiTheme="minorHAnsi" w:eastAsia="Times New Roman" w:hAnsiTheme="minorHAnsi"/>
      <w:sz w:val="21"/>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1"/>
      </w:rPr>
      <w:tblPr/>
      <w:tcPr>
        <w:shd w:val="clear" w:color="auto" w:fill="9CC2E5"/>
      </w:tcPr>
    </w:tblStylePr>
  </w:style>
  <w:style w:type="paragraph" w:styleId="FootnoteText">
    <w:name w:val="footnote text"/>
    <w:basedOn w:val="Normal"/>
    <w:link w:val="FootnoteTextChar"/>
    <w:uiPriority w:val="99"/>
    <w:unhideWhenUsed/>
    <w:rsid w:val="00C77DBA"/>
    <w:pPr>
      <w:spacing w:line="240" w:lineRule="auto"/>
      <w:textAlignment w:val="baseline"/>
    </w:pPr>
    <w:rPr>
      <w:rFonts w:ascii="Calibri" w:eastAsia="Times New Roman" w:hAnsi="Calibri" w:cs="Calibri"/>
      <w:szCs w:val="20"/>
      <w:lang w:eastAsia="en-AU"/>
    </w:rPr>
  </w:style>
  <w:style w:type="character" w:customStyle="1" w:styleId="FootnoteTextChar">
    <w:name w:val="Footnote Text Char"/>
    <w:basedOn w:val="DefaultParagraphFont"/>
    <w:link w:val="FootnoteText"/>
    <w:uiPriority w:val="99"/>
    <w:rsid w:val="00C77DBA"/>
    <w:rPr>
      <w:rFonts w:ascii="Calibri" w:eastAsia="Times New Roman" w:hAnsi="Calibri" w:cs="Calibri"/>
      <w:sz w:val="20"/>
      <w:szCs w:val="20"/>
      <w:lang w:eastAsia="en-AU"/>
    </w:rPr>
  </w:style>
  <w:style w:type="character" w:styleId="FootnoteReference">
    <w:name w:val="footnote reference"/>
    <w:basedOn w:val="DefaultParagraphFont"/>
    <w:uiPriority w:val="99"/>
    <w:semiHidden/>
    <w:unhideWhenUsed/>
    <w:rsid w:val="00230DBA"/>
    <w:rPr>
      <w:vertAlign w:val="superscript"/>
    </w:rPr>
  </w:style>
  <w:style w:type="paragraph" w:customStyle="1" w:styleId="Tabletextcentre">
    <w:name w:val="Table text (centre)"/>
    <w:basedOn w:val="Normal"/>
    <w:link w:val="TabletextcentreChar"/>
    <w:qFormat/>
    <w:rsid w:val="00C77DBA"/>
    <w:pPr>
      <w:framePr w:hSpace="180" w:wrap="around" w:vAnchor="text" w:hAnchor="text" w:y="1"/>
      <w:spacing w:line="240" w:lineRule="auto"/>
      <w:suppressOverlap/>
      <w:jc w:val="center"/>
      <w:textAlignment w:val="baseline"/>
    </w:pPr>
    <w:rPr>
      <w:rFonts w:ascii="Calibri" w:eastAsia="Times New Roman" w:hAnsi="Calibri" w:cs="Calibri"/>
      <w:sz w:val="24"/>
      <w:lang w:eastAsia="en-AU"/>
    </w:rPr>
  </w:style>
  <w:style w:type="character" w:customStyle="1" w:styleId="TabletextcentreChar">
    <w:name w:val="Table text (centre) Char"/>
    <w:basedOn w:val="DefaultParagraphFont"/>
    <w:link w:val="Tabletextcentre"/>
    <w:rsid w:val="00C77DBA"/>
    <w:rPr>
      <w:rFonts w:ascii="Calibri" w:eastAsia="Times New Roman" w:hAnsi="Calibri" w:cs="Calibri"/>
      <w:lang w:eastAsia="en-AU"/>
    </w:rPr>
  </w:style>
  <w:style w:type="paragraph" w:styleId="TableofFigures">
    <w:name w:val="table of figures"/>
    <w:basedOn w:val="Normal"/>
    <w:next w:val="Normal"/>
    <w:uiPriority w:val="99"/>
    <w:unhideWhenUsed/>
    <w:rsid w:val="00E26EEE"/>
    <w:pPr>
      <w:framePr w:hSpace="180" w:wrap="around" w:vAnchor="text" w:hAnchor="text" w:y="1"/>
    </w:pPr>
    <w:rPr>
      <w:rFonts w:asciiTheme="minorHAnsi" w:eastAsia="Times New Roman" w:hAnsiTheme="minorHAnsi"/>
      <w:bCs/>
      <w:sz w:val="2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4530">
      <w:bodyDiv w:val="1"/>
      <w:marLeft w:val="0"/>
      <w:marRight w:val="0"/>
      <w:marTop w:val="0"/>
      <w:marBottom w:val="0"/>
      <w:divBdr>
        <w:top w:val="none" w:sz="0" w:space="0" w:color="auto"/>
        <w:left w:val="none" w:sz="0" w:space="0" w:color="auto"/>
        <w:bottom w:val="none" w:sz="0" w:space="0" w:color="auto"/>
        <w:right w:val="none" w:sz="0" w:space="0" w:color="auto"/>
      </w:divBdr>
    </w:div>
    <w:div w:id="17808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gov.au/resources/collections/prescribed-pattern-of-service-the-8020-rul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resources/collections/prp-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r.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7F0D3F58DDA40ABB022BC60FCF30E" ma:contentTypeVersion="13" ma:contentTypeDescription="Create a new document." ma:contentTypeScope="" ma:versionID="834bc3d541b54ef7dee55860cfb0962b">
  <xsd:schema xmlns:xsd="http://www.w3.org/2001/XMLSchema" xmlns:xs="http://www.w3.org/2001/XMLSchema" xmlns:p="http://schemas.microsoft.com/office/2006/metadata/properties" xmlns:ns2="b2250469-6996-43ed-b619-405ab07bd7c8" xmlns:ns3="b4c34100-1f74-4b80-9481-61aca8ed614d" targetNamespace="http://schemas.microsoft.com/office/2006/metadata/properties" ma:root="true" ma:fieldsID="57ae11d1c135a77c624643b73978e90d" ns2:_="" ns3:_="">
    <xsd:import namespace="b2250469-6996-43ed-b619-405ab07bd7c8"/>
    <xsd:import namespace="b4c34100-1f74-4b80-9481-61aca8ed6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50469-6996-43ed-b619-405ab07bd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34100-1f74-4b80-9481-61aca8ed61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EEC5-8CC4-4C93-8F39-0EF91822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50469-6996-43ed-b619-405ab07bd7c8"/>
    <ds:schemaRef ds:uri="b4c34100-1f74-4b80-9481-61aca8ed6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8B9C4-40B1-4A46-A8AC-70982FCA85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B4540-A1CC-4660-A237-64199E54F8C4}">
  <ds:schemaRefs>
    <ds:schemaRef ds:uri="http://schemas.microsoft.com/sharepoint/v3/contenttype/forms"/>
  </ds:schemaRefs>
</ds:datastoreItem>
</file>

<file path=customXml/itemProps4.xml><?xml version="1.0" encoding="utf-8"?>
<ds:datastoreItem xmlns:ds="http://schemas.openxmlformats.org/officeDocument/2006/customXml" ds:itemID="{711B01C8-4765-47AA-AC03-D0EE325B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Practitioner Review Program – Key Statistics</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Review Program – Key Statistics</dc:title>
  <dc:subject>Practitioner Review Program</dc:subject>
  <dc:creator>Australian Government Department of Health, Disability and Ageing</dc:creator>
  <cp:keywords>inappropriate practice; pattern of services; Practitioner Review Program</cp:keywords>
  <dc:description/>
  <cp:lastModifiedBy>MASCHKE, Elvia</cp:lastModifiedBy>
  <cp:revision>24</cp:revision>
  <cp:lastPrinted>2025-08-28T02:00:00Z</cp:lastPrinted>
  <dcterms:created xsi:type="dcterms:W3CDTF">2026-07-21T00:41:00Z</dcterms:created>
  <dcterms:modified xsi:type="dcterms:W3CDTF">2026-07-22T09:19:00Z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0x010100F3F7F0D3F58DDA40ABB022BC60FCF30E</vt:lpwstr>
  </property>
  <property fmtid="{D5CDD505-2E9C-101B-9397-08002B2CF9AE}" pid="3" name="ClassificationContentMarkingHeaderShapeIds">
    <vt:lpwstr>35a0cd3b,4cb97378,38925704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178a007,3184a276,22f4b3fb</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2025-08-27T00:44:42Z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dc537857-7db9-421c-ac1f-c4e96ef2d9de</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