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B5EB" w14:textId="247C3CEA" w:rsidR="00BA2732" w:rsidRPr="007D14B3" w:rsidRDefault="588ED09F" w:rsidP="007D14B3">
      <w:pPr>
        <w:pStyle w:val="Title"/>
      </w:pPr>
      <w:r>
        <w:t>Modernising the Private Health Insurance Rebate</w:t>
      </w:r>
    </w:p>
    <w:p w14:paraId="4DA7E0AC" w14:textId="55C7B405" w:rsidR="00B53987" w:rsidRPr="00B53987" w:rsidRDefault="00FC2308" w:rsidP="007D14B3">
      <w:r>
        <w:t>July 2026</w:t>
      </w:r>
    </w:p>
    <w:p w14:paraId="5EA6DD87" w14:textId="2FC6CC16" w:rsidR="33231B7D" w:rsidRPr="007D14B3" w:rsidRDefault="33231B7D" w:rsidP="007D14B3">
      <w:pPr>
        <w:pStyle w:val="Heading1"/>
      </w:pPr>
      <w:r w:rsidRPr="1D82FF2E">
        <w:rPr>
          <w:lang w:val="en-US"/>
        </w:rPr>
        <w:t xml:space="preserve">What is </w:t>
      </w:r>
      <w:r w:rsidR="00C16288">
        <w:rPr>
          <w:lang w:val="en-US"/>
        </w:rPr>
        <w:t>changing</w:t>
      </w:r>
      <w:r w:rsidRPr="1D82FF2E">
        <w:rPr>
          <w:lang w:val="en-US"/>
        </w:rPr>
        <w:t>?</w:t>
      </w:r>
    </w:p>
    <w:p w14:paraId="1F9A4919" w14:textId="77777777" w:rsidR="007A670B" w:rsidRDefault="006D1847" w:rsidP="1D82FF2E">
      <w:pPr>
        <w:rPr>
          <w:lang w:val="en-US"/>
        </w:rPr>
      </w:pPr>
      <w:r w:rsidRPr="006D1847">
        <w:t>The Australian Government announced changes to the Private Health Insurance Rebate</w:t>
      </w:r>
      <w:r w:rsidR="000C7C49">
        <w:t xml:space="preserve"> in the 2026-27 Budget</w:t>
      </w:r>
      <w:r w:rsidRPr="006D1847">
        <w:t>. From 1 April 2027, older Australians will receive the same rebate rate as other people in the same income tier, subject to legislation passing Parliament.</w:t>
      </w:r>
      <w:r w:rsidR="33231B7D" w:rsidRPr="1D82FF2E">
        <w:rPr>
          <w:lang w:val="en-US"/>
        </w:rPr>
        <w:t xml:space="preserve"> </w:t>
      </w:r>
    </w:p>
    <w:p w14:paraId="2C35AAAC" w14:textId="33F24726" w:rsidR="33231B7D" w:rsidRPr="00D72B51" w:rsidRDefault="33231B7D" w:rsidP="1D82FF2E">
      <w:r w:rsidRPr="1D82FF2E">
        <w:rPr>
          <w:lang w:val="en-US"/>
        </w:rPr>
        <w:t xml:space="preserve">Table 1 shows the current PHI Rebate </w:t>
      </w:r>
      <w:r w:rsidR="007A670B">
        <w:rPr>
          <w:lang w:val="en-US"/>
        </w:rPr>
        <w:t>rates.</w:t>
      </w:r>
      <w:r w:rsidRPr="1D82FF2E">
        <w:rPr>
          <w:lang w:val="en-US"/>
        </w:rPr>
        <w:t xml:space="preserve"> Table 2</w:t>
      </w:r>
      <w:r w:rsidR="007A670B">
        <w:rPr>
          <w:lang w:val="en-US"/>
        </w:rPr>
        <w:t xml:space="preserve"> shows the proposed rates from 1 April 2027</w:t>
      </w:r>
      <w:r w:rsidRPr="1D82FF2E">
        <w:rPr>
          <w:lang w:val="en-US"/>
        </w:rPr>
        <w:t>.</w:t>
      </w:r>
    </w:p>
    <w:p w14:paraId="5AD56FBC" w14:textId="0D21E954" w:rsidR="33231B7D" w:rsidRPr="00D15873" w:rsidRDefault="007D14B3" w:rsidP="007D14B3">
      <w:pPr>
        <w:pStyle w:val="Caption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 w:rsidR="33231B7D" w:rsidRPr="1D82FF2E">
        <w:rPr>
          <w:lang w:val="en-US"/>
        </w:rPr>
        <w:t>: Current rates for PHI Rebate (1 July 2026 – 31 March 2027)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  <w:tblCaption w:val="Table 1: Current rates for PHI Rebate (1 July 2026 – 31 March 2027)"/>
        <w:tblDescription w:val="This table shows the PHI Rebate rates for 1 July 2026 to 31 March 2027. The rebates vary by income tier and age."/>
      </w:tblPr>
      <w:tblGrid>
        <w:gridCol w:w="2318"/>
        <w:gridCol w:w="1479"/>
        <w:gridCol w:w="1926"/>
        <w:gridCol w:w="1955"/>
        <w:gridCol w:w="1376"/>
      </w:tblGrid>
      <w:tr w:rsidR="1D82FF2E" w14:paraId="73D6AE26" w14:textId="77777777" w:rsidTr="001D69E2">
        <w:trPr>
          <w:trHeight w:val="240"/>
          <w:tblHeader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AFA48D" w14:textId="739A1E8E" w:rsidR="1D82FF2E" w:rsidRDefault="1D82FF2E" w:rsidP="00556605">
            <w:pPr>
              <w:pStyle w:val="TableText"/>
            </w:pP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F4A75" w:themeFill="accent1"/>
            <w:vAlign w:val="bottom"/>
          </w:tcPr>
          <w:p w14:paraId="3AEC4045" w14:textId="25F43474" w:rsidR="1D82FF2E" w:rsidRDefault="1D82FF2E" w:rsidP="00453A84">
            <w:pPr>
              <w:pStyle w:val="TableHeader"/>
            </w:pPr>
            <w:r w:rsidRPr="1D82FF2E">
              <w:t>PHI Rebate %</w:t>
            </w:r>
          </w:p>
        </w:tc>
      </w:tr>
      <w:tr w:rsidR="1D82FF2E" w:rsidRPr="00D15873" w14:paraId="44C24921" w14:textId="77777777" w:rsidTr="001D69E2">
        <w:trPr>
          <w:trHeight w:val="240"/>
          <w:tblHeader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8C7866" w14:textId="0521E788" w:rsidR="1D82FF2E" w:rsidRPr="00D15873" w:rsidRDefault="1D82FF2E" w:rsidP="00D15873">
            <w:pPr>
              <w:pStyle w:val="TableText"/>
            </w:pPr>
            <w:r w:rsidRPr="00D15873">
              <w:t>Singles Tier threshold</w:t>
            </w:r>
          </w:p>
          <w:p w14:paraId="2CF0F1F8" w14:textId="785F1416" w:rsidR="1D82FF2E" w:rsidRPr="00D15873" w:rsidRDefault="1D82FF2E" w:rsidP="00D15873">
            <w:pPr>
              <w:pStyle w:val="TableText"/>
            </w:pPr>
            <w:r w:rsidRPr="00D15873">
              <w:t>Families Tier threshold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D8B0BE" w14:textId="77777777" w:rsidR="00D15873" w:rsidRPr="00D15873" w:rsidRDefault="1D82FF2E" w:rsidP="00D15873">
            <w:pPr>
              <w:pStyle w:val="TableText"/>
            </w:pPr>
            <w:r w:rsidRPr="00D15873">
              <w:t>&lt; $105,000 </w:t>
            </w:r>
          </w:p>
          <w:p w14:paraId="368E204F" w14:textId="058E8032" w:rsidR="1D82FF2E" w:rsidRPr="00D15873" w:rsidRDefault="1D82FF2E" w:rsidP="00D15873">
            <w:pPr>
              <w:pStyle w:val="TableText"/>
            </w:pPr>
            <w:r w:rsidRPr="00D15873">
              <w:t>&lt; $210,000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2D23F5" w14:textId="77777777" w:rsidR="00D15873" w:rsidRPr="00D15873" w:rsidRDefault="1D82FF2E" w:rsidP="00D15873">
            <w:pPr>
              <w:pStyle w:val="TableText"/>
            </w:pPr>
            <w:r w:rsidRPr="00D15873">
              <w:t>$105,001-123,000</w:t>
            </w:r>
          </w:p>
          <w:p w14:paraId="41DFA00F" w14:textId="75C9115F" w:rsidR="1D82FF2E" w:rsidRPr="00D15873" w:rsidRDefault="1D82FF2E" w:rsidP="00D15873">
            <w:pPr>
              <w:pStyle w:val="TableText"/>
            </w:pPr>
            <w:r w:rsidRPr="00D15873">
              <w:t>$210,001-246,000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8C0166" w14:textId="77777777" w:rsidR="00D15873" w:rsidRPr="00D15873" w:rsidRDefault="1D82FF2E" w:rsidP="00D15873">
            <w:pPr>
              <w:pStyle w:val="TableText"/>
            </w:pPr>
            <w:r w:rsidRPr="00D15873">
              <w:t>$123,001-164,000</w:t>
            </w:r>
          </w:p>
          <w:p w14:paraId="1E7E96F3" w14:textId="141E6AFE" w:rsidR="1D82FF2E" w:rsidRPr="00D15873" w:rsidRDefault="1D82FF2E" w:rsidP="00D15873">
            <w:pPr>
              <w:pStyle w:val="TableText"/>
            </w:pPr>
            <w:r w:rsidRPr="00D15873">
              <w:t>$246,001-328,000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50A12E" w14:textId="77777777" w:rsidR="00D15873" w:rsidRPr="00D15873" w:rsidRDefault="1D82FF2E" w:rsidP="00D15873">
            <w:pPr>
              <w:pStyle w:val="TableText"/>
            </w:pPr>
            <w:r w:rsidRPr="00D15873">
              <w:t>&gt;$164,001</w:t>
            </w:r>
          </w:p>
          <w:p w14:paraId="49D59C01" w14:textId="1C443AA7" w:rsidR="1D82FF2E" w:rsidRPr="00D15873" w:rsidRDefault="1D82FF2E" w:rsidP="00D15873">
            <w:pPr>
              <w:pStyle w:val="TableText"/>
            </w:pPr>
            <w:r w:rsidRPr="00D15873">
              <w:t>&gt;$328,001 </w:t>
            </w:r>
          </w:p>
        </w:tc>
      </w:tr>
      <w:tr w:rsidR="1D82FF2E" w14:paraId="4513FA36" w14:textId="77777777" w:rsidTr="001D69E2">
        <w:trPr>
          <w:trHeight w:val="285"/>
          <w:tblHeader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DFE4B9" w14:textId="798E819F" w:rsidR="1D82FF2E" w:rsidRPr="00453A84" w:rsidRDefault="1D82FF2E" w:rsidP="00D15873">
            <w:pPr>
              <w:pStyle w:val="Tabletextcentre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F8C54F" w14:textId="43D039B3" w:rsidR="1D82FF2E" w:rsidRPr="00453A84" w:rsidRDefault="1D82FF2E" w:rsidP="00D15873">
            <w:pPr>
              <w:pStyle w:val="Tabletextcentre"/>
            </w:pPr>
            <w:r w:rsidRPr="00453A84">
              <w:t>Base Tier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97F2C8" w14:textId="59AC1739" w:rsidR="1D82FF2E" w:rsidRPr="00453A84" w:rsidRDefault="1D82FF2E" w:rsidP="00D15873">
            <w:pPr>
              <w:pStyle w:val="Tabletextcentre"/>
            </w:pPr>
            <w:r w:rsidRPr="00453A84">
              <w:t>Tier 1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C63C50" w14:textId="5DE8E8DF" w:rsidR="1D82FF2E" w:rsidRPr="00453A84" w:rsidRDefault="1D82FF2E" w:rsidP="00D15873">
            <w:pPr>
              <w:pStyle w:val="Tabletextcentre"/>
            </w:pPr>
            <w:r w:rsidRPr="00453A84">
              <w:t>Tier 2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0B2BED" w14:textId="7B4F64A6" w:rsidR="1D82FF2E" w:rsidRPr="00453A84" w:rsidRDefault="1D82FF2E" w:rsidP="00D15873">
            <w:pPr>
              <w:pStyle w:val="Tabletextcentre"/>
            </w:pPr>
            <w:r w:rsidRPr="00453A84">
              <w:t>Tier 3 </w:t>
            </w:r>
          </w:p>
        </w:tc>
      </w:tr>
      <w:tr w:rsidR="1D82FF2E" w14:paraId="70B4674D" w14:textId="77777777" w:rsidTr="001D69E2">
        <w:trPr>
          <w:trHeight w:val="285"/>
          <w:tblHeader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CA72B5" w14:textId="1C9EDFAB" w:rsidR="1D82FF2E" w:rsidRPr="00453A84" w:rsidRDefault="1D82FF2E" w:rsidP="00D15873">
            <w:pPr>
              <w:pStyle w:val="TableText"/>
            </w:pPr>
            <w:r w:rsidRPr="00453A84">
              <w:t>Age &lt;65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FB678" w14:textId="011DDED6" w:rsidR="1D82FF2E" w:rsidRPr="00453A84" w:rsidRDefault="1D82FF2E" w:rsidP="00D15873">
            <w:pPr>
              <w:pStyle w:val="TableText"/>
            </w:pPr>
            <w:r w:rsidRPr="00453A84">
              <w:t>24.118%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F5B6C" w14:textId="19CA2CEA" w:rsidR="1D82FF2E" w:rsidRPr="00453A84" w:rsidRDefault="1D82FF2E" w:rsidP="00D15873">
            <w:pPr>
              <w:pStyle w:val="TableText"/>
            </w:pPr>
            <w:r w:rsidRPr="00453A84">
              <w:t>16.079%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8C4A0" w14:textId="1835293B" w:rsidR="1D82FF2E" w:rsidRPr="00453A84" w:rsidRDefault="1D82FF2E" w:rsidP="00D15873">
            <w:pPr>
              <w:pStyle w:val="TableText"/>
            </w:pPr>
            <w:r w:rsidRPr="00453A84">
              <w:t>8.038%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A2655" w14:textId="7E281629" w:rsidR="1D82FF2E" w:rsidRPr="00453A84" w:rsidRDefault="1D82FF2E" w:rsidP="00D15873">
            <w:pPr>
              <w:pStyle w:val="TableText"/>
            </w:pPr>
            <w:r w:rsidRPr="00453A84">
              <w:t>0%</w:t>
            </w:r>
          </w:p>
        </w:tc>
      </w:tr>
      <w:tr w:rsidR="1D82FF2E" w14:paraId="523A395D" w14:textId="77777777" w:rsidTr="001D69E2">
        <w:trPr>
          <w:trHeight w:val="285"/>
          <w:tblHeader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DA6013" w14:textId="32F8230F" w:rsidR="1D82FF2E" w:rsidRPr="00453A84" w:rsidRDefault="1D82FF2E" w:rsidP="00D15873">
            <w:pPr>
              <w:pStyle w:val="TableText"/>
            </w:pPr>
            <w:r w:rsidRPr="00453A84">
              <w:t>Age 65-69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FEDC" w14:textId="31772A5C" w:rsidR="1D82FF2E" w:rsidRPr="00453A84" w:rsidRDefault="1D82FF2E" w:rsidP="00D15873">
            <w:pPr>
              <w:pStyle w:val="TableText"/>
            </w:pPr>
            <w:r w:rsidRPr="00453A84">
              <w:t>28.139%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BE4DD" w14:textId="1C588BBA" w:rsidR="1D82FF2E" w:rsidRPr="00453A84" w:rsidRDefault="1D82FF2E" w:rsidP="00D15873">
            <w:pPr>
              <w:pStyle w:val="TableText"/>
            </w:pPr>
            <w:r w:rsidRPr="00453A84">
              <w:t>20.098%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976B2" w14:textId="0CA5FFEE" w:rsidR="1D82FF2E" w:rsidRPr="00453A84" w:rsidRDefault="1D82FF2E" w:rsidP="00D15873">
            <w:pPr>
              <w:pStyle w:val="TableText"/>
            </w:pPr>
            <w:r w:rsidRPr="00453A84">
              <w:t>12.058%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52F39" w14:textId="249527A5" w:rsidR="1D82FF2E" w:rsidRPr="00453A84" w:rsidRDefault="1D82FF2E" w:rsidP="00D15873">
            <w:pPr>
              <w:pStyle w:val="TableText"/>
            </w:pPr>
            <w:r w:rsidRPr="00453A84">
              <w:t>0%</w:t>
            </w:r>
          </w:p>
        </w:tc>
      </w:tr>
      <w:tr w:rsidR="1D82FF2E" w14:paraId="47D388C5" w14:textId="77777777" w:rsidTr="001D69E2">
        <w:trPr>
          <w:trHeight w:val="285"/>
          <w:tblHeader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CDE967" w14:textId="6D9785ED" w:rsidR="1D82FF2E" w:rsidRPr="00453A84" w:rsidRDefault="1D82FF2E" w:rsidP="00D15873">
            <w:pPr>
              <w:pStyle w:val="TableText"/>
            </w:pPr>
            <w:r w:rsidRPr="00453A84">
              <w:t>Age 70+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36B35" w14:textId="62EBE653" w:rsidR="1D82FF2E" w:rsidRPr="00453A84" w:rsidRDefault="1D82FF2E" w:rsidP="00D15873">
            <w:pPr>
              <w:pStyle w:val="TableText"/>
            </w:pPr>
            <w:r w:rsidRPr="00453A84">
              <w:t>32.158%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F25A9" w14:textId="00258AFC" w:rsidR="1D82FF2E" w:rsidRPr="00453A84" w:rsidRDefault="1D82FF2E" w:rsidP="00D15873">
            <w:pPr>
              <w:pStyle w:val="TableText"/>
            </w:pPr>
            <w:r w:rsidRPr="00453A84">
              <w:t>24.118%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A1798" w14:textId="304378B4" w:rsidR="1D82FF2E" w:rsidRPr="00453A84" w:rsidRDefault="1D82FF2E" w:rsidP="00D15873">
            <w:pPr>
              <w:pStyle w:val="TableText"/>
            </w:pPr>
            <w:r w:rsidRPr="00453A84">
              <w:t>16.079%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7BA9C" w14:textId="3EAE63CC" w:rsidR="1D82FF2E" w:rsidRPr="00453A84" w:rsidRDefault="1D82FF2E" w:rsidP="00D15873">
            <w:pPr>
              <w:pStyle w:val="TableText"/>
            </w:pPr>
            <w:r w:rsidRPr="00453A84">
              <w:t>0%</w:t>
            </w:r>
          </w:p>
        </w:tc>
      </w:tr>
    </w:tbl>
    <w:p w14:paraId="152B5AE5" w14:textId="3F3FB8DE" w:rsidR="33231B7D" w:rsidRDefault="33231B7D" w:rsidP="3E9F5E64">
      <w:pPr>
        <w:spacing w:before="0" w:after="0" w:line="278" w:lineRule="auto"/>
        <w:rPr>
          <w:rFonts w:eastAsia="Arial" w:cs="Arial"/>
          <w:sz w:val="18"/>
          <w:szCs w:val="18"/>
          <w:lang w:val="en-US"/>
        </w:rPr>
      </w:pPr>
      <w:r w:rsidRPr="3E9F5E64">
        <w:rPr>
          <w:rFonts w:eastAsia="Arial" w:cs="Arial"/>
          <w:sz w:val="18"/>
          <w:szCs w:val="18"/>
          <w:lang w:val="en-US"/>
        </w:rPr>
        <w:t>Income tier</w:t>
      </w:r>
      <w:r w:rsidR="00545FC5" w:rsidRPr="3E9F5E64">
        <w:rPr>
          <w:rFonts w:eastAsia="Arial" w:cs="Arial"/>
          <w:sz w:val="18"/>
          <w:szCs w:val="18"/>
          <w:lang w:val="en-US"/>
        </w:rPr>
        <w:t xml:space="preserve"> threshold</w:t>
      </w:r>
      <w:r w:rsidRPr="3E9F5E64">
        <w:rPr>
          <w:rFonts w:eastAsia="Arial" w:cs="Arial"/>
          <w:sz w:val="18"/>
          <w:szCs w:val="18"/>
          <w:lang w:val="en-US"/>
        </w:rPr>
        <w:t xml:space="preserve">s presented are current </w:t>
      </w:r>
      <w:proofErr w:type="gramStart"/>
      <w:r w:rsidRPr="3E9F5E64">
        <w:rPr>
          <w:rFonts w:eastAsia="Arial" w:cs="Arial"/>
          <w:sz w:val="18"/>
          <w:szCs w:val="18"/>
          <w:lang w:val="en-US"/>
        </w:rPr>
        <w:t>for</w:t>
      </w:r>
      <w:proofErr w:type="gramEnd"/>
      <w:r w:rsidRPr="3E9F5E64">
        <w:rPr>
          <w:rFonts w:eastAsia="Arial" w:cs="Arial"/>
          <w:sz w:val="18"/>
          <w:szCs w:val="18"/>
          <w:lang w:val="en-US"/>
        </w:rPr>
        <w:t xml:space="preserve"> 1 July 2026 to 30 June 2027 and are subject to annual indexation on 1 July based on changes in AWOTE. </w:t>
      </w:r>
    </w:p>
    <w:p w14:paraId="21BB50FE" w14:textId="129CDA0B" w:rsidR="33231B7D" w:rsidRPr="00453A84" w:rsidRDefault="007D14B3" w:rsidP="007D14B3">
      <w:pPr>
        <w:pStyle w:val="Caption"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 w:rsidR="33231B7D" w:rsidRPr="1D82FF2E">
        <w:t>: New rates for PHI Rebate (from 1 April 2027)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  <w:tblCaption w:val="Table 2: New rates for PHI Rebate (from 1 April 2027)"/>
        <w:tblDescription w:val="This table shows the new PHI Rebate rates to apply from 1 April 2027. The rates vary by income tier only. All people in the same income tier receive the same rebate, regardless of age."/>
      </w:tblPr>
      <w:tblGrid>
        <w:gridCol w:w="2219"/>
        <w:gridCol w:w="1638"/>
        <w:gridCol w:w="1917"/>
        <w:gridCol w:w="1945"/>
        <w:gridCol w:w="1335"/>
      </w:tblGrid>
      <w:tr w:rsidR="003E47E5" w14:paraId="2D6E6B7F" w14:textId="77777777" w:rsidTr="00D15873">
        <w:trPr>
          <w:trHeight w:val="240"/>
          <w:tblHeader/>
        </w:trPr>
        <w:tc>
          <w:tcPr>
            <w:tcW w:w="22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7A1A723B" w14:textId="071FB3BB" w:rsidR="003E47E5" w:rsidRPr="00D15873" w:rsidRDefault="003E47E5" w:rsidP="00D15873">
            <w:pPr>
              <w:pStyle w:val="TableText"/>
            </w:pPr>
          </w:p>
        </w:tc>
        <w:tc>
          <w:tcPr>
            <w:tcW w:w="6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F4A75" w:themeFill="accent1"/>
            <w:vAlign w:val="bottom"/>
          </w:tcPr>
          <w:p w14:paraId="57D3730A" w14:textId="503409DA" w:rsidR="003E47E5" w:rsidRDefault="003E47E5" w:rsidP="00D15873">
            <w:pPr>
              <w:pStyle w:val="TableHeader"/>
            </w:pPr>
            <w:r w:rsidRPr="1D82FF2E">
              <w:t>PHI Rebate %</w:t>
            </w:r>
          </w:p>
        </w:tc>
      </w:tr>
      <w:tr w:rsidR="003E47E5" w14:paraId="38BDFC93" w14:textId="77777777" w:rsidTr="00D15873">
        <w:trPr>
          <w:trHeight w:val="285"/>
          <w:tblHeader/>
        </w:trPr>
        <w:tc>
          <w:tcPr>
            <w:tcW w:w="22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EA00D7" w14:textId="357EB014" w:rsidR="003E47E5" w:rsidRDefault="003E47E5" w:rsidP="00D15873">
            <w:pPr>
              <w:pStyle w:val="TableText"/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D4E118" w14:textId="7C364242" w:rsidR="003E47E5" w:rsidRPr="00D15873" w:rsidRDefault="003E47E5" w:rsidP="00D15873">
            <w:pPr>
              <w:pStyle w:val="Tabletextcentre"/>
            </w:pPr>
            <w:r w:rsidRPr="00D15873">
              <w:t>Base Tier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56F9C6" w14:textId="4898D4AA" w:rsidR="003E47E5" w:rsidRPr="00D15873" w:rsidRDefault="003E47E5" w:rsidP="00D15873">
            <w:pPr>
              <w:pStyle w:val="Tabletextcentre"/>
            </w:pPr>
            <w:r w:rsidRPr="00D15873">
              <w:t>Tier 1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B2115C" w14:textId="2A234CCF" w:rsidR="003E47E5" w:rsidRPr="00D15873" w:rsidRDefault="003E47E5" w:rsidP="00D15873">
            <w:pPr>
              <w:pStyle w:val="Tabletextcentre"/>
            </w:pPr>
            <w:r w:rsidRPr="00D15873">
              <w:t>Tier 2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1AD326" w14:textId="27466CE1" w:rsidR="003E47E5" w:rsidRPr="00D15873" w:rsidRDefault="003E47E5" w:rsidP="00D15873">
            <w:pPr>
              <w:pStyle w:val="Tabletextcentre"/>
            </w:pPr>
            <w:r w:rsidRPr="00D15873">
              <w:t>Tier 3</w:t>
            </w:r>
          </w:p>
        </w:tc>
      </w:tr>
      <w:tr w:rsidR="1D82FF2E" w14:paraId="3CC432ED" w14:textId="77777777" w:rsidTr="00D15873">
        <w:trPr>
          <w:trHeight w:val="285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E4D689" w14:textId="53B43FFC" w:rsidR="1D82FF2E" w:rsidRPr="00453A84" w:rsidRDefault="1D82FF2E" w:rsidP="00D15873">
            <w:pPr>
              <w:pStyle w:val="TableText"/>
            </w:pPr>
            <w:r w:rsidRPr="00453A84">
              <w:t>Age &lt;65 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554B0" w14:textId="2889E623" w:rsidR="1D82FF2E" w:rsidRPr="00453A84" w:rsidRDefault="1D82FF2E" w:rsidP="00D15873">
            <w:pPr>
              <w:pStyle w:val="TableText"/>
            </w:pPr>
            <w:r w:rsidRPr="00453A84">
              <w:t>24.118%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32A37" w14:textId="73E0DA30" w:rsidR="1D82FF2E" w:rsidRPr="00453A84" w:rsidRDefault="1D82FF2E" w:rsidP="00D15873">
            <w:pPr>
              <w:pStyle w:val="TableText"/>
            </w:pPr>
            <w:r w:rsidRPr="00453A84">
              <w:t>16.079%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F9627" w14:textId="1ACF6F0A" w:rsidR="1D82FF2E" w:rsidRPr="00453A84" w:rsidRDefault="1D82FF2E" w:rsidP="00D15873">
            <w:pPr>
              <w:pStyle w:val="TableText"/>
            </w:pPr>
            <w:r w:rsidRPr="00453A84">
              <w:t>8.038%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9FC6B" w14:textId="4EC29F22" w:rsidR="1D82FF2E" w:rsidRPr="00453A84" w:rsidRDefault="1D82FF2E" w:rsidP="00D15873">
            <w:pPr>
              <w:pStyle w:val="TableText"/>
            </w:pPr>
            <w:r w:rsidRPr="00453A84">
              <w:t>0%</w:t>
            </w:r>
          </w:p>
        </w:tc>
      </w:tr>
      <w:tr w:rsidR="1D82FF2E" w14:paraId="3B697CC3" w14:textId="77777777" w:rsidTr="00D15873">
        <w:trPr>
          <w:trHeight w:val="285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2386CD" w14:textId="3D01B4DB" w:rsidR="1D82FF2E" w:rsidRPr="00453A84" w:rsidRDefault="1D82FF2E" w:rsidP="00D15873">
            <w:pPr>
              <w:pStyle w:val="TableText"/>
            </w:pPr>
            <w:r w:rsidRPr="00453A84">
              <w:t>Age 65-69 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34063" w14:textId="450F43E1" w:rsidR="1D82FF2E" w:rsidRPr="00453A84" w:rsidRDefault="1D82FF2E" w:rsidP="00D15873">
            <w:pPr>
              <w:pStyle w:val="TableText"/>
            </w:pPr>
            <w:r w:rsidRPr="00453A84">
              <w:t>24.118%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EA027" w14:textId="2B996631" w:rsidR="1D82FF2E" w:rsidRPr="00453A84" w:rsidRDefault="1D82FF2E" w:rsidP="00D15873">
            <w:pPr>
              <w:pStyle w:val="TableText"/>
            </w:pPr>
            <w:r w:rsidRPr="00453A84">
              <w:t>16.079%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6C3BC" w14:textId="6A0C347D" w:rsidR="1D82FF2E" w:rsidRPr="00453A84" w:rsidRDefault="1D82FF2E" w:rsidP="00D15873">
            <w:pPr>
              <w:pStyle w:val="TableText"/>
            </w:pPr>
            <w:r w:rsidRPr="00453A84">
              <w:t>8.038%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9A1C9" w14:textId="617143F4" w:rsidR="1D82FF2E" w:rsidRPr="00453A84" w:rsidRDefault="1D82FF2E" w:rsidP="00D15873">
            <w:pPr>
              <w:pStyle w:val="TableText"/>
            </w:pPr>
            <w:r w:rsidRPr="00453A84">
              <w:t>0%</w:t>
            </w:r>
          </w:p>
        </w:tc>
      </w:tr>
      <w:tr w:rsidR="1D82FF2E" w14:paraId="092BF4D8" w14:textId="77777777" w:rsidTr="00D15873">
        <w:trPr>
          <w:trHeight w:val="285"/>
        </w:trPr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383FBC" w14:textId="722CBAB6" w:rsidR="1D82FF2E" w:rsidRPr="00453A84" w:rsidRDefault="1D82FF2E" w:rsidP="00D15873">
            <w:pPr>
              <w:pStyle w:val="TableText"/>
            </w:pPr>
            <w:r w:rsidRPr="00453A84">
              <w:t>Age 70+ 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B6E94" w14:textId="0FA95E2E" w:rsidR="1D82FF2E" w:rsidRPr="00453A84" w:rsidRDefault="1D82FF2E" w:rsidP="00D15873">
            <w:pPr>
              <w:pStyle w:val="TableText"/>
            </w:pPr>
            <w:r w:rsidRPr="00453A84">
              <w:t>24.118%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4593B" w14:textId="7F0808E9" w:rsidR="1D82FF2E" w:rsidRPr="00453A84" w:rsidRDefault="1D82FF2E" w:rsidP="00D15873">
            <w:pPr>
              <w:pStyle w:val="TableText"/>
            </w:pPr>
            <w:r w:rsidRPr="00453A84">
              <w:t>16.079%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A4667" w14:textId="3F3A8020" w:rsidR="1D82FF2E" w:rsidRPr="00453A84" w:rsidRDefault="1D82FF2E" w:rsidP="00D15873">
            <w:pPr>
              <w:pStyle w:val="TableText"/>
            </w:pPr>
            <w:r w:rsidRPr="00453A84">
              <w:t>8.038%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B28EE" w14:textId="119DF29D" w:rsidR="1D82FF2E" w:rsidRPr="00453A84" w:rsidRDefault="1D82FF2E" w:rsidP="00D15873">
            <w:pPr>
              <w:pStyle w:val="TableText"/>
            </w:pPr>
            <w:r w:rsidRPr="00453A84">
              <w:t>0%</w:t>
            </w:r>
          </w:p>
        </w:tc>
      </w:tr>
    </w:tbl>
    <w:p w14:paraId="1BBA0FC4" w14:textId="4759EBDF" w:rsidR="003E47E5" w:rsidRPr="00D15873" w:rsidRDefault="00545FC5" w:rsidP="00D15873">
      <w:pPr>
        <w:pStyle w:val="FootnoteText"/>
      </w:pPr>
      <w:r w:rsidRPr="00D15873">
        <w:t xml:space="preserve">The Rebate rates will be subject to annual indexation through the </w:t>
      </w:r>
      <w:r w:rsidR="00CC77B9" w:rsidRPr="00D15873">
        <w:t>Rebate Adjustment Factor (</w:t>
      </w:r>
      <w:r w:rsidRPr="00D15873">
        <w:t>RAF</w:t>
      </w:r>
      <w:r w:rsidR="00CC77B9" w:rsidRPr="00D15873">
        <w:t>)</w:t>
      </w:r>
      <w:r w:rsidRPr="00D15873">
        <w:t xml:space="preserve"> on 1 April 2028 and subsequent years based on the difference between the CPI and the industry weighted average premium increase</w:t>
      </w:r>
      <w:r w:rsidR="00CC77B9" w:rsidRPr="00D15873">
        <w:t>. H</w:t>
      </w:r>
      <w:r w:rsidRPr="00D15873">
        <w:t xml:space="preserve">owever, the RAF </w:t>
      </w:r>
      <w:r w:rsidR="00CC77B9" w:rsidRPr="00D15873">
        <w:t>will</w:t>
      </w:r>
      <w:r w:rsidRPr="00D15873">
        <w:t xml:space="preserve"> be set to 1 for 1 April 2027</w:t>
      </w:r>
      <w:r w:rsidR="00760F78" w:rsidRPr="00D15873">
        <w:t xml:space="preserve"> </w:t>
      </w:r>
      <w:r w:rsidR="00AE3E8E" w:rsidRPr="00D15873">
        <w:t>so</w:t>
      </w:r>
      <w:r w:rsidR="00760F78" w:rsidRPr="00D15873">
        <w:t xml:space="preserve"> the percentages remain unchanged</w:t>
      </w:r>
      <w:r w:rsidR="008F297A" w:rsidRPr="00D15873">
        <w:t xml:space="preserve"> from the prior year</w:t>
      </w:r>
      <w:r w:rsidR="00760F78" w:rsidRPr="00D15873">
        <w:t>,</w:t>
      </w:r>
      <w:r w:rsidRPr="00D15873">
        <w:t xml:space="preserve"> to provide certainty of the rates to apply on 1</w:t>
      </w:r>
      <w:r w:rsidR="00CC77B9" w:rsidRPr="00D15873">
        <w:t> </w:t>
      </w:r>
      <w:r w:rsidRPr="00D15873">
        <w:t>April 2027.</w:t>
      </w:r>
    </w:p>
    <w:p w14:paraId="230CEB65" w14:textId="6FFA1DBB" w:rsidR="33231B7D" w:rsidRPr="00453A84" w:rsidRDefault="33231B7D" w:rsidP="003C1AD5">
      <w:pPr>
        <w:pStyle w:val="Heading1"/>
        <w:pageBreakBefore/>
      </w:pPr>
      <w:r w:rsidRPr="1D82FF2E">
        <w:rPr>
          <w:lang w:val="en-US"/>
        </w:rPr>
        <w:lastRenderedPageBreak/>
        <w:t xml:space="preserve">Why is this </w:t>
      </w:r>
      <w:r w:rsidR="00C16288">
        <w:rPr>
          <w:lang w:val="en-US"/>
        </w:rPr>
        <w:t>changing</w:t>
      </w:r>
      <w:r w:rsidRPr="1D82FF2E">
        <w:rPr>
          <w:lang w:val="en-US"/>
        </w:rPr>
        <w:t>?</w:t>
      </w:r>
    </w:p>
    <w:p w14:paraId="00DF2D89" w14:textId="0E9865CE" w:rsidR="003E3399" w:rsidRPr="003E3399" w:rsidRDefault="002D5BF8" w:rsidP="003E3399">
      <w:r w:rsidRPr="002D5BF8">
        <w:t>Currently, people on the same income can receive different rebate rates depending on their age. The Government believes people in the same income tier should receive the same level of support.</w:t>
      </w:r>
    </w:p>
    <w:p w14:paraId="490096E6" w14:textId="77777777" w:rsidR="0095602D" w:rsidRPr="002A1870" w:rsidRDefault="0095602D" w:rsidP="002A1870">
      <w:r w:rsidRPr="002A1870">
        <w:t xml:space="preserve">Savings from this change will be invested in aged care services, including more residential aged care places and improved access to home care support. </w:t>
      </w:r>
    </w:p>
    <w:p w14:paraId="73DF3F1C" w14:textId="0A377D66" w:rsidR="33231B7D" w:rsidRPr="00453A84" w:rsidRDefault="0095602D" w:rsidP="007D14B3">
      <w:pPr>
        <w:pStyle w:val="Heading1"/>
      </w:pPr>
      <w:r>
        <w:rPr>
          <w:lang w:val="en-US"/>
        </w:rPr>
        <w:t>What does this mean for me</w:t>
      </w:r>
      <w:r w:rsidR="33231B7D" w:rsidRPr="1D82FF2E">
        <w:rPr>
          <w:lang w:val="en-US"/>
        </w:rPr>
        <w:t>?</w:t>
      </w:r>
    </w:p>
    <w:p w14:paraId="64013BC4" w14:textId="77777777" w:rsidR="006E7006" w:rsidRDefault="006E7006" w:rsidP="007D14B3">
      <w:r w:rsidRPr="006E7006">
        <w:t>The Australian Government will continue to provide more than $7 billion a year in support through the PHI Rebate. People on lower incomes will continue to receive the highest levels of assistance.</w:t>
      </w:r>
    </w:p>
    <w:p w14:paraId="46528BFB" w14:textId="464ECE17" w:rsidR="006E7006" w:rsidRDefault="006E7006" w:rsidP="007D14B3">
      <w:pPr>
        <w:pStyle w:val="Heading2"/>
      </w:pPr>
      <w:r>
        <w:t>If you are under 65 years</w:t>
      </w:r>
      <w:r w:rsidR="00A25F67" w:rsidRPr="00A25F67">
        <w:t xml:space="preserve"> and currently receive a PHI Rebate</w:t>
      </w:r>
    </w:p>
    <w:p w14:paraId="74B90BFC" w14:textId="49B8E9A7" w:rsidR="00B007BD" w:rsidRDefault="00227C3E" w:rsidP="007D14B3">
      <w:r>
        <w:t>You will continue to receive a rebate of around 24%, 16% or 8%, depending on your income.</w:t>
      </w:r>
    </w:p>
    <w:p w14:paraId="6BA836A1" w14:textId="423ABC2C" w:rsidR="00A84754" w:rsidRDefault="00A84754" w:rsidP="007D14B3">
      <w:pPr>
        <w:pStyle w:val="Heading2"/>
      </w:pPr>
      <w:r>
        <w:t>If you are 65 years or older</w:t>
      </w:r>
      <w:r w:rsidR="00A25F67">
        <w:t xml:space="preserve"> </w:t>
      </w:r>
      <w:r w:rsidR="00A25F67" w:rsidRPr="00453A84">
        <w:t>and currently receive a PHI Rebate</w:t>
      </w:r>
    </w:p>
    <w:p w14:paraId="020DA6E2" w14:textId="30531F1E" w:rsidR="33231B7D" w:rsidRDefault="00A84754" w:rsidP="00EE4506">
      <w:pPr>
        <w:rPr>
          <w:lang w:val="en-US"/>
        </w:rPr>
      </w:pPr>
      <w:r>
        <w:t>Y</w:t>
      </w:r>
      <w:r w:rsidRPr="00A84754">
        <w:t xml:space="preserve">our rebate </w:t>
      </w:r>
      <w:r w:rsidR="00A25F67">
        <w:t>will</w:t>
      </w:r>
      <w:r w:rsidR="00A25F67" w:rsidRPr="00A84754">
        <w:t xml:space="preserve"> </w:t>
      </w:r>
      <w:r w:rsidRPr="00A84754">
        <w:t>decrease from 1 April 2027</w:t>
      </w:r>
      <w:r w:rsidR="00A25F67">
        <w:t xml:space="preserve"> </w:t>
      </w:r>
      <w:r w:rsidR="00A25F67" w:rsidRPr="00A25F67">
        <w:t xml:space="preserve">to </w:t>
      </w:r>
      <w:r w:rsidR="00227C3E">
        <w:t xml:space="preserve">around </w:t>
      </w:r>
      <w:r w:rsidR="00A25F67" w:rsidRPr="00A25F67">
        <w:t>24%, 16% or 8%, depending on your income</w:t>
      </w:r>
      <w:r>
        <w:t>.</w:t>
      </w:r>
      <w:r w:rsidR="00EE4506">
        <w:t xml:space="preserve"> </w:t>
      </w:r>
    </w:p>
    <w:p w14:paraId="362CFB71" w14:textId="77777777" w:rsidR="00741784" w:rsidRPr="00741784" w:rsidRDefault="00741784" w:rsidP="007D14B3">
      <w:pPr>
        <w:pStyle w:val="Heading1"/>
        <w:rPr>
          <w:lang w:val="en-US"/>
        </w:rPr>
      </w:pPr>
      <w:r w:rsidRPr="00741784">
        <w:rPr>
          <w:lang w:val="en-US"/>
        </w:rPr>
        <w:t>How much will my premiums increase?</w:t>
      </w:r>
    </w:p>
    <w:p w14:paraId="76B6E441" w14:textId="1E90421E" w:rsidR="00741784" w:rsidRPr="00741784" w:rsidRDefault="00741784" w:rsidP="00CA7642">
      <w:r w:rsidRPr="00741784">
        <w:t xml:space="preserve">The average additional cost </w:t>
      </w:r>
      <w:r w:rsidR="00703760">
        <w:t xml:space="preserve">for those affected by this change </w:t>
      </w:r>
      <w:r w:rsidRPr="00741784">
        <w:t>is expected to be $252 per year, or less than a dollar a day. The</w:t>
      </w:r>
      <w:r w:rsidR="00F04370">
        <w:t xml:space="preserve"> impact for each </w:t>
      </w:r>
      <w:r w:rsidR="00026538">
        <w:t xml:space="preserve">affected </w:t>
      </w:r>
      <w:r w:rsidR="00F04370">
        <w:t xml:space="preserve">person </w:t>
      </w:r>
      <w:r w:rsidRPr="00741784">
        <w:t xml:space="preserve">will </w:t>
      </w:r>
      <w:r w:rsidR="00026538">
        <w:t xml:space="preserve">vary </w:t>
      </w:r>
      <w:r w:rsidRPr="00741784">
        <w:t>depend</w:t>
      </w:r>
      <w:r w:rsidR="00026538">
        <w:t>ing</w:t>
      </w:r>
      <w:r w:rsidRPr="00741784">
        <w:t xml:space="preserve"> on your age, income and the premium charged by your insurer. </w:t>
      </w:r>
    </w:p>
    <w:p w14:paraId="55759C9A" w14:textId="77777777" w:rsidR="009076FD" w:rsidRPr="009076FD" w:rsidRDefault="009076FD" w:rsidP="007D14B3">
      <w:pPr>
        <w:pStyle w:val="Heading1"/>
        <w:rPr>
          <w:lang w:val="en-US"/>
        </w:rPr>
      </w:pPr>
      <w:r w:rsidRPr="009076FD">
        <w:rPr>
          <w:lang w:val="en-US"/>
        </w:rPr>
        <w:t>Looking for more affordable cover?</w:t>
      </w:r>
    </w:p>
    <w:p w14:paraId="6D8C6820" w14:textId="01AA0BF1" w:rsidR="001E2569" w:rsidRDefault="00963A44" w:rsidP="00963A44">
      <w:r w:rsidRPr="00963A44">
        <w:t xml:space="preserve">If you are concerned about the cost of your </w:t>
      </w:r>
      <w:r w:rsidR="008B6861">
        <w:t>health insurance</w:t>
      </w:r>
      <w:r w:rsidRPr="00963A44">
        <w:t xml:space="preserve">, you can compare health insurance policies and prices on the free and independent Private Health Insurance Ombudsman website: </w:t>
      </w:r>
      <w:hyperlink r:id="rId11">
        <w:r w:rsidR="33231B7D" w:rsidRPr="3E9F5E64">
          <w:rPr>
            <w:rStyle w:val="Hyperlink"/>
          </w:rPr>
          <w:t>www.privatehealth.gov.au</w:t>
        </w:r>
      </w:hyperlink>
      <w:r w:rsidR="33231B7D">
        <w:t xml:space="preserve">. </w:t>
      </w:r>
    </w:p>
    <w:p w14:paraId="40B6A261" w14:textId="77777777" w:rsidR="009076FD" w:rsidRPr="009076FD" w:rsidRDefault="009076FD" w:rsidP="007D14B3">
      <w:pPr>
        <w:pStyle w:val="Heading1"/>
        <w:rPr>
          <w:lang w:val="en-US"/>
        </w:rPr>
      </w:pPr>
      <w:r w:rsidRPr="009076FD">
        <w:rPr>
          <w:lang w:val="en-US"/>
        </w:rPr>
        <w:t>What if I want to change insurers?</w:t>
      </w:r>
    </w:p>
    <w:p w14:paraId="695F32BD" w14:textId="3AA94C37" w:rsidR="00177AD2" w:rsidRDefault="00640D79" w:rsidP="00D15873">
      <w:r w:rsidRPr="00640D79">
        <w:t xml:space="preserve">If you decide to change health insurers or switch to another policy, </w:t>
      </w:r>
      <w:r w:rsidR="000B575C">
        <w:t>i</w:t>
      </w:r>
      <w:r w:rsidRPr="00640D79">
        <w:t xml:space="preserve">n most cases you will not have to serve waiting periods again for services already covered by your current policy. More information is available </w:t>
      </w:r>
      <w:r>
        <w:t xml:space="preserve">at </w:t>
      </w:r>
      <w:hyperlink r:id="rId12">
        <w:r w:rsidR="33231B7D" w:rsidRPr="3E9F5E64">
          <w:rPr>
            <w:rStyle w:val="Hyperlink"/>
          </w:rPr>
          <w:t>www.privatehealth.gov.au</w:t>
        </w:r>
      </w:hyperlink>
      <w:r w:rsidR="33231B7D">
        <w:t xml:space="preserve"> by searching for ‘the right to change’.</w:t>
      </w:r>
    </w:p>
    <w:sectPr w:rsidR="00177AD2" w:rsidSect="00B539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9AD72" w14:textId="77777777" w:rsidR="006859D8" w:rsidRDefault="006859D8" w:rsidP="006B56BB">
      <w:r>
        <w:separator/>
      </w:r>
    </w:p>
    <w:p w14:paraId="7DFFD344" w14:textId="77777777" w:rsidR="006859D8" w:rsidRDefault="006859D8"/>
  </w:endnote>
  <w:endnote w:type="continuationSeparator" w:id="0">
    <w:p w14:paraId="1A6E92EA" w14:textId="77777777" w:rsidR="006859D8" w:rsidRDefault="006859D8" w:rsidP="006B56BB">
      <w:r>
        <w:continuationSeparator/>
      </w:r>
    </w:p>
    <w:p w14:paraId="1F06DA8D" w14:textId="77777777" w:rsidR="006859D8" w:rsidRDefault="006859D8"/>
  </w:endnote>
  <w:endnote w:type="continuationNotice" w:id="1">
    <w:p w14:paraId="0D6AD0A2" w14:textId="77777777" w:rsidR="006859D8" w:rsidRDefault="006859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424" w14:textId="03ED3685" w:rsidR="001D22F6" w:rsidRDefault="003F4A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E513454" wp14:editId="4C5154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9767759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4F238B" w14:textId="221358F9" w:rsidR="003F4A5F" w:rsidRPr="003F4A5F" w:rsidRDefault="003F4A5F" w:rsidP="003F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134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8pt;height:38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a3Hu/QwCAAAcBAAA&#10;DgAAAAAAAAAAAAAAAAAuAgAAZHJzL2Uyb0RvYy54bWxQSwECLQAUAAYACAAAACEAgBRPAtoAAAAD&#10;AQAADwAAAAAAAAAAAAAAAABmBAAAZHJzL2Rvd25yZXYueG1sUEsFBgAAAAAEAAQA8wAAAG0FAAAA&#10;AA==&#10;" filled="f" stroked="f">
              <v:textbox style="mso-fit-shape-to-text:t" inset="0,0,0,15pt">
                <w:txbxContent>
                  <w:p w14:paraId="274F238B" w14:textId="221358F9" w:rsidR="003F4A5F" w:rsidRPr="003F4A5F" w:rsidRDefault="003F4A5F" w:rsidP="003F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1941" w14:textId="6A8534E3" w:rsidR="00B53987" w:rsidRDefault="1D82FF2E" w:rsidP="00B53987">
    <w:pPr>
      <w:pStyle w:val="Footer"/>
    </w:pPr>
    <w:r>
      <w:t xml:space="preserve">Department of Health, Disability and Ageing – Modernising the </w:t>
    </w:r>
    <w:r w:rsidR="008F1EFD">
      <w:t>PHI</w:t>
    </w:r>
    <w:r>
      <w:t xml:space="preserve"> Rebate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>
          <w:t>1</w:t>
        </w:r>
        <w:r w:rsidR="00B53987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FD7C" w14:textId="38A4796E" w:rsidR="00B53987" w:rsidRDefault="3E9F5E64" w:rsidP="00B53987">
    <w:pPr>
      <w:pStyle w:val="Footer"/>
    </w:pPr>
    <w:r>
      <w:t xml:space="preserve">Department of Health, Disability and Ageing – </w:t>
    </w:r>
    <w:r w:rsidRPr="00040DAB">
      <w:t xml:space="preserve">Modernising the </w:t>
    </w:r>
    <w:r w:rsidR="006A0BD7">
      <w:t>PHI</w:t>
    </w:r>
    <w:r w:rsidRPr="00040DAB">
      <w:t xml:space="preserve"> Rebate</w:t>
    </w:r>
    <w:r w:rsidR="00B53987">
      <w:tab/>
    </w:r>
    <w:r w:rsidR="00B53987" w:rsidRPr="003D033A">
      <w:fldChar w:fldCharType="begin"/>
    </w:r>
    <w:r w:rsidR="00B53987" w:rsidRPr="003D033A">
      <w:instrText xml:space="preserve"> PAGE   \* MERGEFORMAT </w:instrText>
    </w:r>
    <w:r w:rsidR="00B53987" w:rsidRPr="003D033A">
      <w:fldChar w:fldCharType="separate"/>
    </w:r>
    <w:r>
      <w:t>2</w:t>
    </w:r>
    <w:r w:rsidR="00B53987" w:rsidRPr="003D033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118B" w14:textId="77777777" w:rsidR="006859D8" w:rsidRDefault="006859D8" w:rsidP="006B56BB">
      <w:r>
        <w:separator/>
      </w:r>
    </w:p>
    <w:p w14:paraId="4D7FB366" w14:textId="77777777" w:rsidR="006859D8" w:rsidRDefault="006859D8"/>
  </w:footnote>
  <w:footnote w:type="continuationSeparator" w:id="0">
    <w:p w14:paraId="4EB5C9AC" w14:textId="77777777" w:rsidR="006859D8" w:rsidRDefault="006859D8" w:rsidP="006B56BB">
      <w:r>
        <w:continuationSeparator/>
      </w:r>
    </w:p>
    <w:p w14:paraId="2F06B835" w14:textId="77777777" w:rsidR="006859D8" w:rsidRDefault="006859D8"/>
  </w:footnote>
  <w:footnote w:type="continuationNotice" w:id="1">
    <w:p w14:paraId="2F57DE7E" w14:textId="77777777" w:rsidR="006859D8" w:rsidRDefault="006859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3EDA" w14:textId="40C7E277" w:rsidR="001D22F6" w:rsidRDefault="003F4A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F47B5D0" wp14:editId="080D27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9792419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3B4D7" w14:textId="6F9D7E8F" w:rsidR="003F4A5F" w:rsidRPr="003F4A5F" w:rsidRDefault="003F4A5F" w:rsidP="003F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7B5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39E3B4D7" w14:textId="6F9D7E8F" w:rsidR="003F4A5F" w:rsidRPr="003F4A5F" w:rsidRDefault="003F4A5F" w:rsidP="003F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8F8F" w14:textId="73D7CB70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BF76" w14:textId="095A3869" w:rsidR="00B53987" w:rsidRDefault="00313F8B">
    <w:pPr>
      <w:pStyle w:val="Header"/>
    </w:pPr>
    <w:r>
      <w:rPr>
        <w:noProof/>
        <w:lang w:eastAsia="en-AU"/>
      </w:rPr>
      <w:drawing>
        <wp:inline distT="0" distB="0" distL="0" distR="0" wp14:anchorId="6F27E1F5" wp14:editId="6532D794">
          <wp:extent cx="5756803" cy="941705"/>
          <wp:effectExtent l="0" t="0" r="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68A1559"/>
    <w:multiLevelType w:val="hybridMultilevel"/>
    <w:tmpl w:val="78C46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5103499">
    <w:abstractNumId w:val="7"/>
  </w:num>
  <w:num w:numId="2" w16cid:durableId="1694376784">
    <w:abstractNumId w:val="16"/>
  </w:num>
  <w:num w:numId="3" w16cid:durableId="99111382">
    <w:abstractNumId w:val="18"/>
  </w:num>
  <w:num w:numId="4" w16cid:durableId="1851481786">
    <w:abstractNumId w:val="8"/>
  </w:num>
  <w:num w:numId="5" w16cid:durableId="210196529">
    <w:abstractNumId w:val="8"/>
    <w:lvlOverride w:ilvl="0">
      <w:startOverride w:val="1"/>
    </w:lvlOverride>
  </w:num>
  <w:num w:numId="6" w16cid:durableId="1810857969">
    <w:abstractNumId w:val="9"/>
  </w:num>
  <w:num w:numId="7" w16cid:durableId="1996758693">
    <w:abstractNumId w:val="14"/>
  </w:num>
  <w:num w:numId="8" w16cid:durableId="1674914654">
    <w:abstractNumId w:val="17"/>
  </w:num>
  <w:num w:numId="9" w16cid:durableId="474026350">
    <w:abstractNumId w:val="5"/>
  </w:num>
  <w:num w:numId="10" w16cid:durableId="219294836">
    <w:abstractNumId w:val="4"/>
  </w:num>
  <w:num w:numId="11" w16cid:durableId="1057047598">
    <w:abstractNumId w:val="3"/>
  </w:num>
  <w:num w:numId="12" w16cid:durableId="1872105819">
    <w:abstractNumId w:val="2"/>
  </w:num>
  <w:num w:numId="13" w16cid:durableId="1149253252">
    <w:abstractNumId w:val="6"/>
  </w:num>
  <w:num w:numId="14" w16cid:durableId="1025398335">
    <w:abstractNumId w:val="1"/>
  </w:num>
  <w:num w:numId="15" w16cid:durableId="1180704368">
    <w:abstractNumId w:val="0"/>
  </w:num>
  <w:num w:numId="16" w16cid:durableId="1236473037">
    <w:abstractNumId w:val="19"/>
  </w:num>
  <w:num w:numId="17" w16cid:durableId="1161384352">
    <w:abstractNumId w:val="10"/>
  </w:num>
  <w:num w:numId="18" w16cid:durableId="1115442587">
    <w:abstractNumId w:val="11"/>
  </w:num>
  <w:num w:numId="19" w16cid:durableId="913049504">
    <w:abstractNumId w:val="12"/>
  </w:num>
  <w:num w:numId="20" w16cid:durableId="1185171215">
    <w:abstractNumId w:val="10"/>
  </w:num>
  <w:num w:numId="21" w16cid:durableId="1306743019">
    <w:abstractNumId w:val="12"/>
  </w:num>
  <w:num w:numId="22" w16cid:durableId="1809544992">
    <w:abstractNumId w:val="19"/>
  </w:num>
  <w:num w:numId="23" w16cid:durableId="638191149">
    <w:abstractNumId w:val="16"/>
  </w:num>
  <w:num w:numId="24" w16cid:durableId="503975017">
    <w:abstractNumId w:val="18"/>
  </w:num>
  <w:num w:numId="25" w16cid:durableId="215359669">
    <w:abstractNumId w:val="8"/>
  </w:num>
  <w:num w:numId="26" w16cid:durableId="352608886">
    <w:abstractNumId w:val="15"/>
  </w:num>
  <w:num w:numId="27" w16cid:durableId="8940497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88"/>
    <w:rsid w:val="0000235C"/>
    <w:rsid w:val="00003743"/>
    <w:rsid w:val="000047B4"/>
    <w:rsid w:val="00005712"/>
    <w:rsid w:val="00007FD8"/>
    <w:rsid w:val="000117F8"/>
    <w:rsid w:val="0001460F"/>
    <w:rsid w:val="00017815"/>
    <w:rsid w:val="00022629"/>
    <w:rsid w:val="00026139"/>
    <w:rsid w:val="00026538"/>
    <w:rsid w:val="00027601"/>
    <w:rsid w:val="00033321"/>
    <w:rsid w:val="000338E5"/>
    <w:rsid w:val="00033ECC"/>
    <w:rsid w:val="0003422F"/>
    <w:rsid w:val="00040DAB"/>
    <w:rsid w:val="00040E86"/>
    <w:rsid w:val="00043DC0"/>
    <w:rsid w:val="00046FF0"/>
    <w:rsid w:val="00050176"/>
    <w:rsid w:val="00050342"/>
    <w:rsid w:val="00067456"/>
    <w:rsid w:val="00071506"/>
    <w:rsid w:val="0007154F"/>
    <w:rsid w:val="00081AB1"/>
    <w:rsid w:val="00090316"/>
    <w:rsid w:val="00093981"/>
    <w:rsid w:val="00094A22"/>
    <w:rsid w:val="000B067A"/>
    <w:rsid w:val="000B1540"/>
    <w:rsid w:val="000B1E53"/>
    <w:rsid w:val="000B33FD"/>
    <w:rsid w:val="000B4ABA"/>
    <w:rsid w:val="000B575C"/>
    <w:rsid w:val="000C1CC2"/>
    <w:rsid w:val="000C4B16"/>
    <w:rsid w:val="000C50C3"/>
    <w:rsid w:val="000C5E14"/>
    <w:rsid w:val="000C7C49"/>
    <w:rsid w:val="000CEF26"/>
    <w:rsid w:val="000D0EAB"/>
    <w:rsid w:val="000D21F6"/>
    <w:rsid w:val="000D4500"/>
    <w:rsid w:val="000D7AEA"/>
    <w:rsid w:val="000E2A89"/>
    <w:rsid w:val="000E2C66"/>
    <w:rsid w:val="000E49EE"/>
    <w:rsid w:val="000F123C"/>
    <w:rsid w:val="000F2FED"/>
    <w:rsid w:val="000F3428"/>
    <w:rsid w:val="000F34B2"/>
    <w:rsid w:val="000F7364"/>
    <w:rsid w:val="0010616D"/>
    <w:rsid w:val="00110478"/>
    <w:rsid w:val="0011711B"/>
    <w:rsid w:val="00117F8A"/>
    <w:rsid w:val="00121B9B"/>
    <w:rsid w:val="00122ADC"/>
    <w:rsid w:val="00130F59"/>
    <w:rsid w:val="00133EC0"/>
    <w:rsid w:val="00133F89"/>
    <w:rsid w:val="00141CE5"/>
    <w:rsid w:val="00144908"/>
    <w:rsid w:val="00156D96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A4E70"/>
    <w:rsid w:val="001B15D3"/>
    <w:rsid w:val="001B2BA6"/>
    <w:rsid w:val="001B3443"/>
    <w:rsid w:val="001C0326"/>
    <w:rsid w:val="001C192F"/>
    <w:rsid w:val="001C3C42"/>
    <w:rsid w:val="001D22F6"/>
    <w:rsid w:val="001D69E2"/>
    <w:rsid w:val="001D7869"/>
    <w:rsid w:val="001E03F2"/>
    <w:rsid w:val="001E2569"/>
    <w:rsid w:val="001F1B3A"/>
    <w:rsid w:val="002026CD"/>
    <w:rsid w:val="002033FC"/>
    <w:rsid w:val="002044BB"/>
    <w:rsid w:val="0020521E"/>
    <w:rsid w:val="002054C0"/>
    <w:rsid w:val="00210B09"/>
    <w:rsid w:val="00210C9E"/>
    <w:rsid w:val="00210DD1"/>
    <w:rsid w:val="00211840"/>
    <w:rsid w:val="00220E5F"/>
    <w:rsid w:val="002212B5"/>
    <w:rsid w:val="00226668"/>
    <w:rsid w:val="00227C3E"/>
    <w:rsid w:val="00233809"/>
    <w:rsid w:val="00240046"/>
    <w:rsid w:val="0024797F"/>
    <w:rsid w:val="00250B9F"/>
    <w:rsid w:val="0025119E"/>
    <w:rsid w:val="00251269"/>
    <w:rsid w:val="002535C0"/>
    <w:rsid w:val="0025688D"/>
    <w:rsid w:val="002579FE"/>
    <w:rsid w:val="0026311C"/>
    <w:rsid w:val="0026668C"/>
    <w:rsid w:val="00266AC1"/>
    <w:rsid w:val="0027178C"/>
    <w:rsid w:val="002719FA"/>
    <w:rsid w:val="00271AB3"/>
    <w:rsid w:val="00272668"/>
    <w:rsid w:val="0027330B"/>
    <w:rsid w:val="002770CC"/>
    <w:rsid w:val="00277F40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A1870"/>
    <w:rsid w:val="002A3607"/>
    <w:rsid w:val="002A3C87"/>
    <w:rsid w:val="002B057D"/>
    <w:rsid w:val="002B20E6"/>
    <w:rsid w:val="002B42A3"/>
    <w:rsid w:val="002B6A47"/>
    <w:rsid w:val="002C0CDD"/>
    <w:rsid w:val="002C38C4"/>
    <w:rsid w:val="002D5BF8"/>
    <w:rsid w:val="002E1A1D"/>
    <w:rsid w:val="002E4081"/>
    <w:rsid w:val="002E5B78"/>
    <w:rsid w:val="002F3AE3"/>
    <w:rsid w:val="0030464B"/>
    <w:rsid w:val="0030786C"/>
    <w:rsid w:val="00313F8B"/>
    <w:rsid w:val="00314CF2"/>
    <w:rsid w:val="003233DE"/>
    <w:rsid w:val="0032466B"/>
    <w:rsid w:val="00332D01"/>
    <w:rsid w:val="003330EB"/>
    <w:rsid w:val="003415FD"/>
    <w:rsid w:val="003426E3"/>
    <w:rsid w:val="003429F0"/>
    <w:rsid w:val="00345A82"/>
    <w:rsid w:val="00346C77"/>
    <w:rsid w:val="0035097A"/>
    <w:rsid w:val="003540A4"/>
    <w:rsid w:val="00357BCC"/>
    <w:rsid w:val="0036015A"/>
    <w:rsid w:val="003608E5"/>
    <w:rsid w:val="00360961"/>
    <w:rsid w:val="00360E4E"/>
    <w:rsid w:val="00366165"/>
    <w:rsid w:val="00370AAA"/>
    <w:rsid w:val="00375F77"/>
    <w:rsid w:val="00381BBE"/>
    <w:rsid w:val="00382903"/>
    <w:rsid w:val="003846FF"/>
    <w:rsid w:val="00385483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1AD5"/>
    <w:rsid w:val="003C2AC8"/>
    <w:rsid w:val="003C75CC"/>
    <w:rsid w:val="003D033A"/>
    <w:rsid w:val="003D17F9"/>
    <w:rsid w:val="003D2D88"/>
    <w:rsid w:val="003D41EA"/>
    <w:rsid w:val="003D4850"/>
    <w:rsid w:val="003D535A"/>
    <w:rsid w:val="003E3399"/>
    <w:rsid w:val="003E47E5"/>
    <w:rsid w:val="003E5265"/>
    <w:rsid w:val="003F0955"/>
    <w:rsid w:val="003F4A5F"/>
    <w:rsid w:val="003F5F4D"/>
    <w:rsid w:val="003F646F"/>
    <w:rsid w:val="00400F00"/>
    <w:rsid w:val="0040211D"/>
    <w:rsid w:val="004031FE"/>
    <w:rsid w:val="00404F8B"/>
    <w:rsid w:val="00405256"/>
    <w:rsid w:val="00410031"/>
    <w:rsid w:val="0041405E"/>
    <w:rsid w:val="00414BF2"/>
    <w:rsid w:val="00415C81"/>
    <w:rsid w:val="00415E30"/>
    <w:rsid w:val="00423DFD"/>
    <w:rsid w:val="00432378"/>
    <w:rsid w:val="00440D65"/>
    <w:rsid w:val="004435E6"/>
    <w:rsid w:val="00447E31"/>
    <w:rsid w:val="00453923"/>
    <w:rsid w:val="00453A84"/>
    <w:rsid w:val="00454B9B"/>
    <w:rsid w:val="00457858"/>
    <w:rsid w:val="00460AFD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272F"/>
    <w:rsid w:val="004A78D9"/>
    <w:rsid w:val="004B3D93"/>
    <w:rsid w:val="004C3CC0"/>
    <w:rsid w:val="004C6BCF"/>
    <w:rsid w:val="004D2F06"/>
    <w:rsid w:val="004D58BF"/>
    <w:rsid w:val="004E4335"/>
    <w:rsid w:val="004F13EE"/>
    <w:rsid w:val="004F2022"/>
    <w:rsid w:val="004F5DC0"/>
    <w:rsid w:val="004F75F5"/>
    <w:rsid w:val="004F7C05"/>
    <w:rsid w:val="00501C94"/>
    <w:rsid w:val="00506432"/>
    <w:rsid w:val="00506E82"/>
    <w:rsid w:val="0052051D"/>
    <w:rsid w:val="00526404"/>
    <w:rsid w:val="00535485"/>
    <w:rsid w:val="00545EE6"/>
    <w:rsid w:val="00545FC5"/>
    <w:rsid w:val="005550E7"/>
    <w:rsid w:val="005564FB"/>
    <w:rsid w:val="00556605"/>
    <w:rsid w:val="005572C7"/>
    <w:rsid w:val="005650ED"/>
    <w:rsid w:val="00566860"/>
    <w:rsid w:val="00566B64"/>
    <w:rsid w:val="00575754"/>
    <w:rsid w:val="00581FBA"/>
    <w:rsid w:val="00584F19"/>
    <w:rsid w:val="00591E20"/>
    <w:rsid w:val="00594025"/>
    <w:rsid w:val="00595408"/>
    <w:rsid w:val="00595E84"/>
    <w:rsid w:val="005A0C59"/>
    <w:rsid w:val="005A48EB"/>
    <w:rsid w:val="005A6CFB"/>
    <w:rsid w:val="005B2141"/>
    <w:rsid w:val="005B5A7B"/>
    <w:rsid w:val="005C5AEB"/>
    <w:rsid w:val="005D542A"/>
    <w:rsid w:val="005E0A3F"/>
    <w:rsid w:val="005E6883"/>
    <w:rsid w:val="005E772F"/>
    <w:rsid w:val="005F45BB"/>
    <w:rsid w:val="005F4ECA"/>
    <w:rsid w:val="005F62D7"/>
    <w:rsid w:val="005F64A1"/>
    <w:rsid w:val="006041BE"/>
    <w:rsid w:val="006043C7"/>
    <w:rsid w:val="00624348"/>
    <w:rsid w:val="00624B52"/>
    <w:rsid w:val="00624F89"/>
    <w:rsid w:val="00630794"/>
    <w:rsid w:val="00631DF4"/>
    <w:rsid w:val="00634175"/>
    <w:rsid w:val="00640506"/>
    <w:rsid w:val="006408AC"/>
    <w:rsid w:val="00640D79"/>
    <w:rsid w:val="0064260C"/>
    <w:rsid w:val="006511B6"/>
    <w:rsid w:val="00657FF8"/>
    <w:rsid w:val="00670D99"/>
    <w:rsid w:val="00670E2B"/>
    <w:rsid w:val="006734BB"/>
    <w:rsid w:val="0067697A"/>
    <w:rsid w:val="006821EB"/>
    <w:rsid w:val="006859D8"/>
    <w:rsid w:val="00697A7E"/>
    <w:rsid w:val="006A0BD7"/>
    <w:rsid w:val="006B19D0"/>
    <w:rsid w:val="006B2286"/>
    <w:rsid w:val="006B56BB"/>
    <w:rsid w:val="006C77A8"/>
    <w:rsid w:val="006D1847"/>
    <w:rsid w:val="006D3C29"/>
    <w:rsid w:val="006D4098"/>
    <w:rsid w:val="006D6B88"/>
    <w:rsid w:val="006D7681"/>
    <w:rsid w:val="006D7B2E"/>
    <w:rsid w:val="006E02EA"/>
    <w:rsid w:val="006E0968"/>
    <w:rsid w:val="006E2AF6"/>
    <w:rsid w:val="006E7006"/>
    <w:rsid w:val="006F2A3A"/>
    <w:rsid w:val="006F7EB1"/>
    <w:rsid w:val="00701275"/>
    <w:rsid w:val="00703760"/>
    <w:rsid w:val="00707F56"/>
    <w:rsid w:val="00713558"/>
    <w:rsid w:val="00720D08"/>
    <w:rsid w:val="007263B9"/>
    <w:rsid w:val="00730F9E"/>
    <w:rsid w:val="0073171F"/>
    <w:rsid w:val="007334F8"/>
    <w:rsid w:val="007339CD"/>
    <w:rsid w:val="007359D8"/>
    <w:rsid w:val="007362D4"/>
    <w:rsid w:val="00741784"/>
    <w:rsid w:val="007456F7"/>
    <w:rsid w:val="007561ED"/>
    <w:rsid w:val="00760A7F"/>
    <w:rsid w:val="00760F78"/>
    <w:rsid w:val="0076672A"/>
    <w:rsid w:val="00775981"/>
    <w:rsid w:val="00775E45"/>
    <w:rsid w:val="00776E74"/>
    <w:rsid w:val="007824F6"/>
    <w:rsid w:val="00785169"/>
    <w:rsid w:val="00786F09"/>
    <w:rsid w:val="007954AB"/>
    <w:rsid w:val="00797F15"/>
    <w:rsid w:val="007A14C5"/>
    <w:rsid w:val="007A4A10"/>
    <w:rsid w:val="007A670B"/>
    <w:rsid w:val="007B1760"/>
    <w:rsid w:val="007B2B42"/>
    <w:rsid w:val="007B6A2B"/>
    <w:rsid w:val="007C1FDC"/>
    <w:rsid w:val="007C529B"/>
    <w:rsid w:val="007C6D9C"/>
    <w:rsid w:val="007C7DDB"/>
    <w:rsid w:val="007D14B3"/>
    <w:rsid w:val="007D2CC7"/>
    <w:rsid w:val="007D66CF"/>
    <w:rsid w:val="007D673D"/>
    <w:rsid w:val="007E0FB8"/>
    <w:rsid w:val="007E4D09"/>
    <w:rsid w:val="007F2220"/>
    <w:rsid w:val="007F4B3E"/>
    <w:rsid w:val="007F4F90"/>
    <w:rsid w:val="008127AF"/>
    <w:rsid w:val="00812B46"/>
    <w:rsid w:val="00815700"/>
    <w:rsid w:val="00815833"/>
    <w:rsid w:val="00822BEA"/>
    <w:rsid w:val="00825A40"/>
    <w:rsid w:val="008264EB"/>
    <w:rsid w:val="00826B8F"/>
    <w:rsid w:val="00826FE3"/>
    <w:rsid w:val="00827413"/>
    <w:rsid w:val="00831E8A"/>
    <w:rsid w:val="00835C76"/>
    <w:rsid w:val="008376E2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71112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B42BC"/>
    <w:rsid w:val="008B6861"/>
    <w:rsid w:val="008BED57"/>
    <w:rsid w:val="008C0278"/>
    <w:rsid w:val="008C24E9"/>
    <w:rsid w:val="008D0533"/>
    <w:rsid w:val="008D2C45"/>
    <w:rsid w:val="008D42CB"/>
    <w:rsid w:val="008D48C9"/>
    <w:rsid w:val="008D6381"/>
    <w:rsid w:val="008D64BB"/>
    <w:rsid w:val="008E0C77"/>
    <w:rsid w:val="008E4E28"/>
    <w:rsid w:val="008E625F"/>
    <w:rsid w:val="008F00C6"/>
    <w:rsid w:val="008F0B3C"/>
    <w:rsid w:val="008F1EFD"/>
    <w:rsid w:val="008F264D"/>
    <w:rsid w:val="008F297A"/>
    <w:rsid w:val="009039EA"/>
    <w:rsid w:val="009040E9"/>
    <w:rsid w:val="00904ABF"/>
    <w:rsid w:val="009074E1"/>
    <w:rsid w:val="009076FD"/>
    <w:rsid w:val="009112F7"/>
    <w:rsid w:val="009113E5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34CAE"/>
    <w:rsid w:val="00945E7F"/>
    <w:rsid w:val="009557C1"/>
    <w:rsid w:val="0095602D"/>
    <w:rsid w:val="00960D6E"/>
    <w:rsid w:val="009631CE"/>
    <w:rsid w:val="00963A44"/>
    <w:rsid w:val="00974672"/>
    <w:rsid w:val="00974B59"/>
    <w:rsid w:val="0098340B"/>
    <w:rsid w:val="00986830"/>
    <w:rsid w:val="00990FC7"/>
    <w:rsid w:val="009924C3"/>
    <w:rsid w:val="00993102"/>
    <w:rsid w:val="009959BB"/>
    <w:rsid w:val="009A2EB4"/>
    <w:rsid w:val="009B1570"/>
    <w:rsid w:val="009B5B35"/>
    <w:rsid w:val="009C5051"/>
    <w:rsid w:val="009C6F10"/>
    <w:rsid w:val="009D148F"/>
    <w:rsid w:val="009D3D70"/>
    <w:rsid w:val="009D6E31"/>
    <w:rsid w:val="009E6F7E"/>
    <w:rsid w:val="009E7A57"/>
    <w:rsid w:val="009F05D2"/>
    <w:rsid w:val="009F4803"/>
    <w:rsid w:val="009F4F6A"/>
    <w:rsid w:val="00A13EB5"/>
    <w:rsid w:val="00A16E36"/>
    <w:rsid w:val="00A24961"/>
    <w:rsid w:val="00A24B10"/>
    <w:rsid w:val="00A25F67"/>
    <w:rsid w:val="00A277EF"/>
    <w:rsid w:val="00A30E9B"/>
    <w:rsid w:val="00A4512D"/>
    <w:rsid w:val="00A50244"/>
    <w:rsid w:val="00A627D7"/>
    <w:rsid w:val="00A656C7"/>
    <w:rsid w:val="00A705AF"/>
    <w:rsid w:val="00A70E91"/>
    <w:rsid w:val="00A719F6"/>
    <w:rsid w:val="00A72454"/>
    <w:rsid w:val="00A77696"/>
    <w:rsid w:val="00A80557"/>
    <w:rsid w:val="00A81D33"/>
    <w:rsid w:val="00A8341C"/>
    <w:rsid w:val="00A84754"/>
    <w:rsid w:val="00A8496D"/>
    <w:rsid w:val="00A900C0"/>
    <w:rsid w:val="00A92216"/>
    <w:rsid w:val="00A930AE"/>
    <w:rsid w:val="00A9611F"/>
    <w:rsid w:val="00AA1A95"/>
    <w:rsid w:val="00AA260F"/>
    <w:rsid w:val="00AA262B"/>
    <w:rsid w:val="00AB1EE7"/>
    <w:rsid w:val="00AB4B37"/>
    <w:rsid w:val="00AB5762"/>
    <w:rsid w:val="00AC2679"/>
    <w:rsid w:val="00AC4BE4"/>
    <w:rsid w:val="00AD0159"/>
    <w:rsid w:val="00AD05E6"/>
    <w:rsid w:val="00AD0D3F"/>
    <w:rsid w:val="00AD3ED0"/>
    <w:rsid w:val="00AD7275"/>
    <w:rsid w:val="00AE1D7D"/>
    <w:rsid w:val="00AE2A8B"/>
    <w:rsid w:val="00AE3E8E"/>
    <w:rsid w:val="00AE3F64"/>
    <w:rsid w:val="00AF7386"/>
    <w:rsid w:val="00AF7934"/>
    <w:rsid w:val="00B007BD"/>
    <w:rsid w:val="00B00B81"/>
    <w:rsid w:val="00B04580"/>
    <w:rsid w:val="00B04B09"/>
    <w:rsid w:val="00B16A51"/>
    <w:rsid w:val="00B17B0E"/>
    <w:rsid w:val="00B32222"/>
    <w:rsid w:val="00B3618D"/>
    <w:rsid w:val="00B36233"/>
    <w:rsid w:val="00B42851"/>
    <w:rsid w:val="00B45AC7"/>
    <w:rsid w:val="00B5372F"/>
    <w:rsid w:val="00B53987"/>
    <w:rsid w:val="00B61129"/>
    <w:rsid w:val="00B67C5B"/>
    <w:rsid w:val="00B67E7F"/>
    <w:rsid w:val="00B839B2"/>
    <w:rsid w:val="00B91653"/>
    <w:rsid w:val="00B94252"/>
    <w:rsid w:val="00B9715A"/>
    <w:rsid w:val="00BA14BE"/>
    <w:rsid w:val="00BA2732"/>
    <w:rsid w:val="00BA293D"/>
    <w:rsid w:val="00BA49BC"/>
    <w:rsid w:val="00BA56B7"/>
    <w:rsid w:val="00BA7A1E"/>
    <w:rsid w:val="00BB0F1D"/>
    <w:rsid w:val="00BB2F6C"/>
    <w:rsid w:val="00BB3875"/>
    <w:rsid w:val="00BB5860"/>
    <w:rsid w:val="00BB6413"/>
    <w:rsid w:val="00BB6AAD"/>
    <w:rsid w:val="00BC41D8"/>
    <w:rsid w:val="00BC4596"/>
    <w:rsid w:val="00BC4A19"/>
    <w:rsid w:val="00BC4E6D"/>
    <w:rsid w:val="00BD0617"/>
    <w:rsid w:val="00BD2E9B"/>
    <w:rsid w:val="00BD7FB2"/>
    <w:rsid w:val="00BF4FAB"/>
    <w:rsid w:val="00C00930"/>
    <w:rsid w:val="00C060AD"/>
    <w:rsid w:val="00C113BF"/>
    <w:rsid w:val="00C16288"/>
    <w:rsid w:val="00C2176E"/>
    <w:rsid w:val="00C23430"/>
    <w:rsid w:val="00C27D67"/>
    <w:rsid w:val="00C3069B"/>
    <w:rsid w:val="00C35BE0"/>
    <w:rsid w:val="00C4631F"/>
    <w:rsid w:val="00C47CDE"/>
    <w:rsid w:val="00C50E16"/>
    <w:rsid w:val="00C55258"/>
    <w:rsid w:val="00C67C28"/>
    <w:rsid w:val="00C82EEB"/>
    <w:rsid w:val="00C95209"/>
    <w:rsid w:val="00C971DC"/>
    <w:rsid w:val="00CA16B7"/>
    <w:rsid w:val="00CA4188"/>
    <w:rsid w:val="00CA41CF"/>
    <w:rsid w:val="00CA62AE"/>
    <w:rsid w:val="00CA7642"/>
    <w:rsid w:val="00CB5B1A"/>
    <w:rsid w:val="00CC1079"/>
    <w:rsid w:val="00CC220B"/>
    <w:rsid w:val="00CC5C43"/>
    <w:rsid w:val="00CC77B9"/>
    <w:rsid w:val="00CD02AE"/>
    <w:rsid w:val="00CD2053"/>
    <w:rsid w:val="00CD2A4F"/>
    <w:rsid w:val="00CE03CA"/>
    <w:rsid w:val="00CE22F1"/>
    <w:rsid w:val="00CE50F2"/>
    <w:rsid w:val="00CE59C3"/>
    <w:rsid w:val="00CE6502"/>
    <w:rsid w:val="00CF7D3C"/>
    <w:rsid w:val="00D01F09"/>
    <w:rsid w:val="00D067FA"/>
    <w:rsid w:val="00D147EB"/>
    <w:rsid w:val="00D15873"/>
    <w:rsid w:val="00D2375F"/>
    <w:rsid w:val="00D34667"/>
    <w:rsid w:val="00D35735"/>
    <w:rsid w:val="00D401E1"/>
    <w:rsid w:val="00D408B4"/>
    <w:rsid w:val="00D40B5A"/>
    <w:rsid w:val="00D524C8"/>
    <w:rsid w:val="00D65099"/>
    <w:rsid w:val="00D70E24"/>
    <w:rsid w:val="00D72B51"/>
    <w:rsid w:val="00D72B61"/>
    <w:rsid w:val="00DA3D1D"/>
    <w:rsid w:val="00DB6286"/>
    <w:rsid w:val="00DB645F"/>
    <w:rsid w:val="00DB76E9"/>
    <w:rsid w:val="00DC0A67"/>
    <w:rsid w:val="00DC1D5E"/>
    <w:rsid w:val="00DC5220"/>
    <w:rsid w:val="00DC72CF"/>
    <w:rsid w:val="00DD2061"/>
    <w:rsid w:val="00DD6ED4"/>
    <w:rsid w:val="00DD7DAB"/>
    <w:rsid w:val="00DE3355"/>
    <w:rsid w:val="00DF0C60"/>
    <w:rsid w:val="00DF1CCE"/>
    <w:rsid w:val="00DF3DA4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B1F"/>
    <w:rsid w:val="00E26A4E"/>
    <w:rsid w:val="00E27FEA"/>
    <w:rsid w:val="00E4086F"/>
    <w:rsid w:val="00E42BCE"/>
    <w:rsid w:val="00E43B3C"/>
    <w:rsid w:val="00E50188"/>
    <w:rsid w:val="00E50BB3"/>
    <w:rsid w:val="00E515CB"/>
    <w:rsid w:val="00E52260"/>
    <w:rsid w:val="00E61917"/>
    <w:rsid w:val="00E639B6"/>
    <w:rsid w:val="00E6434B"/>
    <w:rsid w:val="00E6463D"/>
    <w:rsid w:val="00E72E9B"/>
    <w:rsid w:val="00E850C3"/>
    <w:rsid w:val="00E87DF2"/>
    <w:rsid w:val="00E9462E"/>
    <w:rsid w:val="00E94668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D54AA"/>
    <w:rsid w:val="00EE3E8A"/>
    <w:rsid w:val="00EE4506"/>
    <w:rsid w:val="00EF58B8"/>
    <w:rsid w:val="00EF6ECA"/>
    <w:rsid w:val="00F00FCE"/>
    <w:rsid w:val="00F024E1"/>
    <w:rsid w:val="00F04370"/>
    <w:rsid w:val="00F06C10"/>
    <w:rsid w:val="00F1096F"/>
    <w:rsid w:val="00F12589"/>
    <w:rsid w:val="00F12595"/>
    <w:rsid w:val="00F131E3"/>
    <w:rsid w:val="00F134D9"/>
    <w:rsid w:val="00F1403D"/>
    <w:rsid w:val="00F1463F"/>
    <w:rsid w:val="00F21302"/>
    <w:rsid w:val="00F2430D"/>
    <w:rsid w:val="00F26D3A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84E1E"/>
    <w:rsid w:val="00F93F08"/>
    <w:rsid w:val="00F94CED"/>
    <w:rsid w:val="00F94FAF"/>
    <w:rsid w:val="00F97E11"/>
    <w:rsid w:val="00FA02BB"/>
    <w:rsid w:val="00FA2CEE"/>
    <w:rsid w:val="00FA318C"/>
    <w:rsid w:val="00FA5660"/>
    <w:rsid w:val="00FA57BD"/>
    <w:rsid w:val="00FA5C11"/>
    <w:rsid w:val="00FB6F92"/>
    <w:rsid w:val="00FC026E"/>
    <w:rsid w:val="00FC1D28"/>
    <w:rsid w:val="00FC2308"/>
    <w:rsid w:val="00FC5124"/>
    <w:rsid w:val="00FC5A6E"/>
    <w:rsid w:val="00FD4731"/>
    <w:rsid w:val="00FD4C49"/>
    <w:rsid w:val="00FD6768"/>
    <w:rsid w:val="00FF0AB0"/>
    <w:rsid w:val="00FF28AC"/>
    <w:rsid w:val="00FF777D"/>
    <w:rsid w:val="00FF7F62"/>
    <w:rsid w:val="01A45B0C"/>
    <w:rsid w:val="03089B24"/>
    <w:rsid w:val="036D6DB9"/>
    <w:rsid w:val="058DB286"/>
    <w:rsid w:val="0872F1B3"/>
    <w:rsid w:val="0CB5657F"/>
    <w:rsid w:val="110D8EB4"/>
    <w:rsid w:val="12252AEA"/>
    <w:rsid w:val="160C59B7"/>
    <w:rsid w:val="1D424FA1"/>
    <w:rsid w:val="1D82FF2E"/>
    <w:rsid w:val="23B68134"/>
    <w:rsid w:val="289BEDEB"/>
    <w:rsid w:val="312ADDCE"/>
    <w:rsid w:val="33231B7D"/>
    <w:rsid w:val="3799E712"/>
    <w:rsid w:val="3A733239"/>
    <w:rsid w:val="3DD59E42"/>
    <w:rsid w:val="3E9F5E64"/>
    <w:rsid w:val="3F457B52"/>
    <w:rsid w:val="45901B57"/>
    <w:rsid w:val="46F590BE"/>
    <w:rsid w:val="47662F28"/>
    <w:rsid w:val="4A31FC39"/>
    <w:rsid w:val="4AAAE249"/>
    <w:rsid w:val="4BE46FB0"/>
    <w:rsid w:val="513C8B9A"/>
    <w:rsid w:val="518BB1AD"/>
    <w:rsid w:val="51E1A39E"/>
    <w:rsid w:val="53C88E26"/>
    <w:rsid w:val="55759707"/>
    <w:rsid w:val="57D0E29E"/>
    <w:rsid w:val="58025F04"/>
    <w:rsid w:val="588ED09F"/>
    <w:rsid w:val="5D229303"/>
    <w:rsid w:val="62560E17"/>
    <w:rsid w:val="64820D7D"/>
    <w:rsid w:val="67112905"/>
    <w:rsid w:val="6C208507"/>
    <w:rsid w:val="6EF9F70D"/>
    <w:rsid w:val="6FCC9043"/>
    <w:rsid w:val="72B665A0"/>
    <w:rsid w:val="7B336768"/>
    <w:rsid w:val="7F23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FB510"/>
  <w15:docId w15:val="{FCE68A7F-BDA5-46CC-9E82-20AD02D1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15873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D15873"/>
    <w:pPr>
      <w:keepNext/>
      <w:spacing w:before="240" w:after="60"/>
      <w:outlineLvl w:val="0"/>
    </w:pPr>
    <w:rPr>
      <w:rFonts w:ascii="Arial" w:hAnsi="Arial" w:cs="Arial"/>
      <w:b/>
      <w:bCs/>
      <w:color w:val="358189" w:themeColor="accent2"/>
      <w:kern w:val="28"/>
      <w:sz w:val="36"/>
      <w:szCs w:val="36"/>
      <w:lang w:eastAsia="en-US"/>
    </w:rPr>
  </w:style>
  <w:style w:type="paragraph" w:styleId="Heading2">
    <w:name w:val="heading 2"/>
    <w:next w:val="Normal"/>
    <w:qFormat/>
    <w:rsid w:val="00D15873"/>
    <w:pPr>
      <w:keepNext/>
      <w:spacing w:before="240" w:after="60"/>
      <w:outlineLvl w:val="1"/>
    </w:pPr>
    <w:rPr>
      <w:rFonts w:ascii="Arial" w:hAnsi="Arial" w:cs="Arial"/>
      <w:bCs/>
      <w:iCs/>
      <w:color w:val="358189" w:themeColor="accent2"/>
      <w:sz w:val="28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453A84"/>
    <w:pPr>
      <w:keepNext/>
      <w:spacing w:before="240" w:after="60"/>
      <w:outlineLvl w:val="3"/>
    </w:pPr>
    <w:rPr>
      <w:rFonts w:ascii="Arial" w:hAnsi="Arial"/>
      <w:b/>
      <w:bCs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D15873"/>
    <w:pPr>
      <w:spacing w:before="60" w:after="60"/>
    </w:pPr>
    <w:rPr>
      <w:rFonts w:ascii="Arial" w:eastAsia="Arial" w:hAnsi="Arial"/>
      <w:bCs/>
      <w:color w:val="000000" w:themeColor="text1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697A7E"/>
    <w:pPr>
      <w:spacing w:before="80" w:after="80"/>
      <w:jc w:val="center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basedOn w:val="Normal"/>
    <w:link w:val="FootnoteTextChar"/>
    <w:rsid w:val="00D15873"/>
    <w:pPr>
      <w:spacing w:before="0" w:after="0" w:line="278" w:lineRule="auto"/>
    </w:pPr>
    <w:rPr>
      <w:rFonts w:eastAsia="Arial" w:cs="Arial"/>
      <w:sz w:val="18"/>
      <w:szCs w:val="18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15873"/>
    <w:rPr>
      <w:rFonts w:ascii="Arial" w:eastAsia="Arial" w:hAnsi="Arial" w:cs="Arial"/>
      <w:color w:val="000000" w:themeColor="text1"/>
      <w:sz w:val="18"/>
      <w:szCs w:val="18"/>
      <w:lang w:val="en-US"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3C1AD5"/>
    <w:pPr>
      <w:spacing w:after="200"/>
    </w:pPr>
    <w:rPr>
      <w:b/>
      <w:bCs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D15873"/>
    <w:pPr>
      <w:jc w:val="center"/>
    </w:pPr>
    <w:rPr>
      <w:b/>
      <w:sz w:val="20"/>
    </w:r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color w:val="000000" w:themeColor="text1"/>
      <w:lang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F4F90"/>
    <w:rPr>
      <w:rFonts w:ascii="Arial" w:hAnsi="Arial"/>
      <w:color w:val="000000" w:themeColor="text1"/>
      <w:sz w:val="22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3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3ED0"/>
    <w:rPr>
      <w:rFonts w:ascii="Arial" w:hAnsi="Arial"/>
      <w:b/>
      <w:bCs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ivatehealth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ivatehealth.gov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blu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aae49-7741-4804-aa2e-ca7dcf62f2e2" xsi:nil="true"/>
    <lcf76f155ced4ddcb4097134ff3c332f xmlns="f8e31592-5e40-424a-ae0c-85bb2aa913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0AC2997C84E48AB31C388406E4950" ma:contentTypeVersion="11" ma:contentTypeDescription="Create a new document." ma:contentTypeScope="" ma:versionID="8bbb127286499fc157d36c71645c46be">
  <xsd:schema xmlns:xsd="http://www.w3.org/2001/XMLSchema" xmlns:xs="http://www.w3.org/2001/XMLSchema" xmlns:p="http://schemas.microsoft.com/office/2006/metadata/properties" xmlns:ns2="f8e31592-5e40-424a-ae0c-85bb2aa913af" xmlns:ns3="f41aae49-7741-4804-aa2e-ca7dcf62f2e2" targetNamespace="http://schemas.microsoft.com/office/2006/metadata/properties" ma:root="true" ma:fieldsID="04c150f4d25ed8b0951801432cc15ef1" ns2:_="" ns3:_="">
    <xsd:import namespace="f8e31592-5e40-424a-ae0c-85bb2aa913af"/>
    <xsd:import namespace="f41aae49-7741-4804-aa2e-ca7dcf62f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31592-5e40-424a-ae0c-85bb2aa91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aae49-7741-4804-aa2e-ca7dcf62f2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f037e-ab29-493d-a4e3-dc532950bc54}" ma:internalName="TaxCatchAll" ma:showField="CatchAllData" ma:web="f41aae49-7741-4804-aa2e-ca7dcf62f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f41aae49-7741-4804-aa2e-ca7dcf62f2e2"/>
    <ds:schemaRef ds:uri="f8e31592-5e40-424a-ae0c-85bb2aa913af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D691E2-BD3A-4B61-8B8B-81BC1B71C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31592-5e40-424a-ae0c-85bb2aa913af"/>
    <ds:schemaRef ds:uri="f41aae49-7741-4804-aa2e-ca7dcf62f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blue.dotx</Template>
  <TotalTime>120</TotalTime>
  <Pages>1</Pages>
  <Words>590</Words>
  <Characters>2897</Characters>
  <Application>Microsoft Office Word</Application>
  <DocSecurity>0</DocSecurity>
  <Lines>107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What is changing?</vt:lpstr>
      <vt:lpstr>Why is this changing?</vt:lpstr>
      <vt:lpstr>What does this mean for me?</vt:lpstr>
      <vt:lpstr>    If you are under 65 years and currently receive a PHI Rebate</vt:lpstr>
      <vt:lpstr>    If you are 65 years or older and currently receive a PHI Rebate</vt:lpstr>
      <vt:lpstr>How much will my premiums increase?</vt:lpstr>
      <vt:lpstr>Looking for more affordable cover?</vt:lpstr>
      <vt:lpstr>What if I want to change insurers?</vt:lpstr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Modernising the Private Health Insurance Rebate fact sheet</dc:title>
  <dc:subject>Private Health Insurance</dc:subject>
  <dc:creator>Australian Government Department of Health, Disability and Ageing</dc:creator>
  <cp:keywords>Private Health Insurance Rebate</cp:keywords>
  <cp:lastModifiedBy>MASCHKE, Elvia</cp:lastModifiedBy>
  <cp:revision>140</cp:revision>
  <cp:lastPrinted>2026-07-20T05:26:00Z</cp:lastPrinted>
  <dcterms:created xsi:type="dcterms:W3CDTF">2025-12-19T07:18:00Z</dcterms:created>
  <dcterms:modified xsi:type="dcterms:W3CDTF">2026-07-21T00:17:00Z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0x010100C0B0AC2997C84E48AB31C388406E4950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SharedWithUsers">
    <vt:lpwstr>756;#WHITTY, Cam</vt:lpwstr>
  </property>
  <property fmtid="{D5CDD505-2E9C-101B-9397-08002B2CF9AE}" pid="20" name="Int_x002d_Contact">
    <vt:lpwstr/>
  </property>
  <property fmtid="{D5CDD505-2E9C-101B-9397-08002B2CF9AE}" pid="21" name="Int-Contact">
    <vt:lpwstr>89;#|08e901f7-7c65-407e-b680-5c7872e4b1fa</vt:lpwstr>
  </property>
  <property fmtid="{D5CDD505-2E9C-101B-9397-08002B2CF9AE}" pid="22" name="Int-InformationType">
    <vt:lpwstr>42;#|0635ea83-9a41-497c-9b11-d9d7178dcab7</vt:lpwstr>
  </property>
  <property fmtid="{D5CDD505-2E9C-101B-9397-08002B2CF9AE}" pid="23" name="Int-Topics">
    <vt:lpwstr>45;#Factsheet|e6399178-8246-423e-9818-2fbb787c959a;#4;#visual identity|a54ebda2-a0fd-45ec-8fc0-1cf31001b526</vt:lpwstr>
  </property>
  <property fmtid="{D5CDD505-2E9C-101B-9397-08002B2CF9AE}" pid="24" name="lcf76f155ced4ddcb4097134ff3c332f">
    <vt:lpwstr/>
  </property>
  <property fmtid="{D5CDD505-2E9C-101B-9397-08002B2CF9AE}" pid="25" name="ClassificationContentMarkingHeaderShapeIds">
    <vt:lpwstr>64aac6a0,75f8d5e7,3a9d442b</vt:lpwstr>
  </property>
  <property fmtid="{D5CDD505-2E9C-101B-9397-08002B2CF9AE}" pid="26" name="ClassificationContentMarkingHeaderFontProps">
    <vt:lpwstr>#ff0000,12,Aptos</vt:lpwstr>
  </property>
  <property fmtid="{D5CDD505-2E9C-101B-9397-08002B2CF9AE}" pid="27" name="ClassificationContentMarkingHeaderText">
    <vt:lpwstr>OFFICIAL</vt:lpwstr>
  </property>
  <property fmtid="{D5CDD505-2E9C-101B-9397-08002B2CF9AE}" pid="28" name="ClassificationContentMarkingFooterShapeIds">
    <vt:lpwstr>45b08e40,75d3350a,7c86a336</vt:lpwstr>
  </property>
  <property fmtid="{D5CDD505-2E9C-101B-9397-08002B2CF9AE}" pid="29" name="ClassificationContentMarkingFooterFontProps">
    <vt:lpwstr>#ff0000,12,Aptos</vt:lpwstr>
  </property>
  <property fmtid="{D5CDD505-2E9C-101B-9397-08002B2CF9AE}" pid="30" name="ClassificationContentMarkingFooterText">
    <vt:lpwstr>OFFICIAL</vt:lpwstr>
  </property>
  <property fmtid="{D5CDD505-2E9C-101B-9397-08002B2CF9AE}" pid="31" name="MSIP_Label_7cd3e8b9-ffed-43a8-b7f4-cc2fa0382d36_Enabled">
    <vt:lpwstr>true</vt:lpwstr>
  </property>
  <property fmtid="{D5CDD505-2E9C-101B-9397-08002B2CF9AE}" pid="32" name="MSIP_Label_7cd3e8b9-ffed-43a8-b7f4-cc2fa0382d36_SetDate">
    <vt:lpwstr>2025-12-16T03:18:17Z</vt:lpwstr>
  </property>
  <property fmtid="{D5CDD505-2E9C-101B-9397-08002B2CF9AE}" pid="33" name="MSIP_Label_7cd3e8b9-ffed-43a8-b7f4-cc2fa0382d36_Method">
    <vt:lpwstr>Privileged</vt:lpwstr>
  </property>
  <property fmtid="{D5CDD505-2E9C-101B-9397-08002B2CF9AE}" pid="34" name="MSIP_Label_7cd3e8b9-ffed-43a8-b7f4-cc2fa0382d36_Name">
    <vt:lpwstr>O</vt:lpwstr>
  </property>
  <property fmtid="{D5CDD505-2E9C-101B-9397-08002B2CF9AE}" pid="35" name="MSIP_Label_7cd3e8b9-ffed-43a8-b7f4-cc2fa0382d36_SiteId">
    <vt:lpwstr>34a3929c-73cf-4954-abfe-147dc3517892</vt:lpwstr>
  </property>
  <property fmtid="{D5CDD505-2E9C-101B-9397-08002B2CF9AE}" pid="36" name="MSIP_Label_7cd3e8b9-ffed-43a8-b7f4-cc2fa0382d36_ActionId">
    <vt:lpwstr>5dda4627-42db-47c9-ba87-8edc0fa1a38d</vt:lpwstr>
  </property>
  <property fmtid="{D5CDD505-2E9C-101B-9397-08002B2CF9AE}" pid="37" name="MSIP_Label_7cd3e8b9-ffed-43a8-b7f4-cc2fa0382d36_ContentBits">
    <vt:lpwstr>3</vt:lpwstr>
  </property>
  <property fmtid="{D5CDD505-2E9C-101B-9397-08002B2CF9AE}" pid="38" name="MSIP_Label_7cd3e8b9-ffed-43a8-b7f4-cc2fa0382d36_Tag">
    <vt:lpwstr>10, 0, 1, 2</vt:lpwstr>
  </property>
</Properties>
</file>