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8B5EB" w14:textId="024F80C6" w:rsidR="00BA2732" w:rsidRPr="00D936A5" w:rsidRDefault="00DC392C" w:rsidP="00A2565D">
      <w:pPr>
        <w:pStyle w:val="Heading1"/>
      </w:pPr>
      <w:r w:rsidRPr="00D936A5">
        <w:t>New arrangements for nitisinone (Orfadin</w:t>
      </w:r>
      <w:r w:rsidRPr="00D936A5">
        <w:rPr>
          <w:vertAlign w:val="superscript"/>
        </w:rPr>
        <w:t>®</w:t>
      </w:r>
      <w:r w:rsidRPr="00D936A5">
        <w:t xml:space="preserve">) for </w:t>
      </w:r>
      <w:r w:rsidR="006B5712" w:rsidRPr="00365A96">
        <w:t xml:space="preserve">the </w:t>
      </w:r>
      <w:r w:rsidRPr="00D936A5">
        <w:t>treatment of hereditary tyrosinaemia type 1 (HT1) – Information for p</w:t>
      </w:r>
      <w:r w:rsidR="00C77FFB" w:rsidRPr="00D936A5">
        <w:t>rescribers</w:t>
      </w:r>
    </w:p>
    <w:p w14:paraId="4DA7E0AC" w14:textId="54EE107F" w:rsidR="00B53987" w:rsidRPr="00D936A5" w:rsidRDefault="00DC392C" w:rsidP="00B53987">
      <w:pPr>
        <w:rPr>
          <w:rFonts w:cs="Arial"/>
        </w:rPr>
      </w:pPr>
      <w:r w:rsidRPr="00D936A5">
        <w:rPr>
          <w:rFonts w:cs="Arial"/>
        </w:rPr>
        <w:t>July 2026</w:t>
      </w:r>
    </w:p>
    <w:p w14:paraId="7DCB514C" w14:textId="7812AE64" w:rsidR="0053330C" w:rsidRPr="00D936A5" w:rsidRDefault="0053330C" w:rsidP="00DF0C60">
      <w:pPr>
        <w:pStyle w:val="Heading2"/>
      </w:pPr>
      <w:bookmarkStart w:id="0" w:name="_Hlk85795649"/>
      <w:r>
        <w:t xml:space="preserve">Overview </w:t>
      </w:r>
    </w:p>
    <w:p w14:paraId="5804BDAB" w14:textId="4BFBB7D2" w:rsidR="007E0FB8" w:rsidRPr="00D936A5" w:rsidRDefault="00A2565D" w:rsidP="00E25B1F">
      <w:pPr>
        <w:rPr>
          <w:rFonts w:cs="Arial"/>
        </w:rPr>
      </w:pPr>
      <w:r w:rsidRPr="00D936A5">
        <w:rPr>
          <w:rFonts w:cs="Arial"/>
        </w:rPr>
        <w:t xml:space="preserve">From 1 August 2026, </w:t>
      </w:r>
      <w:r w:rsidR="007D1575" w:rsidRPr="00D936A5">
        <w:rPr>
          <w:rFonts w:cs="Arial"/>
        </w:rPr>
        <w:t>nitisinone (Orfadin</w:t>
      </w:r>
      <w:r w:rsidR="007D1575" w:rsidRPr="00D936A5">
        <w:rPr>
          <w:rFonts w:cs="Arial"/>
          <w:vertAlign w:val="superscript"/>
        </w:rPr>
        <w:t>®</w:t>
      </w:r>
      <w:r w:rsidR="007D1575" w:rsidRPr="00D936A5">
        <w:rPr>
          <w:rFonts w:cs="Arial"/>
        </w:rPr>
        <w:t xml:space="preserve">) for hereditary tyrosinaemia type 1 (HT1) will be </w:t>
      </w:r>
      <w:r w:rsidR="00DA002E" w:rsidRPr="00D936A5">
        <w:rPr>
          <w:rFonts w:cs="Arial"/>
        </w:rPr>
        <w:t>available</w:t>
      </w:r>
      <w:r w:rsidR="007D1575" w:rsidRPr="00D936A5">
        <w:rPr>
          <w:rFonts w:cs="Arial"/>
        </w:rPr>
        <w:t xml:space="preserve"> </w:t>
      </w:r>
      <w:r w:rsidRPr="00D936A5">
        <w:rPr>
          <w:rFonts w:cs="Arial"/>
        </w:rPr>
        <w:t xml:space="preserve">through the </w:t>
      </w:r>
      <w:r w:rsidR="0059664C" w:rsidRPr="00D936A5">
        <w:rPr>
          <w:rFonts w:cs="Arial"/>
        </w:rPr>
        <w:t>Pharmaceutical Benefits Scheme (</w:t>
      </w:r>
      <w:r w:rsidRPr="00D936A5">
        <w:rPr>
          <w:rFonts w:cs="Arial"/>
        </w:rPr>
        <w:t>PBS</w:t>
      </w:r>
      <w:r w:rsidR="0059664C" w:rsidRPr="00D936A5">
        <w:rPr>
          <w:rFonts w:cs="Arial"/>
        </w:rPr>
        <w:t>)</w:t>
      </w:r>
      <w:r w:rsidR="00C77FFB" w:rsidRPr="00D936A5">
        <w:rPr>
          <w:rFonts w:cs="Arial"/>
        </w:rPr>
        <w:t xml:space="preserve"> under the Section 100 Highly Specialised Drugs </w:t>
      </w:r>
      <w:r w:rsidR="00F77986">
        <w:rPr>
          <w:rFonts w:cs="Arial"/>
        </w:rPr>
        <w:t xml:space="preserve">(HSD) </w:t>
      </w:r>
      <w:r w:rsidR="00C77FFB" w:rsidRPr="00D936A5">
        <w:rPr>
          <w:rFonts w:cs="Arial"/>
        </w:rPr>
        <w:t>Program</w:t>
      </w:r>
      <w:r w:rsidRPr="00D936A5">
        <w:rPr>
          <w:rFonts w:cs="Arial"/>
        </w:rPr>
        <w:t>, rather than the Life Saving Drugs Program (LSDP).</w:t>
      </w:r>
    </w:p>
    <w:p w14:paraId="4DC51A33" w14:textId="66A15C58" w:rsidR="0059664C" w:rsidRPr="008031F4" w:rsidRDefault="00B90F73" w:rsidP="00E25B1F">
      <w:pPr>
        <w:rPr>
          <w:rFonts w:cs="Arial"/>
          <w:kern w:val="2"/>
          <w:szCs w:val="22"/>
          <w14:ligatures w14:val="standardContextual"/>
        </w:rPr>
      </w:pPr>
      <w:r w:rsidRPr="00D936A5">
        <w:rPr>
          <w:rFonts w:cs="Arial"/>
        </w:rPr>
        <w:t xml:space="preserve">This follows a recommendation by the Pharmaceutical Benefits Advisory Committee (PBAC) at its </w:t>
      </w:r>
      <w:hyperlink r:id="rId11" w:history="1">
        <w:r w:rsidR="00976864" w:rsidRPr="005C68FB">
          <w:rPr>
            <w:rStyle w:val="Hyperlink"/>
            <w:rFonts w:cs="Arial"/>
          </w:rPr>
          <w:t>November 2025 meeting.</w:t>
        </w:r>
      </w:hyperlink>
    </w:p>
    <w:p w14:paraId="75E7A073" w14:textId="5A3949CA" w:rsidR="00DD63A8" w:rsidRPr="00D936A5" w:rsidRDefault="000042E3" w:rsidP="00DD63A8">
      <w:pPr>
        <w:pStyle w:val="Heading2"/>
      </w:pPr>
      <w:r w:rsidRPr="00D936A5">
        <w:rPr>
          <w:lang w:eastAsia="en-AU"/>
        </w:rPr>
        <w:t>What is changing</w:t>
      </w:r>
      <w:r w:rsidR="00DD63A8" w:rsidRPr="00D936A5">
        <w:rPr>
          <w:lang w:eastAsia="en-AU"/>
        </w:rPr>
        <w:t>?</w:t>
      </w:r>
    </w:p>
    <w:p w14:paraId="26D2DA27" w14:textId="12C7E269" w:rsidR="005F6FE2" w:rsidRPr="00D936A5" w:rsidRDefault="00DD63A8" w:rsidP="00DD63A8">
      <w:pPr>
        <w:rPr>
          <w:rFonts w:cs="Arial"/>
        </w:rPr>
      </w:pPr>
      <w:r w:rsidRPr="00D936A5">
        <w:rPr>
          <w:rFonts w:cs="Arial"/>
        </w:rPr>
        <w:t xml:space="preserve">From 1 August 2026, </w:t>
      </w:r>
      <w:r w:rsidR="000042E3" w:rsidRPr="00D936A5">
        <w:rPr>
          <w:rFonts w:cs="Arial"/>
        </w:rPr>
        <w:t xml:space="preserve">eligible patients will </w:t>
      </w:r>
      <w:r w:rsidRPr="00D936A5">
        <w:rPr>
          <w:rFonts w:cs="Arial"/>
        </w:rPr>
        <w:t xml:space="preserve">access </w:t>
      </w:r>
      <w:r w:rsidR="004E118E" w:rsidRPr="00D936A5">
        <w:rPr>
          <w:rFonts w:cs="Arial"/>
        </w:rPr>
        <w:t>nitisinone (Orfadin</w:t>
      </w:r>
      <w:r w:rsidR="004E118E" w:rsidRPr="00D936A5">
        <w:rPr>
          <w:rFonts w:cs="Arial"/>
        </w:rPr>
        <w:softHyphen/>
      </w:r>
      <w:r w:rsidR="004E118E" w:rsidRPr="00D936A5">
        <w:rPr>
          <w:rFonts w:cs="Arial"/>
          <w:vertAlign w:val="superscript"/>
        </w:rPr>
        <w:t>®</w:t>
      </w:r>
      <w:r w:rsidR="00DA02DC" w:rsidRPr="00D936A5">
        <w:rPr>
          <w:rFonts w:cs="Arial"/>
        </w:rPr>
        <w:t xml:space="preserve">) </w:t>
      </w:r>
      <w:r w:rsidRPr="00D936A5">
        <w:rPr>
          <w:rFonts w:cs="Arial"/>
        </w:rPr>
        <w:t>through the PBS</w:t>
      </w:r>
      <w:r w:rsidR="000042E3" w:rsidRPr="00D936A5">
        <w:rPr>
          <w:rFonts w:cs="Arial"/>
        </w:rPr>
        <w:t xml:space="preserve"> instead of </w:t>
      </w:r>
      <w:r w:rsidR="00A51038" w:rsidRPr="00D936A5">
        <w:rPr>
          <w:rFonts w:cs="Arial"/>
        </w:rPr>
        <w:t>the LSDP</w:t>
      </w:r>
      <w:r w:rsidRPr="00D936A5">
        <w:rPr>
          <w:rFonts w:cs="Arial"/>
        </w:rPr>
        <w:t xml:space="preserve">. </w:t>
      </w:r>
      <w:r w:rsidR="00602E8B" w:rsidRPr="00D936A5">
        <w:rPr>
          <w:rFonts w:cs="Arial"/>
        </w:rPr>
        <w:t xml:space="preserve">Prescribers will need to </w:t>
      </w:r>
      <w:r w:rsidR="00F8406A" w:rsidRPr="00D936A5">
        <w:rPr>
          <w:rFonts w:cs="Arial"/>
        </w:rPr>
        <w:t>submit a completed PBS</w:t>
      </w:r>
      <w:r w:rsidRPr="00D936A5">
        <w:rPr>
          <w:rFonts w:cs="Arial"/>
        </w:rPr>
        <w:t xml:space="preserve"> authority application </w:t>
      </w:r>
      <w:r w:rsidR="00FD25D6" w:rsidRPr="00D936A5">
        <w:rPr>
          <w:rFonts w:cs="Arial"/>
        </w:rPr>
        <w:t xml:space="preserve">for </w:t>
      </w:r>
      <w:r w:rsidR="00C434A3" w:rsidRPr="00D936A5">
        <w:rPr>
          <w:rFonts w:cs="Arial"/>
        </w:rPr>
        <w:t xml:space="preserve">each </w:t>
      </w:r>
      <w:r w:rsidRPr="00D936A5">
        <w:rPr>
          <w:rFonts w:cs="Arial"/>
        </w:rPr>
        <w:t xml:space="preserve">patient </w:t>
      </w:r>
      <w:r w:rsidR="00FD25D6" w:rsidRPr="00D936A5">
        <w:rPr>
          <w:rFonts w:cs="Arial"/>
        </w:rPr>
        <w:t>starting treatment</w:t>
      </w:r>
      <w:r w:rsidR="00AF57F8" w:rsidRPr="00D936A5">
        <w:rPr>
          <w:rFonts w:cs="Arial"/>
        </w:rPr>
        <w:t>,</w:t>
      </w:r>
      <w:r w:rsidR="00FD25D6" w:rsidRPr="00D936A5">
        <w:rPr>
          <w:rFonts w:cs="Arial"/>
        </w:rPr>
        <w:t xml:space="preserve"> transitioning from the LSDP</w:t>
      </w:r>
      <w:r w:rsidR="00AF57F8" w:rsidRPr="00D936A5">
        <w:rPr>
          <w:rFonts w:cs="Arial"/>
        </w:rPr>
        <w:t xml:space="preserve"> or continuing PBS</w:t>
      </w:r>
      <w:r w:rsidR="00AE209D">
        <w:rPr>
          <w:rFonts w:cs="Arial"/>
        </w:rPr>
        <w:t>-</w:t>
      </w:r>
      <w:r w:rsidR="00AF57F8" w:rsidRPr="00D936A5">
        <w:rPr>
          <w:rFonts w:cs="Arial"/>
        </w:rPr>
        <w:t>subsidised treatment</w:t>
      </w:r>
      <w:r w:rsidRPr="00D936A5">
        <w:rPr>
          <w:rFonts w:cs="Arial"/>
        </w:rPr>
        <w:t xml:space="preserve">. </w:t>
      </w:r>
    </w:p>
    <w:p w14:paraId="7BFABCA7" w14:textId="25549859" w:rsidR="0053330C" w:rsidRPr="00D936A5" w:rsidRDefault="0053330C" w:rsidP="00C70863">
      <w:pPr>
        <w:rPr>
          <w:rFonts w:cs="Arial"/>
        </w:rPr>
      </w:pPr>
      <w:r w:rsidRPr="00D936A5">
        <w:rPr>
          <w:rFonts w:cs="Arial"/>
        </w:rPr>
        <w:t>Authority applications for initial treatment and grandfather arrangements</w:t>
      </w:r>
      <w:r>
        <w:rPr>
          <w:rFonts w:cs="Arial"/>
        </w:rPr>
        <w:t xml:space="preserve"> for patients </w:t>
      </w:r>
      <w:r w:rsidRPr="00D936A5">
        <w:rPr>
          <w:rFonts w:cs="Arial"/>
        </w:rPr>
        <w:t>transitioning from the LSDP</w:t>
      </w:r>
      <w:r>
        <w:rPr>
          <w:rFonts w:cs="Arial"/>
        </w:rPr>
        <w:t xml:space="preserve"> </w:t>
      </w:r>
      <w:r w:rsidRPr="00D936A5">
        <w:rPr>
          <w:rFonts w:cs="Arial"/>
        </w:rPr>
        <w:t xml:space="preserve">can be submitted either electronically through the Online PBS Authorities system </w:t>
      </w:r>
      <w:r>
        <w:rPr>
          <w:rFonts w:cs="Arial"/>
        </w:rPr>
        <w:t xml:space="preserve">(OPA) </w:t>
      </w:r>
      <w:r w:rsidRPr="00D936A5">
        <w:rPr>
          <w:rFonts w:cs="Arial"/>
        </w:rPr>
        <w:t xml:space="preserve">or in writing. Applications submitted through </w:t>
      </w:r>
      <w:r>
        <w:rPr>
          <w:rFonts w:cs="Arial"/>
        </w:rPr>
        <w:t xml:space="preserve">OPA </w:t>
      </w:r>
      <w:r w:rsidRPr="00D936A5">
        <w:rPr>
          <w:rFonts w:cs="Arial"/>
        </w:rPr>
        <w:t xml:space="preserve">are assessed immediately. Written authority application forms may be submitted through </w:t>
      </w:r>
      <w:r>
        <w:rPr>
          <w:rFonts w:cs="Arial"/>
        </w:rPr>
        <w:t xml:space="preserve">the </w:t>
      </w:r>
      <w:r w:rsidRPr="00565E25">
        <w:t>Health Professional Online Services (HPOS)</w:t>
      </w:r>
      <w:r w:rsidRPr="00D936A5">
        <w:rPr>
          <w:rFonts w:cs="Arial"/>
        </w:rPr>
        <w:t xml:space="preserve"> form upload or sent by post. Applications uploaded through HPOS may take a few days to be assessed, while postal applications may take up to 2 weeks, depending on postal delivery times. </w:t>
      </w:r>
    </w:p>
    <w:p w14:paraId="5FC59A68" w14:textId="5EC3D610" w:rsidR="00C70863" w:rsidRPr="00D936A5" w:rsidRDefault="00C70863" w:rsidP="00C70863">
      <w:pPr>
        <w:rPr>
          <w:rFonts w:cs="Arial"/>
        </w:rPr>
      </w:pPr>
      <w:r w:rsidRPr="00D936A5">
        <w:rPr>
          <w:rFonts w:cs="Arial"/>
        </w:rPr>
        <w:t xml:space="preserve">Authority applications for continuing treatment can be submitted </w:t>
      </w:r>
      <w:r w:rsidR="006332C2" w:rsidRPr="00D936A5">
        <w:rPr>
          <w:rFonts w:cs="Arial"/>
        </w:rPr>
        <w:t xml:space="preserve">electronically using </w:t>
      </w:r>
      <w:r w:rsidR="0040583D">
        <w:rPr>
          <w:rFonts w:cs="Arial"/>
        </w:rPr>
        <w:t xml:space="preserve">OPA </w:t>
      </w:r>
      <w:r w:rsidR="006332C2" w:rsidRPr="00D936A5">
        <w:rPr>
          <w:rFonts w:cs="Arial"/>
        </w:rPr>
        <w:t xml:space="preserve">or </w:t>
      </w:r>
      <w:r w:rsidR="004F371B" w:rsidRPr="00D936A5">
        <w:rPr>
          <w:rFonts w:cs="Arial"/>
        </w:rPr>
        <w:t xml:space="preserve">by calling Services Australia on 1800 700 270 </w:t>
      </w:r>
      <w:r w:rsidRPr="00D936A5">
        <w:rPr>
          <w:rFonts w:cs="Arial"/>
        </w:rPr>
        <w:t>and are assessed immediately.</w:t>
      </w:r>
    </w:p>
    <w:p w14:paraId="5D24502C" w14:textId="5BF4E64E" w:rsidR="0053330C" w:rsidRPr="00D936A5" w:rsidRDefault="0053330C" w:rsidP="00DD63A8">
      <w:pPr>
        <w:rPr>
          <w:rFonts w:cs="Arial"/>
        </w:rPr>
      </w:pPr>
      <w:r w:rsidRPr="00D936A5">
        <w:rPr>
          <w:rFonts w:cs="Arial"/>
        </w:rPr>
        <w:t xml:space="preserve">Any queries concerning </w:t>
      </w:r>
      <w:r>
        <w:rPr>
          <w:rFonts w:cs="Arial"/>
        </w:rPr>
        <w:t>prescribing</w:t>
      </w:r>
      <w:r w:rsidRPr="00D936A5">
        <w:rPr>
          <w:rFonts w:cs="Arial"/>
        </w:rPr>
        <w:t xml:space="preserve"> arrangements may be directed to Services Australia on 1800 700 270. Prescribing information (including </w:t>
      </w:r>
      <w:r w:rsidR="004020E4">
        <w:rPr>
          <w:rFonts w:cs="Arial"/>
        </w:rPr>
        <w:t>a</w:t>
      </w:r>
      <w:r w:rsidRPr="00D936A5">
        <w:rPr>
          <w:rFonts w:cs="Arial"/>
        </w:rPr>
        <w:t xml:space="preserve">uthority </w:t>
      </w:r>
      <w:r w:rsidR="004020E4">
        <w:rPr>
          <w:rFonts w:cs="Arial"/>
        </w:rPr>
        <w:t>a</w:t>
      </w:r>
      <w:r w:rsidRPr="00D936A5">
        <w:rPr>
          <w:rFonts w:cs="Arial"/>
        </w:rPr>
        <w:t xml:space="preserve">pplication forms and other relevant documentation as applicable) is available on the Services Australia website at </w:t>
      </w:r>
      <w:hyperlink r:id="rId12" w:history="1">
        <w:r w:rsidRPr="00D936A5">
          <w:rPr>
            <w:rStyle w:val="Hyperlink"/>
            <w:rFonts w:cs="Arial"/>
          </w:rPr>
          <w:t>www.servicesaustralia.gov.au</w:t>
        </w:r>
      </w:hyperlink>
      <w:r w:rsidRPr="00D936A5">
        <w:rPr>
          <w:rFonts w:cs="Arial"/>
        </w:rPr>
        <w:t xml:space="preserve">. </w:t>
      </w:r>
    </w:p>
    <w:p w14:paraId="55248B6A" w14:textId="740EFBAD" w:rsidR="0053330C" w:rsidRPr="00D936A5" w:rsidRDefault="0053330C" w:rsidP="00BF15E6">
      <w:pPr>
        <w:pStyle w:val="Heading2"/>
      </w:pPr>
      <w:r w:rsidRPr="00D936A5">
        <w:t>Who can prescribe nitisinone (Orfadin®)</w:t>
      </w:r>
      <w:r>
        <w:t>?</w:t>
      </w:r>
    </w:p>
    <w:p w14:paraId="20BA7C98" w14:textId="5DF3CBE3" w:rsidR="005A747A" w:rsidRPr="00D936A5" w:rsidRDefault="00F85368" w:rsidP="003127A3">
      <w:pPr>
        <w:rPr>
          <w:rFonts w:cs="Arial"/>
        </w:rPr>
      </w:pPr>
      <w:r w:rsidRPr="00D936A5">
        <w:rPr>
          <w:rFonts w:cs="Arial"/>
        </w:rPr>
        <w:t xml:space="preserve">Nitisinone (Orfadin®) can only be prescribed by </w:t>
      </w:r>
      <w:r w:rsidR="00CF658F" w:rsidRPr="00D936A5">
        <w:rPr>
          <w:rFonts w:cs="Arial"/>
        </w:rPr>
        <w:t>a physician with expertise in the management of HT1</w:t>
      </w:r>
      <w:r w:rsidR="006E45AD" w:rsidRPr="00565E25">
        <w:rPr>
          <w:rFonts w:cs="Arial"/>
          <w:color w:val="auto"/>
          <w:sz w:val="21"/>
          <w:szCs w:val="21"/>
          <w:lang w:eastAsia="en-AU"/>
        </w:rPr>
        <w:t xml:space="preserve"> </w:t>
      </w:r>
      <w:r w:rsidR="006E45AD" w:rsidRPr="00D936A5">
        <w:rPr>
          <w:rFonts w:cs="Arial"/>
        </w:rPr>
        <w:t xml:space="preserve">and patients must be treated in a centre </w:t>
      </w:r>
      <w:r w:rsidR="00BC22C7" w:rsidRPr="00D936A5">
        <w:rPr>
          <w:rFonts w:cs="Arial"/>
        </w:rPr>
        <w:t>with expertise in genetic metabolic disorders.</w:t>
      </w:r>
    </w:p>
    <w:p w14:paraId="061BC1E6" w14:textId="59D927AF" w:rsidR="00BF15E6" w:rsidRPr="00D936A5" w:rsidRDefault="00BF15E6" w:rsidP="00BF15E6">
      <w:pPr>
        <w:pStyle w:val="Heading2"/>
        <w:rPr>
          <w:lang w:eastAsia="en-AU"/>
        </w:rPr>
      </w:pPr>
      <w:r w:rsidRPr="00D936A5">
        <w:rPr>
          <w:lang w:eastAsia="en-AU"/>
        </w:rPr>
        <w:lastRenderedPageBreak/>
        <w:t>When does LSDP supply</w:t>
      </w:r>
      <w:r w:rsidR="001742AB" w:rsidRPr="00D936A5">
        <w:rPr>
          <w:lang w:eastAsia="en-AU"/>
        </w:rPr>
        <w:t xml:space="preserve"> end</w:t>
      </w:r>
      <w:r w:rsidRPr="00D936A5">
        <w:rPr>
          <w:lang w:eastAsia="en-AU"/>
        </w:rPr>
        <w:t>?</w:t>
      </w:r>
    </w:p>
    <w:p w14:paraId="59D2FA8D" w14:textId="1331FED5" w:rsidR="0029308D" w:rsidRPr="00D936A5" w:rsidRDefault="00BF15E6" w:rsidP="00BF15E6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For patients currently </w:t>
      </w:r>
      <w:r w:rsidR="008C321C" w:rsidRPr="00D936A5">
        <w:rPr>
          <w:rFonts w:cs="Arial"/>
          <w:lang w:eastAsia="en-AU"/>
        </w:rPr>
        <w:t>receiving</w:t>
      </w:r>
      <w:r w:rsidRPr="00D936A5">
        <w:rPr>
          <w:rFonts w:cs="Arial"/>
          <w:lang w:eastAsia="en-AU"/>
        </w:rPr>
        <w:t xml:space="preserve"> </w:t>
      </w:r>
      <w:r w:rsidRPr="00D936A5">
        <w:rPr>
          <w:rFonts w:cs="Arial"/>
        </w:rPr>
        <w:t>nitisinone (Orfadin</w:t>
      </w:r>
      <w:r w:rsidRPr="00D936A5">
        <w:rPr>
          <w:rFonts w:cs="Arial"/>
          <w:vertAlign w:val="superscript"/>
        </w:rPr>
        <w:t>®</w:t>
      </w:r>
      <w:r w:rsidRPr="00D936A5">
        <w:rPr>
          <w:rFonts w:cs="Arial"/>
        </w:rPr>
        <w:t>)</w:t>
      </w:r>
      <w:r w:rsidR="008C321C" w:rsidRPr="00D936A5">
        <w:rPr>
          <w:rFonts w:cs="Arial"/>
        </w:rPr>
        <w:t xml:space="preserve"> through the LSD</w:t>
      </w:r>
      <w:r w:rsidR="009259C1" w:rsidRPr="00D936A5">
        <w:rPr>
          <w:rFonts w:cs="Arial"/>
        </w:rPr>
        <w:t>P</w:t>
      </w:r>
      <w:r w:rsidRPr="00D936A5">
        <w:rPr>
          <w:rFonts w:cs="Arial"/>
          <w:lang w:eastAsia="en-AU"/>
        </w:rPr>
        <w:t xml:space="preserve">, LSDP supply will </w:t>
      </w:r>
      <w:r w:rsidR="001742AB" w:rsidRPr="00D936A5">
        <w:rPr>
          <w:rFonts w:cs="Arial"/>
          <w:lang w:eastAsia="en-AU"/>
        </w:rPr>
        <w:t xml:space="preserve">end </w:t>
      </w:r>
      <w:r w:rsidRPr="00D936A5">
        <w:rPr>
          <w:rFonts w:cs="Arial"/>
          <w:lang w:eastAsia="en-AU"/>
        </w:rPr>
        <w:t>on 1 </w:t>
      </w:r>
      <w:r w:rsidR="00AD49DA" w:rsidRPr="00D936A5">
        <w:rPr>
          <w:rFonts w:cs="Arial"/>
          <w:lang w:eastAsia="en-AU"/>
        </w:rPr>
        <w:t>November</w:t>
      </w:r>
      <w:r w:rsidRPr="00D936A5">
        <w:rPr>
          <w:rFonts w:cs="Arial"/>
          <w:lang w:eastAsia="en-AU"/>
        </w:rPr>
        <w:t xml:space="preserve"> 2026. This </w:t>
      </w:r>
      <w:r w:rsidR="0029308D" w:rsidRPr="00D936A5">
        <w:rPr>
          <w:rFonts w:cs="Arial"/>
          <w:lang w:eastAsia="en-AU"/>
        </w:rPr>
        <w:t>gives</w:t>
      </w:r>
      <w:r w:rsidRPr="00D936A5">
        <w:rPr>
          <w:rFonts w:cs="Arial"/>
          <w:lang w:eastAsia="en-AU"/>
        </w:rPr>
        <w:t xml:space="preserve"> existing patients 3 months</w:t>
      </w:r>
      <w:r w:rsidR="0029308D" w:rsidRPr="00D936A5">
        <w:rPr>
          <w:rFonts w:cs="Arial"/>
          <w:lang w:eastAsia="en-AU"/>
        </w:rPr>
        <w:t>,</w:t>
      </w:r>
      <w:r w:rsidRPr="00D936A5">
        <w:rPr>
          <w:rFonts w:cs="Arial"/>
          <w:lang w:eastAsia="en-AU"/>
        </w:rPr>
        <w:t xml:space="preserve"> from 1 August 2026 to 3</w:t>
      </w:r>
      <w:r w:rsidR="00AD49DA" w:rsidRPr="00D936A5">
        <w:rPr>
          <w:rFonts w:cs="Arial"/>
          <w:lang w:eastAsia="en-AU"/>
        </w:rPr>
        <w:t>1</w:t>
      </w:r>
      <w:r w:rsidRPr="00D936A5">
        <w:rPr>
          <w:rFonts w:cs="Arial"/>
          <w:lang w:eastAsia="en-AU"/>
        </w:rPr>
        <w:t> </w:t>
      </w:r>
      <w:r w:rsidR="00AD49DA" w:rsidRPr="00D936A5">
        <w:rPr>
          <w:rFonts w:cs="Arial"/>
          <w:lang w:eastAsia="en-AU"/>
        </w:rPr>
        <w:t>October 2026</w:t>
      </w:r>
      <w:r w:rsidR="0029308D" w:rsidRPr="00D936A5">
        <w:rPr>
          <w:rFonts w:cs="Arial"/>
          <w:lang w:eastAsia="en-AU"/>
        </w:rPr>
        <w:t>,</w:t>
      </w:r>
      <w:r w:rsidRPr="00D936A5">
        <w:rPr>
          <w:rFonts w:cs="Arial"/>
          <w:lang w:eastAsia="en-AU"/>
        </w:rPr>
        <w:t xml:space="preserve"> to transition to PBS</w:t>
      </w:r>
      <w:r w:rsidR="0029308D" w:rsidRPr="00D936A5">
        <w:rPr>
          <w:rFonts w:cs="Arial"/>
          <w:lang w:eastAsia="en-AU"/>
        </w:rPr>
        <w:t xml:space="preserve"> supply</w:t>
      </w:r>
      <w:r w:rsidRPr="00D936A5">
        <w:rPr>
          <w:rFonts w:cs="Arial"/>
          <w:lang w:eastAsia="en-AU"/>
        </w:rPr>
        <w:t xml:space="preserve">. </w:t>
      </w:r>
    </w:p>
    <w:p w14:paraId="71EA59F0" w14:textId="0009FA70" w:rsidR="00BF15E6" w:rsidRPr="00D936A5" w:rsidRDefault="0029308D" w:rsidP="00BF15E6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Prescribers are encouraged to </w:t>
      </w:r>
      <w:r w:rsidR="00BF15E6" w:rsidRPr="00D936A5">
        <w:rPr>
          <w:rFonts w:cs="Arial"/>
          <w:lang w:eastAsia="en-AU"/>
        </w:rPr>
        <w:t>transition patient</w:t>
      </w:r>
      <w:r w:rsidR="00E85A00" w:rsidRPr="00D936A5">
        <w:rPr>
          <w:rFonts w:cs="Arial"/>
          <w:lang w:eastAsia="en-AU"/>
        </w:rPr>
        <w:t>s</w:t>
      </w:r>
      <w:r w:rsidR="00BF15E6" w:rsidRPr="00D936A5">
        <w:rPr>
          <w:rFonts w:cs="Arial"/>
          <w:lang w:eastAsia="en-AU"/>
        </w:rPr>
        <w:t xml:space="preserve"> as soon as the PBS listing </w:t>
      </w:r>
      <w:r w:rsidR="00E85A00" w:rsidRPr="00D936A5">
        <w:rPr>
          <w:rFonts w:cs="Arial"/>
          <w:lang w:eastAsia="en-AU"/>
        </w:rPr>
        <w:t>becomes</w:t>
      </w:r>
      <w:r w:rsidR="00BF15E6" w:rsidRPr="00D936A5">
        <w:rPr>
          <w:rFonts w:cs="Arial"/>
          <w:lang w:eastAsia="en-AU"/>
        </w:rPr>
        <w:t xml:space="preserve"> available </w:t>
      </w:r>
      <w:r w:rsidR="00E85A00" w:rsidRPr="00D936A5">
        <w:rPr>
          <w:rFonts w:cs="Arial"/>
          <w:lang w:eastAsia="en-AU"/>
        </w:rPr>
        <w:t xml:space="preserve">on </w:t>
      </w:r>
      <w:r w:rsidR="00BF15E6" w:rsidRPr="00D936A5">
        <w:rPr>
          <w:rFonts w:cs="Arial"/>
          <w:lang w:eastAsia="en-AU"/>
        </w:rPr>
        <w:t xml:space="preserve">1 </w:t>
      </w:r>
      <w:r w:rsidR="00AD49DA" w:rsidRPr="00D936A5">
        <w:rPr>
          <w:rFonts w:cs="Arial"/>
          <w:lang w:eastAsia="en-AU"/>
        </w:rPr>
        <w:t>August 2026</w:t>
      </w:r>
      <w:r w:rsidR="00E85A00" w:rsidRPr="00D936A5">
        <w:rPr>
          <w:rFonts w:cs="Arial"/>
          <w:lang w:eastAsia="en-AU"/>
        </w:rPr>
        <w:t>.</w:t>
      </w:r>
      <w:r w:rsidR="00BF15E6" w:rsidRPr="00D936A5">
        <w:rPr>
          <w:rFonts w:cs="Arial"/>
          <w:lang w:eastAsia="en-AU"/>
        </w:rPr>
        <w:t xml:space="preserve"> </w:t>
      </w:r>
      <w:r w:rsidR="00E85A00" w:rsidRPr="00D936A5">
        <w:rPr>
          <w:rFonts w:cs="Arial"/>
          <w:lang w:eastAsia="en-AU"/>
        </w:rPr>
        <w:t>This will</w:t>
      </w:r>
      <w:r w:rsidR="00BF15E6" w:rsidRPr="00D936A5">
        <w:rPr>
          <w:rFonts w:cs="Arial"/>
          <w:lang w:eastAsia="en-AU"/>
        </w:rPr>
        <w:t xml:space="preserve"> ensure </w:t>
      </w:r>
      <w:r w:rsidR="00E85A00" w:rsidRPr="00D936A5">
        <w:rPr>
          <w:rFonts w:cs="Arial"/>
          <w:lang w:eastAsia="en-AU"/>
        </w:rPr>
        <w:t xml:space="preserve">patients </w:t>
      </w:r>
      <w:r w:rsidR="00BF15E6" w:rsidRPr="00D936A5">
        <w:rPr>
          <w:rFonts w:cs="Arial"/>
          <w:lang w:eastAsia="en-AU"/>
        </w:rPr>
        <w:t>receive authority approval</w:t>
      </w:r>
      <w:r w:rsidR="00F42831" w:rsidRPr="00D936A5">
        <w:rPr>
          <w:rFonts w:cs="Arial"/>
          <w:lang w:eastAsia="en-AU"/>
        </w:rPr>
        <w:t xml:space="preserve"> in time and avoid disruption </w:t>
      </w:r>
      <w:r w:rsidR="009A1E3A" w:rsidRPr="00D936A5">
        <w:rPr>
          <w:rFonts w:cs="Arial"/>
          <w:lang w:eastAsia="en-AU"/>
        </w:rPr>
        <w:t>to</w:t>
      </w:r>
      <w:r w:rsidR="00F42831" w:rsidRPr="00D936A5">
        <w:rPr>
          <w:rFonts w:cs="Arial"/>
          <w:lang w:eastAsia="en-AU"/>
        </w:rPr>
        <w:t xml:space="preserve"> treatment</w:t>
      </w:r>
      <w:r w:rsidR="00BF15E6" w:rsidRPr="00D936A5">
        <w:rPr>
          <w:rFonts w:cs="Arial"/>
          <w:lang w:eastAsia="en-AU"/>
        </w:rPr>
        <w:t>.</w:t>
      </w:r>
    </w:p>
    <w:p w14:paraId="46892DAB" w14:textId="19D951FD" w:rsidR="00BF15E6" w:rsidRPr="00D936A5" w:rsidRDefault="00BF15E6" w:rsidP="00BF15E6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The LSDP will not approve access to </w:t>
      </w:r>
      <w:r w:rsidR="00FA4454" w:rsidRPr="00D936A5">
        <w:rPr>
          <w:rFonts w:cs="Arial"/>
        </w:rPr>
        <w:t>nitisinone (Orfadin</w:t>
      </w:r>
      <w:r w:rsidR="00FA4454" w:rsidRPr="00D936A5">
        <w:rPr>
          <w:rFonts w:cs="Arial"/>
          <w:vertAlign w:val="superscript"/>
        </w:rPr>
        <w:t>®</w:t>
      </w:r>
      <w:r w:rsidR="00FA4454" w:rsidRPr="00D936A5">
        <w:rPr>
          <w:rFonts w:cs="Arial"/>
        </w:rPr>
        <w:t xml:space="preserve">) </w:t>
      </w:r>
      <w:r w:rsidRPr="00D936A5">
        <w:rPr>
          <w:rFonts w:cs="Arial"/>
          <w:lang w:eastAsia="en-AU"/>
        </w:rPr>
        <w:t>for any new patients from 1 </w:t>
      </w:r>
      <w:r w:rsidR="00FA4454" w:rsidRPr="00D936A5">
        <w:rPr>
          <w:rFonts w:cs="Arial"/>
          <w:lang w:eastAsia="en-AU"/>
        </w:rPr>
        <w:t>August 2026</w:t>
      </w:r>
      <w:r w:rsidRPr="00D936A5">
        <w:rPr>
          <w:rFonts w:cs="Arial"/>
          <w:lang w:eastAsia="en-AU"/>
        </w:rPr>
        <w:t xml:space="preserve">. </w:t>
      </w:r>
    </w:p>
    <w:p w14:paraId="41939A98" w14:textId="230772FB" w:rsidR="001458D9" w:rsidRPr="00D936A5" w:rsidRDefault="001458D9" w:rsidP="001458D9">
      <w:pPr>
        <w:pStyle w:val="Heading2"/>
        <w:rPr>
          <w:lang w:eastAsia="en-AU"/>
        </w:rPr>
      </w:pPr>
      <w:r w:rsidRPr="00D936A5">
        <w:rPr>
          <w:lang w:eastAsia="en-AU"/>
        </w:rPr>
        <w:t xml:space="preserve">Will patient access to </w:t>
      </w:r>
      <w:r w:rsidRPr="00D936A5">
        <w:t>nitisinone (Orfadin</w:t>
      </w:r>
      <w:r w:rsidRPr="00D936A5">
        <w:rPr>
          <w:vertAlign w:val="superscript"/>
        </w:rPr>
        <w:t>®</w:t>
      </w:r>
      <w:r w:rsidRPr="00D936A5">
        <w:t>)</w:t>
      </w:r>
      <w:r w:rsidRPr="00D936A5">
        <w:rPr>
          <w:lang w:eastAsia="en-AU"/>
        </w:rPr>
        <w:t xml:space="preserve"> be impacted by this new arrangement? </w:t>
      </w:r>
    </w:p>
    <w:p w14:paraId="476F65FA" w14:textId="1D599883" w:rsidR="004D33A6" w:rsidRPr="00565E25" w:rsidRDefault="004D33A6" w:rsidP="001458D9">
      <w:pPr>
        <w:rPr>
          <w:rFonts w:cs="Arial"/>
          <w:kern w:val="2"/>
          <w:szCs w:val="22"/>
          <w14:ligatures w14:val="standardContextual"/>
        </w:rPr>
      </w:pPr>
      <w:r w:rsidRPr="00D936A5">
        <w:rPr>
          <w:rFonts w:cs="Arial"/>
          <w:lang w:eastAsia="en-AU"/>
        </w:rPr>
        <w:t xml:space="preserve">There should be no impact </w:t>
      </w:r>
      <w:r w:rsidR="00233798">
        <w:rPr>
          <w:rFonts w:cs="Arial"/>
          <w:lang w:eastAsia="en-AU"/>
        </w:rPr>
        <w:t>on</w:t>
      </w:r>
      <w:r w:rsidRPr="00D936A5">
        <w:rPr>
          <w:rFonts w:cs="Arial"/>
          <w:lang w:eastAsia="en-AU"/>
        </w:rPr>
        <w:t xml:space="preserve"> eligible patients’ access to continuing treatment,</w:t>
      </w:r>
      <w:r w:rsidRPr="00D936A5">
        <w:rPr>
          <w:rFonts w:cs="Arial"/>
        </w:rPr>
        <w:t xml:space="preserve"> provided patients are transitioned to PBS supply before LSDP supply ends.</w:t>
      </w:r>
      <w:r w:rsidRPr="00D936A5">
        <w:rPr>
          <w:rFonts w:cs="Arial"/>
          <w:lang w:eastAsia="en-AU"/>
        </w:rPr>
        <w:t xml:space="preserve"> </w:t>
      </w:r>
    </w:p>
    <w:p w14:paraId="1A7FAF04" w14:textId="113C916A" w:rsidR="001458D9" w:rsidRPr="00D936A5" w:rsidRDefault="001458D9" w:rsidP="001458D9">
      <w:pPr>
        <w:pStyle w:val="Heading3"/>
        <w:rPr>
          <w:lang w:eastAsia="en-AU"/>
        </w:rPr>
      </w:pPr>
      <w:r w:rsidRPr="00D936A5">
        <w:rPr>
          <w:lang w:eastAsia="en-AU"/>
        </w:rPr>
        <w:t xml:space="preserve">For existing patients currently </w:t>
      </w:r>
      <w:r w:rsidR="008518DB" w:rsidRPr="00D936A5">
        <w:rPr>
          <w:lang w:eastAsia="en-AU"/>
        </w:rPr>
        <w:t xml:space="preserve">receiving </w:t>
      </w:r>
      <w:r w:rsidRPr="00D936A5">
        <w:rPr>
          <w:lang w:eastAsia="en-AU"/>
        </w:rPr>
        <w:t xml:space="preserve">treatment </w:t>
      </w:r>
      <w:r w:rsidR="008518DB" w:rsidRPr="00D936A5">
        <w:rPr>
          <w:lang w:eastAsia="en-AU"/>
        </w:rPr>
        <w:t xml:space="preserve">through </w:t>
      </w:r>
      <w:r w:rsidRPr="00D936A5">
        <w:rPr>
          <w:lang w:eastAsia="en-AU"/>
        </w:rPr>
        <w:t>the LSDP</w:t>
      </w:r>
    </w:p>
    <w:p w14:paraId="2F69E001" w14:textId="412B0C56" w:rsidR="001458D9" w:rsidRPr="00D936A5" w:rsidRDefault="001458D9" w:rsidP="001458D9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>To ensure a smooth transition</w:t>
      </w:r>
      <w:r w:rsidR="008518DB" w:rsidRPr="00D936A5">
        <w:rPr>
          <w:rFonts w:cs="Arial"/>
          <w:lang w:eastAsia="en-AU"/>
        </w:rPr>
        <w:t>,</w:t>
      </w:r>
      <w:r w:rsidRPr="00D936A5">
        <w:rPr>
          <w:rFonts w:cs="Arial"/>
          <w:lang w:eastAsia="en-AU"/>
        </w:rPr>
        <w:t xml:space="preserve"> prescribers </w:t>
      </w:r>
      <w:r w:rsidR="008518DB" w:rsidRPr="00D936A5">
        <w:rPr>
          <w:rFonts w:cs="Arial"/>
          <w:lang w:eastAsia="en-AU"/>
        </w:rPr>
        <w:t xml:space="preserve">should </w:t>
      </w:r>
      <w:r w:rsidRPr="00D936A5">
        <w:rPr>
          <w:rFonts w:cs="Arial"/>
          <w:lang w:eastAsia="en-AU"/>
        </w:rPr>
        <w:t xml:space="preserve">schedule an appointment with </w:t>
      </w:r>
      <w:r w:rsidR="002871F6" w:rsidRPr="00D936A5">
        <w:rPr>
          <w:rFonts w:cs="Arial"/>
          <w:lang w:eastAsia="en-AU"/>
        </w:rPr>
        <w:t xml:space="preserve">existing LSDP </w:t>
      </w:r>
      <w:r w:rsidRPr="00D936A5">
        <w:rPr>
          <w:rFonts w:cs="Arial"/>
          <w:lang w:eastAsia="en-AU"/>
        </w:rPr>
        <w:t xml:space="preserve">patients as soon as possible </w:t>
      </w:r>
      <w:r w:rsidR="003C5117" w:rsidRPr="00D936A5">
        <w:rPr>
          <w:rFonts w:cs="Arial"/>
          <w:lang w:eastAsia="en-AU"/>
        </w:rPr>
        <w:t xml:space="preserve">on or </w:t>
      </w:r>
      <w:r w:rsidRPr="00D936A5">
        <w:rPr>
          <w:rFonts w:cs="Arial"/>
          <w:lang w:eastAsia="en-AU"/>
        </w:rPr>
        <w:t xml:space="preserve">after 1 August 2026 to apply for a </w:t>
      </w:r>
      <w:r w:rsidR="002871F6" w:rsidRPr="00D936A5">
        <w:rPr>
          <w:rFonts w:cs="Arial"/>
          <w:lang w:eastAsia="en-AU"/>
        </w:rPr>
        <w:t xml:space="preserve">PBS </w:t>
      </w:r>
      <w:r w:rsidRPr="00D936A5">
        <w:rPr>
          <w:rFonts w:cs="Arial"/>
          <w:lang w:eastAsia="en-AU"/>
        </w:rPr>
        <w:t>prescription</w:t>
      </w:r>
      <w:r w:rsidR="002871F6" w:rsidRPr="00D936A5">
        <w:rPr>
          <w:rFonts w:cs="Arial"/>
          <w:lang w:eastAsia="en-AU"/>
        </w:rPr>
        <w:t>.</w:t>
      </w:r>
    </w:p>
    <w:p w14:paraId="0BC35F02" w14:textId="2B8513EE" w:rsidR="001458D9" w:rsidRPr="00D936A5" w:rsidRDefault="001458D9" w:rsidP="001458D9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Until </w:t>
      </w:r>
      <w:r w:rsidR="00703368" w:rsidRPr="00D936A5">
        <w:rPr>
          <w:rFonts w:cs="Arial"/>
          <w:lang w:eastAsia="en-AU"/>
        </w:rPr>
        <w:t>31 October 2026</w:t>
      </w:r>
      <w:r w:rsidRPr="00D936A5">
        <w:rPr>
          <w:rFonts w:cs="Arial"/>
          <w:lang w:eastAsia="en-AU"/>
        </w:rPr>
        <w:t xml:space="preserve">, the LSDP will </w:t>
      </w:r>
      <w:r w:rsidR="002871F6" w:rsidRPr="00D936A5">
        <w:rPr>
          <w:rFonts w:cs="Arial"/>
          <w:lang w:eastAsia="en-AU"/>
        </w:rPr>
        <w:t>continue to support access</w:t>
      </w:r>
      <w:r w:rsidRPr="00D936A5">
        <w:rPr>
          <w:rFonts w:cs="Arial"/>
          <w:lang w:eastAsia="en-AU"/>
        </w:rPr>
        <w:t xml:space="preserve"> for existing patients</w:t>
      </w:r>
      <w:r w:rsidR="002871F6" w:rsidRPr="00D936A5">
        <w:rPr>
          <w:rFonts w:cs="Arial"/>
          <w:lang w:eastAsia="en-AU"/>
        </w:rPr>
        <w:t xml:space="preserve"> through the nominated authorised pharmacies</w:t>
      </w:r>
      <w:r w:rsidRPr="00D936A5">
        <w:rPr>
          <w:rFonts w:cs="Arial"/>
          <w:lang w:eastAsia="en-AU"/>
        </w:rPr>
        <w:t>. Once</w:t>
      </w:r>
      <w:r w:rsidR="003070CE" w:rsidRPr="00D936A5">
        <w:rPr>
          <w:rFonts w:cs="Arial"/>
          <w:lang w:eastAsia="en-AU"/>
        </w:rPr>
        <w:t xml:space="preserve"> a</w:t>
      </w:r>
      <w:r w:rsidRPr="00D936A5">
        <w:rPr>
          <w:rFonts w:cs="Arial"/>
          <w:lang w:eastAsia="en-AU"/>
        </w:rPr>
        <w:t xml:space="preserve"> patient ha</w:t>
      </w:r>
      <w:r w:rsidR="002871F6" w:rsidRPr="00D936A5">
        <w:rPr>
          <w:rFonts w:cs="Arial"/>
          <w:lang w:eastAsia="en-AU"/>
        </w:rPr>
        <w:t>s</w:t>
      </w:r>
      <w:r w:rsidR="003763F4" w:rsidRPr="00D936A5">
        <w:rPr>
          <w:rFonts w:cs="Arial"/>
          <w:lang w:eastAsia="en-AU"/>
        </w:rPr>
        <w:t xml:space="preserve"> an approved</w:t>
      </w:r>
      <w:r w:rsidR="006338D6" w:rsidRPr="00D936A5">
        <w:rPr>
          <w:rFonts w:cs="Arial"/>
          <w:lang w:eastAsia="en-AU"/>
        </w:rPr>
        <w:t xml:space="preserve"> PBS </w:t>
      </w:r>
      <w:r w:rsidRPr="00D936A5">
        <w:rPr>
          <w:rFonts w:cs="Arial"/>
          <w:lang w:eastAsia="en-AU"/>
        </w:rPr>
        <w:t xml:space="preserve">prescription, their LSDP </w:t>
      </w:r>
      <w:r w:rsidR="002871F6" w:rsidRPr="00D936A5">
        <w:rPr>
          <w:rFonts w:cs="Arial"/>
          <w:lang w:eastAsia="en-AU"/>
        </w:rPr>
        <w:t xml:space="preserve">supply </w:t>
      </w:r>
      <w:r w:rsidRPr="00D936A5">
        <w:rPr>
          <w:rFonts w:cs="Arial"/>
          <w:lang w:eastAsia="en-AU"/>
        </w:rPr>
        <w:t xml:space="preserve">will cease. </w:t>
      </w:r>
    </w:p>
    <w:p w14:paraId="61207EA1" w14:textId="7BCDC26B" w:rsidR="001458D9" w:rsidRPr="00D936A5" w:rsidRDefault="001458D9" w:rsidP="001458D9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A </w:t>
      </w:r>
      <w:r w:rsidR="00F44597" w:rsidRPr="00D936A5">
        <w:rPr>
          <w:rFonts w:cs="Arial"/>
          <w:lang w:eastAsia="en-AU"/>
        </w:rPr>
        <w:t xml:space="preserve">PBS </w:t>
      </w:r>
      <w:r w:rsidRPr="00D936A5">
        <w:rPr>
          <w:rFonts w:cs="Arial"/>
          <w:lang w:eastAsia="en-AU"/>
        </w:rPr>
        <w:t>co-payment will apply</w:t>
      </w:r>
      <w:r w:rsidR="003070CE" w:rsidRPr="00D936A5">
        <w:rPr>
          <w:rFonts w:cs="Arial"/>
          <w:lang w:eastAsia="en-AU"/>
        </w:rPr>
        <w:t>,</w:t>
      </w:r>
      <w:r w:rsidRPr="00D936A5">
        <w:rPr>
          <w:rFonts w:cs="Arial"/>
          <w:lang w:eastAsia="en-AU"/>
        </w:rPr>
        <w:t xml:space="preserve"> in line with other PBS medications. </w:t>
      </w:r>
    </w:p>
    <w:p w14:paraId="36A6DB74" w14:textId="2B5A6D2D" w:rsidR="001458D9" w:rsidRPr="00D936A5" w:rsidRDefault="001458D9" w:rsidP="001458D9">
      <w:pPr>
        <w:pStyle w:val="Heading3"/>
        <w:rPr>
          <w:lang w:eastAsia="en-AU"/>
        </w:rPr>
      </w:pPr>
      <w:r w:rsidRPr="00D936A5">
        <w:rPr>
          <w:lang w:eastAsia="en-AU"/>
        </w:rPr>
        <w:t xml:space="preserve">For new patients who require access to </w:t>
      </w:r>
      <w:r w:rsidR="007241E8" w:rsidRPr="00D936A5">
        <w:t>nitisinone (Orfadin</w:t>
      </w:r>
      <w:r w:rsidR="007241E8" w:rsidRPr="00D936A5">
        <w:rPr>
          <w:vertAlign w:val="superscript"/>
        </w:rPr>
        <w:t>®</w:t>
      </w:r>
      <w:r w:rsidR="007241E8" w:rsidRPr="00D936A5">
        <w:t xml:space="preserve">) </w:t>
      </w:r>
      <w:r w:rsidRPr="00D936A5">
        <w:rPr>
          <w:lang w:eastAsia="en-AU"/>
        </w:rPr>
        <w:t xml:space="preserve">prior to 1 </w:t>
      </w:r>
      <w:r w:rsidR="007241E8" w:rsidRPr="00D936A5">
        <w:rPr>
          <w:lang w:eastAsia="en-AU"/>
        </w:rPr>
        <w:t>August 2026</w:t>
      </w:r>
    </w:p>
    <w:p w14:paraId="3A3DB95F" w14:textId="471B1769" w:rsidR="001458D9" w:rsidRPr="00CF010E" w:rsidRDefault="001458D9" w:rsidP="001458D9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Prior to 1 </w:t>
      </w:r>
      <w:r w:rsidR="00EC29F7" w:rsidRPr="00D936A5">
        <w:rPr>
          <w:rFonts w:cs="Arial"/>
          <w:lang w:eastAsia="en-AU"/>
        </w:rPr>
        <w:t>August 2026</w:t>
      </w:r>
      <w:r w:rsidRPr="00D936A5">
        <w:rPr>
          <w:rFonts w:cs="Arial"/>
          <w:lang w:eastAsia="en-AU"/>
        </w:rPr>
        <w:t xml:space="preserve">, treating physicians can apply for access through the LSDP for patients who meet </w:t>
      </w:r>
      <w:r w:rsidR="003F7A2F" w:rsidRPr="00D936A5">
        <w:rPr>
          <w:rFonts w:cs="Arial"/>
          <w:lang w:eastAsia="en-AU"/>
        </w:rPr>
        <w:t xml:space="preserve">the </w:t>
      </w:r>
      <w:r w:rsidRPr="00D936A5">
        <w:rPr>
          <w:rFonts w:cs="Arial"/>
          <w:lang w:eastAsia="en-AU"/>
        </w:rPr>
        <w:t xml:space="preserve">LSDP eligibility requirements. </w:t>
      </w:r>
    </w:p>
    <w:p w14:paraId="4CD606A4" w14:textId="755DFC98" w:rsidR="001458D9" w:rsidRPr="00D936A5" w:rsidRDefault="001458D9" w:rsidP="001458D9">
      <w:pPr>
        <w:pStyle w:val="Heading3"/>
        <w:rPr>
          <w:lang w:eastAsia="en-AU"/>
        </w:rPr>
      </w:pPr>
      <w:r w:rsidRPr="00D936A5">
        <w:rPr>
          <w:lang w:eastAsia="en-AU"/>
        </w:rPr>
        <w:t xml:space="preserve">For new patients who require access to </w:t>
      </w:r>
      <w:r w:rsidR="00EC29F7" w:rsidRPr="00D936A5">
        <w:t>nitisinone (Orfadin</w:t>
      </w:r>
      <w:r w:rsidR="00EC29F7" w:rsidRPr="00D936A5">
        <w:rPr>
          <w:vertAlign w:val="superscript"/>
        </w:rPr>
        <w:t>®</w:t>
      </w:r>
      <w:r w:rsidR="00EC29F7" w:rsidRPr="00D936A5">
        <w:t xml:space="preserve">) </w:t>
      </w:r>
      <w:r w:rsidR="00A757EA" w:rsidRPr="00D936A5">
        <w:t xml:space="preserve">on or </w:t>
      </w:r>
      <w:r w:rsidRPr="00D936A5">
        <w:rPr>
          <w:lang w:eastAsia="en-AU"/>
        </w:rPr>
        <w:t>after 1 </w:t>
      </w:r>
      <w:r w:rsidR="00EC29F7" w:rsidRPr="00D936A5">
        <w:rPr>
          <w:lang w:eastAsia="en-AU"/>
        </w:rPr>
        <w:t>August 2026</w:t>
      </w:r>
    </w:p>
    <w:p w14:paraId="34DAD575" w14:textId="31B0512D" w:rsidR="006A538F" w:rsidRPr="00D936A5" w:rsidRDefault="005325A5" w:rsidP="006A538F">
      <w:pPr>
        <w:rPr>
          <w:rFonts w:cs="Arial"/>
          <w:lang w:eastAsia="en-AU"/>
        </w:rPr>
      </w:pPr>
      <w:r w:rsidRPr="00D936A5">
        <w:rPr>
          <w:rFonts w:cs="Arial"/>
        </w:rPr>
        <w:t xml:space="preserve">From 1 August 2026, </w:t>
      </w:r>
      <w:r w:rsidR="006A538F" w:rsidRPr="00D936A5">
        <w:rPr>
          <w:rFonts w:cs="Arial"/>
          <w:lang w:eastAsia="en-AU"/>
        </w:rPr>
        <w:t xml:space="preserve">the LSDP will no longer accept applications for </w:t>
      </w:r>
      <w:r w:rsidR="00A95CF9" w:rsidRPr="00D936A5">
        <w:rPr>
          <w:rFonts w:cs="Arial"/>
          <w:lang w:eastAsia="en-AU"/>
        </w:rPr>
        <w:t xml:space="preserve">new </w:t>
      </w:r>
      <w:r w:rsidR="006A538F" w:rsidRPr="00D936A5">
        <w:rPr>
          <w:rFonts w:cs="Arial"/>
          <w:lang w:eastAsia="en-AU"/>
        </w:rPr>
        <w:t xml:space="preserve">patients to commence treatment with </w:t>
      </w:r>
      <w:r w:rsidR="006A538F" w:rsidRPr="00D936A5">
        <w:rPr>
          <w:rFonts w:cs="Arial"/>
        </w:rPr>
        <w:t>nitisinone (Orfadin</w:t>
      </w:r>
      <w:r w:rsidR="006A538F" w:rsidRPr="00D936A5">
        <w:rPr>
          <w:rFonts w:cs="Arial"/>
          <w:vertAlign w:val="superscript"/>
        </w:rPr>
        <w:t>®</w:t>
      </w:r>
      <w:r w:rsidR="006A538F" w:rsidRPr="00D936A5">
        <w:rPr>
          <w:rFonts w:cs="Arial"/>
        </w:rPr>
        <w:t xml:space="preserve">). </w:t>
      </w:r>
    </w:p>
    <w:p w14:paraId="49C9AB01" w14:textId="75EF8F1B" w:rsidR="001458D9" w:rsidRPr="00D936A5" w:rsidRDefault="001754DA" w:rsidP="001458D9">
      <w:pPr>
        <w:rPr>
          <w:rFonts w:cs="Arial"/>
          <w:lang w:eastAsia="en-AU"/>
        </w:rPr>
      </w:pPr>
      <w:r w:rsidRPr="00D936A5">
        <w:rPr>
          <w:rFonts w:cs="Arial"/>
        </w:rPr>
        <w:t>N</w:t>
      </w:r>
      <w:r w:rsidR="005325A5" w:rsidRPr="00D936A5">
        <w:rPr>
          <w:rFonts w:cs="Arial"/>
        </w:rPr>
        <w:t>ew patients</w:t>
      </w:r>
      <w:r w:rsidR="001458D9" w:rsidRPr="00D936A5">
        <w:rPr>
          <w:rFonts w:cs="Arial"/>
          <w:lang w:eastAsia="en-AU"/>
        </w:rPr>
        <w:t xml:space="preserve"> will need to </w:t>
      </w:r>
      <w:r w:rsidR="000230B9" w:rsidRPr="00D936A5">
        <w:rPr>
          <w:rFonts w:cs="Arial"/>
          <w:lang w:eastAsia="en-AU"/>
        </w:rPr>
        <w:t xml:space="preserve">access nitisinone (Orfadin®) through the PBS. Prescribers should </w:t>
      </w:r>
      <w:r w:rsidR="001458D9" w:rsidRPr="00565E25">
        <w:rPr>
          <w:rFonts w:cs="Arial"/>
          <w:lang w:eastAsia="en-AU"/>
        </w:rPr>
        <w:t>follow the PBS authority approval process</w:t>
      </w:r>
      <w:r w:rsidR="005533CC" w:rsidRPr="00D936A5">
        <w:rPr>
          <w:rFonts w:cs="Arial"/>
          <w:lang w:eastAsia="en-AU"/>
        </w:rPr>
        <w:t xml:space="preserve"> outlined above</w:t>
      </w:r>
      <w:r w:rsidR="001458D9" w:rsidRPr="00D936A5">
        <w:rPr>
          <w:rFonts w:cs="Arial"/>
          <w:lang w:eastAsia="en-AU"/>
        </w:rPr>
        <w:t xml:space="preserve"> </w:t>
      </w:r>
      <w:r w:rsidR="00BD5188" w:rsidRPr="00D936A5">
        <w:rPr>
          <w:rFonts w:cs="Arial"/>
          <w:lang w:eastAsia="en-AU"/>
        </w:rPr>
        <w:t xml:space="preserve">and </w:t>
      </w:r>
      <w:r w:rsidRPr="00D936A5">
        <w:rPr>
          <w:rFonts w:cs="Arial"/>
          <w:lang w:eastAsia="en-AU"/>
        </w:rPr>
        <w:t>confirm</w:t>
      </w:r>
      <w:r w:rsidR="0029466A" w:rsidRPr="00D936A5">
        <w:rPr>
          <w:rFonts w:cs="Arial"/>
          <w:lang w:eastAsia="en-AU"/>
        </w:rPr>
        <w:t xml:space="preserve"> that </w:t>
      </w:r>
      <w:r w:rsidR="001458D9" w:rsidRPr="00D936A5">
        <w:rPr>
          <w:rFonts w:cs="Arial"/>
          <w:lang w:eastAsia="en-AU"/>
        </w:rPr>
        <w:t>patients meet all the PBS eligibility criteria.</w:t>
      </w:r>
    </w:p>
    <w:p w14:paraId="58B20EA4" w14:textId="5B107267" w:rsidR="001458D9" w:rsidRPr="00D936A5" w:rsidRDefault="001458D9" w:rsidP="001458D9">
      <w:pPr>
        <w:pStyle w:val="Heading2"/>
        <w:rPr>
          <w:lang w:eastAsia="en-AU"/>
        </w:rPr>
      </w:pPr>
      <w:r w:rsidRPr="00D936A5">
        <w:rPr>
          <w:lang w:eastAsia="en-AU"/>
        </w:rPr>
        <w:lastRenderedPageBreak/>
        <w:t>How often will I need to see my patient to renew their</w:t>
      </w:r>
      <w:r w:rsidR="00B27ADE" w:rsidRPr="00D936A5">
        <w:rPr>
          <w:lang w:eastAsia="en-AU"/>
        </w:rPr>
        <w:t xml:space="preserve"> prescription</w:t>
      </w:r>
      <w:r w:rsidRPr="00D936A5">
        <w:rPr>
          <w:lang w:eastAsia="en-AU"/>
        </w:rPr>
        <w:t>?</w:t>
      </w:r>
    </w:p>
    <w:p w14:paraId="41E89C25" w14:textId="670EEA88" w:rsidR="001458D9" w:rsidRPr="00D936A5" w:rsidRDefault="001458D9" w:rsidP="001458D9">
      <w:pPr>
        <w:rPr>
          <w:rFonts w:cs="Arial"/>
        </w:rPr>
      </w:pPr>
      <w:r w:rsidRPr="00D936A5">
        <w:rPr>
          <w:rFonts w:cs="Arial"/>
          <w:lang w:eastAsia="en-AU"/>
        </w:rPr>
        <w:t xml:space="preserve">Under the LSDP, medical practitioners must apply annually on behalf of patients to access </w:t>
      </w:r>
      <w:r w:rsidR="0067677F" w:rsidRPr="00D936A5">
        <w:rPr>
          <w:rFonts w:cs="Arial"/>
        </w:rPr>
        <w:t>nitisinone (Orfadin</w:t>
      </w:r>
      <w:r w:rsidR="0067677F" w:rsidRPr="00D936A5">
        <w:rPr>
          <w:rFonts w:cs="Arial"/>
          <w:vertAlign w:val="superscript"/>
        </w:rPr>
        <w:t>®</w:t>
      </w:r>
      <w:r w:rsidR="0067677F" w:rsidRPr="00D936A5">
        <w:rPr>
          <w:rFonts w:cs="Arial"/>
        </w:rPr>
        <w:t>)</w:t>
      </w:r>
      <w:r w:rsidRPr="00D936A5">
        <w:rPr>
          <w:rFonts w:cs="Arial"/>
          <w:lang w:eastAsia="en-AU"/>
        </w:rPr>
        <w:t xml:space="preserve">. </w:t>
      </w:r>
      <w:r w:rsidR="000023A8" w:rsidRPr="00D936A5">
        <w:rPr>
          <w:rFonts w:cs="Arial"/>
          <w:lang w:eastAsia="en-AU"/>
        </w:rPr>
        <w:t xml:space="preserve">Under the PBS, </w:t>
      </w:r>
      <w:r w:rsidR="00631F40" w:rsidRPr="00D936A5">
        <w:rPr>
          <w:rFonts w:cs="Arial"/>
          <w:lang w:eastAsia="en-AU"/>
        </w:rPr>
        <w:t>t</w:t>
      </w:r>
      <w:r w:rsidRPr="00D936A5">
        <w:rPr>
          <w:rFonts w:cs="Arial"/>
          <w:lang w:eastAsia="en-AU"/>
        </w:rPr>
        <w:t xml:space="preserve">he frequency of </w:t>
      </w:r>
      <w:r w:rsidR="00F370E4" w:rsidRPr="00D936A5">
        <w:rPr>
          <w:rFonts w:cs="Arial"/>
          <w:lang w:eastAsia="en-AU"/>
        </w:rPr>
        <w:t xml:space="preserve">the </w:t>
      </w:r>
      <w:r w:rsidRPr="00D936A5">
        <w:rPr>
          <w:rFonts w:cs="Arial"/>
          <w:lang w:eastAsia="en-AU"/>
        </w:rPr>
        <w:t>prescription will be up to</w:t>
      </w:r>
      <w:r w:rsidR="00940718" w:rsidRPr="00D936A5">
        <w:rPr>
          <w:rFonts w:cs="Arial"/>
          <w:lang w:eastAsia="en-AU"/>
        </w:rPr>
        <w:t xml:space="preserve"> every</w:t>
      </w:r>
      <w:r w:rsidRPr="00D936A5">
        <w:rPr>
          <w:rFonts w:cs="Arial"/>
          <w:lang w:eastAsia="en-AU"/>
        </w:rPr>
        <w:t xml:space="preserve"> 6</w:t>
      </w:r>
      <w:r w:rsidR="00565E25">
        <w:rPr>
          <w:rFonts w:cs="Arial"/>
          <w:lang w:eastAsia="en-AU"/>
        </w:rPr>
        <w:t> </w:t>
      </w:r>
      <w:r w:rsidRPr="00D936A5">
        <w:rPr>
          <w:rFonts w:cs="Arial"/>
          <w:lang w:eastAsia="en-AU"/>
        </w:rPr>
        <w:t>month</w:t>
      </w:r>
      <w:r w:rsidR="00940718" w:rsidRPr="00D936A5">
        <w:rPr>
          <w:rFonts w:cs="Arial"/>
          <w:lang w:eastAsia="en-AU"/>
        </w:rPr>
        <w:t>s</w:t>
      </w:r>
      <w:r w:rsidRPr="00D936A5">
        <w:rPr>
          <w:rFonts w:cs="Arial"/>
          <w:lang w:eastAsia="en-AU"/>
        </w:rPr>
        <w:t xml:space="preserve"> depending on the treatment phase as set out in the PBS</w:t>
      </w:r>
      <w:r w:rsidR="00D16739">
        <w:rPr>
          <w:rFonts w:cs="Arial"/>
          <w:lang w:eastAsia="en-AU"/>
        </w:rPr>
        <w:t> </w:t>
      </w:r>
      <w:r w:rsidRPr="00D936A5">
        <w:rPr>
          <w:rFonts w:cs="Arial"/>
          <w:lang w:eastAsia="en-AU"/>
        </w:rPr>
        <w:t xml:space="preserve">Schedule for </w:t>
      </w:r>
      <w:r w:rsidR="0067677F" w:rsidRPr="00D936A5">
        <w:rPr>
          <w:rFonts w:cs="Arial"/>
        </w:rPr>
        <w:t>nitisinone (Orfadin</w:t>
      </w:r>
      <w:r w:rsidR="0067677F" w:rsidRPr="00D936A5">
        <w:rPr>
          <w:rFonts w:cs="Arial"/>
          <w:vertAlign w:val="superscript"/>
        </w:rPr>
        <w:t>®</w:t>
      </w:r>
      <w:r w:rsidR="0067677F" w:rsidRPr="00D936A5">
        <w:rPr>
          <w:rFonts w:cs="Arial"/>
        </w:rPr>
        <w:t>)</w:t>
      </w:r>
      <w:r w:rsidRPr="00D936A5">
        <w:rPr>
          <w:rFonts w:cs="Arial"/>
          <w:lang w:eastAsia="en-AU"/>
        </w:rPr>
        <w:t>. </w:t>
      </w:r>
      <w:r w:rsidRPr="00D936A5">
        <w:rPr>
          <w:rFonts w:cs="Arial"/>
        </w:rPr>
        <w:t xml:space="preserve"> </w:t>
      </w:r>
    </w:p>
    <w:p w14:paraId="41F9348C" w14:textId="709905BE" w:rsidR="0053330C" w:rsidRPr="00D936A5" w:rsidRDefault="0053330C" w:rsidP="001458D9">
      <w:pPr>
        <w:pStyle w:val="Heading2"/>
        <w:rPr>
          <w:lang w:eastAsia="en-AU"/>
        </w:rPr>
      </w:pPr>
      <w:r w:rsidRPr="00D936A5">
        <w:rPr>
          <w:lang w:eastAsia="en-AU"/>
        </w:rPr>
        <w:t xml:space="preserve">Are the PBS eligibility criteria for </w:t>
      </w:r>
      <w:r w:rsidRPr="00D936A5">
        <w:t>nitisinone (Orfadin</w:t>
      </w:r>
      <w:r w:rsidRPr="00D936A5">
        <w:rPr>
          <w:vertAlign w:val="superscript"/>
        </w:rPr>
        <w:t>®</w:t>
      </w:r>
      <w:r w:rsidRPr="00D936A5">
        <w:t xml:space="preserve">) </w:t>
      </w:r>
      <w:r w:rsidRPr="00D936A5">
        <w:rPr>
          <w:lang w:eastAsia="en-AU"/>
        </w:rPr>
        <w:t>the same as the LSDP criteria?</w:t>
      </w:r>
    </w:p>
    <w:p w14:paraId="323D45D3" w14:textId="183AA70C" w:rsidR="001458D9" w:rsidRPr="00D936A5" w:rsidRDefault="00185AEF" w:rsidP="00FC4EBD">
      <w:pPr>
        <w:rPr>
          <w:rFonts w:cs="Arial"/>
        </w:rPr>
      </w:pPr>
      <w:r w:rsidRPr="00565E25">
        <w:rPr>
          <w:rFonts w:cs="Arial"/>
          <w:lang w:eastAsia="en-AU"/>
        </w:rPr>
        <w:t>T</w:t>
      </w:r>
      <w:r w:rsidR="00FC4EBD" w:rsidRPr="00565E25">
        <w:rPr>
          <w:rFonts w:cs="Arial"/>
          <w:lang w:eastAsia="en-AU"/>
        </w:rPr>
        <w:t xml:space="preserve">he PBS </w:t>
      </w:r>
      <w:r w:rsidR="006B2C46" w:rsidRPr="00565E25">
        <w:rPr>
          <w:rFonts w:cs="Arial"/>
          <w:lang w:eastAsia="en-AU"/>
        </w:rPr>
        <w:t xml:space="preserve">eligibility criteria </w:t>
      </w:r>
      <w:r w:rsidR="00FC4EBD" w:rsidRPr="00565E25">
        <w:rPr>
          <w:rFonts w:cs="Arial"/>
          <w:lang w:eastAsia="en-AU"/>
        </w:rPr>
        <w:t xml:space="preserve">for access to </w:t>
      </w:r>
      <w:r w:rsidR="00FC4EBD" w:rsidRPr="00565E25">
        <w:rPr>
          <w:rFonts w:cs="Arial"/>
        </w:rPr>
        <w:t>nitisinone (Orfadin</w:t>
      </w:r>
      <w:r w:rsidR="00FC4EBD" w:rsidRPr="00565E25">
        <w:rPr>
          <w:rFonts w:cs="Arial"/>
          <w:vertAlign w:val="superscript"/>
        </w:rPr>
        <w:t>®</w:t>
      </w:r>
      <w:r w:rsidR="00FC4EBD" w:rsidRPr="00565E25">
        <w:rPr>
          <w:rFonts w:cs="Arial"/>
        </w:rPr>
        <w:t xml:space="preserve">) </w:t>
      </w:r>
      <w:r w:rsidR="00267A51" w:rsidRPr="00565E25">
        <w:rPr>
          <w:rFonts w:cs="Arial"/>
        </w:rPr>
        <w:t>are</w:t>
      </w:r>
      <w:r w:rsidR="00FC4EBD" w:rsidRPr="00565E25">
        <w:rPr>
          <w:rFonts w:cs="Arial"/>
        </w:rPr>
        <w:t xml:space="preserve"> </w:t>
      </w:r>
      <w:r w:rsidR="006B2C46" w:rsidRPr="00565E25">
        <w:rPr>
          <w:rFonts w:cs="Arial"/>
        </w:rPr>
        <w:t>s</w:t>
      </w:r>
      <w:r w:rsidR="00EB0207" w:rsidRPr="00565E25">
        <w:rPr>
          <w:rFonts w:cs="Arial"/>
        </w:rPr>
        <w:t>imilar to</w:t>
      </w:r>
      <w:r w:rsidR="00FC4EBD" w:rsidRPr="00565E25">
        <w:rPr>
          <w:rFonts w:cs="Arial"/>
        </w:rPr>
        <w:t xml:space="preserve"> the LSDP eligibility criteria</w:t>
      </w:r>
      <w:r w:rsidR="00FC4EBD" w:rsidRPr="00D936A5">
        <w:rPr>
          <w:rFonts w:cs="Arial"/>
        </w:rPr>
        <w:t xml:space="preserve">. </w:t>
      </w:r>
      <w:r w:rsidR="00003323" w:rsidRPr="00D936A5">
        <w:rPr>
          <w:rFonts w:cs="Arial"/>
        </w:rPr>
        <w:t>The main difference</w:t>
      </w:r>
      <w:r w:rsidR="00A9031D" w:rsidRPr="00D936A5">
        <w:rPr>
          <w:rFonts w:cs="Arial"/>
        </w:rPr>
        <w:t>s</w:t>
      </w:r>
      <w:r w:rsidR="00003323" w:rsidRPr="00D936A5">
        <w:rPr>
          <w:rFonts w:cs="Arial"/>
        </w:rPr>
        <w:t xml:space="preserve"> </w:t>
      </w:r>
      <w:r w:rsidR="00426B6F" w:rsidRPr="00D936A5">
        <w:rPr>
          <w:rFonts w:cs="Arial"/>
        </w:rPr>
        <w:t>are:</w:t>
      </w:r>
    </w:p>
    <w:p w14:paraId="5944705F" w14:textId="77777777" w:rsidR="00267A51" w:rsidRPr="00D936A5" w:rsidRDefault="00401132" w:rsidP="00267A51">
      <w:pPr>
        <w:pStyle w:val="3-BodyText"/>
        <w:rPr>
          <w:rFonts w:ascii="Arial" w:hAnsi="Arial" w:cs="Arial"/>
          <w:sz w:val="22"/>
        </w:rPr>
      </w:pPr>
      <w:r w:rsidRPr="00D936A5">
        <w:rPr>
          <w:rFonts w:ascii="Arial" w:hAnsi="Arial" w:cs="Arial"/>
          <w:sz w:val="22"/>
        </w:rPr>
        <w:t>No restrictions on the laboratory conducting urine and/or blood tests</w:t>
      </w:r>
      <w:r w:rsidR="00267A51" w:rsidRPr="00D936A5">
        <w:rPr>
          <w:rFonts w:ascii="Arial" w:hAnsi="Arial" w:cs="Arial"/>
          <w:sz w:val="22"/>
        </w:rPr>
        <w:t>.</w:t>
      </w:r>
    </w:p>
    <w:p w14:paraId="239005B1" w14:textId="05F61C0C" w:rsidR="00267A51" w:rsidRPr="00553D0D" w:rsidRDefault="00267A51" w:rsidP="00267A51">
      <w:pPr>
        <w:pStyle w:val="3-BodyText"/>
        <w:rPr>
          <w:rFonts w:ascii="Arial" w:hAnsi="Arial" w:cs="Arial"/>
        </w:rPr>
      </w:pPr>
      <w:r w:rsidRPr="00D936A5">
        <w:rPr>
          <w:rFonts w:ascii="Arial" w:hAnsi="Arial" w:cs="Arial"/>
          <w:sz w:val="22"/>
        </w:rPr>
        <w:t>Test results or diagnostic reports confirming a patient’s initial and ongoing PBS eligibility need only be documented in the patient’s medical records.</w:t>
      </w:r>
    </w:p>
    <w:p w14:paraId="1061B6C1" w14:textId="77777777" w:rsidR="0053330C" w:rsidRPr="00D936A5" w:rsidRDefault="0053330C" w:rsidP="001458D9">
      <w:pPr>
        <w:pStyle w:val="Heading2"/>
        <w:rPr>
          <w:lang w:eastAsia="en-AU"/>
        </w:rPr>
      </w:pPr>
      <w:bookmarkStart w:id="1" w:name="_Hlk93651078"/>
      <w:r w:rsidRPr="00D936A5">
        <w:rPr>
          <w:lang w:eastAsia="en-AU"/>
        </w:rPr>
        <w:t>What information do medical practitioners have to provide when seeking the PBS authority approval?</w:t>
      </w:r>
    </w:p>
    <w:p w14:paraId="582A05EF" w14:textId="6CE1AA57" w:rsidR="00AD7576" w:rsidRPr="00D936A5" w:rsidRDefault="0088433F" w:rsidP="001458D9">
      <w:pPr>
        <w:rPr>
          <w:rFonts w:cs="Arial"/>
        </w:rPr>
      </w:pPr>
      <w:r w:rsidRPr="00D936A5">
        <w:rPr>
          <w:rFonts w:cs="Arial"/>
        </w:rPr>
        <w:t>Patients must have a confirmed diagnosis of HT1, based on the presence of succinylacetone in urine or blood.</w:t>
      </w:r>
    </w:p>
    <w:p w14:paraId="2A890D2B" w14:textId="676D661F" w:rsidR="004310D3" w:rsidRDefault="001458D9" w:rsidP="0007785C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>Prescribers must ensure that patient</w:t>
      </w:r>
      <w:r w:rsidR="00993C30" w:rsidRPr="00D936A5">
        <w:rPr>
          <w:rFonts w:cs="Arial"/>
          <w:lang w:eastAsia="en-AU"/>
        </w:rPr>
        <w:t>s</w:t>
      </w:r>
      <w:r w:rsidRPr="00D936A5">
        <w:rPr>
          <w:rFonts w:cs="Arial"/>
          <w:lang w:eastAsia="en-AU"/>
        </w:rPr>
        <w:t xml:space="preserve"> meet the PBS eligibility criteri</w:t>
      </w:r>
      <w:r w:rsidR="00383F81" w:rsidRPr="00D936A5">
        <w:rPr>
          <w:rFonts w:cs="Arial"/>
          <w:lang w:eastAsia="en-AU"/>
        </w:rPr>
        <w:t xml:space="preserve">a and </w:t>
      </w:r>
      <w:r w:rsidRPr="00D936A5">
        <w:rPr>
          <w:rFonts w:cs="Arial"/>
          <w:lang w:eastAsia="en-AU"/>
        </w:rPr>
        <w:t>document the diagnostic reports</w:t>
      </w:r>
      <w:r w:rsidR="00A41EB7" w:rsidRPr="00D936A5">
        <w:rPr>
          <w:rFonts w:cs="Arial"/>
          <w:lang w:eastAsia="en-AU"/>
        </w:rPr>
        <w:t>, including blood and/or urine test results</w:t>
      </w:r>
      <w:r w:rsidR="008E2736" w:rsidRPr="00D936A5">
        <w:rPr>
          <w:rFonts w:cs="Arial"/>
          <w:lang w:eastAsia="en-AU"/>
        </w:rPr>
        <w:t>,</w:t>
      </w:r>
      <w:r w:rsidR="00A41EB7" w:rsidRPr="00D936A5">
        <w:rPr>
          <w:rFonts w:cs="Arial"/>
          <w:lang w:eastAsia="en-AU"/>
        </w:rPr>
        <w:t xml:space="preserve"> </w:t>
      </w:r>
      <w:r w:rsidRPr="00D936A5">
        <w:rPr>
          <w:rFonts w:cs="Arial"/>
          <w:lang w:eastAsia="en-AU"/>
        </w:rPr>
        <w:t>in the patient's medical records</w:t>
      </w:r>
      <w:r w:rsidR="00A41EB7" w:rsidRPr="00D936A5">
        <w:rPr>
          <w:rFonts w:cs="Arial"/>
          <w:lang w:eastAsia="en-AU"/>
        </w:rPr>
        <w:t>.</w:t>
      </w:r>
      <w:r w:rsidRPr="00D936A5">
        <w:rPr>
          <w:rFonts w:cs="Arial"/>
          <w:lang w:eastAsia="en-AU"/>
        </w:rPr>
        <w:t xml:space="preserve"> </w:t>
      </w:r>
    </w:p>
    <w:p w14:paraId="0F6F91BE" w14:textId="346B7616" w:rsidR="000F5E9C" w:rsidRPr="00D936A5" w:rsidRDefault="00C35596" w:rsidP="0007785C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Prescribers </w:t>
      </w:r>
      <w:r w:rsidR="00993C30" w:rsidRPr="00D936A5">
        <w:rPr>
          <w:rFonts w:cs="Arial"/>
          <w:lang w:eastAsia="en-AU"/>
        </w:rPr>
        <w:t>are required to request</w:t>
      </w:r>
      <w:r w:rsidRPr="00D936A5">
        <w:rPr>
          <w:rFonts w:cs="Arial"/>
          <w:lang w:eastAsia="en-AU"/>
        </w:rPr>
        <w:t xml:space="preserve"> the </w:t>
      </w:r>
      <w:r w:rsidR="00C6530D" w:rsidRPr="00D936A5">
        <w:rPr>
          <w:rFonts w:cs="Arial"/>
        </w:rPr>
        <w:t>appropriate quantity and strength</w:t>
      </w:r>
      <w:r w:rsidR="00C6530D" w:rsidRPr="00D936A5">
        <w:rPr>
          <w:rFonts w:cs="Arial"/>
          <w:lang w:eastAsia="en-AU"/>
        </w:rPr>
        <w:t xml:space="preserve"> of nitisinone</w:t>
      </w:r>
      <w:r w:rsidRPr="00D936A5">
        <w:rPr>
          <w:rFonts w:cs="Arial"/>
          <w:lang w:eastAsia="en-AU"/>
        </w:rPr>
        <w:t xml:space="preserve">, based on </w:t>
      </w:r>
      <w:r w:rsidR="00105FD6" w:rsidRPr="00D936A5">
        <w:rPr>
          <w:rFonts w:cs="Arial"/>
        </w:rPr>
        <w:t>the patient’s weight,</w:t>
      </w:r>
      <w:r w:rsidR="00105FD6" w:rsidRPr="00D936A5">
        <w:rPr>
          <w:rFonts w:cs="Arial"/>
          <w:lang w:eastAsia="en-AU"/>
        </w:rPr>
        <w:t xml:space="preserve"> </w:t>
      </w:r>
      <w:r w:rsidRPr="00D936A5">
        <w:rPr>
          <w:rFonts w:cs="Arial"/>
          <w:lang w:eastAsia="en-AU"/>
        </w:rPr>
        <w:t xml:space="preserve">to provide up to 4 weeks of treatment </w:t>
      </w:r>
      <w:r w:rsidR="004226A5" w:rsidRPr="00D936A5">
        <w:rPr>
          <w:rFonts w:cs="Arial"/>
          <w:lang w:eastAsia="en-AU"/>
        </w:rPr>
        <w:t xml:space="preserve">according to </w:t>
      </w:r>
      <w:r w:rsidRPr="00D936A5">
        <w:rPr>
          <w:rFonts w:cs="Arial"/>
          <w:lang w:eastAsia="en-AU"/>
        </w:rPr>
        <w:t>the dosage regimen specified in the approved Therapeutic Goods Administration (TGA) Product Information (PI). Up to 5 repeats will be authorised</w:t>
      </w:r>
      <w:r w:rsidR="003315BA" w:rsidRPr="00D936A5">
        <w:rPr>
          <w:rFonts w:cs="Arial"/>
          <w:lang w:eastAsia="en-AU"/>
        </w:rPr>
        <w:t>, providing</w:t>
      </w:r>
      <w:r w:rsidRPr="00D936A5">
        <w:rPr>
          <w:rFonts w:cs="Arial"/>
          <w:lang w:eastAsia="en-AU"/>
        </w:rPr>
        <w:t xml:space="preserve"> a total of 24 weeks of treatment per prescription. </w:t>
      </w:r>
      <w:r w:rsidR="0007785C" w:rsidRPr="00D936A5">
        <w:rPr>
          <w:rFonts w:cs="Arial"/>
          <w:lang w:eastAsia="en-AU"/>
        </w:rPr>
        <w:t>A separate authority prescription form must be completed for each strength requested.</w:t>
      </w:r>
    </w:p>
    <w:p w14:paraId="2820F1C0" w14:textId="32A3E9B1" w:rsidR="00E74992" w:rsidRPr="00D936A5" w:rsidRDefault="005501B4" w:rsidP="00C72A1B">
      <w:pPr>
        <w:rPr>
          <w:rFonts w:cs="Arial"/>
        </w:rPr>
      </w:pPr>
      <w:r w:rsidRPr="00D936A5">
        <w:rPr>
          <w:rFonts w:cs="Arial"/>
        </w:rPr>
        <w:t>The oral liquid form</w:t>
      </w:r>
      <w:r w:rsidR="00DE4FA8" w:rsidRPr="00D936A5">
        <w:rPr>
          <w:rFonts w:cs="Arial"/>
        </w:rPr>
        <w:t>ulation</w:t>
      </w:r>
      <w:r w:rsidRPr="00D936A5">
        <w:rPr>
          <w:rFonts w:cs="Arial"/>
        </w:rPr>
        <w:t xml:space="preserve"> of nitisinone</w:t>
      </w:r>
      <w:r w:rsidR="00382771">
        <w:rPr>
          <w:rFonts w:cs="Arial"/>
        </w:rPr>
        <w:t xml:space="preserve"> </w:t>
      </w:r>
      <w:r w:rsidRPr="00D936A5">
        <w:rPr>
          <w:rFonts w:cs="Arial"/>
        </w:rPr>
        <w:t xml:space="preserve">is only available </w:t>
      </w:r>
      <w:r w:rsidR="004310D3">
        <w:rPr>
          <w:rFonts w:cs="Arial"/>
        </w:rPr>
        <w:t>through</w:t>
      </w:r>
      <w:r w:rsidRPr="00D936A5">
        <w:rPr>
          <w:rFonts w:cs="Arial"/>
        </w:rPr>
        <w:t xml:space="preserve"> the PBS for patients under 18 years of age.</w:t>
      </w:r>
    </w:p>
    <w:p w14:paraId="429CD9DC" w14:textId="3BBD4841" w:rsidR="00DE4FA8" w:rsidRPr="00D936A5" w:rsidRDefault="001458D9" w:rsidP="001458D9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The PBS listing of </w:t>
      </w:r>
      <w:r w:rsidR="004B7CE5" w:rsidRPr="00D936A5">
        <w:rPr>
          <w:rFonts w:cs="Arial"/>
        </w:rPr>
        <w:t>nitisinone (Orfadin</w:t>
      </w:r>
      <w:r w:rsidR="004B7CE5" w:rsidRPr="00D936A5">
        <w:rPr>
          <w:rFonts w:cs="Arial"/>
          <w:vertAlign w:val="superscript"/>
        </w:rPr>
        <w:t>®</w:t>
      </w:r>
      <w:r w:rsidR="004B7CE5" w:rsidRPr="00D936A5">
        <w:rPr>
          <w:rFonts w:cs="Arial"/>
        </w:rPr>
        <w:t xml:space="preserve">) </w:t>
      </w:r>
      <w:r w:rsidR="00BA007B" w:rsidRPr="00D936A5">
        <w:rPr>
          <w:rFonts w:cs="Arial"/>
          <w:lang w:eastAsia="en-AU"/>
        </w:rPr>
        <w:t>provides access thro</w:t>
      </w:r>
      <w:r w:rsidR="006A67A2" w:rsidRPr="00D936A5">
        <w:rPr>
          <w:rFonts w:cs="Arial"/>
          <w:lang w:eastAsia="en-AU"/>
        </w:rPr>
        <w:t>ugh</w:t>
      </w:r>
      <w:r w:rsidR="00DE4FA8" w:rsidRPr="00D936A5">
        <w:rPr>
          <w:rFonts w:cs="Arial"/>
          <w:lang w:eastAsia="en-AU"/>
        </w:rPr>
        <w:t>:</w:t>
      </w:r>
    </w:p>
    <w:p w14:paraId="50176F59" w14:textId="71CB1EC6" w:rsidR="00392822" w:rsidRPr="00D936A5" w:rsidRDefault="001458D9" w:rsidP="00DE4FA8">
      <w:pPr>
        <w:pStyle w:val="ListBullet"/>
        <w:rPr>
          <w:rFonts w:cs="Arial"/>
          <w:lang w:eastAsia="en-AU"/>
        </w:rPr>
      </w:pPr>
      <w:r w:rsidRPr="00D936A5">
        <w:rPr>
          <w:rFonts w:cs="Arial"/>
          <w:lang w:eastAsia="en-AU"/>
        </w:rPr>
        <w:t>an initial treatment phase for new patients</w:t>
      </w:r>
      <w:r w:rsidR="00DE4FA8" w:rsidRPr="00D936A5">
        <w:rPr>
          <w:rFonts w:cs="Arial"/>
          <w:lang w:eastAsia="en-AU"/>
        </w:rPr>
        <w:t xml:space="preserve">, </w:t>
      </w:r>
      <w:r w:rsidR="00223F23" w:rsidRPr="00D936A5">
        <w:rPr>
          <w:rFonts w:cs="Arial"/>
          <w:lang w:eastAsia="en-AU"/>
        </w:rPr>
        <w:t>including</w:t>
      </w:r>
      <w:r w:rsidR="008D6835" w:rsidRPr="00D936A5">
        <w:rPr>
          <w:rFonts w:cs="Arial"/>
          <w:lang w:eastAsia="en-AU"/>
        </w:rPr>
        <w:t xml:space="preserve"> </w:t>
      </w:r>
      <w:r w:rsidR="000E61F6" w:rsidRPr="00D936A5">
        <w:rPr>
          <w:rFonts w:cs="Arial"/>
          <w:lang w:eastAsia="en-AU"/>
        </w:rPr>
        <w:t xml:space="preserve">those </w:t>
      </w:r>
      <w:r w:rsidR="00223F23" w:rsidRPr="00D936A5">
        <w:rPr>
          <w:rFonts w:cs="Arial"/>
          <w:lang w:eastAsia="en-AU"/>
        </w:rPr>
        <w:t>who commenced immediate</w:t>
      </w:r>
      <w:r w:rsidR="000A3DA3">
        <w:rPr>
          <w:rFonts w:cs="Arial"/>
          <w:lang w:eastAsia="en-AU"/>
        </w:rPr>
        <w:t>/emergency</w:t>
      </w:r>
      <w:r w:rsidR="00223F23" w:rsidRPr="00D936A5">
        <w:rPr>
          <w:rFonts w:cs="Arial"/>
          <w:lang w:eastAsia="en-AU"/>
        </w:rPr>
        <w:t xml:space="preserve"> non-PBS </w:t>
      </w:r>
      <w:r w:rsidR="000E61F6" w:rsidRPr="00D936A5">
        <w:rPr>
          <w:rFonts w:cs="Arial"/>
          <w:lang w:eastAsia="en-AU"/>
        </w:rPr>
        <w:t>treatment</w:t>
      </w:r>
      <w:r w:rsidR="00223F23" w:rsidRPr="00D936A5">
        <w:rPr>
          <w:rFonts w:cs="Arial"/>
          <w:lang w:eastAsia="en-AU"/>
        </w:rPr>
        <w:t xml:space="preserve"> </w:t>
      </w:r>
      <w:r w:rsidR="000E61F6" w:rsidRPr="00D936A5">
        <w:rPr>
          <w:rFonts w:cs="Arial"/>
          <w:lang w:eastAsia="en-AU"/>
        </w:rPr>
        <w:t xml:space="preserve">with nitisinone </w:t>
      </w:r>
      <w:r w:rsidR="00223F23" w:rsidRPr="00D936A5">
        <w:rPr>
          <w:rFonts w:cs="Arial"/>
          <w:lang w:eastAsia="en-AU"/>
        </w:rPr>
        <w:t>in hospital</w:t>
      </w:r>
      <w:r w:rsidR="00430CFF" w:rsidRPr="00D936A5">
        <w:rPr>
          <w:rFonts w:cs="Arial"/>
          <w:lang w:eastAsia="en-AU"/>
        </w:rPr>
        <w:t>,</w:t>
      </w:r>
      <w:r w:rsidR="00D47781" w:rsidRPr="00D936A5">
        <w:rPr>
          <w:rFonts w:cs="Arial"/>
          <w:lang w:eastAsia="en-AU"/>
        </w:rPr>
        <w:t xml:space="preserve"> provided they meet the eligibility criteria</w:t>
      </w:r>
      <w:r w:rsidR="00392822" w:rsidRPr="00D936A5">
        <w:rPr>
          <w:rFonts w:cs="Arial"/>
          <w:lang w:eastAsia="en-AU"/>
        </w:rPr>
        <w:t>;</w:t>
      </w:r>
    </w:p>
    <w:p w14:paraId="0FACC011" w14:textId="40A7CB08" w:rsidR="0053330C" w:rsidRPr="00D936A5" w:rsidRDefault="0053330C" w:rsidP="00DE4FA8">
      <w:pPr>
        <w:pStyle w:val="ListBullet"/>
        <w:rPr>
          <w:rFonts w:cs="Arial"/>
          <w:lang w:eastAsia="en-AU"/>
        </w:rPr>
      </w:pPr>
      <w:r w:rsidRPr="00D936A5">
        <w:rPr>
          <w:rFonts w:cs="Arial"/>
          <w:lang w:eastAsia="en-AU"/>
        </w:rPr>
        <w:t>a grandfather arrangement for patients transitioning from LSDP-funded treatment</w:t>
      </w:r>
      <w:r>
        <w:rPr>
          <w:rFonts w:cs="Arial"/>
          <w:lang w:eastAsia="en-AU"/>
        </w:rPr>
        <w:t>;</w:t>
      </w:r>
    </w:p>
    <w:p w14:paraId="7150F742" w14:textId="28174628" w:rsidR="0053330C" w:rsidRPr="00D936A5" w:rsidRDefault="0053330C" w:rsidP="00DE4FA8">
      <w:pPr>
        <w:pStyle w:val="ListBullet"/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a continuing treatment phase for patients who meet the continuing treatment eligibility criteria and wish to continue </w:t>
      </w:r>
      <w:r w:rsidRPr="00D936A5">
        <w:rPr>
          <w:rFonts w:cs="Arial"/>
        </w:rPr>
        <w:t>nitisinone (Orfadin</w:t>
      </w:r>
      <w:r w:rsidRPr="00D936A5">
        <w:rPr>
          <w:rFonts w:cs="Arial"/>
          <w:vertAlign w:val="superscript"/>
        </w:rPr>
        <w:t>®</w:t>
      </w:r>
      <w:r w:rsidRPr="00D936A5">
        <w:rPr>
          <w:rFonts w:cs="Arial"/>
        </w:rPr>
        <w:t>)</w:t>
      </w:r>
      <w:r w:rsidRPr="00D936A5">
        <w:rPr>
          <w:rFonts w:cs="Arial"/>
          <w:lang w:eastAsia="en-AU"/>
        </w:rPr>
        <w:t xml:space="preserve"> through the PBS.</w:t>
      </w:r>
    </w:p>
    <w:p w14:paraId="1D1DCBE0" w14:textId="35FC6DFB" w:rsidR="001458D9" w:rsidRPr="00D936A5" w:rsidRDefault="00EC1863" w:rsidP="00565E25">
      <w:pPr>
        <w:pStyle w:val="ListBullet"/>
        <w:numPr>
          <w:ilvl w:val="0"/>
          <w:numId w:val="0"/>
        </w:numPr>
        <w:rPr>
          <w:rFonts w:cs="Arial"/>
          <w:lang w:eastAsia="en-AU"/>
        </w:rPr>
      </w:pPr>
      <w:r w:rsidRPr="00D936A5">
        <w:rPr>
          <w:rFonts w:cs="Arial"/>
          <w:lang w:eastAsia="en-AU"/>
        </w:rPr>
        <w:t>The e</w:t>
      </w:r>
      <w:r w:rsidR="001458D9" w:rsidRPr="00D936A5">
        <w:rPr>
          <w:rFonts w:cs="Arial"/>
          <w:lang w:eastAsia="en-AU"/>
        </w:rPr>
        <w:t xml:space="preserve">ligibility criteria are </w:t>
      </w:r>
      <w:r w:rsidRPr="00D936A5">
        <w:rPr>
          <w:rFonts w:cs="Arial"/>
          <w:lang w:eastAsia="en-AU"/>
        </w:rPr>
        <w:t>outlined</w:t>
      </w:r>
      <w:r w:rsidR="001458D9" w:rsidRPr="00D936A5">
        <w:rPr>
          <w:rFonts w:cs="Arial"/>
          <w:lang w:eastAsia="en-AU"/>
        </w:rPr>
        <w:t xml:space="preserve"> below. </w:t>
      </w:r>
    </w:p>
    <w:p w14:paraId="2038356E" w14:textId="77777777" w:rsidR="007F4E40" w:rsidRPr="00565E25" w:rsidRDefault="007F4E40" w:rsidP="00565E25">
      <w:pPr>
        <w:pStyle w:val="ListBullet"/>
        <w:numPr>
          <w:ilvl w:val="0"/>
          <w:numId w:val="0"/>
        </w:numPr>
        <w:ind w:left="360" w:hanging="360"/>
        <w:rPr>
          <w:rFonts w:cs="Arial"/>
          <w:b/>
          <w:bCs/>
        </w:rPr>
      </w:pPr>
      <w:r w:rsidRPr="00565E25">
        <w:rPr>
          <w:rFonts w:cs="Arial"/>
          <w:b/>
          <w:bCs/>
        </w:rPr>
        <w:t>Initial treatment</w:t>
      </w:r>
    </w:p>
    <w:p w14:paraId="77B963FA" w14:textId="77777777" w:rsidR="007F4E40" w:rsidRPr="00D936A5" w:rsidRDefault="007F4E40" w:rsidP="00565E25">
      <w:pPr>
        <w:pStyle w:val="ListBullet"/>
        <w:numPr>
          <w:ilvl w:val="0"/>
          <w:numId w:val="0"/>
        </w:numPr>
        <w:ind w:left="360" w:hanging="360"/>
        <w:rPr>
          <w:rFonts w:cs="Arial"/>
          <w:lang w:eastAsia="en-AU"/>
        </w:rPr>
      </w:pPr>
      <w:r w:rsidRPr="00D936A5">
        <w:rPr>
          <w:rFonts w:cs="Arial"/>
          <w:lang w:eastAsia="en-AU"/>
        </w:rPr>
        <w:t>Prescribers must assess and document the following in the patient’s medical records:</w:t>
      </w:r>
    </w:p>
    <w:p w14:paraId="75A25E5F" w14:textId="381A595F" w:rsidR="0079556A" w:rsidRPr="00D936A5" w:rsidRDefault="002527AB" w:rsidP="001458D9">
      <w:pPr>
        <w:pStyle w:val="ListBullet"/>
        <w:rPr>
          <w:rFonts w:cs="Arial"/>
        </w:rPr>
      </w:pPr>
      <w:r w:rsidRPr="00D936A5">
        <w:rPr>
          <w:rFonts w:cs="Arial"/>
        </w:rPr>
        <w:lastRenderedPageBreak/>
        <w:t>The p</w:t>
      </w:r>
      <w:r w:rsidR="008043A1" w:rsidRPr="00D936A5">
        <w:rPr>
          <w:rFonts w:cs="Arial"/>
        </w:rPr>
        <w:t>atient must have a confirmed diagnosis of HT1 based on the presence of succinylacetone in either: (i) urine, (ii) blood</w:t>
      </w:r>
      <w:r w:rsidR="0079556A" w:rsidRPr="00D936A5">
        <w:rPr>
          <w:rFonts w:cs="Arial"/>
        </w:rPr>
        <w:t xml:space="preserve">; </w:t>
      </w:r>
      <w:r w:rsidR="0079556A" w:rsidRPr="00D936A5">
        <w:rPr>
          <w:rFonts w:cs="Arial"/>
          <w:b/>
          <w:bCs/>
        </w:rPr>
        <w:t xml:space="preserve">and </w:t>
      </w:r>
    </w:p>
    <w:p w14:paraId="359C7CA4" w14:textId="77777777" w:rsidR="0079556A" w:rsidRPr="00D936A5" w:rsidRDefault="0079556A" w:rsidP="0079556A">
      <w:pPr>
        <w:pStyle w:val="ListBullet"/>
        <w:rPr>
          <w:rFonts w:cs="Arial"/>
        </w:rPr>
      </w:pPr>
      <w:r w:rsidRPr="00D936A5">
        <w:rPr>
          <w:rFonts w:cs="Arial"/>
        </w:rPr>
        <w:t xml:space="preserve">The treatment must be in combination with dietary restriction of tyrosine and phenylalanine; </w:t>
      </w:r>
      <w:r w:rsidRPr="00D936A5">
        <w:rPr>
          <w:rFonts w:cs="Arial"/>
          <w:b/>
          <w:bCs/>
        </w:rPr>
        <w:t>and</w:t>
      </w:r>
    </w:p>
    <w:p w14:paraId="5494AF68" w14:textId="65E359AA" w:rsidR="00DB11FC" w:rsidRPr="00D936A5" w:rsidRDefault="002527AB" w:rsidP="001255B4">
      <w:pPr>
        <w:pStyle w:val="ListBullet"/>
        <w:rPr>
          <w:rFonts w:cs="Arial"/>
        </w:rPr>
      </w:pPr>
      <w:r w:rsidRPr="00D936A5">
        <w:rPr>
          <w:rFonts w:cs="Arial"/>
        </w:rPr>
        <w:t>The p</w:t>
      </w:r>
      <w:r w:rsidR="0079556A" w:rsidRPr="00D936A5">
        <w:rPr>
          <w:rFonts w:cs="Arial"/>
        </w:rPr>
        <w:t>atient must not be suffering from any other severe or life-threatening medical condition, including complications or sequelae of HT1, that might compromise the effectiveness of treatment with this drug or where the long-term prognosis is unlikely to be altered by treatment with this drug.</w:t>
      </w:r>
    </w:p>
    <w:p w14:paraId="7AC48DF2" w14:textId="77777777" w:rsidR="008B05F7" w:rsidRPr="00D936A5" w:rsidRDefault="008B05F7" w:rsidP="0079556A">
      <w:pPr>
        <w:pStyle w:val="ListBullet"/>
        <w:numPr>
          <w:ilvl w:val="0"/>
          <w:numId w:val="0"/>
        </w:numPr>
        <w:rPr>
          <w:rFonts w:cs="Arial"/>
        </w:rPr>
      </w:pPr>
    </w:p>
    <w:p w14:paraId="6C6A95A4" w14:textId="16F03605" w:rsidR="008043A1" w:rsidRPr="00565E25" w:rsidRDefault="00E700C1" w:rsidP="00E700C1">
      <w:pPr>
        <w:pStyle w:val="ListBullet"/>
        <w:numPr>
          <w:ilvl w:val="0"/>
          <w:numId w:val="0"/>
        </w:numPr>
        <w:ind w:left="360" w:hanging="360"/>
        <w:rPr>
          <w:rFonts w:cs="Arial"/>
          <w:b/>
          <w:bCs/>
        </w:rPr>
      </w:pPr>
      <w:r w:rsidRPr="00565E25">
        <w:rPr>
          <w:rFonts w:cs="Arial"/>
          <w:b/>
          <w:bCs/>
        </w:rPr>
        <w:t>Patients transitioning from LSDP</w:t>
      </w:r>
      <w:r w:rsidRPr="00565E25">
        <w:rPr>
          <w:rFonts w:cs="Arial"/>
          <w:b/>
          <w:bCs/>
        </w:rPr>
        <w:noBreakHyphen/>
        <w:t>funded treatment (grandfather arrangement)</w:t>
      </w:r>
    </w:p>
    <w:p w14:paraId="062A96C6" w14:textId="77777777" w:rsidR="001255B4" w:rsidRPr="00D936A5" w:rsidRDefault="00E700C1" w:rsidP="00E700C1">
      <w:pPr>
        <w:pStyle w:val="ListBullet"/>
        <w:numPr>
          <w:ilvl w:val="0"/>
          <w:numId w:val="0"/>
        </w:numPr>
        <w:ind w:left="360" w:hanging="360"/>
        <w:rPr>
          <w:rFonts w:cs="Arial"/>
        </w:rPr>
      </w:pPr>
      <w:r w:rsidRPr="00D936A5">
        <w:rPr>
          <w:rFonts w:cs="Arial"/>
        </w:rPr>
        <w:t>Patients may access PBS</w:t>
      </w:r>
      <w:r w:rsidRPr="00D936A5">
        <w:rPr>
          <w:rFonts w:cs="Arial"/>
        </w:rPr>
        <w:noBreakHyphen/>
        <w:t xml:space="preserve">subsidised treatment under the grandfather arrangement. </w:t>
      </w:r>
    </w:p>
    <w:p w14:paraId="252CD413" w14:textId="5FED473C" w:rsidR="001458D9" w:rsidRPr="004020E4" w:rsidRDefault="00E700C1" w:rsidP="004020E4">
      <w:pPr>
        <w:pStyle w:val="ListBullet"/>
        <w:numPr>
          <w:ilvl w:val="0"/>
          <w:numId w:val="0"/>
        </w:numPr>
        <w:ind w:left="360" w:hanging="360"/>
        <w:rPr>
          <w:rFonts w:cs="Arial"/>
        </w:rPr>
      </w:pPr>
      <w:r w:rsidRPr="00D936A5">
        <w:rPr>
          <w:rFonts w:cs="Arial"/>
        </w:rPr>
        <w:t>Prescribers must assess and document that</w:t>
      </w:r>
      <w:r w:rsidR="004020E4">
        <w:rPr>
          <w:rFonts w:cs="Arial"/>
        </w:rPr>
        <w:t xml:space="preserve"> </w:t>
      </w:r>
      <w:r w:rsidR="004020E4" w:rsidRPr="004020E4">
        <w:rPr>
          <w:rFonts w:cs="Arial"/>
        </w:rPr>
        <w:t>the following criteria are met</w:t>
      </w:r>
      <w:r w:rsidRPr="004020E4">
        <w:rPr>
          <w:rFonts w:cs="Arial"/>
        </w:rPr>
        <w:t>:</w:t>
      </w:r>
    </w:p>
    <w:p w14:paraId="57C955AF" w14:textId="2452EDE3" w:rsidR="000E7300" w:rsidRPr="00D936A5" w:rsidRDefault="002527AB" w:rsidP="001458D9">
      <w:pPr>
        <w:pStyle w:val="ListBullet"/>
        <w:rPr>
          <w:rFonts w:cs="Arial"/>
          <w:szCs w:val="22"/>
        </w:rPr>
      </w:pPr>
      <w:r w:rsidRPr="00D936A5">
        <w:rPr>
          <w:rFonts w:cs="Arial"/>
          <w:szCs w:val="22"/>
        </w:rPr>
        <w:t>The p</w:t>
      </w:r>
      <w:r w:rsidR="00047F6A" w:rsidRPr="00D936A5">
        <w:rPr>
          <w:rFonts w:cs="Arial"/>
          <w:szCs w:val="22"/>
        </w:rPr>
        <w:t>atient must have demonstrated clinical improvement or stabilisation of th</w:t>
      </w:r>
      <w:r w:rsidR="004020E4">
        <w:rPr>
          <w:rFonts w:cs="Arial"/>
          <w:szCs w:val="22"/>
        </w:rPr>
        <w:t>e</w:t>
      </w:r>
      <w:r w:rsidR="00047F6A" w:rsidRPr="00D936A5">
        <w:rPr>
          <w:rFonts w:cs="Arial"/>
          <w:szCs w:val="22"/>
        </w:rPr>
        <w:t xml:space="preserve"> condition</w:t>
      </w:r>
      <w:r w:rsidR="000E7300" w:rsidRPr="00D936A5">
        <w:rPr>
          <w:rFonts w:cs="Arial"/>
          <w:szCs w:val="22"/>
        </w:rPr>
        <w:t xml:space="preserve">; </w:t>
      </w:r>
      <w:r w:rsidR="000E7300" w:rsidRPr="00036249">
        <w:rPr>
          <w:rFonts w:cs="Arial"/>
          <w:b/>
          <w:bCs/>
          <w:szCs w:val="22"/>
        </w:rPr>
        <w:t>and</w:t>
      </w:r>
    </w:p>
    <w:p w14:paraId="4A2A89D3" w14:textId="77777777" w:rsidR="0053330C" w:rsidRPr="00D936A5" w:rsidRDefault="0053330C" w:rsidP="001458D9">
      <w:pPr>
        <w:pStyle w:val="ListBullet"/>
        <w:rPr>
          <w:rFonts w:cs="Arial"/>
          <w:szCs w:val="22"/>
        </w:rPr>
      </w:pPr>
      <w:r w:rsidRPr="00D936A5">
        <w:rPr>
          <w:rFonts w:cs="Arial"/>
          <w:szCs w:val="22"/>
        </w:rPr>
        <w:t xml:space="preserve">The patient must not have developed another life threatening/severe disease where long term prognosis is unlikely to be influenced by this drug; </w:t>
      </w:r>
      <w:r w:rsidRPr="00036249">
        <w:rPr>
          <w:rFonts w:cs="Arial"/>
          <w:b/>
          <w:bCs/>
          <w:szCs w:val="22"/>
        </w:rPr>
        <w:t>and</w:t>
      </w:r>
    </w:p>
    <w:p w14:paraId="380917A5" w14:textId="14D6FBC0" w:rsidR="00047F6A" w:rsidRPr="00D936A5" w:rsidRDefault="00334949" w:rsidP="00334949">
      <w:pPr>
        <w:pStyle w:val="ListBullet"/>
        <w:rPr>
          <w:rFonts w:cs="Arial"/>
          <w:szCs w:val="22"/>
        </w:rPr>
      </w:pPr>
      <w:r w:rsidRPr="00D936A5">
        <w:rPr>
          <w:rFonts w:cs="Arial"/>
          <w:szCs w:val="22"/>
        </w:rPr>
        <w:t>The treatment must be in combination with dietary restriction of tyrosine and phenylalanine.</w:t>
      </w:r>
      <w:r w:rsidR="00047F6A" w:rsidRPr="00D936A5">
        <w:rPr>
          <w:rFonts w:cs="Arial"/>
          <w:szCs w:val="22"/>
        </w:rPr>
        <w:t xml:space="preserve"> </w:t>
      </w:r>
    </w:p>
    <w:p w14:paraId="402D0035" w14:textId="77777777" w:rsidR="001458D9" w:rsidRPr="00D936A5" w:rsidRDefault="001458D9" w:rsidP="001458D9">
      <w:pPr>
        <w:pStyle w:val="Heading2"/>
        <w:rPr>
          <w:lang w:eastAsia="en-AU"/>
        </w:rPr>
      </w:pPr>
      <w:r w:rsidRPr="00D936A5">
        <w:rPr>
          <w:lang w:eastAsia="en-AU"/>
        </w:rPr>
        <w:t>Can patients receive continuing treatment?</w:t>
      </w:r>
    </w:p>
    <w:p w14:paraId="196DCC98" w14:textId="0A106E58" w:rsidR="001458D9" w:rsidRPr="00D936A5" w:rsidRDefault="001458D9" w:rsidP="001458D9">
      <w:pPr>
        <w:rPr>
          <w:rFonts w:cs="Arial"/>
        </w:rPr>
      </w:pPr>
      <w:r w:rsidRPr="00D936A5">
        <w:rPr>
          <w:rFonts w:cs="Arial"/>
        </w:rPr>
        <w:t xml:space="preserve">Patients can receive continuing treatment with </w:t>
      </w:r>
      <w:r w:rsidR="00400019" w:rsidRPr="00D936A5">
        <w:rPr>
          <w:rFonts w:cs="Arial"/>
        </w:rPr>
        <w:t>nitisinone (Orfadin</w:t>
      </w:r>
      <w:r w:rsidR="00400019" w:rsidRPr="00D936A5">
        <w:rPr>
          <w:rFonts w:cs="Arial"/>
          <w:vertAlign w:val="superscript"/>
        </w:rPr>
        <w:t>®</w:t>
      </w:r>
      <w:r w:rsidR="00400019" w:rsidRPr="00D936A5">
        <w:rPr>
          <w:rFonts w:cs="Arial"/>
        </w:rPr>
        <w:t>)</w:t>
      </w:r>
      <w:r w:rsidRPr="00D936A5">
        <w:rPr>
          <w:rFonts w:cs="Arial"/>
        </w:rPr>
        <w:t xml:space="preserve"> by qualifying under the contin</w:t>
      </w:r>
      <w:r w:rsidR="00430CFF" w:rsidRPr="00D936A5">
        <w:rPr>
          <w:rFonts w:cs="Arial"/>
        </w:rPr>
        <w:t>uing</w:t>
      </w:r>
      <w:r w:rsidRPr="00D936A5">
        <w:rPr>
          <w:rFonts w:cs="Arial"/>
        </w:rPr>
        <w:t xml:space="preserve"> treatment restriction criteria, </w:t>
      </w:r>
      <w:r w:rsidR="00DB11FC" w:rsidRPr="00D936A5">
        <w:rPr>
          <w:rFonts w:cs="Arial"/>
        </w:rPr>
        <w:t>outlined below.</w:t>
      </w:r>
    </w:p>
    <w:p w14:paraId="6C54FB62" w14:textId="0EBF0B95" w:rsidR="00DB11FC" w:rsidRPr="00565E25" w:rsidRDefault="00DB11FC" w:rsidP="001458D9">
      <w:pPr>
        <w:rPr>
          <w:rFonts w:cs="Arial"/>
          <w:b/>
          <w:bCs/>
        </w:rPr>
      </w:pPr>
      <w:r w:rsidRPr="00565E25">
        <w:rPr>
          <w:rFonts w:cs="Arial"/>
          <w:b/>
          <w:bCs/>
        </w:rPr>
        <w:t>Continuing treatment</w:t>
      </w:r>
    </w:p>
    <w:p w14:paraId="244EA6CE" w14:textId="0D72A31D" w:rsidR="001458D9" w:rsidRPr="00D936A5" w:rsidRDefault="002527AB" w:rsidP="001458D9">
      <w:pPr>
        <w:pStyle w:val="ListBullet"/>
        <w:rPr>
          <w:rFonts w:cs="Arial"/>
        </w:rPr>
      </w:pPr>
      <w:r w:rsidRPr="00D936A5">
        <w:rPr>
          <w:rFonts w:cs="Arial"/>
        </w:rPr>
        <w:t>The p</w:t>
      </w:r>
      <w:r w:rsidR="001458D9" w:rsidRPr="00D936A5">
        <w:rPr>
          <w:rFonts w:cs="Arial"/>
        </w:rPr>
        <w:t xml:space="preserve">atient must have received prior PBS-subsidised treatment with this drug for this condition; </w:t>
      </w:r>
      <w:r w:rsidR="001458D9" w:rsidRPr="00D936A5">
        <w:rPr>
          <w:rStyle w:val="Strong"/>
          <w:rFonts w:cs="Arial"/>
        </w:rPr>
        <w:t>and</w:t>
      </w:r>
    </w:p>
    <w:p w14:paraId="5CF63E64" w14:textId="79906E6A" w:rsidR="0053330C" w:rsidRPr="00D936A5" w:rsidRDefault="0053330C" w:rsidP="001458D9">
      <w:pPr>
        <w:pStyle w:val="ListBullet"/>
        <w:rPr>
          <w:rFonts w:cs="Arial"/>
        </w:rPr>
      </w:pPr>
      <w:r w:rsidRPr="00D936A5">
        <w:rPr>
          <w:rFonts w:cs="Arial"/>
        </w:rPr>
        <w:t xml:space="preserve">The patient must have demonstrated clinical improvement or stabilisation of </w:t>
      </w:r>
      <w:r>
        <w:rPr>
          <w:rFonts w:cs="Arial"/>
        </w:rPr>
        <w:t xml:space="preserve">the </w:t>
      </w:r>
      <w:r w:rsidRPr="00D936A5">
        <w:rPr>
          <w:rFonts w:cs="Arial"/>
        </w:rPr>
        <w:t xml:space="preserve">condition, the details of which must be kept with the patient's record; </w:t>
      </w:r>
      <w:r w:rsidRPr="00D936A5">
        <w:rPr>
          <w:rStyle w:val="Strong"/>
          <w:rFonts w:cs="Arial"/>
        </w:rPr>
        <w:t>and</w:t>
      </w:r>
    </w:p>
    <w:p w14:paraId="6DC45AE4" w14:textId="77777777" w:rsidR="0053330C" w:rsidRPr="00D936A5" w:rsidRDefault="0053330C" w:rsidP="001458D9">
      <w:pPr>
        <w:pStyle w:val="ListBullet"/>
        <w:rPr>
          <w:rFonts w:cs="Arial"/>
        </w:rPr>
      </w:pPr>
      <w:r w:rsidRPr="00D936A5">
        <w:rPr>
          <w:rFonts w:cs="Arial"/>
        </w:rPr>
        <w:t>The patient must not have developed another life threatening/severe disease where long term prognosis is unlikely to be influenced by nitisinone (Orfadin</w:t>
      </w:r>
      <w:r w:rsidRPr="00D936A5">
        <w:rPr>
          <w:rFonts w:cs="Arial"/>
          <w:vertAlign w:val="superscript"/>
        </w:rPr>
        <w:t>®</w:t>
      </w:r>
      <w:r w:rsidRPr="00D936A5">
        <w:rPr>
          <w:rFonts w:cs="Arial"/>
        </w:rPr>
        <w:t xml:space="preserve">); </w:t>
      </w:r>
      <w:r w:rsidRPr="00036249">
        <w:rPr>
          <w:rFonts w:cs="Arial"/>
          <w:b/>
          <w:bCs/>
        </w:rPr>
        <w:t>and</w:t>
      </w:r>
      <w:r w:rsidRPr="00D936A5">
        <w:rPr>
          <w:rFonts w:cs="Arial"/>
        </w:rPr>
        <w:t xml:space="preserve"> </w:t>
      </w:r>
    </w:p>
    <w:p w14:paraId="62BB371F" w14:textId="65B60EB4" w:rsidR="001458D9" w:rsidRPr="00D936A5" w:rsidRDefault="000F5E9C" w:rsidP="000F5E9C">
      <w:pPr>
        <w:pStyle w:val="ListBullet"/>
        <w:rPr>
          <w:rFonts w:cs="Arial"/>
          <w:szCs w:val="22"/>
        </w:rPr>
      </w:pPr>
      <w:r w:rsidRPr="00D936A5">
        <w:rPr>
          <w:rFonts w:cs="Arial"/>
          <w:szCs w:val="22"/>
        </w:rPr>
        <w:t xml:space="preserve">The treatment must be in combination with dietary restriction of tyrosine and phenylalanine. </w:t>
      </w:r>
    </w:p>
    <w:p w14:paraId="20DFD17E" w14:textId="30E94879" w:rsidR="0053330C" w:rsidRDefault="0053330C" w:rsidP="002F2531">
      <w:pPr>
        <w:pStyle w:val="ListBullet"/>
        <w:numPr>
          <w:ilvl w:val="0"/>
          <w:numId w:val="0"/>
        </w:numPr>
        <w:rPr>
          <w:rFonts w:eastAsia="Calibri" w:cs="Arial"/>
        </w:rPr>
      </w:pPr>
      <w:r w:rsidRPr="00D936A5">
        <w:rPr>
          <w:rFonts w:cs="Arial"/>
        </w:rPr>
        <w:t>Liver function tests (LFT</w:t>
      </w:r>
      <w:r w:rsidR="004020E4">
        <w:rPr>
          <w:rFonts w:cs="Arial"/>
        </w:rPr>
        <w:t>s</w:t>
      </w:r>
      <w:r w:rsidRPr="00D936A5">
        <w:rPr>
          <w:rFonts w:cs="Arial"/>
        </w:rPr>
        <w:t xml:space="preserve">), full blood count (FBC) and alpha-fetoprotein (AFP) results confirming </w:t>
      </w:r>
      <w:r w:rsidRPr="00D936A5">
        <w:rPr>
          <w:rFonts w:eastAsia="Calibri" w:cs="Arial"/>
        </w:rPr>
        <w:t>eligibility for continuing treatment must also be documented in the patient’s medical records.</w:t>
      </w:r>
    </w:p>
    <w:p w14:paraId="751D9DAE" w14:textId="579BBF60" w:rsidR="00E53634" w:rsidRPr="00E53634" w:rsidRDefault="00E53634" w:rsidP="00E53634">
      <w:pPr>
        <w:pStyle w:val="ListBullet"/>
        <w:rPr>
          <w:rFonts w:eastAsia="Calibri" w:cs="Arial"/>
        </w:rPr>
      </w:pPr>
      <w:r w:rsidRPr="00E53634">
        <w:rPr>
          <w:rFonts w:eastAsia="Calibri" w:cs="Arial"/>
        </w:rPr>
        <w:t xml:space="preserve">The PBS item codes for nitisinone presentations </w:t>
      </w:r>
      <w:r w:rsidR="00F77986">
        <w:rPr>
          <w:rFonts w:eastAsia="Calibri" w:cs="Arial"/>
        </w:rPr>
        <w:t>under S100 HSD</w:t>
      </w:r>
      <w:r w:rsidRPr="00E53634">
        <w:rPr>
          <w:rFonts w:eastAsia="Calibri" w:cs="Arial"/>
        </w:rPr>
        <w:t xml:space="preserve"> </w:t>
      </w:r>
      <w:r w:rsidR="00331A02">
        <w:rPr>
          <w:rFonts w:eastAsia="Calibri" w:cs="Arial"/>
        </w:rPr>
        <w:t>P</w:t>
      </w:r>
      <w:r w:rsidRPr="00E53634">
        <w:rPr>
          <w:rFonts w:eastAsia="Calibri" w:cs="Arial"/>
        </w:rPr>
        <w:t xml:space="preserve">ublic (HB) and </w:t>
      </w:r>
      <w:r w:rsidR="00331A02">
        <w:rPr>
          <w:rFonts w:eastAsia="Calibri" w:cs="Arial"/>
        </w:rPr>
        <w:t>P</w:t>
      </w:r>
      <w:r w:rsidRPr="00E53634">
        <w:rPr>
          <w:rFonts w:eastAsia="Calibri" w:cs="Arial"/>
        </w:rPr>
        <w:t>rivate (HS) hospitals are as follows:</w:t>
      </w:r>
    </w:p>
    <w:p w14:paraId="0C37068A" w14:textId="3828EE45" w:rsidR="00E53634" w:rsidRPr="00E53634" w:rsidRDefault="00E53634" w:rsidP="00E53634">
      <w:pPr>
        <w:pStyle w:val="ListBullet"/>
        <w:numPr>
          <w:ilvl w:val="0"/>
          <w:numId w:val="31"/>
        </w:numPr>
        <w:rPr>
          <w:rFonts w:eastAsia="Calibri" w:cs="Arial"/>
        </w:rPr>
      </w:pPr>
      <w:r w:rsidRPr="00E53634">
        <w:rPr>
          <w:rFonts w:eastAsia="Calibri" w:cs="Arial"/>
          <w:b/>
          <w:bCs/>
        </w:rPr>
        <w:t>Nitisinone 2 mg capsule:</w:t>
      </w:r>
      <w:r w:rsidRPr="00E53634">
        <w:rPr>
          <w:rFonts w:eastAsia="Calibri" w:cs="Arial"/>
        </w:rPr>
        <w:t xml:space="preserve"> 15482W (HB)</w:t>
      </w:r>
      <w:r w:rsidR="00F77986" w:rsidRPr="00F77986">
        <w:rPr>
          <w:rFonts w:eastAsia="Calibri" w:cs="Arial"/>
        </w:rPr>
        <w:t xml:space="preserve"> </w:t>
      </w:r>
      <w:r w:rsidR="00F77986">
        <w:rPr>
          <w:rFonts w:eastAsia="Calibri" w:cs="Arial"/>
        </w:rPr>
        <w:t xml:space="preserve">and </w:t>
      </w:r>
      <w:r w:rsidR="00F77986" w:rsidRPr="00E53634">
        <w:rPr>
          <w:rFonts w:eastAsia="Calibri" w:cs="Arial"/>
        </w:rPr>
        <w:t>15481T (HS)</w:t>
      </w:r>
      <w:r w:rsidR="00F77986">
        <w:rPr>
          <w:rFonts w:eastAsia="Calibri" w:cs="Arial"/>
        </w:rPr>
        <w:t>;</w:t>
      </w:r>
    </w:p>
    <w:p w14:paraId="36028605" w14:textId="42956ED6" w:rsidR="00E53634" w:rsidRPr="00E53634" w:rsidRDefault="00E53634" w:rsidP="00E53634">
      <w:pPr>
        <w:pStyle w:val="ListBullet"/>
        <w:numPr>
          <w:ilvl w:val="0"/>
          <w:numId w:val="31"/>
        </w:numPr>
        <w:rPr>
          <w:rFonts w:eastAsia="Calibri" w:cs="Arial"/>
        </w:rPr>
      </w:pPr>
      <w:r w:rsidRPr="00E53634">
        <w:rPr>
          <w:rFonts w:eastAsia="Calibri" w:cs="Arial"/>
          <w:b/>
          <w:bCs/>
        </w:rPr>
        <w:t>Nitisinone 5 mg capsule:</w:t>
      </w:r>
      <w:r w:rsidRPr="00E53634">
        <w:rPr>
          <w:rFonts w:eastAsia="Calibri" w:cs="Arial"/>
        </w:rPr>
        <w:t xml:space="preserve"> 15460Q (HB)</w:t>
      </w:r>
      <w:r w:rsidR="00F77986" w:rsidRPr="00F77986">
        <w:rPr>
          <w:rFonts w:eastAsia="Calibri" w:cs="Arial"/>
        </w:rPr>
        <w:t xml:space="preserve"> </w:t>
      </w:r>
      <w:r w:rsidR="00F77986">
        <w:rPr>
          <w:rFonts w:eastAsia="Calibri" w:cs="Arial"/>
        </w:rPr>
        <w:t xml:space="preserve">and </w:t>
      </w:r>
      <w:r w:rsidR="00F77986" w:rsidRPr="00E53634">
        <w:rPr>
          <w:rFonts w:eastAsia="Calibri" w:cs="Arial"/>
        </w:rPr>
        <w:t>15425W (HS)</w:t>
      </w:r>
      <w:r w:rsidR="00F77986">
        <w:rPr>
          <w:rFonts w:eastAsia="Calibri" w:cs="Arial"/>
        </w:rPr>
        <w:t>;</w:t>
      </w:r>
    </w:p>
    <w:p w14:paraId="19DC35E6" w14:textId="1D0092C2" w:rsidR="00E53634" w:rsidRPr="00E53634" w:rsidRDefault="00E53634" w:rsidP="00E53634">
      <w:pPr>
        <w:pStyle w:val="ListBullet"/>
        <w:numPr>
          <w:ilvl w:val="0"/>
          <w:numId w:val="31"/>
        </w:numPr>
        <w:rPr>
          <w:rFonts w:eastAsia="Calibri" w:cs="Arial"/>
        </w:rPr>
      </w:pPr>
      <w:r w:rsidRPr="00E53634">
        <w:rPr>
          <w:rFonts w:eastAsia="Calibri" w:cs="Arial"/>
          <w:b/>
          <w:bCs/>
        </w:rPr>
        <w:t>Nitisinone 10 mg capsule:</w:t>
      </w:r>
      <w:r w:rsidRPr="00E53634">
        <w:rPr>
          <w:rFonts w:eastAsia="Calibri" w:cs="Arial"/>
        </w:rPr>
        <w:t xml:space="preserve"> 15435J (HB)</w:t>
      </w:r>
      <w:r w:rsidR="00F77986" w:rsidRPr="00F77986">
        <w:rPr>
          <w:rFonts w:eastAsia="Calibri" w:cs="Arial"/>
        </w:rPr>
        <w:t xml:space="preserve"> </w:t>
      </w:r>
      <w:r w:rsidR="00F77986">
        <w:rPr>
          <w:rFonts w:eastAsia="Calibri" w:cs="Arial"/>
        </w:rPr>
        <w:t xml:space="preserve">and </w:t>
      </w:r>
      <w:r w:rsidR="00F77986" w:rsidRPr="00E53634">
        <w:rPr>
          <w:rFonts w:eastAsia="Calibri" w:cs="Arial"/>
        </w:rPr>
        <w:t>15467C (HS</w:t>
      </w:r>
      <w:r w:rsidR="00F77986">
        <w:rPr>
          <w:rFonts w:eastAsia="Calibri" w:cs="Arial"/>
        </w:rPr>
        <w:t>);</w:t>
      </w:r>
    </w:p>
    <w:p w14:paraId="300C885B" w14:textId="6BDCB695" w:rsidR="00E53634" w:rsidRPr="00E53634" w:rsidRDefault="00E53634" w:rsidP="00E53634">
      <w:pPr>
        <w:pStyle w:val="ListBullet"/>
        <w:numPr>
          <w:ilvl w:val="0"/>
          <w:numId w:val="31"/>
        </w:numPr>
        <w:rPr>
          <w:rFonts w:eastAsia="Calibri" w:cs="Arial"/>
        </w:rPr>
      </w:pPr>
      <w:r w:rsidRPr="00E53634">
        <w:rPr>
          <w:rFonts w:eastAsia="Calibri" w:cs="Arial"/>
          <w:b/>
          <w:bCs/>
        </w:rPr>
        <w:t>Nitisinone 20 mg capsule:</w:t>
      </w:r>
      <w:r w:rsidRPr="00E53634">
        <w:rPr>
          <w:rFonts w:eastAsia="Calibri" w:cs="Arial"/>
        </w:rPr>
        <w:t xml:space="preserve"> 15501W (HB)</w:t>
      </w:r>
      <w:r w:rsidR="00F77986" w:rsidRPr="00F77986">
        <w:rPr>
          <w:rFonts w:eastAsia="Calibri" w:cs="Arial"/>
        </w:rPr>
        <w:t xml:space="preserve"> </w:t>
      </w:r>
      <w:r w:rsidR="00F77986">
        <w:rPr>
          <w:rFonts w:eastAsia="Calibri" w:cs="Arial"/>
        </w:rPr>
        <w:t xml:space="preserve">and </w:t>
      </w:r>
      <w:r w:rsidR="00F77986" w:rsidRPr="00E53634">
        <w:rPr>
          <w:rFonts w:eastAsia="Calibri" w:cs="Arial"/>
        </w:rPr>
        <w:t>15459P (HS)</w:t>
      </w:r>
      <w:r w:rsidR="00F77986">
        <w:rPr>
          <w:rFonts w:eastAsia="Calibri" w:cs="Arial"/>
        </w:rPr>
        <w:t>;</w:t>
      </w:r>
    </w:p>
    <w:p w14:paraId="6BD7CFB1" w14:textId="31AAA13B" w:rsidR="00E53634" w:rsidRPr="00E53634" w:rsidRDefault="00E53634" w:rsidP="00E53634">
      <w:pPr>
        <w:pStyle w:val="ListBullet"/>
        <w:numPr>
          <w:ilvl w:val="0"/>
          <w:numId w:val="31"/>
        </w:numPr>
        <w:rPr>
          <w:rFonts w:eastAsia="Calibri" w:cs="Arial"/>
        </w:rPr>
      </w:pPr>
      <w:r w:rsidRPr="00E53634">
        <w:rPr>
          <w:rFonts w:eastAsia="Calibri" w:cs="Arial"/>
          <w:b/>
          <w:bCs/>
        </w:rPr>
        <w:t>Nitisinone 4 mg/mL oral liquid:</w:t>
      </w:r>
      <w:r w:rsidRPr="00E53634">
        <w:rPr>
          <w:rFonts w:eastAsia="Calibri" w:cs="Arial"/>
        </w:rPr>
        <w:t xml:space="preserve"> 15426X (HB)</w:t>
      </w:r>
      <w:r w:rsidR="00F77986" w:rsidRPr="00F77986">
        <w:rPr>
          <w:rFonts w:eastAsia="Calibri" w:cs="Arial"/>
        </w:rPr>
        <w:t xml:space="preserve"> </w:t>
      </w:r>
      <w:r w:rsidR="00F77986">
        <w:rPr>
          <w:rFonts w:eastAsia="Calibri" w:cs="Arial"/>
        </w:rPr>
        <w:t xml:space="preserve">and </w:t>
      </w:r>
      <w:r w:rsidR="00F77986" w:rsidRPr="00E53634">
        <w:rPr>
          <w:rFonts w:eastAsia="Calibri" w:cs="Arial"/>
        </w:rPr>
        <w:t>15502X (HS)</w:t>
      </w:r>
      <w:r w:rsidR="00F77986">
        <w:rPr>
          <w:rFonts w:eastAsia="Calibri" w:cs="Arial"/>
        </w:rPr>
        <w:t>.</w:t>
      </w:r>
    </w:p>
    <w:p w14:paraId="433E98AC" w14:textId="5426EBDC" w:rsidR="001458D9" w:rsidRPr="00D936A5" w:rsidRDefault="001458D9" w:rsidP="001458D9">
      <w:pPr>
        <w:rPr>
          <w:rFonts w:cs="Arial"/>
        </w:rPr>
      </w:pPr>
      <w:r w:rsidRPr="00D936A5">
        <w:rPr>
          <w:rFonts w:cs="Arial"/>
        </w:rPr>
        <w:lastRenderedPageBreak/>
        <w:t xml:space="preserve">From 1 </w:t>
      </w:r>
      <w:r w:rsidR="00C9176F" w:rsidRPr="00D936A5">
        <w:rPr>
          <w:rFonts w:cs="Arial"/>
        </w:rPr>
        <w:t>August 2026</w:t>
      </w:r>
      <w:r w:rsidRPr="00D936A5">
        <w:rPr>
          <w:rFonts w:cs="Arial"/>
        </w:rPr>
        <w:t xml:space="preserve">, </w:t>
      </w:r>
      <w:r w:rsidR="00DB11FC" w:rsidRPr="00D936A5">
        <w:rPr>
          <w:rFonts w:cs="Arial"/>
        </w:rPr>
        <w:t xml:space="preserve">further details will be available in the </w:t>
      </w:r>
      <w:hyperlink r:id="rId13" w:history="1">
        <w:r w:rsidRPr="00D6373A">
          <w:rPr>
            <w:rStyle w:val="Hyperlink"/>
            <w:rFonts w:cs="Arial"/>
          </w:rPr>
          <w:t xml:space="preserve">PBS </w:t>
        </w:r>
        <w:r w:rsidR="004020E4">
          <w:rPr>
            <w:rStyle w:val="Hyperlink"/>
            <w:rFonts w:cs="Arial"/>
          </w:rPr>
          <w:t>S</w:t>
        </w:r>
        <w:r w:rsidRPr="00D6373A">
          <w:rPr>
            <w:rStyle w:val="Hyperlink"/>
            <w:rFonts w:cs="Arial"/>
          </w:rPr>
          <w:t>chedule</w:t>
        </w:r>
      </w:hyperlink>
      <w:r w:rsidR="00D6373A">
        <w:t>.</w:t>
      </w:r>
    </w:p>
    <w:bookmarkEnd w:id="1"/>
    <w:p w14:paraId="5373D45A" w14:textId="77777777" w:rsidR="001458D9" w:rsidRPr="00D936A5" w:rsidRDefault="001458D9" w:rsidP="001458D9">
      <w:pPr>
        <w:pStyle w:val="Heading2"/>
        <w:rPr>
          <w:lang w:eastAsia="en-AU"/>
        </w:rPr>
      </w:pPr>
      <w:r w:rsidRPr="00D936A5">
        <w:rPr>
          <w:lang w:eastAsia="en-AU"/>
        </w:rPr>
        <w:t>Is there a change to the cost for patients?</w:t>
      </w:r>
    </w:p>
    <w:p w14:paraId="33BC1535" w14:textId="74E3B954" w:rsidR="00BE00CF" w:rsidRPr="00255735" w:rsidRDefault="001458D9" w:rsidP="001458D9">
      <w:pPr>
        <w:rPr>
          <w:rFonts w:cs="Arial"/>
        </w:rPr>
      </w:pPr>
      <w:r w:rsidRPr="00D936A5">
        <w:rPr>
          <w:rFonts w:cs="Arial"/>
        </w:rPr>
        <w:t xml:space="preserve">Yes. </w:t>
      </w:r>
      <w:r w:rsidR="00911CFD" w:rsidRPr="00D936A5">
        <w:rPr>
          <w:rFonts w:cs="Arial"/>
        </w:rPr>
        <w:t>As with other PBS-subsidised medicines</w:t>
      </w:r>
      <w:r w:rsidRPr="00D936A5">
        <w:rPr>
          <w:rFonts w:cs="Arial"/>
        </w:rPr>
        <w:t>, patients are required to make a co</w:t>
      </w:r>
      <w:r w:rsidRPr="00D936A5">
        <w:rPr>
          <w:rFonts w:cs="Arial"/>
        </w:rPr>
        <w:noBreakHyphen/>
        <w:t xml:space="preserve">payment towards the cost of their treatment with </w:t>
      </w:r>
      <w:r w:rsidR="00C9176F" w:rsidRPr="00D936A5">
        <w:rPr>
          <w:rFonts w:cs="Arial"/>
        </w:rPr>
        <w:t>nitisinone (Orfadin</w:t>
      </w:r>
      <w:r w:rsidR="00C9176F" w:rsidRPr="00D936A5">
        <w:rPr>
          <w:rFonts w:cs="Arial"/>
          <w:vertAlign w:val="superscript"/>
        </w:rPr>
        <w:t>®</w:t>
      </w:r>
      <w:r w:rsidR="00C9176F" w:rsidRPr="00D936A5">
        <w:rPr>
          <w:rFonts w:cs="Arial"/>
        </w:rPr>
        <w:t>)</w:t>
      </w:r>
      <w:r w:rsidRPr="00D936A5">
        <w:rPr>
          <w:rFonts w:cs="Arial"/>
        </w:rPr>
        <w:t xml:space="preserve">. </w:t>
      </w:r>
    </w:p>
    <w:p w14:paraId="1DA660AE" w14:textId="29D206F7" w:rsidR="001458D9" w:rsidRPr="00D936A5" w:rsidRDefault="00BE00CF" w:rsidP="001458D9">
      <w:pPr>
        <w:rPr>
          <w:rFonts w:cs="Arial"/>
        </w:rPr>
      </w:pPr>
      <w:r w:rsidRPr="00D936A5">
        <w:rPr>
          <w:rFonts w:cs="Arial"/>
        </w:rPr>
        <w:t>In 2026</w:t>
      </w:r>
      <w:r w:rsidR="003568EA" w:rsidRPr="00D936A5">
        <w:rPr>
          <w:rFonts w:cs="Arial"/>
        </w:rPr>
        <w:t xml:space="preserve">, the </w:t>
      </w:r>
      <w:r w:rsidR="001458D9" w:rsidRPr="00D936A5">
        <w:rPr>
          <w:rFonts w:cs="Arial"/>
        </w:rPr>
        <w:t>co</w:t>
      </w:r>
      <w:r w:rsidR="001458D9" w:rsidRPr="00D936A5">
        <w:rPr>
          <w:rFonts w:cs="Arial"/>
        </w:rPr>
        <w:noBreakHyphen/>
        <w:t xml:space="preserve">payment </w:t>
      </w:r>
      <w:r w:rsidR="003568EA" w:rsidRPr="00D936A5">
        <w:rPr>
          <w:rFonts w:cs="Arial"/>
        </w:rPr>
        <w:t xml:space="preserve">is </w:t>
      </w:r>
      <w:r w:rsidR="001458D9" w:rsidRPr="00D936A5">
        <w:rPr>
          <w:rFonts w:cs="Arial"/>
        </w:rPr>
        <w:t>$</w:t>
      </w:r>
      <w:r w:rsidR="00C9176F" w:rsidRPr="00D936A5">
        <w:rPr>
          <w:rFonts w:cs="Arial"/>
        </w:rPr>
        <w:t>25.00</w:t>
      </w:r>
      <w:r w:rsidR="001458D9" w:rsidRPr="00D936A5">
        <w:rPr>
          <w:rFonts w:cs="Arial"/>
        </w:rPr>
        <w:t xml:space="preserve"> </w:t>
      </w:r>
      <w:r w:rsidR="003568EA" w:rsidRPr="00D936A5">
        <w:rPr>
          <w:rFonts w:cs="Arial"/>
        </w:rPr>
        <w:t xml:space="preserve">or </w:t>
      </w:r>
      <w:r w:rsidR="001458D9" w:rsidRPr="00D936A5">
        <w:rPr>
          <w:rFonts w:cs="Arial"/>
        </w:rPr>
        <w:t xml:space="preserve">$7.70 </w:t>
      </w:r>
      <w:r w:rsidR="003568EA" w:rsidRPr="00D936A5">
        <w:rPr>
          <w:rFonts w:cs="Arial"/>
        </w:rPr>
        <w:t xml:space="preserve">for patients </w:t>
      </w:r>
      <w:r w:rsidR="001458D9" w:rsidRPr="00D936A5">
        <w:rPr>
          <w:rFonts w:cs="Arial"/>
        </w:rPr>
        <w:t xml:space="preserve">with a concession card, </w:t>
      </w:r>
      <w:r w:rsidR="00C11333" w:rsidRPr="00D936A5">
        <w:rPr>
          <w:rFonts w:cs="Arial"/>
        </w:rPr>
        <w:t>for</w:t>
      </w:r>
      <w:r w:rsidR="001458D9" w:rsidRPr="00D936A5">
        <w:rPr>
          <w:rFonts w:cs="Arial"/>
        </w:rPr>
        <w:t xml:space="preserve"> </w:t>
      </w:r>
      <w:r w:rsidR="003568EA" w:rsidRPr="00D936A5">
        <w:rPr>
          <w:rFonts w:cs="Arial"/>
        </w:rPr>
        <w:t xml:space="preserve">each </w:t>
      </w:r>
      <w:r w:rsidR="001458D9" w:rsidRPr="00D936A5">
        <w:rPr>
          <w:rFonts w:cs="Arial"/>
        </w:rPr>
        <w:t>dispensing of</w:t>
      </w:r>
      <w:r w:rsidR="003568EA" w:rsidRPr="00D936A5">
        <w:rPr>
          <w:rFonts w:cs="Arial"/>
        </w:rPr>
        <w:t xml:space="preserve"> a</w:t>
      </w:r>
      <w:r w:rsidR="001458D9" w:rsidRPr="00D936A5">
        <w:rPr>
          <w:rFonts w:cs="Arial"/>
        </w:rPr>
        <w:t xml:space="preserve"> prescription. </w:t>
      </w:r>
    </w:p>
    <w:p w14:paraId="12D7C0D7" w14:textId="6C90B9F1" w:rsidR="001458D9" w:rsidRPr="00D936A5" w:rsidRDefault="003568EA" w:rsidP="001458D9">
      <w:pPr>
        <w:rPr>
          <w:rFonts w:cs="Arial"/>
        </w:rPr>
      </w:pPr>
      <w:r w:rsidRPr="00D936A5">
        <w:rPr>
          <w:rFonts w:cs="Arial"/>
        </w:rPr>
        <w:t>P</w:t>
      </w:r>
      <w:r w:rsidR="001458D9" w:rsidRPr="00D936A5">
        <w:rPr>
          <w:rFonts w:cs="Arial"/>
        </w:rPr>
        <w:t>atient contribution</w:t>
      </w:r>
      <w:r w:rsidRPr="00D936A5">
        <w:rPr>
          <w:rFonts w:cs="Arial"/>
        </w:rPr>
        <w:t>s</w:t>
      </w:r>
      <w:r w:rsidR="001458D9" w:rsidRPr="00D936A5">
        <w:rPr>
          <w:rFonts w:cs="Arial"/>
        </w:rPr>
        <w:t xml:space="preserve"> </w:t>
      </w:r>
      <w:r w:rsidR="007C1A97" w:rsidRPr="00D936A5">
        <w:rPr>
          <w:rFonts w:cs="Arial"/>
        </w:rPr>
        <w:t xml:space="preserve">for </w:t>
      </w:r>
      <w:r w:rsidR="001458D9" w:rsidRPr="00D936A5">
        <w:rPr>
          <w:rFonts w:cs="Arial"/>
        </w:rPr>
        <w:t xml:space="preserve">PBS prescriptions for </w:t>
      </w:r>
      <w:r w:rsidR="00C9176F" w:rsidRPr="00D936A5">
        <w:rPr>
          <w:rFonts w:cs="Arial"/>
        </w:rPr>
        <w:t>nitisinone (Orfadin</w:t>
      </w:r>
      <w:r w:rsidR="00C9176F" w:rsidRPr="00D936A5">
        <w:rPr>
          <w:rFonts w:cs="Arial"/>
          <w:vertAlign w:val="superscript"/>
        </w:rPr>
        <w:t>®</w:t>
      </w:r>
      <w:r w:rsidR="00C9176F" w:rsidRPr="00D936A5">
        <w:rPr>
          <w:rFonts w:cs="Arial"/>
        </w:rPr>
        <w:t xml:space="preserve">) </w:t>
      </w:r>
      <w:r w:rsidR="001458D9" w:rsidRPr="00D936A5">
        <w:rPr>
          <w:rFonts w:cs="Arial"/>
        </w:rPr>
        <w:t xml:space="preserve">will </w:t>
      </w:r>
      <w:r w:rsidRPr="00D936A5">
        <w:rPr>
          <w:rFonts w:cs="Arial"/>
        </w:rPr>
        <w:t>count</w:t>
      </w:r>
      <w:r w:rsidR="001458D9" w:rsidRPr="00D936A5">
        <w:rPr>
          <w:rFonts w:cs="Arial"/>
        </w:rPr>
        <w:t xml:space="preserve"> towards the patient’s </w:t>
      </w:r>
      <w:hyperlink r:id="rId14" w:history="1">
        <w:r w:rsidR="00D6373A" w:rsidRPr="005C68FB">
          <w:rPr>
            <w:rStyle w:val="Hyperlink"/>
          </w:rPr>
          <w:t>PBS Safety Net</w:t>
        </w:r>
      </w:hyperlink>
      <w:r w:rsidR="001458D9" w:rsidRPr="00D936A5">
        <w:rPr>
          <w:rFonts w:cs="Arial"/>
        </w:rPr>
        <w:t xml:space="preserve"> threshold.</w:t>
      </w:r>
      <w:r w:rsidR="00DE5467">
        <w:rPr>
          <w:rFonts w:cs="Arial"/>
        </w:rPr>
        <w:t xml:space="preserve"> </w:t>
      </w:r>
    </w:p>
    <w:p w14:paraId="2BB8A043" w14:textId="4DA35394" w:rsidR="0053330C" w:rsidRPr="00D936A5" w:rsidRDefault="0053330C" w:rsidP="001458D9">
      <w:pPr>
        <w:rPr>
          <w:rFonts w:cs="Arial"/>
        </w:rPr>
      </w:pPr>
      <w:bookmarkStart w:id="2" w:name="_Hlk94002703"/>
      <w:r w:rsidRPr="00D936A5">
        <w:rPr>
          <w:rFonts w:cs="Arial"/>
        </w:rPr>
        <w:t xml:space="preserve">Patients can seek further information from their local pharmacy, the PBS Information telephone line on 1800 020 613, the PBS website at </w:t>
      </w:r>
      <w:hyperlink r:id="rId15" w:history="1">
        <w:r w:rsidRPr="00D936A5">
          <w:rPr>
            <w:rStyle w:val="Hyperlink"/>
            <w:rFonts w:cs="Arial"/>
          </w:rPr>
          <w:t>www.pbs.gov.au</w:t>
        </w:r>
      </w:hyperlink>
      <w:r w:rsidRPr="00D936A5">
        <w:rPr>
          <w:rFonts w:cs="Arial"/>
        </w:rPr>
        <w:t xml:space="preserve"> or </w:t>
      </w:r>
      <w:r>
        <w:rPr>
          <w:rFonts w:cs="Arial"/>
        </w:rPr>
        <w:t xml:space="preserve">the </w:t>
      </w:r>
      <w:r w:rsidRPr="00D936A5">
        <w:rPr>
          <w:rFonts w:cs="Arial"/>
        </w:rPr>
        <w:t xml:space="preserve">Services Australia website at </w:t>
      </w:r>
      <w:hyperlink r:id="rId16" w:history="1">
        <w:r w:rsidRPr="00D936A5">
          <w:rPr>
            <w:rStyle w:val="Hyperlink"/>
            <w:rFonts w:cs="Arial"/>
          </w:rPr>
          <w:t>www.servicesaustralia.gov.au</w:t>
        </w:r>
      </w:hyperlink>
      <w:r w:rsidRPr="00D936A5">
        <w:rPr>
          <w:rFonts w:cs="Arial"/>
        </w:rPr>
        <w:t>.</w:t>
      </w:r>
    </w:p>
    <w:p w14:paraId="7A84B8E6" w14:textId="77777777" w:rsidR="001458D9" w:rsidRPr="00D936A5" w:rsidRDefault="001458D9" w:rsidP="001458D9">
      <w:pPr>
        <w:pStyle w:val="Heading2"/>
        <w:rPr>
          <w:lang w:eastAsia="en-AU"/>
        </w:rPr>
      </w:pPr>
      <w:r w:rsidRPr="00D936A5">
        <w:rPr>
          <w:lang w:eastAsia="en-AU"/>
        </w:rPr>
        <w:t>Will pharmacies stock these medicines?</w:t>
      </w:r>
    </w:p>
    <w:p w14:paraId="632CEE17" w14:textId="0E8431E9" w:rsidR="00553D0D" w:rsidRDefault="001458D9" w:rsidP="001458D9">
      <w:pPr>
        <w:rPr>
          <w:rFonts w:cs="Arial"/>
          <w:lang w:eastAsia="en-AU"/>
        </w:rPr>
      </w:pPr>
      <w:r w:rsidRPr="00D936A5">
        <w:rPr>
          <w:rFonts w:cs="Arial"/>
          <w:lang w:eastAsia="en-AU"/>
        </w:rPr>
        <w:t xml:space="preserve">Yes. </w:t>
      </w:r>
      <w:r w:rsidR="00553D0D">
        <w:rPr>
          <w:rFonts w:cs="Arial"/>
          <w:lang w:eastAsia="en-AU"/>
        </w:rPr>
        <w:t>PBS-subsidised n</w:t>
      </w:r>
      <w:r w:rsidR="00C40E6D" w:rsidRPr="00D936A5">
        <w:rPr>
          <w:rFonts w:cs="Arial"/>
          <w:lang w:eastAsia="en-AU"/>
        </w:rPr>
        <w:t xml:space="preserve">itisinone </w:t>
      </w:r>
      <w:r w:rsidR="00B57B77">
        <w:rPr>
          <w:rFonts w:cs="Arial"/>
          <w:lang w:eastAsia="en-AU"/>
        </w:rPr>
        <w:t xml:space="preserve">(Orfadin®) </w:t>
      </w:r>
      <w:r w:rsidR="00C40E6D" w:rsidRPr="00D936A5">
        <w:rPr>
          <w:rFonts w:cs="Arial"/>
          <w:lang w:eastAsia="en-AU"/>
        </w:rPr>
        <w:t xml:space="preserve">can be dispensed </w:t>
      </w:r>
      <w:r w:rsidR="00881860" w:rsidRPr="00D936A5">
        <w:rPr>
          <w:rFonts w:cs="Arial"/>
          <w:lang w:eastAsia="en-AU"/>
        </w:rPr>
        <w:t>by</w:t>
      </w:r>
      <w:r w:rsidR="00812E83" w:rsidRPr="00812E83">
        <w:rPr>
          <w:rFonts w:cs="Arial"/>
        </w:rPr>
        <w:t xml:space="preserve"> </w:t>
      </w:r>
      <w:r w:rsidR="00812E83" w:rsidRPr="00553D0D">
        <w:rPr>
          <w:rFonts w:cs="Arial"/>
        </w:rPr>
        <w:t>community pharmacies</w:t>
      </w:r>
      <w:r w:rsidR="00812E83">
        <w:rPr>
          <w:rFonts w:cs="Arial"/>
        </w:rPr>
        <w:t>, or alternatively by</w:t>
      </w:r>
      <w:r w:rsidR="00553D0D">
        <w:rPr>
          <w:rFonts w:cs="Arial"/>
          <w:lang w:eastAsia="en-AU"/>
        </w:rPr>
        <w:t>:</w:t>
      </w:r>
    </w:p>
    <w:p w14:paraId="30F1DACC" w14:textId="6C2536A6" w:rsidR="00553D0D" w:rsidRDefault="00553D0D" w:rsidP="00553D0D">
      <w:pPr>
        <w:pStyle w:val="ListParagraph"/>
        <w:numPr>
          <w:ilvl w:val="0"/>
          <w:numId w:val="30"/>
        </w:numPr>
        <w:rPr>
          <w:rFonts w:cs="Arial"/>
          <w:lang w:eastAsia="en-AU"/>
        </w:rPr>
      </w:pPr>
      <w:r>
        <w:rPr>
          <w:rFonts w:cs="Arial"/>
          <w:lang w:eastAsia="en-AU"/>
        </w:rPr>
        <w:t xml:space="preserve">public hospital </w:t>
      </w:r>
      <w:r w:rsidR="00881860" w:rsidRPr="00553D0D">
        <w:rPr>
          <w:rFonts w:cs="Arial"/>
          <w:lang w:eastAsia="en-AU"/>
        </w:rPr>
        <w:t>pharmacies</w:t>
      </w:r>
      <w:r w:rsidR="00C40E6D" w:rsidRPr="00553D0D">
        <w:rPr>
          <w:rFonts w:cs="Arial"/>
          <w:lang w:eastAsia="en-AU"/>
        </w:rPr>
        <w:t xml:space="preserve"> </w:t>
      </w:r>
      <w:r>
        <w:rPr>
          <w:rFonts w:cs="Arial"/>
          <w:lang w:eastAsia="en-AU"/>
        </w:rPr>
        <w:t xml:space="preserve">for </w:t>
      </w:r>
      <w:r w:rsidR="00812E83">
        <w:rPr>
          <w:rFonts w:cs="Arial"/>
          <w:lang w:eastAsia="en-AU"/>
        </w:rPr>
        <w:t xml:space="preserve">eligible </w:t>
      </w:r>
      <w:r>
        <w:rPr>
          <w:rFonts w:cs="Arial"/>
          <w:lang w:eastAsia="en-AU"/>
        </w:rPr>
        <w:t xml:space="preserve">patients receiving treatment at or from </w:t>
      </w:r>
      <w:r w:rsidR="007A057A" w:rsidRPr="00553D0D">
        <w:rPr>
          <w:rFonts w:cs="Arial"/>
        </w:rPr>
        <w:t>public</w:t>
      </w:r>
      <w:r w:rsidR="00812E83">
        <w:rPr>
          <w:rFonts w:cs="Arial"/>
        </w:rPr>
        <w:t> </w:t>
      </w:r>
      <w:r w:rsidR="007A057A" w:rsidRPr="00553D0D">
        <w:rPr>
          <w:rFonts w:cs="Arial"/>
        </w:rPr>
        <w:t xml:space="preserve">hospitals </w:t>
      </w:r>
      <w:r>
        <w:rPr>
          <w:rFonts w:cs="Arial"/>
        </w:rPr>
        <w:t xml:space="preserve">(as </w:t>
      </w:r>
      <w:r w:rsidR="007A057A" w:rsidRPr="00553D0D">
        <w:rPr>
          <w:rFonts w:cs="Arial"/>
        </w:rPr>
        <w:t>day admitted</w:t>
      </w:r>
      <w:r>
        <w:rPr>
          <w:rFonts w:cs="Arial"/>
        </w:rPr>
        <w:t xml:space="preserve"> patients</w:t>
      </w:r>
      <w:r w:rsidR="007A057A" w:rsidRPr="00553D0D">
        <w:rPr>
          <w:rFonts w:cs="Arial"/>
        </w:rPr>
        <w:t xml:space="preserve">, non-admitted </w:t>
      </w:r>
      <w:r>
        <w:rPr>
          <w:rFonts w:cs="Arial"/>
        </w:rPr>
        <w:t xml:space="preserve">patients </w:t>
      </w:r>
      <w:r w:rsidR="007A057A" w:rsidRPr="00553D0D">
        <w:rPr>
          <w:rFonts w:cs="Arial"/>
        </w:rPr>
        <w:t>or patients on discharge</w:t>
      </w:r>
      <w:r>
        <w:rPr>
          <w:rFonts w:cs="Arial"/>
        </w:rPr>
        <w:t>);</w:t>
      </w:r>
      <w:r w:rsidR="007A057A" w:rsidRPr="00553D0D">
        <w:rPr>
          <w:rFonts w:cs="Arial"/>
        </w:rPr>
        <w:t xml:space="preserve"> </w:t>
      </w:r>
      <w:r>
        <w:rPr>
          <w:rFonts w:cs="Arial"/>
        </w:rPr>
        <w:t>and</w:t>
      </w:r>
    </w:p>
    <w:p w14:paraId="447BA932" w14:textId="2F8AE2D6" w:rsidR="00812E83" w:rsidRDefault="00553D0D" w:rsidP="00553D0D">
      <w:pPr>
        <w:pStyle w:val="ListParagraph"/>
        <w:numPr>
          <w:ilvl w:val="0"/>
          <w:numId w:val="30"/>
        </w:numPr>
        <w:rPr>
          <w:rFonts w:cs="Arial"/>
          <w:lang w:eastAsia="en-AU"/>
        </w:rPr>
      </w:pPr>
      <w:r>
        <w:rPr>
          <w:rFonts w:cs="Arial"/>
        </w:rPr>
        <w:t xml:space="preserve">private hospital pharmacies for </w:t>
      </w:r>
      <w:r w:rsidR="00812E83">
        <w:rPr>
          <w:rFonts w:cs="Arial"/>
        </w:rPr>
        <w:t xml:space="preserve">eligible </w:t>
      </w:r>
      <w:r>
        <w:rPr>
          <w:rFonts w:cs="Arial"/>
        </w:rPr>
        <w:t>patients receiving treatment in, at or from private hospitals</w:t>
      </w:r>
      <w:r w:rsidR="007A057A" w:rsidRPr="00553D0D">
        <w:rPr>
          <w:rFonts w:cs="Arial"/>
        </w:rPr>
        <w:t>.</w:t>
      </w:r>
    </w:p>
    <w:p w14:paraId="50B653F4" w14:textId="06AD33BC" w:rsidR="001458D9" w:rsidRPr="00812E83" w:rsidRDefault="00EA6F95" w:rsidP="00812E83">
      <w:pPr>
        <w:rPr>
          <w:rFonts w:cs="Arial"/>
          <w:lang w:eastAsia="en-AU"/>
        </w:rPr>
      </w:pPr>
      <w:r w:rsidRPr="00812E83">
        <w:rPr>
          <w:rFonts w:cs="Arial"/>
          <w:lang w:eastAsia="en-AU"/>
        </w:rPr>
        <w:t>Patients should</w:t>
      </w:r>
      <w:r w:rsidR="001458D9" w:rsidRPr="00812E83">
        <w:rPr>
          <w:rFonts w:cs="Arial"/>
          <w:lang w:eastAsia="en-AU"/>
        </w:rPr>
        <w:t xml:space="preserve"> contact their chosen pharmacy to confirm availability and ongoing supply arrangements.</w:t>
      </w:r>
    </w:p>
    <w:bookmarkEnd w:id="2"/>
    <w:p w14:paraId="7DBF8FFA" w14:textId="77777777" w:rsidR="001458D9" w:rsidRPr="00D936A5" w:rsidRDefault="001458D9" w:rsidP="001458D9">
      <w:pPr>
        <w:pStyle w:val="Heading2"/>
        <w:rPr>
          <w:lang w:eastAsia="en-AU"/>
        </w:rPr>
      </w:pPr>
      <w:r w:rsidRPr="00D936A5">
        <w:rPr>
          <w:lang w:eastAsia="en-AU"/>
        </w:rPr>
        <w:t xml:space="preserve">What information or support is available for my patients? </w:t>
      </w:r>
    </w:p>
    <w:p w14:paraId="39036FF1" w14:textId="67F6DBC3" w:rsidR="001458D9" w:rsidRPr="00D936A5" w:rsidRDefault="001458D9" w:rsidP="001458D9">
      <w:pPr>
        <w:rPr>
          <w:rFonts w:cs="Arial"/>
        </w:rPr>
      </w:pPr>
      <w:r w:rsidRPr="00D936A5">
        <w:rPr>
          <w:rFonts w:cs="Arial"/>
        </w:rPr>
        <w:t xml:space="preserve">Patients can access a </w:t>
      </w:r>
      <w:r w:rsidR="00643D05" w:rsidRPr="00D936A5">
        <w:rPr>
          <w:rFonts w:cs="Arial"/>
        </w:rPr>
        <w:t>f</w:t>
      </w:r>
      <w:r w:rsidRPr="00D936A5">
        <w:rPr>
          <w:rFonts w:cs="Arial"/>
        </w:rPr>
        <w:t xml:space="preserve">actsheet </w:t>
      </w:r>
      <w:r w:rsidR="00643D05" w:rsidRPr="00D936A5">
        <w:rPr>
          <w:rFonts w:cs="Arial"/>
        </w:rPr>
        <w:t>about</w:t>
      </w:r>
      <w:r w:rsidRPr="00D936A5">
        <w:rPr>
          <w:rFonts w:cs="Arial"/>
        </w:rPr>
        <w:t xml:space="preserve"> the changes to accessing </w:t>
      </w:r>
      <w:r w:rsidR="00192E24" w:rsidRPr="00D936A5">
        <w:rPr>
          <w:rFonts w:cs="Arial"/>
        </w:rPr>
        <w:t>nitisinone (Orfadin</w:t>
      </w:r>
      <w:r w:rsidR="00192E24" w:rsidRPr="00D936A5">
        <w:rPr>
          <w:rFonts w:cs="Arial"/>
          <w:vertAlign w:val="superscript"/>
        </w:rPr>
        <w:t>®</w:t>
      </w:r>
      <w:r w:rsidR="00192E24" w:rsidRPr="00D936A5">
        <w:rPr>
          <w:rFonts w:cs="Arial"/>
        </w:rPr>
        <w:t xml:space="preserve">) </w:t>
      </w:r>
      <w:r w:rsidR="00643D05" w:rsidRPr="00D936A5">
        <w:rPr>
          <w:rFonts w:cs="Arial"/>
        </w:rPr>
        <w:t xml:space="preserve">through </w:t>
      </w:r>
      <w:r w:rsidRPr="00D936A5">
        <w:rPr>
          <w:rFonts w:cs="Arial"/>
        </w:rPr>
        <w:t xml:space="preserve">the PBS at </w:t>
      </w:r>
      <w:hyperlink r:id="rId17" w:history="1">
        <w:r w:rsidRPr="00D936A5">
          <w:rPr>
            <w:rStyle w:val="Hyperlink"/>
            <w:rFonts w:cs="Arial"/>
          </w:rPr>
          <w:t>www.health.gov.au/initiatives-and-programs/life-saving-drugs-program/for-patients</w:t>
        </w:r>
      </w:hyperlink>
      <w:r w:rsidRPr="00D936A5">
        <w:rPr>
          <w:rFonts w:cs="Arial"/>
        </w:rPr>
        <w:t>.</w:t>
      </w:r>
    </w:p>
    <w:p w14:paraId="040CCDD5" w14:textId="72708128" w:rsidR="00213FB7" w:rsidRPr="00D936A5" w:rsidRDefault="001458D9" w:rsidP="00565E25">
      <w:r w:rsidRPr="00D936A5">
        <w:rPr>
          <w:rFonts w:cs="Arial"/>
        </w:rPr>
        <w:t>Patients can also seek further advice from their pharmacist.</w:t>
      </w:r>
    </w:p>
    <w:bookmarkEnd w:id="0"/>
    <w:p w14:paraId="47E9A312" w14:textId="77777777" w:rsidR="00213FB7" w:rsidRPr="00D936A5" w:rsidRDefault="00213FB7" w:rsidP="00213FB7">
      <w:pPr>
        <w:rPr>
          <w:rFonts w:cs="Arial"/>
        </w:rPr>
      </w:pPr>
    </w:p>
    <w:sectPr w:rsidR="00213FB7" w:rsidRPr="00D936A5" w:rsidSect="00B5398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0F22" w14:textId="77777777" w:rsidR="00412E33" w:rsidRDefault="00412E33" w:rsidP="006B56BB">
      <w:r>
        <w:separator/>
      </w:r>
    </w:p>
    <w:p w14:paraId="538D499E" w14:textId="77777777" w:rsidR="00412E33" w:rsidRDefault="00412E33"/>
  </w:endnote>
  <w:endnote w:type="continuationSeparator" w:id="0">
    <w:p w14:paraId="42E4F595" w14:textId="77777777" w:rsidR="00412E33" w:rsidRDefault="00412E33" w:rsidP="006B56BB">
      <w:r>
        <w:continuationSeparator/>
      </w:r>
    </w:p>
    <w:p w14:paraId="64AE3303" w14:textId="77777777" w:rsidR="00412E33" w:rsidRDefault="00412E33"/>
  </w:endnote>
  <w:endnote w:type="continuationNotice" w:id="1">
    <w:p w14:paraId="2126DBB1" w14:textId="77777777" w:rsidR="00412E33" w:rsidRDefault="00412E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424" w14:textId="03ED3685" w:rsidR="001D22F6" w:rsidRDefault="003F4A5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513454" wp14:editId="4C5154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F238B" w14:textId="221358F9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1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48pt;height:38.2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" filled="f" stroked="f">
              <v:textbox style="mso-fit-shape-to-text:t" inset="0,0,0,15pt">
                <w:txbxContent>
                  <w:p w14:paraId="274F238B" w14:textId="221358F9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21941" w14:textId="37EEF6AC" w:rsidR="00B53987" w:rsidRDefault="00313F8B" w:rsidP="00213FB7">
    <w:pPr>
      <w:pStyle w:val="Footer"/>
      <w:jc w:val="left"/>
    </w:pPr>
    <w:r>
      <w:t xml:space="preserve">Department of Health, Disability and Ageing </w:t>
    </w:r>
    <w:r w:rsidR="00B53987">
      <w:t xml:space="preserve">– </w:t>
    </w:r>
    <w:r w:rsidR="00213FB7" w:rsidRPr="00213FB7">
      <w:t>New arrangements for nitisinone (Orfadin</w:t>
    </w:r>
    <w:r w:rsidR="00213FB7" w:rsidRPr="005556F8">
      <w:rPr>
        <w:vertAlign w:val="superscript"/>
      </w:rPr>
      <w:t>®</w:t>
    </w:r>
    <w:r w:rsidR="00213FB7" w:rsidRPr="00213FB7">
      <w:t>) for treatment of hereditary tyrosinaemia type 1 (HT1) – Information for p</w:t>
    </w:r>
    <w:r w:rsidR="001458D9">
      <w:t>rescribers</w:t>
    </w:r>
    <w:sdt>
      <w:sdtPr>
        <w:id w:val="-183903453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FD7C" w14:textId="656E6FEB" w:rsidR="00B53987" w:rsidRDefault="00AA262B" w:rsidP="00213FB7">
    <w:pPr>
      <w:pStyle w:val="Footer"/>
      <w:jc w:val="left"/>
    </w:pPr>
    <w:r>
      <w:t>Department of Health</w:t>
    </w:r>
    <w:r w:rsidR="00313F8B">
      <w:t xml:space="preserve">, Disability and </w:t>
    </w:r>
    <w:r>
      <w:t>Age</w:t>
    </w:r>
    <w:r w:rsidR="00313F8B">
      <w:t>ing</w:t>
    </w:r>
    <w:r>
      <w:t xml:space="preserve"> </w:t>
    </w:r>
    <w:r w:rsidR="00B53987">
      <w:t xml:space="preserve">– </w:t>
    </w:r>
    <w:r w:rsidR="00213FB7" w:rsidRPr="00213FB7">
      <w:t>New arrangements for nitisinone (Orfadin</w:t>
    </w:r>
    <w:r w:rsidR="00213FB7" w:rsidRPr="005556F8">
      <w:rPr>
        <w:vertAlign w:val="superscript"/>
      </w:rPr>
      <w:t>®</w:t>
    </w:r>
    <w:r w:rsidR="00213FB7" w:rsidRPr="00213FB7">
      <w:t>) for treatment of hereditary tyrosinaemia type 1 (HT1) – Information for p</w:t>
    </w:r>
    <w:r w:rsidR="001458D9">
      <w:t>rescribers</w:t>
    </w:r>
    <w:sdt>
      <w:sdtPr>
        <w:id w:val="-178737789"/>
        <w:docPartObj>
          <w:docPartGallery w:val="Page Numbers (Bottom of Page)"/>
          <w:docPartUnique/>
        </w:docPartObj>
      </w:sdtPr>
      <w:sdtEndPr/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CDC3" w14:textId="77777777" w:rsidR="00412E33" w:rsidRDefault="00412E33" w:rsidP="006B56BB">
      <w:r>
        <w:separator/>
      </w:r>
    </w:p>
    <w:p w14:paraId="301D6D09" w14:textId="77777777" w:rsidR="00412E33" w:rsidRDefault="00412E33"/>
  </w:footnote>
  <w:footnote w:type="continuationSeparator" w:id="0">
    <w:p w14:paraId="5B798135" w14:textId="77777777" w:rsidR="00412E33" w:rsidRDefault="00412E33" w:rsidP="006B56BB">
      <w:r>
        <w:continuationSeparator/>
      </w:r>
    </w:p>
    <w:p w14:paraId="5F5EC311" w14:textId="77777777" w:rsidR="00412E33" w:rsidRDefault="00412E33"/>
  </w:footnote>
  <w:footnote w:type="continuationNotice" w:id="1">
    <w:p w14:paraId="0E2D285C" w14:textId="77777777" w:rsidR="00412E33" w:rsidRDefault="00412E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3EDA" w14:textId="40C7E277" w:rsidR="001D22F6" w:rsidRDefault="003F4A5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47B5D0" wp14:editId="080D27B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3B4D7" w14:textId="6F9D7E8F" w:rsidR="003F4A5F" w:rsidRPr="003F4A5F" w:rsidRDefault="003F4A5F" w:rsidP="003F4A5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7B5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39E3B4D7" w14:textId="6F9D7E8F" w:rsidR="003F4A5F" w:rsidRPr="003F4A5F" w:rsidRDefault="003F4A5F" w:rsidP="003F4A5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8F8F" w14:textId="11CBB58D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BF76" w14:textId="7E70C9B4" w:rsidR="00B53987" w:rsidRDefault="00313F8B">
    <w:pPr>
      <w:pStyle w:val="Header"/>
    </w:pPr>
    <w:r>
      <w:rPr>
        <w:noProof/>
        <w:lang w:eastAsia="en-AU"/>
      </w:rPr>
      <w:drawing>
        <wp:inline distT="0" distB="0" distL="0" distR="0" wp14:anchorId="6F27E1F5" wp14:editId="47F6F18E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E9076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003D3"/>
    <w:multiLevelType w:val="multilevel"/>
    <w:tmpl w:val="A858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08087ECE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B272D"/>
    <w:multiLevelType w:val="multilevel"/>
    <w:tmpl w:val="4CFA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21E1B"/>
    <w:multiLevelType w:val="multilevel"/>
    <w:tmpl w:val="5686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49D36CCE"/>
    <w:multiLevelType w:val="hybridMultilevel"/>
    <w:tmpl w:val="BB18F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647C54"/>
    <w:multiLevelType w:val="multilevel"/>
    <w:tmpl w:val="F5E6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993793"/>
    <w:multiLevelType w:val="hybridMultilevel"/>
    <w:tmpl w:val="8DF0C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522A7"/>
    <w:multiLevelType w:val="multilevel"/>
    <w:tmpl w:val="1214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B4946"/>
    <w:multiLevelType w:val="multilevel"/>
    <w:tmpl w:val="9FDE9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E670F"/>
    <w:multiLevelType w:val="hybridMultilevel"/>
    <w:tmpl w:val="0A7C87C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84D033C"/>
    <w:multiLevelType w:val="multilevel"/>
    <w:tmpl w:val="C3AAC91E"/>
    <w:lvl w:ilvl="0">
      <w:start w:val="1"/>
      <w:numFmt w:val="decimal"/>
      <w:pStyle w:val="2-SectionHeading"/>
      <w:lvlText w:val="%1"/>
      <w:lvlJc w:val="left"/>
      <w:pPr>
        <w:ind w:left="720" w:hanging="720"/>
      </w:pPr>
      <w:rPr>
        <w:rFonts w:hint="default"/>
        <w:b/>
        <w:color w:val="auto"/>
        <w:sz w:val="28"/>
        <w:szCs w:val="24"/>
      </w:rPr>
    </w:lvl>
    <w:lvl w:ilvl="1">
      <w:start w:val="1"/>
      <w:numFmt w:val="bullet"/>
      <w:pStyle w:val="3-BodyTex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20"/>
  </w:num>
  <w:num w:numId="3" w16cid:durableId="99111382">
    <w:abstractNumId w:val="25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10"/>
  </w:num>
  <w:num w:numId="7" w16cid:durableId="1996758693">
    <w:abstractNumId w:val="16"/>
  </w:num>
  <w:num w:numId="8" w16cid:durableId="1674914654">
    <w:abstractNumId w:val="24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8"/>
  </w:num>
  <w:num w:numId="17" w16cid:durableId="1161384352">
    <w:abstractNumId w:val="11"/>
  </w:num>
  <w:num w:numId="18" w16cid:durableId="1115442587">
    <w:abstractNumId w:val="13"/>
  </w:num>
  <w:num w:numId="19" w16cid:durableId="913049504">
    <w:abstractNumId w:val="15"/>
  </w:num>
  <w:num w:numId="20" w16cid:durableId="1185171215">
    <w:abstractNumId w:val="11"/>
  </w:num>
  <w:num w:numId="21" w16cid:durableId="1306743019">
    <w:abstractNumId w:val="15"/>
  </w:num>
  <w:num w:numId="22" w16cid:durableId="1809544992">
    <w:abstractNumId w:val="28"/>
  </w:num>
  <w:num w:numId="23" w16cid:durableId="638191149">
    <w:abstractNumId w:val="20"/>
  </w:num>
  <w:num w:numId="24" w16cid:durableId="503975017">
    <w:abstractNumId w:val="25"/>
  </w:num>
  <w:num w:numId="25" w16cid:durableId="215359669">
    <w:abstractNumId w:val="8"/>
  </w:num>
  <w:num w:numId="26" w16cid:durableId="352608886">
    <w:abstractNumId w:val="19"/>
  </w:num>
  <w:num w:numId="27" w16cid:durableId="735905647">
    <w:abstractNumId w:val="21"/>
  </w:num>
  <w:num w:numId="28" w16cid:durableId="2041346921">
    <w:abstractNumId w:val="27"/>
  </w:num>
  <w:num w:numId="29" w16cid:durableId="506674022">
    <w:abstractNumId w:val="26"/>
  </w:num>
  <w:num w:numId="30" w16cid:durableId="1401564004">
    <w:abstractNumId w:val="17"/>
  </w:num>
  <w:num w:numId="31" w16cid:durableId="176817888">
    <w:abstractNumId w:val="12"/>
  </w:num>
  <w:num w:numId="32" w16cid:durableId="1905288125">
    <w:abstractNumId w:val="18"/>
  </w:num>
  <w:num w:numId="33" w16cid:durableId="197933272">
    <w:abstractNumId w:val="9"/>
  </w:num>
  <w:num w:numId="34" w16cid:durableId="915749685">
    <w:abstractNumId w:val="22"/>
  </w:num>
  <w:num w:numId="35" w16cid:durableId="412748129">
    <w:abstractNumId w:val="23"/>
  </w:num>
  <w:num w:numId="36" w16cid:durableId="12220120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17C3"/>
    <w:rsid w:val="000023A8"/>
    <w:rsid w:val="00003323"/>
    <w:rsid w:val="00003743"/>
    <w:rsid w:val="000042E3"/>
    <w:rsid w:val="000047B4"/>
    <w:rsid w:val="00005712"/>
    <w:rsid w:val="00007FD8"/>
    <w:rsid w:val="000108FA"/>
    <w:rsid w:val="000117F8"/>
    <w:rsid w:val="0001460F"/>
    <w:rsid w:val="0002020B"/>
    <w:rsid w:val="00020A4E"/>
    <w:rsid w:val="00022629"/>
    <w:rsid w:val="000230B9"/>
    <w:rsid w:val="00023C80"/>
    <w:rsid w:val="000250DB"/>
    <w:rsid w:val="00026139"/>
    <w:rsid w:val="00027601"/>
    <w:rsid w:val="00033321"/>
    <w:rsid w:val="000338E5"/>
    <w:rsid w:val="00033ECC"/>
    <w:rsid w:val="0003422F"/>
    <w:rsid w:val="00036249"/>
    <w:rsid w:val="00043DC0"/>
    <w:rsid w:val="00046FF0"/>
    <w:rsid w:val="00047F6A"/>
    <w:rsid w:val="00050176"/>
    <w:rsid w:val="00050342"/>
    <w:rsid w:val="00054107"/>
    <w:rsid w:val="0006288C"/>
    <w:rsid w:val="00064C52"/>
    <w:rsid w:val="00067456"/>
    <w:rsid w:val="00071506"/>
    <w:rsid w:val="0007154F"/>
    <w:rsid w:val="0007785C"/>
    <w:rsid w:val="00081AB1"/>
    <w:rsid w:val="000837BB"/>
    <w:rsid w:val="00084C6E"/>
    <w:rsid w:val="00087B96"/>
    <w:rsid w:val="00090316"/>
    <w:rsid w:val="00090EA6"/>
    <w:rsid w:val="00093981"/>
    <w:rsid w:val="000A3DA3"/>
    <w:rsid w:val="000A4565"/>
    <w:rsid w:val="000A696A"/>
    <w:rsid w:val="000B067A"/>
    <w:rsid w:val="000B1540"/>
    <w:rsid w:val="000B1E53"/>
    <w:rsid w:val="000B33FD"/>
    <w:rsid w:val="000B4ABA"/>
    <w:rsid w:val="000C4B16"/>
    <w:rsid w:val="000C50C3"/>
    <w:rsid w:val="000C5E14"/>
    <w:rsid w:val="000CEF26"/>
    <w:rsid w:val="000D0A6D"/>
    <w:rsid w:val="000D21F6"/>
    <w:rsid w:val="000D4500"/>
    <w:rsid w:val="000D7AEA"/>
    <w:rsid w:val="000E2C66"/>
    <w:rsid w:val="000E61F6"/>
    <w:rsid w:val="000E7300"/>
    <w:rsid w:val="000F100C"/>
    <w:rsid w:val="000F123C"/>
    <w:rsid w:val="000F171E"/>
    <w:rsid w:val="000F2FED"/>
    <w:rsid w:val="000F5E9C"/>
    <w:rsid w:val="00105FD6"/>
    <w:rsid w:val="0010616D"/>
    <w:rsid w:val="00110478"/>
    <w:rsid w:val="0011711B"/>
    <w:rsid w:val="00117F8A"/>
    <w:rsid w:val="00120AD6"/>
    <w:rsid w:val="00121B9B"/>
    <w:rsid w:val="00122ADC"/>
    <w:rsid w:val="001233E2"/>
    <w:rsid w:val="001255B4"/>
    <w:rsid w:val="00126899"/>
    <w:rsid w:val="00130F59"/>
    <w:rsid w:val="00133EC0"/>
    <w:rsid w:val="00141CE5"/>
    <w:rsid w:val="00144908"/>
    <w:rsid w:val="001458D9"/>
    <w:rsid w:val="00147A6A"/>
    <w:rsid w:val="001519AE"/>
    <w:rsid w:val="00156D96"/>
    <w:rsid w:val="001571C7"/>
    <w:rsid w:val="00161094"/>
    <w:rsid w:val="001742AB"/>
    <w:rsid w:val="001754DA"/>
    <w:rsid w:val="0017665C"/>
    <w:rsid w:val="00177AD2"/>
    <w:rsid w:val="001815A8"/>
    <w:rsid w:val="001815C0"/>
    <w:rsid w:val="001840FA"/>
    <w:rsid w:val="00185AEF"/>
    <w:rsid w:val="00190079"/>
    <w:rsid w:val="00192E24"/>
    <w:rsid w:val="0019622E"/>
    <w:rsid w:val="001966A7"/>
    <w:rsid w:val="001A08A6"/>
    <w:rsid w:val="001A4627"/>
    <w:rsid w:val="001A4979"/>
    <w:rsid w:val="001B15D3"/>
    <w:rsid w:val="001B3443"/>
    <w:rsid w:val="001B5A8E"/>
    <w:rsid w:val="001C0326"/>
    <w:rsid w:val="001C0A24"/>
    <w:rsid w:val="001C192F"/>
    <w:rsid w:val="001C3C42"/>
    <w:rsid w:val="001D22F6"/>
    <w:rsid w:val="001D48D3"/>
    <w:rsid w:val="001D7869"/>
    <w:rsid w:val="002026CD"/>
    <w:rsid w:val="002033FC"/>
    <w:rsid w:val="00203629"/>
    <w:rsid w:val="002044BB"/>
    <w:rsid w:val="00210B09"/>
    <w:rsid w:val="00210C9E"/>
    <w:rsid w:val="00211840"/>
    <w:rsid w:val="00213FB7"/>
    <w:rsid w:val="00220B9B"/>
    <w:rsid w:val="00220E5F"/>
    <w:rsid w:val="002212B5"/>
    <w:rsid w:val="00223741"/>
    <w:rsid w:val="00223F23"/>
    <w:rsid w:val="00226668"/>
    <w:rsid w:val="00231D91"/>
    <w:rsid w:val="00233798"/>
    <w:rsid w:val="00233809"/>
    <w:rsid w:val="00236E9D"/>
    <w:rsid w:val="00240046"/>
    <w:rsid w:val="0024797F"/>
    <w:rsid w:val="0025119E"/>
    <w:rsid w:val="00251269"/>
    <w:rsid w:val="002527AB"/>
    <w:rsid w:val="002535C0"/>
    <w:rsid w:val="00255735"/>
    <w:rsid w:val="002579FE"/>
    <w:rsid w:val="0026311C"/>
    <w:rsid w:val="002665F4"/>
    <w:rsid w:val="0026668C"/>
    <w:rsid w:val="00266AC1"/>
    <w:rsid w:val="00267A51"/>
    <w:rsid w:val="0027178C"/>
    <w:rsid w:val="002719FA"/>
    <w:rsid w:val="00271DFB"/>
    <w:rsid w:val="00272668"/>
    <w:rsid w:val="0027330B"/>
    <w:rsid w:val="002803AD"/>
    <w:rsid w:val="00282052"/>
    <w:rsid w:val="002831A3"/>
    <w:rsid w:val="0028519E"/>
    <w:rsid w:val="002856A5"/>
    <w:rsid w:val="002871F6"/>
    <w:rsid w:val="002872ED"/>
    <w:rsid w:val="002905C2"/>
    <w:rsid w:val="00290A57"/>
    <w:rsid w:val="0029308D"/>
    <w:rsid w:val="0029466A"/>
    <w:rsid w:val="00295AF2"/>
    <w:rsid w:val="00295C91"/>
    <w:rsid w:val="00297151"/>
    <w:rsid w:val="002A353F"/>
    <w:rsid w:val="002B20E6"/>
    <w:rsid w:val="002B42A3"/>
    <w:rsid w:val="002B7F1B"/>
    <w:rsid w:val="002C09B8"/>
    <w:rsid w:val="002C0CDD"/>
    <w:rsid w:val="002C38C4"/>
    <w:rsid w:val="002E1A1D"/>
    <w:rsid w:val="002E4081"/>
    <w:rsid w:val="002E5B78"/>
    <w:rsid w:val="002F1E41"/>
    <w:rsid w:val="002F2531"/>
    <w:rsid w:val="002F3AE3"/>
    <w:rsid w:val="002F40C6"/>
    <w:rsid w:val="00303EEC"/>
    <w:rsid w:val="0030464B"/>
    <w:rsid w:val="003070CE"/>
    <w:rsid w:val="0030786C"/>
    <w:rsid w:val="00307F1D"/>
    <w:rsid w:val="003127A3"/>
    <w:rsid w:val="00313F8B"/>
    <w:rsid w:val="00314CF2"/>
    <w:rsid w:val="003233DE"/>
    <w:rsid w:val="0032466B"/>
    <w:rsid w:val="00327E12"/>
    <w:rsid w:val="003315BA"/>
    <w:rsid w:val="00331A02"/>
    <w:rsid w:val="003330EB"/>
    <w:rsid w:val="00334949"/>
    <w:rsid w:val="003415FD"/>
    <w:rsid w:val="003429F0"/>
    <w:rsid w:val="00345A82"/>
    <w:rsid w:val="0035097A"/>
    <w:rsid w:val="003540A4"/>
    <w:rsid w:val="0035535B"/>
    <w:rsid w:val="003568EA"/>
    <w:rsid w:val="00357BCC"/>
    <w:rsid w:val="00360E4E"/>
    <w:rsid w:val="0037070F"/>
    <w:rsid w:val="003708ED"/>
    <w:rsid w:val="00370AAA"/>
    <w:rsid w:val="00375F77"/>
    <w:rsid w:val="003763F4"/>
    <w:rsid w:val="00376B32"/>
    <w:rsid w:val="003776F6"/>
    <w:rsid w:val="00381BBE"/>
    <w:rsid w:val="00382771"/>
    <w:rsid w:val="00382903"/>
    <w:rsid w:val="00383874"/>
    <w:rsid w:val="00383F81"/>
    <w:rsid w:val="003846FF"/>
    <w:rsid w:val="003857D4"/>
    <w:rsid w:val="00385AD4"/>
    <w:rsid w:val="00387924"/>
    <w:rsid w:val="00390236"/>
    <w:rsid w:val="00392822"/>
    <w:rsid w:val="0039384D"/>
    <w:rsid w:val="00395C23"/>
    <w:rsid w:val="003A2E4F"/>
    <w:rsid w:val="003A4438"/>
    <w:rsid w:val="003A5013"/>
    <w:rsid w:val="003A5078"/>
    <w:rsid w:val="003A5C73"/>
    <w:rsid w:val="003A62DD"/>
    <w:rsid w:val="003A775A"/>
    <w:rsid w:val="003B0CF2"/>
    <w:rsid w:val="003B213A"/>
    <w:rsid w:val="003B43AD"/>
    <w:rsid w:val="003B603A"/>
    <w:rsid w:val="003B639E"/>
    <w:rsid w:val="003C0FEC"/>
    <w:rsid w:val="003C2AC8"/>
    <w:rsid w:val="003C5117"/>
    <w:rsid w:val="003D033A"/>
    <w:rsid w:val="003D17F9"/>
    <w:rsid w:val="003D2D88"/>
    <w:rsid w:val="003D41EA"/>
    <w:rsid w:val="003D4850"/>
    <w:rsid w:val="003D535A"/>
    <w:rsid w:val="003E5265"/>
    <w:rsid w:val="003F0955"/>
    <w:rsid w:val="003F4162"/>
    <w:rsid w:val="003F4A5F"/>
    <w:rsid w:val="003F5F4D"/>
    <w:rsid w:val="003F646F"/>
    <w:rsid w:val="003F7A2F"/>
    <w:rsid w:val="00400019"/>
    <w:rsid w:val="00400F00"/>
    <w:rsid w:val="00401132"/>
    <w:rsid w:val="004020E4"/>
    <w:rsid w:val="00404F8B"/>
    <w:rsid w:val="00405256"/>
    <w:rsid w:val="0040583D"/>
    <w:rsid w:val="00410031"/>
    <w:rsid w:val="00412E33"/>
    <w:rsid w:val="00415C81"/>
    <w:rsid w:val="00416595"/>
    <w:rsid w:val="004226A5"/>
    <w:rsid w:val="00424676"/>
    <w:rsid w:val="00426B6F"/>
    <w:rsid w:val="00430CFF"/>
    <w:rsid w:val="004310D3"/>
    <w:rsid w:val="00432378"/>
    <w:rsid w:val="00440D65"/>
    <w:rsid w:val="004435E6"/>
    <w:rsid w:val="00446EF2"/>
    <w:rsid w:val="00447E31"/>
    <w:rsid w:val="00453923"/>
    <w:rsid w:val="004549EE"/>
    <w:rsid w:val="00454B9B"/>
    <w:rsid w:val="00457858"/>
    <w:rsid w:val="00460B0B"/>
    <w:rsid w:val="00461023"/>
    <w:rsid w:val="00462FAC"/>
    <w:rsid w:val="004635E7"/>
    <w:rsid w:val="00464631"/>
    <w:rsid w:val="00464B79"/>
    <w:rsid w:val="00467BBF"/>
    <w:rsid w:val="0047367A"/>
    <w:rsid w:val="004825B0"/>
    <w:rsid w:val="0048472F"/>
    <w:rsid w:val="0048593C"/>
    <w:rsid w:val="004867E2"/>
    <w:rsid w:val="004929A9"/>
    <w:rsid w:val="004A272F"/>
    <w:rsid w:val="004A2B84"/>
    <w:rsid w:val="004A78D9"/>
    <w:rsid w:val="004B7CE5"/>
    <w:rsid w:val="004C08E7"/>
    <w:rsid w:val="004C4B12"/>
    <w:rsid w:val="004C6BCF"/>
    <w:rsid w:val="004D0C9B"/>
    <w:rsid w:val="004D33A6"/>
    <w:rsid w:val="004D58BF"/>
    <w:rsid w:val="004E118E"/>
    <w:rsid w:val="004E4335"/>
    <w:rsid w:val="004E46A4"/>
    <w:rsid w:val="004E69AD"/>
    <w:rsid w:val="004F13EE"/>
    <w:rsid w:val="004F2022"/>
    <w:rsid w:val="004F371B"/>
    <w:rsid w:val="004F7C05"/>
    <w:rsid w:val="00501C94"/>
    <w:rsid w:val="00506432"/>
    <w:rsid w:val="00506E82"/>
    <w:rsid w:val="00512794"/>
    <w:rsid w:val="0052051D"/>
    <w:rsid w:val="005325A5"/>
    <w:rsid w:val="0053330C"/>
    <w:rsid w:val="00537680"/>
    <w:rsid w:val="00545EE6"/>
    <w:rsid w:val="005501B4"/>
    <w:rsid w:val="005533CC"/>
    <w:rsid w:val="00553D0D"/>
    <w:rsid w:val="005550E7"/>
    <w:rsid w:val="005556F8"/>
    <w:rsid w:val="005564FB"/>
    <w:rsid w:val="005572C7"/>
    <w:rsid w:val="005650ED"/>
    <w:rsid w:val="00565E25"/>
    <w:rsid w:val="00572A6A"/>
    <w:rsid w:val="0057560E"/>
    <w:rsid w:val="00575754"/>
    <w:rsid w:val="00581D79"/>
    <w:rsid w:val="00581FBA"/>
    <w:rsid w:val="00583382"/>
    <w:rsid w:val="00591E20"/>
    <w:rsid w:val="00595408"/>
    <w:rsid w:val="00595E84"/>
    <w:rsid w:val="0059664C"/>
    <w:rsid w:val="005A0C59"/>
    <w:rsid w:val="005A48EB"/>
    <w:rsid w:val="005A6CFB"/>
    <w:rsid w:val="005A747A"/>
    <w:rsid w:val="005B11FB"/>
    <w:rsid w:val="005B48E7"/>
    <w:rsid w:val="005C4DA4"/>
    <w:rsid w:val="005C5AEB"/>
    <w:rsid w:val="005C68FB"/>
    <w:rsid w:val="005D329F"/>
    <w:rsid w:val="005D5C65"/>
    <w:rsid w:val="005E0A3F"/>
    <w:rsid w:val="005E6883"/>
    <w:rsid w:val="005E772F"/>
    <w:rsid w:val="005F45BB"/>
    <w:rsid w:val="005F4ECA"/>
    <w:rsid w:val="005F6FE2"/>
    <w:rsid w:val="00601005"/>
    <w:rsid w:val="00602E8B"/>
    <w:rsid w:val="006041BE"/>
    <w:rsid w:val="006043C7"/>
    <w:rsid w:val="00614C64"/>
    <w:rsid w:val="006152B3"/>
    <w:rsid w:val="006164DE"/>
    <w:rsid w:val="00621476"/>
    <w:rsid w:val="00624B52"/>
    <w:rsid w:val="00626D44"/>
    <w:rsid w:val="00630794"/>
    <w:rsid w:val="00630F7F"/>
    <w:rsid w:val="00631DF4"/>
    <w:rsid w:val="00631F40"/>
    <w:rsid w:val="00632EED"/>
    <w:rsid w:val="006332C2"/>
    <w:rsid w:val="006338D6"/>
    <w:rsid w:val="00634175"/>
    <w:rsid w:val="006408AC"/>
    <w:rsid w:val="00643D05"/>
    <w:rsid w:val="006511B6"/>
    <w:rsid w:val="00655989"/>
    <w:rsid w:val="00657FF8"/>
    <w:rsid w:val="00670D99"/>
    <w:rsid w:val="00670E2B"/>
    <w:rsid w:val="00671869"/>
    <w:rsid w:val="006734BB"/>
    <w:rsid w:val="0067677F"/>
    <w:rsid w:val="0067697A"/>
    <w:rsid w:val="006821EB"/>
    <w:rsid w:val="0069450A"/>
    <w:rsid w:val="006A538F"/>
    <w:rsid w:val="006A67A2"/>
    <w:rsid w:val="006B2286"/>
    <w:rsid w:val="006B2C46"/>
    <w:rsid w:val="006B56BB"/>
    <w:rsid w:val="006B5712"/>
    <w:rsid w:val="006C77A8"/>
    <w:rsid w:val="006D4098"/>
    <w:rsid w:val="006D7681"/>
    <w:rsid w:val="006D7B2E"/>
    <w:rsid w:val="006E02EA"/>
    <w:rsid w:val="006E0968"/>
    <w:rsid w:val="006E2AF6"/>
    <w:rsid w:val="006E45AD"/>
    <w:rsid w:val="006E59D4"/>
    <w:rsid w:val="0070065A"/>
    <w:rsid w:val="00701275"/>
    <w:rsid w:val="00703368"/>
    <w:rsid w:val="00705322"/>
    <w:rsid w:val="00707F56"/>
    <w:rsid w:val="00711154"/>
    <w:rsid w:val="00713558"/>
    <w:rsid w:val="007206DC"/>
    <w:rsid w:val="00720D08"/>
    <w:rsid w:val="007241E8"/>
    <w:rsid w:val="007263B9"/>
    <w:rsid w:val="00730D85"/>
    <w:rsid w:val="007334F8"/>
    <w:rsid w:val="007339CD"/>
    <w:rsid w:val="007355A1"/>
    <w:rsid w:val="007359D8"/>
    <w:rsid w:val="007362D4"/>
    <w:rsid w:val="007454A5"/>
    <w:rsid w:val="00760DD7"/>
    <w:rsid w:val="0076672A"/>
    <w:rsid w:val="00775E45"/>
    <w:rsid w:val="00776E74"/>
    <w:rsid w:val="00783B37"/>
    <w:rsid w:val="00785169"/>
    <w:rsid w:val="00794022"/>
    <w:rsid w:val="007954AB"/>
    <w:rsid w:val="0079556A"/>
    <w:rsid w:val="00796021"/>
    <w:rsid w:val="007A057A"/>
    <w:rsid w:val="007A14C5"/>
    <w:rsid w:val="007A4A10"/>
    <w:rsid w:val="007B1760"/>
    <w:rsid w:val="007B58F7"/>
    <w:rsid w:val="007B5A3A"/>
    <w:rsid w:val="007C1A97"/>
    <w:rsid w:val="007C1FDC"/>
    <w:rsid w:val="007C3931"/>
    <w:rsid w:val="007C6D9C"/>
    <w:rsid w:val="007C7DDB"/>
    <w:rsid w:val="007D0D53"/>
    <w:rsid w:val="007D1575"/>
    <w:rsid w:val="007D2CC7"/>
    <w:rsid w:val="007D673D"/>
    <w:rsid w:val="007E0FB8"/>
    <w:rsid w:val="007E4D09"/>
    <w:rsid w:val="007E7762"/>
    <w:rsid w:val="007F2220"/>
    <w:rsid w:val="007F4B3E"/>
    <w:rsid w:val="007F4E40"/>
    <w:rsid w:val="008031F4"/>
    <w:rsid w:val="008043A1"/>
    <w:rsid w:val="008127AF"/>
    <w:rsid w:val="00812B46"/>
    <w:rsid w:val="00812E83"/>
    <w:rsid w:val="00815700"/>
    <w:rsid w:val="008264EB"/>
    <w:rsid w:val="00826B8F"/>
    <w:rsid w:val="00831E8A"/>
    <w:rsid w:val="00835C76"/>
    <w:rsid w:val="008376E2"/>
    <w:rsid w:val="00842FC8"/>
    <w:rsid w:val="00843049"/>
    <w:rsid w:val="00846BAE"/>
    <w:rsid w:val="008518DB"/>
    <w:rsid w:val="0085209B"/>
    <w:rsid w:val="00856B66"/>
    <w:rsid w:val="008601AC"/>
    <w:rsid w:val="00861A5F"/>
    <w:rsid w:val="00863CBC"/>
    <w:rsid w:val="008644AD"/>
    <w:rsid w:val="00865735"/>
    <w:rsid w:val="00865DDB"/>
    <w:rsid w:val="00867538"/>
    <w:rsid w:val="008710CD"/>
    <w:rsid w:val="00873D90"/>
    <w:rsid w:val="00873FC8"/>
    <w:rsid w:val="00881860"/>
    <w:rsid w:val="0088433F"/>
    <w:rsid w:val="00884C63"/>
    <w:rsid w:val="00885908"/>
    <w:rsid w:val="008864B7"/>
    <w:rsid w:val="0089677E"/>
    <w:rsid w:val="008A7438"/>
    <w:rsid w:val="008B05F7"/>
    <w:rsid w:val="008B0F9C"/>
    <w:rsid w:val="008B1334"/>
    <w:rsid w:val="008B140B"/>
    <w:rsid w:val="008B25C7"/>
    <w:rsid w:val="008C0278"/>
    <w:rsid w:val="008C24E9"/>
    <w:rsid w:val="008C321C"/>
    <w:rsid w:val="008C4A89"/>
    <w:rsid w:val="008D0533"/>
    <w:rsid w:val="008D082A"/>
    <w:rsid w:val="008D42CB"/>
    <w:rsid w:val="008D48C9"/>
    <w:rsid w:val="008D62FF"/>
    <w:rsid w:val="008D6381"/>
    <w:rsid w:val="008D6835"/>
    <w:rsid w:val="008E0C77"/>
    <w:rsid w:val="008E2736"/>
    <w:rsid w:val="008E625F"/>
    <w:rsid w:val="008F00C6"/>
    <w:rsid w:val="008F20DB"/>
    <w:rsid w:val="008F264D"/>
    <w:rsid w:val="009040E9"/>
    <w:rsid w:val="009074E1"/>
    <w:rsid w:val="009112F7"/>
    <w:rsid w:val="00911CFD"/>
    <w:rsid w:val="009122AF"/>
    <w:rsid w:val="00912D54"/>
    <w:rsid w:val="0091389F"/>
    <w:rsid w:val="009208F7"/>
    <w:rsid w:val="00921649"/>
    <w:rsid w:val="00922517"/>
    <w:rsid w:val="00922722"/>
    <w:rsid w:val="009259C1"/>
    <w:rsid w:val="009261E6"/>
    <w:rsid w:val="009268E1"/>
    <w:rsid w:val="009271EE"/>
    <w:rsid w:val="009344AE"/>
    <w:rsid w:val="009344DE"/>
    <w:rsid w:val="00940718"/>
    <w:rsid w:val="00945E7F"/>
    <w:rsid w:val="009557C1"/>
    <w:rsid w:val="00960D6E"/>
    <w:rsid w:val="00962379"/>
    <w:rsid w:val="009713B8"/>
    <w:rsid w:val="00974B59"/>
    <w:rsid w:val="00976864"/>
    <w:rsid w:val="00980579"/>
    <w:rsid w:val="0098340B"/>
    <w:rsid w:val="00986830"/>
    <w:rsid w:val="00991452"/>
    <w:rsid w:val="00991DF9"/>
    <w:rsid w:val="009924C3"/>
    <w:rsid w:val="00993102"/>
    <w:rsid w:val="00993C30"/>
    <w:rsid w:val="009952DE"/>
    <w:rsid w:val="009A1E3A"/>
    <w:rsid w:val="009B1570"/>
    <w:rsid w:val="009B5CCF"/>
    <w:rsid w:val="009C6F10"/>
    <w:rsid w:val="009D148F"/>
    <w:rsid w:val="009D3D70"/>
    <w:rsid w:val="009D680F"/>
    <w:rsid w:val="009D6E31"/>
    <w:rsid w:val="009D7B86"/>
    <w:rsid w:val="009D7FAA"/>
    <w:rsid w:val="009E3946"/>
    <w:rsid w:val="009E6F7E"/>
    <w:rsid w:val="009E7A57"/>
    <w:rsid w:val="009F4803"/>
    <w:rsid w:val="009F4F6A"/>
    <w:rsid w:val="009F4F70"/>
    <w:rsid w:val="00A0719D"/>
    <w:rsid w:val="00A07D51"/>
    <w:rsid w:val="00A13EB5"/>
    <w:rsid w:val="00A16E36"/>
    <w:rsid w:val="00A22649"/>
    <w:rsid w:val="00A22AE7"/>
    <w:rsid w:val="00A24961"/>
    <w:rsid w:val="00A24B10"/>
    <w:rsid w:val="00A2565D"/>
    <w:rsid w:val="00A277EF"/>
    <w:rsid w:val="00A30E9B"/>
    <w:rsid w:val="00A34E14"/>
    <w:rsid w:val="00A41EB7"/>
    <w:rsid w:val="00A4512D"/>
    <w:rsid w:val="00A50244"/>
    <w:rsid w:val="00A50C93"/>
    <w:rsid w:val="00A51038"/>
    <w:rsid w:val="00A519E1"/>
    <w:rsid w:val="00A5618B"/>
    <w:rsid w:val="00A627D7"/>
    <w:rsid w:val="00A656C7"/>
    <w:rsid w:val="00A705AF"/>
    <w:rsid w:val="00A719F6"/>
    <w:rsid w:val="00A72454"/>
    <w:rsid w:val="00A744B2"/>
    <w:rsid w:val="00A757EA"/>
    <w:rsid w:val="00A77696"/>
    <w:rsid w:val="00A800C7"/>
    <w:rsid w:val="00A80557"/>
    <w:rsid w:val="00A81D33"/>
    <w:rsid w:val="00A831EC"/>
    <w:rsid w:val="00A8341C"/>
    <w:rsid w:val="00A83DCC"/>
    <w:rsid w:val="00A9031D"/>
    <w:rsid w:val="00A92914"/>
    <w:rsid w:val="00A930AE"/>
    <w:rsid w:val="00A95CF9"/>
    <w:rsid w:val="00AA1A95"/>
    <w:rsid w:val="00AA260F"/>
    <w:rsid w:val="00AA262B"/>
    <w:rsid w:val="00AA4EDC"/>
    <w:rsid w:val="00AB1EE7"/>
    <w:rsid w:val="00AB4B37"/>
    <w:rsid w:val="00AB5762"/>
    <w:rsid w:val="00AB650B"/>
    <w:rsid w:val="00AB78DB"/>
    <w:rsid w:val="00AC1751"/>
    <w:rsid w:val="00AC2679"/>
    <w:rsid w:val="00AC4BE4"/>
    <w:rsid w:val="00AC6CAB"/>
    <w:rsid w:val="00AD05E6"/>
    <w:rsid w:val="00AD0D3F"/>
    <w:rsid w:val="00AD49DA"/>
    <w:rsid w:val="00AD7576"/>
    <w:rsid w:val="00AE1087"/>
    <w:rsid w:val="00AE1D7D"/>
    <w:rsid w:val="00AE209D"/>
    <w:rsid w:val="00AE2A8B"/>
    <w:rsid w:val="00AE3F64"/>
    <w:rsid w:val="00AE6E03"/>
    <w:rsid w:val="00AF3E1D"/>
    <w:rsid w:val="00AF57F8"/>
    <w:rsid w:val="00AF7386"/>
    <w:rsid w:val="00AF7934"/>
    <w:rsid w:val="00B00B81"/>
    <w:rsid w:val="00B04580"/>
    <w:rsid w:val="00B04B09"/>
    <w:rsid w:val="00B113F1"/>
    <w:rsid w:val="00B16A51"/>
    <w:rsid w:val="00B21549"/>
    <w:rsid w:val="00B27683"/>
    <w:rsid w:val="00B27ADE"/>
    <w:rsid w:val="00B30204"/>
    <w:rsid w:val="00B32222"/>
    <w:rsid w:val="00B3258A"/>
    <w:rsid w:val="00B344A6"/>
    <w:rsid w:val="00B3618D"/>
    <w:rsid w:val="00B36233"/>
    <w:rsid w:val="00B37FB9"/>
    <w:rsid w:val="00B42851"/>
    <w:rsid w:val="00B45AC7"/>
    <w:rsid w:val="00B5372F"/>
    <w:rsid w:val="00B53987"/>
    <w:rsid w:val="00B54942"/>
    <w:rsid w:val="00B57B77"/>
    <w:rsid w:val="00B61129"/>
    <w:rsid w:val="00B6482A"/>
    <w:rsid w:val="00B67336"/>
    <w:rsid w:val="00B67E7F"/>
    <w:rsid w:val="00B74F8F"/>
    <w:rsid w:val="00B815AA"/>
    <w:rsid w:val="00B839B2"/>
    <w:rsid w:val="00B90CCB"/>
    <w:rsid w:val="00B90F73"/>
    <w:rsid w:val="00B94252"/>
    <w:rsid w:val="00B9715A"/>
    <w:rsid w:val="00BA007B"/>
    <w:rsid w:val="00BA14BE"/>
    <w:rsid w:val="00BA2732"/>
    <w:rsid w:val="00BA293D"/>
    <w:rsid w:val="00BA49BC"/>
    <w:rsid w:val="00BA56B7"/>
    <w:rsid w:val="00BA7A1E"/>
    <w:rsid w:val="00BB2F6C"/>
    <w:rsid w:val="00BB3875"/>
    <w:rsid w:val="00BB4DE6"/>
    <w:rsid w:val="00BB5795"/>
    <w:rsid w:val="00BB5860"/>
    <w:rsid w:val="00BB6AAD"/>
    <w:rsid w:val="00BC22C7"/>
    <w:rsid w:val="00BC4A19"/>
    <w:rsid w:val="00BC4E6D"/>
    <w:rsid w:val="00BD0617"/>
    <w:rsid w:val="00BD2E9B"/>
    <w:rsid w:val="00BD5188"/>
    <w:rsid w:val="00BD7FB2"/>
    <w:rsid w:val="00BE00CF"/>
    <w:rsid w:val="00BE5163"/>
    <w:rsid w:val="00BF15E6"/>
    <w:rsid w:val="00BF22A0"/>
    <w:rsid w:val="00C00930"/>
    <w:rsid w:val="00C060AD"/>
    <w:rsid w:val="00C0635E"/>
    <w:rsid w:val="00C11333"/>
    <w:rsid w:val="00C113BF"/>
    <w:rsid w:val="00C12433"/>
    <w:rsid w:val="00C157D2"/>
    <w:rsid w:val="00C170F5"/>
    <w:rsid w:val="00C2176E"/>
    <w:rsid w:val="00C2314E"/>
    <w:rsid w:val="00C23430"/>
    <w:rsid w:val="00C27D67"/>
    <w:rsid w:val="00C33FA4"/>
    <w:rsid w:val="00C35596"/>
    <w:rsid w:val="00C40E6D"/>
    <w:rsid w:val="00C434A3"/>
    <w:rsid w:val="00C4631F"/>
    <w:rsid w:val="00C47CDE"/>
    <w:rsid w:val="00C50E16"/>
    <w:rsid w:val="00C51F5B"/>
    <w:rsid w:val="00C55258"/>
    <w:rsid w:val="00C6365D"/>
    <w:rsid w:val="00C6530D"/>
    <w:rsid w:val="00C70863"/>
    <w:rsid w:val="00C72A1B"/>
    <w:rsid w:val="00C77FFB"/>
    <w:rsid w:val="00C82EEB"/>
    <w:rsid w:val="00C8335B"/>
    <w:rsid w:val="00C9176F"/>
    <w:rsid w:val="00C971DC"/>
    <w:rsid w:val="00CA16B7"/>
    <w:rsid w:val="00CA4188"/>
    <w:rsid w:val="00CA62AE"/>
    <w:rsid w:val="00CB302D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010E"/>
    <w:rsid w:val="00CF658F"/>
    <w:rsid w:val="00CF7D3C"/>
    <w:rsid w:val="00D01F09"/>
    <w:rsid w:val="00D147EB"/>
    <w:rsid w:val="00D16739"/>
    <w:rsid w:val="00D25057"/>
    <w:rsid w:val="00D25095"/>
    <w:rsid w:val="00D34667"/>
    <w:rsid w:val="00D401E1"/>
    <w:rsid w:val="00D408B4"/>
    <w:rsid w:val="00D43E59"/>
    <w:rsid w:val="00D47781"/>
    <w:rsid w:val="00D524C8"/>
    <w:rsid w:val="00D6373A"/>
    <w:rsid w:val="00D65099"/>
    <w:rsid w:val="00D67557"/>
    <w:rsid w:val="00D70E24"/>
    <w:rsid w:val="00D72B61"/>
    <w:rsid w:val="00D840D8"/>
    <w:rsid w:val="00D840FE"/>
    <w:rsid w:val="00D936A5"/>
    <w:rsid w:val="00D96FD1"/>
    <w:rsid w:val="00DA002E"/>
    <w:rsid w:val="00DA02DC"/>
    <w:rsid w:val="00DA3D1D"/>
    <w:rsid w:val="00DA66C7"/>
    <w:rsid w:val="00DB11FC"/>
    <w:rsid w:val="00DB4621"/>
    <w:rsid w:val="00DB6286"/>
    <w:rsid w:val="00DB645F"/>
    <w:rsid w:val="00DB76E9"/>
    <w:rsid w:val="00DC0A67"/>
    <w:rsid w:val="00DC1D5E"/>
    <w:rsid w:val="00DC392C"/>
    <w:rsid w:val="00DC5220"/>
    <w:rsid w:val="00DD2061"/>
    <w:rsid w:val="00DD63A8"/>
    <w:rsid w:val="00DD7DAB"/>
    <w:rsid w:val="00DE3355"/>
    <w:rsid w:val="00DE4FA8"/>
    <w:rsid w:val="00DE5467"/>
    <w:rsid w:val="00DE6B78"/>
    <w:rsid w:val="00DF0875"/>
    <w:rsid w:val="00DF0C60"/>
    <w:rsid w:val="00DF486F"/>
    <w:rsid w:val="00DF5B5B"/>
    <w:rsid w:val="00DF606C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46BAB"/>
    <w:rsid w:val="00E50188"/>
    <w:rsid w:val="00E50BB3"/>
    <w:rsid w:val="00E515CB"/>
    <w:rsid w:val="00E52260"/>
    <w:rsid w:val="00E53634"/>
    <w:rsid w:val="00E61917"/>
    <w:rsid w:val="00E639B6"/>
    <w:rsid w:val="00E6434B"/>
    <w:rsid w:val="00E6463D"/>
    <w:rsid w:val="00E700C1"/>
    <w:rsid w:val="00E72E9B"/>
    <w:rsid w:val="00E74992"/>
    <w:rsid w:val="00E850C3"/>
    <w:rsid w:val="00E85A00"/>
    <w:rsid w:val="00E87DF2"/>
    <w:rsid w:val="00E9462E"/>
    <w:rsid w:val="00EA03BB"/>
    <w:rsid w:val="00EA470E"/>
    <w:rsid w:val="00EA47A7"/>
    <w:rsid w:val="00EA57EB"/>
    <w:rsid w:val="00EA6F95"/>
    <w:rsid w:val="00EB0207"/>
    <w:rsid w:val="00EB3226"/>
    <w:rsid w:val="00EB3AED"/>
    <w:rsid w:val="00EC1863"/>
    <w:rsid w:val="00EC213A"/>
    <w:rsid w:val="00EC29F7"/>
    <w:rsid w:val="00EC7744"/>
    <w:rsid w:val="00ED0DAD"/>
    <w:rsid w:val="00ED0F46"/>
    <w:rsid w:val="00ED2373"/>
    <w:rsid w:val="00ED5155"/>
    <w:rsid w:val="00EE1DCF"/>
    <w:rsid w:val="00EE3E8A"/>
    <w:rsid w:val="00EE4D4B"/>
    <w:rsid w:val="00EF1CAA"/>
    <w:rsid w:val="00EF4D98"/>
    <w:rsid w:val="00EF58B8"/>
    <w:rsid w:val="00EF5E2E"/>
    <w:rsid w:val="00EF6ECA"/>
    <w:rsid w:val="00F024E1"/>
    <w:rsid w:val="00F06C10"/>
    <w:rsid w:val="00F1096F"/>
    <w:rsid w:val="00F12589"/>
    <w:rsid w:val="00F12595"/>
    <w:rsid w:val="00F1321F"/>
    <w:rsid w:val="00F134D9"/>
    <w:rsid w:val="00F1403D"/>
    <w:rsid w:val="00F1463F"/>
    <w:rsid w:val="00F21302"/>
    <w:rsid w:val="00F2430D"/>
    <w:rsid w:val="00F321DE"/>
    <w:rsid w:val="00F33777"/>
    <w:rsid w:val="00F370E4"/>
    <w:rsid w:val="00F40648"/>
    <w:rsid w:val="00F42831"/>
    <w:rsid w:val="00F4367F"/>
    <w:rsid w:val="00F44597"/>
    <w:rsid w:val="00F47DA2"/>
    <w:rsid w:val="00F519FC"/>
    <w:rsid w:val="00F521E3"/>
    <w:rsid w:val="00F6239D"/>
    <w:rsid w:val="00F66BD4"/>
    <w:rsid w:val="00F715D2"/>
    <w:rsid w:val="00F7274F"/>
    <w:rsid w:val="00F72FA4"/>
    <w:rsid w:val="00F74E84"/>
    <w:rsid w:val="00F75FBB"/>
    <w:rsid w:val="00F76FA8"/>
    <w:rsid w:val="00F77986"/>
    <w:rsid w:val="00F8406A"/>
    <w:rsid w:val="00F85368"/>
    <w:rsid w:val="00F93F08"/>
    <w:rsid w:val="00F94CED"/>
    <w:rsid w:val="00F973F9"/>
    <w:rsid w:val="00FA02BB"/>
    <w:rsid w:val="00FA2CEE"/>
    <w:rsid w:val="00FA318C"/>
    <w:rsid w:val="00FA4454"/>
    <w:rsid w:val="00FB5801"/>
    <w:rsid w:val="00FB6F92"/>
    <w:rsid w:val="00FC026E"/>
    <w:rsid w:val="00FC208F"/>
    <w:rsid w:val="00FC4EBD"/>
    <w:rsid w:val="00FC5124"/>
    <w:rsid w:val="00FD25D6"/>
    <w:rsid w:val="00FD4731"/>
    <w:rsid w:val="00FD6768"/>
    <w:rsid w:val="00FE08A3"/>
    <w:rsid w:val="00FE177F"/>
    <w:rsid w:val="00FF0AB0"/>
    <w:rsid w:val="00FF28AC"/>
    <w:rsid w:val="00FF777D"/>
    <w:rsid w:val="00FF7F62"/>
    <w:rsid w:val="036D6DB9"/>
    <w:rsid w:val="3799E712"/>
    <w:rsid w:val="46F59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5FB510"/>
  <w15:docId w15:val="{C02AD601-438B-40D5-8147-0E6A8E1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uiPriority w:val="22"/>
    <w:qFormat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uiPriority w:val="99"/>
    <w:qFormat/>
    <w:rsid w:val="00A719F6"/>
    <w:pPr>
      <w:numPr>
        <w:numId w:val="17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565D"/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customStyle="1" w:styleId="SuperscriptHeading2">
    <w:name w:val="Superscript (Heading 2)"/>
    <w:basedOn w:val="Heading2"/>
    <w:link w:val="SuperscriptHeading2Char"/>
    <w:qFormat/>
    <w:rsid w:val="00213FB7"/>
    <w:rPr>
      <w:b w:val="0"/>
      <w:bCs w:val="0"/>
      <w:iCs w:val="0"/>
      <w:color w:val="358189" w:themeColor="accent2"/>
      <w:vertAlign w:val="superscript"/>
    </w:rPr>
  </w:style>
  <w:style w:type="character" w:customStyle="1" w:styleId="SuperscriptHeading2Char">
    <w:name w:val="Superscript (Heading 2) Char"/>
    <w:basedOn w:val="Heading2Char"/>
    <w:link w:val="SuperscriptHeading2"/>
    <w:rsid w:val="00213FB7"/>
    <w:rPr>
      <w:rFonts w:ascii="Arial" w:hAnsi="Arial" w:cs="Arial"/>
      <w:b w:val="0"/>
      <w:bCs w:val="0"/>
      <w:iCs w:val="0"/>
      <w:color w:val="358189" w:themeColor="accent2"/>
      <w:sz w:val="36"/>
      <w:szCs w:val="28"/>
      <w:vertAlign w:val="superscript"/>
      <w:lang w:eastAsia="en-US"/>
    </w:rPr>
  </w:style>
  <w:style w:type="character" w:styleId="FollowedHyperlink">
    <w:name w:val="FollowedHyperlink"/>
    <w:basedOn w:val="DefaultParagraphFont"/>
    <w:semiHidden/>
    <w:unhideWhenUsed/>
    <w:rsid w:val="00213FB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FF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940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40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4022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4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4022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C434A3"/>
    <w:rPr>
      <w:rFonts w:ascii="Arial" w:hAnsi="Arial"/>
      <w:color w:val="000000" w:themeColor="text1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635E"/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0635E"/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customStyle="1" w:styleId="2-SectionHeading">
    <w:name w:val="2-Section Heading"/>
    <w:next w:val="3-BodyText"/>
    <w:qFormat/>
    <w:rsid w:val="00A9031D"/>
    <w:pPr>
      <w:keepNext/>
      <w:numPr>
        <w:numId w:val="28"/>
      </w:numPr>
      <w:spacing w:before="240" w:after="120"/>
      <w:outlineLvl w:val="0"/>
    </w:pPr>
    <w:rPr>
      <w:rFonts w:asciiTheme="minorHAnsi" w:hAnsiTheme="minorHAnsi" w:cs="Arial"/>
      <w:b/>
      <w:snapToGrid w:val="0"/>
      <w:sz w:val="32"/>
      <w:szCs w:val="32"/>
    </w:rPr>
  </w:style>
  <w:style w:type="paragraph" w:customStyle="1" w:styleId="3-BodyText">
    <w:name w:val="3-Body Text"/>
    <w:link w:val="3-BodyTextChar"/>
    <w:qFormat/>
    <w:rsid w:val="00A9031D"/>
    <w:pPr>
      <w:numPr>
        <w:ilvl w:val="1"/>
        <w:numId w:val="28"/>
      </w:numPr>
      <w:spacing w:before="120" w:after="120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3-BodyTextChar">
    <w:name w:val="3-Body Text Char"/>
    <w:basedOn w:val="DefaultParagraphFont"/>
    <w:link w:val="3-BodyText"/>
    <w:rsid w:val="00A9031D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bs.gov.au/pbs/hom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servicesaustralia.gov.au" TargetMode="External"/><Relationship Id="rId17" Type="http://schemas.openxmlformats.org/officeDocument/2006/relationships/hyperlink" Target="https://www.health.gov.au/initiatives-and-programs/life-saving-drugs-program/for-patient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ervicesaustralia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bs.gov.au/industry/listing/elements/pbac-meetings/pbac-outcomes/recommendations-made-by-the-pbac-november-202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pbs.gov.au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bs.gov.au/healthpro/explanatory-notes/section1/Section_1_5_Explanatory_Notes.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87DBF8135764DAC9D2F9DB6FE3A2E" ma:contentTypeVersion="13" ma:contentTypeDescription="Create a new document." ma:contentTypeScope="" ma:versionID="1a1926efddc08f07bd8bb02b14649a0e">
  <xsd:schema xmlns:xsd="http://www.w3.org/2001/XMLSchema" xmlns:xs="http://www.w3.org/2001/XMLSchema" xmlns:p="http://schemas.microsoft.com/office/2006/metadata/properties" xmlns:ns2="4ad531cf-87ce-42ef-97b9-c349eda1b4ef" xmlns:ns3="f1385b24-fdc9-465b-acea-1175dd5222bb" targetNamespace="http://schemas.microsoft.com/office/2006/metadata/properties" ma:root="true" ma:fieldsID="85040e0d07140200c16dd58392cd001c" ns2:_="" ns3:_="">
    <xsd:import namespace="4ad531cf-87ce-42ef-97b9-c349eda1b4ef"/>
    <xsd:import namespace="f1385b24-fdc9-465b-acea-1175dd5222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531cf-87ce-42ef-97b9-c349eda1b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85b24-fdc9-465b-acea-1175dd5222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5844-60c2-4165-8f40-a04e7269a696}" ma:internalName="TaxCatchAll" ma:showField="CatchAllData" ma:web="f1385b24-fdc9-465b-acea-1175dd5222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85b24-fdc9-465b-acea-1175dd5222bb" xsi:nil="true"/>
    <lcf76f155ced4ddcb4097134ff3c332f xmlns="4ad531cf-87ce-42ef-97b9-c349eda1b4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3CCE3-31B8-47BB-A69C-1F2F725D2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531cf-87ce-42ef-97b9-c349eda1b4ef"/>
    <ds:schemaRef ds:uri="f1385b24-fdc9-465b-acea-1175dd522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f1385b24-fdc9-465b-acea-1175dd5222bb"/>
    <ds:schemaRef ds:uri="4ad531cf-87ce-42ef-97b9-c349eda1b4ef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17</TotalTime>
  <Pages>5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arrangements for nitisinone (Orfadin) information for hereditary tyrosinaemia type 1 - Prescriber factshee</vt:lpstr>
    </vt:vector>
  </TitlesOfParts>
  <Company/>
  <LinksUpToDate>false</LinksUpToDate>
  <CharactersWithSpaces>10996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arrangements for nitisinone (Orfadin) information for hereditary tyrosinaemia type 1 - Prescriber factshee</dc:title>
  <dc:subject>Nitisinone (Orfadin)</dc:subject>
  <dc:creator>Australian Government Department of Health Disability and Ageing</dc:creator>
  <cp:keywords>LSDP, PBS</cp:keywords>
  <cp:revision>3</cp:revision>
  <dcterms:created xsi:type="dcterms:W3CDTF">2026-07-06T05:19:00Z</dcterms:created>
  <dcterms:modified xsi:type="dcterms:W3CDTF">2026-07-20T06:10:00Z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0x0101007D787DBF8135764DAC9D2F9DB6FE3A2E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  <property fmtid="{D5CDD505-2E9C-101B-9397-08002B2CF9AE}" pid="25" name="ClassificationContentMarkingHeaderShapeIds">
    <vt:lpwstr>64aac6a0,75f8d5e7,3a9d442b</vt:lpwstr>
  </property>
  <property fmtid="{D5CDD505-2E9C-101B-9397-08002B2CF9AE}" pid="26" name="ClassificationContentMarkingHeaderFontProps">
    <vt:lpwstr>#ff0000,12,Aptos</vt:lpwstr>
  </property>
  <property fmtid="{D5CDD505-2E9C-101B-9397-08002B2CF9AE}" pid="27" name="ClassificationContentMarkingHeaderText">
    <vt:lpwstr>OFFICIAL</vt:lpwstr>
  </property>
  <property fmtid="{D5CDD505-2E9C-101B-9397-08002B2CF9AE}" pid="28" name="ClassificationContentMarkingFooterShapeIds">
    <vt:lpwstr>45b08e40,75d3350a,7c86a336</vt:lpwstr>
  </property>
  <property fmtid="{D5CDD505-2E9C-101B-9397-08002B2CF9AE}" pid="29" name="ClassificationContentMarkingFooterFontProps">
    <vt:lpwstr>#ff0000,12,Aptos</vt:lpwstr>
  </property>
  <property fmtid="{D5CDD505-2E9C-101B-9397-08002B2CF9AE}" pid="30" name="ClassificationContentMarkingFooterText">
    <vt:lpwstr>OFFICIAL</vt:lpwstr>
  </property>
  <property fmtid="{D5CDD505-2E9C-101B-9397-08002B2CF9AE}" pid="31" name="MSIP_Label_7cd3e8b9-ffed-43a8-b7f4-cc2fa0382d36_Enabled">
    <vt:lpwstr>true</vt:lpwstr>
  </property>
  <property fmtid="{D5CDD505-2E9C-101B-9397-08002B2CF9AE}" pid="32" name="MSIP_Label_7cd3e8b9-ffed-43a8-b7f4-cc2fa0382d36_SetDate">
    <vt:lpwstr>2025-12-16T03:18:17Z</vt:lpwstr>
  </property>
  <property fmtid="{D5CDD505-2E9C-101B-9397-08002B2CF9AE}" pid="33" name="MSIP_Label_7cd3e8b9-ffed-43a8-b7f4-cc2fa0382d36_Method">
    <vt:lpwstr>Privileged</vt:lpwstr>
  </property>
  <property fmtid="{D5CDD505-2E9C-101B-9397-08002B2CF9AE}" pid="34" name="MSIP_Label_7cd3e8b9-ffed-43a8-b7f4-cc2fa0382d36_Name">
    <vt:lpwstr>O</vt:lpwstr>
  </property>
  <property fmtid="{D5CDD505-2E9C-101B-9397-08002B2CF9AE}" pid="35" name="MSIP_Label_7cd3e8b9-ffed-43a8-b7f4-cc2fa0382d36_SiteId">
    <vt:lpwstr>34a3929c-73cf-4954-abfe-147dc3517892</vt:lpwstr>
  </property>
  <property fmtid="{D5CDD505-2E9C-101B-9397-08002B2CF9AE}" pid="36" name="MSIP_Label_7cd3e8b9-ffed-43a8-b7f4-cc2fa0382d36_ActionId">
    <vt:lpwstr>5dda4627-42db-47c9-ba87-8edc0fa1a38d</vt:lpwstr>
  </property>
  <property fmtid="{D5CDD505-2E9C-101B-9397-08002B2CF9AE}" pid="37" name="MSIP_Label_7cd3e8b9-ffed-43a8-b7f4-cc2fa0382d36_ContentBits">
    <vt:lpwstr>3</vt:lpwstr>
  </property>
  <property fmtid="{D5CDD505-2E9C-101B-9397-08002B2CF9AE}" pid="38" name="MSIP_Label_7cd3e8b9-ffed-43a8-b7f4-cc2fa0382d36_Tag">
    <vt:lpwstr>10, 0, 1, 2</vt:lpwstr>
  </property>
</Properties>
</file>