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667DD" w14:textId="643B58F6" w:rsidR="001E0C01" w:rsidRPr="000774A1" w:rsidRDefault="00361098" w:rsidP="00DB382C">
      <w:pPr>
        <w:pStyle w:val="Title"/>
        <w:spacing w:after="0" w:line="240" w:lineRule="auto"/>
        <w:jc w:val="center"/>
        <w:rPr>
          <w:rFonts w:cstheme="minorHAnsi"/>
          <w:b/>
          <w:bCs/>
        </w:rPr>
      </w:pPr>
      <w:r w:rsidRPr="000774A1">
        <w:rPr>
          <w:rFonts w:cstheme="minorHAnsi"/>
          <w:b/>
          <w:bCs/>
        </w:rPr>
        <w:t xml:space="preserve">National Autism Strategy </w:t>
      </w:r>
      <w:r w:rsidR="004127BC" w:rsidRPr="000774A1">
        <w:rPr>
          <w:rFonts w:cstheme="minorHAnsi"/>
          <w:b/>
          <w:bCs/>
        </w:rPr>
        <w:t>Reference Group</w:t>
      </w:r>
      <w:r w:rsidRPr="000774A1">
        <w:rPr>
          <w:rFonts w:cstheme="minorHAnsi"/>
          <w:b/>
          <w:bCs/>
        </w:rPr>
        <w:t xml:space="preserve"> </w:t>
      </w:r>
      <w:r w:rsidR="00E7729D" w:rsidRPr="000774A1">
        <w:rPr>
          <w:rFonts w:cstheme="minorHAnsi"/>
          <w:b/>
          <w:bCs/>
        </w:rPr>
        <w:t>Terms of Reference</w:t>
      </w:r>
    </w:p>
    <w:p w14:paraId="125BCC57" w14:textId="606D500F" w:rsidR="00E7729D" w:rsidRPr="000774A1" w:rsidRDefault="00E7729D" w:rsidP="00E7729D">
      <w:pPr>
        <w:pStyle w:val="Heading1"/>
        <w:rPr>
          <w:rFonts w:cstheme="minorHAnsi"/>
        </w:rPr>
      </w:pPr>
      <w:r w:rsidRPr="000774A1">
        <w:rPr>
          <w:rFonts w:cstheme="minorHAnsi"/>
        </w:rPr>
        <w:t>Purpose</w:t>
      </w:r>
      <w:r w:rsidR="00A75C83" w:rsidRPr="000774A1">
        <w:rPr>
          <w:rFonts w:cstheme="minorHAnsi"/>
        </w:rPr>
        <w:t xml:space="preserve"> of the Terms of Reference</w:t>
      </w:r>
    </w:p>
    <w:p w14:paraId="0EE6F4CE" w14:textId="6BCE2788" w:rsidR="00A75C83" w:rsidRPr="000774A1" w:rsidRDefault="00A75C83" w:rsidP="00665DAD">
      <w:pPr>
        <w:spacing w:before="200"/>
        <w:rPr>
          <w:rFonts w:cstheme="minorHAnsi"/>
        </w:rPr>
      </w:pPr>
      <w:r w:rsidRPr="000774A1">
        <w:rPr>
          <w:rFonts w:cstheme="minorHAnsi"/>
        </w:rPr>
        <w:t>These Terms of Reference set out the objectives, scope of work and operational arrangements of the National Autism Strategy Reference Group (Reference Group) and the responsibilities of</w:t>
      </w:r>
      <w:r w:rsidR="004F4A18" w:rsidRPr="000774A1">
        <w:rPr>
          <w:rFonts w:cstheme="minorHAnsi"/>
        </w:rPr>
        <w:t> </w:t>
      </w:r>
      <w:r w:rsidRPr="000774A1">
        <w:rPr>
          <w:rFonts w:cstheme="minorHAnsi"/>
        </w:rPr>
        <w:t>those associated with the Reference Group.</w:t>
      </w:r>
    </w:p>
    <w:p w14:paraId="02E4B719" w14:textId="5A546B5A" w:rsidR="00A75C83" w:rsidRPr="000774A1" w:rsidRDefault="00A75C83" w:rsidP="00A75C83">
      <w:pPr>
        <w:pStyle w:val="Heading1"/>
      </w:pPr>
      <w:r w:rsidRPr="000774A1">
        <w:t>Status of Terms of Reference</w:t>
      </w:r>
    </w:p>
    <w:p w14:paraId="363D0844" w14:textId="0B9FDB87" w:rsidR="00A75C83" w:rsidRPr="000774A1" w:rsidRDefault="00A75C83" w:rsidP="00665DAD">
      <w:pPr>
        <w:spacing w:before="200"/>
        <w:rPr>
          <w:rFonts w:cstheme="minorHAnsi"/>
        </w:rPr>
      </w:pPr>
      <w:r w:rsidRPr="000774A1">
        <w:rPr>
          <w:rFonts w:cstheme="minorHAnsi"/>
        </w:rPr>
        <w:t xml:space="preserve">The </w:t>
      </w:r>
      <w:r w:rsidR="00D157E7" w:rsidRPr="000774A1">
        <w:rPr>
          <w:rFonts w:cstheme="minorHAnsi"/>
        </w:rPr>
        <w:t xml:space="preserve">final </w:t>
      </w:r>
      <w:r w:rsidRPr="000774A1">
        <w:rPr>
          <w:rFonts w:cstheme="minorHAnsi"/>
        </w:rPr>
        <w:t xml:space="preserve">Terms of Reference </w:t>
      </w:r>
      <w:r w:rsidR="00D157E7" w:rsidRPr="000774A1">
        <w:rPr>
          <w:rFonts w:cstheme="minorHAnsi"/>
        </w:rPr>
        <w:t xml:space="preserve">will be </w:t>
      </w:r>
      <w:r w:rsidRPr="000774A1">
        <w:rPr>
          <w:rFonts w:cstheme="minorHAnsi"/>
        </w:rPr>
        <w:t xml:space="preserve">developed in consultation with the Reference Group and are subject to approval by </w:t>
      </w:r>
      <w:r w:rsidR="00795354" w:rsidRPr="000774A1">
        <w:rPr>
          <w:rFonts w:cstheme="minorHAnsi"/>
        </w:rPr>
        <w:t xml:space="preserve">the Minister </w:t>
      </w:r>
      <w:r w:rsidR="00D157E7" w:rsidRPr="000774A1">
        <w:rPr>
          <w:rFonts w:cstheme="minorHAnsi"/>
        </w:rPr>
        <w:t xml:space="preserve">for the National Disability Insurance Scheme </w:t>
      </w:r>
      <w:r w:rsidR="000506D9">
        <w:rPr>
          <w:rFonts w:cstheme="minorHAnsi"/>
        </w:rPr>
        <w:t xml:space="preserve">(Minister) </w:t>
      </w:r>
      <w:r w:rsidR="00795354" w:rsidRPr="000774A1">
        <w:rPr>
          <w:rFonts w:cstheme="minorHAnsi"/>
        </w:rPr>
        <w:t>or the Department of Health, Disability and Ageing</w:t>
      </w:r>
      <w:r w:rsidR="000506D9">
        <w:rPr>
          <w:rFonts w:cstheme="minorHAnsi"/>
        </w:rPr>
        <w:t xml:space="preserve"> (department)</w:t>
      </w:r>
      <w:r w:rsidRPr="000774A1">
        <w:rPr>
          <w:rFonts w:cstheme="minorHAnsi"/>
        </w:rPr>
        <w:t>.</w:t>
      </w:r>
    </w:p>
    <w:p w14:paraId="713C14C0" w14:textId="491E69F1" w:rsidR="00A75C83" w:rsidRPr="000774A1" w:rsidRDefault="00A75C83" w:rsidP="00665DAD">
      <w:pPr>
        <w:spacing w:before="200"/>
        <w:rPr>
          <w:rFonts w:cstheme="minorHAnsi"/>
        </w:rPr>
      </w:pPr>
      <w:r w:rsidRPr="000774A1">
        <w:rPr>
          <w:rFonts w:cstheme="minorHAnsi"/>
        </w:rPr>
        <w:t>Reference Group members must comply with the Terms of Reference.</w:t>
      </w:r>
    </w:p>
    <w:p w14:paraId="05A38FF5" w14:textId="7CE13CA1" w:rsidR="00A75C83" w:rsidRPr="000774A1" w:rsidRDefault="00A75C83" w:rsidP="00A75C83">
      <w:pPr>
        <w:pStyle w:val="Heading1"/>
      </w:pPr>
      <w:r w:rsidRPr="000774A1">
        <w:t>Establishment of the Reference Group</w:t>
      </w:r>
    </w:p>
    <w:p w14:paraId="7AB88876" w14:textId="4BB66098" w:rsidR="00D157E7" w:rsidRPr="000774A1" w:rsidRDefault="00A75C83" w:rsidP="00665DAD">
      <w:pPr>
        <w:spacing w:before="200"/>
        <w:rPr>
          <w:rFonts w:cstheme="minorHAnsi"/>
        </w:rPr>
      </w:pPr>
      <w:r w:rsidRPr="000774A1">
        <w:rPr>
          <w:rFonts w:cstheme="minorHAnsi"/>
        </w:rPr>
        <w:t xml:space="preserve">The Reference Group was established </w:t>
      </w:r>
      <w:r w:rsidR="005B4348" w:rsidRPr="000774A1">
        <w:rPr>
          <w:rFonts w:cstheme="minorHAnsi"/>
        </w:rPr>
        <w:t>i</w:t>
      </w:r>
      <w:r w:rsidRPr="000774A1">
        <w:rPr>
          <w:rFonts w:cstheme="minorHAnsi"/>
        </w:rPr>
        <w:t xml:space="preserve">n </w:t>
      </w:r>
      <w:r w:rsidR="00C942CC" w:rsidRPr="000774A1">
        <w:rPr>
          <w:rFonts w:cstheme="minorHAnsi"/>
        </w:rPr>
        <w:t>December</w:t>
      </w:r>
      <w:r w:rsidR="005B4348" w:rsidRPr="000774A1">
        <w:rPr>
          <w:rFonts w:cstheme="minorHAnsi"/>
        </w:rPr>
        <w:t xml:space="preserve"> 2025</w:t>
      </w:r>
      <w:r w:rsidRPr="000774A1">
        <w:rPr>
          <w:rFonts w:cstheme="minorHAnsi"/>
        </w:rPr>
        <w:t xml:space="preserve"> and will operate until</w:t>
      </w:r>
      <w:r w:rsidR="005B4348" w:rsidRPr="000774A1">
        <w:rPr>
          <w:rFonts w:cstheme="minorHAnsi"/>
        </w:rPr>
        <w:t xml:space="preserve"> the end of</w:t>
      </w:r>
      <w:r w:rsidR="00C03A93">
        <w:rPr>
          <w:rFonts w:cstheme="minorHAnsi"/>
        </w:rPr>
        <w:t> </w:t>
      </w:r>
      <w:r w:rsidR="005B4348" w:rsidRPr="000774A1">
        <w:rPr>
          <w:rFonts w:cstheme="minorHAnsi"/>
        </w:rPr>
        <w:t>2026</w:t>
      </w:r>
      <w:r w:rsidRPr="000774A1">
        <w:rPr>
          <w:rFonts w:cstheme="minorHAnsi"/>
        </w:rPr>
        <w:t xml:space="preserve">, unless the </w:t>
      </w:r>
      <w:r w:rsidR="00795354" w:rsidRPr="000774A1">
        <w:rPr>
          <w:rFonts w:cstheme="minorHAnsi"/>
        </w:rPr>
        <w:t xml:space="preserve">Minister or the </w:t>
      </w:r>
      <w:r w:rsidR="008A6694" w:rsidRPr="000774A1">
        <w:rPr>
          <w:rFonts w:cstheme="minorHAnsi"/>
        </w:rPr>
        <w:t xml:space="preserve">department </w:t>
      </w:r>
      <w:r w:rsidRPr="000774A1">
        <w:rPr>
          <w:rFonts w:cstheme="minorHAnsi"/>
        </w:rPr>
        <w:t>determines a different date (including an</w:t>
      </w:r>
      <w:r w:rsidR="00C03A93">
        <w:rPr>
          <w:rFonts w:cstheme="minorHAnsi"/>
        </w:rPr>
        <w:t> </w:t>
      </w:r>
      <w:r w:rsidRPr="000774A1">
        <w:rPr>
          <w:rFonts w:cstheme="minorHAnsi"/>
        </w:rPr>
        <w:t xml:space="preserve">earlier date). </w:t>
      </w:r>
    </w:p>
    <w:p w14:paraId="76EBD7DB" w14:textId="7B05CAF1" w:rsidR="00A75C83" w:rsidRDefault="00F063CA" w:rsidP="00665DAD">
      <w:pPr>
        <w:spacing w:before="200"/>
        <w:rPr>
          <w:rFonts w:cstheme="minorHAnsi"/>
        </w:rPr>
      </w:pPr>
      <w:r w:rsidRPr="00F063CA">
        <w:rPr>
          <w:rFonts w:cstheme="minorHAnsi"/>
        </w:rPr>
        <w:t>The Reference Group is a non‑statutory, advisory body that was not established by legislation. It has no independent legal personality and was established by the Minister to</w:t>
      </w:r>
      <w:r w:rsidR="00C03A93">
        <w:rPr>
          <w:rFonts w:cstheme="minorHAnsi"/>
        </w:rPr>
        <w:t> </w:t>
      </w:r>
      <w:r w:rsidRPr="00F063CA">
        <w:rPr>
          <w:rFonts w:cstheme="minorHAnsi"/>
        </w:rPr>
        <w:t>provide advice and input on relevant matters.</w:t>
      </w:r>
      <w:r>
        <w:rPr>
          <w:rFonts w:cstheme="minorHAnsi"/>
        </w:rPr>
        <w:t xml:space="preserve"> </w:t>
      </w:r>
    </w:p>
    <w:p w14:paraId="170F3D8C" w14:textId="58978695" w:rsidR="00F063CA" w:rsidRPr="000774A1" w:rsidRDefault="00F063CA" w:rsidP="00665DAD">
      <w:pPr>
        <w:spacing w:before="200"/>
        <w:rPr>
          <w:rFonts w:cstheme="minorHAnsi"/>
        </w:rPr>
      </w:pPr>
      <w:r w:rsidRPr="00F063CA">
        <w:rPr>
          <w:rFonts w:cstheme="minorHAnsi"/>
        </w:rPr>
        <w:t>While the Reference Group itself does not have legal personality, members are nonetheless required to comply with all relevant legislation, including any applicable duties, obligations, and codes of conduct.</w:t>
      </w:r>
    </w:p>
    <w:p w14:paraId="5752D803" w14:textId="07FF444E" w:rsidR="00A75C83" w:rsidRPr="000774A1" w:rsidRDefault="00A75C83" w:rsidP="003F6B75">
      <w:pPr>
        <w:pStyle w:val="Heading1"/>
        <w:keepNext/>
        <w:keepLines/>
      </w:pPr>
      <w:r w:rsidRPr="000774A1">
        <w:lastRenderedPageBreak/>
        <w:t>Purpose of the Reference Group</w:t>
      </w:r>
    </w:p>
    <w:p w14:paraId="0BAC2C09" w14:textId="2FD45749" w:rsidR="00511C3F" w:rsidRPr="000774A1" w:rsidRDefault="00665DAD" w:rsidP="003F6B75">
      <w:pPr>
        <w:keepNext/>
        <w:keepLines/>
        <w:spacing w:before="200"/>
        <w:rPr>
          <w:rFonts w:cstheme="minorHAnsi"/>
        </w:rPr>
      </w:pPr>
      <w:r w:rsidRPr="000774A1">
        <w:rPr>
          <w:rFonts w:cstheme="minorHAnsi"/>
        </w:rPr>
        <w:t>The</w:t>
      </w:r>
      <w:r w:rsidR="00766743" w:rsidRPr="000774A1">
        <w:rPr>
          <w:rFonts w:cstheme="minorHAnsi"/>
        </w:rPr>
        <w:t xml:space="preserve"> </w:t>
      </w:r>
      <w:r w:rsidR="0028631E" w:rsidRPr="000774A1">
        <w:rPr>
          <w:rFonts w:cstheme="minorHAnsi"/>
        </w:rPr>
        <w:t xml:space="preserve">Reference Group </w:t>
      </w:r>
      <w:r w:rsidR="00511C3F" w:rsidRPr="000774A1">
        <w:rPr>
          <w:rFonts w:cstheme="minorHAnsi"/>
        </w:rPr>
        <w:t xml:space="preserve">will support the implementation of </w:t>
      </w:r>
      <w:r w:rsidR="000506D9">
        <w:rPr>
          <w:rFonts w:cstheme="minorHAnsi"/>
        </w:rPr>
        <w:t>Australia’s</w:t>
      </w:r>
      <w:r w:rsidR="005B4348" w:rsidRPr="000774A1">
        <w:rPr>
          <w:rFonts w:cstheme="minorHAnsi"/>
        </w:rPr>
        <w:t xml:space="preserve"> National</w:t>
      </w:r>
      <w:r w:rsidR="00511C3F" w:rsidRPr="000774A1">
        <w:rPr>
          <w:rFonts w:cstheme="minorHAnsi"/>
        </w:rPr>
        <w:t xml:space="preserve"> Autism </w:t>
      </w:r>
      <w:r w:rsidR="00A61F95" w:rsidRPr="000774A1">
        <w:rPr>
          <w:rFonts w:cstheme="minorHAnsi"/>
        </w:rPr>
        <w:t>S</w:t>
      </w:r>
      <w:r w:rsidR="00511C3F" w:rsidRPr="000774A1">
        <w:rPr>
          <w:rFonts w:cstheme="minorHAnsi"/>
        </w:rPr>
        <w:t xml:space="preserve">trategy 2025-2031 (Strategy) and the First Action Plan </w:t>
      </w:r>
      <w:r w:rsidR="00136F87" w:rsidRPr="000774A1">
        <w:rPr>
          <w:rFonts w:cstheme="minorHAnsi"/>
        </w:rPr>
        <w:t>2025-2026 (Action Plan</w:t>
      </w:r>
      <w:r w:rsidR="00655468" w:rsidRPr="000774A1">
        <w:rPr>
          <w:rFonts w:cstheme="minorHAnsi"/>
        </w:rPr>
        <w:t>)</w:t>
      </w:r>
      <w:r w:rsidR="0078004A">
        <w:rPr>
          <w:rFonts w:cstheme="minorHAnsi"/>
        </w:rPr>
        <w:t xml:space="preserve"> including supporting the implementation of the National Roadmap to Improve the Health and Mental Health of Autistic People 2025-2035 (Roadmap)</w:t>
      </w:r>
      <w:r w:rsidR="00136F87" w:rsidRPr="000774A1">
        <w:rPr>
          <w:rFonts w:cstheme="minorHAnsi"/>
        </w:rPr>
        <w:t>. The</w:t>
      </w:r>
      <w:r w:rsidR="005B4348" w:rsidRPr="000774A1">
        <w:rPr>
          <w:rFonts w:cstheme="minorHAnsi"/>
        </w:rPr>
        <w:t> </w:t>
      </w:r>
      <w:r w:rsidR="00136F87" w:rsidRPr="000774A1">
        <w:rPr>
          <w:rFonts w:cstheme="minorHAnsi"/>
        </w:rPr>
        <w:t xml:space="preserve">Reference Group </w:t>
      </w:r>
      <w:r w:rsidR="00511C3F" w:rsidRPr="000774A1">
        <w:rPr>
          <w:rFonts w:cstheme="minorHAnsi"/>
        </w:rPr>
        <w:t xml:space="preserve">is expected to provide the Minister and the </w:t>
      </w:r>
      <w:r w:rsidR="001B7B0F" w:rsidRPr="000774A1">
        <w:rPr>
          <w:rFonts w:cstheme="minorHAnsi"/>
        </w:rPr>
        <w:t>d</w:t>
      </w:r>
      <w:r w:rsidR="00A61F95" w:rsidRPr="000774A1">
        <w:rPr>
          <w:rFonts w:cstheme="minorHAnsi"/>
        </w:rPr>
        <w:t xml:space="preserve">epartment </w:t>
      </w:r>
      <w:r w:rsidR="00511C3F" w:rsidRPr="000774A1">
        <w:rPr>
          <w:rFonts w:cstheme="minorHAnsi"/>
        </w:rPr>
        <w:t>with strategic advice to inform:</w:t>
      </w:r>
    </w:p>
    <w:p w14:paraId="5E1CA961" w14:textId="75E7EC81" w:rsidR="00511C3F" w:rsidRPr="000774A1" w:rsidRDefault="00136F87" w:rsidP="003F6B75">
      <w:pPr>
        <w:pStyle w:val="ListParagraph"/>
        <w:keepNext/>
        <w:keepLines/>
        <w:numPr>
          <w:ilvl w:val="0"/>
          <w:numId w:val="2"/>
        </w:numPr>
        <w:spacing w:before="120" w:after="120" w:line="240" w:lineRule="auto"/>
        <w:ind w:left="714" w:hanging="357"/>
        <w:contextualSpacing w:val="0"/>
        <w:rPr>
          <w:rFonts w:cstheme="minorHAnsi"/>
        </w:rPr>
      </w:pPr>
      <w:r w:rsidRPr="000774A1">
        <w:rPr>
          <w:rFonts w:cstheme="minorHAnsi"/>
        </w:rPr>
        <w:t>i</w:t>
      </w:r>
      <w:r w:rsidR="00511C3F" w:rsidRPr="000774A1">
        <w:rPr>
          <w:rFonts w:cstheme="minorHAnsi"/>
        </w:rPr>
        <w:t xml:space="preserve">mplementation of actions </w:t>
      </w:r>
      <w:r w:rsidRPr="000774A1">
        <w:rPr>
          <w:rFonts w:cstheme="minorHAnsi"/>
        </w:rPr>
        <w:t>under</w:t>
      </w:r>
      <w:r w:rsidR="00511C3F" w:rsidRPr="000774A1">
        <w:rPr>
          <w:rFonts w:cstheme="minorHAnsi"/>
        </w:rPr>
        <w:t xml:space="preserve"> the Action Plan</w:t>
      </w:r>
    </w:p>
    <w:p w14:paraId="7505FFB1" w14:textId="44FBA4A9" w:rsidR="00136F87" w:rsidRPr="000774A1" w:rsidRDefault="00136F87" w:rsidP="003F6B75">
      <w:pPr>
        <w:pStyle w:val="ListParagraph"/>
        <w:keepNext/>
        <w:keepLines/>
        <w:numPr>
          <w:ilvl w:val="0"/>
          <w:numId w:val="2"/>
        </w:numPr>
        <w:spacing w:before="120" w:after="120" w:line="240" w:lineRule="auto"/>
        <w:ind w:left="714" w:hanging="357"/>
        <w:contextualSpacing w:val="0"/>
        <w:rPr>
          <w:rFonts w:cstheme="minorHAnsi"/>
        </w:rPr>
      </w:pPr>
      <w:r w:rsidRPr="000774A1">
        <w:rPr>
          <w:rFonts w:cstheme="minorHAnsi"/>
        </w:rPr>
        <w:t xml:space="preserve">development of an evidence and evaluation framework </w:t>
      </w:r>
      <w:r w:rsidR="0078004A">
        <w:rPr>
          <w:rFonts w:cstheme="minorHAnsi"/>
        </w:rPr>
        <w:t xml:space="preserve">incorporating </w:t>
      </w:r>
      <w:r w:rsidRPr="000774A1">
        <w:rPr>
          <w:rFonts w:cstheme="minorHAnsi"/>
        </w:rPr>
        <w:t>the Strategy</w:t>
      </w:r>
      <w:r w:rsidR="0078004A">
        <w:rPr>
          <w:rFonts w:cstheme="minorHAnsi"/>
        </w:rPr>
        <w:t xml:space="preserve"> and the Roadmap.</w:t>
      </w:r>
    </w:p>
    <w:p w14:paraId="0DFCCB8E" w14:textId="5016EB09" w:rsidR="00136F87" w:rsidRPr="000774A1" w:rsidRDefault="00136F87" w:rsidP="003F6B75">
      <w:pPr>
        <w:pStyle w:val="ListParagraph"/>
        <w:keepNext/>
        <w:keepLines/>
        <w:numPr>
          <w:ilvl w:val="0"/>
          <w:numId w:val="2"/>
        </w:numPr>
        <w:spacing w:before="120" w:after="120" w:line="240" w:lineRule="auto"/>
        <w:ind w:left="714" w:hanging="357"/>
        <w:contextualSpacing w:val="0"/>
        <w:rPr>
          <w:rFonts w:cstheme="minorHAnsi"/>
        </w:rPr>
      </w:pPr>
      <w:r w:rsidRPr="000774A1">
        <w:rPr>
          <w:rFonts w:cstheme="minorHAnsi"/>
        </w:rPr>
        <w:t xml:space="preserve">monitoring of evaluation processes including reporting on implementation of the Action Plan </w:t>
      </w:r>
    </w:p>
    <w:p w14:paraId="34DCDA46" w14:textId="58B922E0" w:rsidR="00136F87" w:rsidRPr="000774A1" w:rsidRDefault="00136F87" w:rsidP="003F6B75">
      <w:pPr>
        <w:pStyle w:val="ListParagraph"/>
        <w:numPr>
          <w:ilvl w:val="0"/>
          <w:numId w:val="2"/>
        </w:numPr>
        <w:spacing w:before="120" w:after="120" w:line="240" w:lineRule="auto"/>
        <w:ind w:left="714" w:hanging="357"/>
        <w:contextualSpacing w:val="0"/>
        <w:rPr>
          <w:rFonts w:cstheme="minorHAnsi"/>
        </w:rPr>
      </w:pPr>
      <w:r w:rsidRPr="000774A1">
        <w:rPr>
          <w:rFonts w:cstheme="minorHAnsi"/>
        </w:rPr>
        <w:t>development of future actions beyond the Action Plan.</w:t>
      </w:r>
    </w:p>
    <w:p w14:paraId="10F9F1D9" w14:textId="40A07713" w:rsidR="00665DAD" w:rsidRPr="000774A1" w:rsidRDefault="00665DAD" w:rsidP="00665DAD">
      <w:pPr>
        <w:spacing w:before="200"/>
        <w:rPr>
          <w:rFonts w:cstheme="minorHAnsi"/>
        </w:rPr>
      </w:pPr>
      <w:r w:rsidRPr="000774A1">
        <w:rPr>
          <w:rFonts w:cstheme="minorHAnsi"/>
        </w:rPr>
        <w:t xml:space="preserve">The </w:t>
      </w:r>
      <w:r w:rsidR="0028631E" w:rsidRPr="000774A1">
        <w:rPr>
          <w:rFonts w:cstheme="minorHAnsi"/>
        </w:rPr>
        <w:t xml:space="preserve">Reference Group </w:t>
      </w:r>
      <w:r w:rsidRPr="000774A1">
        <w:rPr>
          <w:rFonts w:cstheme="minorHAnsi"/>
        </w:rPr>
        <w:t xml:space="preserve">will support the Minister to consult and inform other </w:t>
      </w:r>
      <w:r w:rsidR="00D157E7" w:rsidRPr="000774A1">
        <w:rPr>
          <w:rFonts w:cstheme="minorHAnsi"/>
        </w:rPr>
        <w:t>g</w:t>
      </w:r>
      <w:r w:rsidR="00EE10B5" w:rsidRPr="000774A1">
        <w:rPr>
          <w:rFonts w:cstheme="minorHAnsi"/>
        </w:rPr>
        <w:t>overnment</w:t>
      </w:r>
      <w:r w:rsidRPr="000774A1">
        <w:rPr>
          <w:rFonts w:cstheme="minorHAnsi"/>
        </w:rPr>
        <w:t xml:space="preserve"> Ministers throughout the implementation stages of the Strategy, as appropriate.</w:t>
      </w:r>
    </w:p>
    <w:p w14:paraId="5AB0BCFE" w14:textId="302DA912" w:rsidR="00665DAD" w:rsidRPr="000774A1" w:rsidRDefault="00665DAD" w:rsidP="00665DAD">
      <w:pPr>
        <w:spacing w:before="200"/>
        <w:rPr>
          <w:rFonts w:cstheme="minorHAnsi"/>
        </w:rPr>
      </w:pPr>
      <w:r w:rsidRPr="000774A1">
        <w:rPr>
          <w:rFonts w:cstheme="minorHAnsi"/>
        </w:rPr>
        <w:t>The</w:t>
      </w:r>
      <w:r w:rsidR="0028631E" w:rsidRPr="000774A1">
        <w:rPr>
          <w:rFonts w:cstheme="minorHAnsi"/>
        </w:rPr>
        <w:t xml:space="preserve"> Reference Group</w:t>
      </w:r>
      <w:r w:rsidRPr="000774A1">
        <w:rPr>
          <w:rFonts w:cstheme="minorHAnsi"/>
        </w:rPr>
        <w:t xml:space="preserve"> will engage with relevant Australian Government</w:t>
      </w:r>
      <w:r w:rsidR="00D157E7" w:rsidRPr="000774A1">
        <w:rPr>
          <w:rFonts w:cstheme="minorHAnsi"/>
        </w:rPr>
        <w:t xml:space="preserve"> departments</w:t>
      </w:r>
      <w:r w:rsidRPr="000774A1">
        <w:rPr>
          <w:rFonts w:cstheme="minorHAnsi"/>
        </w:rPr>
        <w:t>, the</w:t>
      </w:r>
      <w:r w:rsidR="00B92046" w:rsidRPr="000774A1">
        <w:rPr>
          <w:rFonts w:cstheme="minorHAnsi"/>
        </w:rPr>
        <w:t> </w:t>
      </w:r>
      <w:r w:rsidRPr="000774A1">
        <w:rPr>
          <w:rFonts w:cstheme="minorHAnsi"/>
        </w:rPr>
        <w:t xml:space="preserve">Autistic and </w:t>
      </w:r>
      <w:r w:rsidR="00EE10B5" w:rsidRPr="000774A1">
        <w:rPr>
          <w:rFonts w:cstheme="minorHAnsi"/>
        </w:rPr>
        <w:t>a</w:t>
      </w:r>
      <w:r w:rsidRPr="000774A1">
        <w:rPr>
          <w:rFonts w:cstheme="minorHAnsi"/>
        </w:rPr>
        <w:t xml:space="preserve">utism </w:t>
      </w:r>
      <w:r w:rsidR="004127BC" w:rsidRPr="000774A1">
        <w:rPr>
          <w:rFonts w:cstheme="minorHAnsi"/>
        </w:rPr>
        <w:t>c</w:t>
      </w:r>
      <w:r w:rsidRPr="000774A1">
        <w:rPr>
          <w:rFonts w:cstheme="minorHAnsi"/>
        </w:rPr>
        <w:t xml:space="preserve">ommunity and </w:t>
      </w:r>
      <w:r w:rsidR="004127BC" w:rsidRPr="000774A1">
        <w:rPr>
          <w:rFonts w:cstheme="minorHAnsi"/>
        </w:rPr>
        <w:t>s</w:t>
      </w:r>
      <w:r w:rsidRPr="000774A1">
        <w:rPr>
          <w:rFonts w:cstheme="minorHAnsi"/>
        </w:rPr>
        <w:t>ector and the broader disability sector, as required.</w:t>
      </w:r>
    </w:p>
    <w:p w14:paraId="7ED60876" w14:textId="2E00ECAC" w:rsidR="00665DAD" w:rsidRPr="000774A1" w:rsidRDefault="00665DAD" w:rsidP="00665DAD">
      <w:pPr>
        <w:spacing w:before="200"/>
        <w:rPr>
          <w:rFonts w:cstheme="minorHAnsi"/>
        </w:rPr>
      </w:pPr>
      <w:r w:rsidRPr="000774A1">
        <w:rPr>
          <w:rFonts w:cstheme="minorHAnsi"/>
        </w:rPr>
        <w:t xml:space="preserve">The </w:t>
      </w:r>
      <w:r w:rsidR="0028631E" w:rsidRPr="000774A1">
        <w:rPr>
          <w:rFonts w:cstheme="minorHAnsi"/>
        </w:rPr>
        <w:t xml:space="preserve">Reference Group </w:t>
      </w:r>
      <w:r w:rsidR="00B92046" w:rsidRPr="000774A1">
        <w:rPr>
          <w:rFonts w:cstheme="minorHAnsi"/>
        </w:rPr>
        <w:t>may</w:t>
      </w:r>
      <w:r w:rsidRPr="000774A1">
        <w:rPr>
          <w:rFonts w:cstheme="minorHAnsi"/>
        </w:rPr>
        <w:t xml:space="preserve"> also work with the</w:t>
      </w:r>
      <w:r w:rsidR="00EE10B5" w:rsidRPr="000774A1">
        <w:rPr>
          <w:rFonts w:cstheme="minorHAnsi"/>
        </w:rPr>
        <w:t xml:space="preserve"> </w:t>
      </w:r>
      <w:r w:rsidR="00511C3F" w:rsidRPr="000774A1">
        <w:rPr>
          <w:rFonts w:cstheme="minorHAnsi"/>
        </w:rPr>
        <w:t>time</w:t>
      </w:r>
      <w:r w:rsidR="00A61F95" w:rsidRPr="000774A1">
        <w:rPr>
          <w:rFonts w:cstheme="minorHAnsi"/>
        </w:rPr>
        <w:t>-</w:t>
      </w:r>
      <w:r w:rsidR="00511C3F" w:rsidRPr="000774A1">
        <w:rPr>
          <w:rFonts w:cstheme="minorHAnsi"/>
        </w:rPr>
        <w:t>limited</w:t>
      </w:r>
      <w:r w:rsidRPr="000774A1">
        <w:rPr>
          <w:rFonts w:cstheme="minorHAnsi"/>
        </w:rPr>
        <w:t xml:space="preserve"> </w:t>
      </w:r>
      <w:r w:rsidR="00EE10B5" w:rsidRPr="000774A1">
        <w:rPr>
          <w:rFonts w:cstheme="minorHAnsi"/>
        </w:rPr>
        <w:t>W</w:t>
      </w:r>
      <w:r w:rsidRPr="000774A1">
        <w:rPr>
          <w:rFonts w:cstheme="minorHAnsi"/>
        </w:rPr>
        <w:t xml:space="preserve">orking </w:t>
      </w:r>
      <w:r w:rsidR="00EE10B5" w:rsidRPr="000774A1">
        <w:rPr>
          <w:rFonts w:cstheme="minorHAnsi"/>
        </w:rPr>
        <w:t>G</w:t>
      </w:r>
      <w:r w:rsidRPr="000774A1">
        <w:rPr>
          <w:rFonts w:cstheme="minorHAnsi"/>
        </w:rPr>
        <w:t>roup</w:t>
      </w:r>
      <w:r w:rsidR="00EE10B5" w:rsidRPr="000774A1">
        <w:rPr>
          <w:rFonts w:cstheme="minorHAnsi"/>
        </w:rPr>
        <w:t>s</w:t>
      </w:r>
      <w:r w:rsidRPr="000774A1">
        <w:rPr>
          <w:rFonts w:cstheme="minorHAnsi"/>
        </w:rPr>
        <w:t>.</w:t>
      </w:r>
    </w:p>
    <w:p w14:paraId="241A7CCD" w14:textId="77777777" w:rsidR="009868C2" w:rsidRPr="000774A1" w:rsidRDefault="00DB437C" w:rsidP="009868C2">
      <w:pPr>
        <w:pStyle w:val="Heading1"/>
      </w:pPr>
      <w:r w:rsidRPr="000774A1">
        <w:t>Priorities and work program</w:t>
      </w:r>
    </w:p>
    <w:p w14:paraId="49F5F8CC" w14:textId="7CC1710A" w:rsidR="00DB437C" w:rsidRPr="000774A1" w:rsidRDefault="00DB437C" w:rsidP="009868C2">
      <w:pPr>
        <w:spacing w:before="200"/>
        <w:rPr>
          <w:rFonts w:cstheme="minorHAnsi"/>
        </w:rPr>
      </w:pPr>
      <w:r w:rsidRPr="000774A1">
        <w:rPr>
          <w:rFonts w:cstheme="minorHAnsi"/>
        </w:rPr>
        <w:t>The Reference Group will:</w:t>
      </w:r>
    </w:p>
    <w:p w14:paraId="1DD3FC76" w14:textId="17782458" w:rsidR="0014747D" w:rsidRPr="000774A1" w:rsidRDefault="0014747D" w:rsidP="002C02D6">
      <w:pPr>
        <w:pStyle w:val="ListParagraph"/>
        <w:numPr>
          <w:ilvl w:val="0"/>
          <w:numId w:val="2"/>
        </w:numPr>
        <w:spacing w:before="200"/>
        <w:rPr>
          <w:rFonts w:cstheme="minorHAnsi"/>
        </w:rPr>
      </w:pPr>
      <w:r w:rsidRPr="000774A1">
        <w:rPr>
          <w:rFonts w:cstheme="minorHAnsi"/>
        </w:rPr>
        <w:t>provide overarching and strategic guidance for implementation of the</w:t>
      </w:r>
      <w:r w:rsidR="0078004A">
        <w:rPr>
          <w:rFonts w:cstheme="minorHAnsi"/>
        </w:rPr>
        <w:t xml:space="preserve"> Roadmap, the</w:t>
      </w:r>
      <w:r w:rsidRPr="000774A1">
        <w:rPr>
          <w:rFonts w:cstheme="minorHAnsi"/>
        </w:rPr>
        <w:t xml:space="preserve"> Strategy and development of future Action Plans</w:t>
      </w:r>
    </w:p>
    <w:p w14:paraId="505DED36" w14:textId="20333D3B" w:rsidR="0014747D" w:rsidRPr="000774A1" w:rsidRDefault="0014747D" w:rsidP="002C02D6">
      <w:pPr>
        <w:pStyle w:val="ListParagraph"/>
        <w:numPr>
          <w:ilvl w:val="0"/>
          <w:numId w:val="2"/>
        </w:numPr>
        <w:spacing w:before="200"/>
        <w:rPr>
          <w:rFonts w:cstheme="minorHAnsi"/>
        </w:rPr>
      </w:pPr>
      <w:r w:rsidRPr="000774A1">
        <w:rPr>
          <w:rFonts w:cstheme="minorHAnsi"/>
        </w:rPr>
        <w:t xml:space="preserve">report to the </w:t>
      </w:r>
      <w:r w:rsidR="004B1915" w:rsidRPr="000774A1">
        <w:rPr>
          <w:rFonts w:cstheme="minorHAnsi"/>
        </w:rPr>
        <w:t>d</w:t>
      </w:r>
      <w:r w:rsidRPr="000774A1">
        <w:rPr>
          <w:rFonts w:cstheme="minorHAnsi"/>
        </w:rPr>
        <w:t xml:space="preserve">epartment on matters concerning </w:t>
      </w:r>
      <w:r w:rsidR="0078004A">
        <w:rPr>
          <w:rFonts w:cstheme="minorHAnsi"/>
        </w:rPr>
        <w:t xml:space="preserve">all </w:t>
      </w:r>
      <w:r w:rsidR="004B1915" w:rsidRPr="000774A1">
        <w:rPr>
          <w:rFonts w:cstheme="minorHAnsi"/>
        </w:rPr>
        <w:t>four</w:t>
      </w:r>
      <w:r w:rsidRPr="000774A1">
        <w:rPr>
          <w:rFonts w:cstheme="minorHAnsi"/>
        </w:rPr>
        <w:t xml:space="preserve"> outcome areas</w:t>
      </w:r>
      <w:r w:rsidR="0078004A" w:rsidRPr="0078004A">
        <w:rPr>
          <w:rFonts w:cstheme="minorHAnsi"/>
        </w:rPr>
        <w:t xml:space="preserve"> </w:t>
      </w:r>
      <w:r w:rsidR="0078004A" w:rsidRPr="000774A1">
        <w:rPr>
          <w:rFonts w:cstheme="minorHAnsi"/>
        </w:rPr>
        <w:t>of the Strategy</w:t>
      </w:r>
      <w:r w:rsidRPr="000774A1">
        <w:rPr>
          <w:rFonts w:cstheme="minorHAnsi"/>
        </w:rPr>
        <w:t>: social inclusion; economic inclusion; diagnosis, services and supports</w:t>
      </w:r>
      <w:r w:rsidR="0078004A">
        <w:rPr>
          <w:rFonts w:cstheme="minorHAnsi"/>
        </w:rPr>
        <w:t>, and health and mental health</w:t>
      </w:r>
    </w:p>
    <w:p w14:paraId="21B04C80" w14:textId="269AC4D6" w:rsidR="0014747D" w:rsidRPr="000774A1" w:rsidRDefault="0014747D" w:rsidP="002C02D6">
      <w:pPr>
        <w:pStyle w:val="ListParagraph"/>
        <w:numPr>
          <w:ilvl w:val="0"/>
          <w:numId w:val="2"/>
        </w:numPr>
        <w:spacing w:before="200"/>
        <w:rPr>
          <w:rFonts w:cstheme="minorHAnsi"/>
        </w:rPr>
      </w:pPr>
      <w:r w:rsidRPr="000774A1">
        <w:rPr>
          <w:rFonts w:cstheme="minorHAnsi"/>
        </w:rPr>
        <w:t>have the responsibility of monitoring and providing advice on past, recent and upcoming research and evaluation, including how it may impact the development of future actions and strategies, and the implementation of existing commitments and actions.</w:t>
      </w:r>
    </w:p>
    <w:p w14:paraId="3FE147FE" w14:textId="1B47BFED" w:rsidR="00DB437C" w:rsidRPr="000774A1" w:rsidRDefault="00DB437C" w:rsidP="00DB437C">
      <w:pPr>
        <w:pStyle w:val="Heading1"/>
      </w:pPr>
      <w:r w:rsidRPr="000774A1">
        <w:t xml:space="preserve">Working with </w:t>
      </w:r>
      <w:r w:rsidR="003D0126" w:rsidRPr="000774A1">
        <w:t>V</w:t>
      </w:r>
      <w:r w:rsidRPr="000774A1">
        <w:t xml:space="preserve">ulnerable </w:t>
      </w:r>
      <w:r w:rsidR="003D0126" w:rsidRPr="000774A1">
        <w:t>Pe</w:t>
      </w:r>
      <w:r w:rsidRPr="000774A1">
        <w:t>ople</w:t>
      </w:r>
    </w:p>
    <w:p w14:paraId="27FA1EF3" w14:textId="77777777" w:rsidR="00CC54A3" w:rsidRDefault="00F13529">
      <w:pPr>
        <w:spacing w:before="200"/>
      </w:pPr>
      <w:r w:rsidRPr="000774A1">
        <w:rPr>
          <w:rFonts w:cstheme="minorHAnsi"/>
        </w:rPr>
        <w:t>As part of the Reference Group function and role, Reference Group work includes engagement with vulnerable people, which may include children.</w:t>
      </w:r>
    </w:p>
    <w:p w14:paraId="65C6F0CD" w14:textId="77777777" w:rsidR="00CC54A3" w:rsidRDefault="00F13529">
      <w:pPr>
        <w:spacing w:before="200"/>
      </w:pPr>
      <w:r w:rsidRPr="000774A1">
        <w:rPr>
          <w:rFonts w:cstheme="minorHAnsi"/>
        </w:rPr>
        <w:t>Committee members are expected to understand the additional requirements in engaging with vulnerable people, including mandatory reporting obligations, and to hold a current Working with Vulnerable People registration or equivalent (as applicable in the jurisdiction in which the member resides) at their own cost.</w:t>
      </w:r>
    </w:p>
    <w:p w14:paraId="206C7EC7" w14:textId="32BE9889" w:rsidR="00E7729D" w:rsidRPr="000774A1" w:rsidRDefault="00E7729D" w:rsidP="003F6B75">
      <w:pPr>
        <w:pStyle w:val="Heading1"/>
        <w:keepNext/>
      </w:pPr>
      <w:r w:rsidRPr="000774A1">
        <w:lastRenderedPageBreak/>
        <w:t>Timeframe</w:t>
      </w:r>
    </w:p>
    <w:p w14:paraId="4D9C1B72" w14:textId="77777777" w:rsidR="00CC54A3" w:rsidRDefault="00F13529">
      <w:pPr>
        <w:keepNext/>
        <w:spacing w:before="200"/>
      </w:pPr>
      <w:r w:rsidRPr="000774A1">
        <w:rPr>
          <w:rFonts w:cstheme="minorHAnsi"/>
        </w:rPr>
        <w:t>A person appointed as a Reference Group member holds the position for the period specified in</w:t>
      </w:r>
      <w:r w:rsidR="00F86EAD" w:rsidRPr="00F86EAD">
        <w:t xml:space="preserve"> </w:t>
      </w:r>
      <w:r w:rsidRPr="000774A1">
        <w:rPr>
          <w:rFonts w:cstheme="minorHAnsi"/>
        </w:rPr>
        <w:t>their letter of appointment.</w:t>
      </w:r>
    </w:p>
    <w:p w14:paraId="094CB1B1" w14:textId="5F220763" w:rsidR="00E7729D" w:rsidRPr="000774A1" w:rsidRDefault="00E7729D" w:rsidP="005320DB">
      <w:pPr>
        <w:pStyle w:val="Heading1"/>
        <w:keepNext/>
      </w:pPr>
      <w:r w:rsidRPr="000774A1">
        <w:t>Co-chairs</w:t>
      </w:r>
    </w:p>
    <w:p w14:paraId="5B57B645" w14:textId="48674FB7" w:rsidR="00D8693C" w:rsidRPr="000774A1" w:rsidRDefault="00D8693C" w:rsidP="00D8693C">
      <w:pPr>
        <w:rPr>
          <w:rFonts w:cstheme="minorHAnsi"/>
        </w:rPr>
      </w:pPr>
      <w:r w:rsidRPr="000774A1">
        <w:rPr>
          <w:rFonts w:cstheme="minorHAnsi"/>
        </w:rPr>
        <w:t xml:space="preserve">The </w:t>
      </w:r>
      <w:r w:rsidR="00792FED" w:rsidRPr="000774A1">
        <w:rPr>
          <w:rFonts w:cstheme="minorHAnsi"/>
        </w:rPr>
        <w:t>c</w:t>
      </w:r>
      <w:r w:rsidRPr="000774A1">
        <w:rPr>
          <w:rFonts w:cstheme="minorHAnsi"/>
        </w:rPr>
        <w:t>o-chairs have a key role in ensuring the Reference Group effectively fulfills its purpose. Co</w:t>
      </w:r>
      <w:r w:rsidR="00DD19A0" w:rsidRPr="000774A1">
        <w:rPr>
          <w:rFonts w:cstheme="minorHAnsi"/>
        </w:rPr>
        <w:noBreakHyphen/>
      </w:r>
      <w:r w:rsidR="00792FED" w:rsidRPr="000774A1">
        <w:rPr>
          <w:rFonts w:cstheme="minorHAnsi"/>
        </w:rPr>
        <w:t>c</w:t>
      </w:r>
      <w:r w:rsidRPr="000774A1">
        <w:rPr>
          <w:rFonts w:cstheme="minorHAnsi"/>
        </w:rPr>
        <w:t xml:space="preserve">hairs will be responsible for, in consultation with the </w:t>
      </w:r>
      <w:r w:rsidR="00DD19A0" w:rsidRPr="000774A1">
        <w:rPr>
          <w:rFonts w:cstheme="minorHAnsi"/>
        </w:rPr>
        <w:t>Reference Group</w:t>
      </w:r>
      <w:r w:rsidRPr="000774A1">
        <w:rPr>
          <w:rFonts w:cstheme="minorHAnsi"/>
        </w:rPr>
        <w:t xml:space="preserve"> secretariat: </w:t>
      </w:r>
    </w:p>
    <w:p w14:paraId="13636EBA" w14:textId="77777777" w:rsidR="007B7DBC" w:rsidRDefault="007B7DBC" w:rsidP="007B7DBC">
      <w:pPr>
        <w:pStyle w:val="ListParagraph"/>
        <w:numPr>
          <w:ilvl w:val="0"/>
          <w:numId w:val="3"/>
        </w:numPr>
        <w:rPr>
          <w:rFonts w:cstheme="minorBidi"/>
          <w:kern w:val="2"/>
          <w:lang w:eastAsia="en-AU"/>
          <w14:ligatures w14:val="standardContextual"/>
        </w:rPr>
      </w:pPr>
      <w:r>
        <w:rPr>
          <w:rFonts w:cstheme="minorBidi"/>
        </w:rPr>
        <w:t>being the primary point of contact between the Reference Group and the Minister</w:t>
      </w:r>
    </w:p>
    <w:p w14:paraId="689B7FE7" w14:textId="77777777" w:rsidR="007B7DBC" w:rsidRDefault="007B7DBC" w:rsidP="007B7DBC">
      <w:pPr>
        <w:pStyle w:val="ListParagraph"/>
        <w:numPr>
          <w:ilvl w:val="0"/>
          <w:numId w:val="3"/>
        </w:numPr>
        <w:rPr>
          <w:rFonts w:cstheme="minorBidi"/>
        </w:rPr>
      </w:pPr>
      <w:r>
        <w:rPr>
          <w:rFonts w:cstheme="minorBidi"/>
        </w:rPr>
        <w:t>ensuring the Reference Group adheres to the Terms of Reference</w:t>
      </w:r>
    </w:p>
    <w:p w14:paraId="3086B2CF" w14:textId="77777777" w:rsidR="007B7DBC" w:rsidRDefault="007B7DBC" w:rsidP="007B7DBC">
      <w:pPr>
        <w:pStyle w:val="ListParagraph"/>
        <w:numPr>
          <w:ilvl w:val="0"/>
          <w:numId w:val="3"/>
        </w:numPr>
        <w:rPr>
          <w:rFonts w:cstheme="minorBidi"/>
        </w:rPr>
      </w:pPr>
      <w:r>
        <w:rPr>
          <w:rFonts w:cstheme="minorBidi"/>
        </w:rPr>
        <w:t>preparing the agenda for meetings</w:t>
      </w:r>
    </w:p>
    <w:p w14:paraId="3A868CA3" w14:textId="77777777" w:rsidR="007B7DBC" w:rsidRDefault="007B7DBC" w:rsidP="007B7DBC">
      <w:pPr>
        <w:pStyle w:val="ListParagraph"/>
        <w:numPr>
          <w:ilvl w:val="0"/>
          <w:numId w:val="3"/>
        </w:numPr>
        <w:rPr>
          <w:rFonts w:cstheme="minorBidi"/>
        </w:rPr>
      </w:pPr>
      <w:r>
        <w:rPr>
          <w:rFonts w:cstheme="minorBidi"/>
        </w:rPr>
        <w:t>convening meetings, including the number, time and place</w:t>
      </w:r>
    </w:p>
    <w:p w14:paraId="56CE1019" w14:textId="77777777" w:rsidR="007B7DBC" w:rsidRDefault="007B7DBC" w:rsidP="007B7DBC">
      <w:pPr>
        <w:pStyle w:val="ListParagraph"/>
        <w:numPr>
          <w:ilvl w:val="0"/>
          <w:numId w:val="3"/>
        </w:numPr>
        <w:rPr>
          <w:rFonts w:cstheme="minorBidi"/>
        </w:rPr>
      </w:pPr>
      <w:r>
        <w:rPr>
          <w:rFonts w:cstheme="minorBidi"/>
        </w:rPr>
        <w:t>ensuring meetings are advertised in a timely fashion and the agenda and papers are distributed to members in advance of meetings</w:t>
      </w:r>
    </w:p>
    <w:p w14:paraId="3A4C627A" w14:textId="77777777" w:rsidR="007B7DBC" w:rsidRDefault="007B7DBC" w:rsidP="007B7DBC">
      <w:pPr>
        <w:pStyle w:val="ListParagraph"/>
        <w:numPr>
          <w:ilvl w:val="0"/>
          <w:numId w:val="3"/>
        </w:numPr>
        <w:rPr>
          <w:rFonts w:cstheme="minorBidi"/>
        </w:rPr>
      </w:pPr>
      <w:r>
        <w:rPr>
          <w:rFonts w:cstheme="minorBidi"/>
        </w:rPr>
        <w:t>ensuring that adequate time is allowed for the discussion of agenda items and opportunity is available for the contribution of all members</w:t>
      </w:r>
    </w:p>
    <w:p w14:paraId="1F6AC288" w14:textId="77777777" w:rsidR="007B7DBC" w:rsidRDefault="007B7DBC" w:rsidP="007B7DBC">
      <w:pPr>
        <w:pStyle w:val="ListParagraph"/>
        <w:numPr>
          <w:ilvl w:val="0"/>
          <w:numId w:val="3"/>
        </w:numPr>
        <w:rPr>
          <w:rFonts w:cstheme="minorBidi"/>
        </w:rPr>
      </w:pPr>
      <w:r>
        <w:rPr>
          <w:rFonts w:cstheme="minorBidi"/>
        </w:rPr>
        <w:t>verifying the accuracy of minutes prior to publication and distribution.</w:t>
      </w:r>
    </w:p>
    <w:p w14:paraId="51607551" w14:textId="7C81786B" w:rsidR="00E7729D" w:rsidRPr="000774A1" w:rsidRDefault="00E7729D" w:rsidP="00B0673D">
      <w:pPr>
        <w:pStyle w:val="Heading1"/>
        <w:keepNext/>
        <w:keepLines/>
      </w:pPr>
      <w:r w:rsidRPr="000774A1">
        <w:t>Membership</w:t>
      </w:r>
    </w:p>
    <w:p w14:paraId="2CC6F503" w14:textId="49B5DA19" w:rsidR="00665DAD" w:rsidRPr="000774A1" w:rsidRDefault="00792FED" w:rsidP="00E739ED">
      <w:pPr>
        <w:rPr>
          <w:rFonts w:cstheme="minorHAnsi"/>
        </w:rPr>
      </w:pPr>
      <w:r w:rsidRPr="000774A1">
        <w:rPr>
          <w:rFonts w:cstheme="minorHAnsi"/>
        </w:rPr>
        <w:t>The Minister will appoint the Reference Group members.</w:t>
      </w:r>
      <w:r w:rsidR="00E739ED">
        <w:rPr>
          <w:rFonts w:cstheme="minorHAnsi"/>
        </w:rPr>
        <w:t xml:space="preserve"> </w:t>
      </w:r>
      <w:r w:rsidR="00665DAD" w:rsidRPr="000774A1">
        <w:rPr>
          <w:rFonts w:cstheme="minorHAnsi"/>
        </w:rPr>
        <w:t xml:space="preserve">The </w:t>
      </w:r>
      <w:r w:rsidR="008D0A26" w:rsidRPr="000774A1">
        <w:rPr>
          <w:rFonts w:cstheme="minorHAnsi"/>
        </w:rPr>
        <w:t xml:space="preserve">Reference Group </w:t>
      </w:r>
      <w:r w:rsidR="00665DAD" w:rsidRPr="000774A1">
        <w:rPr>
          <w:rFonts w:cstheme="minorHAnsi"/>
        </w:rPr>
        <w:t xml:space="preserve">will consist of </w:t>
      </w:r>
      <w:r w:rsidR="004E3728" w:rsidRPr="000774A1">
        <w:rPr>
          <w:rFonts w:cstheme="minorHAnsi"/>
        </w:rPr>
        <w:t xml:space="preserve">at least </w:t>
      </w:r>
      <w:r w:rsidR="00665DAD" w:rsidRPr="000774A1">
        <w:rPr>
          <w:rFonts w:cstheme="minorHAnsi"/>
        </w:rPr>
        <w:t>1</w:t>
      </w:r>
      <w:r w:rsidR="005B4348" w:rsidRPr="000774A1">
        <w:rPr>
          <w:rFonts w:cstheme="minorHAnsi"/>
        </w:rPr>
        <w:t>4</w:t>
      </w:r>
      <w:r w:rsidR="00665DAD" w:rsidRPr="000774A1">
        <w:rPr>
          <w:rFonts w:cstheme="minorHAnsi"/>
        </w:rPr>
        <w:t xml:space="preserve"> members compris</w:t>
      </w:r>
      <w:r w:rsidR="004E3728" w:rsidRPr="000774A1">
        <w:rPr>
          <w:rFonts w:cstheme="minorHAnsi"/>
        </w:rPr>
        <w:t>ing</w:t>
      </w:r>
      <w:r w:rsidR="00665DAD" w:rsidRPr="000774A1">
        <w:rPr>
          <w:rFonts w:cstheme="minorHAnsi"/>
        </w:rPr>
        <w:t>:</w:t>
      </w:r>
    </w:p>
    <w:p w14:paraId="6DA6E7E1" w14:textId="60DE1CB1" w:rsidR="0008023B" w:rsidRPr="000774A1" w:rsidRDefault="008D0A26" w:rsidP="00A5648A">
      <w:pPr>
        <w:rPr>
          <w:rFonts w:cstheme="minorHAnsi"/>
        </w:rPr>
      </w:pPr>
      <w:r w:rsidRPr="000774A1">
        <w:rPr>
          <w:rFonts w:cstheme="minorHAnsi"/>
        </w:rPr>
        <w:t>S</w:t>
      </w:r>
      <w:r w:rsidR="005B4348" w:rsidRPr="000774A1">
        <w:rPr>
          <w:rFonts w:cstheme="minorHAnsi"/>
        </w:rPr>
        <w:t>ix</w:t>
      </w:r>
      <w:r w:rsidR="00665DAD" w:rsidRPr="000774A1">
        <w:rPr>
          <w:rFonts w:cstheme="minorHAnsi"/>
        </w:rPr>
        <w:t xml:space="preserve"> senior Australian Government members at the Senior Executive Service (SES) Band 1 or</w:t>
      </w:r>
      <w:r w:rsidR="00C03A93">
        <w:rPr>
          <w:rFonts w:cstheme="minorHAnsi"/>
        </w:rPr>
        <w:t> </w:t>
      </w:r>
      <w:r w:rsidR="00665DAD" w:rsidRPr="000774A1">
        <w:rPr>
          <w:rFonts w:cstheme="minorHAnsi"/>
        </w:rPr>
        <w:t xml:space="preserve">SES Band 2 level, with one member from each of the following relevant departments: </w:t>
      </w:r>
    </w:p>
    <w:p w14:paraId="7D5D5627" w14:textId="7178CB69" w:rsidR="0008023B" w:rsidRPr="000774A1" w:rsidRDefault="0008023B" w:rsidP="003F6B75">
      <w:pPr>
        <w:pStyle w:val="ListParagraph"/>
        <w:numPr>
          <w:ilvl w:val="0"/>
          <w:numId w:val="2"/>
        </w:numPr>
        <w:spacing w:before="120" w:after="120" w:line="240" w:lineRule="auto"/>
        <w:ind w:left="714" w:hanging="357"/>
        <w:contextualSpacing w:val="0"/>
        <w:rPr>
          <w:rFonts w:cstheme="minorHAnsi"/>
        </w:rPr>
      </w:pPr>
      <w:r w:rsidRPr="000774A1">
        <w:rPr>
          <w:rFonts w:cstheme="minorHAnsi"/>
        </w:rPr>
        <w:t xml:space="preserve">Department of </w:t>
      </w:r>
      <w:r w:rsidR="00792FED" w:rsidRPr="000774A1">
        <w:rPr>
          <w:rFonts w:cstheme="minorHAnsi"/>
        </w:rPr>
        <w:t>Health, Disability and Ageing</w:t>
      </w:r>
      <w:r w:rsidRPr="000774A1">
        <w:rPr>
          <w:rFonts w:cstheme="minorHAnsi"/>
        </w:rPr>
        <w:t xml:space="preserve"> (co-chair)</w:t>
      </w:r>
    </w:p>
    <w:p w14:paraId="500D8AED" w14:textId="20B62775" w:rsidR="00D850D8" w:rsidRPr="000774A1" w:rsidRDefault="00E739ED" w:rsidP="003F6B75">
      <w:pPr>
        <w:pStyle w:val="ListParagraph"/>
        <w:numPr>
          <w:ilvl w:val="0"/>
          <w:numId w:val="2"/>
        </w:numPr>
        <w:spacing w:before="120" w:after="120" w:line="240" w:lineRule="auto"/>
        <w:ind w:left="714" w:hanging="357"/>
        <w:contextualSpacing w:val="0"/>
        <w:rPr>
          <w:rFonts w:cstheme="minorHAnsi"/>
        </w:rPr>
      </w:pPr>
      <w:r>
        <w:rPr>
          <w:rFonts w:cstheme="minorHAnsi"/>
        </w:rPr>
        <w:t>The Treasury</w:t>
      </w:r>
    </w:p>
    <w:p w14:paraId="13A7A80E" w14:textId="5158F2C6" w:rsidR="00D850D8" w:rsidRPr="000774A1" w:rsidRDefault="00D850D8" w:rsidP="003F6B75">
      <w:pPr>
        <w:pStyle w:val="ListParagraph"/>
        <w:numPr>
          <w:ilvl w:val="0"/>
          <w:numId w:val="2"/>
        </w:numPr>
        <w:spacing w:before="120" w:after="120" w:line="240" w:lineRule="auto"/>
        <w:ind w:left="714" w:hanging="357"/>
        <w:contextualSpacing w:val="0"/>
        <w:rPr>
          <w:rFonts w:cstheme="minorHAnsi"/>
        </w:rPr>
      </w:pPr>
      <w:r w:rsidRPr="000774A1">
        <w:rPr>
          <w:rFonts w:cstheme="minorHAnsi"/>
        </w:rPr>
        <w:t>Australian Public Service Commission</w:t>
      </w:r>
    </w:p>
    <w:p w14:paraId="3E11F47D" w14:textId="77777777" w:rsidR="0008023B" w:rsidRPr="000774A1" w:rsidRDefault="0008023B" w:rsidP="003F6B75">
      <w:pPr>
        <w:pStyle w:val="ListParagraph"/>
        <w:numPr>
          <w:ilvl w:val="0"/>
          <w:numId w:val="2"/>
        </w:numPr>
        <w:spacing w:before="120" w:after="120" w:line="240" w:lineRule="auto"/>
        <w:ind w:left="714" w:hanging="357"/>
        <w:contextualSpacing w:val="0"/>
        <w:rPr>
          <w:rFonts w:cstheme="minorHAnsi"/>
        </w:rPr>
      </w:pPr>
      <w:r w:rsidRPr="000774A1">
        <w:rPr>
          <w:rFonts w:cstheme="minorHAnsi"/>
        </w:rPr>
        <w:t>Department of Education</w:t>
      </w:r>
    </w:p>
    <w:p w14:paraId="51DD43D1" w14:textId="77777777" w:rsidR="0008023B" w:rsidRPr="000774A1" w:rsidRDefault="0008023B" w:rsidP="003F6B75">
      <w:pPr>
        <w:pStyle w:val="ListParagraph"/>
        <w:numPr>
          <w:ilvl w:val="0"/>
          <w:numId w:val="2"/>
        </w:numPr>
        <w:spacing w:before="120" w:after="120" w:line="240" w:lineRule="auto"/>
        <w:ind w:left="714" w:hanging="357"/>
        <w:contextualSpacing w:val="0"/>
        <w:rPr>
          <w:rFonts w:cstheme="minorHAnsi"/>
        </w:rPr>
      </w:pPr>
      <w:r w:rsidRPr="000774A1">
        <w:rPr>
          <w:rFonts w:cstheme="minorHAnsi"/>
        </w:rPr>
        <w:t>Department of Employment and Workplace Relations</w:t>
      </w:r>
    </w:p>
    <w:p w14:paraId="09E22263" w14:textId="73333746" w:rsidR="005653D5" w:rsidRPr="000774A1" w:rsidRDefault="005653D5" w:rsidP="003F6B75">
      <w:pPr>
        <w:pStyle w:val="ListParagraph"/>
        <w:numPr>
          <w:ilvl w:val="0"/>
          <w:numId w:val="2"/>
        </w:numPr>
        <w:spacing w:before="120" w:after="120" w:line="240" w:lineRule="auto"/>
        <w:ind w:left="714" w:hanging="357"/>
        <w:contextualSpacing w:val="0"/>
        <w:rPr>
          <w:rFonts w:cstheme="minorHAnsi"/>
        </w:rPr>
      </w:pPr>
      <w:r w:rsidRPr="000774A1">
        <w:rPr>
          <w:rFonts w:cstheme="minorHAnsi"/>
        </w:rPr>
        <w:t>Department - Infrastructure, Transport, Regional Development, Communications, Sports and the Arts</w:t>
      </w:r>
    </w:p>
    <w:p w14:paraId="41E022C0" w14:textId="47902F7A" w:rsidR="0008023B" w:rsidRPr="000774A1" w:rsidRDefault="004E3728" w:rsidP="00D850D8">
      <w:pPr>
        <w:rPr>
          <w:rFonts w:cstheme="minorHAnsi"/>
        </w:rPr>
      </w:pPr>
      <w:r w:rsidRPr="000774A1">
        <w:rPr>
          <w:rFonts w:cstheme="minorHAnsi"/>
        </w:rPr>
        <w:t>At least s</w:t>
      </w:r>
      <w:r w:rsidR="00E25B27" w:rsidRPr="000774A1">
        <w:rPr>
          <w:rFonts w:cstheme="minorHAnsi"/>
        </w:rPr>
        <w:t>ix</w:t>
      </w:r>
      <w:r w:rsidR="0008023B" w:rsidRPr="000774A1">
        <w:rPr>
          <w:rFonts w:cstheme="minorHAnsi"/>
        </w:rPr>
        <w:t xml:space="preserve"> members from the </w:t>
      </w:r>
      <w:bookmarkStart w:id="0" w:name="_Hlk197950269"/>
      <w:r w:rsidR="0008023B" w:rsidRPr="000774A1">
        <w:rPr>
          <w:rFonts w:cstheme="minorHAnsi"/>
        </w:rPr>
        <w:t xml:space="preserve">Autistic </w:t>
      </w:r>
      <w:r w:rsidR="00E25B27" w:rsidRPr="000774A1">
        <w:rPr>
          <w:rFonts w:cstheme="minorHAnsi"/>
        </w:rPr>
        <w:t>and autism community</w:t>
      </w:r>
      <w:bookmarkEnd w:id="0"/>
      <w:r w:rsidR="0008023B" w:rsidRPr="000774A1">
        <w:rPr>
          <w:rFonts w:cstheme="minorHAnsi"/>
        </w:rPr>
        <w:t>, including Autistic individuals and parents of Autistic children (including an Autistic co-chair).</w:t>
      </w:r>
    </w:p>
    <w:p w14:paraId="49E724C1" w14:textId="7D6D5F5A" w:rsidR="00665DAD" w:rsidRPr="000774A1" w:rsidRDefault="004E3728" w:rsidP="00D850D8">
      <w:pPr>
        <w:rPr>
          <w:rFonts w:cstheme="minorHAnsi"/>
        </w:rPr>
      </w:pPr>
      <w:r w:rsidRPr="000774A1">
        <w:rPr>
          <w:rFonts w:cstheme="minorHAnsi"/>
        </w:rPr>
        <w:t>At least t</w:t>
      </w:r>
      <w:r w:rsidR="00E25B27" w:rsidRPr="000774A1">
        <w:rPr>
          <w:rFonts w:cstheme="minorHAnsi"/>
        </w:rPr>
        <w:t xml:space="preserve">wo </w:t>
      </w:r>
      <w:r w:rsidR="00665DAD" w:rsidRPr="000774A1">
        <w:rPr>
          <w:rFonts w:cstheme="minorHAnsi"/>
        </w:rPr>
        <w:t xml:space="preserve">research and professional sector members, who may also be members of the </w:t>
      </w:r>
      <w:r w:rsidR="00E25B27" w:rsidRPr="000774A1">
        <w:rPr>
          <w:rFonts w:cstheme="minorHAnsi"/>
        </w:rPr>
        <w:t>Autistic and autism community.</w:t>
      </w:r>
    </w:p>
    <w:p w14:paraId="4379D335" w14:textId="0230557E" w:rsidR="00665DAD" w:rsidRPr="000774A1" w:rsidRDefault="004E3728" w:rsidP="00665DAD">
      <w:pPr>
        <w:rPr>
          <w:rFonts w:cstheme="minorHAnsi"/>
        </w:rPr>
      </w:pPr>
      <w:proofErr w:type="gramStart"/>
      <w:r w:rsidRPr="000774A1">
        <w:rPr>
          <w:rFonts w:cstheme="minorHAnsi"/>
        </w:rPr>
        <w:t>The majority of</w:t>
      </w:r>
      <w:proofErr w:type="gramEnd"/>
      <w:r w:rsidRPr="000774A1">
        <w:rPr>
          <w:rFonts w:cstheme="minorHAnsi"/>
        </w:rPr>
        <w:t xml:space="preserve"> members will</w:t>
      </w:r>
      <w:r w:rsidR="00665DAD" w:rsidRPr="000774A1">
        <w:rPr>
          <w:rFonts w:cstheme="minorHAnsi"/>
          <w:color w:val="FF0000"/>
        </w:rPr>
        <w:t xml:space="preserve"> </w:t>
      </w:r>
      <w:r w:rsidR="00665DAD" w:rsidRPr="000774A1">
        <w:rPr>
          <w:rFonts w:cstheme="minorHAnsi"/>
        </w:rPr>
        <w:t xml:space="preserve">identify as </w:t>
      </w:r>
      <w:r w:rsidR="00A61F95" w:rsidRPr="000774A1">
        <w:rPr>
          <w:rFonts w:cstheme="minorHAnsi"/>
        </w:rPr>
        <w:t>A</w:t>
      </w:r>
      <w:r w:rsidR="00665DAD" w:rsidRPr="000774A1">
        <w:rPr>
          <w:rFonts w:cstheme="minorHAnsi"/>
        </w:rPr>
        <w:t>utistic.</w:t>
      </w:r>
    </w:p>
    <w:p w14:paraId="1C83D6E7" w14:textId="43817463" w:rsidR="003A0EBF" w:rsidRPr="000774A1" w:rsidRDefault="003A0EBF" w:rsidP="003F6B75">
      <w:pPr>
        <w:pStyle w:val="Heading1"/>
        <w:keepNext/>
      </w:pPr>
      <w:r w:rsidRPr="000774A1">
        <w:t>Guest Speakers</w:t>
      </w:r>
    </w:p>
    <w:p w14:paraId="2CF2C94A" w14:textId="68C0CB23" w:rsidR="00665DAD" w:rsidRPr="000774A1" w:rsidRDefault="00665DAD" w:rsidP="00665DAD">
      <w:r w:rsidRPr="000774A1">
        <w:t>The co-chairs may invite</w:t>
      </w:r>
      <w:r w:rsidR="00CD39F9" w:rsidRPr="000774A1">
        <w:t xml:space="preserve"> </w:t>
      </w:r>
      <w:proofErr w:type="gramStart"/>
      <w:r w:rsidR="0078004A">
        <w:t xml:space="preserve">advisors, </w:t>
      </w:r>
      <w:r w:rsidR="00CD39F9" w:rsidRPr="000774A1">
        <w:t xml:space="preserve"> </w:t>
      </w:r>
      <w:r w:rsidRPr="000774A1">
        <w:t>expert</w:t>
      </w:r>
      <w:r w:rsidR="0078004A">
        <w:t>s</w:t>
      </w:r>
      <w:proofErr w:type="gramEnd"/>
      <w:r w:rsidR="00CD39F9" w:rsidRPr="000774A1">
        <w:t xml:space="preserve"> or </w:t>
      </w:r>
      <w:r w:rsidRPr="000774A1">
        <w:t>representative</w:t>
      </w:r>
      <w:r w:rsidR="0078004A">
        <w:t>s</w:t>
      </w:r>
      <w:r w:rsidRPr="000774A1">
        <w:t xml:space="preserve"> from the </w:t>
      </w:r>
      <w:r w:rsidR="00E25B27" w:rsidRPr="000774A1">
        <w:t xml:space="preserve">Autistic and autism community </w:t>
      </w:r>
      <w:r w:rsidRPr="000774A1">
        <w:t>to participate in discussions for specific agenda items, as appropriate.</w:t>
      </w:r>
    </w:p>
    <w:p w14:paraId="6CCDB763" w14:textId="000E2620" w:rsidR="00E7729D" w:rsidRPr="000774A1" w:rsidRDefault="00E7729D" w:rsidP="00E7729D">
      <w:pPr>
        <w:pStyle w:val="Heading1"/>
      </w:pPr>
      <w:r w:rsidRPr="000774A1">
        <w:lastRenderedPageBreak/>
        <w:t>Meeting frequency</w:t>
      </w:r>
      <w:r w:rsidR="00C937C6" w:rsidRPr="000774A1">
        <w:t>,</w:t>
      </w:r>
      <w:r w:rsidRPr="000774A1">
        <w:t xml:space="preserve"> format</w:t>
      </w:r>
      <w:r w:rsidR="00C937C6" w:rsidRPr="000774A1">
        <w:t xml:space="preserve"> and quorum </w:t>
      </w:r>
    </w:p>
    <w:p w14:paraId="5569FDC7" w14:textId="0BA94BB8" w:rsidR="007847A7" w:rsidRPr="000774A1" w:rsidRDefault="00806A98" w:rsidP="00806A98">
      <w:r w:rsidRPr="000774A1">
        <w:t xml:space="preserve">The </w:t>
      </w:r>
      <w:r w:rsidR="00E922C9" w:rsidRPr="000774A1">
        <w:t>Reference Group</w:t>
      </w:r>
      <w:r w:rsidRPr="000774A1">
        <w:t xml:space="preserve"> </w:t>
      </w:r>
      <w:r w:rsidR="00D157E7" w:rsidRPr="000774A1">
        <w:t>will</w:t>
      </w:r>
      <w:r w:rsidRPr="000774A1">
        <w:t xml:space="preserve"> meet</w:t>
      </w:r>
      <w:r w:rsidR="00D157E7" w:rsidRPr="000774A1">
        <w:t xml:space="preserve"> up to</w:t>
      </w:r>
      <w:r w:rsidR="00E922C9" w:rsidRPr="000774A1">
        <w:t xml:space="preserve"> </w:t>
      </w:r>
      <w:r w:rsidR="00834F6D" w:rsidRPr="000774A1">
        <w:t>four</w:t>
      </w:r>
      <w:r w:rsidR="002F355E" w:rsidRPr="000774A1">
        <w:t xml:space="preserve"> </w:t>
      </w:r>
      <w:r w:rsidR="00E922C9" w:rsidRPr="000774A1">
        <w:t>times per year</w:t>
      </w:r>
      <w:r w:rsidR="007847A7" w:rsidRPr="000774A1">
        <w:t>.</w:t>
      </w:r>
    </w:p>
    <w:p w14:paraId="1E5A3D08" w14:textId="33C70012" w:rsidR="00806A98" w:rsidRPr="000774A1" w:rsidRDefault="007847A7" w:rsidP="00806A98">
      <w:r w:rsidRPr="000774A1">
        <w:t xml:space="preserve">A quorum will be considered reached if the number of attendees (including the </w:t>
      </w:r>
      <w:r w:rsidR="00834F6D" w:rsidRPr="000774A1">
        <w:t>co-c</w:t>
      </w:r>
      <w:r w:rsidRPr="000774A1">
        <w:t xml:space="preserve">hairs) </w:t>
      </w:r>
      <w:r w:rsidRPr="000774A1">
        <w:rPr>
          <w:color w:val="000000" w:themeColor="text1"/>
        </w:rPr>
        <w:t xml:space="preserve">reaches </w:t>
      </w:r>
      <w:r w:rsidR="00834F6D" w:rsidRPr="000774A1">
        <w:rPr>
          <w:color w:val="000000" w:themeColor="text1"/>
        </w:rPr>
        <w:t>ten</w:t>
      </w:r>
      <w:r w:rsidRPr="000774A1">
        <w:rPr>
          <w:color w:val="000000" w:themeColor="text1"/>
        </w:rPr>
        <w:t xml:space="preserve"> members</w:t>
      </w:r>
      <w:r w:rsidR="004E3728" w:rsidRPr="000774A1">
        <w:rPr>
          <w:color w:val="000000" w:themeColor="text1"/>
        </w:rPr>
        <w:t>, p</w:t>
      </w:r>
      <w:r w:rsidRPr="000774A1">
        <w:rPr>
          <w:color w:val="000000" w:themeColor="text1"/>
        </w:rPr>
        <w:t xml:space="preserve">roviding </w:t>
      </w:r>
      <w:r w:rsidRPr="000774A1">
        <w:t xml:space="preserve">at least </w:t>
      </w:r>
      <w:r w:rsidR="00834F6D" w:rsidRPr="000774A1">
        <w:t>six</w:t>
      </w:r>
      <w:r w:rsidRPr="000774A1">
        <w:t xml:space="preserve"> members </w:t>
      </w:r>
      <w:r w:rsidR="00806A98" w:rsidRPr="000774A1">
        <w:t xml:space="preserve">are representative of the </w:t>
      </w:r>
      <w:r w:rsidR="009D34C7" w:rsidRPr="000774A1">
        <w:t>Autistic and autism community</w:t>
      </w:r>
      <w:r w:rsidR="00806A98" w:rsidRPr="000774A1">
        <w:t>.</w:t>
      </w:r>
    </w:p>
    <w:p w14:paraId="7B257B1C" w14:textId="091BD54F" w:rsidR="00806A98" w:rsidRPr="000774A1" w:rsidRDefault="002F355E" w:rsidP="00806A98">
      <w:r w:rsidRPr="000774A1">
        <w:t>M</w:t>
      </w:r>
      <w:r w:rsidR="00806A98" w:rsidRPr="000774A1">
        <w:t>eetings will be conducted</w:t>
      </w:r>
      <w:r w:rsidRPr="000774A1">
        <w:t xml:space="preserve"> face-to-face or</w:t>
      </w:r>
      <w:r w:rsidR="00806A98" w:rsidRPr="000774A1">
        <w:t xml:space="preserve"> through M</w:t>
      </w:r>
      <w:r w:rsidR="00834F6D" w:rsidRPr="000774A1">
        <w:t>icrosoft</w:t>
      </w:r>
      <w:r w:rsidR="00806A98" w:rsidRPr="000774A1">
        <w:t xml:space="preserve"> Teams.</w:t>
      </w:r>
    </w:p>
    <w:p w14:paraId="1C2E9237" w14:textId="0777896C" w:rsidR="00806A98" w:rsidRPr="000774A1" w:rsidRDefault="00806A98" w:rsidP="00806A98">
      <w:r w:rsidRPr="000774A1">
        <w:t xml:space="preserve">The </w:t>
      </w:r>
      <w:r w:rsidR="0064584B" w:rsidRPr="000774A1">
        <w:t>s</w:t>
      </w:r>
      <w:r w:rsidRPr="000774A1">
        <w:t xml:space="preserve">ecretariat will circulate meeting agendas and papers to </w:t>
      </w:r>
      <w:r w:rsidR="00BB5C85" w:rsidRPr="000774A1">
        <w:t>Reference Group</w:t>
      </w:r>
      <w:r w:rsidRPr="000774A1">
        <w:t xml:space="preserve"> members </w:t>
      </w:r>
      <w:r w:rsidR="00AE5341" w:rsidRPr="000774A1">
        <w:t>one</w:t>
      </w:r>
      <w:r w:rsidRPr="000774A1">
        <w:t xml:space="preserve"> week before the </w:t>
      </w:r>
      <w:r w:rsidR="00E922C9" w:rsidRPr="000774A1">
        <w:rPr>
          <w:rFonts w:cstheme="minorHAnsi"/>
        </w:rPr>
        <w:t>Reference Group</w:t>
      </w:r>
      <w:r w:rsidRPr="000774A1">
        <w:t xml:space="preserve"> meeting.</w:t>
      </w:r>
    </w:p>
    <w:p w14:paraId="2FCD4336" w14:textId="3DC970E5" w:rsidR="00E7729D" w:rsidRPr="000774A1" w:rsidRDefault="00E7729D" w:rsidP="00E7729D">
      <w:pPr>
        <w:pStyle w:val="Heading1"/>
      </w:pPr>
      <w:r w:rsidRPr="000774A1">
        <w:t>National Autism Strategy Reference Group Secretariat</w:t>
      </w:r>
    </w:p>
    <w:p w14:paraId="71A8DE31" w14:textId="13B8E8A8" w:rsidR="00EA05F9" w:rsidRPr="000774A1" w:rsidRDefault="00BB5C85" w:rsidP="00EA05F9">
      <w:r w:rsidRPr="000774A1">
        <w:t>T</w:t>
      </w:r>
      <w:r w:rsidR="00EA05F9" w:rsidRPr="000774A1">
        <w:t xml:space="preserve">he </w:t>
      </w:r>
      <w:r w:rsidR="0064584B" w:rsidRPr="000774A1">
        <w:t>s</w:t>
      </w:r>
      <w:r w:rsidR="00EA05F9" w:rsidRPr="000774A1">
        <w:t>ecretariat function will be provided by the</w:t>
      </w:r>
      <w:r w:rsidR="00792FED" w:rsidRPr="000774A1">
        <w:t xml:space="preserve"> </w:t>
      </w:r>
      <w:r w:rsidR="0064584B" w:rsidRPr="000774A1">
        <w:t>department’s</w:t>
      </w:r>
      <w:r w:rsidR="00792FED" w:rsidRPr="000774A1">
        <w:t xml:space="preserve"> </w:t>
      </w:r>
      <w:r w:rsidR="00EA05F9" w:rsidRPr="000774A1">
        <w:t>Autism Policy Team.</w:t>
      </w:r>
    </w:p>
    <w:p w14:paraId="7F3A1DEC" w14:textId="2FF61530" w:rsidR="00EA05F9" w:rsidRPr="000774A1" w:rsidRDefault="00EA05F9" w:rsidP="00EA05F9">
      <w:r w:rsidRPr="000774A1">
        <w:t xml:space="preserve">The </w:t>
      </w:r>
      <w:r w:rsidR="0064584B" w:rsidRPr="000774A1">
        <w:t>s</w:t>
      </w:r>
      <w:r w:rsidRPr="000774A1">
        <w:t xml:space="preserve">ecretariat will provide administrative and policy support to the </w:t>
      </w:r>
      <w:r w:rsidR="00806A98" w:rsidRPr="000774A1">
        <w:t xml:space="preserve">Reference Group </w:t>
      </w:r>
      <w:r w:rsidRPr="000774A1">
        <w:t>by:</w:t>
      </w:r>
    </w:p>
    <w:p w14:paraId="739AD780" w14:textId="07147DC3" w:rsidR="00EA05F9" w:rsidRPr="000774A1" w:rsidRDefault="00EA05F9" w:rsidP="002C02D6">
      <w:pPr>
        <w:pStyle w:val="ListParagraph"/>
        <w:numPr>
          <w:ilvl w:val="0"/>
          <w:numId w:val="2"/>
        </w:numPr>
        <w:spacing w:before="200"/>
        <w:rPr>
          <w:rFonts w:cstheme="minorHAnsi"/>
        </w:rPr>
      </w:pPr>
      <w:r w:rsidRPr="000774A1">
        <w:rPr>
          <w:rFonts w:cstheme="minorHAnsi"/>
        </w:rPr>
        <w:t>preparing meeting agendas and agenda papers in consultation with the</w:t>
      </w:r>
      <w:r w:rsidR="00806A98" w:rsidRPr="000774A1">
        <w:rPr>
          <w:rFonts w:cstheme="minorHAnsi"/>
        </w:rPr>
        <w:t xml:space="preserve"> Reference Group</w:t>
      </w:r>
      <w:r w:rsidRPr="000774A1">
        <w:rPr>
          <w:rFonts w:cstheme="minorHAnsi"/>
        </w:rPr>
        <w:t xml:space="preserve"> and its working groups, and relevant Australian, state and territory government departments, as required</w:t>
      </w:r>
    </w:p>
    <w:p w14:paraId="164A3194" w14:textId="3829558B" w:rsidR="00EA05F9" w:rsidRPr="000774A1" w:rsidRDefault="00EA05F9" w:rsidP="002C02D6">
      <w:pPr>
        <w:pStyle w:val="ListParagraph"/>
        <w:numPr>
          <w:ilvl w:val="0"/>
          <w:numId w:val="2"/>
        </w:numPr>
        <w:spacing w:before="200"/>
        <w:rPr>
          <w:rFonts w:cstheme="minorHAnsi"/>
        </w:rPr>
      </w:pPr>
      <w:r w:rsidRPr="000774A1">
        <w:rPr>
          <w:rFonts w:cstheme="minorHAnsi"/>
        </w:rPr>
        <w:t xml:space="preserve">assist the </w:t>
      </w:r>
      <w:r w:rsidR="00806A98" w:rsidRPr="000774A1">
        <w:rPr>
          <w:rFonts w:cstheme="minorHAnsi"/>
        </w:rPr>
        <w:t xml:space="preserve">Reference Group </w:t>
      </w:r>
      <w:r w:rsidRPr="000774A1">
        <w:rPr>
          <w:rFonts w:cstheme="minorHAnsi"/>
        </w:rPr>
        <w:t>and working groups to progress items out-of-session where appropriate</w:t>
      </w:r>
    </w:p>
    <w:p w14:paraId="7D860D50" w14:textId="1B0F4F4D" w:rsidR="00EA05F9" w:rsidRPr="000774A1" w:rsidRDefault="00912977" w:rsidP="002C02D6">
      <w:pPr>
        <w:pStyle w:val="ListParagraph"/>
        <w:numPr>
          <w:ilvl w:val="0"/>
          <w:numId w:val="2"/>
        </w:numPr>
        <w:spacing w:before="200"/>
        <w:rPr>
          <w:rFonts w:cstheme="minorHAnsi"/>
        </w:rPr>
      </w:pPr>
      <w:r>
        <w:rPr>
          <w:rFonts w:cstheme="minorHAnsi"/>
        </w:rPr>
        <w:t>manag</w:t>
      </w:r>
      <w:r w:rsidR="0021152B">
        <w:rPr>
          <w:rFonts w:cstheme="minorHAnsi"/>
        </w:rPr>
        <w:t>e</w:t>
      </w:r>
      <w:r>
        <w:rPr>
          <w:rFonts w:cstheme="minorHAnsi"/>
        </w:rPr>
        <w:t xml:space="preserve"> </w:t>
      </w:r>
      <w:r w:rsidR="00EA05F9" w:rsidRPr="000774A1">
        <w:rPr>
          <w:rFonts w:cstheme="minorHAnsi"/>
        </w:rPr>
        <w:t>membership</w:t>
      </w:r>
      <w:r>
        <w:rPr>
          <w:rFonts w:cstheme="minorHAnsi"/>
        </w:rPr>
        <w:t xml:space="preserve"> matters</w:t>
      </w:r>
      <w:r w:rsidR="00EA05F9" w:rsidRPr="000774A1">
        <w:rPr>
          <w:rFonts w:cstheme="minorHAnsi"/>
        </w:rPr>
        <w:t xml:space="preserve"> including remuneration</w:t>
      </w:r>
      <w:r w:rsidR="00CB24AC" w:rsidRPr="000774A1">
        <w:rPr>
          <w:rFonts w:cstheme="minorHAnsi"/>
        </w:rPr>
        <w:t>,</w:t>
      </w:r>
      <w:r w:rsidR="00EA05F9" w:rsidRPr="000774A1">
        <w:rPr>
          <w:rFonts w:cstheme="minorHAnsi"/>
        </w:rPr>
        <w:t xml:space="preserve"> </w:t>
      </w:r>
      <w:r w:rsidRPr="000774A1">
        <w:rPr>
          <w:rFonts w:cstheme="minorHAnsi"/>
        </w:rPr>
        <w:t>payment of invoices</w:t>
      </w:r>
      <w:r>
        <w:rPr>
          <w:rFonts w:cstheme="minorHAnsi"/>
        </w:rPr>
        <w:t xml:space="preserve">, reimbursement of member expenses, booking </w:t>
      </w:r>
      <w:r w:rsidR="00B0152D">
        <w:rPr>
          <w:rFonts w:cstheme="minorHAnsi"/>
        </w:rPr>
        <w:t xml:space="preserve">and paying for </w:t>
      </w:r>
      <w:r>
        <w:rPr>
          <w:rFonts w:cstheme="minorHAnsi"/>
        </w:rPr>
        <w:t xml:space="preserve">accommodation and </w:t>
      </w:r>
      <w:r w:rsidR="00EA05F9" w:rsidRPr="000774A1">
        <w:rPr>
          <w:rFonts w:cstheme="minorHAnsi"/>
        </w:rPr>
        <w:t>travel</w:t>
      </w:r>
      <w:r>
        <w:rPr>
          <w:rFonts w:cstheme="minorHAnsi"/>
        </w:rPr>
        <w:t xml:space="preserve"> requirements associated with meeting participation</w:t>
      </w:r>
      <w:r w:rsidR="00C63C8A">
        <w:rPr>
          <w:rFonts w:cstheme="minorHAnsi"/>
        </w:rPr>
        <w:t xml:space="preserve"> (including expenses for support </w:t>
      </w:r>
      <w:r w:rsidR="00B0152D">
        <w:rPr>
          <w:rFonts w:cstheme="minorHAnsi"/>
        </w:rPr>
        <w:t>people)</w:t>
      </w:r>
      <w:r w:rsidR="00CB24AC" w:rsidRPr="000774A1">
        <w:rPr>
          <w:rFonts w:cstheme="minorHAnsi"/>
        </w:rPr>
        <w:t xml:space="preserve">, </w:t>
      </w:r>
      <w:r w:rsidR="00EA05F9" w:rsidRPr="000774A1">
        <w:rPr>
          <w:rFonts w:cstheme="minorHAnsi"/>
        </w:rPr>
        <w:t>resignation</w:t>
      </w:r>
      <w:r w:rsidR="00CB24AC" w:rsidRPr="000774A1">
        <w:rPr>
          <w:rFonts w:cstheme="minorHAnsi"/>
        </w:rPr>
        <w:t xml:space="preserve">, </w:t>
      </w:r>
      <w:r w:rsidR="00EA05F9" w:rsidRPr="000774A1">
        <w:rPr>
          <w:rFonts w:cstheme="minorHAnsi"/>
        </w:rPr>
        <w:t>conflict of interest and confidentiality.</w:t>
      </w:r>
    </w:p>
    <w:p w14:paraId="4C346467" w14:textId="009CF345" w:rsidR="00BB5C85" w:rsidRPr="000774A1" w:rsidRDefault="00BB5C85" w:rsidP="002C02D6">
      <w:pPr>
        <w:pStyle w:val="ListParagraph"/>
        <w:numPr>
          <w:ilvl w:val="0"/>
          <w:numId w:val="2"/>
        </w:numPr>
        <w:spacing w:before="200"/>
        <w:rPr>
          <w:rFonts w:cstheme="minorHAnsi"/>
        </w:rPr>
      </w:pPr>
      <w:r w:rsidRPr="000774A1">
        <w:rPr>
          <w:rFonts w:cstheme="minorHAnsi"/>
        </w:rPr>
        <w:t>Document</w:t>
      </w:r>
      <w:r w:rsidR="00CB24AC" w:rsidRPr="000774A1">
        <w:rPr>
          <w:rFonts w:cstheme="minorHAnsi"/>
        </w:rPr>
        <w:t xml:space="preserve"> </w:t>
      </w:r>
      <w:r w:rsidRPr="000774A1">
        <w:rPr>
          <w:rFonts w:cstheme="minorHAnsi"/>
        </w:rPr>
        <w:t>minutes and action items</w:t>
      </w:r>
      <w:r w:rsidR="000C5558" w:rsidRPr="000774A1">
        <w:rPr>
          <w:rFonts w:cstheme="minorHAnsi"/>
        </w:rPr>
        <w:t xml:space="preserve"> and circulate these to </w:t>
      </w:r>
      <w:r w:rsidR="00CB24AC" w:rsidRPr="000774A1">
        <w:rPr>
          <w:rFonts w:cstheme="minorHAnsi"/>
        </w:rPr>
        <w:t>members.</w:t>
      </w:r>
    </w:p>
    <w:p w14:paraId="408510FB" w14:textId="08D96B4B" w:rsidR="00E7729D" w:rsidRPr="000774A1" w:rsidRDefault="00E7729D" w:rsidP="00E7729D">
      <w:pPr>
        <w:pStyle w:val="Heading1"/>
      </w:pPr>
      <w:r w:rsidRPr="000774A1">
        <w:t xml:space="preserve">Remuneration for time spent on </w:t>
      </w:r>
      <w:r w:rsidR="00184E0D" w:rsidRPr="000774A1">
        <w:t>Reference Group</w:t>
      </w:r>
      <w:r w:rsidRPr="000774A1">
        <w:t xml:space="preserve"> business</w:t>
      </w:r>
    </w:p>
    <w:p w14:paraId="7523F123" w14:textId="3CB0BBF4" w:rsidR="00792FED" w:rsidRPr="000774A1" w:rsidRDefault="00792FED" w:rsidP="00674631">
      <w:r w:rsidRPr="000774A1">
        <w:t>Reference Group members are entitled to payment in relation to the performance of work as a Reference Group member in accordance with the terms of their appointment.</w:t>
      </w:r>
      <w:r w:rsidR="00B0152D">
        <w:t xml:space="preserve"> Under</w:t>
      </w:r>
      <w:r w:rsidR="00C03A93">
        <w:t> </w:t>
      </w:r>
      <w:r w:rsidR="00B0152D">
        <w:t xml:space="preserve">the Australian Government’s </w:t>
      </w:r>
      <w:r w:rsidR="00B0152D" w:rsidRPr="00693770">
        <w:t>Remuneration Tribunal (</w:t>
      </w:r>
      <w:r w:rsidR="00B0152D" w:rsidRPr="00693770">
        <w:rPr>
          <w:i/>
          <w:iCs/>
        </w:rPr>
        <w:t>Remuneration and Allowances for Holders of Part-time Public Office</w:t>
      </w:r>
      <w:r w:rsidR="00B0152D" w:rsidRPr="00693770">
        <w:t>) Determination 2025</w:t>
      </w:r>
      <w:r w:rsidR="00B0152D">
        <w:t xml:space="preserve"> (Determination), the Autistic community members of the Reference Group will be entitled payments for time spent on</w:t>
      </w:r>
      <w:r w:rsidR="00C03A93">
        <w:t> </w:t>
      </w:r>
      <w:r w:rsidR="00B0152D">
        <w:t xml:space="preserve">working on Reference Group work, including pre-meeting preparation, providing the member is not representing an organisation in the Group. Sitting fees for meeting attendance will be paid at the rates set out in the Determination of $631 (Chair) and $476 (Member). </w:t>
      </w:r>
    </w:p>
    <w:p w14:paraId="3D29DFC5" w14:textId="70626623" w:rsidR="00E7729D" w:rsidRPr="000774A1" w:rsidRDefault="00E7729D" w:rsidP="00355D19">
      <w:pPr>
        <w:pStyle w:val="Heading1"/>
        <w:keepNext/>
        <w:keepLines/>
      </w:pPr>
      <w:r w:rsidRPr="000774A1">
        <w:lastRenderedPageBreak/>
        <w:t>Conflict of interest</w:t>
      </w:r>
    </w:p>
    <w:p w14:paraId="0D163220" w14:textId="4CA18F9F" w:rsidR="00792FED" w:rsidRPr="000774A1" w:rsidRDefault="00792FED" w:rsidP="00355D19">
      <w:pPr>
        <w:keepNext/>
        <w:keepLines/>
        <w:rPr>
          <w:rFonts w:cstheme="minorHAnsi"/>
        </w:rPr>
      </w:pPr>
      <w:r w:rsidRPr="000774A1">
        <w:rPr>
          <w:rFonts w:cstheme="minorHAnsi"/>
        </w:rPr>
        <w:t xml:space="preserve">Members of the </w:t>
      </w:r>
      <w:r w:rsidRPr="000774A1">
        <w:t xml:space="preserve">Reference Group </w:t>
      </w:r>
      <w:r w:rsidRPr="000774A1">
        <w:rPr>
          <w:rFonts w:cstheme="minorHAnsi"/>
        </w:rPr>
        <w:t xml:space="preserve">must comply with the </w:t>
      </w:r>
      <w:r w:rsidR="00122E8F" w:rsidRPr="000774A1">
        <w:rPr>
          <w:rFonts w:cstheme="minorHAnsi"/>
        </w:rPr>
        <w:t>Conflict-of-Interest</w:t>
      </w:r>
      <w:r w:rsidRPr="000774A1">
        <w:rPr>
          <w:rFonts w:cstheme="minorHAnsi"/>
        </w:rPr>
        <w:t xml:space="preserve"> Declaration and Undertaking </w:t>
      </w:r>
      <w:proofErr w:type="gramStart"/>
      <w:r w:rsidRPr="000774A1">
        <w:rPr>
          <w:rFonts w:cstheme="minorHAnsi"/>
        </w:rPr>
        <w:t>entered into</w:t>
      </w:r>
      <w:proofErr w:type="gramEnd"/>
      <w:r w:rsidRPr="000774A1">
        <w:rPr>
          <w:rFonts w:cstheme="minorHAnsi"/>
        </w:rPr>
        <w:t xml:space="preserve"> on their appointment. </w:t>
      </w:r>
    </w:p>
    <w:p w14:paraId="42D03573" w14:textId="0929BD90" w:rsidR="00792FED" w:rsidRPr="000774A1" w:rsidRDefault="00792FED" w:rsidP="00355D19">
      <w:pPr>
        <w:keepNext/>
        <w:keepLines/>
        <w:rPr>
          <w:rFonts w:cstheme="minorHAnsi"/>
        </w:rPr>
      </w:pPr>
      <w:r w:rsidRPr="000774A1">
        <w:rPr>
          <w:rFonts w:cstheme="minorHAnsi"/>
        </w:rPr>
        <w:t xml:space="preserve">Under the </w:t>
      </w:r>
      <w:r w:rsidR="00122E8F" w:rsidRPr="000774A1">
        <w:rPr>
          <w:rFonts w:cstheme="minorHAnsi"/>
        </w:rPr>
        <w:t>Conflict-of-Interest</w:t>
      </w:r>
      <w:r w:rsidRPr="000774A1">
        <w:rPr>
          <w:rFonts w:cstheme="minorHAnsi"/>
        </w:rPr>
        <w:t xml:space="preserve"> Declaration and Undertaking, </w:t>
      </w:r>
      <w:r w:rsidRPr="000774A1">
        <w:t xml:space="preserve">Reference Group </w:t>
      </w:r>
      <w:r w:rsidRPr="000774A1">
        <w:rPr>
          <w:rFonts w:cstheme="minorHAnsi"/>
        </w:rPr>
        <w:t xml:space="preserve">members have (among other things) an ongoing obligation to disclose all interests, </w:t>
      </w:r>
      <w:r w:rsidR="00C63C8A" w:rsidRPr="000774A1">
        <w:rPr>
          <w:rFonts w:cstheme="minorHAnsi"/>
        </w:rPr>
        <w:t>financial</w:t>
      </w:r>
      <w:r w:rsidRPr="000774A1">
        <w:rPr>
          <w:rFonts w:cstheme="minorHAnsi"/>
        </w:rPr>
        <w:t xml:space="preserve"> or</w:t>
      </w:r>
      <w:r w:rsidR="00CA6616" w:rsidRPr="000774A1">
        <w:rPr>
          <w:rFonts w:cstheme="minorHAnsi"/>
        </w:rPr>
        <w:t> </w:t>
      </w:r>
      <w:r w:rsidRPr="000774A1">
        <w:rPr>
          <w:rFonts w:cstheme="minorHAnsi"/>
        </w:rPr>
        <w:t>otherwise, that may affect the impartial performance of their functions.</w:t>
      </w:r>
    </w:p>
    <w:p w14:paraId="7008DFC3" w14:textId="345CDDB2" w:rsidR="00792FED" w:rsidRPr="000774A1" w:rsidRDefault="00792FED" w:rsidP="00792FED">
      <w:pPr>
        <w:pStyle w:val="Heading1"/>
      </w:pPr>
      <w:r w:rsidRPr="000774A1">
        <w:t>Confidentiality</w:t>
      </w:r>
    </w:p>
    <w:p w14:paraId="0E1DA190" w14:textId="5723F890" w:rsidR="00792FED" w:rsidRPr="000774A1" w:rsidRDefault="00792FED" w:rsidP="00792FED">
      <w:r w:rsidRPr="000774A1">
        <w:t xml:space="preserve">Reference Group members may receive confidential material that has privacy or security implications. </w:t>
      </w:r>
    </w:p>
    <w:p w14:paraId="21CBC564" w14:textId="7783D6A5" w:rsidR="00792FED" w:rsidRPr="000774A1" w:rsidRDefault="00792FED" w:rsidP="00792FED">
      <w:r w:rsidRPr="000774A1">
        <w:t xml:space="preserve">Members must comply with the Confidentiality Deed </w:t>
      </w:r>
      <w:proofErr w:type="gramStart"/>
      <w:r w:rsidRPr="000774A1">
        <w:t>entered into</w:t>
      </w:r>
      <w:proofErr w:type="gramEnd"/>
      <w:r w:rsidRPr="000774A1">
        <w:t xml:space="preserve"> upon their appointment. Members have a responsibility to maintain confidentiality of all information that is not in</w:t>
      </w:r>
      <w:r w:rsidR="00C03A93">
        <w:t> </w:t>
      </w:r>
      <w:r w:rsidRPr="000774A1">
        <w:t xml:space="preserve">the public domain, including but not limited to deliberations of the Reference Group. </w:t>
      </w:r>
    </w:p>
    <w:p w14:paraId="64AC0275" w14:textId="45DA6E97" w:rsidR="00792FED" w:rsidRPr="000774A1" w:rsidRDefault="00792FED" w:rsidP="00792FED">
      <w:r w:rsidRPr="000774A1">
        <w:t xml:space="preserve">Reference Group members may seek advice from the secretariat where they have queries about confidential information and circumstances in which it may be shared beyond the </w:t>
      </w:r>
      <w:r w:rsidR="00F91004" w:rsidRPr="000774A1">
        <w:t>Reference Group</w:t>
      </w:r>
      <w:r w:rsidRPr="000774A1">
        <w:t>.</w:t>
      </w:r>
    </w:p>
    <w:p w14:paraId="1D4EBA6A" w14:textId="010CD4D3" w:rsidR="005313B0" w:rsidRPr="000774A1" w:rsidRDefault="005313B0" w:rsidP="005313B0">
      <w:pPr>
        <w:pStyle w:val="Heading1"/>
      </w:pPr>
      <w:r w:rsidRPr="000774A1">
        <w:t>Privacy</w:t>
      </w:r>
    </w:p>
    <w:p w14:paraId="0DD2D05B" w14:textId="2159F73C" w:rsidR="005313B0" w:rsidRPr="000774A1" w:rsidRDefault="005313B0" w:rsidP="005313B0">
      <w:r w:rsidRPr="000774A1">
        <w:t xml:space="preserve">As part of the Reference Group function and role, the </w:t>
      </w:r>
      <w:r w:rsidR="00F91004" w:rsidRPr="000774A1">
        <w:t>Reference Group</w:t>
      </w:r>
      <w:r w:rsidRPr="000774A1">
        <w:t xml:space="preserve"> may have access to</w:t>
      </w:r>
      <w:r w:rsidR="00F91004" w:rsidRPr="000774A1">
        <w:t> </w:t>
      </w:r>
      <w:r w:rsidRPr="000774A1">
        <w:t xml:space="preserve">personal information as defined in the </w:t>
      </w:r>
      <w:r w:rsidRPr="00840EEA">
        <w:rPr>
          <w:i/>
          <w:iCs/>
        </w:rPr>
        <w:t>Privacy Act 1988</w:t>
      </w:r>
      <w:r w:rsidRPr="000774A1">
        <w:t xml:space="preserve"> (Privacy Act). </w:t>
      </w:r>
    </w:p>
    <w:p w14:paraId="6B8FE9E7" w14:textId="608EB436" w:rsidR="005313B0" w:rsidRPr="000774A1" w:rsidRDefault="005313B0" w:rsidP="000774A1">
      <w:pPr>
        <w:keepNext/>
        <w:keepLines/>
      </w:pPr>
      <w:r w:rsidRPr="000774A1">
        <w:t xml:space="preserve">As set out in the Confidentiality Deed </w:t>
      </w:r>
      <w:proofErr w:type="gramStart"/>
      <w:r w:rsidRPr="000774A1">
        <w:t>entered into</w:t>
      </w:r>
      <w:proofErr w:type="gramEnd"/>
      <w:r w:rsidRPr="000774A1">
        <w:t xml:space="preserve"> on their appointment, Reference Group members must abide by the provisions of the Privacy Act, including the Australian Privacy Principles set out in the Privacy Act. A Reference Group member must not do an act, or</w:t>
      </w:r>
      <w:r w:rsidR="00CA3DF0" w:rsidRPr="000774A1">
        <w:t> </w:t>
      </w:r>
      <w:r w:rsidRPr="000774A1">
        <w:t>engage in a practice, that would breach an Australian Privacy Principle if done or</w:t>
      </w:r>
      <w:r w:rsidR="00CA3DF0" w:rsidRPr="000774A1">
        <w:t> </w:t>
      </w:r>
      <w:r w:rsidRPr="000774A1">
        <w:t xml:space="preserve">engaged in by the </w:t>
      </w:r>
      <w:r w:rsidR="00CA3DF0" w:rsidRPr="000774A1">
        <w:t>d</w:t>
      </w:r>
      <w:r w:rsidRPr="000774A1">
        <w:t>epartment.</w:t>
      </w:r>
    </w:p>
    <w:p w14:paraId="2A987B7E" w14:textId="5B4B4DAA" w:rsidR="005313B0" w:rsidRPr="000774A1" w:rsidRDefault="005313B0" w:rsidP="005313B0">
      <w:r w:rsidRPr="000774A1">
        <w:t>The Australian Privacy Principles are available on the Australian Government Office of the Australian Information Commissioner website at www.oaic.gov.au/privacy/australian-privacy-principles/read-the-australian-privacy-principles.</w:t>
      </w:r>
    </w:p>
    <w:p w14:paraId="2962E4C8" w14:textId="77777777" w:rsidR="00E7729D" w:rsidRPr="000774A1" w:rsidRDefault="00E7729D" w:rsidP="00E7729D">
      <w:pPr>
        <w:pStyle w:val="Heading1"/>
      </w:pPr>
      <w:r w:rsidRPr="000774A1">
        <w:t>Resignation</w:t>
      </w:r>
    </w:p>
    <w:p w14:paraId="20B5E008" w14:textId="77777777" w:rsidR="00CC54A3" w:rsidRDefault="00F13529">
      <w:pPr>
        <w:spacing w:before="200"/>
      </w:pPr>
      <w:r w:rsidRPr="000774A1">
        <w:rPr>
          <w:rFonts w:cstheme="minorHAnsi"/>
        </w:rPr>
        <w:t>You may resign by giving written notice to the co-chairs. The resignation takes effect on the day it is received by the co-chairs, or if a later day is specified in the resignation, on that later day.</w:t>
      </w:r>
    </w:p>
    <w:p w14:paraId="386AB448" w14:textId="77777777" w:rsidR="00CC54A3" w:rsidRDefault="00F13529">
      <w:pPr>
        <w:spacing w:before="200"/>
      </w:pPr>
      <w:r w:rsidRPr="000774A1">
        <w:rPr>
          <w:rFonts w:cstheme="minorHAnsi"/>
        </w:rPr>
        <w:t>When a Reference Group member resigns, the co-chairs</w:t>
      </w:r>
      <w:r w:rsidR="007B7DBC" w:rsidRPr="007B7DBC">
        <w:t xml:space="preserve">, </w:t>
      </w:r>
      <w:r w:rsidRPr="000774A1">
        <w:rPr>
          <w:rFonts w:cstheme="minorHAnsi"/>
        </w:rPr>
        <w:t>with the assistance of the secretariat</w:t>
      </w:r>
      <w:r w:rsidR="007B7DBC" w:rsidRPr="007B7DBC">
        <w:t>,</w:t>
      </w:r>
      <w:r w:rsidRPr="000774A1">
        <w:rPr>
          <w:rFonts w:cstheme="minorHAnsi"/>
        </w:rPr>
        <w:t xml:space="preserve"> must notify the Minister.</w:t>
      </w:r>
    </w:p>
    <w:p w14:paraId="1D97FEDC" w14:textId="26273524" w:rsidR="00184E0D" w:rsidRPr="000774A1" w:rsidRDefault="00E7729D" w:rsidP="003F6B75">
      <w:pPr>
        <w:pStyle w:val="Heading1"/>
        <w:keepNext/>
        <w:keepLines/>
      </w:pPr>
      <w:r w:rsidRPr="000774A1">
        <w:lastRenderedPageBreak/>
        <w:t>Termination</w:t>
      </w:r>
    </w:p>
    <w:p w14:paraId="245198BA" w14:textId="2C096E61" w:rsidR="005313B0" w:rsidRPr="000774A1" w:rsidRDefault="005313B0" w:rsidP="003F6B75">
      <w:pPr>
        <w:keepNext/>
        <w:keepLines/>
        <w:suppressAutoHyphens/>
        <w:spacing w:before="120" w:line="280" w:lineRule="atLeast"/>
        <w:rPr>
          <w:rFonts w:cstheme="minorHAnsi"/>
        </w:rPr>
      </w:pPr>
      <w:r w:rsidRPr="000774A1">
        <w:rPr>
          <w:rFonts w:cstheme="minorHAnsi"/>
        </w:rPr>
        <w:t xml:space="preserve">The Minister may terminate your appointment without cause by providing no less than </w:t>
      </w:r>
      <w:r w:rsidR="00D85D6A" w:rsidRPr="000774A1">
        <w:rPr>
          <w:rFonts w:cstheme="minorHAnsi"/>
        </w:rPr>
        <w:t xml:space="preserve">seven </w:t>
      </w:r>
      <w:r w:rsidRPr="000774A1">
        <w:rPr>
          <w:rFonts w:cstheme="minorHAnsi"/>
        </w:rPr>
        <w:t>days’ written notice of termination.</w:t>
      </w:r>
    </w:p>
    <w:p w14:paraId="29D1E531" w14:textId="7145C224" w:rsidR="005313B0" w:rsidRPr="000774A1" w:rsidRDefault="005313B0" w:rsidP="003F6B75">
      <w:pPr>
        <w:keepNext/>
        <w:keepLines/>
        <w:suppressAutoHyphens/>
        <w:spacing w:before="120" w:line="280" w:lineRule="atLeast"/>
        <w:rPr>
          <w:rFonts w:cstheme="minorHAnsi"/>
        </w:rPr>
      </w:pPr>
      <w:r w:rsidRPr="000774A1">
        <w:rPr>
          <w:rFonts w:cstheme="minorHAnsi"/>
        </w:rPr>
        <w:t>The Minister may terminate your appointment immediately if:</w:t>
      </w:r>
    </w:p>
    <w:p w14:paraId="578F290C" w14:textId="77777777" w:rsidR="007B7DBC" w:rsidRPr="007B7DBC" w:rsidRDefault="007B7DBC" w:rsidP="007B7DBC">
      <w:pPr>
        <w:pStyle w:val="ListParagraph"/>
        <w:numPr>
          <w:ilvl w:val="0"/>
          <w:numId w:val="4"/>
        </w:numPr>
        <w:rPr>
          <w:kern w:val="2"/>
          <w:lang w:eastAsia="en-AU"/>
          <w14:ligatures w14:val="standardContextual"/>
        </w:rPr>
      </w:pPr>
      <w:r>
        <w:t>in the Minister’s opinion, you have not met the Reference Group’s standard of conduct or performed your role to the required standard</w:t>
      </w:r>
    </w:p>
    <w:p w14:paraId="2A26A92C" w14:textId="77777777" w:rsidR="007B7DBC" w:rsidRDefault="007B7DBC" w:rsidP="007B7DBC">
      <w:pPr>
        <w:pStyle w:val="ListParagraph"/>
        <w:numPr>
          <w:ilvl w:val="0"/>
          <w:numId w:val="4"/>
        </w:numPr>
      </w:pPr>
      <w:r>
        <w:t>the Minister holds a reasonable belief that you are unable to perform your duties due to change of circumstances or capacity to commit time to Reference Group work</w:t>
      </w:r>
    </w:p>
    <w:p w14:paraId="2834C178" w14:textId="77777777" w:rsidR="007B7DBC" w:rsidRDefault="007B7DBC" w:rsidP="007B7DBC">
      <w:pPr>
        <w:pStyle w:val="ListParagraph"/>
        <w:numPr>
          <w:ilvl w:val="0"/>
          <w:numId w:val="4"/>
        </w:numPr>
      </w:pPr>
      <w:r>
        <w:t>you:</w:t>
      </w:r>
    </w:p>
    <w:p w14:paraId="0AEEF330" w14:textId="77777777" w:rsidR="007B7DBC" w:rsidRDefault="007B7DBC" w:rsidP="007B7DBC">
      <w:pPr>
        <w:pStyle w:val="ListParagraph"/>
        <w:numPr>
          <w:ilvl w:val="1"/>
          <w:numId w:val="4"/>
        </w:numPr>
      </w:pPr>
      <w:r>
        <w:t>become bankrupt</w:t>
      </w:r>
    </w:p>
    <w:p w14:paraId="0BF41CB5" w14:textId="77777777" w:rsidR="007B7DBC" w:rsidRDefault="007B7DBC" w:rsidP="007B7DBC">
      <w:pPr>
        <w:pStyle w:val="ListParagraph"/>
        <w:numPr>
          <w:ilvl w:val="1"/>
          <w:numId w:val="4"/>
        </w:numPr>
      </w:pPr>
      <w:r>
        <w:t>take steps to take the benefit of any law for the relief of bankrupt or insolvent debtors</w:t>
      </w:r>
    </w:p>
    <w:p w14:paraId="2EFDFBEF" w14:textId="77777777" w:rsidR="007B7DBC" w:rsidRDefault="007B7DBC" w:rsidP="007B7DBC">
      <w:pPr>
        <w:pStyle w:val="ListParagraph"/>
        <w:numPr>
          <w:ilvl w:val="1"/>
          <w:numId w:val="4"/>
        </w:numPr>
      </w:pPr>
      <w:r>
        <w:t>compound with one or more of your creditors</w:t>
      </w:r>
    </w:p>
    <w:p w14:paraId="60B6D1CB" w14:textId="77777777" w:rsidR="007B7DBC" w:rsidRDefault="007B7DBC" w:rsidP="007B7DBC">
      <w:pPr>
        <w:pStyle w:val="ListParagraph"/>
        <w:numPr>
          <w:ilvl w:val="1"/>
          <w:numId w:val="4"/>
        </w:numPr>
      </w:pPr>
      <w:r>
        <w:t>make an assignment of your remuneration for the benefit of one or more of your creditors</w:t>
      </w:r>
    </w:p>
    <w:p w14:paraId="609B4E02" w14:textId="77777777" w:rsidR="007B7DBC" w:rsidRDefault="007B7DBC" w:rsidP="007B7DBC">
      <w:pPr>
        <w:pStyle w:val="ListParagraph"/>
        <w:numPr>
          <w:ilvl w:val="0"/>
          <w:numId w:val="4"/>
        </w:numPr>
      </w:pPr>
      <w:r>
        <w:t>you are absent, except on leave of absence, from three consecutive meetings of the Committee</w:t>
      </w:r>
    </w:p>
    <w:p w14:paraId="410C86D5" w14:textId="77777777" w:rsidR="007B7DBC" w:rsidRDefault="007B7DBC" w:rsidP="007B7DBC">
      <w:pPr>
        <w:pStyle w:val="ListParagraph"/>
        <w:numPr>
          <w:ilvl w:val="0"/>
          <w:numId w:val="4"/>
        </w:numPr>
      </w:pPr>
      <w:r>
        <w:t>you have a real or perceived conflict that in the Minister’s opinion, interferes or could be perceived to interfere with the proper performance of your role.</w:t>
      </w:r>
    </w:p>
    <w:sectPr w:rsidR="007B7DBC" w:rsidSect="00355D19">
      <w:headerReference w:type="even" r:id="rId11"/>
      <w:headerReference w:type="default" r:id="rId12"/>
      <w:footerReference w:type="even" r:id="rId13"/>
      <w:footerReference w:type="default" r:id="rId14"/>
      <w:headerReference w:type="first" r:id="rId15"/>
      <w:footerReference w:type="first" r:id="rId16"/>
      <w:pgSz w:w="11900" w:h="16840"/>
      <w:pgMar w:top="1134" w:right="1106" w:bottom="1134" w:left="1440" w:header="45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EDD22" w14:textId="77777777" w:rsidR="00F13529" w:rsidRDefault="00F13529" w:rsidP="00C82EC0">
      <w:r>
        <w:separator/>
      </w:r>
    </w:p>
  </w:endnote>
  <w:endnote w:type="continuationSeparator" w:id="0">
    <w:p w14:paraId="277D5626" w14:textId="77777777" w:rsidR="00F13529" w:rsidRDefault="00F13529" w:rsidP="00C82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PT Sans Narrow">
    <w:charset w:val="00"/>
    <w:family w:val="swiss"/>
    <w:pitch w:val="variable"/>
    <w:sig w:usb0="A00002E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2B63C" w14:textId="1D3C99A8" w:rsidR="00CB235A" w:rsidRDefault="00795354" w:rsidP="00DB26F0">
    <w:pPr>
      <w:pStyle w:val="Footer"/>
      <w:rPr>
        <w:rStyle w:val="PageNumber"/>
      </w:rPr>
    </w:pPr>
    <w:r>
      <w:rPr>
        <w:rFonts w:ascii="Times New Roman" w:hAnsi="Times New Roman"/>
        <w:noProof/>
      </w:rPr>
      <mc:AlternateContent>
        <mc:Choice Requires="wps">
          <w:drawing>
            <wp:anchor distT="0" distB="0" distL="0" distR="0" simplePos="0" relativeHeight="251659264" behindDoc="0" locked="0" layoutInCell="1" allowOverlap="1" wp14:anchorId="38DF7CED" wp14:editId="28E04EC4">
              <wp:simplePos x="635" y="635"/>
              <wp:positionH relativeFrom="page">
                <wp:align>center</wp:align>
              </wp:positionH>
              <wp:positionV relativeFrom="page">
                <wp:align>bottom</wp:align>
              </wp:positionV>
              <wp:extent cx="551815" cy="404495"/>
              <wp:effectExtent l="0" t="0" r="635" b="0"/>
              <wp:wrapNone/>
              <wp:docPr id="109186373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3F011B37" w14:textId="287DD55D" w:rsidR="00795354" w:rsidRPr="00795354" w:rsidRDefault="00795354" w:rsidP="00795354">
                          <w:pPr>
                            <w:spacing w:after="0"/>
                            <w:rPr>
                              <w:rFonts w:ascii="Calibri" w:eastAsia="Calibri" w:hAnsi="Calibri" w:cs="Calibri"/>
                              <w:noProof/>
                              <w:color w:val="FF0000"/>
                            </w:rPr>
                          </w:pPr>
                          <w:r w:rsidRPr="00795354">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DF7CED" id="_x0000_t202" coordsize="21600,21600" o:spt="202" path="m,l,21600r21600,l21600,xe">
              <v:stroke joinstyle="miter"/>
              <v:path gradientshapeok="t" o:connecttype="rect"/>
            </v:shapetype>
            <v:shape id="Text Box 5" o:spid="_x0000_s1028" type="#_x0000_t202" alt="OFFICIAL" style="position:absolute;margin-left:0;margin-top:0;width:43.45pt;height:31.8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JhWMA4CAAAc&#10;BAAADgAAAAAAAAAAAAAAAAAuAgAAZHJzL2Uyb0RvYy54bWxQSwECLQAUAAYACAAAACEAH1WiDdsA&#10;AAADAQAADwAAAAAAAAAAAAAAAABoBAAAZHJzL2Rvd25yZXYueG1sUEsFBgAAAAAEAAQA8wAAAHAF&#10;AAAAAA==&#10;" filled="f" stroked="f">
              <v:textbox style="mso-fit-shape-to-text:t" inset="0,0,0,15pt">
                <w:txbxContent>
                  <w:p w14:paraId="3F011B37" w14:textId="287DD55D" w:rsidR="00795354" w:rsidRPr="00795354" w:rsidRDefault="00795354" w:rsidP="00795354">
                    <w:pPr>
                      <w:spacing w:after="0"/>
                      <w:rPr>
                        <w:rFonts w:ascii="Calibri" w:eastAsia="Calibri" w:hAnsi="Calibri" w:cs="Calibri"/>
                        <w:noProof/>
                        <w:color w:val="FF0000"/>
                      </w:rPr>
                    </w:pPr>
                    <w:r w:rsidRPr="00795354">
                      <w:rPr>
                        <w:rFonts w:ascii="Calibri" w:eastAsia="Calibri" w:hAnsi="Calibri" w:cs="Calibri"/>
                        <w:noProof/>
                        <w:color w:val="FF0000"/>
                      </w:rPr>
                      <w:t>OFFICIAL</w:t>
                    </w:r>
                  </w:p>
                </w:txbxContent>
              </v:textbox>
              <w10:wrap anchorx="page" anchory="page"/>
            </v:shape>
          </w:pict>
        </mc:Fallback>
      </mc:AlternateContent>
    </w:r>
  </w:p>
  <w:sdt>
    <w:sdtPr>
      <w:rPr>
        <w:rStyle w:val="PageNumber"/>
      </w:rPr>
      <w:id w:val="569004106"/>
      <w:docPartObj>
        <w:docPartGallery w:val="Page Numbers (Bottom of Page)"/>
        <w:docPartUnique/>
      </w:docPartObj>
    </w:sdtPr>
    <w:sdtEndPr>
      <w:rPr>
        <w:rStyle w:val="PageNumber"/>
      </w:rPr>
    </w:sdtEndPr>
    <w:sdtContent>
      <w:p w14:paraId="6E2CA39D" w14:textId="77777777" w:rsidR="00CB235A" w:rsidRDefault="00CB235A" w:rsidP="00DB26F0">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sidR="00EE0BBC">
          <w:rPr>
            <w:rStyle w:val="PageNumber"/>
            <w:noProof/>
          </w:rPr>
          <w:t>2</w:t>
        </w:r>
        <w:r>
          <w:rPr>
            <w:rStyle w:val="PageNumber"/>
          </w:rPr>
          <w:fldChar w:fldCharType="end"/>
        </w:r>
      </w:p>
    </w:sdtContent>
  </w:sdt>
  <w:p w14:paraId="2515DEB6" w14:textId="77777777" w:rsidR="00CB235A" w:rsidRDefault="00CB235A" w:rsidP="00DB26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E2E50" w14:textId="45E349CB" w:rsidR="00CB235A" w:rsidRPr="00F6383F" w:rsidRDefault="00795354" w:rsidP="00DB26F0">
    <w:pPr>
      <w:pStyle w:val="Footer"/>
    </w:pPr>
    <w:r>
      <w:rPr>
        <w:rFonts w:ascii="Arial" w:hAnsi="Arial"/>
        <w:noProof/>
        <w:sz w:val="20"/>
        <w:szCs w:val="20"/>
      </w:rPr>
      <mc:AlternateContent>
        <mc:Choice Requires="wps">
          <w:drawing>
            <wp:anchor distT="0" distB="0" distL="0" distR="0" simplePos="0" relativeHeight="251660288" behindDoc="0" locked="0" layoutInCell="1" allowOverlap="1" wp14:anchorId="5C1D9E71" wp14:editId="3B92D12E">
              <wp:simplePos x="914400" y="9877425"/>
              <wp:positionH relativeFrom="page">
                <wp:align>center</wp:align>
              </wp:positionH>
              <wp:positionV relativeFrom="page">
                <wp:align>bottom</wp:align>
              </wp:positionV>
              <wp:extent cx="551815" cy="404495"/>
              <wp:effectExtent l="0" t="0" r="635" b="0"/>
              <wp:wrapNone/>
              <wp:docPr id="62829059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1126539F" w14:textId="481A5FA7" w:rsidR="00795354" w:rsidRPr="00795354" w:rsidRDefault="00795354" w:rsidP="00795354">
                          <w:pPr>
                            <w:spacing w:after="0"/>
                            <w:rPr>
                              <w:rFonts w:ascii="Calibri" w:eastAsia="Calibri" w:hAnsi="Calibri" w:cs="Calibri"/>
                              <w:noProof/>
                              <w:color w:val="FF000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C1D9E71" id="_x0000_t202" coordsize="21600,21600" o:spt="202" path="m,l,21600r21600,l21600,xe">
              <v:stroke joinstyle="miter"/>
              <v:path gradientshapeok="t" o:connecttype="rect"/>
            </v:shapetype>
            <v:shape id="Text Box 6" o:spid="_x0000_s1029" type="#_x0000_t202" alt="OFFICIAL" style="position:absolute;margin-left:0;margin-top:0;width:43.45pt;height:31.8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" filled="f" stroked="f">
              <v:textbox style="mso-fit-shape-to-text:t" inset="0,0,0,15pt">
                <w:txbxContent>
                  <w:p w14:paraId="1126539F" w14:textId="481A5FA7" w:rsidR="00795354" w:rsidRPr="00795354" w:rsidRDefault="00795354" w:rsidP="00795354">
                    <w:pPr>
                      <w:spacing w:after="0"/>
                      <w:rPr>
                        <w:rFonts w:ascii="Calibri" w:eastAsia="Calibri" w:hAnsi="Calibri" w:cs="Calibri"/>
                        <w:noProof/>
                        <w:color w:val="FF0000"/>
                      </w:rPr>
                    </w:pPr>
                  </w:p>
                </w:txbxContent>
              </v:textbox>
              <w10:wrap anchorx="page" anchory="page"/>
            </v:shape>
          </w:pict>
        </mc:Fallback>
      </mc:AlternateContent>
    </w:r>
    <w:sdt>
      <w:sdtPr>
        <w:rPr>
          <w:rStyle w:val="PageNumber"/>
          <w:rFonts w:ascii="Arial" w:hAnsi="Arial"/>
          <w:sz w:val="20"/>
          <w:szCs w:val="20"/>
        </w:rPr>
        <w:id w:val="1845824212"/>
        <w:docPartObj>
          <w:docPartGallery w:val="Page Numbers (Bottom of Page)"/>
          <w:docPartUnique/>
        </w:docPartObj>
      </w:sdtPr>
      <w:sdtEndPr>
        <w:rPr>
          <w:rStyle w:val="PageNumber"/>
        </w:rPr>
      </w:sdtEndPr>
      <w:sdtContent>
        <w:r w:rsidR="00CB235A" w:rsidRPr="00F6383F">
          <w:rPr>
            <w:rStyle w:val="PageNumber"/>
            <w:rFonts w:ascii="Arial" w:hAnsi="Arial"/>
            <w:sz w:val="20"/>
            <w:szCs w:val="20"/>
          </w:rPr>
          <w:fldChar w:fldCharType="begin"/>
        </w:r>
        <w:r w:rsidR="00CB235A" w:rsidRPr="00F6383F">
          <w:rPr>
            <w:rStyle w:val="PageNumber"/>
            <w:rFonts w:ascii="Arial" w:hAnsi="Arial"/>
            <w:sz w:val="20"/>
            <w:szCs w:val="20"/>
          </w:rPr>
          <w:instrText xml:space="preserve"> PAGE </w:instrText>
        </w:r>
        <w:r w:rsidR="00CB235A" w:rsidRPr="00F6383F">
          <w:rPr>
            <w:rStyle w:val="PageNumber"/>
            <w:rFonts w:ascii="Arial" w:hAnsi="Arial"/>
            <w:sz w:val="20"/>
            <w:szCs w:val="20"/>
          </w:rPr>
          <w:fldChar w:fldCharType="separate"/>
        </w:r>
        <w:r w:rsidR="00CB235A" w:rsidRPr="00F6383F">
          <w:rPr>
            <w:rStyle w:val="PageNumber"/>
            <w:rFonts w:ascii="Arial" w:hAnsi="Arial"/>
            <w:noProof/>
            <w:sz w:val="20"/>
            <w:szCs w:val="20"/>
          </w:rPr>
          <w:t>1</w:t>
        </w:r>
        <w:r w:rsidR="00CB235A" w:rsidRPr="00F6383F">
          <w:rPr>
            <w:rStyle w:val="PageNumber"/>
            <w:rFonts w:ascii="Arial" w:hAnsi="Arial"/>
            <w:sz w:val="20"/>
            <w:szCs w:val="20"/>
          </w:rPr>
          <w:fldChar w:fldCharType="end"/>
        </w:r>
      </w:sdtContent>
    </w:sdt>
    <w:r w:rsidR="00AA3D4D" w:rsidRPr="00F6383F">
      <w:rPr>
        <w:rStyle w:val="PageNumber"/>
        <w:rFonts w:ascii="Arial" w:hAnsi="Arial"/>
        <w:sz w:val="20"/>
        <w:szCs w:val="20"/>
      </w:rPr>
      <w:t xml:space="preserve"> </w:t>
    </w:r>
    <w:r w:rsidR="00E7729D">
      <w:rPr>
        <w:rStyle w:val="PageNumber"/>
        <w:rFonts w:ascii="Arial" w:hAnsi="Arial"/>
        <w:sz w:val="20"/>
        <w:szCs w:val="20"/>
      </w:rPr>
      <w:t>–</w:t>
    </w:r>
    <w:r w:rsidR="00AA3D4D" w:rsidRPr="00F6383F">
      <w:rPr>
        <w:rStyle w:val="PageNumber"/>
        <w:rFonts w:ascii="Arial" w:hAnsi="Arial"/>
        <w:sz w:val="20"/>
        <w:szCs w:val="20"/>
      </w:rPr>
      <w:t xml:space="preserve"> </w:t>
    </w:r>
    <w:r w:rsidR="00E7729D">
      <w:t>National Autism Strategy 2025 – 2031 | Terms of Reference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EBB63" w14:textId="36C4D35C" w:rsidR="00E7729D" w:rsidRPr="00F6383F" w:rsidRDefault="00795354" w:rsidP="00E7729D">
    <w:pPr>
      <w:pStyle w:val="Footer"/>
    </w:pPr>
    <w:r>
      <w:rPr>
        <w:rFonts w:ascii="Arial" w:hAnsi="Arial"/>
        <w:noProof/>
        <w:sz w:val="20"/>
        <w:szCs w:val="20"/>
      </w:rPr>
      <mc:AlternateContent>
        <mc:Choice Requires="wps">
          <w:drawing>
            <wp:anchor distT="0" distB="0" distL="0" distR="0" simplePos="0" relativeHeight="251658240" behindDoc="0" locked="0" layoutInCell="1" allowOverlap="1" wp14:anchorId="1C41D2E1" wp14:editId="5BF1D95E">
              <wp:simplePos x="914400" y="9620250"/>
              <wp:positionH relativeFrom="page">
                <wp:align>center</wp:align>
              </wp:positionH>
              <wp:positionV relativeFrom="page">
                <wp:align>bottom</wp:align>
              </wp:positionV>
              <wp:extent cx="551815" cy="404495"/>
              <wp:effectExtent l="0" t="0" r="635" b="0"/>
              <wp:wrapNone/>
              <wp:docPr id="183471420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7B04D66F" w14:textId="2005BB19" w:rsidR="00795354" w:rsidRPr="00795354" w:rsidRDefault="00795354" w:rsidP="00795354">
                          <w:pPr>
                            <w:spacing w:after="0"/>
                            <w:rPr>
                              <w:rFonts w:ascii="Calibri" w:eastAsia="Calibri" w:hAnsi="Calibri" w:cs="Calibri"/>
                              <w:noProof/>
                              <w:color w:val="FF000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C41D2E1" id="_x0000_t202" coordsize="21600,21600" o:spt="202" path="m,l,21600r21600,l21600,xe">
              <v:stroke joinstyle="miter"/>
              <v:path gradientshapeok="t" o:connecttype="rect"/>
            </v:shapetype>
            <v:shape id="Text Box 4" o:spid="_x0000_s1031" type="#_x0000_t202" alt="OFFICIAL" style="position:absolute;margin-left:0;margin-top:0;width:43.45pt;height:31.8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6RLgA4CAAAc&#10;BAAADgAAAAAAAAAAAAAAAAAuAgAAZHJzL2Uyb0RvYy54bWxQSwECLQAUAAYACAAAACEAH1WiDdsA&#10;AAADAQAADwAAAAAAAAAAAAAAAABoBAAAZHJzL2Rvd25yZXYueG1sUEsFBgAAAAAEAAQA8wAAAHAF&#10;AAAAAA==&#10;" filled="f" stroked="f">
              <v:textbox style="mso-fit-shape-to-text:t" inset="0,0,0,15pt">
                <w:txbxContent>
                  <w:p w14:paraId="7B04D66F" w14:textId="2005BB19" w:rsidR="00795354" w:rsidRPr="00795354" w:rsidRDefault="00795354" w:rsidP="00795354">
                    <w:pPr>
                      <w:spacing w:after="0"/>
                      <w:rPr>
                        <w:rFonts w:ascii="Calibri" w:eastAsia="Calibri" w:hAnsi="Calibri" w:cs="Calibri"/>
                        <w:noProof/>
                        <w:color w:val="FF0000"/>
                      </w:rPr>
                    </w:pPr>
                  </w:p>
                </w:txbxContent>
              </v:textbox>
              <w10:wrap anchorx="page" anchory="page"/>
            </v:shape>
          </w:pict>
        </mc:Fallback>
      </mc:AlternateContent>
    </w:r>
    <w:sdt>
      <w:sdtPr>
        <w:rPr>
          <w:rStyle w:val="PageNumber"/>
          <w:rFonts w:ascii="Cambria" w:hAnsi="Cambria"/>
          <w:sz w:val="20"/>
          <w:szCs w:val="20"/>
        </w:rPr>
        <w:id w:val="-1969046873"/>
        <w:docPartObj>
          <w:docPartGallery w:val="Page Numbers (Bottom of Page)"/>
          <w:docPartUnique/>
        </w:docPartObj>
      </w:sdtPr>
      <w:sdtEndPr>
        <w:rPr>
          <w:rStyle w:val="PageNumber"/>
        </w:rPr>
      </w:sdtEndPr>
      <w:sdtContent>
        <w:r w:rsidR="002F305D" w:rsidRPr="00DB26F0">
          <w:rPr>
            <w:rStyle w:val="PageNumber"/>
            <w:rFonts w:ascii="Cambria" w:hAnsi="Cambria"/>
            <w:sz w:val="20"/>
            <w:szCs w:val="20"/>
          </w:rPr>
          <w:fldChar w:fldCharType="begin"/>
        </w:r>
        <w:r w:rsidR="002F305D" w:rsidRPr="00DB26F0">
          <w:rPr>
            <w:rStyle w:val="PageNumber"/>
            <w:rFonts w:ascii="Cambria" w:hAnsi="Cambria"/>
            <w:sz w:val="20"/>
            <w:szCs w:val="20"/>
          </w:rPr>
          <w:instrText xml:space="preserve"> PAGE </w:instrText>
        </w:r>
        <w:r w:rsidR="002F305D" w:rsidRPr="00DB26F0">
          <w:rPr>
            <w:rStyle w:val="PageNumber"/>
            <w:rFonts w:ascii="Cambria" w:hAnsi="Cambria"/>
            <w:sz w:val="20"/>
            <w:szCs w:val="20"/>
          </w:rPr>
          <w:fldChar w:fldCharType="separate"/>
        </w:r>
        <w:r w:rsidR="002F305D" w:rsidRPr="00DB26F0">
          <w:rPr>
            <w:rStyle w:val="PageNumber"/>
            <w:rFonts w:ascii="Cambria" w:hAnsi="Cambria"/>
            <w:sz w:val="20"/>
            <w:szCs w:val="20"/>
          </w:rPr>
          <w:t>2</w:t>
        </w:r>
        <w:r w:rsidR="002F305D" w:rsidRPr="00DB26F0">
          <w:rPr>
            <w:rStyle w:val="PageNumber"/>
            <w:rFonts w:ascii="Cambria" w:hAnsi="Cambria"/>
            <w:sz w:val="20"/>
            <w:szCs w:val="20"/>
          </w:rPr>
          <w:fldChar w:fldCharType="end"/>
        </w:r>
      </w:sdtContent>
    </w:sdt>
    <w:r w:rsidR="002F305D" w:rsidRPr="00DB26F0">
      <w:rPr>
        <w:rStyle w:val="PageNumber"/>
        <w:rFonts w:ascii="Cambria" w:hAnsi="Cambria"/>
        <w:sz w:val="20"/>
        <w:szCs w:val="20"/>
      </w:rPr>
      <w:t xml:space="preserve"> - </w:t>
    </w:r>
    <w:r w:rsidR="00E7729D">
      <w:t>National Autism Strategy 2025 – 2031 | Terms of Reference</w:t>
    </w:r>
  </w:p>
  <w:p w14:paraId="056DC5E7" w14:textId="7AE7AF5C" w:rsidR="002F305D" w:rsidRPr="00DB26F0" w:rsidRDefault="002F305D" w:rsidP="00DB26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A32F0" w14:textId="77777777" w:rsidR="00F13529" w:rsidRDefault="00F13529" w:rsidP="00C82EC0">
      <w:r>
        <w:separator/>
      </w:r>
    </w:p>
  </w:footnote>
  <w:footnote w:type="continuationSeparator" w:id="0">
    <w:p w14:paraId="29776019" w14:textId="77777777" w:rsidR="00F13529" w:rsidRDefault="00F13529" w:rsidP="00C82E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04A85" w14:textId="210987D2" w:rsidR="00795354" w:rsidRDefault="00795354">
    <w:pPr>
      <w:pStyle w:val="Header"/>
    </w:pPr>
    <w:r>
      <w:rPr>
        <w:noProof/>
      </w:rPr>
      <mc:AlternateContent>
        <mc:Choice Requires="wps">
          <w:drawing>
            <wp:anchor distT="0" distB="0" distL="0" distR="0" simplePos="0" relativeHeight="251656192" behindDoc="0" locked="0" layoutInCell="1" allowOverlap="1" wp14:anchorId="05AC4647" wp14:editId="00777991">
              <wp:simplePos x="635" y="635"/>
              <wp:positionH relativeFrom="page">
                <wp:align>center</wp:align>
              </wp:positionH>
              <wp:positionV relativeFrom="page">
                <wp:align>top</wp:align>
              </wp:positionV>
              <wp:extent cx="551815" cy="404495"/>
              <wp:effectExtent l="0" t="0" r="635" b="14605"/>
              <wp:wrapNone/>
              <wp:docPr id="46375236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7B944766" w14:textId="0284061A" w:rsidR="00795354" w:rsidRPr="00795354" w:rsidRDefault="00795354" w:rsidP="00795354">
                          <w:pPr>
                            <w:spacing w:after="0"/>
                            <w:rPr>
                              <w:rFonts w:ascii="Calibri" w:eastAsia="Calibri" w:hAnsi="Calibri" w:cs="Calibri"/>
                              <w:noProof/>
                              <w:color w:val="FF0000"/>
                            </w:rPr>
                          </w:pPr>
                          <w:r w:rsidRPr="00795354">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5AC4647" id="_x0000_t202" coordsize="21600,21600" o:spt="202" path="m,l,21600r21600,l21600,xe">
              <v:stroke joinstyle="miter"/>
              <v:path gradientshapeok="t" o:connecttype="rect"/>
            </v:shapetype>
            <v:shape id="Text Box 2" o:spid="_x0000_s1026" type="#_x0000_t202" alt="OFFICIAL" style="position:absolute;margin-left:0;margin-top:0;width:43.45pt;height:31.85pt;z-index:2516561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7B944766" w14:textId="0284061A" w:rsidR="00795354" w:rsidRPr="00795354" w:rsidRDefault="00795354" w:rsidP="00795354">
                    <w:pPr>
                      <w:spacing w:after="0"/>
                      <w:rPr>
                        <w:rFonts w:ascii="Calibri" w:eastAsia="Calibri" w:hAnsi="Calibri" w:cs="Calibri"/>
                        <w:noProof/>
                        <w:color w:val="FF0000"/>
                      </w:rPr>
                    </w:pPr>
                    <w:r w:rsidRPr="00795354">
                      <w:rPr>
                        <w:rFonts w:ascii="Calibri" w:eastAsia="Calibri" w:hAnsi="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35C68" w14:textId="1151E212" w:rsidR="00795354" w:rsidRDefault="00795354">
    <w:pPr>
      <w:pStyle w:val="Header"/>
    </w:pPr>
    <w:r>
      <w:rPr>
        <w:noProof/>
      </w:rPr>
      <mc:AlternateContent>
        <mc:Choice Requires="wps">
          <w:drawing>
            <wp:anchor distT="0" distB="0" distL="0" distR="0" simplePos="0" relativeHeight="251657216" behindDoc="0" locked="0" layoutInCell="1" allowOverlap="1" wp14:anchorId="684FB990" wp14:editId="37D02F25">
              <wp:simplePos x="914400" y="400050"/>
              <wp:positionH relativeFrom="page">
                <wp:align>center</wp:align>
              </wp:positionH>
              <wp:positionV relativeFrom="page">
                <wp:align>top</wp:align>
              </wp:positionV>
              <wp:extent cx="551815" cy="404495"/>
              <wp:effectExtent l="0" t="0" r="635" b="14605"/>
              <wp:wrapNone/>
              <wp:docPr id="192248096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7F80317A" w14:textId="16E77258" w:rsidR="00795354" w:rsidRPr="00795354" w:rsidRDefault="00795354" w:rsidP="00795354">
                          <w:pPr>
                            <w:spacing w:after="0"/>
                            <w:rPr>
                              <w:rFonts w:ascii="Calibri" w:eastAsia="Calibri" w:hAnsi="Calibri" w:cs="Calibri"/>
                              <w:noProof/>
                              <w:color w:val="FF000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84FB990" id="_x0000_t202" coordsize="21600,21600" o:spt="202" path="m,l,21600r21600,l21600,xe">
              <v:stroke joinstyle="miter"/>
              <v:path gradientshapeok="t" o:connecttype="rect"/>
            </v:shapetype>
            <v:shape id="Text Box 3" o:spid="_x0000_s1027" type="#_x0000_t202" alt="OFFICIAL" style="position:absolute;margin-left:0;margin-top:0;width:43.45pt;height:31.85pt;z-index:2516572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" filled="f" stroked="f">
              <v:textbox style="mso-fit-shape-to-text:t" inset="0,15pt,0,0">
                <w:txbxContent>
                  <w:p w14:paraId="7F80317A" w14:textId="16E77258" w:rsidR="00795354" w:rsidRPr="00795354" w:rsidRDefault="00795354" w:rsidP="00795354">
                    <w:pPr>
                      <w:spacing w:after="0"/>
                      <w:rPr>
                        <w:rFonts w:ascii="Calibri" w:eastAsia="Calibri" w:hAnsi="Calibri" w:cs="Calibri"/>
                        <w:noProof/>
                        <w:color w:val="FF000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4FEDD" w14:textId="630DFEAD" w:rsidR="001007A6" w:rsidRDefault="00795354" w:rsidP="00C82EC0">
    <w:pPr>
      <w:pStyle w:val="Header"/>
    </w:pPr>
    <w:r>
      <w:rPr>
        <w:noProof/>
      </w:rPr>
      <mc:AlternateContent>
        <mc:Choice Requires="wps">
          <w:drawing>
            <wp:anchor distT="0" distB="0" distL="0" distR="0" simplePos="0" relativeHeight="251655168" behindDoc="0" locked="0" layoutInCell="1" allowOverlap="1" wp14:anchorId="7386951D" wp14:editId="33A0D11B">
              <wp:simplePos x="914400" y="400050"/>
              <wp:positionH relativeFrom="page">
                <wp:align>center</wp:align>
              </wp:positionH>
              <wp:positionV relativeFrom="page">
                <wp:align>top</wp:align>
              </wp:positionV>
              <wp:extent cx="551815" cy="404495"/>
              <wp:effectExtent l="0" t="0" r="635" b="14605"/>
              <wp:wrapNone/>
              <wp:docPr id="24261125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5D0ED359" w14:textId="7ABD3099" w:rsidR="00795354" w:rsidRPr="00795354" w:rsidRDefault="00795354" w:rsidP="00795354">
                          <w:pPr>
                            <w:spacing w:after="0"/>
                            <w:rPr>
                              <w:rFonts w:ascii="Calibri" w:eastAsia="Calibri" w:hAnsi="Calibri" w:cs="Calibri"/>
                              <w:noProof/>
                              <w:color w:val="FF000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386951D" id="_x0000_t202" coordsize="21600,21600" o:spt="202" path="m,l,21600r21600,l21600,xe">
              <v:stroke joinstyle="miter"/>
              <v:path gradientshapeok="t" o:connecttype="rect"/>
            </v:shapetype>
            <v:shape id="Text Box 1" o:spid="_x0000_s1030" type="#_x0000_t202" alt="OFFICIAL" style="position:absolute;margin-left:0;margin-top:0;width:43.45pt;height:31.85pt;z-index:2516551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KgJDQIAABw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" filled="f" stroked="f">
              <v:textbox style="mso-fit-shape-to-text:t" inset="0,15pt,0,0">
                <w:txbxContent>
                  <w:p w14:paraId="5D0ED359" w14:textId="7ABD3099" w:rsidR="00795354" w:rsidRPr="00795354" w:rsidRDefault="00795354" w:rsidP="00795354">
                    <w:pPr>
                      <w:spacing w:after="0"/>
                      <w:rPr>
                        <w:rFonts w:ascii="Calibri" w:eastAsia="Calibri" w:hAnsi="Calibri" w:cs="Calibri"/>
                        <w:noProof/>
                        <w:color w:val="FF0000"/>
                      </w:rPr>
                    </w:pPr>
                  </w:p>
                </w:txbxContent>
              </v:textbox>
              <w10:wrap anchorx="page" anchory="page"/>
            </v:shape>
          </w:pict>
        </mc:Fallback>
      </mc:AlternateContent>
    </w:r>
    <w:r w:rsidR="00F11001" w:rsidRPr="00F11001">
      <w:rPr>
        <w:noProof/>
      </w:rPr>
      <w:drawing>
        <wp:anchor distT="0" distB="0" distL="114300" distR="114300" simplePos="0" relativeHeight="251654144" behindDoc="0" locked="0" layoutInCell="1" allowOverlap="1" wp14:anchorId="5A0689D3" wp14:editId="3FCFD016">
          <wp:simplePos x="0" y="0"/>
          <wp:positionH relativeFrom="column">
            <wp:posOffset>-910590</wp:posOffset>
          </wp:positionH>
          <wp:positionV relativeFrom="paragraph">
            <wp:posOffset>-395923</wp:posOffset>
          </wp:positionV>
          <wp:extent cx="7560000" cy="1257903"/>
          <wp:effectExtent l="0" t="0" r="0" b="0"/>
          <wp:wrapThrough wrapText="bothSides">
            <wp:wrapPolygon edited="0">
              <wp:start x="0" y="0"/>
              <wp:lineTo x="0" y="21382"/>
              <wp:lineTo x="21555" y="21382"/>
              <wp:lineTo x="21555" y="0"/>
              <wp:lineTo x="0" y="0"/>
            </wp:wrapPolygon>
          </wp:wrapThrough>
          <wp:docPr id="1466602692" name="Picture 1466602692" descr="Australian Government and National Autism Strategy logos with the text: &quot;National Autism Strategy - Help shape the chang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602692" name="Picture 1466602692" descr="Australian Government and National Autism Strategy logos with the text: &quot;National Autism Strategy - Help shape the change.&quot;"/>
                  <pic:cNvPicPr/>
                </pic:nvPicPr>
                <pic:blipFill>
                  <a:blip r:embed="rId1">
                    <a:extLst>
                      <a:ext uri="{28A0092B-C50C-407E-A947-70E740481C1C}">
                        <a14:useLocalDpi xmlns:a14="http://schemas.microsoft.com/office/drawing/2010/main" val="0"/>
                      </a:ext>
                    </a:extLst>
                  </a:blip>
                  <a:stretch>
                    <a:fillRect/>
                  </a:stretch>
                </pic:blipFill>
                <pic:spPr>
                  <a:xfrm>
                    <a:off x="0" y="0"/>
                    <a:ext cx="7560000" cy="125790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5541"/>
    <w:multiLevelType w:val="multilevel"/>
    <w:tmpl w:val="C83C1DA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15:restartNumberingAfterBreak="0">
    <w:nsid w:val="02F23F70"/>
    <w:multiLevelType w:val="multilevel"/>
    <w:tmpl w:val="C298F14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A896132"/>
    <w:multiLevelType w:val="hybridMultilevel"/>
    <w:tmpl w:val="EC3C4DC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0ECB30C8"/>
    <w:multiLevelType w:val="multilevel"/>
    <w:tmpl w:val="52668176"/>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 w15:restartNumberingAfterBreak="0">
    <w:nsid w:val="182B6972"/>
    <w:multiLevelType w:val="multilevel"/>
    <w:tmpl w:val="118210FE"/>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9E46496"/>
    <w:multiLevelType w:val="multilevel"/>
    <w:tmpl w:val="347E449E"/>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15:restartNumberingAfterBreak="0">
    <w:nsid w:val="25056427"/>
    <w:multiLevelType w:val="hybridMultilevel"/>
    <w:tmpl w:val="DEF2662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5E57669"/>
    <w:multiLevelType w:val="multilevel"/>
    <w:tmpl w:val="C1F4517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48C160C2"/>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C0B0E9D"/>
    <w:multiLevelType w:val="multilevel"/>
    <w:tmpl w:val="958214F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60817A58"/>
    <w:multiLevelType w:val="multilevel"/>
    <w:tmpl w:val="96C0BE36"/>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 w15:restartNumberingAfterBreak="0">
    <w:nsid w:val="629425AC"/>
    <w:multiLevelType w:val="multilevel"/>
    <w:tmpl w:val="F932BDB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6E4C27B8"/>
    <w:multiLevelType w:val="multilevel"/>
    <w:tmpl w:val="06762DB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7B0C6068"/>
    <w:multiLevelType w:val="multilevel"/>
    <w:tmpl w:val="9B94236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7E991269"/>
    <w:multiLevelType w:val="hybridMultilevel"/>
    <w:tmpl w:val="F26A82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32739219">
    <w:abstractNumId w:val="8"/>
  </w:num>
  <w:num w:numId="2" w16cid:durableId="1695620173">
    <w:abstractNumId w:val="14"/>
  </w:num>
  <w:num w:numId="3" w16cid:durableId="1577202228">
    <w:abstractNumId w:val="6"/>
  </w:num>
  <w:num w:numId="4" w16cid:durableId="1131283177">
    <w:abstractNumId w:val="7"/>
  </w:num>
  <w:num w:numId="5" w16cid:durableId="2005358270">
    <w:abstractNumId w:val="12"/>
  </w:num>
  <w:num w:numId="6" w16cid:durableId="1888446815">
    <w:abstractNumId w:val="9"/>
  </w:num>
  <w:num w:numId="7" w16cid:durableId="1859348660">
    <w:abstractNumId w:val="0"/>
  </w:num>
  <w:num w:numId="8" w16cid:durableId="1925186556">
    <w:abstractNumId w:val="5"/>
  </w:num>
  <w:num w:numId="9" w16cid:durableId="1306472524">
    <w:abstractNumId w:val="10"/>
  </w:num>
  <w:num w:numId="10" w16cid:durableId="38362422">
    <w:abstractNumId w:val="3"/>
  </w:num>
  <w:num w:numId="11" w16cid:durableId="1266117633">
    <w:abstractNumId w:val="13"/>
  </w:num>
  <w:num w:numId="12" w16cid:durableId="995064978">
    <w:abstractNumId w:val="1"/>
  </w:num>
  <w:num w:numId="13" w16cid:durableId="1578517429">
    <w:abstractNumId w:val="2"/>
  </w:num>
  <w:num w:numId="14" w16cid:durableId="1707900604">
    <w:abstractNumId w:val="11"/>
  </w:num>
  <w:num w:numId="15" w16cid:durableId="287205667">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E0D"/>
    <w:rsid w:val="00002C0E"/>
    <w:rsid w:val="00005C0B"/>
    <w:rsid w:val="00006B4C"/>
    <w:rsid w:val="0000798A"/>
    <w:rsid w:val="0001275E"/>
    <w:rsid w:val="000163B1"/>
    <w:rsid w:val="00021574"/>
    <w:rsid w:val="000242C6"/>
    <w:rsid w:val="000318FA"/>
    <w:rsid w:val="00031AC1"/>
    <w:rsid w:val="00035AB8"/>
    <w:rsid w:val="000363BB"/>
    <w:rsid w:val="00041287"/>
    <w:rsid w:val="0004215E"/>
    <w:rsid w:val="00044FA8"/>
    <w:rsid w:val="00046AFA"/>
    <w:rsid w:val="000506D9"/>
    <w:rsid w:val="000508F3"/>
    <w:rsid w:val="00052BA4"/>
    <w:rsid w:val="00064CDD"/>
    <w:rsid w:val="000743B0"/>
    <w:rsid w:val="000770BF"/>
    <w:rsid w:val="000774A1"/>
    <w:rsid w:val="0008023B"/>
    <w:rsid w:val="000820C1"/>
    <w:rsid w:val="000855C8"/>
    <w:rsid w:val="0009608D"/>
    <w:rsid w:val="00096925"/>
    <w:rsid w:val="000B2D39"/>
    <w:rsid w:val="000B773D"/>
    <w:rsid w:val="000C350A"/>
    <w:rsid w:val="000C5558"/>
    <w:rsid w:val="000D1245"/>
    <w:rsid w:val="000D2973"/>
    <w:rsid w:val="000D5B8E"/>
    <w:rsid w:val="000F07E4"/>
    <w:rsid w:val="000F7ED6"/>
    <w:rsid w:val="001000BF"/>
    <w:rsid w:val="001007A6"/>
    <w:rsid w:val="001021E3"/>
    <w:rsid w:val="00110F3E"/>
    <w:rsid w:val="00116CE4"/>
    <w:rsid w:val="00122E8F"/>
    <w:rsid w:val="00126E39"/>
    <w:rsid w:val="00127795"/>
    <w:rsid w:val="001338EA"/>
    <w:rsid w:val="00135B6B"/>
    <w:rsid w:val="00136F87"/>
    <w:rsid w:val="00144316"/>
    <w:rsid w:val="001447BA"/>
    <w:rsid w:val="0014747D"/>
    <w:rsid w:val="0015127A"/>
    <w:rsid w:val="00154946"/>
    <w:rsid w:val="00160F6D"/>
    <w:rsid w:val="00162E14"/>
    <w:rsid w:val="001678F1"/>
    <w:rsid w:val="00171FA8"/>
    <w:rsid w:val="001823FB"/>
    <w:rsid w:val="00184E0D"/>
    <w:rsid w:val="001864EF"/>
    <w:rsid w:val="001915B9"/>
    <w:rsid w:val="00194896"/>
    <w:rsid w:val="001A14A5"/>
    <w:rsid w:val="001A2695"/>
    <w:rsid w:val="001A3330"/>
    <w:rsid w:val="001A658B"/>
    <w:rsid w:val="001A6CBA"/>
    <w:rsid w:val="001B5BC0"/>
    <w:rsid w:val="001B7B0F"/>
    <w:rsid w:val="001C45D7"/>
    <w:rsid w:val="001C6029"/>
    <w:rsid w:val="001C6316"/>
    <w:rsid w:val="001C7120"/>
    <w:rsid w:val="001C7C05"/>
    <w:rsid w:val="001D2AAA"/>
    <w:rsid w:val="001E0C01"/>
    <w:rsid w:val="001E5326"/>
    <w:rsid w:val="001F11DD"/>
    <w:rsid w:val="001F1FA2"/>
    <w:rsid w:val="001F63E1"/>
    <w:rsid w:val="00200475"/>
    <w:rsid w:val="00200984"/>
    <w:rsid w:val="00202B73"/>
    <w:rsid w:val="00204BA6"/>
    <w:rsid w:val="00205590"/>
    <w:rsid w:val="0021152B"/>
    <w:rsid w:val="00220011"/>
    <w:rsid w:val="002210CC"/>
    <w:rsid w:val="00224D0E"/>
    <w:rsid w:val="00225D26"/>
    <w:rsid w:val="00233B9E"/>
    <w:rsid w:val="00236764"/>
    <w:rsid w:val="00246D6A"/>
    <w:rsid w:val="00246EE2"/>
    <w:rsid w:val="0025062F"/>
    <w:rsid w:val="00265A10"/>
    <w:rsid w:val="00271C26"/>
    <w:rsid w:val="00273175"/>
    <w:rsid w:val="00276DD0"/>
    <w:rsid w:val="00281FFD"/>
    <w:rsid w:val="002853A5"/>
    <w:rsid w:val="0028631E"/>
    <w:rsid w:val="002961AA"/>
    <w:rsid w:val="002A47DE"/>
    <w:rsid w:val="002B0C65"/>
    <w:rsid w:val="002B1C2D"/>
    <w:rsid w:val="002B4131"/>
    <w:rsid w:val="002B7F72"/>
    <w:rsid w:val="002C02D6"/>
    <w:rsid w:val="002D3E72"/>
    <w:rsid w:val="002F0E0E"/>
    <w:rsid w:val="002F305D"/>
    <w:rsid w:val="002F355E"/>
    <w:rsid w:val="002F584C"/>
    <w:rsid w:val="00301C0A"/>
    <w:rsid w:val="003035EE"/>
    <w:rsid w:val="00305551"/>
    <w:rsid w:val="00315D6D"/>
    <w:rsid w:val="003166F6"/>
    <w:rsid w:val="00323709"/>
    <w:rsid w:val="00323A24"/>
    <w:rsid w:val="003350B2"/>
    <w:rsid w:val="003354E7"/>
    <w:rsid w:val="003418AC"/>
    <w:rsid w:val="003422F4"/>
    <w:rsid w:val="003550BD"/>
    <w:rsid w:val="00355D19"/>
    <w:rsid w:val="00361098"/>
    <w:rsid w:val="00361B82"/>
    <w:rsid w:val="00362FBC"/>
    <w:rsid w:val="00363869"/>
    <w:rsid w:val="003704C1"/>
    <w:rsid w:val="003748FE"/>
    <w:rsid w:val="00390D00"/>
    <w:rsid w:val="00393595"/>
    <w:rsid w:val="00394639"/>
    <w:rsid w:val="003A0EBF"/>
    <w:rsid w:val="003B1865"/>
    <w:rsid w:val="003C2562"/>
    <w:rsid w:val="003C2CB7"/>
    <w:rsid w:val="003C2E84"/>
    <w:rsid w:val="003C3A6D"/>
    <w:rsid w:val="003C635A"/>
    <w:rsid w:val="003D0126"/>
    <w:rsid w:val="003D0FD1"/>
    <w:rsid w:val="003D36D3"/>
    <w:rsid w:val="003E2D95"/>
    <w:rsid w:val="003E7D32"/>
    <w:rsid w:val="003F12E2"/>
    <w:rsid w:val="003F4C4E"/>
    <w:rsid w:val="003F61BB"/>
    <w:rsid w:val="003F6B75"/>
    <w:rsid w:val="00404710"/>
    <w:rsid w:val="00404DBF"/>
    <w:rsid w:val="004127BC"/>
    <w:rsid w:val="00412DBB"/>
    <w:rsid w:val="00416ACA"/>
    <w:rsid w:val="004250CA"/>
    <w:rsid w:val="00444B34"/>
    <w:rsid w:val="004654E1"/>
    <w:rsid w:val="00470832"/>
    <w:rsid w:val="0047530A"/>
    <w:rsid w:val="004853C0"/>
    <w:rsid w:val="00487873"/>
    <w:rsid w:val="00490C25"/>
    <w:rsid w:val="0049143A"/>
    <w:rsid w:val="00493EE8"/>
    <w:rsid w:val="004945CD"/>
    <w:rsid w:val="004A40B3"/>
    <w:rsid w:val="004B1915"/>
    <w:rsid w:val="004C1955"/>
    <w:rsid w:val="004C2959"/>
    <w:rsid w:val="004C3FF9"/>
    <w:rsid w:val="004D5929"/>
    <w:rsid w:val="004E0FDE"/>
    <w:rsid w:val="004E1629"/>
    <w:rsid w:val="004E3728"/>
    <w:rsid w:val="004E5168"/>
    <w:rsid w:val="004F4A18"/>
    <w:rsid w:val="004F5842"/>
    <w:rsid w:val="005017DC"/>
    <w:rsid w:val="00504222"/>
    <w:rsid w:val="00511C3F"/>
    <w:rsid w:val="00517ED0"/>
    <w:rsid w:val="00530464"/>
    <w:rsid w:val="005313B0"/>
    <w:rsid w:val="005320DB"/>
    <w:rsid w:val="00532D63"/>
    <w:rsid w:val="005367A3"/>
    <w:rsid w:val="00543689"/>
    <w:rsid w:val="00557DF5"/>
    <w:rsid w:val="005653D5"/>
    <w:rsid w:val="00566F16"/>
    <w:rsid w:val="00571E03"/>
    <w:rsid w:val="00583AED"/>
    <w:rsid w:val="005A19DD"/>
    <w:rsid w:val="005A65D3"/>
    <w:rsid w:val="005B25E6"/>
    <w:rsid w:val="005B396E"/>
    <w:rsid w:val="005B4348"/>
    <w:rsid w:val="005B5592"/>
    <w:rsid w:val="005B7064"/>
    <w:rsid w:val="005C0363"/>
    <w:rsid w:val="005C2EE8"/>
    <w:rsid w:val="005D5E37"/>
    <w:rsid w:val="005E3370"/>
    <w:rsid w:val="006168E4"/>
    <w:rsid w:val="00620EB0"/>
    <w:rsid w:val="00626A0F"/>
    <w:rsid w:val="006271EB"/>
    <w:rsid w:val="00630E6C"/>
    <w:rsid w:val="006340B3"/>
    <w:rsid w:val="0064584B"/>
    <w:rsid w:val="0065442F"/>
    <w:rsid w:val="00655468"/>
    <w:rsid w:val="006565D9"/>
    <w:rsid w:val="00661349"/>
    <w:rsid w:val="00665DAD"/>
    <w:rsid w:val="00672BE8"/>
    <w:rsid w:val="00674631"/>
    <w:rsid w:val="00674676"/>
    <w:rsid w:val="00681103"/>
    <w:rsid w:val="00693770"/>
    <w:rsid w:val="006940FF"/>
    <w:rsid w:val="006A354B"/>
    <w:rsid w:val="006C1392"/>
    <w:rsid w:val="006C6A83"/>
    <w:rsid w:val="006E0B02"/>
    <w:rsid w:val="006E3F7B"/>
    <w:rsid w:val="006E6A57"/>
    <w:rsid w:val="006F19CA"/>
    <w:rsid w:val="00701575"/>
    <w:rsid w:val="00703BD4"/>
    <w:rsid w:val="007040F9"/>
    <w:rsid w:val="007121D7"/>
    <w:rsid w:val="00716707"/>
    <w:rsid w:val="00720D0F"/>
    <w:rsid w:val="00722623"/>
    <w:rsid w:val="00723071"/>
    <w:rsid w:val="00731637"/>
    <w:rsid w:val="00735792"/>
    <w:rsid w:val="00750EDF"/>
    <w:rsid w:val="007631BB"/>
    <w:rsid w:val="00765D25"/>
    <w:rsid w:val="00765FF5"/>
    <w:rsid w:val="00766743"/>
    <w:rsid w:val="007730A3"/>
    <w:rsid w:val="007768CA"/>
    <w:rsid w:val="0078004A"/>
    <w:rsid w:val="00781BC2"/>
    <w:rsid w:val="00782648"/>
    <w:rsid w:val="007847A7"/>
    <w:rsid w:val="00787AF3"/>
    <w:rsid w:val="00792FED"/>
    <w:rsid w:val="00795354"/>
    <w:rsid w:val="0079790D"/>
    <w:rsid w:val="007A1A5C"/>
    <w:rsid w:val="007A2025"/>
    <w:rsid w:val="007A3093"/>
    <w:rsid w:val="007A429C"/>
    <w:rsid w:val="007B0247"/>
    <w:rsid w:val="007B076F"/>
    <w:rsid w:val="007B1B33"/>
    <w:rsid w:val="007B7B0A"/>
    <w:rsid w:val="007B7DBC"/>
    <w:rsid w:val="007C68F5"/>
    <w:rsid w:val="007D210C"/>
    <w:rsid w:val="007D3149"/>
    <w:rsid w:val="007D6557"/>
    <w:rsid w:val="007E3C55"/>
    <w:rsid w:val="007F2992"/>
    <w:rsid w:val="007F4F8E"/>
    <w:rsid w:val="007F740A"/>
    <w:rsid w:val="00802388"/>
    <w:rsid w:val="008029DA"/>
    <w:rsid w:val="00802DB1"/>
    <w:rsid w:val="0080658B"/>
    <w:rsid w:val="00806A98"/>
    <w:rsid w:val="00811358"/>
    <w:rsid w:val="00813761"/>
    <w:rsid w:val="00813C26"/>
    <w:rsid w:val="008231C1"/>
    <w:rsid w:val="008319A0"/>
    <w:rsid w:val="00834F6D"/>
    <w:rsid w:val="00837CD6"/>
    <w:rsid w:val="00840EEA"/>
    <w:rsid w:val="00843A8B"/>
    <w:rsid w:val="008461AC"/>
    <w:rsid w:val="0085513B"/>
    <w:rsid w:val="008631D9"/>
    <w:rsid w:val="00865F33"/>
    <w:rsid w:val="008670BC"/>
    <w:rsid w:val="0087135B"/>
    <w:rsid w:val="008806CE"/>
    <w:rsid w:val="0088503F"/>
    <w:rsid w:val="00890128"/>
    <w:rsid w:val="00895452"/>
    <w:rsid w:val="00895B92"/>
    <w:rsid w:val="008A1A33"/>
    <w:rsid w:val="008A6694"/>
    <w:rsid w:val="008B1FC1"/>
    <w:rsid w:val="008B3C6C"/>
    <w:rsid w:val="008B71C7"/>
    <w:rsid w:val="008C2BBD"/>
    <w:rsid w:val="008C3DB3"/>
    <w:rsid w:val="008C65F4"/>
    <w:rsid w:val="008D0A26"/>
    <w:rsid w:val="008D2F14"/>
    <w:rsid w:val="008D756D"/>
    <w:rsid w:val="008D7F8E"/>
    <w:rsid w:val="008F62B2"/>
    <w:rsid w:val="008F6E2E"/>
    <w:rsid w:val="00900036"/>
    <w:rsid w:val="00903D3F"/>
    <w:rsid w:val="0090485C"/>
    <w:rsid w:val="00912977"/>
    <w:rsid w:val="00921D81"/>
    <w:rsid w:val="0092605D"/>
    <w:rsid w:val="00926F4C"/>
    <w:rsid w:val="00953921"/>
    <w:rsid w:val="00955066"/>
    <w:rsid w:val="0095753A"/>
    <w:rsid w:val="00960703"/>
    <w:rsid w:val="009652BE"/>
    <w:rsid w:val="00965404"/>
    <w:rsid w:val="00970637"/>
    <w:rsid w:val="00975503"/>
    <w:rsid w:val="00977F49"/>
    <w:rsid w:val="009868C2"/>
    <w:rsid w:val="009873D0"/>
    <w:rsid w:val="009B0496"/>
    <w:rsid w:val="009C2B0E"/>
    <w:rsid w:val="009D246F"/>
    <w:rsid w:val="009D2F29"/>
    <w:rsid w:val="009D34C7"/>
    <w:rsid w:val="009D4BD3"/>
    <w:rsid w:val="009D6C1E"/>
    <w:rsid w:val="009E0F62"/>
    <w:rsid w:val="009F5C97"/>
    <w:rsid w:val="009F5E03"/>
    <w:rsid w:val="00A06575"/>
    <w:rsid w:val="00A10AB0"/>
    <w:rsid w:val="00A11B59"/>
    <w:rsid w:val="00A1456D"/>
    <w:rsid w:val="00A17009"/>
    <w:rsid w:val="00A216FF"/>
    <w:rsid w:val="00A22E7B"/>
    <w:rsid w:val="00A245F9"/>
    <w:rsid w:val="00A43262"/>
    <w:rsid w:val="00A46744"/>
    <w:rsid w:val="00A5337C"/>
    <w:rsid w:val="00A5648A"/>
    <w:rsid w:val="00A57BBF"/>
    <w:rsid w:val="00A61388"/>
    <w:rsid w:val="00A61F95"/>
    <w:rsid w:val="00A71EDE"/>
    <w:rsid w:val="00A75C83"/>
    <w:rsid w:val="00A80735"/>
    <w:rsid w:val="00A90565"/>
    <w:rsid w:val="00A91EDA"/>
    <w:rsid w:val="00A970C5"/>
    <w:rsid w:val="00AA3D4D"/>
    <w:rsid w:val="00AB45E1"/>
    <w:rsid w:val="00AD0E13"/>
    <w:rsid w:val="00AD2B65"/>
    <w:rsid w:val="00AD378F"/>
    <w:rsid w:val="00AD6D1C"/>
    <w:rsid w:val="00AE5341"/>
    <w:rsid w:val="00AF72FE"/>
    <w:rsid w:val="00B0152D"/>
    <w:rsid w:val="00B05436"/>
    <w:rsid w:val="00B0673D"/>
    <w:rsid w:val="00B2739F"/>
    <w:rsid w:val="00B3279E"/>
    <w:rsid w:val="00B37225"/>
    <w:rsid w:val="00B37EED"/>
    <w:rsid w:val="00B40283"/>
    <w:rsid w:val="00B46D48"/>
    <w:rsid w:val="00B47C92"/>
    <w:rsid w:val="00B5063F"/>
    <w:rsid w:val="00B55F30"/>
    <w:rsid w:val="00B61E70"/>
    <w:rsid w:val="00B64E52"/>
    <w:rsid w:val="00B67BD0"/>
    <w:rsid w:val="00B77457"/>
    <w:rsid w:val="00B800C3"/>
    <w:rsid w:val="00B8020B"/>
    <w:rsid w:val="00B839EE"/>
    <w:rsid w:val="00B86CB0"/>
    <w:rsid w:val="00B92046"/>
    <w:rsid w:val="00B9501E"/>
    <w:rsid w:val="00B950E6"/>
    <w:rsid w:val="00B968F8"/>
    <w:rsid w:val="00BA453F"/>
    <w:rsid w:val="00BB3E90"/>
    <w:rsid w:val="00BB5C85"/>
    <w:rsid w:val="00BC0B46"/>
    <w:rsid w:val="00BD2A02"/>
    <w:rsid w:val="00BD2D5A"/>
    <w:rsid w:val="00BD6545"/>
    <w:rsid w:val="00BE1588"/>
    <w:rsid w:val="00BE66BC"/>
    <w:rsid w:val="00BE7A98"/>
    <w:rsid w:val="00BF3D38"/>
    <w:rsid w:val="00BF6018"/>
    <w:rsid w:val="00C01632"/>
    <w:rsid w:val="00C033B3"/>
    <w:rsid w:val="00C03A93"/>
    <w:rsid w:val="00C04D1E"/>
    <w:rsid w:val="00C05CC2"/>
    <w:rsid w:val="00C05D2B"/>
    <w:rsid w:val="00C145AD"/>
    <w:rsid w:val="00C1471A"/>
    <w:rsid w:val="00C257E1"/>
    <w:rsid w:val="00C26B02"/>
    <w:rsid w:val="00C3185E"/>
    <w:rsid w:val="00C3395D"/>
    <w:rsid w:val="00C4024E"/>
    <w:rsid w:val="00C61E44"/>
    <w:rsid w:val="00C62604"/>
    <w:rsid w:val="00C6328D"/>
    <w:rsid w:val="00C63C8A"/>
    <w:rsid w:val="00C64616"/>
    <w:rsid w:val="00C64C9F"/>
    <w:rsid w:val="00C81C7A"/>
    <w:rsid w:val="00C82EC0"/>
    <w:rsid w:val="00C87E18"/>
    <w:rsid w:val="00C937C6"/>
    <w:rsid w:val="00C942CC"/>
    <w:rsid w:val="00C94650"/>
    <w:rsid w:val="00CA3DF0"/>
    <w:rsid w:val="00CA6616"/>
    <w:rsid w:val="00CA6CE6"/>
    <w:rsid w:val="00CB235A"/>
    <w:rsid w:val="00CB24AC"/>
    <w:rsid w:val="00CB3232"/>
    <w:rsid w:val="00CB5F72"/>
    <w:rsid w:val="00CC54A3"/>
    <w:rsid w:val="00CC6AC8"/>
    <w:rsid w:val="00CD0B93"/>
    <w:rsid w:val="00CD39F9"/>
    <w:rsid w:val="00CD4271"/>
    <w:rsid w:val="00CD5768"/>
    <w:rsid w:val="00CD72C5"/>
    <w:rsid w:val="00CE73E3"/>
    <w:rsid w:val="00D00FE1"/>
    <w:rsid w:val="00D03969"/>
    <w:rsid w:val="00D06436"/>
    <w:rsid w:val="00D157E7"/>
    <w:rsid w:val="00D162DB"/>
    <w:rsid w:val="00D17CC8"/>
    <w:rsid w:val="00D2012A"/>
    <w:rsid w:val="00D207B2"/>
    <w:rsid w:val="00D347B5"/>
    <w:rsid w:val="00D41098"/>
    <w:rsid w:val="00D44862"/>
    <w:rsid w:val="00D4709A"/>
    <w:rsid w:val="00D57FCB"/>
    <w:rsid w:val="00D6136A"/>
    <w:rsid w:val="00D65307"/>
    <w:rsid w:val="00D66D13"/>
    <w:rsid w:val="00D7201C"/>
    <w:rsid w:val="00D76EF4"/>
    <w:rsid w:val="00D814F1"/>
    <w:rsid w:val="00D850D8"/>
    <w:rsid w:val="00D85D6A"/>
    <w:rsid w:val="00D8693C"/>
    <w:rsid w:val="00D97114"/>
    <w:rsid w:val="00DA0508"/>
    <w:rsid w:val="00DA596D"/>
    <w:rsid w:val="00DA79E9"/>
    <w:rsid w:val="00DB26F0"/>
    <w:rsid w:val="00DB382C"/>
    <w:rsid w:val="00DB437C"/>
    <w:rsid w:val="00DB692E"/>
    <w:rsid w:val="00DC18F6"/>
    <w:rsid w:val="00DC2297"/>
    <w:rsid w:val="00DC74D0"/>
    <w:rsid w:val="00DD19A0"/>
    <w:rsid w:val="00DD27B9"/>
    <w:rsid w:val="00DD5304"/>
    <w:rsid w:val="00DE2B10"/>
    <w:rsid w:val="00DE338B"/>
    <w:rsid w:val="00DE3C48"/>
    <w:rsid w:val="00DE76B4"/>
    <w:rsid w:val="00DF3A5D"/>
    <w:rsid w:val="00DF5894"/>
    <w:rsid w:val="00E1067D"/>
    <w:rsid w:val="00E10B00"/>
    <w:rsid w:val="00E20105"/>
    <w:rsid w:val="00E25130"/>
    <w:rsid w:val="00E25B27"/>
    <w:rsid w:val="00E314B6"/>
    <w:rsid w:val="00E42002"/>
    <w:rsid w:val="00E43FF3"/>
    <w:rsid w:val="00E54AE4"/>
    <w:rsid w:val="00E56177"/>
    <w:rsid w:val="00E56FDD"/>
    <w:rsid w:val="00E62F45"/>
    <w:rsid w:val="00E63079"/>
    <w:rsid w:val="00E651EF"/>
    <w:rsid w:val="00E70737"/>
    <w:rsid w:val="00E70ED2"/>
    <w:rsid w:val="00E72FD5"/>
    <w:rsid w:val="00E739ED"/>
    <w:rsid w:val="00E7729D"/>
    <w:rsid w:val="00E8151E"/>
    <w:rsid w:val="00E82381"/>
    <w:rsid w:val="00E84AC1"/>
    <w:rsid w:val="00E922C9"/>
    <w:rsid w:val="00E93A8B"/>
    <w:rsid w:val="00E941A7"/>
    <w:rsid w:val="00E966F8"/>
    <w:rsid w:val="00E968EE"/>
    <w:rsid w:val="00E968F0"/>
    <w:rsid w:val="00EA05F9"/>
    <w:rsid w:val="00EA5679"/>
    <w:rsid w:val="00EB2D4D"/>
    <w:rsid w:val="00EB60F5"/>
    <w:rsid w:val="00EB66BB"/>
    <w:rsid w:val="00EC772A"/>
    <w:rsid w:val="00EE0BBC"/>
    <w:rsid w:val="00EE10B5"/>
    <w:rsid w:val="00F01690"/>
    <w:rsid w:val="00F063CA"/>
    <w:rsid w:val="00F11001"/>
    <w:rsid w:val="00F13529"/>
    <w:rsid w:val="00F17BAB"/>
    <w:rsid w:val="00F17E04"/>
    <w:rsid w:val="00F229BC"/>
    <w:rsid w:val="00F26D16"/>
    <w:rsid w:val="00F4085A"/>
    <w:rsid w:val="00F43C13"/>
    <w:rsid w:val="00F44B13"/>
    <w:rsid w:val="00F51EF6"/>
    <w:rsid w:val="00F57E0D"/>
    <w:rsid w:val="00F625BC"/>
    <w:rsid w:val="00F6383F"/>
    <w:rsid w:val="00F65D80"/>
    <w:rsid w:val="00F665AA"/>
    <w:rsid w:val="00F717C6"/>
    <w:rsid w:val="00F72A99"/>
    <w:rsid w:val="00F75139"/>
    <w:rsid w:val="00F815B5"/>
    <w:rsid w:val="00F84568"/>
    <w:rsid w:val="00F864F5"/>
    <w:rsid w:val="00F86EAD"/>
    <w:rsid w:val="00F91004"/>
    <w:rsid w:val="00FA4688"/>
    <w:rsid w:val="00FC13D0"/>
    <w:rsid w:val="00FC37FF"/>
    <w:rsid w:val="00FC6034"/>
    <w:rsid w:val="00FC6437"/>
    <w:rsid w:val="00FC7078"/>
    <w:rsid w:val="00FD1F6C"/>
    <w:rsid w:val="00FD5E4C"/>
    <w:rsid w:val="00FE13A8"/>
    <w:rsid w:val="00FE14C3"/>
    <w:rsid w:val="00FF66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3D30D"/>
  <w14:defaultImageDpi w14:val="330"/>
  <w15:chartTrackingRefBased/>
  <w15:docId w15:val="{82B22AF8-EAF1-4024-BCD3-BE8A5E6BF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2EC0"/>
    <w:pPr>
      <w:spacing w:after="120" w:line="276" w:lineRule="auto"/>
    </w:pPr>
    <w:rPr>
      <w:rFonts w:ascii="Cambria" w:hAnsi="Cambria" w:cs="Arial"/>
      <w:lang w:val="en-AU"/>
    </w:rPr>
  </w:style>
  <w:style w:type="paragraph" w:styleId="Heading1">
    <w:name w:val="heading 1"/>
    <w:basedOn w:val="Normal"/>
    <w:next w:val="Normal"/>
    <w:link w:val="Heading1Char"/>
    <w:uiPriority w:val="9"/>
    <w:qFormat/>
    <w:rsid w:val="00126E39"/>
    <w:pPr>
      <w:spacing w:before="240" w:after="60"/>
      <w:outlineLvl w:val="0"/>
    </w:pPr>
    <w:rPr>
      <w:b/>
      <w:color w:val="5F2A79" w:themeColor="accent1"/>
      <w:sz w:val="32"/>
      <w:szCs w:val="32"/>
    </w:rPr>
  </w:style>
  <w:style w:type="paragraph" w:styleId="Heading2">
    <w:name w:val="heading 2"/>
    <w:basedOn w:val="Heading1"/>
    <w:next w:val="Normal"/>
    <w:link w:val="Heading2Char"/>
    <w:uiPriority w:val="9"/>
    <w:unhideWhenUsed/>
    <w:qFormat/>
    <w:rsid w:val="00126E39"/>
    <w:pPr>
      <w:outlineLvl w:val="1"/>
    </w:pPr>
    <w:rPr>
      <w:color w:val="006D70" w:themeColor="accent2" w:themeShade="BF"/>
      <w:sz w:val="28"/>
      <w:szCs w:val="28"/>
    </w:rPr>
  </w:style>
  <w:style w:type="paragraph" w:styleId="Heading3">
    <w:name w:val="heading 3"/>
    <w:basedOn w:val="Normal"/>
    <w:next w:val="Normal"/>
    <w:link w:val="Heading3Char"/>
    <w:uiPriority w:val="9"/>
    <w:unhideWhenUsed/>
    <w:qFormat/>
    <w:rsid w:val="004A40B3"/>
    <w:pPr>
      <w:keepNext/>
      <w:keepLines/>
      <w:spacing w:before="120" w:after="60"/>
      <w:outlineLvl w:val="2"/>
    </w:pPr>
    <w:rPr>
      <w:rFonts w:eastAsiaTheme="majorEastAsia" w:cstheme="majorBidi"/>
      <w:b/>
      <w:bCs/>
      <w:color w:val="000000" w:themeColor="text1"/>
    </w:rPr>
  </w:style>
  <w:style w:type="paragraph" w:styleId="Heading4">
    <w:name w:val="heading 4"/>
    <w:basedOn w:val="Normal"/>
    <w:next w:val="Normal"/>
    <w:link w:val="Heading4Char"/>
    <w:uiPriority w:val="9"/>
    <w:unhideWhenUsed/>
    <w:qFormat/>
    <w:rsid w:val="004A40B3"/>
    <w:pPr>
      <w:keepNext/>
      <w:keepLines/>
      <w:spacing w:before="120" w:after="60"/>
      <w:outlineLvl w:val="3"/>
    </w:pPr>
    <w:rPr>
      <w:rFonts w:eastAsiaTheme="majorEastAsia"/>
      <w:i/>
      <w:iC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7F72"/>
    <w:rPr>
      <w:color w:val="3344DD" w:themeColor="hyperlink"/>
      <w:u w:val="single"/>
    </w:rPr>
  </w:style>
  <w:style w:type="paragraph" w:styleId="ListParagraph">
    <w:name w:val="List Paragraph"/>
    <w:aliases w:val="List Paragraph11,Recommendation,List Paragraph1,Bullet point,CV text,Dot pt,F5 List Paragraph,FooterText,L,List Paragraph111,List Paragraph2,Medium Grid 1 - Accent 21,NFP GP Bulleted List,Numbered Paragraph,Table text,numbered,列出段,列出段落"/>
    <w:basedOn w:val="Normal"/>
    <w:link w:val="ListParagraphChar"/>
    <w:uiPriority w:val="34"/>
    <w:qFormat/>
    <w:rsid w:val="006C1392"/>
    <w:pPr>
      <w:spacing w:after="200"/>
      <w:ind w:left="720"/>
      <w:contextualSpacing/>
    </w:pPr>
  </w:style>
  <w:style w:type="character" w:customStyle="1" w:styleId="ListParagraphChar">
    <w:name w:val="List Paragraph Char"/>
    <w:aliases w:val="List Paragraph11 Char,Recommendation Char,List Paragraph1 Char,Bullet point Char,CV text Char,Dot pt Char,F5 List Paragraph Char,FooterText Char,L Char,List Paragraph111 Char,List Paragraph2 Char,Medium Grid 1 - Accent 21 Char"/>
    <w:link w:val="ListParagraph"/>
    <w:qFormat/>
    <w:rsid w:val="006C1392"/>
    <w:rPr>
      <w:rFonts w:ascii="Arial" w:hAnsi="Arial"/>
      <w:sz w:val="22"/>
      <w:szCs w:val="22"/>
      <w:lang w:val="en-AU"/>
    </w:rPr>
  </w:style>
  <w:style w:type="character" w:styleId="CommentReference">
    <w:name w:val="annotation reference"/>
    <w:basedOn w:val="DefaultParagraphFont"/>
    <w:uiPriority w:val="99"/>
    <w:semiHidden/>
    <w:unhideWhenUsed/>
    <w:rsid w:val="006C1392"/>
    <w:rPr>
      <w:sz w:val="16"/>
      <w:szCs w:val="16"/>
    </w:rPr>
  </w:style>
  <w:style w:type="paragraph" w:styleId="CommentText">
    <w:name w:val="annotation text"/>
    <w:basedOn w:val="Normal"/>
    <w:link w:val="CommentTextChar"/>
    <w:uiPriority w:val="99"/>
    <w:unhideWhenUsed/>
    <w:rsid w:val="006C1392"/>
    <w:rPr>
      <w:sz w:val="20"/>
      <w:szCs w:val="20"/>
    </w:rPr>
  </w:style>
  <w:style w:type="character" w:customStyle="1" w:styleId="CommentTextChar">
    <w:name w:val="Comment Text Char"/>
    <w:basedOn w:val="DefaultParagraphFont"/>
    <w:link w:val="CommentText"/>
    <w:uiPriority w:val="99"/>
    <w:rsid w:val="006C1392"/>
    <w:rPr>
      <w:sz w:val="20"/>
      <w:szCs w:val="20"/>
    </w:rPr>
  </w:style>
  <w:style w:type="paragraph" w:styleId="CommentSubject">
    <w:name w:val="annotation subject"/>
    <w:basedOn w:val="CommentText"/>
    <w:next w:val="CommentText"/>
    <w:link w:val="CommentSubjectChar"/>
    <w:uiPriority w:val="99"/>
    <w:semiHidden/>
    <w:unhideWhenUsed/>
    <w:rsid w:val="006C1392"/>
    <w:rPr>
      <w:b/>
      <w:bCs/>
    </w:rPr>
  </w:style>
  <w:style w:type="character" w:customStyle="1" w:styleId="CommentSubjectChar">
    <w:name w:val="Comment Subject Char"/>
    <w:basedOn w:val="CommentTextChar"/>
    <w:link w:val="CommentSubject"/>
    <w:uiPriority w:val="99"/>
    <w:semiHidden/>
    <w:rsid w:val="006C1392"/>
    <w:rPr>
      <w:b/>
      <w:bCs/>
      <w:sz w:val="20"/>
      <w:szCs w:val="20"/>
    </w:rPr>
  </w:style>
  <w:style w:type="paragraph" w:styleId="BalloonText">
    <w:name w:val="Balloon Text"/>
    <w:basedOn w:val="Normal"/>
    <w:link w:val="BalloonTextChar"/>
    <w:uiPriority w:val="99"/>
    <w:semiHidden/>
    <w:unhideWhenUsed/>
    <w:rsid w:val="006C139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C1392"/>
    <w:rPr>
      <w:rFonts w:ascii="Times New Roman" w:hAnsi="Times New Roman" w:cs="Times New Roman"/>
      <w:sz w:val="18"/>
      <w:szCs w:val="18"/>
    </w:rPr>
  </w:style>
  <w:style w:type="character" w:customStyle="1" w:styleId="Heading1Char">
    <w:name w:val="Heading 1 Char"/>
    <w:basedOn w:val="DefaultParagraphFont"/>
    <w:link w:val="Heading1"/>
    <w:uiPriority w:val="9"/>
    <w:rsid w:val="00126E39"/>
    <w:rPr>
      <w:rFonts w:ascii="Cambria" w:hAnsi="Cambria" w:cs="Arial"/>
      <w:b/>
      <w:color w:val="5F2A79" w:themeColor="accent1"/>
      <w:sz w:val="32"/>
      <w:szCs w:val="32"/>
      <w:lang w:val="en-AU"/>
    </w:rPr>
  </w:style>
  <w:style w:type="character" w:styleId="Strong">
    <w:name w:val="Strong"/>
    <w:uiPriority w:val="22"/>
    <w:qFormat/>
    <w:rsid w:val="000F7ED6"/>
    <w:rPr>
      <w:rFonts w:ascii="Arial" w:hAnsi="Arial"/>
      <w:b/>
      <w:bCs/>
    </w:rPr>
  </w:style>
  <w:style w:type="paragraph" w:styleId="Revision">
    <w:name w:val="Revision"/>
    <w:hidden/>
    <w:uiPriority w:val="99"/>
    <w:semiHidden/>
    <w:rsid w:val="00200475"/>
  </w:style>
  <w:style w:type="paragraph" w:styleId="Subtitle">
    <w:name w:val="Subtitle"/>
    <w:basedOn w:val="Normal"/>
    <w:next w:val="Normal"/>
    <w:link w:val="SubtitleChar"/>
    <w:rsid w:val="00C145AD"/>
    <w:pPr>
      <w:spacing w:before="200"/>
    </w:pPr>
    <w:rPr>
      <w:rFonts w:eastAsia="PT Sans Narrow" w:cs="PT Sans Narrow"/>
      <w:color w:val="000000"/>
      <w:sz w:val="28"/>
      <w:szCs w:val="28"/>
      <w:lang w:val="en" w:eastAsia="en-AU"/>
    </w:rPr>
  </w:style>
  <w:style w:type="character" w:customStyle="1" w:styleId="SubtitleChar">
    <w:name w:val="Subtitle Char"/>
    <w:basedOn w:val="DefaultParagraphFont"/>
    <w:link w:val="Subtitle"/>
    <w:rsid w:val="00C145AD"/>
    <w:rPr>
      <w:rFonts w:ascii="Cambria" w:eastAsia="PT Sans Narrow" w:hAnsi="Cambria" w:cs="PT Sans Narrow"/>
      <w:color w:val="000000"/>
      <w:sz w:val="28"/>
      <w:szCs w:val="28"/>
      <w:lang w:val="en" w:eastAsia="en-AU"/>
    </w:rPr>
  </w:style>
  <w:style w:type="paragraph" w:styleId="Header">
    <w:name w:val="header"/>
    <w:basedOn w:val="Normal"/>
    <w:link w:val="HeaderChar"/>
    <w:uiPriority w:val="99"/>
    <w:unhideWhenUsed/>
    <w:rsid w:val="00D76EF4"/>
    <w:pPr>
      <w:tabs>
        <w:tab w:val="center" w:pos="4680"/>
        <w:tab w:val="right" w:pos="9360"/>
      </w:tabs>
    </w:pPr>
  </w:style>
  <w:style w:type="character" w:customStyle="1" w:styleId="HeaderChar">
    <w:name w:val="Header Char"/>
    <w:basedOn w:val="DefaultParagraphFont"/>
    <w:link w:val="Header"/>
    <w:uiPriority w:val="99"/>
    <w:rsid w:val="00D76EF4"/>
  </w:style>
  <w:style w:type="paragraph" w:styleId="Footer">
    <w:name w:val="footer"/>
    <w:basedOn w:val="Normal"/>
    <w:link w:val="FooterChar"/>
    <w:uiPriority w:val="99"/>
    <w:unhideWhenUsed/>
    <w:rsid w:val="00DB26F0"/>
    <w:pPr>
      <w:tabs>
        <w:tab w:val="center" w:pos="4680"/>
        <w:tab w:val="right" w:pos="9360"/>
      </w:tabs>
    </w:pPr>
    <w:rPr>
      <w:sz w:val="21"/>
      <w:szCs w:val="21"/>
    </w:rPr>
  </w:style>
  <w:style w:type="character" w:customStyle="1" w:styleId="FooterChar">
    <w:name w:val="Footer Char"/>
    <w:basedOn w:val="DefaultParagraphFont"/>
    <w:link w:val="Footer"/>
    <w:uiPriority w:val="99"/>
    <w:rsid w:val="00DB26F0"/>
    <w:rPr>
      <w:rFonts w:ascii="Cambria" w:hAnsi="Cambria" w:cs="Arial"/>
      <w:sz w:val="21"/>
      <w:szCs w:val="21"/>
      <w:lang w:val="en-AU"/>
    </w:rPr>
  </w:style>
  <w:style w:type="paragraph" w:styleId="Title">
    <w:name w:val="Title"/>
    <w:basedOn w:val="Normal"/>
    <w:next w:val="Normal"/>
    <w:link w:val="TitleChar"/>
    <w:uiPriority w:val="10"/>
    <w:qFormat/>
    <w:rsid w:val="00126E39"/>
    <w:rPr>
      <w:rFonts w:cs="Times New Roman"/>
      <w:color w:val="5F2A79" w:themeColor="accent1"/>
      <w:sz w:val="44"/>
      <w:szCs w:val="40"/>
    </w:rPr>
  </w:style>
  <w:style w:type="character" w:customStyle="1" w:styleId="TitleChar">
    <w:name w:val="Title Char"/>
    <w:basedOn w:val="DefaultParagraphFont"/>
    <w:link w:val="Title"/>
    <w:uiPriority w:val="10"/>
    <w:rsid w:val="00126E39"/>
    <w:rPr>
      <w:rFonts w:ascii="Cambria" w:hAnsi="Cambria" w:cs="Times New Roman"/>
      <w:color w:val="5F2A79" w:themeColor="accent1"/>
      <w:sz w:val="44"/>
      <w:szCs w:val="40"/>
      <w:lang w:val="en-AU"/>
    </w:rPr>
  </w:style>
  <w:style w:type="character" w:customStyle="1" w:styleId="Heading2Char">
    <w:name w:val="Heading 2 Char"/>
    <w:basedOn w:val="DefaultParagraphFont"/>
    <w:link w:val="Heading2"/>
    <w:uiPriority w:val="9"/>
    <w:rsid w:val="00126E39"/>
    <w:rPr>
      <w:rFonts w:ascii="Cambria" w:hAnsi="Cambria" w:cs="Arial"/>
      <w:b/>
      <w:color w:val="006D70" w:themeColor="accent2" w:themeShade="BF"/>
      <w:sz w:val="28"/>
      <w:szCs w:val="28"/>
      <w:lang w:val="en-AU"/>
    </w:rPr>
  </w:style>
  <w:style w:type="character" w:customStyle="1" w:styleId="Heading3Char">
    <w:name w:val="Heading 3 Char"/>
    <w:basedOn w:val="DefaultParagraphFont"/>
    <w:link w:val="Heading3"/>
    <w:uiPriority w:val="9"/>
    <w:rsid w:val="004A40B3"/>
    <w:rPr>
      <w:rFonts w:ascii="Cambria" w:eastAsiaTheme="majorEastAsia" w:hAnsi="Cambria" w:cstheme="majorBidi"/>
      <w:b/>
      <w:bCs/>
      <w:color w:val="000000" w:themeColor="text1"/>
      <w:lang w:val="en-AU"/>
    </w:rPr>
  </w:style>
  <w:style w:type="character" w:styleId="PageNumber">
    <w:name w:val="page number"/>
    <w:basedOn w:val="DefaultParagraphFont"/>
    <w:uiPriority w:val="99"/>
    <w:semiHidden/>
    <w:unhideWhenUsed/>
    <w:rsid w:val="0001275E"/>
    <w:rPr>
      <w:rFonts w:ascii="Times New Roman" w:hAnsi="Times New Roman"/>
    </w:rPr>
  </w:style>
  <w:style w:type="character" w:styleId="IntenseEmphasis">
    <w:name w:val="Intense Emphasis"/>
    <w:basedOn w:val="DefaultParagraphFont"/>
    <w:uiPriority w:val="21"/>
    <w:qFormat/>
    <w:rsid w:val="000F7ED6"/>
    <w:rPr>
      <w:i/>
      <w:iCs/>
      <w:color w:val="5F2A79" w:themeColor="accent1"/>
    </w:rPr>
  </w:style>
  <w:style w:type="character" w:styleId="Emphasis">
    <w:name w:val="Emphasis"/>
    <w:basedOn w:val="DefaultParagraphFont"/>
    <w:uiPriority w:val="20"/>
    <w:qFormat/>
    <w:rsid w:val="000F7ED6"/>
    <w:rPr>
      <w:i/>
      <w:iCs/>
    </w:rPr>
  </w:style>
  <w:style w:type="character" w:styleId="SubtleEmphasis">
    <w:name w:val="Subtle Emphasis"/>
    <w:basedOn w:val="DefaultParagraphFont"/>
    <w:uiPriority w:val="19"/>
    <w:qFormat/>
    <w:rsid w:val="000F7ED6"/>
    <w:rPr>
      <w:i/>
      <w:iCs/>
      <w:color w:val="404040" w:themeColor="text1" w:themeTint="BF"/>
    </w:rPr>
  </w:style>
  <w:style w:type="character" w:customStyle="1" w:styleId="Heading4Char">
    <w:name w:val="Heading 4 Char"/>
    <w:basedOn w:val="DefaultParagraphFont"/>
    <w:link w:val="Heading4"/>
    <w:uiPriority w:val="9"/>
    <w:rsid w:val="004A40B3"/>
    <w:rPr>
      <w:rFonts w:ascii="Cambria" w:eastAsiaTheme="majorEastAsia" w:hAnsi="Cambria" w:cs="Arial"/>
      <w:i/>
      <w:iCs/>
      <w:color w:val="595959" w:themeColor="text1" w:themeTint="A6"/>
      <w:lang w:val="en-AU"/>
    </w:rPr>
  </w:style>
  <w:style w:type="numbering" w:customStyle="1" w:styleId="CurrentList1">
    <w:name w:val="Current List1"/>
    <w:uiPriority w:val="99"/>
    <w:rsid w:val="000F7ED6"/>
    <w:pPr>
      <w:numPr>
        <w:numId w:val="1"/>
      </w:numPr>
    </w:pPr>
  </w:style>
  <w:style w:type="table" w:styleId="TableGrid">
    <w:name w:val="Table Grid"/>
    <w:basedOn w:val="TableNormal"/>
    <w:uiPriority w:val="59"/>
    <w:rsid w:val="000421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04215E"/>
    <w:tblPr>
      <w:tblStyleRowBandSize w:val="1"/>
      <w:tblStyleColBandSize w:val="1"/>
      <w:tblBorders>
        <w:top w:val="single" w:sz="4" w:space="0" w:color="C497DB" w:themeColor="accent1" w:themeTint="66"/>
        <w:left w:val="single" w:sz="4" w:space="0" w:color="C497DB" w:themeColor="accent1" w:themeTint="66"/>
        <w:bottom w:val="single" w:sz="4" w:space="0" w:color="C497DB" w:themeColor="accent1" w:themeTint="66"/>
        <w:right w:val="single" w:sz="4" w:space="0" w:color="C497DB" w:themeColor="accent1" w:themeTint="66"/>
        <w:insideH w:val="single" w:sz="4" w:space="0" w:color="C497DB" w:themeColor="accent1" w:themeTint="66"/>
        <w:insideV w:val="single" w:sz="4" w:space="0" w:color="C497DB" w:themeColor="accent1" w:themeTint="66"/>
      </w:tblBorders>
    </w:tblPr>
    <w:tblStylePr w:type="firstRow">
      <w:rPr>
        <w:b/>
        <w:bCs/>
      </w:rPr>
      <w:tblPr/>
      <w:tcPr>
        <w:tcBorders>
          <w:bottom w:val="single" w:sz="12" w:space="0" w:color="A864C9" w:themeColor="accent1" w:themeTint="99"/>
        </w:tcBorders>
      </w:tcPr>
    </w:tblStylePr>
    <w:tblStylePr w:type="lastRow">
      <w:rPr>
        <w:b/>
        <w:bCs/>
      </w:rPr>
      <w:tblPr/>
      <w:tcPr>
        <w:tcBorders>
          <w:top w:val="double" w:sz="2" w:space="0" w:color="A864C9" w:themeColor="accent1"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4215E"/>
    <w:tblPr>
      <w:tblStyleRowBandSize w:val="1"/>
      <w:tblStyleColBandSize w:val="1"/>
      <w:tblBorders>
        <w:top w:val="single" w:sz="4" w:space="0" w:color="F5BEB4" w:themeColor="accent3" w:themeTint="66"/>
        <w:left w:val="single" w:sz="4" w:space="0" w:color="F5BEB4" w:themeColor="accent3" w:themeTint="66"/>
        <w:bottom w:val="single" w:sz="4" w:space="0" w:color="F5BEB4" w:themeColor="accent3" w:themeTint="66"/>
        <w:right w:val="single" w:sz="4" w:space="0" w:color="F5BEB4" w:themeColor="accent3" w:themeTint="66"/>
        <w:insideH w:val="single" w:sz="4" w:space="0" w:color="F5BEB4" w:themeColor="accent3" w:themeTint="66"/>
        <w:insideV w:val="single" w:sz="4" w:space="0" w:color="F5BEB4" w:themeColor="accent3" w:themeTint="66"/>
      </w:tblBorders>
    </w:tblPr>
    <w:tblStylePr w:type="firstRow">
      <w:rPr>
        <w:b/>
        <w:bCs/>
      </w:rPr>
      <w:tblPr/>
      <w:tcPr>
        <w:tcBorders>
          <w:bottom w:val="single" w:sz="12" w:space="0" w:color="F09E8F" w:themeColor="accent3" w:themeTint="99"/>
        </w:tcBorders>
      </w:tcPr>
    </w:tblStylePr>
    <w:tblStylePr w:type="lastRow">
      <w:rPr>
        <w:b/>
        <w:bCs/>
      </w:rPr>
      <w:tblPr/>
      <w:tcPr>
        <w:tcBorders>
          <w:top w:val="double" w:sz="2" w:space="0" w:color="F09E8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4215E"/>
    <w:tblPr>
      <w:tblStyleRowBandSize w:val="1"/>
      <w:tblStyleColBandSize w:val="1"/>
      <w:tblBorders>
        <w:top w:val="single" w:sz="4" w:space="0" w:color="FCD9A3" w:themeColor="accent4" w:themeTint="66"/>
        <w:left w:val="single" w:sz="4" w:space="0" w:color="FCD9A3" w:themeColor="accent4" w:themeTint="66"/>
        <w:bottom w:val="single" w:sz="4" w:space="0" w:color="FCD9A3" w:themeColor="accent4" w:themeTint="66"/>
        <w:right w:val="single" w:sz="4" w:space="0" w:color="FCD9A3" w:themeColor="accent4" w:themeTint="66"/>
        <w:insideH w:val="single" w:sz="4" w:space="0" w:color="FCD9A3" w:themeColor="accent4" w:themeTint="66"/>
        <w:insideV w:val="single" w:sz="4" w:space="0" w:color="FCD9A3" w:themeColor="accent4" w:themeTint="66"/>
      </w:tblBorders>
    </w:tblPr>
    <w:tblStylePr w:type="firstRow">
      <w:rPr>
        <w:b/>
        <w:bCs/>
      </w:rPr>
      <w:tblPr/>
      <w:tcPr>
        <w:tcBorders>
          <w:bottom w:val="single" w:sz="12" w:space="0" w:color="FAC775" w:themeColor="accent4" w:themeTint="99"/>
        </w:tcBorders>
      </w:tcPr>
    </w:tblStylePr>
    <w:tblStylePr w:type="lastRow">
      <w:rPr>
        <w:b/>
        <w:bCs/>
      </w:rPr>
      <w:tblPr/>
      <w:tcPr>
        <w:tcBorders>
          <w:top w:val="double" w:sz="2" w:space="0" w:color="FAC77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4215E"/>
    <w:tblPr>
      <w:tblStyleRowBandSize w:val="1"/>
      <w:tblStyleColBandSize w:val="1"/>
      <w:tblBorders>
        <w:top w:val="single" w:sz="4" w:space="0" w:color="C4EAEA" w:themeColor="accent5" w:themeTint="66"/>
        <w:left w:val="single" w:sz="4" w:space="0" w:color="C4EAEA" w:themeColor="accent5" w:themeTint="66"/>
        <w:bottom w:val="single" w:sz="4" w:space="0" w:color="C4EAEA" w:themeColor="accent5" w:themeTint="66"/>
        <w:right w:val="single" w:sz="4" w:space="0" w:color="C4EAEA" w:themeColor="accent5" w:themeTint="66"/>
        <w:insideH w:val="single" w:sz="4" w:space="0" w:color="C4EAEA" w:themeColor="accent5" w:themeTint="66"/>
        <w:insideV w:val="single" w:sz="4" w:space="0" w:color="C4EAEA" w:themeColor="accent5" w:themeTint="66"/>
      </w:tblBorders>
    </w:tblPr>
    <w:tblStylePr w:type="firstRow">
      <w:rPr>
        <w:b/>
        <w:bCs/>
      </w:rPr>
      <w:tblPr/>
      <w:tcPr>
        <w:tcBorders>
          <w:bottom w:val="single" w:sz="12" w:space="0" w:color="A7E0E0" w:themeColor="accent5" w:themeTint="99"/>
        </w:tcBorders>
      </w:tcPr>
    </w:tblStylePr>
    <w:tblStylePr w:type="lastRow">
      <w:rPr>
        <w:b/>
        <w:bCs/>
      </w:rPr>
      <w:tblPr/>
      <w:tcPr>
        <w:tcBorders>
          <w:top w:val="double" w:sz="2" w:space="0" w:color="A7E0E0" w:themeColor="accent5" w:themeTint="99"/>
        </w:tcBorders>
      </w:tcPr>
    </w:tblStylePr>
    <w:tblStylePr w:type="firstCol">
      <w:rPr>
        <w:b/>
        <w:bCs/>
      </w:rPr>
    </w:tblStylePr>
    <w:tblStylePr w:type="lastCol">
      <w:rPr>
        <w:b/>
        <w:bCs/>
      </w:rPr>
    </w:tblStylePr>
  </w:style>
  <w:style w:type="table" w:styleId="GridTable4-Accent2">
    <w:name w:val="Grid Table 4 Accent 2"/>
    <w:basedOn w:val="TableNormal"/>
    <w:uiPriority w:val="49"/>
    <w:rsid w:val="0004215E"/>
    <w:tblPr>
      <w:tblStyleRowBandSize w:val="1"/>
      <w:tblStyleColBandSize w:val="1"/>
      <w:tblBorders>
        <w:top w:val="single" w:sz="4" w:space="0" w:color="27F9FF" w:themeColor="accent2" w:themeTint="99"/>
        <w:left w:val="single" w:sz="4" w:space="0" w:color="27F9FF" w:themeColor="accent2" w:themeTint="99"/>
        <w:bottom w:val="single" w:sz="4" w:space="0" w:color="27F9FF" w:themeColor="accent2" w:themeTint="99"/>
        <w:right w:val="single" w:sz="4" w:space="0" w:color="27F9FF" w:themeColor="accent2" w:themeTint="99"/>
        <w:insideH w:val="single" w:sz="4" w:space="0" w:color="27F9FF" w:themeColor="accent2" w:themeTint="99"/>
        <w:insideV w:val="single" w:sz="4" w:space="0" w:color="27F9FF" w:themeColor="accent2" w:themeTint="99"/>
      </w:tblBorders>
    </w:tblPr>
    <w:tblStylePr w:type="firstRow">
      <w:rPr>
        <w:b/>
        <w:bCs/>
        <w:color w:val="FFFFFF" w:themeColor="background1"/>
      </w:rPr>
      <w:tblPr/>
      <w:tcPr>
        <w:tcBorders>
          <w:top w:val="single" w:sz="4" w:space="0" w:color="009396" w:themeColor="accent2"/>
          <w:left w:val="single" w:sz="4" w:space="0" w:color="009396" w:themeColor="accent2"/>
          <w:bottom w:val="single" w:sz="4" w:space="0" w:color="009396" w:themeColor="accent2"/>
          <w:right w:val="single" w:sz="4" w:space="0" w:color="009396" w:themeColor="accent2"/>
          <w:insideH w:val="nil"/>
          <w:insideV w:val="nil"/>
        </w:tcBorders>
        <w:shd w:val="clear" w:color="auto" w:fill="009396" w:themeFill="accent2"/>
      </w:tcPr>
    </w:tblStylePr>
    <w:tblStylePr w:type="lastRow">
      <w:rPr>
        <w:b/>
        <w:bCs/>
      </w:rPr>
      <w:tblPr/>
      <w:tcPr>
        <w:tcBorders>
          <w:top w:val="double" w:sz="4" w:space="0" w:color="009396" w:themeColor="accent2"/>
        </w:tcBorders>
      </w:tcPr>
    </w:tblStylePr>
    <w:tblStylePr w:type="firstCol">
      <w:rPr>
        <w:b/>
        <w:bCs/>
      </w:rPr>
    </w:tblStylePr>
    <w:tblStylePr w:type="lastCol">
      <w:rPr>
        <w:b/>
        <w:bCs/>
      </w:rPr>
    </w:tblStylePr>
    <w:tblStylePr w:type="band1Vert">
      <w:tblPr/>
      <w:tcPr>
        <w:shd w:val="clear" w:color="auto" w:fill="B7FDFF" w:themeFill="accent2" w:themeFillTint="33"/>
      </w:tcPr>
    </w:tblStylePr>
    <w:tblStylePr w:type="band1Horz">
      <w:tblPr/>
      <w:tcPr>
        <w:shd w:val="clear" w:color="auto" w:fill="B7FDFF" w:themeFill="accent2" w:themeFillTint="33"/>
      </w:tcPr>
    </w:tblStylePr>
  </w:style>
  <w:style w:type="table" w:styleId="GridTable4-Accent1">
    <w:name w:val="Grid Table 4 Accent 1"/>
    <w:basedOn w:val="TableNormal"/>
    <w:uiPriority w:val="49"/>
    <w:rsid w:val="0004215E"/>
    <w:tblPr>
      <w:tblStyleRowBandSize w:val="1"/>
      <w:tblStyleColBandSize w:val="1"/>
      <w:tblBorders>
        <w:top w:val="single" w:sz="4" w:space="0" w:color="A864C9" w:themeColor="accent1" w:themeTint="99"/>
        <w:left w:val="single" w:sz="4" w:space="0" w:color="A864C9" w:themeColor="accent1" w:themeTint="99"/>
        <w:bottom w:val="single" w:sz="4" w:space="0" w:color="A864C9" w:themeColor="accent1" w:themeTint="99"/>
        <w:right w:val="single" w:sz="4" w:space="0" w:color="A864C9" w:themeColor="accent1" w:themeTint="99"/>
        <w:insideH w:val="single" w:sz="4" w:space="0" w:color="A864C9" w:themeColor="accent1" w:themeTint="99"/>
        <w:insideV w:val="single" w:sz="4" w:space="0" w:color="A864C9" w:themeColor="accent1" w:themeTint="99"/>
      </w:tblBorders>
    </w:tblPr>
    <w:tblStylePr w:type="firstRow">
      <w:rPr>
        <w:b/>
        <w:bCs/>
        <w:color w:val="FFFFFF" w:themeColor="background1"/>
      </w:rPr>
      <w:tblPr/>
      <w:tcPr>
        <w:tcBorders>
          <w:top w:val="single" w:sz="4" w:space="0" w:color="5F2A79" w:themeColor="accent1"/>
          <w:left w:val="single" w:sz="4" w:space="0" w:color="5F2A79" w:themeColor="accent1"/>
          <w:bottom w:val="single" w:sz="4" w:space="0" w:color="5F2A79" w:themeColor="accent1"/>
          <w:right w:val="single" w:sz="4" w:space="0" w:color="5F2A79" w:themeColor="accent1"/>
          <w:insideH w:val="nil"/>
          <w:insideV w:val="nil"/>
        </w:tcBorders>
        <w:shd w:val="clear" w:color="auto" w:fill="5F2A79" w:themeFill="accent1"/>
      </w:tcPr>
    </w:tblStylePr>
    <w:tblStylePr w:type="lastRow">
      <w:rPr>
        <w:b/>
        <w:bCs/>
      </w:rPr>
      <w:tblPr/>
      <w:tcPr>
        <w:tcBorders>
          <w:top w:val="double" w:sz="4" w:space="0" w:color="5F2A79" w:themeColor="accent1"/>
        </w:tcBorders>
      </w:tcPr>
    </w:tblStylePr>
    <w:tblStylePr w:type="firstCol">
      <w:rPr>
        <w:b/>
        <w:bCs/>
      </w:rPr>
    </w:tblStylePr>
    <w:tblStylePr w:type="lastCol">
      <w:rPr>
        <w:b/>
        <w:bCs/>
      </w:rPr>
    </w:tblStylePr>
    <w:tblStylePr w:type="band1Vert">
      <w:tblPr/>
      <w:tcPr>
        <w:shd w:val="clear" w:color="auto" w:fill="E1CBED" w:themeFill="accent1" w:themeFillTint="33"/>
      </w:tcPr>
    </w:tblStylePr>
    <w:tblStylePr w:type="band1Horz">
      <w:tblPr/>
      <w:tcPr>
        <w:shd w:val="clear" w:color="auto" w:fill="E1CBED" w:themeFill="accent1" w:themeFillTint="33"/>
      </w:tcPr>
    </w:tblStylePr>
  </w:style>
  <w:style w:type="character" w:customStyle="1" w:styleId="ui-provider">
    <w:name w:val="ui-provider"/>
    <w:basedOn w:val="DefaultParagraphFont"/>
    <w:rsid w:val="00E7729D"/>
  </w:style>
  <w:style w:type="character" w:styleId="UnresolvedMention">
    <w:name w:val="Unresolved Mention"/>
    <w:basedOn w:val="DefaultParagraphFont"/>
    <w:uiPriority w:val="99"/>
    <w:semiHidden/>
    <w:unhideWhenUsed/>
    <w:rsid w:val="00C26B02"/>
    <w:rPr>
      <w:color w:val="605E5C"/>
      <w:shd w:val="clear" w:color="auto" w:fill="E1DFDD"/>
    </w:rPr>
  </w:style>
  <w:style w:type="character" w:styleId="FollowedHyperlink">
    <w:name w:val="FollowedHyperlink"/>
    <w:basedOn w:val="DefaultParagraphFont"/>
    <w:uiPriority w:val="99"/>
    <w:semiHidden/>
    <w:unhideWhenUsed/>
    <w:rsid w:val="00D03969"/>
    <w:rPr>
      <w:color w:val="8041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525492">
      <w:bodyDiv w:val="1"/>
      <w:marLeft w:val="0"/>
      <w:marRight w:val="0"/>
      <w:marTop w:val="0"/>
      <w:marBottom w:val="0"/>
      <w:divBdr>
        <w:top w:val="none" w:sz="0" w:space="0" w:color="auto"/>
        <w:left w:val="none" w:sz="0" w:space="0" w:color="auto"/>
        <w:bottom w:val="none" w:sz="0" w:space="0" w:color="auto"/>
        <w:right w:val="none" w:sz="0" w:space="0" w:color="auto"/>
      </w:divBdr>
    </w:div>
    <w:div w:id="1381175738">
      <w:bodyDiv w:val="1"/>
      <w:marLeft w:val="0"/>
      <w:marRight w:val="0"/>
      <w:marTop w:val="0"/>
      <w:marBottom w:val="0"/>
      <w:divBdr>
        <w:top w:val="none" w:sz="0" w:space="0" w:color="auto"/>
        <w:left w:val="none" w:sz="0" w:space="0" w:color="auto"/>
        <w:bottom w:val="none" w:sz="0" w:space="0" w:color="auto"/>
        <w:right w:val="none" w:sz="0" w:space="0" w:color="auto"/>
      </w:divBdr>
      <w:divsChild>
        <w:div w:id="1097361588">
          <w:marLeft w:val="0"/>
          <w:marRight w:val="0"/>
          <w:marTop w:val="0"/>
          <w:marBottom w:val="0"/>
          <w:divBdr>
            <w:top w:val="none" w:sz="0" w:space="0" w:color="auto"/>
            <w:left w:val="none" w:sz="0" w:space="0" w:color="auto"/>
            <w:bottom w:val="none" w:sz="0" w:space="0" w:color="auto"/>
            <w:right w:val="none" w:sz="0" w:space="0" w:color="auto"/>
          </w:divBdr>
        </w:div>
        <w:div w:id="1769538743">
          <w:marLeft w:val="0"/>
          <w:marRight w:val="0"/>
          <w:marTop w:val="0"/>
          <w:marBottom w:val="0"/>
          <w:divBdr>
            <w:top w:val="none" w:sz="0" w:space="0" w:color="auto"/>
            <w:left w:val="none" w:sz="0" w:space="0" w:color="auto"/>
            <w:bottom w:val="none" w:sz="0" w:space="0" w:color="auto"/>
            <w:right w:val="none" w:sz="0" w:space="0" w:color="auto"/>
          </w:divBdr>
        </w:div>
        <w:div w:id="1915431204">
          <w:marLeft w:val="0"/>
          <w:marRight w:val="0"/>
          <w:marTop w:val="0"/>
          <w:marBottom w:val="0"/>
          <w:divBdr>
            <w:top w:val="none" w:sz="0" w:space="0" w:color="auto"/>
            <w:left w:val="none" w:sz="0" w:space="0" w:color="auto"/>
            <w:bottom w:val="none" w:sz="0" w:space="0" w:color="auto"/>
            <w:right w:val="none" w:sz="0" w:space="0" w:color="auto"/>
          </w:divBdr>
        </w:div>
        <w:div w:id="1650284978">
          <w:marLeft w:val="0"/>
          <w:marRight w:val="0"/>
          <w:marTop w:val="0"/>
          <w:marBottom w:val="0"/>
          <w:divBdr>
            <w:top w:val="none" w:sz="0" w:space="0" w:color="auto"/>
            <w:left w:val="none" w:sz="0" w:space="0" w:color="auto"/>
            <w:bottom w:val="none" w:sz="0" w:space="0" w:color="auto"/>
            <w:right w:val="none" w:sz="0" w:space="0" w:color="auto"/>
          </w:divBdr>
        </w:div>
        <w:div w:id="1267688686">
          <w:marLeft w:val="0"/>
          <w:marRight w:val="0"/>
          <w:marTop w:val="0"/>
          <w:marBottom w:val="0"/>
          <w:divBdr>
            <w:top w:val="none" w:sz="0" w:space="0" w:color="auto"/>
            <w:left w:val="none" w:sz="0" w:space="0" w:color="auto"/>
            <w:bottom w:val="none" w:sz="0" w:space="0" w:color="auto"/>
            <w:right w:val="none" w:sz="0" w:space="0" w:color="auto"/>
          </w:divBdr>
        </w:div>
        <w:div w:id="324092578">
          <w:marLeft w:val="0"/>
          <w:marRight w:val="0"/>
          <w:marTop w:val="0"/>
          <w:marBottom w:val="0"/>
          <w:divBdr>
            <w:top w:val="none" w:sz="0" w:space="0" w:color="auto"/>
            <w:left w:val="none" w:sz="0" w:space="0" w:color="auto"/>
            <w:bottom w:val="none" w:sz="0" w:space="0" w:color="auto"/>
            <w:right w:val="none" w:sz="0" w:space="0" w:color="auto"/>
          </w:divBdr>
        </w:div>
        <w:div w:id="2045013430">
          <w:marLeft w:val="0"/>
          <w:marRight w:val="0"/>
          <w:marTop w:val="0"/>
          <w:marBottom w:val="0"/>
          <w:divBdr>
            <w:top w:val="none" w:sz="0" w:space="0" w:color="auto"/>
            <w:left w:val="none" w:sz="0" w:space="0" w:color="auto"/>
            <w:bottom w:val="none" w:sz="0" w:space="0" w:color="auto"/>
            <w:right w:val="none" w:sz="0" w:space="0" w:color="auto"/>
          </w:divBdr>
        </w:div>
        <w:div w:id="388386924">
          <w:marLeft w:val="0"/>
          <w:marRight w:val="0"/>
          <w:marTop w:val="0"/>
          <w:marBottom w:val="0"/>
          <w:divBdr>
            <w:top w:val="none" w:sz="0" w:space="0" w:color="auto"/>
            <w:left w:val="none" w:sz="0" w:space="0" w:color="auto"/>
            <w:bottom w:val="none" w:sz="0" w:space="0" w:color="auto"/>
            <w:right w:val="none" w:sz="0" w:space="0" w:color="auto"/>
          </w:divBdr>
        </w:div>
        <w:div w:id="691800935">
          <w:marLeft w:val="0"/>
          <w:marRight w:val="0"/>
          <w:marTop w:val="0"/>
          <w:marBottom w:val="0"/>
          <w:divBdr>
            <w:top w:val="none" w:sz="0" w:space="0" w:color="auto"/>
            <w:left w:val="none" w:sz="0" w:space="0" w:color="auto"/>
            <w:bottom w:val="none" w:sz="0" w:space="0" w:color="auto"/>
            <w:right w:val="none" w:sz="0" w:space="0" w:color="auto"/>
          </w:divBdr>
        </w:div>
        <w:div w:id="2142067949">
          <w:marLeft w:val="0"/>
          <w:marRight w:val="0"/>
          <w:marTop w:val="0"/>
          <w:marBottom w:val="0"/>
          <w:divBdr>
            <w:top w:val="none" w:sz="0" w:space="0" w:color="auto"/>
            <w:left w:val="none" w:sz="0" w:space="0" w:color="auto"/>
            <w:bottom w:val="none" w:sz="0" w:space="0" w:color="auto"/>
            <w:right w:val="none" w:sz="0" w:space="0" w:color="auto"/>
          </w:divBdr>
        </w:div>
        <w:div w:id="2103452190">
          <w:marLeft w:val="0"/>
          <w:marRight w:val="0"/>
          <w:marTop w:val="0"/>
          <w:marBottom w:val="0"/>
          <w:divBdr>
            <w:top w:val="none" w:sz="0" w:space="0" w:color="auto"/>
            <w:left w:val="none" w:sz="0" w:space="0" w:color="auto"/>
            <w:bottom w:val="none" w:sz="0" w:space="0" w:color="auto"/>
            <w:right w:val="none" w:sz="0" w:space="0" w:color="auto"/>
          </w:divBdr>
        </w:div>
        <w:div w:id="238054414">
          <w:marLeft w:val="0"/>
          <w:marRight w:val="0"/>
          <w:marTop w:val="0"/>
          <w:marBottom w:val="0"/>
          <w:divBdr>
            <w:top w:val="none" w:sz="0" w:space="0" w:color="auto"/>
            <w:left w:val="none" w:sz="0" w:space="0" w:color="auto"/>
            <w:bottom w:val="none" w:sz="0" w:space="0" w:color="auto"/>
            <w:right w:val="none" w:sz="0" w:space="0" w:color="auto"/>
          </w:divBdr>
        </w:div>
        <w:div w:id="451216384">
          <w:marLeft w:val="0"/>
          <w:marRight w:val="0"/>
          <w:marTop w:val="0"/>
          <w:marBottom w:val="0"/>
          <w:divBdr>
            <w:top w:val="none" w:sz="0" w:space="0" w:color="auto"/>
            <w:left w:val="none" w:sz="0" w:space="0" w:color="auto"/>
            <w:bottom w:val="none" w:sz="0" w:space="0" w:color="auto"/>
            <w:right w:val="none" w:sz="0" w:space="0" w:color="auto"/>
          </w:divBdr>
        </w:div>
        <w:div w:id="2092584258">
          <w:marLeft w:val="0"/>
          <w:marRight w:val="0"/>
          <w:marTop w:val="0"/>
          <w:marBottom w:val="0"/>
          <w:divBdr>
            <w:top w:val="none" w:sz="0" w:space="0" w:color="auto"/>
            <w:left w:val="none" w:sz="0" w:space="0" w:color="auto"/>
            <w:bottom w:val="none" w:sz="0" w:space="0" w:color="auto"/>
            <w:right w:val="none" w:sz="0" w:space="0" w:color="auto"/>
          </w:divBdr>
        </w:div>
        <w:div w:id="691146333">
          <w:marLeft w:val="0"/>
          <w:marRight w:val="0"/>
          <w:marTop w:val="0"/>
          <w:marBottom w:val="0"/>
          <w:divBdr>
            <w:top w:val="none" w:sz="0" w:space="0" w:color="auto"/>
            <w:left w:val="none" w:sz="0" w:space="0" w:color="auto"/>
            <w:bottom w:val="none" w:sz="0" w:space="0" w:color="auto"/>
            <w:right w:val="none" w:sz="0" w:space="0" w:color="auto"/>
          </w:divBdr>
        </w:div>
        <w:div w:id="184827945">
          <w:marLeft w:val="0"/>
          <w:marRight w:val="0"/>
          <w:marTop w:val="0"/>
          <w:marBottom w:val="0"/>
          <w:divBdr>
            <w:top w:val="none" w:sz="0" w:space="0" w:color="auto"/>
            <w:left w:val="none" w:sz="0" w:space="0" w:color="auto"/>
            <w:bottom w:val="none" w:sz="0" w:space="0" w:color="auto"/>
            <w:right w:val="none" w:sz="0" w:space="0" w:color="auto"/>
          </w:divBdr>
        </w:div>
        <w:div w:id="1346401594">
          <w:marLeft w:val="0"/>
          <w:marRight w:val="0"/>
          <w:marTop w:val="0"/>
          <w:marBottom w:val="0"/>
          <w:divBdr>
            <w:top w:val="none" w:sz="0" w:space="0" w:color="auto"/>
            <w:left w:val="none" w:sz="0" w:space="0" w:color="auto"/>
            <w:bottom w:val="none" w:sz="0" w:space="0" w:color="auto"/>
            <w:right w:val="none" w:sz="0" w:space="0" w:color="auto"/>
          </w:divBdr>
        </w:div>
      </w:divsChild>
    </w:div>
    <w:div w:id="1694526969">
      <w:bodyDiv w:val="1"/>
      <w:marLeft w:val="0"/>
      <w:marRight w:val="0"/>
      <w:marTop w:val="0"/>
      <w:marBottom w:val="0"/>
      <w:divBdr>
        <w:top w:val="none" w:sz="0" w:space="0" w:color="auto"/>
        <w:left w:val="none" w:sz="0" w:space="0" w:color="auto"/>
        <w:bottom w:val="none" w:sz="0" w:space="0" w:color="auto"/>
        <w:right w:val="none" w:sz="0" w:space="0" w:color="auto"/>
      </w:divBdr>
      <w:divsChild>
        <w:div w:id="1602375824">
          <w:marLeft w:val="0"/>
          <w:marRight w:val="0"/>
          <w:marTop w:val="0"/>
          <w:marBottom w:val="0"/>
          <w:divBdr>
            <w:top w:val="none" w:sz="0" w:space="0" w:color="auto"/>
            <w:left w:val="none" w:sz="0" w:space="0" w:color="auto"/>
            <w:bottom w:val="none" w:sz="0" w:space="0" w:color="auto"/>
            <w:right w:val="none" w:sz="0" w:space="0" w:color="auto"/>
          </w:divBdr>
        </w:div>
        <w:div w:id="866717062">
          <w:marLeft w:val="0"/>
          <w:marRight w:val="0"/>
          <w:marTop w:val="0"/>
          <w:marBottom w:val="0"/>
          <w:divBdr>
            <w:top w:val="none" w:sz="0" w:space="0" w:color="auto"/>
            <w:left w:val="none" w:sz="0" w:space="0" w:color="auto"/>
            <w:bottom w:val="none" w:sz="0" w:space="0" w:color="auto"/>
            <w:right w:val="none" w:sz="0" w:space="0" w:color="auto"/>
          </w:divBdr>
        </w:div>
        <w:div w:id="1587496450">
          <w:marLeft w:val="0"/>
          <w:marRight w:val="0"/>
          <w:marTop w:val="0"/>
          <w:marBottom w:val="0"/>
          <w:divBdr>
            <w:top w:val="none" w:sz="0" w:space="0" w:color="auto"/>
            <w:left w:val="none" w:sz="0" w:space="0" w:color="auto"/>
            <w:bottom w:val="none" w:sz="0" w:space="0" w:color="auto"/>
            <w:right w:val="none" w:sz="0" w:space="0" w:color="auto"/>
          </w:divBdr>
        </w:div>
        <w:div w:id="1535847262">
          <w:marLeft w:val="0"/>
          <w:marRight w:val="0"/>
          <w:marTop w:val="0"/>
          <w:marBottom w:val="0"/>
          <w:divBdr>
            <w:top w:val="none" w:sz="0" w:space="0" w:color="auto"/>
            <w:left w:val="none" w:sz="0" w:space="0" w:color="auto"/>
            <w:bottom w:val="none" w:sz="0" w:space="0" w:color="auto"/>
            <w:right w:val="none" w:sz="0" w:space="0" w:color="auto"/>
          </w:divBdr>
        </w:div>
        <w:div w:id="763308727">
          <w:marLeft w:val="0"/>
          <w:marRight w:val="0"/>
          <w:marTop w:val="0"/>
          <w:marBottom w:val="0"/>
          <w:divBdr>
            <w:top w:val="none" w:sz="0" w:space="0" w:color="auto"/>
            <w:left w:val="none" w:sz="0" w:space="0" w:color="auto"/>
            <w:bottom w:val="none" w:sz="0" w:space="0" w:color="auto"/>
            <w:right w:val="none" w:sz="0" w:space="0" w:color="auto"/>
          </w:divBdr>
        </w:div>
        <w:div w:id="1240749971">
          <w:marLeft w:val="0"/>
          <w:marRight w:val="0"/>
          <w:marTop w:val="0"/>
          <w:marBottom w:val="0"/>
          <w:divBdr>
            <w:top w:val="none" w:sz="0" w:space="0" w:color="auto"/>
            <w:left w:val="none" w:sz="0" w:space="0" w:color="auto"/>
            <w:bottom w:val="none" w:sz="0" w:space="0" w:color="auto"/>
            <w:right w:val="none" w:sz="0" w:space="0" w:color="auto"/>
          </w:divBdr>
        </w:div>
        <w:div w:id="924387803">
          <w:marLeft w:val="0"/>
          <w:marRight w:val="0"/>
          <w:marTop w:val="0"/>
          <w:marBottom w:val="0"/>
          <w:divBdr>
            <w:top w:val="none" w:sz="0" w:space="0" w:color="auto"/>
            <w:left w:val="none" w:sz="0" w:space="0" w:color="auto"/>
            <w:bottom w:val="none" w:sz="0" w:space="0" w:color="auto"/>
            <w:right w:val="none" w:sz="0" w:space="0" w:color="auto"/>
          </w:divBdr>
        </w:div>
        <w:div w:id="485627354">
          <w:marLeft w:val="0"/>
          <w:marRight w:val="0"/>
          <w:marTop w:val="0"/>
          <w:marBottom w:val="0"/>
          <w:divBdr>
            <w:top w:val="none" w:sz="0" w:space="0" w:color="auto"/>
            <w:left w:val="none" w:sz="0" w:space="0" w:color="auto"/>
            <w:bottom w:val="none" w:sz="0" w:space="0" w:color="auto"/>
            <w:right w:val="none" w:sz="0" w:space="0" w:color="auto"/>
          </w:divBdr>
        </w:div>
        <w:div w:id="704452598">
          <w:marLeft w:val="0"/>
          <w:marRight w:val="0"/>
          <w:marTop w:val="0"/>
          <w:marBottom w:val="0"/>
          <w:divBdr>
            <w:top w:val="none" w:sz="0" w:space="0" w:color="auto"/>
            <w:left w:val="none" w:sz="0" w:space="0" w:color="auto"/>
            <w:bottom w:val="none" w:sz="0" w:space="0" w:color="auto"/>
            <w:right w:val="none" w:sz="0" w:space="0" w:color="auto"/>
          </w:divBdr>
        </w:div>
        <w:div w:id="788163706">
          <w:marLeft w:val="0"/>
          <w:marRight w:val="0"/>
          <w:marTop w:val="0"/>
          <w:marBottom w:val="0"/>
          <w:divBdr>
            <w:top w:val="none" w:sz="0" w:space="0" w:color="auto"/>
            <w:left w:val="none" w:sz="0" w:space="0" w:color="auto"/>
            <w:bottom w:val="none" w:sz="0" w:space="0" w:color="auto"/>
            <w:right w:val="none" w:sz="0" w:space="0" w:color="auto"/>
          </w:divBdr>
        </w:div>
        <w:div w:id="960309543">
          <w:marLeft w:val="0"/>
          <w:marRight w:val="0"/>
          <w:marTop w:val="0"/>
          <w:marBottom w:val="0"/>
          <w:divBdr>
            <w:top w:val="none" w:sz="0" w:space="0" w:color="auto"/>
            <w:left w:val="none" w:sz="0" w:space="0" w:color="auto"/>
            <w:bottom w:val="none" w:sz="0" w:space="0" w:color="auto"/>
            <w:right w:val="none" w:sz="0" w:space="0" w:color="auto"/>
          </w:divBdr>
        </w:div>
        <w:div w:id="1835611920">
          <w:marLeft w:val="0"/>
          <w:marRight w:val="0"/>
          <w:marTop w:val="0"/>
          <w:marBottom w:val="0"/>
          <w:divBdr>
            <w:top w:val="none" w:sz="0" w:space="0" w:color="auto"/>
            <w:left w:val="none" w:sz="0" w:space="0" w:color="auto"/>
            <w:bottom w:val="none" w:sz="0" w:space="0" w:color="auto"/>
            <w:right w:val="none" w:sz="0" w:space="0" w:color="auto"/>
          </w:divBdr>
        </w:div>
        <w:div w:id="723218398">
          <w:marLeft w:val="0"/>
          <w:marRight w:val="0"/>
          <w:marTop w:val="0"/>
          <w:marBottom w:val="0"/>
          <w:divBdr>
            <w:top w:val="none" w:sz="0" w:space="0" w:color="auto"/>
            <w:left w:val="none" w:sz="0" w:space="0" w:color="auto"/>
            <w:bottom w:val="none" w:sz="0" w:space="0" w:color="auto"/>
            <w:right w:val="none" w:sz="0" w:space="0" w:color="auto"/>
          </w:divBdr>
        </w:div>
        <w:div w:id="794522624">
          <w:marLeft w:val="0"/>
          <w:marRight w:val="0"/>
          <w:marTop w:val="0"/>
          <w:marBottom w:val="0"/>
          <w:divBdr>
            <w:top w:val="none" w:sz="0" w:space="0" w:color="auto"/>
            <w:left w:val="none" w:sz="0" w:space="0" w:color="auto"/>
            <w:bottom w:val="none" w:sz="0" w:space="0" w:color="auto"/>
            <w:right w:val="none" w:sz="0" w:space="0" w:color="auto"/>
          </w:divBdr>
        </w:div>
        <w:div w:id="98256205">
          <w:marLeft w:val="0"/>
          <w:marRight w:val="0"/>
          <w:marTop w:val="0"/>
          <w:marBottom w:val="0"/>
          <w:divBdr>
            <w:top w:val="none" w:sz="0" w:space="0" w:color="auto"/>
            <w:left w:val="none" w:sz="0" w:space="0" w:color="auto"/>
            <w:bottom w:val="none" w:sz="0" w:space="0" w:color="auto"/>
            <w:right w:val="none" w:sz="0" w:space="0" w:color="auto"/>
          </w:divBdr>
        </w:div>
        <w:div w:id="815611163">
          <w:marLeft w:val="0"/>
          <w:marRight w:val="0"/>
          <w:marTop w:val="0"/>
          <w:marBottom w:val="0"/>
          <w:divBdr>
            <w:top w:val="none" w:sz="0" w:space="0" w:color="auto"/>
            <w:left w:val="none" w:sz="0" w:space="0" w:color="auto"/>
            <w:bottom w:val="none" w:sz="0" w:space="0" w:color="auto"/>
            <w:right w:val="none" w:sz="0" w:space="0" w:color="auto"/>
          </w:divBdr>
        </w:div>
        <w:div w:id="1534801823">
          <w:marLeft w:val="0"/>
          <w:marRight w:val="0"/>
          <w:marTop w:val="0"/>
          <w:marBottom w:val="0"/>
          <w:divBdr>
            <w:top w:val="none" w:sz="0" w:space="0" w:color="auto"/>
            <w:left w:val="none" w:sz="0" w:space="0" w:color="auto"/>
            <w:bottom w:val="none" w:sz="0" w:space="0" w:color="auto"/>
            <w:right w:val="none" w:sz="0" w:space="0" w:color="auto"/>
          </w:divBdr>
        </w:div>
      </w:divsChild>
    </w:div>
    <w:div w:id="1731491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e0022\AppData\Local\Micro%20Focus\Content%20Manager\TEMP\HPTRIM.1980\D23%20764878%20%20NAS%20Document%20template_v1.DOTX" TargetMode="External"/></Relationships>
</file>

<file path=word/theme/theme1.xml><?xml version="1.0" encoding="utf-8"?>
<a:theme xmlns:a="http://schemas.openxmlformats.org/drawingml/2006/main" name="NAS Theme">
  <a:themeElements>
    <a:clrScheme name="NAS Colours">
      <a:dk1>
        <a:srgbClr val="000000"/>
      </a:dk1>
      <a:lt1>
        <a:srgbClr val="FFFFFF"/>
      </a:lt1>
      <a:dk2>
        <a:srgbClr val="5F2A79"/>
      </a:dk2>
      <a:lt2>
        <a:srgbClr val="EFEFEF"/>
      </a:lt2>
      <a:accent1>
        <a:srgbClr val="5F2A79"/>
      </a:accent1>
      <a:accent2>
        <a:srgbClr val="009396"/>
      </a:accent2>
      <a:accent3>
        <a:srgbClr val="E65E45"/>
      </a:accent3>
      <a:accent4>
        <a:srgbClr val="F8A21A"/>
      </a:accent4>
      <a:accent5>
        <a:srgbClr val="6ECCCC"/>
      </a:accent5>
      <a:accent6>
        <a:srgbClr val="DCDDDE"/>
      </a:accent6>
      <a:hlink>
        <a:srgbClr val="3344DD"/>
      </a:hlink>
      <a:folHlink>
        <a:srgbClr val="80418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SD Theme1" id="{EA3F5025-A41F-CF41-AE38-F5E7C790B1E0}" vid="{9D0A77EF-B161-D44A-BA13-6423E67B72D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9FCEA5FC-6209-465E-9CDA-1CCB3C14A4E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PDMS Document" ma:contentTypeID="0x010100266966F133664895A6EE3632470D45F5007EBF670A5556B34BA3DA8E7F39E68046" ma:contentTypeVersion="" ma:contentTypeDescription="PDMS Document Site Content Type" ma:contentTypeScope="" ma:versionID="36f04cf8bc47774cc8389828ff50e31c">
  <xsd:schema xmlns:xsd="http://www.w3.org/2001/XMLSchema" xmlns:xs="http://www.w3.org/2001/XMLSchema" xmlns:p="http://schemas.microsoft.com/office/2006/metadata/properties" xmlns:ns2="9FCEA5FC-6209-465E-9CDA-1CCB3C14A4EA" targetNamespace="http://schemas.microsoft.com/office/2006/metadata/properties" ma:root="true" ma:fieldsID="e7d06ec752dd87d8edce8a0ac9021fd6" ns2:_="">
    <xsd:import namespace="9FCEA5FC-6209-465E-9CDA-1CCB3C14A4EA"/>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CEA5FC-6209-465E-9CDA-1CCB3C14A4EA"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9C8B65-4182-4DA7-AB8B-6A466B940ADF}">
  <ds:schemaRefs>
    <ds:schemaRef ds:uri="http://schemas.microsoft.com/sharepoint/v3/contenttype/forms"/>
  </ds:schemaRefs>
</ds:datastoreItem>
</file>

<file path=customXml/itemProps2.xml><?xml version="1.0" encoding="utf-8"?>
<ds:datastoreItem xmlns:ds="http://schemas.openxmlformats.org/officeDocument/2006/customXml" ds:itemID="{44931608-0AB4-4513-9B3D-ABD2E01E10DD}">
  <ds:schemaRefs>
    <ds:schemaRef ds:uri="http://schemas.microsoft.com/office/2006/metadata/properties"/>
    <ds:schemaRef ds:uri="http://schemas.microsoft.com/office/infopath/2007/PartnerControls"/>
    <ds:schemaRef ds:uri="9FCEA5FC-6209-465E-9CDA-1CCB3C14A4EA"/>
  </ds:schemaRefs>
</ds:datastoreItem>
</file>

<file path=customXml/itemProps3.xml><?xml version="1.0" encoding="utf-8"?>
<ds:datastoreItem xmlns:ds="http://schemas.openxmlformats.org/officeDocument/2006/customXml" ds:itemID="{C7CB9814-A9B1-0443-83BA-497C3E0CE4FE}">
  <ds:schemaRefs>
    <ds:schemaRef ds:uri="http://schemas.openxmlformats.org/officeDocument/2006/bibliography"/>
  </ds:schemaRefs>
</ds:datastoreItem>
</file>

<file path=customXml/itemProps4.xml><?xml version="1.0" encoding="utf-8"?>
<ds:datastoreItem xmlns:ds="http://schemas.openxmlformats.org/officeDocument/2006/customXml" ds:itemID="{9EFA06E0-CD7E-4C07-BA6D-EC337BD329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CEA5FC-6209-465E-9CDA-1CCB3C14A4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D23 764878  NAS Document template_v1.DOTX</Template>
  <TotalTime>15</TotalTime>
  <Pages>6</Pages>
  <Words>1609</Words>
  <Characters>9177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Terms of Reference - National Autism Strategy, Autism, NAS, Governance, Reference Group</vt:lpstr>
    </vt:vector>
  </TitlesOfParts>
  <Company/>
  <LinksUpToDate>false</LinksUpToDate>
  <CharactersWithSpaces>10765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of Reference - National Autism Strategy, Autism, NAS, Governance, Reference Group</dc:title>
  <dc:subject>National Autism Strategy 2025 - 2031</dc:subject>
  <dc:creator>Australian Government Department of Health Disability and Aged Care</dc:creator>
  <cp:keywords>National Autism Strategy, Autism, NAS, Governance, TOR, Reference Group [SEC=OFFICIAL]</cp:keywords>
  <dc:description/>
  <cp:revision>4</cp:revision>
  <cp:lastPrinted>2026-02-16T04:54:00Z</cp:lastPrinted>
  <dcterms:created xsi:type="dcterms:W3CDTF">2026-07-07T03:48:00Z</dcterms:created>
  <dcterms:modified xsi:type="dcterms:W3CDTF">2026-07-08T02:42:00Z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0x010100266966F133664895A6EE3632470D45F5007EBF670A5556B34BA3DA8E7F39E68046</vt:lpwstr>
  </property>
  <property fmtid="{D5CDD505-2E9C-101B-9397-08002B2CF9AE}" pid="3" name="MediaServiceImageTags">
    <vt:lpwstr/>
  </property>
  <property fmtid="{D5CDD505-2E9C-101B-9397-08002B2CF9AE}" pid="4" name="PM_Namespace">
    <vt:lpwstr>gov.au</vt:lpwstr>
  </property>
  <property fmtid="{D5CDD505-2E9C-101B-9397-08002B2CF9AE}" pid="5" name="PM_Caveats_Count">
    <vt:lpwstr>0</vt:lpwstr>
  </property>
  <property fmtid="{D5CDD505-2E9C-101B-9397-08002B2CF9AE}" pid="6" name="PM_Version">
    <vt:lpwstr>2018.4</vt:lpwstr>
  </property>
  <property fmtid="{D5CDD505-2E9C-101B-9397-08002B2CF9AE}" pid="7" name="PM_Note">
    <vt:lpwstr/>
  </property>
  <property fmtid="{D5CDD505-2E9C-101B-9397-08002B2CF9AE}" pid="8" name="MSIP_Label_eb34d90b-fc41-464d-af60-f74d721d0790_Name">
    <vt:lpwstr>OFFICIAL</vt:lpwstr>
  </property>
  <property fmtid="{D5CDD505-2E9C-101B-9397-08002B2CF9AE}" pid="9" name="PMHMAC">
    <vt:lpwstr>v=2022.1;a=SHA256;h=D4B79D8368449A8B8E7AE082F166DD94E751748221183E9B8FE1B6D719F12376</vt:lpwstr>
  </property>
  <property fmtid="{D5CDD505-2E9C-101B-9397-08002B2CF9AE}" pid="10" name="PM_Qualifier">
    <vt:lpwstr/>
  </property>
  <property fmtid="{D5CDD505-2E9C-101B-9397-08002B2CF9AE}" pid="11" name="PM_SecurityClassification">
    <vt:lpwstr>OFFICIAL</vt:lpwstr>
  </property>
  <property fmtid="{D5CDD505-2E9C-101B-9397-08002B2CF9AE}" pid="12" name="PM_ProtectiveMarkingValue_Header">
    <vt:lpwstr>OFFICIAL</vt:lpwstr>
  </property>
  <property fmtid="{D5CDD505-2E9C-101B-9397-08002B2CF9AE}" pid="13" name="PM_OriginationTimeStamp">
    <vt:lpwstr>2024-01-22T21:36:46Z</vt:lpwstr>
  </property>
  <property fmtid="{D5CDD505-2E9C-101B-9397-08002B2CF9AE}" pid="14" name="PM_Markers">
    <vt:lpwstr/>
  </property>
  <property fmtid="{D5CDD505-2E9C-101B-9397-08002B2CF9AE}" pid="15" name="MSIP_Label_eb34d90b-fc41-464d-af60-f74d721d0790_SiteId">
    <vt:lpwstr>61e36dd1-ca6e-4d61-aa0a-2b4eb88317a3</vt:lpwstr>
  </property>
  <property fmtid="{D5CDD505-2E9C-101B-9397-08002B2CF9AE}" pid="16" name="MSIP_Label_eb34d90b-fc41-464d-af60-f74d721d0790_ContentBits">
    <vt:lpwstr>0</vt:lpwstr>
  </property>
  <property fmtid="{D5CDD505-2E9C-101B-9397-08002B2CF9AE}" pid="17" name="MSIP_Label_eb34d90b-fc41-464d-af60-f74d721d0790_Enabled">
    <vt:lpwstr>true</vt:lpwstr>
  </property>
  <property fmtid="{D5CDD505-2E9C-101B-9397-08002B2CF9AE}" pid="18" name="PM_ProtectiveMarkingImage_Footer">
    <vt:lpwstr>C:\Program Files (x86)\Common Files\janusNET Shared\janusSEAL\Images\DocumentSlashBlue.png</vt:lpwstr>
  </property>
  <property fmtid="{D5CDD505-2E9C-101B-9397-08002B2CF9AE}" pid="19" name="MSIP_Label_eb34d90b-fc41-464d-af60-f74d721d0790_SetDate">
    <vt:lpwstr>2024-01-22T21:36:46Z</vt:lpwstr>
  </property>
  <property fmtid="{D5CDD505-2E9C-101B-9397-08002B2CF9AE}" pid="20" name="MSIP_Label_eb34d90b-fc41-464d-af60-f74d721d0790_Method">
    <vt:lpwstr>Privileged</vt:lpwstr>
  </property>
  <property fmtid="{D5CDD505-2E9C-101B-9397-08002B2CF9AE}" pid="21" name="MSIP_Label_eb34d90b-fc41-464d-af60-f74d721d0790_ActionId">
    <vt:lpwstr>040eb5d761e743718919b4320e9c3b55</vt:lpwstr>
  </property>
  <property fmtid="{D5CDD505-2E9C-101B-9397-08002B2CF9AE}" pid="22" name="PM_InsertionValue">
    <vt:lpwstr>OFFICIAL</vt:lpwstr>
  </property>
  <property fmtid="{D5CDD505-2E9C-101B-9397-08002B2CF9AE}" pid="23" name="PM_Originator_Hash_SHA1">
    <vt:lpwstr>222551847E34D78DD8FF0658E3FD0B9AAA32D330</vt:lpwstr>
  </property>
  <property fmtid="{D5CDD505-2E9C-101B-9397-08002B2CF9AE}" pid="24" name="PM_DisplayValueSecClassificationWithQualifier">
    <vt:lpwstr>OFFICIAL</vt:lpwstr>
  </property>
  <property fmtid="{D5CDD505-2E9C-101B-9397-08002B2CF9AE}" pid="25" name="PM_Originating_FileId">
    <vt:lpwstr>E171C629874C4F46A7CD96A1E39506CD</vt:lpwstr>
  </property>
  <property fmtid="{D5CDD505-2E9C-101B-9397-08002B2CF9AE}" pid="26" name="PM_ProtectiveMarkingValue_Footer">
    <vt:lpwstr>OFFICIAL</vt:lpwstr>
  </property>
  <property fmtid="{D5CDD505-2E9C-101B-9397-08002B2CF9AE}" pid="27" name="PM_ProtectiveMarkingImage_Header">
    <vt:lpwstr>C:\Program Files (x86)\Common Files\janusNET Shared\janusSEAL\Images\DocumentSlashBlue.png</vt:lpwstr>
  </property>
  <property fmtid="{D5CDD505-2E9C-101B-9397-08002B2CF9AE}" pid="28" name="PM_Display">
    <vt:lpwstr>OFFICIAL</vt:lpwstr>
  </property>
  <property fmtid="{D5CDD505-2E9C-101B-9397-08002B2CF9AE}" pid="29" name="PM_OriginatorUserAccountName_SHA256">
    <vt:lpwstr>035C3B179618BFF43BD71403934A9347277F9F5AA12205EF9ADDB4ABBB405856</vt:lpwstr>
  </property>
  <property fmtid="{D5CDD505-2E9C-101B-9397-08002B2CF9AE}" pid="30" name="PM_OriginatorDomainName_SHA256">
    <vt:lpwstr>E83A2A66C4061446A7E3732E8D44762184B6B377D962B96C83DC624302585857</vt:lpwstr>
  </property>
  <property fmtid="{D5CDD505-2E9C-101B-9397-08002B2CF9AE}" pid="31" name="PMUuid">
    <vt:lpwstr>v=2022.2;d=gov.au;g=46DD6D7C-8107-577B-BC6E-F348953B2E44</vt:lpwstr>
  </property>
  <property fmtid="{D5CDD505-2E9C-101B-9397-08002B2CF9AE}" pid="32" name="PM_Hash_Version">
    <vt:lpwstr>2022.1</vt:lpwstr>
  </property>
  <property fmtid="{D5CDD505-2E9C-101B-9397-08002B2CF9AE}" pid="33" name="PM_Hash_Salt_Prev">
    <vt:lpwstr>F0256CC1AD07B0447558CEE3507E97ED</vt:lpwstr>
  </property>
  <property fmtid="{D5CDD505-2E9C-101B-9397-08002B2CF9AE}" pid="34" name="PM_Hash_Salt">
    <vt:lpwstr>647659A233E82E47D2015A65015A9E3A</vt:lpwstr>
  </property>
  <property fmtid="{D5CDD505-2E9C-101B-9397-08002B2CF9AE}" pid="35" name="PM_Hash_SHA1">
    <vt:lpwstr>8DE12BFA79DE9A03727467FB7BE8CB6CE4575E13</vt:lpwstr>
  </property>
  <property fmtid="{D5CDD505-2E9C-101B-9397-08002B2CF9AE}" pid="36" name="PM_SecurityClassification_Prev">
    <vt:lpwstr>OFFICIAL</vt:lpwstr>
  </property>
  <property fmtid="{D5CDD505-2E9C-101B-9397-08002B2CF9AE}" pid="37" name="PM_Qualifier_Prev">
    <vt:lpwstr/>
  </property>
  <property fmtid="{D5CDD505-2E9C-101B-9397-08002B2CF9AE}" pid="38" name="PM_Expires">
    <vt:lpwstr/>
  </property>
  <property fmtid="{D5CDD505-2E9C-101B-9397-08002B2CF9AE}" pid="39" name="PM_DownTo">
    <vt:lpwstr/>
  </property>
  <property fmtid="{D5CDD505-2E9C-101B-9397-08002B2CF9AE}" pid="40" name="ClassificationContentMarkingHeaderShapeIds">
    <vt:lpwstr>e75f43b,1ba44cac,7296bb46</vt:lpwstr>
  </property>
  <property fmtid="{D5CDD505-2E9C-101B-9397-08002B2CF9AE}" pid="41" name="ClassificationContentMarkingHeaderFontProps">
    <vt:lpwstr>#ff0000,12,Calibri</vt:lpwstr>
  </property>
  <property fmtid="{D5CDD505-2E9C-101B-9397-08002B2CF9AE}" pid="42" name="ClassificationContentMarkingHeaderText">
    <vt:lpwstr>OFFICIAL</vt:lpwstr>
  </property>
  <property fmtid="{D5CDD505-2E9C-101B-9397-08002B2CF9AE}" pid="43" name="ClassificationContentMarkingFooterShapeIds">
    <vt:lpwstr>6d5b845a,411484b7,2572f424</vt:lpwstr>
  </property>
  <property fmtid="{D5CDD505-2E9C-101B-9397-08002B2CF9AE}" pid="44" name="ClassificationContentMarkingFooterFontProps">
    <vt:lpwstr>#ff0000,12,Calibri</vt:lpwstr>
  </property>
  <property fmtid="{D5CDD505-2E9C-101B-9397-08002B2CF9AE}" pid="45" name="ClassificationContentMarkingFooterText">
    <vt:lpwstr>OFFICIAL</vt:lpwstr>
  </property>
  <property fmtid="{D5CDD505-2E9C-101B-9397-08002B2CF9AE}" pid="46" name="MSIP_Label_7cd3e8b9-ffed-43a8-b7f4-cc2fa0382d36_Enabled">
    <vt:lpwstr>true</vt:lpwstr>
  </property>
  <property fmtid="{D5CDD505-2E9C-101B-9397-08002B2CF9AE}" pid="47" name="MSIP_Label_7cd3e8b9-ffed-43a8-b7f4-cc2fa0382d36_SetDate">
    <vt:lpwstr>2025-08-08T04:52:53Z</vt:lpwstr>
  </property>
  <property fmtid="{D5CDD505-2E9C-101B-9397-08002B2CF9AE}" pid="48" name="MSIP_Label_7cd3e8b9-ffed-43a8-b7f4-cc2fa0382d36_Method">
    <vt:lpwstr>Privileged</vt:lpwstr>
  </property>
  <property fmtid="{D5CDD505-2E9C-101B-9397-08002B2CF9AE}" pid="49" name="MSIP_Label_7cd3e8b9-ffed-43a8-b7f4-cc2fa0382d36_Name">
    <vt:lpwstr>O</vt:lpwstr>
  </property>
  <property fmtid="{D5CDD505-2E9C-101B-9397-08002B2CF9AE}" pid="50" name="MSIP_Label_7cd3e8b9-ffed-43a8-b7f4-cc2fa0382d36_SiteId">
    <vt:lpwstr>34a3929c-73cf-4954-abfe-147dc3517892</vt:lpwstr>
  </property>
  <property fmtid="{D5CDD505-2E9C-101B-9397-08002B2CF9AE}" pid="51" name="MSIP_Label_7cd3e8b9-ffed-43a8-b7f4-cc2fa0382d36_ActionId">
    <vt:lpwstr>01790908-4aca-472c-8548-56be0c01ed73</vt:lpwstr>
  </property>
  <property fmtid="{D5CDD505-2E9C-101B-9397-08002B2CF9AE}" pid="52" name="MSIP_Label_7cd3e8b9-ffed-43a8-b7f4-cc2fa0382d36_ContentBits">
    <vt:lpwstr>3</vt:lpwstr>
  </property>
  <property fmtid="{D5CDD505-2E9C-101B-9397-08002B2CF9AE}" pid="53" name="MSIP_Label_7cd3e8b9-ffed-43a8-b7f4-cc2fa0382d36_Tag">
    <vt:lpwstr>10, 0, 1, 1</vt:lpwstr>
  </property>
</Properties>
</file>