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05FBF" w14:textId="77777777" w:rsidR="004D0FF5" w:rsidRDefault="00000000">
      <w:pPr>
        <w:pStyle w:val="Title"/>
        <w:rPr>
          <w:rFonts w:hint="default"/>
          <w:lang w:val="ko-KR" w:eastAsia="ko-KR"/>
        </w:rPr>
      </w:pPr>
      <w:r>
        <w:rPr>
          <w:rFonts w:ascii="Malgun Gothic" w:eastAsia="Malgun Gothic" w:hAnsi="Malgun Gothic" w:cs="Malgun Gothic"/>
          <w:lang w:val="ko-KR" w:eastAsia="ko-KR"/>
        </w:rPr>
        <w:t>전자담배를 영원히 끊으세요</w:t>
      </w:r>
    </w:p>
    <w:p w14:paraId="24B5D9D6" w14:textId="77777777" w:rsidR="004D0FF5" w:rsidRDefault="00000000">
      <w:pPr>
        <w:pStyle w:val="Heading"/>
        <w:rPr>
          <w:rFonts w:hint="default"/>
        </w:rPr>
      </w:pPr>
      <w:r>
        <w:rPr>
          <w:rFonts w:ascii="Malgun Gothic" w:eastAsia="Malgun Gothic" w:hAnsi="Malgun Gothic" w:cs="Malgun Gothic"/>
        </w:rPr>
        <w:t xml:space="preserve">베이프라고도 알려진 전자담배는 액체를 가열하여 사용자가 흡입하는 에어로졸로 전환하는 기기입니다. </w:t>
      </w:r>
    </w:p>
    <w:p w14:paraId="6F72AA1A" w14:textId="77777777" w:rsidR="004D0FF5" w:rsidRDefault="00000000">
      <w:pPr>
        <w:pStyle w:val="Body"/>
      </w:pPr>
      <w:r>
        <w:rPr>
          <w:rFonts w:ascii="Malgun Gothic" w:eastAsia="Malgun Gothic" w:hAnsi="Malgun Gothic" w:cs="Malgun Gothic"/>
          <w:lang w:val="ko-KR" w:eastAsia="ko-KR"/>
        </w:rPr>
        <w:t xml:space="preserve">사람들은 일반적으로 이 에어로졸을 '베이퍼'라고 부르며 전자담배를 사용하는 것을 '베이핑'이라고 부릅니다. </w:t>
      </w:r>
    </w:p>
    <w:p w14:paraId="1CF48C9A" w14:textId="77777777" w:rsidR="004D0FF5" w:rsidRDefault="00000000">
      <w:pPr>
        <w:pStyle w:val="Body"/>
      </w:pPr>
      <w:r>
        <w:rPr>
          <w:rFonts w:ascii="Malgun Gothic" w:eastAsia="Malgun Gothic" w:hAnsi="Malgun Gothic" w:cs="Malgun Gothic"/>
          <w:lang w:val="ko-KR" w:eastAsia="ko-KR"/>
        </w:rPr>
        <w:t>베이핑은 안전하지 않으며 건강에 심각한 결과를 초래할 수 있습니다.</w:t>
      </w:r>
    </w:p>
    <w:p w14:paraId="6CC2ABD0" w14:textId="77777777" w:rsidR="004D0FF5" w:rsidRDefault="00000000">
      <w:pPr>
        <w:pStyle w:val="Heading"/>
        <w:rPr>
          <w:rFonts w:hint="default"/>
        </w:rPr>
      </w:pPr>
      <w:r>
        <w:rPr>
          <w:rFonts w:ascii="Malgun Gothic" w:eastAsia="Malgun Gothic" w:hAnsi="Malgun Gothic" w:cs="Malgun Gothic"/>
        </w:rPr>
        <w:t>베이프에는 무엇이 들어 있는가?</w:t>
      </w:r>
    </w:p>
    <w:p w14:paraId="0346296D" w14:textId="77777777" w:rsidR="004D0FF5" w:rsidRDefault="00000000">
      <w:pPr>
        <w:pStyle w:val="Body"/>
      </w:pPr>
      <w:r>
        <w:rPr>
          <w:rFonts w:ascii="Malgun Gothic" w:eastAsia="Malgun Gothic" w:hAnsi="Malgun Gothic" w:cs="Malgun Gothic"/>
          <w:lang w:val="ko-KR" w:eastAsia="ko-KR"/>
        </w:rPr>
        <w:t xml:space="preserve">호주에서 판매되는 대부분의 전자담배에는, 포장에 니코틴이 없다고 표시되어 있더라도, 니코틴이 함유되어 있습니다. </w:t>
      </w:r>
    </w:p>
    <w:p w14:paraId="35AFEC93" w14:textId="77777777" w:rsidR="004D0FF5" w:rsidRDefault="00000000">
      <w:pPr>
        <w:pStyle w:val="Body"/>
      </w:pPr>
      <w:r>
        <w:rPr>
          <w:rFonts w:ascii="Malgun Gothic" w:eastAsia="Malgun Gothic" w:hAnsi="Malgun Gothic" w:cs="Malgun Gothic"/>
          <w:lang w:val="ko-KR" w:eastAsia="ko-KR"/>
        </w:rPr>
        <w:t>니코틴은 중독성이 강하고 독성이 있는 약물로 주의력, 학습, 기억력, 기분에 영향을 줄 수 있습니다.  </w:t>
      </w:r>
    </w:p>
    <w:p w14:paraId="3913A32A" w14:textId="77777777" w:rsidR="004D0FF5" w:rsidRDefault="00000000">
      <w:pPr>
        <w:pStyle w:val="Body"/>
      </w:pPr>
      <w:r>
        <w:rPr>
          <w:rFonts w:ascii="Malgun Gothic" w:eastAsia="Malgun Gothic" w:hAnsi="Malgun Gothic" w:cs="Malgun Gothic"/>
          <w:lang w:val="ko-KR" w:eastAsia="ko-KR"/>
        </w:rPr>
        <w:t>전자담배에는 200가지 이상의 화학물질이 함유되어 있습니다. 여기에는 다음과 같은 발암 물질이 포함될 수 있습니다:</w:t>
      </w:r>
      <w:r>
        <w:rPr>
          <w:rFonts w:ascii="Malgun Gothic" w:eastAsia="Malgun Gothic" w:hAnsi="Malgun Gothic" w:cs="Malgun Gothic"/>
          <w:lang w:val="ko-KR" w:eastAsia="ko-KR"/>
        </w:rPr>
        <w:br/>
      </w:r>
    </w:p>
    <w:p w14:paraId="416751FB"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포름알데히드</w:t>
      </w:r>
      <w:r>
        <w:rPr>
          <w:rFonts w:ascii="Malgun Gothic" w:eastAsia="Malgun Gothic" w:hAnsi="Malgun Gothic" w:cs="Malgun Gothic"/>
          <w:lang w:val="ko-KR" w:eastAsia="ko-KR"/>
        </w:rPr>
        <w:t>(산업용 접착제 및 병원과 장례식장에서 시체 보존용으로 사용됨)</w:t>
      </w:r>
    </w:p>
    <w:p w14:paraId="33C0EE37"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아세톤</w:t>
      </w:r>
      <w:r>
        <w:rPr>
          <w:rFonts w:ascii="Malgun Gothic" w:eastAsia="Malgun Gothic" w:hAnsi="Malgun Gothic" w:cs="Malgun Gothic"/>
          <w:lang w:val="ko-KR" w:eastAsia="ko-KR"/>
        </w:rPr>
        <w:t>(일반적으로 매니큐어 리무버에서 발견됨)</w:t>
      </w:r>
    </w:p>
    <w:p w14:paraId="0B7F7A44"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아세트알데히드</w:t>
      </w:r>
      <w:r>
        <w:rPr>
          <w:rFonts w:ascii="Malgun Gothic" w:eastAsia="Malgun Gothic" w:hAnsi="Malgun Gothic" w:cs="Malgun Gothic"/>
          <w:lang w:val="ko-KR" w:eastAsia="ko-KR"/>
        </w:rPr>
        <w:t>(화학 물질, 향수, 플라스틱에 사용됨)</w:t>
      </w:r>
    </w:p>
    <w:p w14:paraId="348244B7"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아크롤레인</w:t>
      </w:r>
      <w:r>
        <w:rPr>
          <w:rFonts w:ascii="Malgun Gothic" w:eastAsia="Malgun Gothic" w:hAnsi="Malgun Gothic" w:cs="Malgun Gothic"/>
          <w:lang w:val="ko-KR" w:eastAsia="ko-KR"/>
        </w:rPr>
        <w:t>(제초제에서 흔히 발견됨)</w:t>
      </w:r>
    </w:p>
    <w:p w14:paraId="0492FB4C"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니켈, 주석, 납</w:t>
      </w:r>
      <w:r>
        <w:rPr>
          <w:rFonts w:ascii="Malgun Gothic" w:eastAsia="Malgun Gothic" w:hAnsi="Malgun Gothic" w:cs="Malgun Gothic"/>
          <w:lang w:val="ko-KR" w:eastAsia="ko-KR"/>
        </w:rPr>
        <w:t>과 같은</w:t>
      </w:r>
      <w:r>
        <w:rPr>
          <w:rFonts w:ascii="Malgun Gothic" w:eastAsia="Malgun Gothic" w:hAnsi="Malgun Gothic" w:cs="Malgun Gothic"/>
          <w:b/>
          <w:bCs/>
          <w:lang w:val="ko-KR" w:eastAsia="ko-KR"/>
        </w:rPr>
        <w:t xml:space="preserve"> 중금속</w:t>
      </w:r>
      <w:r>
        <w:rPr>
          <w:rFonts w:ascii="Malgun Gothic" w:eastAsia="Malgun Gothic" w:hAnsi="Malgun Gothic" w:cs="Malgun Gothic"/>
          <w:b/>
          <w:bCs/>
          <w:lang w:val="ko-KR" w:eastAsia="ko-KR"/>
        </w:rPr>
        <w:br/>
      </w:r>
    </w:p>
    <w:p w14:paraId="15BF4BC8" w14:textId="77777777" w:rsidR="004D0FF5" w:rsidRDefault="00000000">
      <w:pPr>
        <w:pStyle w:val="Body"/>
      </w:pPr>
      <w:r>
        <w:rPr>
          <w:rFonts w:ascii="Malgun Gothic" w:eastAsia="Malgun Gothic" w:hAnsi="Malgun Gothic" w:cs="Malgun Gothic"/>
          <w:lang w:val="ko-KR" w:eastAsia="ko-KR"/>
        </w:rPr>
        <w:t>또한 다음과 같은 성분도 포함될 수 있습니다:</w:t>
      </w:r>
      <w:r>
        <w:rPr>
          <w:rFonts w:ascii="Malgun Gothic" w:eastAsia="Malgun Gothic" w:hAnsi="Malgun Gothic" w:cs="Malgun Gothic"/>
          <w:lang w:val="ko-KR" w:eastAsia="ko-KR"/>
        </w:rPr>
        <w:br/>
      </w:r>
    </w:p>
    <w:p w14:paraId="66CB01D5"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lastRenderedPageBreak/>
        <w:t>프로필렌 글리콜</w:t>
      </w:r>
      <w:r>
        <w:rPr>
          <w:rFonts w:ascii="Malgun Gothic" w:eastAsia="Malgun Gothic" w:hAnsi="Malgun Gothic" w:cs="Malgun Gothic"/>
          <w:lang w:val="ko-KR" w:eastAsia="ko-KR"/>
        </w:rPr>
        <w:t xml:space="preserve"> - 안개/연막 기계에 사용되는 용매</w:t>
      </w:r>
    </w:p>
    <w:p w14:paraId="151241D7"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폴리에스테르</w:t>
      </w:r>
      <w:r>
        <w:rPr>
          <w:rFonts w:ascii="Malgun Gothic" w:eastAsia="Malgun Gothic" w:hAnsi="Malgun Gothic" w:cs="Malgun Gothic"/>
          <w:lang w:val="ko-KR" w:eastAsia="ko-KR"/>
        </w:rPr>
        <w:t>(플라스틱) 화합물</w:t>
      </w:r>
    </w:p>
    <w:p w14:paraId="78749970"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부동액</w:t>
      </w:r>
      <w:r>
        <w:rPr>
          <w:rFonts w:ascii="Malgun Gothic" w:eastAsia="Malgun Gothic" w:hAnsi="Malgun Gothic" w:cs="Malgun Gothic"/>
          <w:lang w:val="ko-KR" w:eastAsia="ko-KR"/>
        </w:rPr>
        <w:t xml:space="preserve"> - 자동차 냉각수에 사용됨</w:t>
      </w:r>
    </w:p>
    <w:p w14:paraId="2C2F50B4" w14:textId="77777777" w:rsidR="004D0FF5" w:rsidRDefault="00000000">
      <w:pPr>
        <w:pStyle w:val="Body"/>
        <w:numPr>
          <w:ilvl w:val="0"/>
          <w:numId w:val="2"/>
        </w:numPr>
        <w:spacing w:before="80"/>
        <w:rPr>
          <w:lang w:val="ko-KR" w:eastAsia="ko-KR"/>
        </w:rPr>
      </w:pPr>
      <w:r>
        <w:rPr>
          <w:rFonts w:ascii="Malgun Gothic" w:eastAsia="Malgun Gothic" w:hAnsi="Malgun Gothic" w:cs="Malgun Gothic"/>
          <w:b/>
          <w:bCs/>
          <w:lang w:val="ko-KR" w:eastAsia="ko-KR"/>
        </w:rPr>
        <w:t>식물성 글리세린</w:t>
      </w:r>
      <w:r>
        <w:rPr>
          <w:rFonts w:ascii="Malgun Gothic" w:eastAsia="Malgun Gothic" w:hAnsi="Malgun Gothic" w:cs="Malgun Gothic"/>
          <w:lang w:val="ko-KR" w:eastAsia="ko-KR"/>
        </w:rPr>
        <w:t xml:space="preserve"> - 식물성 지방에서 추출한 액체.</w:t>
      </w:r>
    </w:p>
    <w:p w14:paraId="2E37DC56" w14:textId="77777777" w:rsidR="004D0FF5" w:rsidRDefault="00000000">
      <w:pPr>
        <w:pStyle w:val="Body"/>
      </w:pPr>
      <w:r>
        <w:rPr>
          <w:rFonts w:ascii="Malgun Gothic" w:eastAsia="Malgun Gothic" w:hAnsi="Malgun Gothic" w:cs="Malgun Gothic"/>
          <w:lang w:val="ko-KR" w:eastAsia="ko-KR"/>
        </w:rPr>
        <w:t>베이핑을 할 때, 본인만 이러한 화학물질에 노출되는 것이 아닙니다. 주변 사람들도 마찬가지입니다.</w:t>
      </w:r>
    </w:p>
    <w:p w14:paraId="300CAC01" w14:textId="77777777" w:rsidR="004D0FF5" w:rsidRDefault="00000000">
      <w:pPr>
        <w:pStyle w:val="Heading"/>
        <w:rPr>
          <w:rFonts w:hint="default"/>
        </w:rPr>
      </w:pPr>
      <w:r>
        <w:rPr>
          <w:rFonts w:ascii="Malgun Gothic" w:eastAsia="Malgun Gothic" w:hAnsi="Malgun Gothic" w:cs="Malgun Gothic"/>
        </w:rPr>
        <w:t xml:space="preserve">베이핑이 신체 건강에 미치는 영향 </w:t>
      </w:r>
    </w:p>
    <w:p w14:paraId="712F7741" w14:textId="77777777" w:rsidR="004D0FF5" w:rsidRDefault="00000000">
      <w:pPr>
        <w:pStyle w:val="Body"/>
      </w:pPr>
      <w:r>
        <w:rPr>
          <w:rFonts w:ascii="Malgun Gothic" w:eastAsia="Malgun Gothic" w:hAnsi="Malgun Gothic" w:cs="Malgun Gothic"/>
          <w:lang w:val="ko-KR" w:eastAsia="ko-KR"/>
        </w:rPr>
        <w:t>전자담배에는 높은 수준의 니코틴이 함유될 수 있으며 200가지 이상의 유해 화학물질이 포함될 수 있습니다. 베이핑과 관련해 알려진 건강상 위험은 다음과 같습니다:</w:t>
      </w:r>
    </w:p>
    <w:p w14:paraId="44FEF119"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구강 및 기도 자극</w:t>
      </w:r>
    </w:p>
    <w:p w14:paraId="037428EC"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지속적인 기침</w:t>
      </w:r>
    </w:p>
    <w:p w14:paraId="1A529B3C"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메스꺼움</w:t>
      </w:r>
    </w:p>
    <w:p w14:paraId="6E1A1ACB"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숨가쁨 및 천명(쌕쌕거림)</w:t>
      </w:r>
    </w:p>
    <w:p w14:paraId="7A82E151"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니코틴 과다 흡입 또는 전자 액상 섭취로 인한 중독 및 발작</w:t>
      </w:r>
    </w:p>
    <w:p w14:paraId="0A0ADF22"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전자담배 과열 또는 폭발로 인한 화상이나 부상</w:t>
      </w:r>
    </w:p>
    <w:p w14:paraId="5E1ED4D2"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니코틴 의존성</w:t>
      </w:r>
    </w:p>
    <w:p w14:paraId="5FD76257"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호흡기 문제 및 폐 손상</w:t>
      </w:r>
    </w:p>
    <w:p w14:paraId="64E48C94"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사용 중 및 사용 후 잠시 동안 혈압 상승</w:t>
      </w:r>
    </w:p>
    <w:p w14:paraId="2EF1F5F7"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수면의 질 저하로 인한 피로감</w:t>
      </w:r>
    </w:p>
    <w:p w14:paraId="1375C34C"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일시적인 미각 상실 또는 미각 변화</w:t>
      </w:r>
    </w:p>
    <w:p w14:paraId="27D207CA" w14:textId="77777777" w:rsidR="004D0FF5" w:rsidRDefault="00000000">
      <w:pPr>
        <w:pStyle w:val="Heading"/>
        <w:rPr>
          <w:rFonts w:hint="default"/>
        </w:rPr>
      </w:pPr>
      <w:r>
        <w:rPr>
          <w:rFonts w:ascii="Malgun Gothic" w:eastAsia="Malgun Gothic" w:hAnsi="Malgun Gothic" w:cs="Malgun Gothic"/>
        </w:rPr>
        <w:lastRenderedPageBreak/>
        <w:t>베이핑이 정신 건강에 미치는 영향</w:t>
      </w:r>
    </w:p>
    <w:p w14:paraId="3F81874E" w14:textId="77777777" w:rsidR="004D0FF5" w:rsidRDefault="00000000">
      <w:pPr>
        <w:pStyle w:val="Body"/>
      </w:pPr>
      <w:r>
        <w:rPr>
          <w:rFonts w:ascii="Malgun Gothic" w:eastAsia="Malgun Gothic" w:hAnsi="Malgun Gothic" w:cs="Malgun Gothic"/>
          <w:lang w:val="ko-KR" w:eastAsia="ko-KR"/>
        </w:rPr>
        <w:t xml:space="preserve">베이핑은 불안과 우울증과 같은 정신 건강 문제를 악화시킬 수 있지만, 금연하면 정신 건강이 개선될 수 </w:t>
      </w:r>
      <w:r>
        <w:rPr>
          <w:rFonts w:ascii="Malgun Gothic" w:eastAsia="Malgun Gothic" w:hAnsi="Malgun Gothic" w:cs="Malgun Gothic"/>
          <w:lang w:val="ko-KR" w:eastAsia="ko-KR"/>
        </w:rPr>
        <w:br/>
        <w:t xml:space="preserve">있습니다. </w:t>
      </w:r>
    </w:p>
    <w:p w14:paraId="67309AA5" w14:textId="77777777" w:rsidR="004D0FF5" w:rsidRDefault="00000000">
      <w:pPr>
        <w:pStyle w:val="Body"/>
      </w:pPr>
      <w:r>
        <w:rPr>
          <w:rFonts w:ascii="Malgun Gothic" w:eastAsia="Malgun Gothic" w:hAnsi="Malgun Gothic" w:cs="Malgun Gothic"/>
          <w:lang w:val="ko-KR" w:eastAsia="ko-KR"/>
        </w:rPr>
        <w:t xml:space="preserve">베이핑이 정신 건강에 영향을 미치고 있는 경우, 도움을 받을 수 있습니다. 일반의 또는 의료 전문가와 상담하거나, 다음 기관 중 한 곳을 찾아보십시오. </w:t>
      </w:r>
    </w:p>
    <w:p w14:paraId="4EA98794" w14:textId="77777777" w:rsidR="004D0FF5"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13YARN </w:t>
      </w:r>
      <w:hyperlink r:id="rId7" w:history="1">
        <w:r w:rsidR="004D0FF5">
          <w:rPr>
            <w:rStyle w:val="Hyperlink0"/>
          </w:rPr>
          <w:t>www.13yarn.org.au</w:t>
        </w:r>
      </w:hyperlink>
      <w:r>
        <w:rPr>
          <w:rStyle w:val="None"/>
          <w:rFonts w:ascii="Malgun Gothic" w:eastAsia="Malgun Gothic" w:hAnsi="Malgun Gothic" w:cs="Malgun Gothic"/>
          <w:lang w:val="ko-KR" w:eastAsia="ko-KR"/>
        </w:rPr>
        <w:t xml:space="preserve"> 또는 13 9276 번으로 전화</w:t>
      </w:r>
    </w:p>
    <w:p w14:paraId="58C31839"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Beyond Blue </w:t>
      </w:r>
      <w:hyperlink r:id="rId8" w:history="1">
        <w:r w:rsidR="004D0FF5">
          <w:rPr>
            <w:rStyle w:val="Hyperlink0"/>
          </w:rPr>
          <w:t>www.beyondblue.org.au</w:t>
        </w:r>
      </w:hyperlink>
      <w:r>
        <w:rPr>
          <w:rStyle w:val="None"/>
          <w:rFonts w:ascii="Malgun Gothic" w:eastAsia="Malgun Gothic" w:hAnsi="Malgun Gothic" w:cs="Malgun Gothic"/>
          <w:lang w:val="ko-KR" w:eastAsia="ko-KR"/>
        </w:rPr>
        <w:t xml:space="preserve"> 또는 1300 224 636 번으로 전화</w:t>
      </w:r>
    </w:p>
    <w:p w14:paraId="4F852C48"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Medicare Mental Health </w:t>
      </w:r>
      <w:hyperlink r:id="rId9" w:history="1">
        <w:r w:rsidR="004D0FF5">
          <w:rPr>
            <w:rStyle w:val="Hyperlink0"/>
          </w:rPr>
          <w:t>www.medicarementalhealth.gov.au</w:t>
        </w:r>
      </w:hyperlink>
      <w:r>
        <w:rPr>
          <w:rStyle w:val="None"/>
          <w:rFonts w:ascii="Malgun Gothic" w:eastAsia="Malgun Gothic" w:hAnsi="Malgun Gothic" w:cs="Malgun Gothic"/>
          <w:lang w:val="ko-KR" w:eastAsia="ko-KR"/>
        </w:rPr>
        <w:t xml:space="preserve"> 또는 1800 595 212 번으로 전화</w:t>
      </w:r>
    </w:p>
    <w:p w14:paraId="43009D5F"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Headspace </w:t>
      </w:r>
      <w:hyperlink r:id="rId10" w:history="1">
        <w:r w:rsidR="004D0FF5">
          <w:rPr>
            <w:rStyle w:val="Hyperlink0"/>
          </w:rPr>
          <w:t>www.headspace.org.au</w:t>
        </w:r>
      </w:hyperlink>
      <w:r>
        <w:rPr>
          <w:rStyle w:val="None"/>
          <w:rFonts w:ascii="Malgun Gothic" w:eastAsia="Malgun Gothic" w:hAnsi="Malgun Gothic" w:cs="Malgun Gothic"/>
          <w:lang w:val="ko-KR" w:eastAsia="ko-KR"/>
        </w:rPr>
        <w:t xml:space="preserve"> 또는 1800 650 890 번으로 전화</w:t>
      </w:r>
    </w:p>
    <w:p w14:paraId="09A22FD7" w14:textId="77777777" w:rsidR="004D0FF5" w:rsidRDefault="00000000">
      <w:pPr>
        <w:pStyle w:val="Heading"/>
        <w:rPr>
          <w:rFonts w:hint="default"/>
        </w:rPr>
      </w:pPr>
      <w:r>
        <w:rPr>
          <w:rStyle w:val="None"/>
          <w:rFonts w:ascii="Malgun Gothic" w:eastAsia="Malgun Gothic" w:hAnsi="Malgun Gothic" w:cs="Malgun Gothic"/>
        </w:rPr>
        <w:t>베이핑 및 흡연</w:t>
      </w:r>
    </w:p>
    <w:p w14:paraId="2E11F4EB" w14:textId="77777777" w:rsidR="004D0FF5" w:rsidRDefault="00000000">
      <w:pPr>
        <w:pStyle w:val="Body"/>
      </w:pPr>
      <w:r>
        <w:rPr>
          <w:rStyle w:val="None"/>
          <w:rFonts w:ascii="Malgun Gothic" w:eastAsia="Malgun Gothic" w:hAnsi="Malgun Gothic" w:cs="Malgun Gothic"/>
          <w:lang w:val="ko-KR" w:eastAsia="ko-KR"/>
        </w:rPr>
        <w:t xml:space="preserve">베이핑과 흡연을 함께 하는 사람은 더 높은 수준의 위험한 화학물질과 추가적 위험 및 건강상 합병증에 노출될 수 있습니다. </w:t>
      </w:r>
    </w:p>
    <w:p w14:paraId="01ED9C7D" w14:textId="77777777" w:rsidR="004D0FF5" w:rsidRDefault="00000000">
      <w:pPr>
        <w:pStyle w:val="Body"/>
      </w:pPr>
      <w:r>
        <w:rPr>
          <w:rStyle w:val="None"/>
          <w:rFonts w:ascii="Malgun Gothic" w:eastAsia="Malgun Gothic" w:hAnsi="Malgun Gothic" w:cs="Malgun Gothic"/>
          <w:lang w:val="ko-KR" w:eastAsia="ko-KR"/>
        </w:rPr>
        <w:t xml:space="preserve">담배를 끊기 위해 베이핑을 하고 있거나, 고려하고 있다면 의사와 상담하십시오. 의사는 금연과 베이핑을 완전히 끊을 수 있도록 개인 상황에 적합한 옵션에 대해 조언을 제공할 수 있습니다. </w:t>
      </w:r>
    </w:p>
    <w:p w14:paraId="139914F8" w14:textId="77777777" w:rsidR="004D0FF5" w:rsidRDefault="00000000">
      <w:pPr>
        <w:pStyle w:val="Heading"/>
        <w:rPr>
          <w:rFonts w:hint="default"/>
        </w:rPr>
      </w:pPr>
      <w:r>
        <w:rPr>
          <w:rStyle w:val="None"/>
          <w:rFonts w:ascii="Malgun Gothic" w:eastAsia="Malgun Gothic" w:hAnsi="Malgun Gothic" w:cs="Malgun Gothic"/>
        </w:rPr>
        <w:t>금연의 혜택</w:t>
      </w:r>
    </w:p>
    <w:p w14:paraId="72C6325A" w14:textId="77777777" w:rsidR="004D0FF5" w:rsidRDefault="00000000">
      <w:pPr>
        <w:pStyle w:val="Body"/>
      </w:pPr>
      <w:r>
        <w:rPr>
          <w:rStyle w:val="None"/>
          <w:rFonts w:ascii="Malgun Gothic" w:eastAsia="Malgun Gothic" w:hAnsi="Malgun Gothic" w:cs="Malgun Gothic"/>
          <w:lang w:val="ko-KR" w:eastAsia="ko-KR"/>
        </w:rPr>
        <w:t>전자담배를 끊으면 많은 혜택이 있습니다. 건강이 개선되고 니코틴 의존에서 벗어날 수 있습니다. </w:t>
      </w:r>
    </w:p>
    <w:p w14:paraId="3886A9BF" w14:textId="77777777" w:rsidR="004D0FF5" w:rsidRDefault="00000000">
      <w:pPr>
        <w:pStyle w:val="Body"/>
      </w:pPr>
      <w:r>
        <w:rPr>
          <w:rStyle w:val="None"/>
          <w:rFonts w:ascii="Malgun Gothic" w:eastAsia="Malgun Gothic" w:hAnsi="Malgun Gothic" w:cs="Malgun Gothic"/>
          <w:lang w:val="ko-KR" w:eastAsia="ko-KR"/>
        </w:rPr>
        <w:t>전자담배의 플라스틱, 전자 폐기물 및 독성 화학물질로 인한 환경 피해를 줄이고 그 비용을 절약할 수 있습니다.</w:t>
      </w:r>
    </w:p>
    <w:p w14:paraId="212AD264" w14:textId="77777777" w:rsidR="004D0FF5" w:rsidRDefault="00000000">
      <w:pPr>
        <w:pStyle w:val="Heading"/>
        <w:rPr>
          <w:rFonts w:hint="default"/>
        </w:rPr>
      </w:pPr>
      <w:r>
        <w:rPr>
          <w:rStyle w:val="None"/>
          <w:rFonts w:ascii="Malgun Gothic" w:eastAsia="Malgun Gothic" w:hAnsi="Malgun Gothic" w:cs="Malgun Gothic"/>
        </w:rPr>
        <w:lastRenderedPageBreak/>
        <w:t>금연하는 방법</w:t>
      </w:r>
    </w:p>
    <w:p w14:paraId="02D5FD2E" w14:textId="77777777" w:rsidR="004D0FF5" w:rsidRDefault="00000000">
      <w:pPr>
        <w:pStyle w:val="Body"/>
      </w:pPr>
      <w:r>
        <w:rPr>
          <w:rStyle w:val="None"/>
          <w:rFonts w:ascii="Malgun Gothic" w:eastAsia="Malgun Gothic" w:hAnsi="Malgun Gothic" w:cs="Malgun Gothic"/>
          <w:lang w:val="ko-KR" w:eastAsia="ko-KR"/>
        </w:rPr>
        <w:t xml:space="preserve">전자담배를 끊기에는 결코 늦지 않았습니다. </w:t>
      </w:r>
    </w:p>
    <w:p w14:paraId="665E7FB0" w14:textId="77777777" w:rsidR="004D0FF5" w:rsidRDefault="00000000">
      <w:pPr>
        <w:pStyle w:val="Body"/>
      </w:pPr>
      <w:r>
        <w:rPr>
          <w:rStyle w:val="None"/>
          <w:rFonts w:ascii="Malgun Gothic" w:eastAsia="Malgun Gothic" w:hAnsi="Malgun Gothic" w:cs="Malgun Gothic"/>
          <w:lang w:val="ko-KR" w:eastAsia="ko-KR"/>
        </w:rPr>
        <w:t xml:space="preserve">흡연 욕구를 참을 때마다 금연에 한 걸음 더 가까워지는 것입니다. </w:t>
      </w:r>
    </w:p>
    <w:p w14:paraId="525562B3" w14:textId="77777777" w:rsidR="004D0FF5" w:rsidRDefault="00000000">
      <w:pPr>
        <w:pStyle w:val="Body"/>
      </w:pPr>
      <w:r>
        <w:rPr>
          <w:rStyle w:val="None"/>
          <w:rFonts w:ascii="Malgun Gothic" w:eastAsia="Malgun Gothic" w:hAnsi="Malgun Gothic" w:cs="Malgun Gothic"/>
          <w:lang w:val="ko-KR" w:eastAsia="ko-KR"/>
        </w:rPr>
        <w:t xml:space="preserve">전자담배를 끊는 데 도움이 되는 많은 지원이 있습니다. 금연 방법에는 여러 가지가 있으며, 많은 경우 여러 가지 방법을 조합하는 것이 가장 성공 확률이 높습니다. </w:t>
      </w:r>
    </w:p>
    <w:p w14:paraId="30B83CC1" w14:textId="77777777" w:rsidR="004D0FF5" w:rsidRDefault="00000000">
      <w:pPr>
        <w:pStyle w:val="Body"/>
      </w:pPr>
      <w:r>
        <w:rPr>
          <w:rStyle w:val="None"/>
          <w:rFonts w:ascii="Malgun Gothic" w:eastAsia="Malgun Gothic" w:hAnsi="Malgun Gothic" w:cs="Malgun Gothic"/>
          <w:lang w:val="ko-KR" w:eastAsia="ko-KR"/>
        </w:rPr>
        <w:t>금연 지원 서비스는 흡연 기간에 상관없이, 베이핑뿐만 아니라 흡연에 있어서도 니코틴을 끊는 데 도움이 되는 것으로 입증되었습니다.</w:t>
      </w:r>
    </w:p>
    <w:p w14:paraId="26FF75C8" w14:textId="77777777" w:rsidR="004D0FF5" w:rsidRDefault="00000000">
      <w:pPr>
        <w:pStyle w:val="Body"/>
      </w:pPr>
      <w:r>
        <w:rPr>
          <w:rStyle w:val="None"/>
          <w:rFonts w:ascii="Malgun Gothic" w:eastAsia="Malgun Gothic" w:hAnsi="Malgun Gothic" w:cs="Malgun Gothic"/>
          <w:lang w:val="ko-KR" w:eastAsia="ko-KR"/>
        </w:rPr>
        <w:t>금연을 고려 중이시거나 니코틴 없이 지내는 데 도움이 필요하시다면, 성공적인 금연을 위해 마련된 다양한 최신 자료와 서비스를 이용하실 수 있습니다.</w:t>
      </w:r>
    </w:p>
    <w:p w14:paraId="31563FF1"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약물 복용을 포함, 흡연 욕구와 금단 증상을 줄여 줄 수 있고 자신에게 적합한 다양한 방법들에 대해 의사와 약사, 다른 보건 전문가들과 상담하세요.</w:t>
      </w:r>
    </w:p>
    <w:p w14:paraId="54DFC290"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금연 전화 13 7848번으로 전화해 전문 상담사로부터 비밀이 보장된 조언과 지원을 받으세요. 자신에게 맞는 시간대에 무료 콜백을 요청할 수도 있습니다. 영어 이외의 언어를 원하시는 경우 전화 통역 서비스도 이용 가능하며 사전 예약을 통해 이용할 수 있습니다. </w:t>
      </w:r>
    </w:p>
    <w:p w14:paraId="2737E921"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금연에 도움이 되는 도움말과 전략, 금연 과정 중 예상되는 상황에 대한 정보를 </w:t>
      </w:r>
      <w:hyperlink r:id="rId11" w:history="1">
        <w:r w:rsidR="004D0FF5">
          <w:rPr>
            <w:rStyle w:val="Hyperlink0"/>
          </w:rPr>
          <w:t>Quit.org.au</w:t>
        </w:r>
      </w:hyperlink>
      <w:r>
        <w:rPr>
          <w:rStyle w:val="None"/>
          <w:rFonts w:ascii="Malgun Gothic" w:eastAsia="Malgun Gothic" w:hAnsi="Malgun Gothic" w:cs="Malgun Gothic"/>
          <w:lang w:val="ko-KR" w:eastAsia="ko-KR"/>
        </w:rPr>
        <w:t>에서 알아보세요.</w:t>
      </w:r>
    </w:p>
    <w:p w14:paraId="26F75029" w14:textId="77777777" w:rsidR="004D0FF5"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새로 업데이트된 </w:t>
      </w:r>
      <w:hyperlink r:id="rId12" w:history="1">
        <w:r w:rsidR="004D0FF5">
          <w:rPr>
            <w:rStyle w:val="Hyperlink0"/>
          </w:rPr>
          <w:t>My QuitBuddy app</w:t>
        </w:r>
      </w:hyperlink>
      <w:r>
        <w:rPr>
          <w:rStyle w:val="None"/>
          <w:rFonts w:ascii="Malgun Gothic" w:eastAsia="Malgun Gothic" w:hAnsi="Malgun Gothic" w:cs="Malgun Gothic"/>
          <w:lang w:val="ko-KR" w:eastAsia="ko-KR"/>
        </w:rPr>
        <w:t>을 무료로 다운로드하여 증거에 기반한 정보, 새로운 금연 도움말, 흡연 욕구를 억제하는 방법을 확인해보세요.</w:t>
      </w:r>
      <w:r>
        <w:rPr>
          <w:rStyle w:val="None"/>
          <w:rFonts w:ascii="Malgun Gothic" w:eastAsia="Malgun Gothic" w:hAnsi="Malgun Gothic" w:cs="Malgun Gothic"/>
          <w:lang w:val="ko-KR" w:eastAsia="ko-KR"/>
        </w:rPr>
        <w:br/>
      </w:r>
    </w:p>
    <w:p w14:paraId="78CAFF12" w14:textId="77777777" w:rsidR="004D0FF5" w:rsidRDefault="00000000">
      <w:pPr>
        <w:pStyle w:val="Body"/>
        <w:rPr>
          <w:rStyle w:val="None"/>
          <w:rFonts w:ascii="Malgun Gothic" w:eastAsia="Malgun Gothic" w:hAnsi="Malgun Gothic" w:cs="Malgun Gothic"/>
        </w:rPr>
      </w:pPr>
      <w:r>
        <w:rPr>
          <w:rStyle w:val="None"/>
          <w:rFonts w:ascii="Malgun Gothic" w:eastAsia="Malgun Gothic" w:hAnsi="Malgun Gothic" w:cs="Malgun Gothic"/>
          <w:lang w:val="ko-KR" w:eastAsia="ko-KR"/>
        </w:rPr>
        <w:t>더 많은 정보는 아래를 방문하세요.</w:t>
      </w:r>
    </w:p>
    <w:p w14:paraId="1EA84F00" w14:textId="50990C38" w:rsidR="004D0FF5" w:rsidRDefault="00E745B6">
      <w:pPr>
        <w:pStyle w:val="Body"/>
      </w:pPr>
      <w:hyperlink r:id="rId13" w:history="1">
        <w:r w:rsidR="00000000" w:rsidRPr="00E745B6">
          <w:rPr>
            <w:rStyle w:val="Hyperlink"/>
            <w:rFonts w:ascii="Malgun Gothic" w:eastAsia="Malgun Gothic" w:hAnsi="Malgun Gothic" w:cs="Malgun Gothic"/>
            <w:b/>
            <w:bCs/>
            <w:sz w:val="28"/>
            <w:szCs w:val="28"/>
            <w:lang w:val="ko-KR" w:eastAsia="ko-KR"/>
          </w:rPr>
          <w:t>health.gov.au/GiveUpForGood/translated</w:t>
        </w:r>
      </w:hyperlink>
    </w:p>
    <w:sectPr w:rsidR="004D0FF5">
      <w:headerReference w:type="even" r:id="rId14"/>
      <w:headerReference w:type="default" r:id="rId15"/>
      <w:footerReference w:type="even" r:id="rId16"/>
      <w:footerReference w:type="default" r:id="rId17"/>
      <w:headerReference w:type="first" r:id="rId18"/>
      <w:footerReference w:type="first" r:id="rId19"/>
      <w:pgSz w:w="11900" w:h="16840"/>
      <w:pgMar w:top="2835" w:right="1021" w:bottom="1134" w:left="1021" w:header="567"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1DDC" w14:textId="77777777" w:rsidR="00C15D3D" w:rsidRDefault="00C15D3D">
      <w:r>
        <w:separator/>
      </w:r>
    </w:p>
  </w:endnote>
  <w:endnote w:type="continuationSeparator" w:id="0">
    <w:p w14:paraId="78A18ABC" w14:textId="77777777" w:rsidR="00C15D3D" w:rsidRDefault="00C1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4F22" w14:textId="51C04B46" w:rsidR="00AD5914" w:rsidRDefault="00AD5914">
    <w:pPr>
      <w:pStyle w:val="Footer"/>
    </w:pPr>
    <w:r>
      <w:rPr>
        <w:noProof/>
      </w:rPr>
      <mc:AlternateContent>
        <mc:Choice Requires="wps">
          <w:drawing>
            <wp:anchor distT="0" distB="0" distL="0" distR="0" simplePos="0" relativeHeight="251663360" behindDoc="0" locked="0" layoutInCell="1" allowOverlap="1" wp14:anchorId="5914912C" wp14:editId="130CC7DF">
              <wp:simplePos x="635" y="635"/>
              <wp:positionH relativeFrom="page">
                <wp:align>center</wp:align>
              </wp:positionH>
              <wp:positionV relativeFrom="page">
                <wp:align>bottom</wp:align>
              </wp:positionV>
              <wp:extent cx="622300" cy="376555"/>
              <wp:effectExtent l="0" t="0" r="6350" b="0"/>
              <wp:wrapNone/>
              <wp:docPr id="7800727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5F93C528" w14:textId="42FF8AF0"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5914912C"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" filled="f" stroked="f">
              <v:textbox style="mso-fit-shape-to-text:t" inset="0,0,0,15pt">
                <w:txbxContent>
                  <w:p w14:paraId="5F93C528" w14:textId="42FF8AF0"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DBF" w14:textId="73DFC50A" w:rsidR="004D0FF5" w:rsidRDefault="00000000">
    <w:pPr>
      <w:pStyle w:val="Body"/>
      <w:tabs>
        <w:tab w:val="right" w:pos="9838"/>
      </w:tabs>
      <w:spacing w:after="0"/>
      <w:jc w:val="right"/>
    </w:pPr>
    <w:r>
      <w:fldChar w:fldCharType="begin"/>
    </w:r>
    <w:r>
      <w:instrText xml:space="preserve"> PAGE </w:instrText>
    </w:r>
    <w:r>
      <w:fldChar w:fldCharType="separate"/>
    </w:r>
    <w:r w:rsidR="00AD5914">
      <w:rPr>
        <w:noProof/>
      </w:rPr>
      <w:t>1</w:t>
    </w:r>
    <w:r>
      <w:fldChar w:fldCharType="end"/>
    </w:r>
  </w:p>
  <w:p w14:paraId="7C224B83" w14:textId="77777777" w:rsidR="004D0FF5" w:rsidRDefault="00000000">
    <w:pPr>
      <w:pStyle w:val="Body"/>
      <w:tabs>
        <w:tab w:val="right" w:pos="9838"/>
      </w:tabs>
      <w:spacing w:after="0"/>
      <w:ind w:right="360"/>
    </w:pPr>
    <w:r>
      <w:rPr>
        <w:rFonts w:ascii="Malgun Gothic" w:eastAsia="Malgun Gothic" w:hAnsi="Malgun Gothic" w:cs="Malgun Gothic"/>
        <w:lang w:val="ko-KR" w:eastAsia="ko-KR"/>
      </w:rPr>
      <w:t>전자담배를 영원히 끊으세요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0822" w14:textId="773743E9" w:rsidR="00AD5914" w:rsidRDefault="00AD5914">
    <w:pPr>
      <w:pStyle w:val="Footer"/>
    </w:pPr>
    <w:r>
      <w:rPr>
        <w:noProof/>
      </w:rPr>
      <mc:AlternateContent>
        <mc:Choice Requires="wps">
          <w:drawing>
            <wp:anchor distT="0" distB="0" distL="0" distR="0" simplePos="0" relativeHeight="251662336" behindDoc="0" locked="0" layoutInCell="1" allowOverlap="1" wp14:anchorId="1E353B55" wp14:editId="50241964">
              <wp:simplePos x="635" y="635"/>
              <wp:positionH relativeFrom="page">
                <wp:align>center</wp:align>
              </wp:positionH>
              <wp:positionV relativeFrom="page">
                <wp:align>bottom</wp:align>
              </wp:positionV>
              <wp:extent cx="622300" cy="376555"/>
              <wp:effectExtent l="0" t="0" r="6350" b="0"/>
              <wp:wrapNone/>
              <wp:docPr id="3664328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5B94CB59" w14:textId="7649EE7E"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1E353B55"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" filled="f" stroked="f">
              <v:textbox style="mso-fit-shape-to-text:t" inset="0,0,0,15pt">
                <w:txbxContent>
                  <w:p w14:paraId="5B94CB59" w14:textId="7649EE7E"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98151" w14:textId="77777777" w:rsidR="00C15D3D" w:rsidRDefault="00C15D3D">
      <w:r>
        <w:separator/>
      </w:r>
    </w:p>
  </w:footnote>
  <w:footnote w:type="continuationSeparator" w:id="0">
    <w:p w14:paraId="1B90B4E5" w14:textId="77777777" w:rsidR="00C15D3D" w:rsidRDefault="00C15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73BC" w14:textId="21142D1D" w:rsidR="00AD5914" w:rsidRDefault="00AD5914">
    <w:pPr>
      <w:pStyle w:val="Header"/>
    </w:pPr>
    <w:r>
      <w:rPr>
        <w:noProof/>
      </w:rPr>
      <mc:AlternateContent>
        <mc:Choice Requires="wps">
          <w:drawing>
            <wp:anchor distT="0" distB="0" distL="0" distR="0" simplePos="0" relativeHeight="251660288" behindDoc="0" locked="0" layoutInCell="1" allowOverlap="1" wp14:anchorId="1E1365B0" wp14:editId="1B0FB320">
              <wp:simplePos x="635" y="635"/>
              <wp:positionH relativeFrom="page">
                <wp:align>center</wp:align>
              </wp:positionH>
              <wp:positionV relativeFrom="page">
                <wp:align>top</wp:align>
              </wp:positionV>
              <wp:extent cx="622300" cy="376555"/>
              <wp:effectExtent l="0" t="0" r="6350" b="4445"/>
              <wp:wrapNone/>
              <wp:docPr id="8124338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16A05E7D" w14:textId="21558D78"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1E1365B0"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" filled="f" stroked="f">
              <v:textbox style="mso-fit-shape-to-text:t" inset="0,15pt,0,0">
                <w:txbxContent>
                  <w:p w14:paraId="16A05E7D" w14:textId="21558D78"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7942" w14:textId="00E54C99" w:rsidR="004D0FF5" w:rsidRDefault="00000000">
    <w:pPr>
      <w:pStyle w:val="Body"/>
      <w:spacing w:before="0" w:after="2040"/>
    </w:pPr>
    <w:r>
      <w:rPr>
        <w:noProof/>
      </w:rPr>
      <w:drawing>
        <wp:anchor distT="152400" distB="152400" distL="152400" distR="152400" simplePos="0" relativeHeight="251658240" behindDoc="1" locked="0" layoutInCell="1" allowOverlap="1" wp14:anchorId="6D606F9D" wp14:editId="77B84945">
          <wp:simplePos x="0" y="0"/>
          <wp:positionH relativeFrom="page">
            <wp:posOffset>184637</wp:posOffset>
          </wp:positionH>
          <wp:positionV relativeFrom="page">
            <wp:posOffset>184637</wp:posOffset>
          </wp:positionV>
          <wp:extent cx="7191891" cy="1357199"/>
          <wp:effectExtent l="0" t="0" r="0" b="0"/>
          <wp:wrapNone/>
          <wp:docPr id="1073741825" name="officeArt object"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1073741825" name="Australian Governement and Give up for Good logos" descr="Australian Governement and Give up for Good logos"/>
                  <pic:cNvPicPr>
                    <a:picLocks noChangeAspect="1"/>
                  </pic:cNvPicPr>
                </pic:nvPicPr>
                <pic:blipFill>
                  <a:blip r:embed="rId1"/>
                  <a:stretch>
                    <a:fillRect/>
                  </a:stretch>
                </pic:blipFill>
                <pic:spPr>
                  <a:xfrm>
                    <a:off x="0" y="0"/>
                    <a:ext cx="7191891" cy="1357199"/>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58C8" w14:textId="4984161E" w:rsidR="00AD5914" w:rsidRDefault="00AD5914">
    <w:pPr>
      <w:pStyle w:val="Header"/>
    </w:pPr>
    <w:r>
      <w:rPr>
        <w:noProof/>
      </w:rPr>
      <mc:AlternateContent>
        <mc:Choice Requires="wps">
          <w:drawing>
            <wp:anchor distT="0" distB="0" distL="0" distR="0" simplePos="0" relativeHeight="251659264" behindDoc="0" locked="0" layoutInCell="1" allowOverlap="1" wp14:anchorId="6B5156E3" wp14:editId="03460751">
              <wp:simplePos x="635" y="635"/>
              <wp:positionH relativeFrom="page">
                <wp:align>center</wp:align>
              </wp:positionH>
              <wp:positionV relativeFrom="page">
                <wp:align>top</wp:align>
              </wp:positionV>
              <wp:extent cx="622300" cy="376555"/>
              <wp:effectExtent l="0" t="0" r="6350" b="4445"/>
              <wp:wrapNone/>
              <wp:docPr id="11449143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5AE735B2" w14:textId="7303D8BC"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6B5156E3"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" filled="f" stroked="f">
              <v:textbox style="mso-fit-shape-to-text:t" inset="0,15pt,0,0">
                <w:txbxContent>
                  <w:p w14:paraId="5AE735B2" w14:textId="7303D8BC" w:rsidR="00AD5914" w:rsidRPr="00AD5914" w:rsidRDefault="00AD5914" w:rsidP="00AD5914">
                    <w:pPr>
                      <w:rPr>
                        <w:rFonts w:ascii="Aptos" w:eastAsia="Aptos" w:hAnsi="Aptos" w:cs="Aptos"/>
                        <w:noProof/>
                        <w:color w:val="FF0000"/>
                      </w:rPr>
                    </w:pPr>
                    <w:r w:rsidRPr="00AD591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ADA"/>
    <w:multiLevelType w:val="hybridMultilevel"/>
    <w:tmpl w:val="2C7E4934"/>
    <w:styleLink w:val="ImportedStyle1"/>
    <w:lvl w:ilvl="0" w:tplc="CA94466E">
      <w:start w:val="1"/>
      <w:numFmt w:val="bullet"/>
      <w:lvlText w:val="•"/>
      <w:lvlJc w:val="left"/>
      <w:pPr>
        <w:ind w:left="284"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1" w:tplc="73225028">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2" w:tplc="64044C10">
      <w:start w:val="1"/>
      <w:numFmt w:val="bullet"/>
      <w:lvlText w:val="»"/>
      <w:lvlJc w:val="left"/>
      <w:pPr>
        <w:ind w:left="852"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3" w:tplc="71B6B1A4">
      <w:start w:val="1"/>
      <w:numFmt w:val="bullet"/>
      <w:lvlText w:val="◦"/>
      <w:lvlJc w:val="left"/>
      <w:pPr>
        <w:ind w:left="1136"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4" w:tplc="5CE2CBAC">
      <w:start w:val="1"/>
      <w:numFmt w:val="bullet"/>
      <w:lvlText w:val="◦"/>
      <w:lvlJc w:val="left"/>
      <w:pPr>
        <w:ind w:left="1420"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5" w:tplc="0802A694">
      <w:start w:val="1"/>
      <w:numFmt w:val="bullet"/>
      <w:lvlText w:val="◦"/>
      <w:lvlJc w:val="left"/>
      <w:pPr>
        <w:ind w:left="1704"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6" w:tplc="0E80BD18">
      <w:start w:val="1"/>
      <w:numFmt w:val="bullet"/>
      <w:lvlText w:val="◦"/>
      <w:lvlJc w:val="left"/>
      <w:pPr>
        <w:ind w:left="1988"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7" w:tplc="E0920204">
      <w:start w:val="1"/>
      <w:numFmt w:val="bullet"/>
      <w:lvlText w:val="◦"/>
      <w:lvlJc w:val="left"/>
      <w:pPr>
        <w:ind w:left="2272"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8" w:tplc="AD80780A">
      <w:start w:val="1"/>
      <w:numFmt w:val="bullet"/>
      <w:lvlText w:val="◦"/>
      <w:lvlJc w:val="left"/>
      <w:pPr>
        <w:ind w:left="2556"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abstractNum>
  <w:abstractNum w:abstractNumId="1" w15:restartNumberingAfterBreak="0">
    <w:nsid w:val="566520B3"/>
    <w:multiLevelType w:val="hybridMultilevel"/>
    <w:tmpl w:val="2C7E4934"/>
    <w:numStyleLink w:val="ImportedStyle1"/>
  </w:abstractNum>
  <w:num w:numId="1" w16cid:durableId="112214483">
    <w:abstractNumId w:val="0"/>
  </w:num>
  <w:num w:numId="2" w16cid:durableId="66458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FF5"/>
    <w:rsid w:val="004D0FF5"/>
    <w:rsid w:val="007929E1"/>
    <w:rsid w:val="00AB5D73"/>
    <w:rsid w:val="00AD5914"/>
    <w:rsid w:val="00C15D3D"/>
    <w:rsid w:val="00E745B6"/>
    <w:rsid w:val="00ED72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E41AB"/>
  <w15:docId w15:val="{611E45D0-CBD4-4023-9484-EDEBD8B8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160" w:after="80"/>
    </w:pPr>
    <w:rPr>
      <w:rFonts w:ascii="Arial" w:hAnsi="Arial" w:cs="Arial Unicode MS"/>
      <w:color w:val="000000"/>
      <w:sz w:val="24"/>
      <w:szCs w:val="24"/>
      <w:u w:color="000000"/>
      <w14:textOutline w14:w="0" w14:cap="flat" w14:cmpd="sng" w14:algn="ctr">
        <w14:noFill/>
        <w14:prstDash w14:val="solid"/>
        <w14:bevel/>
      </w14:textOutline>
    </w:rPr>
  </w:style>
  <w:style w:type="paragraph" w:styleId="Title">
    <w:name w:val="Title"/>
    <w:next w:val="Body"/>
    <w:uiPriority w:val="10"/>
    <w:qFormat/>
    <w:pPr>
      <w:keepNext/>
      <w:keepLines/>
    </w:pPr>
    <w:rPr>
      <w:rFonts w:ascii="Arial Unicode MS" w:eastAsia="Arial" w:hAnsi="Arial Unicode MS" w:cs="Arial Unicode MS" w:hint="eastAsia"/>
      <w:color w:val="000000"/>
      <w:sz w:val="52"/>
      <w:szCs w:val="52"/>
      <w:u w:color="000000"/>
      <w:lang w:val="en-US"/>
      <w14:textOutline w14:w="0" w14:cap="flat" w14:cmpd="sng" w14:algn="ctr">
        <w14:noFill/>
        <w14:prstDash w14:val="solid"/>
        <w14:bevel/>
      </w14:textOutline>
    </w:rPr>
  </w:style>
  <w:style w:type="paragraph" w:customStyle="1" w:styleId="Heading">
    <w:name w:val="Heading"/>
    <w:next w:val="Body"/>
    <w:pPr>
      <w:keepNext/>
      <w:keepLines/>
      <w:spacing w:before="320" w:after="160"/>
      <w:outlineLvl w:val="0"/>
    </w:pPr>
    <w:rPr>
      <w:rFonts w:ascii="Arial Unicode MS" w:eastAsia="Arial" w:hAnsi="Arial Unicode MS" w:cs="Arial Unicode MS" w:hint="eastAsia"/>
      <w:b/>
      <w:bCs/>
      <w:color w:val="000000"/>
      <w:sz w:val="32"/>
      <w:szCs w:val="32"/>
      <w:u w:color="000000"/>
      <w:lang w:val="ko-KR" w:eastAsia="ko-KR"/>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rFonts w:ascii="Malgun Gothic" w:eastAsia="Malgun Gothic" w:hAnsi="Malgun Gothic" w:cs="Malgun Gothic"/>
      <w:outline w:val="0"/>
      <w:color w:val="000000"/>
      <w:u w:val="single" w:color="000000"/>
      <w:lang w:val="ko-KR" w:eastAsia="ko-KR"/>
    </w:rPr>
  </w:style>
  <w:style w:type="paragraph" w:styleId="Header">
    <w:name w:val="header"/>
    <w:basedOn w:val="Normal"/>
    <w:link w:val="HeaderChar"/>
    <w:uiPriority w:val="99"/>
    <w:unhideWhenUsed/>
    <w:rsid w:val="00AD5914"/>
    <w:pPr>
      <w:tabs>
        <w:tab w:val="center" w:pos="4513"/>
        <w:tab w:val="right" w:pos="9026"/>
      </w:tabs>
    </w:pPr>
  </w:style>
  <w:style w:type="character" w:customStyle="1" w:styleId="HeaderChar">
    <w:name w:val="Header Char"/>
    <w:basedOn w:val="DefaultParagraphFont"/>
    <w:link w:val="Header"/>
    <w:uiPriority w:val="99"/>
    <w:rsid w:val="00AD5914"/>
    <w:rPr>
      <w:sz w:val="24"/>
      <w:szCs w:val="24"/>
      <w:lang w:val="en-US" w:eastAsia="en-US"/>
    </w:rPr>
  </w:style>
  <w:style w:type="paragraph" w:styleId="Footer">
    <w:name w:val="footer"/>
    <w:basedOn w:val="Normal"/>
    <w:link w:val="FooterChar"/>
    <w:uiPriority w:val="99"/>
    <w:unhideWhenUsed/>
    <w:rsid w:val="00AD5914"/>
    <w:pPr>
      <w:tabs>
        <w:tab w:val="center" w:pos="4513"/>
        <w:tab w:val="right" w:pos="9026"/>
      </w:tabs>
    </w:pPr>
  </w:style>
  <w:style w:type="character" w:customStyle="1" w:styleId="FooterChar">
    <w:name w:val="Footer Char"/>
    <w:basedOn w:val="DefaultParagraphFont"/>
    <w:link w:val="Footer"/>
    <w:uiPriority w:val="99"/>
    <w:rsid w:val="00AD5914"/>
    <w:rPr>
      <w:sz w:val="24"/>
      <w:szCs w:val="24"/>
      <w:lang w:val="en-US" w:eastAsia="en-US"/>
    </w:rPr>
  </w:style>
  <w:style w:type="character" w:styleId="UnresolvedMention">
    <w:name w:val="Unresolved Mention"/>
    <w:basedOn w:val="DefaultParagraphFont"/>
    <w:uiPriority w:val="99"/>
    <w:semiHidden/>
    <w:unhideWhenUsed/>
    <w:rsid w:val="00E74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eyondblue.org.au/" TargetMode="External"/><Relationship Id="rId13" Type="http://schemas.openxmlformats.org/officeDocument/2006/relationships/hyperlink" Target="https://www.health.gov.au/give-up-for-good/translated-resources-1"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13yarn.org.au/" TargetMode="External"/><Relationship Id="rId12" Type="http://schemas.openxmlformats.org/officeDocument/2006/relationships/hyperlink" Target="https://www.health.gov.au/resources/apps-and-tools/my-quitbuddy-ap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uit.org.au/"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https://headspace.org.a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medicarementalhealth.gov.au/" TargetMode="External"/><Relationship Id="rId14" Type="http://schemas.openxmlformats.org/officeDocument/2006/relationships/header" Target="header1.xml"/><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8492E8C6-C3AE-4A75-95BF-64098C7E3D64}"/>
</file>

<file path=customXml/itemProps2.xml><?xml version="1.0" encoding="utf-8"?>
<ds:datastoreItem xmlns:ds="http://schemas.openxmlformats.org/officeDocument/2006/customXml" ds:itemID="{3929D09C-69E9-4DAF-940E-4748E499A19E}"/>
</file>

<file path=customXml/itemProps3.xml><?xml version="1.0" encoding="utf-8"?>
<ds:datastoreItem xmlns:ds="http://schemas.openxmlformats.org/officeDocument/2006/customXml" ds:itemID="{DF9C73F8-3A9B-421F-8E53-B0AC08B7C77F}"/>
</file>

<file path=docProps/app.xml><?xml version="1.0" encoding="utf-8"?>
<Properties xmlns="http://schemas.openxmlformats.org/officeDocument/2006/extended-properties" xmlns:vt="http://schemas.openxmlformats.org/officeDocument/2006/docPropsVTypes">
  <Template>Normal.dotm</Template>
  <TotalTime>4</TotalTime>
  <Pages>4</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전자담배를 영원히 끊으세요</dc:title>
  <dc:subject>Vaping</dc:subject>
  <dc:creator>Department of Health Disability and Ageing</dc:creator>
  <cp:keywords>Give up vaping; e-cigarettes</cp:keywords>
  <dcterms:created xsi:type="dcterms:W3CDTF">2026-06-25T02:47:00Z</dcterms:created>
  <dcterms:modified xsi:type="dcterms:W3CDTF">2026-07-03T02:14:00Z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443e0187,306cc1b1,1cfbd6b8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15d75256,4a64bec,23a441b1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2026-06-25T02:48:00Z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10a1bc74-2c09-4175-b817-7bf7a79169f9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