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1A23" w:rsidP="008B6F98" w:rsidRDefault="00A80201" w14:paraId="7582C930" w14:textId="5D798F19">
      <w:pPr>
        <w:pStyle w:val="Title"/>
      </w:pPr>
      <w:r>
        <w:t xml:space="preserve">Framework for </w:t>
      </w:r>
      <w:r w:rsidR="00493BCA">
        <w:t>c</w:t>
      </w:r>
      <w:r>
        <w:t xml:space="preserve">onsumer </w:t>
      </w:r>
      <w:r w:rsidR="00493BCA">
        <w:t>e</w:t>
      </w:r>
      <w:r>
        <w:t>ngagement in HTA</w:t>
      </w:r>
    </w:p>
    <w:p w:rsidRPr="008B6F98" w:rsidR="008B6F98" w:rsidP="008B6F98" w:rsidRDefault="008B6F98" w14:paraId="364ECD6F" w14:textId="792CD53E">
      <w:pPr>
        <w:pStyle w:val="Subtitle"/>
        <w:sectPr w:rsidRPr="008B6F98" w:rsidR="008B6F98" w:rsidSect="00D45D94">
          <w:headerReference w:type="first" r:id="rId11"/>
          <w:type w:val="continuous"/>
          <w:pgSz w:w="11906" w:h="16838" w:orient="portrait"/>
          <w:pgMar w:top="1701" w:right="1418" w:bottom="1418" w:left="1418" w:header="850" w:footer="709" w:gutter="0"/>
          <w:cols w:space="708"/>
          <w:titlePg/>
          <w:docGrid w:linePitch="360"/>
        </w:sectPr>
      </w:pPr>
      <w:r>
        <w:t>Accessible version</w:t>
      </w:r>
    </w:p>
    <w:sdt>
      <w:sdtPr>
        <w:rPr>
          <w:rFonts w:ascii="Aptos" w:hAnsi="Aptos" w:eastAsia="Times New Roman" w:cs="Times New Roman"/>
          <w:color w:val="000000" w:themeColor="text1"/>
          <w:sz w:val="22"/>
          <w:szCs w:val="24"/>
          <w:lang w:val="en-GB" w:eastAsia="en-US"/>
        </w:rPr>
        <w:id w:val="-1266610641"/>
        <w:docPartObj>
          <w:docPartGallery w:val="Table of Contents"/>
          <w:docPartUnique/>
        </w:docPartObj>
      </w:sdtPr>
      <w:sdtEndPr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GB" w:eastAsia="en-US"/>
        </w:rPr>
      </w:sdtEndPr>
      <w:sdtContent>
        <w:p w:rsidRPr="00B022A2" w:rsidR="00B022A2" w:rsidRDefault="00B022A2" w14:paraId="51B3B8A8" w14:textId="3B6985DB">
          <w:pPr>
            <w:pStyle w:val="TOCHeading"/>
            <w:rPr>
              <w:rStyle w:val="Heading1Char"/>
            </w:rPr>
          </w:pPr>
          <w:r w:rsidRPr="00B022A2">
            <w:rPr>
              <w:rStyle w:val="Heading1Char"/>
            </w:rPr>
            <w:t>Contents</w:t>
          </w:r>
        </w:p>
        <w:p w:rsidRPr="00C801D3" w:rsidR="00657970" w:rsidRDefault="00B022A2" w14:paraId="70293EDC" w14:textId="38AF26DB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33127025">
            <w:r w:rsidRPr="00B0334B" w:rsidR="00657970">
              <w:rPr>
                <w:rStyle w:val="Hyperlink"/>
                <w:noProof/>
              </w:rPr>
              <w:t>1. Purpose</w:t>
            </w:r>
            <w:r w:rsidR="00657970">
              <w:rPr>
                <w:noProof/>
                <w:webHidden/>
              </w:rPr>
              <w:tab/>
            </w:r>
            <w:r w:rsidR="00657970">
              <w:rPr>
                <w:noProof/>
                <w:webHidden/>
              </w:rPr>
              <w:fldChar w:fldCharType="begin"/>
            </w:r>
            <w:r w:rsidR="00657970">
              <w:rPr>
                <w:noProof/>
                <w:webHidden/>
              </w:rPr>
              <w:instrText xml:space="preserve"> PAGEREF _Toc233127025 \h </w:instrText>
            </w:r>
            <w:r w:rsidR="00657970">
              <w:rPr>
                <w:noProof/>
                <w:webHidden/>
              </w:rPr>
            </w:r>
            <w:r w:rsidR="00657970">
              <w:rPr>
                <w:noProof/>
                <w:webHidden/>
              </w:rPr>
              <w:fldChar w:fldCharType="separate"/>
            </w:r>
            <w:r w:rsidR="00657970">
              <w:rPr>
                <w:noProof/>
                <w:webHidden/>
              </w:rPr>
              <w:t>2</w:t>
            </w:r>
            <w:r w:rsidR="00657970"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795D7787" w14:textId="6D857CC5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hyperlink w:history="1" w:anchor="_Toc233127026">
            <w:r w:rsidRPr="00B0334B">
              <w:rPr>
                <w:rStyle w:val="Hyperlink"/>
                <w:noProof/>
              </w:rPr>
              <w:t>2. Key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11BF6EC1" w14:textId="54B866B7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hyperlink w:history="1" w:anchor="_Toc233127027">
            <w:r w:rsidRPr="00B0334B">
              <w:rPr>
                <w:rStyle w:val="Hyperlink"/>
                <w:noProof/>
              </w:rPr>
              <w:t>3.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7808AD90" w14:textId="33BC1067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hyperlink w:history="1" w:anchor="_Toc233127028">
            <w:r w:rsidRPr="00B0334B">
              <w:rPr>
                <w:rStyle w:val="Hyperlink"/>
                <w:noProof/>
              </w:rPr>
              <w:t>4. Guiding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7FF76A24" w14:textId="0E04E6A5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hyperlink w:history="1" w:anchor="_Toc233127029">
            <w:r w:rsidRPr="00B0334B">
              <w:rPr>
                <w:rStyle w:val="Hyperlink"/>
                <w:noProof/>
              </w:rPr>
              <w:t>4. Focus areas and stakeholder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51AFD898" w14:textId="3D93002D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0">
            <w:r w:rsidRPr="00B0334B">
              <w:rPr>
                <w:rStyle w:val="Hyperlink"/>
                <w:noProof/>
              </w:rPr>
              <w:t>4.1 Raise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62152040" w14:textId="37F6C914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1">
            <w:r w:rsidRPr="00B0334B">
              <w:rPr>
                <w:rStyle w:val="Hyperlink"/>
                <w:noProof/>
              </w:rPr>
              <w:t>4.2 Build capability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5F8319B4" w14:textId="61D5DEA3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2">
            <w:r w:rsidRPr="00B0334B">
              <w:rPr>
                <w:rStyle w:val="Hyperlink"/>
                <w:noProof/>
              </w:rPr>
              <w:t>4.3 Elevate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437E0228" w14:textId="5B19DF8C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3">
            <w:r w:rsidRPr="00B0334B">
              <w:rPr>
                <w:rStyle w:val="Hyperlink"/>
                <w:noProof/>
              </w:rPr>
              <w:t>4.4 Strengthen partnerships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5425845C" w14:textId="7D5885A5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4">
            <w:r w:rsidRPr="00B0334B">
              <w:rPr>
                <w:rStyle w:val="Hyperlink"/>
                <w:noProof/>
              </w:rPr>
              <w:t>4.5 Evaluate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3E53905E" w14:textId="10ACE0D9">
          <w:pPr>
            <w:pStyle w:val="TOC1"/>
            <w:tabs>
              <w:tab w:val="right" w:leader="dot" w:pos="9060"/>
            </w:tabs>
            <w:rPr>
              <w:lang w:eastAsia="en-AU"/>
            </w:rPr>
          </w:pPr>
          <w:hyperlink w:history="1" w:anchor="_Toc233127035">
            <w:r w:rsidRPr="00B0334B">
              <w:rPr>
                <w:rStyle w:val="Hyperlink"/>
                <w:noProof/>
              </w:rPr>
              <w:t>5. Consumer engagement across the health technology lifecycle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26D642E9" w14:textId="0A287DEB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6">
            <w:r w:rsidRPr="00B0334B">
              <w:rPr>
                <w:rStyle w:val="Hyperlink"/>
                <w:noProof/>
              </w:rPr>
              <w:t>Stage 1: Research &amp;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04D1B98B" w14:textId="3916E0FF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7">
            <w:r w:rsidRPr="00B0334B">
              <w:rPr>
                <w:rStyle w:val="Hyperlink"/>
                <w:noProof/>
              </w:rPr>
              <w:t>Stage 2: Regulatory decision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7CC7B540" w14:textId="66BDF15D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8">
            <w:r w:rsidRPr="00B0334B">
              <w:rPr>
                <w:rStyle w:val="Hyperlink"/>
                <w:noProof/>
              </w:rPr>
              <w:t>Stage 3: Health Technology Assessment (HTA)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14815B74" w14:textId="2368E26D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39">
            <w:r w:rsidRPr="00B0334B">
              <w:rPr>
                <w:rStyle w:val="Hyperlink"/>
                <w:noProof/>
              </w:rPr>
              <w:t>Stage 4: Funding decision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C801D3" w:rsidR="00657970" w:rsidRDefault="00657970" w14:paraId="419E26B7" w14:textId="231EC849">
          <w:pPr>
            <w:pStyle w:val="TOC2"/>
            <w:tabs>
              <w:tab w:val="right" w:leader="dot" w:pos="9060"/>
            </w:tabs>
            <w:rPr>
              <w:lang w:eastAsia="en-AU"/>
            </w:rPr>
          </w:pPr>
          <w:hyperlink w:history="1" w:anchor="_Toc233127040">
            <w:r w:rsidRPr="00B0334B">
              <w:rPr>
                <w:rStyle w:val="Hyperlink"/>
                <w:noProof/>
              </w:rPr>
              <w:t>Stage 5: Monitoring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_Toc233127040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76BFF07A" w14:textId="6B400F72">
          <w:r>
            <w:rPr>
              <w:b/>
              <w:bCs/>
              <w:lang w:val="en-GB"/>
            </w:rPr>
            <w:fldChar w:fldCharType="end"/>
          </w:r>
        </w:p>
      </w:sdtContent>
    </w:sdt>
    <w:p w:rsidR="002B1387" w:rsidP="002B1387" w:rsidRDefault="002B1387" w14:paraId="223C3F51" w14:textId="227788C4">
      <w:pPr>
        <w:pStyle w:val="Heading1"/>
      </w:pPr>
      <w:bookmarkStart w:name="_Toc233127025" w:id="0"/>
      <w:r w:rsidRPr="00FC57CF">
        <w:t>1. Purpose</w:t>
      </w:r>
      <w:bookmarkEnd w:id="0"/>
    </w:p>
    <w:p w:rsidRPr="003F68A6" w:rsidR="00A110D2" w:rsidP="00D05977" w:rsidRDefault="44C5C485" w14:paraId="503150A5" w14:textId="68C22F9C">
      <w:pPr>
        <w:rPr>
          <w:lang w:val="en-US"/>
        </w:rPr>
      </w:pPr>
      <w:r w:rsidRPr="003F68A6">
        <w:rPr>
          <w:lang w:val="en-US"/>
        </w:rPr>
        <w:t xml:space="preserve">Consumer engagement is central to health technology assessment (HTA). It helps ensure decisions reflect the needs, experiences and priorities of patients, their </w:t>
      </w:r>
      <w:proofErr w:type="spellStart"/>
      <w:r w:rsidRPr="003F68A6">
        <w:rPr>
          <w:lang w:val="en-US"/>
        </w:rPr>
        <w:t>carers</w:t>
      </w:r>
      <w:proofErr w:type="spellEnd"/>
      <w:r w:rsidRPr="003F68A6">
        <w:rPr>
          <w:lang w:val="en-US"/>
        </w:rPr>
        <w:t>, families and communities.</w:t>
      </w:r>
    </w:p>
    <w:p w:rsidRPr="003F68A6" w:rsidR="00A110D2" w:rsidP="00D05977" w:rsidRDefault="44C5C485" w14:paraId="1505AA2D" w14:textId="41B30587">
      <w:pPr>
        <w:rPr>
          <w:lang w:val="en-US"/>
        </w:rPr>
      </w:pPr>
      <w:r w:rsidRPr="003F68A6">
        <w:rPr>
          <w:lang w:val="en-US"/>
        </w:rPr>
        <w:t xml:space="preserve">This framework outlines shared principles, focus areas and actions to guide consumer engagement. It builds on previous work co-designed with consumers including the </w:t>
      </w:r>
      <w:hyperlink r:id="rId12">
        <w:r w:rsidRPr="00901DD0">
          <w:rPr>
            <w:rStyle w:val="Hyperlink"/>
            <w:lang w:val="en-US"/>
          </w:rPr>
          <w:t>Conversations for Change report</w:t>
        </w:r>
      </w:hyperlink>
      <w:r w:rsidRPr="00901DD0">
        <w:rPr>
          <w:rStyle w:val="Hyperlink"/>
          <w:lang w:val="en-US"/>
        </w:rPr>
        <w:t xml:space="preserve"> </w:t>
      </w:r>
      <w:r w:rsidRPr="003F68A6">
        <w:rPr>
          <w:lang w:val="en-US"/>
        </w:rPr>
        <w:t xml:space="preserve">and recommendations from </w:t>
      </w:r>
      <w:hyperlink r:id="rId13">
        <w:r w:rsidRPr="00901DD0">
          <w:rPr>
            <w:rStyle w:val="Hyperlink"/>
            <w:lang w:val="en-US"/>
          </w:rPr>
          <w:t>the Co-design Working Group for the Enhanced Consumer Engagement Process</w:t>
        </w:r>
      </w:hyperlink>
      <w:r w:rsidRPr="003F68A6">
        <w:rPr>
          <w:lang w:val="en-US"/>
        </w:rPr>
        <w:t xml:space="preserve"> and the </w:t>
      </w:r>
      <w:hyperlink r:id="rId14">
        <w:r w:rsidRPr="00351887">
          <w:rPr>
            <w:rStyle w:val="Hyperlink"/>
            <w:lang w:val="en-US"/>
          </w:rPr>
          <w:t>HTA Policy and Methods Review</w:t>
        </w:r>
      </w:hyperlink>
      <w:r w:rsidRPr="003F68A6">
        <w:rPr>
          <w:lang w:val="en-US"/>
        </w:rPr>
        <w:t>. Together, this work identified the need for more transparent and meaningful consumer engagement in HTA.</w:t>
      </w:r>
    </w:p>
    <w:p w:rsidR="00A110D2" w:rsidP="00A110D2" w:rsidRDefault="00A110D2" w14:paraId="7597EE96" w14:textId="2B280C10">
      <w:pPr>
        <w:pStyle w:val="Heading1"/>
      </w:pPr>
      <w:bookmarkStart w:name="_Toc233127026" w:id="1"/>
      <w:r>
        <w:t>2. Key terms</w:t>
      </w:r>
      <w:bookmarkEnd w:id="1"/>
    </w:p>
    <w:p w:rsidR="00417806" w:rsidP="00C568B5" w:rsidRDefault="743F8FC9" w14:paraId="6F4FA951" w14:textId="2A2A19AD">
      <w:r w:rsidRPr="00FC57CF">
        <w:t xml:space="preserve">Below are definitions </w:t>
      </w:r>
      <w:r w:rsidRPr="00FC57CF" w:rsidR="00A110D2">
        <w:t xml:space="preserve">of key terms </w:t>
      </w:r>
      <w:r w:rsidRPr="00FC57CF">
        <w:t xml:space="preserve">used in the </w:t>
      </w:r>
      <w:r w:rsidRPr="00FC57CF" w:rsidR="00A110D2">
        <w:t>framework.</w:t>
      </w:r>
    </w:p>
    <w:p w:rsidR="00D452FC" w:rsidP="00BA72E5" w:rsidRDefault="00D452FC" w14:paraId="2814584B" w14:textId="38699953">
      <w:pPr>
        <w:pStyle w:val="Boxheading"/>
        <w:keepNext/>
      </w:pPr>
      <w:r>
        <w:lastRenderedPageBreak/>
        <w:t>consumer</w:t>
      </w:r>
    </w:p>
    <w:p w:rsidR="003F68A6" w:rsidP="00BA72E5" w:rsidRDefault="01AA98BC" w14:paraId="0CC82A0C" w14:textId="63C50917">
      <w:pPr>
        <w:pStyle w:val="Boxheading"/>
        <w:keepNext/>
        <w:tabs>
          <w:tab w:val="left" w:pos="7992"/>
        </w:tabs>
        <w:rPr>
          <w:lang w:val="en-US"/>
        </w:rPr>
      </w:pPr>
      <w:r w:rsidRPr="003F68A6">
        <w:rPr>
          <w:rFonts w:cs="Arial"/>
          <w:b w:val="0"/>
          <w:bCs w:val="0"/>
          <w:caps w:val="0"/>
          <w:color w:val="000000" w:themeColor="text1"/>
          <w:szCs w:val="24"/>
          <w:lang w:val="en-US"/>
        </w:rPr>
        <w:t xml:space="preserve">Patients, their </w:t>
      </w:r>
      <w:proofErr w:type="spellStart"/>
      <w:r w:rsidRPr="003F68A6">
        <w:rPr>
          <w:rFonts w:cs="Arial"/>
          <w:b w:val="0"/>
          <w:bCs w:val="0"/>
          <w:caps w:val="0"/>
          <w:color w:val="000000" w:themeColor="text1"/>
          <w:szCs w:val="24"/>
          <w:lang w:val="en-US"/>
        </w:rPr>
        <w:t>carers</w:t>
      </w:r>
      <w:proofErr w:type="spellEnd"/>
      <w:r w:rsidRPr="003F68A6">
        <w:rPr>
          <w:rFonts w:cs="Arial"/>
          <w:b w:val="0"/>
          <w:bCs w:val="0"/>
          <w:caps w:val="0"/>
          <w:color w:val="000000" w:themeColor="text1"/>
          <w:szCs w:val="24"/>
          <w:lang w:val="en-US"/>
        </w:rPr>
        <w:t>, families, communities, and consumer organisations.</w:t>
      </w:r>
      <w:r w:rsidRPr="2304A5B9">
        <w:rPr>
          <w:lang w:val="en-US"/>
        </w:rPr>
        <w:t xml:space="preserve"> </w:t>
      </w:r>
    </w:p>
    <w:p w:rsidR="00001329" w:rsidP="2304A5B9" w:rsidRDefault="00001329" w14:paraId="085C67BB" w14:textId="0BE7F146">
      <w:pPr>
        <w:pStyle w:val="Boxheading"/>
        <w:rPr>
          <w:lang w:val="en-US"/>
        </w:rPr>
      </w:pPr>
      <w:r w:rsidRPr="2304A5B9">
        <w:rPr>
          <w:lang w:val="en-US"/>
        </w:rPr>
        <w:t>consumer ENGAGEMENT</w:t>
      </w:r>
    </w:p>
    <w:p w:rsidRPr="00D05977" w:rsidR="00001329" w:rsidP="00D05977" w:rsidRDefault="4DC113B9" w14:paraId="45A47786" w14:textId="79561B11">
      <w:pPr>
        <w:pStyle w:val="Boxtype"/>
      </w:pPr>
      <w:r w:rsidRPr="003F68A6">
        <w:t>Involving consumers so their views, lived experience and evidence inform processes and decisions that affect them.</w:t>
      </w:r>
    </w:p>
    <w:p w:rsidR="000F2A53" w:rsidP="000F2A53" w:rsidRDefault="00001329" w14:paraId="30066DAE" w14:textId="77777777">
      <w:pPr>
        <w:pStyle w:val="Boxheading"/>
      </w:pPr>
      <w:r>
        <w:t>consumer evidence</w:t>
      </w:r>
    </w:p>
    <w:p w:rsidRPr="00D05977" w:rsidR="000F2A53" w:rsidP="00D05977" w:rsidRDefault="000F2A53" w14:paraId="61B25D72" w14:textId="4018F29C">
      <w:pPr>
        <w:pStyle w:val="Boxtype"/>
      </w:pPr>
      <w:r w:rsidRPr="000F2A53">
        <w:t>Systematically collected consumer experiences, needs, preferences and perspectives, generated using</w:t>
      </w:r>
      <w:r w:rsidR="0085795F">
        <w:t xml:space="preserve"> </w:t>
      </w:r>
      <w:r w:rsidRPr="000F2A53">
        <w:t>structured, research-based methods.</w:t>
      </w:r>
    </w:p>
    <w:p w:rsidR="006F7443" w:rsidP="006F7443" w:rsidRDefault="000E3BC1" w14:paraId="4E9F1536" w14:textId="77777777">
      <w:pPr>
        <w:pStyle w:val="Boxheading"/>
      </w:pPr>
      <w:r w:rsidRPr="000E3BC1">
        <w:t>Consumer input</w:t>
      </w:r>
    </w:p>
    <w:p w:rsidRPr="000E3BC1" w:rsidR="000E3BC1" w:rsidP="00D05977" w:rsidRDefault="159F0E9E" w14:paraId="01BB3036" w14:textId="38090F5C">
      <w:pPr>
        <w:pStyle w:val="Boxtype"/>
      </w:pPr>
      <w:r w:rsidRPr="0F664D37">
        <w:rPr>
          <w:lang w:val="en-US"/>
        </w:rPr>
        <w:t>Information contributed by consumers and consumer organisations to inform HTA processes and decisions. This includes individual, collective or community-based experience.</w:t>
      </w:r>
    </w:p>
    <w:p w:rsidR="00EA4409" w:rsidP="00001329" w:rsidRDefault="00BC59CD" w14:paraId="4C681638" w14:textId="1CAB4C72">
      <w:pPr>
        <w:pStyle w:val="Boxheading"/>
      </w:pPr>
      <w:r>
        <w:t>Health technology</w:t>
      </w:r>
    </w:p>
    <w:p w:rsidRPr="0095060D" w:rsidR="0095060D" w:rsidP="00D05977" w:rsidRDefault="006F7443" w14:paraId="13F729AC" w14:textId="74F756DD">
      <w:pPr>
        <w:pStyle w:val="Boxtype"/>
        <w:rPr>
          <w:lang w:val="en-US"/>
        </w:rPr>
      </w:pPr>
      <w:r w:rsidRPr="006F7443">
        <w:rPr>
          <w:lang w:val="en-US"/>
        </w:rPr>
        <w:t>Something used to prevent,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diagnose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or treat a medical condition, or to improve quality of life. This includes medicines, vaccines, tests,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imaging,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surgeries,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procedures</w:t>
      </w:r>
      <w:r w:rsidR="004413BB">
        <w:rPr>
          <w:lang w:val="en-US"/>
        </w:rPr>
        <w:t xml:space="preserve"> </w:t>
      </w:r>
      <w:r w:rsidRPr="006F7443">
        <w:rPr>
          <w:lang w:val="en-US"/>
        </w:rPr>
        <w:t>and implants.</w:t>
      </w:r>
    </w:p>
    <w:p w:rsidRPr="00EA4409" w:rsidR="00EA4409" w:rsidP="00EA4409" w:rsidRDefault="00EA4409" w14:paraId="08BC9579" w14:textId="4A90BEC3">
      <w:pPr>
        <w:pStyle w:val="Boxheading"/>
      </w:pPr>
      <w:r>
        <w:t>HEALTH TECHNOLOGY ASSESSMENT</w:t>
      </w:r>
      <w:r w:rsidR="00C465A3">
        <w:t xml:space="preserve"> (HTA)</w:t>
      </w:r>
    </w:p>
    <w:p w:rsidR="00BC59CD" w:rsidP="00BC59CD" w:rsidRDefault="00E85CA7" w14:paraId="68AAF740" w14:textId="247405C3">
      <w:pPr>
        <w:pStyle w:val="Boxtype"/>
      </w:pPr>
      <w:r w:rsidRPr="00E85CA7">
        <w:rPr>
          <w:lang w:val="en-AU"/>
        </w:rPr>
        <w:t>A process that helps the government decide if a health technology should be</w:t>
      </w:r>
      <w:r w:rsidR="00AE0C56">
        <w:rPr>
          <w:lang w:val="en-AU"/>
        </w:rPr>
        <w:t xml:space="preserve"> </w:t>
      </w:r>
      <w:r w:rsidRPr="00E85CA7">
        <w:rPr>
          <w:lang w:val="en-AU"/>
        </w:rPr>
        <w:t>funded. For</w:t>
      </w:r>
      <w:r w:rsidR="00AE0C56">
        <w:rPr>
          <w:lang w:val="en-AU"/>
        </w:rPr>
        <w:t xml:space="preserve"> </w:t>
      </w:r>
      <w:r w:rsidRPr="00E85CA7">
        <w:rPr>
          <w:lang w:val="en-AU"/>
        </w:rPr>
        <w:t>example, decisions about listing medicines on the Pharmaceutical Benefits Scheme (PBS) or services on the Medicare Benefits Schedule (MBS).</w:t>
      </w:r>
    </w:p>
    <w:p w:rsidR="00BB24CD" w:rsidP="00BB24CD" w:rsidRDefault="00F75C28" w14:paraId="14177DE6" w14:textId="44E2E6CD">
      <w:pPr>
        <w:pStyle w:val="Heading1"/>
      </w:pPr>
      <w:bookmarkStart w:name="_Toc233127027" w:id="2"/>
      <w:r>
        <w:t>3</w:t>
      </w:r>
      <w:r w:rsidRPr="00990181" w:rsidR="00BB24CD">
        <w:t xml:space="preserve">. </w:t>
      </w:r>
      <w:r w:rsidR="00BB24CD">
        <w:t>Stakeholders</w:t>
      </w:r>
      <w:bookmarkEnd w:id="2"/>
    </w:p>
    <w:p w:rsidRPr="005C7F14" w:rsidR="00A973EE" w:rsidP="00DB34F0" w:rsidRDefault="005C7F14" w14:paraId="3F136AE8" w14:textId="341A274E">
      <w:r w:rsidRPr="005C7F14">
        <w:t>This framework applies to everyone involved in HTA and recognises that consumer engagement is strengthened by the contributions of all stakeholders. While roles differ, everyone shares responsibility</w:t>
      </w:r>
      <w:r>
        <w:t xml:space="preserve"> for transparent and meaningful consumer engagement. Contributions from each stakeholder</w:t>
      </w:r>
      <w:r w:rsidR="00A973EE">
        <w:t xml:space="preserve"> may include:</w:t>
      </w:r>
    </w:p>
    <w:p w:rsidR="00BB24CD" w:rsidP="00BB24CD" w:rsidRDefault="00DB34F0" w14:paraId="07019EAD" w14:textId="62C79F16">
      <w:pPr>
        <w:pStyle w:val="ListBullet"/>
      </w:pPr>
      <w:r w:rsidRPr="007E0DA4">
        <w:rPr>
          <w:b/>
          <w:bCs/>
        </w:rPr>
        <w:t>Consumers</w:t>
      </w:r>
      <w:r>
        <w:t xml:space="preserve"> share their lived experience, needs, perspectives, prefe</w:t>
      </w:r>
      <w:r w:rsidR="007E0DA4">
        <w:t>rences and outcomes that matter to them</w:t>
      </w:r>
      <w:r w:rsidR="00E265E4">
        <w:t>.</w:t>
      </w:r>
    </w:p>
    <w:p w:rsidR="00BB24CD" w:rsidP="00BB24CD" w:rsidRDefault="007E0DA4" w14:paraId="2FD98665" w14:textId="60DC305B">
      <w:pPr>
        <w:pStyle w:val="ListBullet"/>
      </w:pPr>
      <w:r w:rsidRPr="00476809">
        <w:rPr>
          <w:b/>
          <w:bCs/>
        </w:rPr>
        <w:t>Consumer organisations</w:t>
      </w:r>
      <w:r>
        <w:t xml:space="preserve"> represent and communicate broader consumer </w:t>
      </w:r>
      <w:r w:rsidR="00476809">
        <w:t>experiences and priorities from their communities, and help support consumers to participate in HTA.</w:t>
      </w:r>
    </w:p>
    <w:p w:rsidR="00BB24CD" w:rsidP="00BB24CD" w:rsidRDefault="00476809" w14:paraId="34E4C3C1" w14:textId="4A1BE8A0">
      <w:pPr>
        <w:pStyle w:val="ListBullet"/>
      </w:pPr>
      <w:r w:rsidRPr="00130D5A">
        <w:rPr>
          <w:b/>
          <w:bCs/>
        </w:rPr>
        <w:t>Government</w:t>
      </w:r>
      <w:r>
        <w:t xml:space="preserve"> enables consumer engagement by supporting processes</w:t>
      </w:r>
      <w:r w:rsidR="001419F3">
        <w:t xml:space="preserve"> and reducing barriers, so consumer input and evidence can meaningfully inform HTA.</w:t>
      </w:r>
    </w:p>
    <w:p w:rsidR="00BB24CD" w:rsidP="00BB24CD" w:rsidRDefault="1B236381" w14:paraId="3949611D" w14:textId="57B0AA78">
      <w:pPr>
        <w:pStyle w:val="ListBullet"/>
      </w:pPr>
      <w:r w:rsidRPr="00130D5A">
        <w:rPr>
          <w:b/>
          <w:bCs/>
        </w:rPr>
        <w:lastRenderedPageBreak/>
        <w:t>HTA advisory c</w:t>
      </w:r>
      <w:r w:rsidRPr="00130D5A" w:rsidR="007259AE">
        <w:rPr>
          <w:b/>
          <w:bCs/>
        </w:rPr>
        <w:t>ommittees</w:t>
      </w:r>
      <w:r w:rsidR="007259AE">
        <w:t xml:space="preserve"> actively consider consumer input and consumer evidence alongside other evidence to inform HTA discussions and decisions.</w:t>
      </w:r>
    </w:p>
    <w:p w:rsidR="00BB24CD" w:rsidP="00BB24CD" w:rsidRDefault="007259AE" w14:paraId="4705AB21" w14:textId="46E5745B">
      <w:pPr>
        <w:pStyle w:val="ListBullet"/>
      </w:pPr>
      <w:r w:rsidRPr="00130D5A">
        <w:rPr>
          <w:b/>
          <w:bCs/>
        </w:rPr>
        <w:t>Health professionals</w:t>
      </w:r>
      <w:r>
        <w:t xml:space="preserve"> share clinical knowledge and help identify how</w:t>
      </w:r>
      <w:r w:rsidR="00001218">
        <w:t xml:space="preserve"> health technologies may affect care pathways, service delivery and consumer experience.</w:t>
      </w:r>
    </w:p>
    <w:p w:rsidR="00130D5A" w:rsidP="00130D5A" w:rsidRDefault="00001218" w14:paraId="1016D691" w14:textId="3021D137">
      <w:pPr>
        <w:pStyle w:val="ListBullet"/>
      </w:pPr>
      <w:r w:rsidRPr="00130D5A">
        <w:rPr>
          <w:b/>
          <w:bCs/>
        </w:rPr>
        <w:t>Industry</w:t>
      </w:r>
      <w:r>
        <w:t xml:space="preserve"> enables </w:t>
      </w:r>
      <w:r w:rsidR="004E6E21">
        <w:t>consumer engagement in research design and evidence generation so that consumer perspectives are reflected in evidence presented for funding decisions.</w:t>
      </w:r>
    </w:p>
    <w:p w:rsidR="00BB24CD" w:rsidP="00BB24CD" w:rsidRDefault="00130D5A" w14:paraId="1DD928C8" w14:textId="16813D4F">
      <w:pPr>
        <w:pStyle w:val="ListBullet"/>
      </w:pPr>
      <w:r w:rsidRPr="00130D5A">
        <w:rPr>
          <w:b/>
          <w:bCs/>
        </w:rPr>
        <w:t>R</w:t>
      </w:r>
      <w:r w:rsidRPr="00130D5A" w:rsidR="00BB24CD">
        <w:rPr>
          <w:b/>
          <w:bCs/>
        </w:rPr>
        <w:t>esearchers</w:t>
      </w:r>
      <w:r>
        <w:t xml:space="preserve"> engage consumers in planning and evidence generation to ensure studies reflect consumer priorities and outcomes that matter.</w:t>
      </w:r>
    </w:p>
    <w:p w:rsidR="003E49EA" w:rsidP="002B1387" w:rsidRDefault="00F75C28" w14:paraId="68A1040A" w14:textId="7B07F1E1">
      <w:pPr>
        <w:pStyle w:val="Heading1"/>
      </w:pPr>
      <w:bookmarkStart w:name="_Toc233127028" w:id="3"/>
      <w:r>
        <w:t>4</w:t>
      </w:r>
      <w:r w:rsidR="00445936">
        <w:t>.</w:t>
      </w:r>
      <w:r w:rsidR="00EA49AC">
        <w:t xml:space="preserve"> </w:t>
      </w:r>
      <w:r w:rsidRPr="003E49EA" w:rsidR="005866C0">
        <w:t xml:space="preserve">Guiding </w:t>
      </w:r>
      <w:r w:rsidR="00764138">
        <w:t>p</w:t>
      </w:r>
      <w:r w:rsidRPr="003E49EA" w:rsidR="005866C0">
        <w:t>rinciples</w:t>
      </w:r>
      <w:bookmarkEnd w:id="3"/>
    </w:p>
    <w:p w:rsidR="005866C0" w:rsidP="0085054D" w:rsidRDefault="00D04084" w14:paraId="313217CB" w14:textId="62E5FC48">
      <w:r>
        <w:t>T</w:t>
      </w:r>
      <w:r w:rsidR="006B756D">
        <w:t>hese principles guide</w:t>
      </w:r>
      <w:r w:rsidR="7D27E0D5">
        <w:t xml:space="preserve"> a shared approach to consumer engagement in HTA.</w:t>
      </w:r>
    </w:p>
    <w:p w:rsidRPr="00445936" w:rsidR="00973D4C" w:rsidP="0085054D" w:rsidRDefault="00973D4C" w14:paraId="67B54448" w14:textId="49974C52">
      <w:pPr>
        <w:rPr>
          <w:b/>
          <w:bCs/>
        </w:rPr>
      </w:pPr>
      <w:r w:rsidRPr="618D13D5">
        <w:rPr>
          <w:b/>
          <w:bCs/>
        </w:rPr>
        <w:t>Transparency</w:t>
      </w:r>
    </w:p>
    <w:p w:rsidRPr="00C863C2" w:rsidR="007C6E62" w:rsidP="0085054D" w:rsidRDefault="75F49C36" w14:paraId="7F7A461B" w14:textId="1B100899">
      <w:r w:rsidRPr="618D13D5">
        <w:rPr>
          <w:szCs w:val="22"/>
        </w:rPr>
        <w:t xml:space="preserve">HTA processes, engagement opportunities, how consumer input and evidence is considered and how decisions are made </w:t>
      </w:r>
      <w:r w:rsidR="007049B3">
        <w:rPr>
          <w:szCs w:val="22"/>
        </w:rPr>
        <w:t>are</w:t>
      </w:r>
      <w:r w:rsidRPr="618D13D5">
        <w:rPr>
          <w:szCs w:val="22"/>
        </w:rPr>
        <w:t xml:space="preserve"> clearly communicated</w:t>
      </w:r>
      <w:r w:rsidR="007D2A46">
        <w:rPr>
          <w:szCs w:val="22"/>
        </w:rPr>
        <w:t>.</w:t>
      </w:r>
    </w:p>
    <w:p w:rsidRPr="00C863C2" w:rsidR="007C6E62" w:rsidP="618D13D5" w:rsidRDefault="007C6E62" w14:paraId="44DD4F58" w14:textId="5DA30CA4">
      <w:pPr>
        <w:rPr>
          <w:b/>
          <w:bCs/>
        </w:rPr>
      </w:pPr>
      <w:r w:rsidRPr="618D13D5">
        <w:rPr>
          <w:b/>
          <w:bCs/>
        </w:rPr>
        <w:t>Timeliness</w:t>
      </w:r>
    </w:p>
    <w:p w:rsidR="007C6E62" w:rsidP="000B0146" w:rsidRDefault="7ABA1115" w14:paraId="2E959BC4" w14:textId="51269A71">
      <w:r>
        <w:t>Consumer engagement occurs early and continues throughout the health technology lifecycle</w:t>
      </w:r>
      <w:r w:rsidR="007D2A46">
        <w:t>.</w:t>
      </w:r>
    </w:p>
    <w:p w:rsidRPr="00C863C2" w:rsidR="000B0146" w:rsidP="000B0146" w:rsidRDefault="000B0146" w14:paraId="10D321B4" w14:textId="5224C0BF">
      <w:pPr>
        <w:rPr>
          <w:b/>
          <w:bCs/>
        </w:rPr>
      </w:pPr>
      <w:r w:rsidRPr="00C863C2">
        <w:rPr>
          <w:b/>
          <w:bCs/>
        </w:rPr>
        <w:t>Recognition</w:t>
      </w:r>
    </w:p>
    <w:p w:rsidR="000B0146" w:rsidP="00C863C2" w:rsidRDefault="2765892F" w14:paraId="0380432F" w14:textId="50FFB81E">
      <w:r>
        <w:t>Consumer lived experience, values and preferences are recognised as essential to HTA</w:t>
      </w:r>
      <w:r w:rsidR="007D2A46">
        <w:t>.</w:t>
      </w:r>
    </w:p>
    <w:p w:rsidRPr="00E30434" w:rsidR="00C863C2" w:rsidP="00C863C2" w:rsidRDefault="00C863C2" w14:paraId="2A74F9C3" w14:textId="59A293DA">
      <w:pPr>
        <w:rPr>
          <w:b/>
          <w:bCs/>
        </w:rPr>
      </w:pPr>
      <w:r w:rsidRPr="00E30434">
        <w:rPr>
          <w:b/>
          <w:bCs/>
        </w:rPr>
        <w:t>Partnership</w:t>
      </w:r>
    </w:p>
    <w:p w:rsidR="00C863C2" w:rsidP="00E122BB" w:rsidRDefault="2ED4AAC8" w14:paraId="52B26DB9" w14:textId="7D473348">
      <w:r>
        <w:t>Stakeholders work in partnership to build trust, legitimacy and shared understanding of consumer engagement in HTA</w:t>
      </w:r>
      <w:r w:rsidR="007D2A46">
        <w:t>.</w:t>
      </w:r>
    </w:p>
    <w:p w:rsidRPr="00E30434" w:rsidR="00E122BB" w:rsidP="00E122BB" w:rsidRDefault="00EB5116" w14:paraId="49AFEFD7" w14:textId="28E3CBF5">
      <w:pPr>
        <w:rPr>
          <w:b/>
          <w:bCs/>
        </w:rPr>
      </w:pPr>
      <w:r>
        <w:rPr>
          <w:b/>
          <w:bCs/>
        </w:rPr>
        <w:t>Inclusion</w:t>
      </w:r>
    </w:p>
    <w:p w:rsidR="00E122BB" w:rsidP="00E30434" w:rsidRDefault="68C53CC2" w14:paraId="0C308CA9" w14:textId="2F874FF0">
      <w:r>
        <w:t>Consumer engagement is accessible, inclusive and culturally safe, supporting diverse consumers and communities, and those most affected by HTA decisions</w:t>
      </w:r>
      <w:r w:rsidR="007D2A46">
        <w:t>.</w:t>
      </w:r>
    </w:p>
    <w:p w:rsidR="00990181" w:rsidP="618D13D5" w:rsidRDefault="00990181" w14:paraId="3A5DD8F4" w14:textId="5399F20A">
      <w:pPr>
        <w:pStyle w:val="Heading1"/>
      </w:pPr>
      <w:bookmarkStart w:name="_Toc233127029" w:id="4"/>
      <w:r>
        <w:t xml:space="preserve">4. Focus </w:t>
      </w:r>
      <w:r w:rsidR="00185585">
        <w:t>a</w:t>
      </w:r>
      <w:r>
        <w:t>reas</w:t>
      </w:r>
      <w:r w:rsidR="00185585">
        <w:t xml:space="preserve"> and </w:t>
      </w:r>
      <w:r w:rsidR="2FCC8DD2">
        <w:t xml:space="preserve">stakeholder </w:t>
      </w:r>
      <w:r w:rsidR="00185585">
        <w:t>actions</w:t>
      </w:r>
      <w:bookmarkEnd w:id="4"/>
    </w:p>
    <w:p w:rsidR="005B39AA" w:rsidP="618D13D5" w:rsidRDefault="00016CED" w14:paraId="3E43CACB" w14:textId="24F3633B">
      <w:pPr>
        <w:pStyle w:val="Heading2"/>
      </w:pPr>
      <w:bookmarkStart w:name="_Toc233127030" w:id="5"/>
      <w:r>
        <w:t xml:space="preserve">4.1 Raise </w:t>
      </w:r>
      <w:r w:rsidR="00764138">
        <w:t>a</w:t>
      </w:r>
      <w:r w:rsidR="004F28A2">
        <w:t>wareness</w:t>
      </w:r>
      <w:bookmarkEnd w:id="5"/>
    </w:p>
    <w:p w:rsidR="281A73D8" w:rsidP="00C801D3" w:rsidRDefault="281A73D8" w14:paraId="41EDF9A4" w14:textId="7525406B">
      <w:pPr>
        <w:pStyle w:val="ListBullet"/>
      </w:pPr>
      <w:r w:rsidRPr="618D13D5">
        <w:rPr>
          <w:b/>
          <w:bCs/>
        </w:rPr>
        <w:t>Provide centralised resources</w:t>
      </w:r>
      <w:r>
        <w:t xml:space="preserve"> where </w:t>
      </w:r>
      <w:r w:rsidRPr="618D13D5">
        <w:t>information is accessible and easy to find</w:t>
      </w:r>
    </w:p>
    <w:p w:rsidR="281A73D8" w:rsidP="00C801D3" w:rsidRDefault="281A73D8" w14:paraId="70BC3932" w14:textId="08BFACC7">
      <w:pPr>
        <w:pStyle w:val="ListBullet"/>
      </w:pPr>
      <w:r w:rsidRPr="618D13D5">
        <w:rPr>
          <w:b/>
          <w:bCs/>
        </w:rPr>
        <w:t xml:space="preserve">Use plain language </w:t>
      </w:r>
      <w:r w:rsidRPr="618D13D5">
        <w:t>to explain HTA terms, processes, decisions and outcomes</w:t>
      </w:r>
    </w:p>
    <w:p w:rsidR="281A73D8" w:rsidP="00C801D3" w:rsidRDefault="281A73D8" w14:paraId="0CDFCFA7" w14:textId="126E21A8">
      <w:pPr>
        <w:pStyle w:val="ListBullet"/>
      </w:pPr>
      <w:r w:rsidRPr="618D13D5">
        <w:rPr>
          <w:b/>
          <w:bCs/>
        </w:rPr>
        <w:t>Share opportunities</w:t>
      </w:r>
      <w:r w:rsidRPr="618D13D5">
        <w:t xml:space="preserve"> to contribute to HTA, including timelines and how information will be collected, used, stored and reported</w:t>
      </w:r>
    </w:p>
    <w:p w:rsidR="281A73D8" w:rsidP="00C801D3" w:rsidRDefault="281A73D8" w14:paraId="3FA8156B" w14:textId="3514EB35">
      <w:pPr>
        <w:pStyle w:val="ListBullet"/>
      </w:pPr>
      <w:r w:rsidRPr="618D13D5">
        <w:rPr>
          <w:b/>
          <w:bCs/>
        </w:rPr>
        <w:t>Broaden reach</w:t>
      </w:r>
      <w:r w:rsidRPr="618D13D5">
        <w:t xml:space="preserve"> through digital and non-digital channels and networks</w:t>
      </w:r>
    </w:p>
    <w:p w:rsidR="004B0753" w:rsidP="618D13D5" w:rsidRDefault="004B0753" w14:paraId="7AC41126" w14:textId="36716720">
      <w:pPr>
        <w:pStyle w:val="Heading2"/>
      </w:pPr>
      <w:bookmarkStart w:name="_Toc233127031" w:id="6"/>
      <w:r>
        <w:lastRenderedPageBreak/>
        <w:t>4.</w:t>
      </w:r>
      <w:r w:rsidR="00431682">
        <w:t>2 Build capability</w:t>
      </w:r>
      <w:bookmarkEnd w:id="6"/>
    </w:p>
    <w:p w:rsidR="00E30434" w:rsidP="00AF084B" w:rsidRDefault="0060274D" w14:paraId="1C93F7C4" w14:textId="7213651C">
      <w:pPr>
        <w:pStyle w:val="ListBullet"/>
      </w:pPr>
      <w:r w:rsidRPr="618D13D5">
        <w:rPr>
          <w:b/>
          <w:bCs/>
        </w:rPr>
        <w:t>Provide support and guidance</w:t>
      </w:r>
      <w:r>
        <w:t xml:space="preserve"> </w:t>
      </w:r>
      <w:r w:rsidR="79FBA0A3">
        <w:t>to strengthen stakeholders’ understanding of the role of consumer engagement in HTA</w:t>
      </w:r>
    </w:p>
    <w:p w:rsidR="007F243E" w:rsidP="00AF084B" w:rsidRDefault="79FBA0A3" w14:paraId="575CFA6F" w14:textId="14EC6BCF">
      <w:pPr>
        <w:pStyle w:val="ListBullet"/>
      </w:pPr>
      <w:r w:rsidRPr="618D13D5">
        <w:rPr>
          <w:b/>
          <w:bCs/>
        </w:rPr>
        <w:t>Develop tailored resources and training</w:t>
      </w:r>
      <w:r>
        <w:t xml:space="preserve"> to build knowledge and skills that meet the needs of different stakeholders</w:t>
      </w:r>
    </w:p>
    <w:p w:rsidR="00730FB9" w:rsidP="00AF084B" w:rsidRDefault="002502BA" w14:paraId="445DE432" w14:textId="765D5E85">
      <w:pPr>
        <w:pStyle w:val="ListBullet"/>
      </w:pPr>
      <w:r w:rsidRPr="618D13D5">
        <w:rPr>
          <w:b/>
          <w:bCs/>
        </w:rPr>
        <w:t>S</w:t>
      </w:r>
      <w:r w:rsidRPr="618D13D5" w:rsidR="3CBD33DB">
        <w:rPr>
          <w:b/>
          <w:bCs/>
        </w:rPr>
        <w:t>hare practical examples</w:t>
      </w:r>
      <w:r w:rsidR="3CBD33DB">
        <w:t xml:space="preserve"> of good consumer engagement across different stages of HTA</w:t>
      </w:r>
    </w:p>
    <w:p w:rsidR="002502BA" w:rsidP="00AF084B" w:rsidRDefault="00705B9D" w14:paraId="39374694" w14:textId="41CE0C18">
      <w:pPr>
        <w:pStyle w:val="ListBullet"/>
      </w:pPr>
      <w:r w:rsidRPr="618D13D5">
        <w:rPr>
          <w:b/>
          <w:bCs/>
        </w:rPr>
        <w:t>Support continuo</w:t>
      </w:r>
      <w:r w:rsidRPr="618D13D5" w:rsidR="3CAEA281">
        <w:rPr>
          <w:b/>
          <w:bCs/>
        </w:rPr>
        <w:t>us learning</w:t>
      </w:r>
      <w:r w:rsidR="3CAEA281">
        <w:t xml:space="preserve"> and reflection to strengthen engagement skills, confidence and ways of working</w:t>
      </w:r>
    </w:p>
    <w:p w:rsidR="006A1419" w:rsidP="618D13D5" w:rsidRDefault="009946BC" w14:paraId="10A8B5CC" w14:textId="27D369CE">
      <w:pPr>
        <w:pStyle w:val="Heading2"/>
      </w:pPr>
      <w:bookmarkStart w:name="_Toc233127032" w:id="7"/>
      <w:r>
        <w:t>4.3 Elevate engagement</w:t>
      </w:r>
      <w:bookmarkEnd w:id="7"/>
    </w:p>
    <w:p w:rsidR="006A1419" w:rsidP="618D13D5" w:rsidRDefault="36EE8C62" w14:paraId="3464495A" w14:textId="444B4D8C">
      <w:pPr>
        <w:pStyle w:val="ListBullet"/>
      </w:pPr>
      <w:r w:rsidRPr="618D13D5">
        <w:rPr>
          <w:b/>
          <w:bCs/>
        </w:rPr>
        <w:t>Communicate the purpose</w:t>
      </w:r>
      <w:r>
        <w:t xml:space="preserve"> of </w:t>
      </w:r>
      <w:r w:rsidRPr="618D13D5">
        <w:t>consumer engagement in HTA and why lived experience and consumer evidence matter</w:t>
      </w:r>
    </w:p>
    <w:p w:rsidR="00FD5F17" w:rsidP="618D13D5" w:rsidRDefault="36EE8C62" w14:paraId="4EE52BBA" w14:textId="2E0181F8">
      <w:pPr>
        <w:pStyle w:val="ListBullet"/>
      </w:pPr>
      <w:r w:rsidRPr="618D13D5">
        <w:rPr>
          <w:b/>
          <w:bCs/>
        </w:rPr>
        <w:t>Engage early and regularly</w:t>
      </w:r>
      <w:r>
        <w:t xml:space="preserve"> in a </w:t>
      </w:r>
      <w:r w:rsidRPr="618D13D5">
        <w:t>proportionate manner so that consumer input informs evidence generation and HTA decisions, while avoiding unnecessary burden</w:t>
      </w:r>
    </w:p>
    <w:p w:rsidR="00B35959" w:rsidP="618D13D5" w:rsidRDefault="36EE8C62" w14:paraId="01EEF6A7" w14:textId="5FA287A6">
      <w:pPr>
        <w:pStyle w:val="ListBullet"/>
      </w:pPr>
      <w:r w:rsidRPr="618D13D5">
        <w:rPr>
          <w:b/>
          <w:bCs/>
        </w:rPr>
        <w:t>Set clear expectations</w:t>
      </w:r>
      <w:r>
        <w:t xml:space="preserve"> about what </w:t>
      </w:r>
      <w:r w:rsidRPr="618D13D5">
        <w:t>and when consumers are asked to contribute and how input is used</w:t>
      </w:r>
    </w:p>
    <w:p w:rsidR="00692CF9" w:rsidP="618D13D5" w:rsidRDefault="36EE8C62" w14:paraId="5F1411D4" w14:textId="0A3E5562">
      <w:pPr>
        <w:pStyle w:val="ListBullet"/>
      </w:pPr>
      <w:r w:rsidRPr="618D13D5">
        <w:rPr>
          <w:b/>
          <w:bCs/>
        </w:rPr>
        <w:t>Support participation</w:t>
      </w:r>
      <w:r>
        <w:t xml:space="preserve"> by offering flexible </w:t>
      </w:r>
      <w:r w:rsidRPr="618D13D5">
        <w:t>ways to engage, responsive to different needs, preferences and barriers</w:t>
      </w:r>
    </w:p>
    <w:p w:rsidR="00B74B37" w:rsidP="00B74B37" w:rsidRDefault="00B74B37" w14:paraId="20D1F66E" w14:textId="77777777">
      <w:pPr>
        <w:pStyle w:val="Heading2"/>
      </w:pPr>
      <w:bookmarkStart w:name="_Toc233127033" w:id="8"/>
      <w:r>
        <w:t>4.4 Strengthen partnerships</w:t>
      </w:r>
      <w:bookmarkEnd w:id="8"/>
    </w:p>
    <w:p w:rsidR="00B74B37" w:rsidP="00B74B37" w:rsidRDefault="00B74B37" w14:paraId="31E79A67" w14:textId="77777777">
      <w:pPr>
        <w:pStyle w:val="ListBullet"/>
      </w:pPr>
      <w:r w:rsidRPr="618D13D5">
        <w:rPr>
          <w:b/>
          <w:bCs/>
        </w:rPr>
        <w:t>Build and sustain relationships</w:t>
      </w:r>
      <w:r>
        <w:t xml:space="preserve"> with </w:t>
      </w:r>
      <w:r w:rsidRPr="618D13D5">
        <w:t>consumers, consumer organisations, communities and other stakeholders through respectful and trust-based engagement</w:t>
      </w:r>
    </w:p>
    <w:p w:rsidR="00B74B37" w:rsidP="00B74B37" w:rsidRDefault="00B74B37" w14:paraId="1D1B1CFD" w14:textId="77777777">
      <w:pPr>
        <w:pStyle w:val="ListBullet"/>
      </w:pPr>
      <w:r w:rsidRPr="618D13D5">
        <w:rPr>
          <w:b/>
          <w:bCs/>
        </w:rPr>
        <w:t>Support equitable and culturally safe engagement</w:t>
      </w:r>
      <w:r w:rsidRPr="618D13D5">
        <w:t xml:space="preserve"> by working with communities to tailor approaches, address barriers and support those most affected by HTA decisions</w:t>
      </w:r>
    </w:p>
    <w:p w:rsidR="00B74B37" w:rsidP="00B74B37" w:rsidRDefault="00B74B37" w14:paraId="3433D8E6" w14:textId="77777777">
      <w:pPr>
        <w:pStyle w:val="ListBullet"/>
      </w:pPr>
      <w:r w:rsidRPr="618D13D5">
        <w:rPr>
          <w:b/>
          <w:bCs/>
        </w:rPr>
        <w:t>Strengthen ongoing dialogue and collaboration</w:t>
      </w:r>
      <w:r w:rsidRPr="618D13D5">
        <w:t xml:space="preserve"> through two-way communication and regular feedback</w:t>
      </w:r>
    </w:p>
    <w:p w:rsidR="00B74B37" w:rsidP="00B74B37" w:rsidRDefault="00B74B37" w14:paraId="4414B1DE" w14:textId="77777777">
      <w:pPr>
        <w:pStyle w:val="ListBullet"/>
      </w:pPr>
      <w:r w:rsidRPr="618D13D5">
        <w:rPr>
          <w:b/>
          <w:bCs/>
        </w:rPr>
        <w:t>Develop shared approaches</w:t>
      </w:r>
      <w:r>
        <w:t xml:space="preserve"> to </w:t>
      </w:r>
      <w:r w:rsidRPr="618D13D5">
        <w:t>consumer engagement and clarify roles and responsibilities to support effective partnerships</w:t>
      </w:r>
    </w:p>
    <w:p w:rsidR="00B74B37" w:rsidP="00B74B37" w:rsidRDefault="00B74B37" w14:paraId="68F861F8" w14:textId="77777777">
      <w:pPr>
        <w:pStyle w:val="Heading2"/>
      </w:pPr>
      <w:bookmarkStart w:name="_Toc233127034" w:id="9"/>
      <w:r>
        <w:t>4.5 Evaluate impact</w:t>
      </w:r>
      <w:bookmarkEnd w:id="9"/>
    </w:p>
    <w:p w:rsidR="00B74B37" w:rsidP="00B74B37" w:rsidRDefault="00B74B37" w14:paraId="1BD35C82" w14:textId="77777777">
      <w:pPr>
        <w:pStyle w:val="ListBullet"/>
      </w:pPr>
      <w:r w:rsidRPr="618D13D5">
        <w:rPr>
          <w:b/>
          <w:bCs/>
        </w:rPr>
        <w:t>Monitor engagement</w:t>
      </w:r>
      <w:r>
        <w:t xml:space="preserve"> to understand who is involved, when engagement occurs and whether it is accessible, inclusive and proportionate</w:t>
      </w:r>
    </w:p>
    <w:p w:rsidR="00B74B37" w:rsidP="00B74B37" w:rsidRDefault="00B74B37" w14:paraId="1690B2E8" w14:textId="77777777">
      <w:pPr>
        <w:pStyle w:val="ListBullet"/>
      </w:pPr>
      <w:r w:rsidRPr="618D13D5">
        <w:rPr>
          <w:b/>
          <w:bCs/>
        </w:rPr>
        <w:t>Document consumer input and evidence</w:t>
      </w:r>
      <w:r>
        <w:t xml:space="preserve"> to tract use across the health technology lifecycle</w:t>
      </w:r>
    </w:p>
    <w:p w:rsidR="00B74B37" w:rsidP="00B74B37" w:rsidRDefault="00B74B37" w14:paraId="482C334A" w14:textId="77777777">
      <w:pPr>
        <w:pStyle w:val="ListBullet"/>
      </w:pPr>
      <w:r w:rsidRPr="618D13D5">
        <w:rPr>
          <w:b/>
          <w:bCs/>
        </w:rPr>
        <w:t>Provide feedback</w:t>
      </w:r>
      <w:r>
        <w:t xml:space="preserve"> on how consumer input was considered and influenced HTA decisions</w:t>
      </w:r>
    </w:p>
    <w:p w:rsidR="00B74B37" w:rsidP="00B74B37" w:rsidRDefault="00B74B37" w14:paraId="62B882E2" w14:textId="77777777">
      <w:pPr>
        <w:pStyle w:val="ListBullet"/>
      </w:pPr>
      <w:r w:rsidRPr="618D13D5">
        <w:rPr>
          <w:b/>
          <w:bCs/>
        </w:rPr>
        <w:t>Invite feedback and use data</w:t>
      </w:r>
      <w:r>
        <w:t xml:space="preserve"> to continuously improve consumer engagement approaches, resources and support</w:t>
      </w:r>
    </w:p>
    <w:p w:rsidR="00106C11" w:rsidP="00106C11" w:rsidRDefault="00106C11" w14:paraId="5F1C530F" w14:textId="69CEF271">
      <w:pPr>
        <w:pStyle w:val="Heading1"/>
      </w:pPr>
      <w:bookmarkStart w:name="_Toc233127035" w:id="10"/>
      <w:r>
        <w:lastRenderedPageBreak/>
        <w:t>5. Consumer engagement across the health technology li</w:t>
      </w:r>
      <w:r w:rsidR="001A627D">
        <w:t>fecycle</w:t>
      </w:r>
      <w:bookmarkEnd w:id="10"/>
    </w:p>
    <w:p w:rsidR="002B334F" w:rsidP="00C801D3" w:rsidRDefault="001A627D" w14:paraId="2460E31A" w14:textId="0C9115F1">
      <w:r w:rsidRPr="001A627D">
        <w:t>Consumer engagement, consumer input and consumer evidence builds throughout the lifecycle of the health technology</w:t>
      </w:r>
      <w:r w:rsidR="007705E5">
        <w:t>.</w:t>
      </w:r>
    </w:p>
    <w:p w:rsidRPr="00E93768" w:rsidR="00F56217" w:rsidP="00E93768" w:rsidRDefault="000E784A" w14:paraId="10C92E2A" w14:textId="6A64B979">
      <w:r w:rsidRPr="00FC57CF">
        <w:t>The health technology lifecycle consists of 5 main stages</w:t>
      </w:r>
      <w:r w:rsidRPr="00FC57CF" w:rsidR="00437B4C">
        <w:t>. Below is an overview of each sta</w:t>
      </w:r>
      <w:r w:rsidRPr="00FC57CF" w:rsidR="00F56217">
        <w:t>ge, and opportunities for consumer engagement.</w:t>
      </w:r>
      <w:r w:rsidRPr="00FC57CF" w:rsidR="00E93768">
        <w:t xml:space="preserve"> Figure 1 provides a schematic representation of the lifecycle.</w:t>
      </w:r>
    </w:p>
    <w:p w:rsidR="00692BC7" w:rsidP="00692BC7" w:rsidRDefault="10139DE4" w14:paraId="7E3D543A" w14:textId="4009A0D3">
      <w:pPr>
        <w:pStyle w:val="Boxtype"/>
        <w:rPr>
          <w:lang w:val="en-US"/>
        </w:rPr>
      </w:pPr>
      <w:r w:rsidRPr="00FC57CF">
        <w:rPr>
          <w:lang w:val="en-US"/>
        </w:rPr>
        <w:t>Boxed text represents opportunities for consumer engagement</w:t>
      </w:r>
      <w:r w:rsidRPr="00FC57CF" w:rsidR="0068186E">
        <w:rPr>
          <w:lang w:val="en-US"/>
        </w:rPr>
        <w:t xml:space="preserve"> at each stage.</w:t>
      </w:r>
    </w:p>
    <w:p w:rsidR="008C7D01" w:rsidP="00E93768" w:rsidRDefault="008C7D01" w14:paraId="543AC601" w14:textId="77777777">
      <w:pPr>
        <w:rPr>
          <w:lang w:val="en-US"/>
        </w:rPr>
        <w:sectPr w:rsidR="008C7D01" w:rsidSect="00A74345">
          <w:headerReference w:type="default" r:id="rId15"/>
          <w:footerReference w:type="default" r:id="rId16"/>
          <w:pgSz w:w="11906" w:h="16838" w:orient="portrait"/>
          <w:pgMar w:top="1701" w:right="1418" w:bottom="1418" w:left="1418" w:header="709" w:footer="709" w:gutter="0"/>
          <w:cols w:space="708"/>
          <w:docGrid w:linePitch="360"/>
        </w:sectPr>
      </w:pPr>
    </w:p>
    <w:p w:rsidRPr="00F56217" w:rsidR="00854FEC" w:rsidP="00130380" w:rsidRDefault="00854FEC" w14:paraId="1E514136" w14:textId="6FC509CB">
      <w:pPr>
        <w:pStyle w:val="FigureTitle"/>
        <w:keepNext/>
        <w:rPr>
          <w:lang w:val="en"/>
        </w:rPr>
      </w:pPr>
      <w:r>
        <w:lastRenderedPageBreak/>
        <w:t>Figure 1</w:t>
      </w:r>
      <w:r w:rsidR="008C7D01">
        <w:t>. Consumer engagement across the health technology lifecycle</w:t>
      </w:r>
    </w:p>
    <w:p w:rsidR="008C7D01" w:rsidP="00686437" w:rsidRDefault="00130380" w14:paraId="6DCAF970" w14:textId="77777777">
      <w:pPr>
        <w:sectPr w:rsidR="008C7D01" w:rsidSect="008C7D01">
          <w:pgSz w:w="16838" w:h="11906" w:orient="landscape"/>
          <w:pgMar w:top="1418" w:right="1701" w:bottom="1418" w:left="1418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5AFC3B" wp14:editId="184B6306">
            <wp:simplePos x="901700" y="1136650"/>
            <wp:positionH relativeFrom="margin">
              <wp:align>center</wp:align>
            </wp:positionH>
            <wp:positionV relativeFrom="margin">
              <wp:align>center</wp:align>
            </wp:positionV>
            <wp:extent cx="9630057" cy="5418101"/>
            <wp:effectExtent l="0" t="0" r="0" b="0"/>
            <wp:wrapSquare wrapText="bothSides"/>
            <wp:docPr id="1834956502" name="Picture 2" descr="Figure 1 is a schematic representation of stages 1-5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56502" name="Picture 2" descr="Figure 1 is a schematic representation of stages 1-5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57" cy="541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A58" w:rsidP="00D066AC" w:rsidRDefault="000F08C6" w14:paraId="3528CBF6" w14:textId="12126936">
      <w:pPr>
        <w:pStyle w:val="Heading2"/>
      </w:pPr>
      <w:bookmarkStart w:name="_Toc233127036" w:id="11"/>
      <w:r>
        <w:lastRenderedPageBreak/>
        <w:t xml:space="preserve">Stage </w:t>
      </w:r>
      <w:r w:rsidR="00C33A58">
        <w:t xml:space="preserve">1: Research </w:t>
      </w:r>
      <w:r w:rsidR="000935E2">
        <w:t>&amp; d</w:t>
      </w:r>
      <w:r w:rsidR="00C33A58">
        <w:t>evelopment</w:t>
      </w:r>
      <w:bookmarkEnd w:id="11"/>
    </w:p>
    <w:p w:rsidR="000876E6" w:rsidP="00C33A58" w:rsidRDefault="7D9E7020" w14:paraId="2169C400" w14:textId="71E580F4">
      <w:r>
        <w:t>The health technology is discovered, developed and tested</w:t>
      </w:r>
      <w:r w:rsidR="007705E5">
        <w:t>.</w:t>
      </w:r>
    </w:p>
    <w:p w:rsidR="00C33A58" w:rsidP="618D13D5" w:rsidRDefault="32ABC633" w14:paraId="79256D96" w14:textId="664C4968">
      <w:pPr>
        <w:pStyle w:val="Boxtype"/>
        <w:rPr>
          <w:lang w:val="en-US"/>
        </w:rPr>
      </w:pPr>
      <w:r w:rsidRPr="618D13D5">
        <w:rPr>
          <w:lang w:val="en-US"/>
        </w:rPr>
        <w:t>Consumers h</w:t>
      </w:r>
      <w:r w:rsidRPr="618D13D5" w:rsidR="7C08692C">
        <w:rPr>
          <w:lang w:val="en-US"/>
        </w:rPr>
        <w:t>elp define research priorities, trial designs and outcome measures, and participate in clinical trials. Consumer</w:t>
      </w:r>
      <w:r w:rsidRPr="618D13D5" w:rsidR="7C328B9A">
        <w:rPr>
          <w:lang w:val="en-US"/>
        </w:rPr>
        <w:t>s</w:t>
      </w:r>
      <w:r w:rsidRPr="618D13D5" w:rsidR="7C08692C">
        <w:rPr>
          <w:lang w:val="en-US"/>
        </w:rPr>
        <w:t xml:space="preserve"> support horizon scanning by bringing consumer needs and access issues into early discussion about em</w:t>
      </w:r>
      <w:r w:rsidRPr="618D13D5" w:rsidR="0B3577C2">
        <w:rPr>
          <w:lang w:val="en-US"/>
        </w:rPr>
        <w:t>erging technologies.</w:t>
      </w:r>
    </w:p>
    <w:p w:rsidR="00C33A58" w:rsidP="00CE7BE9" w:rsidRDefault="000F08C6" w14:paraId="2BEA0FCD" w14:textId="4AFA7BDB">
      <w:pPr>
        <w:pStyle w:val="Heading2"/>
      </w:pPr>
      <w:bookmarkStart w:name="_Toc233127037" w:id="12"/>
      <w:r>
        <w:t xml:space="preserve">Stage </w:t>
      </w:r>
      <w:r w:rsidR="00C33A58">
        <w:t xml:space="preserve">2: Regulatory </w:t>
      </w:r>
      <w:r w:rsidR="0078095F">
        <w:t>decision</w:t>
      </w:r>
      <w:bookmarkEnd w:id="12"/>
    </w:p>
    <w:p w:rsidR="000876E6" w:rsidP="00C33A58" w:rsidRDefault="2BBEB85E" w14:paraId="00653EA6" w14:textId="6E7ACDFF">
      <w:r>
        <w:t>Therapeutic Goods Administration (TGA) assesses if the health technology is safe and works</w:t>
      </w:r>
      <w:r w:rsidR="32ABC633">
        <w:t xml:space="preserve"> as intended.</w:t>
      </w:r>
    </w:p>
    <w:p w:rsidR="00C33A58" w:rsidP="000876E6" w:rsidRDefault="792184F5" w14:paraId="4D6CEC23" w14:textId="4B060526">
      <w:pPr>
        <w:pStyle w:val="Boxtype"/>
      </w:pPr>
      <w:r>
        <w:t>Consumer</w:t>
      </w:r>
      <w:r w:rsidR="5AB2292C">
        <w:t xml:space="preserve"> evidence and outcome measures may be part of the evidence provided by a sponsor. Consumers </w:t>
      </w:r>
      <w:r>
        <w:t>are members of TGA advisory committees</w:t>
      </w:r>
      <w:r w:rsidR="4FF5F6AA">
        <w:t>.</w:t>
      </w:r>
    </w:p>
    <w:p w:rsidR="00C33A58" w:rsidP="00CE7BE9" w:rsidRDefault="000F08C6" w14:paraId="66ABCB30" w14:textId="446FA9DA">
      <w:pPr>
        <w:pStyle w:val="Heading2"/>
      </w:pPr>
      <w:bookmarkStart w:name="_Toc233127038" w:id="13"/>
      <w:r>
        <w:t xml:space="preserve">Stage </w:t>
      </w:r>
      <w:r w:rsidR="00C33A58">
        <w:t>3: Health Technology Assessment (HTA)</w:t>
      </w:r>
      <w:bookmarkEnd w:id="13"/>
    </w:p>
    <w:p w:rsidR="00B92A3D" w:rsidP="00D05977" w:rsidRDefault="24D8EF79" w14:paraId="7843D32A" w14:textId="5E928463">
      <w:pPr>
        <w:rPr>
          <w:b/>
          <w:bCs/>
        </w:rPr>
      </w:pPr>
      <w:r w:rsidRPr="618D13D5">
        <w:t>Consumer evidence, clinical outcomes and value for money of the health technology are considered and compared with current treatment options to inform government funding decisions</w:t>
      </w:r>
      <w:r w:rsidR="007705E5">
        <w:t>.</w:t>
      </w:r>
      <w:r w:rsidR="00830D3A">
        <w:t xml:space="preserve"> </w:t>
      </w:r>
      <w:r w:rsidRPr="00254E09" w:rsidR="00A904B1">
        <w:t xml:space="preserve">Since the focus of this framework is on HTA, </w:t>
      </w:r>
      <w:r w:rsidRPr="00254E09" w:rsidR="00697E9A">
        <w:t>below is</w:t>
      </w:r>
      <w:r w:rsidRPr="00254E09" w:rsidR="00A904B1">
        <w:t xml:space="preserve"> </w:t>
      </w:r>
      <w:r w:rsidRPr="00254E09" w:rsidR="006E6748">
        <w:t>an overview of the</w:t>
      </w:r>
      <w:r w:rsidRPr="00254E09" w:rsidR="00830D3A">
        <w:t xml:space="preserve"> </w:t>
      </w:r>
      <w:r w:rsidRPr="00254E09" w:rsidR="00697E9A">
        <w:t xml:space="preserve">main </w:t>
      </w:r>
      <w:r w:rsidRPr="00254E09" w:rsidR="00830D3A">
        <w:t xml:space="preserve">steps </w:t>
      </w:r>
      <w:r w:rsidRPr="00254E09" w:rsidR="006E6748">
        <w:t>in</w:t>
      </w:r>
      <w:r w:rsidRPr="00254E09" w:rsidR="00830D3A">
        <w:t xml:space="preserve"> this stage</w:t>
      </w:r>
      <w:r w:rsidRPr="00254E09" w:rsidR="003B0AD7">
        <w:t>, and opportunities for consumer engagement at each step.</w:t>
      </w:r>
    </w:p>
    <w:p w:rsidR="00B92A3D" w:rsidP="0068186E" w:rsidRDefault="00B92A3D" w14:paraId="383C9B58" w14:textId="631F87D2">
      <w:pPr>
        <w:pStyle w:val="Heading4"/>
      </w:pPr>
      <w:r>
        <w:t xml:space="preserve">3.a </w:t>
      </w:r>
      <w:r w:rsidR="00C33A58">
        <w:t>Scoping</w:t>
      </w:r>
    </w:p>
    <w:p w:rsidR="009612B5" w:rsidP="00B92A3D" w:rsidRDefault="00C33A58" w14:paraId="04B4D948" w14:textId="77777777">
      <w:r>
        <w:t>Key questions are defined for the HTA, including</w:t>
      </w:r>
      <w:r w:rsidR="009612B5">
        <w:t>:</w:t>
      </w:r>
    </w:p>
    <w:p w:rsidR="009612B5" w:rsidP="009612B5" w:rsidRDefault="00C33A58" w14:paraId="5015B54C" w14:textId="40AA11C2">
      <w:pPr>
        <w:pStyle w:val="ListBullet"/>
      </w:pPr>
      <w:r>
        <w:t>who the technology is for</w:t>
      </w:r>
      <w:r w:rsidR="009612B5">
        <w:t>?</w:t>
      </w:r>
    </w:p>
    <w:p w:rsidR="009612B5" w:rsidP="009612B5" w:rsidRDefault="00C33A58" w14:paraId="7FA38ECC" w14:textId="57781DCF">
      <w:pPr>
        <w:pStyle w:val="ListBullet"/>
      </w:pPr>
      <w:r>
        <w:t>what it is compared to</w:t>
      </w:r>
      <w:r w:rsidR="009612B5">
        <w:t>?</w:t>
      </w:r>
    </w:p>
    <w:p w:rsidR="00A0236B" w:rsidP="009612B5" w:rsidRDefault="00C33A58" w14:paraId="302518D5" w14:textId="7EC10BE8">
      <w:pPr>
        <w:pStyle w:val="ListBullet"/>
      </w:pPr>
      <w:r>
        <w:t>which outcomes matter</w:t>
      </w:r>
      <w:r w:rsidR="009612B5">
        <w:t>?</w:t>
      </w:r>
    </w:p>
    <w:p w:rsidR="00C33A58" w:rsidP="618D13D5" w:rsidRDefault="00C33A58" w14:paraId="525E2907" w14:textId="36619327">
      <w:pPr>
        <w:pStyle w:val="Boxtype"/>
        <w:rPr>
          <w:lang w:val="en-US"/>
        </w:rPr>
      </w:pPr>
      <w:r w:rsidRPr="618D13D5">
        <w:rPr>
          <w:lang w:val="en-US"/>
        </w:rPr>
        <w:t>Consumer</w:t>
      </w:r>
      <w:r w:rsidRPr="618D13D5" w:rsidR="6F9D66D8">
        <w:rPr>
          <w:lang w:val="en-US"/>
        </w:rPr>
        <w:t>s</w:t>
      </w:r>
      <w:r w:rsidRPr="618D13D5" w:rsidR="00F0524C">
        <w:rPr>
          <w:lang w:val="en-US"/>
        </w:rPr>
        <w:t xml:space="preserve"> </w:t>
      </w:r>
      <w:r w:rsidRPr="618D13D5" w:rsidR="17B4295C">
        <w:rPr>
          <w:lang w:val="en-US"/>
        </w:rPr>
        <w:t xml:space="preserve">input identifies unmet need, meaningful outcomes and access issues, helping focus the assessment on what matters most to patients, their </w:t>
      </w:r>
      <w:proofErr w:type="spellStart"/>
      <w:r w:rsidRPr="618D13D5" w:rsidR="17B4295C">
        <w:rPr>
          <w:lang w:val="en-US"/>
        </w:rPr>
        <w:t>carers</w:t>
      </w:r>
      <w:proofErr w:type="spellEnd"/>
      <w:r w:rsidRPr="618D13D5" w:rsidR="17B4295C">
        <w:rPr>
          <w:lang w:val="en-US"/>
        </w:rPr>
        <w:t>, families and communities</w:t>
      </w:r>
      <w:r w:rsidR="006009F4">
        <w:rPr>
          <w:lang w:val="en-US"/>
        </w:rPr>
        <w:t>.</w:t>
      </w:r>
    </w:p>
    <w:p w:rsidR="00B92A3D" w:rsidP="0068186E" w:rsidRDefault="00B92A3D" w14:paraId="23F4D0A4" w14:textId="30D7D8BC">
      <w:pPr>
        <w:pStyle w:val="Heading4"/>
      </w:pPr>
      <w:r>
        <w:t xml:space="preserve">3.b </w:t>
      </w:r>
      <w:r w:rsidRPr="00B92A3D" w:rsidR="00C33A58">
        <w:t xml:space="preserve">Evidence </w:t>
      </w:r>
      <w:r w:rsidR="0068186E">
        <w:t>s</w:t>
      </w:r>
      <w:r w:rsidRPr="00B92A3D" w:rsidR="00C33A58">
        <w:t>ubmission</w:t>
      </w:r>
    </w:p>
    <w:p w:rsidR="00E04F1A" w:rsidP="00B92A3D" w:rsidRDefault="00C33A58" w14:paraId="1E2E59AA" w14:textId="7D32E129">
      <w:r>
        <w:t>Stakeholders submit evidence to inform the HTA.</w:t>
      </w:r>
    </w:p>
    <w:p w:rsidR="00C33A58" w:rsidP="618D13D5" w:rsidRDefault="00C33A58" w14:paraId="0158CF82" w14:textId="57F03D03">
      <w:pPr>
        <w:pStyle w:val="Boxtype"/>
        <w:rPr>
          <w:lang w:val="en-US"/>
        </w:rPr>
      </w:pPr>
      <w:r w:rsidRPr="618D13D5">
        <w:rPr>
          <w:lang w:val="en-US"/>
        </w:rPr>
        <w:lastRenderedPageBreak/>
        <w:t xml:space="preserve">Consumers </w:t>
      </w:r>
      <w:r w:rsidRPr="618D13D5" w:rsidR="47897F00">
        <w:rPr>
          <w:lang w:val="en-US"/>
        </w:rPr>
        <w:t>contribute input and evidence</w:t>
      </w:r>
      <w:r w:rsidRPr="618D13D5">
        <w:rPr>
          <w:lang w:val="en-US"/>
        </w:rPr>
        <w:t xml:space="preserve"> </w:t>
      </w:r>
      <w:r w:rsidRPr="618D13D5" w:rsidR="330AAE29">
        <w:rPr>
          <w:lang w:val="en-US"/>
        </w:rPr>
        <w:t>to</w:t>
      </w:r>
      <w:r w:rsidRPr="618D13D5">
        <w:rPr>
          <w:lang w:val="en-US"/>
        </w:rPr>
        <w:t xml:space="preserve"> inform the HTA, including lived experience, preferences, needs</w:t>
      </w:r>
      <w:r w:rsidRPr="618D13D5" w:rsidR="6ABB6E0C">
        <w:rPr>
          <w:lang w:val="en-US"/>
        </w:rPr>
        <w:t>,</w:t>
      </w:r>
      <w:r w:rsidRPr="618D13D5">
        <w:rPr>
          <w:lang w:val="en-US"/>
        </w:rPr>
        <w:t xml:space="preserve"> expectations</w:t>
      </w:r>
      <w:r w:rsidRPr="618D13D5" w:rsidR="31E073D2">
        <w:rPr>
          <w:lang w:val="en-US"/>
        </w:rPr>
        <w:t>, treatment burden and access barriers of the health technology.</w:t>
      </w:r>
    </w:p>
    <w:p w:rsidR="00B92A3D" w:rsidP="0068186E" w:rsidRDefault="00B92A3D" w14:paraId="071DBF3D" w14:textId="68A33ADB">
      <w:pPr>
        <w:pStyle w:val="Heading4"/>
      </w:pPr>
      <w:r>
        <w:t xml:space="preserve">3.c </w:t>
      </w:r>
      <w:r w:rsidRPr="00B92A3D" w:rsidR="00C33A58">
        <w:t xml:space="preserve">Evidence </w:t>
      </w:r>
      <w:r w:rsidR="0068186E">
        <w:t>e</w:t>
      </w:r>
      <w:r w:rsidRPr="00B92A3D" w:rsidR="00C33A58">
        <w:t>valuation</w:t>
      </w:r>
    </w:p>
    <w:p w:rsidR="00E04F1A" w:rsidP="00B92A3D" w:rsidRDefault="1DCBFEE3" w14:paraId="4578E0F9" w14:textId="60BF077E">
      <w:r>
        <w:t>E</w:t>
      </w:r>
      <w:r w:rsidR="00C33A58">
        <w:t>vidence is reviewed by the department and its evaluators.</w:t>
      </w:r>
    </w:p>
    <w:p w:rsidR="00C33A58" w:rsidP="618D13D5" w:rsidRDefault="00C33A58" w14:paraId="471D5929" w14:textId="58570AB2">
      <w:pPr>
        <w:pStyle w:val="Boxtype"/>
        <w:rPr>
          <w:lang w:val="en-US"/>
        </w:rPr>
      </w:pPr>
      <w:r w:rsidRPr="618D13D5">
        <w:rPr>
          <w:lang w:val="en-US"/>
        </w:rPr>
        <w:t>Consumers</w:t>
      </w:r>
      <w:r w:rsidRPr="618D13D5" w:rsidR="4DA9F54E">
        <w:rPr>
          <w:lang w:val="en-US"/>
        </w:rPr>
        <w:t xml:space="preserve"> evidence is considered alongside clinical, economic and other evidence to help inform the HTA</w:t>
      </w:r>
      <w:r w:rsidR="006009F4">
        <w:rPr>
          <w:lang w:val="en-US"/>
        </w:rPr>
        <w:t>.</w:t>
      </w:r>
    </w:p>
    <w:p w:rsidR="00B92A3D" w:rsidP="0068186E" w:rsidRDefault="00B92A3D" w14:paraId="31D99FCC" w14:textId="33ADB11B">
      <w:pPr>
        <w:pStyle w:val="Heading4"/>
      </w:pPr>
      <w:r>
        <w:t xml:space="preserve">3.d </w:t>
      </w:r>
      <w:r w:rsidRPr="00B92A3D" w:rsidR="00C33A58">
        <w:t xml:space="preserve">Committee </w:t>
      </w:r>
      <w:r w:rsidR="0068186E">
        <w:t>r</w:t>
      </w:r>
      <w:r w:rsidRPr="00B92A3D" w:rsidR="00C33A58">
        <w:t>ecommendation</w:t>
      </w:r>
    </w:p>
    <w:p w:rsidR="00E04F1A" w:rsidP="00B92A3D" w:rsidRDefault="00C33A58" w14:paraId="28C05145" w14:textId="2966B719">
      <w:r>
        <w:t xml:space="preserve">HTA advisory committees discuss </w:t>
      </w:r>
      <w:r w:rsidR="1D36AD44">
        <w:t xml:space="preserve">all the inputs and </w:t>
      </w:r>
      <w:r>
        <w:t>evidence and make recommendations</w:t>
      </w:r>
      <w:r w:rsidR="52230E49">
        <w:t xml:space="preserve"> to the government </w:t>
      </w:r>
      <w:r>
        <w:t xml:space="preserve">about </w:t>
      </w:r>
      <w:r w:rsidR="709E4C74">
        <w:t>whether</w:t>
      </w:r>
      <w:r>
        <w:t xml:space="preserve"> </w:t>
      </w:r>
      <w:r w:rsidR="7C4CC370">
        <w:t xml:space="preserve">the </w:t>
      </w:r>
      <w:r>
        <w:t>health technolog</w:t>
      </w:r>
      <w:r w:rsidR="5C001E4D">
        <w:t>y</w:t>
      </w:r>
      <w:r>
        <w:t xml:space="preserve"> should be funded.</w:t>
      </w:r>
    </w:p>
    <w:p w:rsidR="00C33A58" w:rsidP="00E04F1A" w:rsidRDefault="00C33A58" w14:paraId="4BF256CE" w14:textId="0CEED2CC">
      <w:pPr>
        <w:pStyle w:val="Boxtype"/>
      </w:pPr>
      <w:r w:rsidRPr="618D13D5">
        <w:rPr>
          <w:lang w:val="en-US"/>
        </w:rPr>
        <w:t xml:space="preserve">Consumers </w:t>
      </w:r>
      <w:r w:rsidRPr="618D13D5" w:rsidR="4DA04734">
        <w:rPr>
          <w:lang w:val="en-US"/>
        </w:rPr>
        <w:t xml:space="preserve">input and evidence inform HTA </w:t>
      </w:r>
      <w:r w:rsidRPr="618D13D5" w:rsidR="7EB03C7F">
        <w:rPr>
          <w:lang w:val="en-US"/>
        </w:rPr>
        <w:t>committees</w:t>
      </w:r>
      <w:r w:rsidRPr="618D13D5" w:rsidR="4DA04734">
        <w:rPr>
          <w:lang w:val="en-US"/>
        </w:rPr>
        <w:t xml:space="preserve"> discussions and decisions. Consumers </w:t>
      </w:r>
      <w:r w:rsidRPr="618D13D5">
        <w:rPr>
          <w:lang w:val="en-US"/>
        </w:rPr>
        <w:t>are members of HTA advisory committees</w:t>
      </w:r>
      <w:r w:rsidRPr="618D13D5" w:rsidR="4110E28A">
        <w:rPr>
          <w:lang w:val="en-US"/>
        </w:rPr>
        <w:t>.</w:t>
      </w:r>
    </w:p>
    <w:p w:rsidR="00B92A3D" w:rsidP="00435EB7" w:rsidRDefault="00B92A3D" w14:paraId="49BBE598" w14:textId="7B29A9E2">
      <w:pPr>
        <w:pStyle w:val="Heading4"/>
      </w:pPr>
      <w:r>
        <w:t xml:space="preserve">3.e </w:t>
      </w:r>
      <w:r w:rsidRPr="00B92A3D" w:rsidR="00C33A58">
        <w:t xml:space="preserve">Publication of </w:t>
      </w:r>
      <w:r w:rsidR="00435EB7">
        <w:t>o</w:t>
      </w:r>
      <w:r w:rsidRPr="00B92A3D" w:rsidR="00C33A58">
        <w:t>utcomes</w:t>
      </w:r>
    </w:p>
    <w:p w:rsidRPr="00DB2C80" w:rsidR="00DB2C80" w:rsidP="00DB2C80" w:rsidRDefault="00DD31F8" w14:paraId="0C3C46B3" w14:textId="5A38BBB0">
      <w:r>
        <w:t>A summary of the assessment and outcomes is published to explain the reasons for the recommendation.</w:t>
      </w:r>
    </w:p>
    <w:p w:rsidR="001368CF" w:rsidP="001368CF" w:rsidRDefault="001368CF" w14:paraId="6E30563B" w14:textId="70DAB28D">
      <w:pPr>
        <w:pStyle w:val="Boxtype"/>
      </w:pPr>
      <w:r>
        <w:t xml:space="preserve">Consumers see how their </w:t>
      </w:r>
      <w:r w:rsidR="73045BEC">
        <w:t>input</w:t>
      </w:r>
      <w:r>
        <w:t xml:space="preserve"> and e</w:t>
      </w:r>
      <w:r w:rsidR="70E1B7CC">
        <w:t>vidence</w:t>
      </w:r>
      <w:r>
        <w:t xml:space="preserve"> were considered.</w:t>
      </w:r>
    </w:p>
    <w:p w:rsidR="00C33A58" w:rsidP="00435EB7" w:rsidRDefault="00657970" w14:paraId="2F2CD937" w14:textId="5B6949FA">
      <w:pPr>
        <w:pStyle w:val="Heading2"/>
      </w:pPr>
      <w:bookmarkStart w:name="_Toc233127039" w:id="14"/>
      <w:r>
        <w:t xml:space="preserve">Stage </w:t>
      </w:r>
      <w:r w:rsidR="00C33A58">
        <w:t xml:space="preserve">4: </w:t>
      </w:r>
      <w:r w:rsidR="0875E493">
        <w:t>Funding decision</w:t>
      </w:r>
      <w:bookmarkEnd w:id="14"/>
    </w:p>
    <w:p w:rsidRPr="001368CF" w:rsidR="001368CF" w:rsidRDefault="001368CF" w14:paraId="107A1389" w14:textId="2F4A42DF">
      <w:r>
        <w:t xml:space="preserve">The government subsidises the health technology </w:t>
      </w:r>
      <w:r w:rsidR="409FA3D3">
        <w:t>once listing agreements are finalised and government processes are completed.</w:t>
      </w:r>
    </w:p>
    <w:p w:rsidRPr="00435EB7" w:rsidR="00C33A58" w:rsidP="00435EB7" w:rsidRDefault="00657970" w14:paraId="6695DFDB" w14:textId="1801F8A0">
      <w:pPr>
        <w:pStyle w:val="Heading2"/>
      </w:pPr>
      <w:bookmarkStart w:name="_Toc233127040" w:id="15"/>
      <w:r>
        <w:t xml:space="preserve">Stage </w:t>
      </w:r>
      <w:r w:rsidRPr="00435EB7" w:rsidR="00C33A58">
        <w:t xml:space="preserve">5: Monitoring </w:t>
      </w:r>
      <w:r>
        <w:t>u</w:t>
      </w:r>
      <w:r w:rsidRPr="00435EB7" w:rsidR="00C33A58">
        <w:t>se</w:t>
      </w:r>
      <w:bookmarkEnd w:id="15"/>
    </w:p>
    <w:p w:rsidR="001368CF" w:rsidP="00C33A58" w:rsidRDefault="52E15953" w14:paraId="0D7129DA" w14:textId="0CD9B30D">
      <w:r>
        <w:t>Ongoing monitoring assesses how the health technology is used, ensures it remains safe and effective for patients, and informs reassessment and future HTA.</w:t>
      </w:r>
    </w:p>
    <w:p w:rsidRPr="008C7D01" w:rsidR="008E5987" w:rsidP="008C7D01" w:rsidRDefault="00C33A58" w14:paraId="71BB4F09" w14:textId="1DF3E2E1">
      <w:pPr>
        <w:pStyle w:val="Boxtype"/>
        <w:rPr>
          <w:lang w:val="en-US"/>
        </w:rPr>
      </w:pPr>
      <w:r w:rsidRPr="618D13D5">
        <w:rPr>
          <w:lang w:val="en-US"/>
        </w:rPr>
        <w:t xml:space="preserve">Consumer </w:t>
      </w:r>
      <w:r w:rsidRPr="618D13D5" w:rsidR="0FF6C241">
        <w:rPr>
          <w:lang w:val="en-US"/>
        </w:rPr>
        <w:t>input, patient-reported outcomes and real-world experience can show how the health technology works in practice, including long-term benefits, risks, access issues and outcomes.</w:t>
      </w:r>
    </w:p>
    <w:sectPr w:rsidRPr="008C7D01" w:rsidR="008E5987" w:rsidSect="00A74345">
      <w:pgSz w:w="11906" w:h="16838" w:orient="portrait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1CD" w:rsidP="00934368" w:rsidRDefault="00D161CD" w14:paraId="6EAC188E" w14:textId="77777777">
      <w:r>
        <w:separator/>
      </w:r>
    </w:p>
    <w:p w:rsidR="00D161CD" w:rsidP="00934368" w:rsidRDefault="00D161CD" w14:paraId="5B36EE67" w14:textId="77777777"/>
  </w:endnote>
  <w:endnote w:type="continuationSeparator" w:id="0">
    <w:p w:rsidR="00D161CD" w:rsidP="00934368" w:rsidRDefault="00D161CD" w14:paraId="68C46DB6" w14:textId="77777777">
      <w:r>
        <w:continuationSeparator/>
      </w:r>
    </w:p>
    <w:p w:rsidR="00D161CD" w:rsidP="00934368" w:rsidRDefault="00D161CD" w14:paraId="52B1C565" w14:textId="77777777"/>
  </w:endnote>
  <w:endnote w:type="continuationNotice" w:id="1">
    <w:p w:rsidR="00D161CD" w:rsidP="00934368" w:rsidRDefault="00D161CD" w14:paraId="425F50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1A23" w:rsidR="00751A23" w:rsidP="005230B1" w:rsidRDefault="005230B1" w14:paraId="11F92E0E" w14:textId="216D5EC7">
    <w:pPr>
      <w:pStyle w:val="Footer"/>
    </w:pPr>
    <w:r>
      <w:t xml:space="preserve">Framework for </w:t>
    </w:r>
    <w:r w:rsidR="002E0BB4">
      <w:t>c</w:t>
    </w:r>
    <w:r>
      <w:t xml:space="preserve">onsumer </w:t>
    </w:r>
    <w:r w:rsidR="002E0BB4">
      <w:t>e</w:t>
    </w:r>
    <w:r>
      <w:t>ngagement in HTA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Pr="006043C7" w:rsidR="00751A23">
          <w:fldChar w:fldCharType="begin"/>
        </w:r>
        <w:r w:rsidRPr="006043C7" w:rsidR="00751A23">
          <w:instrText xml:space="preserve"> PAGE   \* MERGEFORMAT </w:instrText>
        </w:r>
        <w:r w:rsidRPr="006043C7" w:rsidR="00751A23">
          <w:fldChar w:fldCharType="separate"/>
        </w:r>
        <w:r w:rsidR="007B3D03">
          <w:rPr>
            <w:noProof/>
          </w:rPr>
          <w:t>2</w:t>
        </w:r>
        <w:r w:rsidRPr="006043C7" w:rsidR="00751A2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1CD" w:rsidP="00934368" w:rsidRDefault="00D161CD" w14:paraId="44871B72" w14:textId="77777777">
      <w:r>
        <w:separator/>
      </w:r>
    </w:p>
    <w:p w:rsidR="00D161CD" w:rsidP="00934368" w:rsidRDefault="00D161CD" w14:paraId="0E34C094" w14:textId="77777777"/>
  </w:footnote>
  <w:footnote w:type="continuationSeparator" w:id="0">
    <w:p w:rsidR="00D161CD" w:rsidP="00934368" w:rsidRDefault="00D161CD" w14:paraId="7FB9BD84" w14:textId="77777777">
      <w:r>
        <w:continuationSeparator/>
      </w:r>
    </w:p>
    <w:p w:rsidR="00D161CD" w:rsidP="00934368" w:rsidRDefault="00D161CD" w14:paraId="13A87129" w14:textId="77777777"/>
  </w:footnote>
  <w:footnote w:type="continuationNotice" w:id="1">
    <w:p w:rsidR="00D161CD" w:rsidP="00934368" w:rsidRDefault="00D161CD" w14:paraId="557ACD2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51A23" w:rsidP="00934368" w:rsidRDefault="00751A23" w14:paraId="48EF8657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3BF03FD" wp14:editId="2208CA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245" cy="10692673"/>
          <wp:effectExtent l="0" t="0" r="0" b="127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10692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77" w:rsidP="00934368" w:rsidRDefault="008E0C77" w14:paraId="7B2199E2" w14:textId="77777777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D578A"/>
    <w:multiLevelType w:val="hybridMultilevel"/>
    <w:tmpl w:val="3B1E4F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D26189"/>
    <w:multiLevelType w:val="hybridMultilevel"/>
    <w:tmpl w:val="123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3529EB"/>
    <w:multiLevelType w:val="hybridMultilevel"/>
    <w:tmpl w:val="CAA015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4D6F05"/>
    <w:multiLevelType w:val="hybridMultilevel"/>
    <w:tmpl w:val="0E761C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4F0A87"/>
    <w:multiLevelType w:val="hybridMultilevel"/>
    <w:tmpl w:val="07DE1A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D19755D"/>
    <w:multiLevelType w:val="hybridMultilevel"/>
    <w:tmpl w:val="6C1A86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39F402B7"/>
    <w:multiLevelType w:val="hybridMultilevel"/>
    <w:tmpl w:val="BE4E71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hint="default" w:ascii="Symbol" w:hAnsi="Symbol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21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C2543A9"/>
    <w:multiLevelType w:val="hybridMultilevel"/>
    <w:tmpl w:val="FFFFFFFF"/>
    <w:lvl w:ilvl="0" w:tplc="649ACC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AE0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38A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C86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E5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4D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367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2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FE9D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5E60F2"/>
    <w:multiLevelType w:val="hybridMultilevel"/>
    <w:tmpl w:val="2916BD18"/>
    <w:lvl w:ilvl="0" w:tplc="3AF09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92B82"/>
    <w:multiLevelType w:val="hybridMultilevel"/>
    <w:tmpl w:val="8C263440"/>
    <w:lvl w:ilvl="0" w:tplc="AC6C30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A3A20"/>
    <w:multiLevelType w:val="hybridMultilevel"/>
    <w:tmpl w:val="A1C0C7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A11DD6"/>
    <w:multiLevelType w:val="hybridMultilevel"/>
    <w:tmpl w:val="A330F9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3261590">
    <w:abstractNumId w:val="23"/>
  </w:num>
  <w:num w:numId="2" w16cid:durableId="1085032849">
    <w:abstractNumId w:val="7"/>
  </w:num>
  <w:num w:numId="3" w16cid:durableId="1487239672">
    <w:abstractNumId w:val="22"/>
  </w:num>
  <w:num w:numId="4" w16cid:durableId="1111165562">
    <w:abstractNumId w:val="28"/>
  </w:num>
  <w:num w:numId="5" w16cid:durableId="1656956847">
    <w:abstractNumId w:val="8"/>
  </w:num>
  <w:num w:numId="6" w16cid:durableId="1573807520">
    <w:abstractNumId w:val="8"/>
    <w:lvlOverride w:ilvl="0">
      <w:startOverride w:val="1"/>
    </w:lvlOverride>
  </w:num>
  <w:num w:numId="7" w16cid:durableId="306908385">
    <w:abstractNumId w:val="11"/>
  </w:num>
  <w:num w:numId="8" w16cid:durableId="739521073">
    <w:abstractNumId w:val="20"/>
  </w:num>
  <w:num w:numId="9" w16cid:durableId="1364792563">
    <w:abstractNumId w:val="27"/>
  </w:num>
  <w:num w:numId="10" w16cid:durableId="692266933">
    <w:abstractNumId w:val="5"/>
  </w:num>
  <w:num w:numId="11" w16cid:durableId="378407846">
    <w:abstractNumId w:val="4"/>
  </w:num>
  <w:num w:numId="12" w16cid:durableId="895942982">
    <w:abstractNumId w:val="3"/>
  </w:num>
  <w:num w:numId="13" w16cid:durableId="1421953636">
    <w:abstractNumId w:val="2"/>
  </w:num>
  <w:num w:numId="14" w16cid:durableId="1642807558">
    <w:abstractNumId w:val="6"/>
  </w:num>
  <w:num w:numId="15" w16cid:durableId="968584991">
    <w:abstractNumId w:val="1"/>
  </w:num>
  <w:num w:numId="16" w16cid:durableId="116606617">
    <w:abstractNumId w:val="0"/>
  </w:num>
  <w:num w:numId="17" w16cid:durableId="1942836989">
    <w:abstractNumId w:val="30"/>
  </w:num>
  <w:num w:numId="18" w16cid:durableId="784426807">
    <w:abstractNumId w:val="15"/>
  </w:num>
  <w:num w:numId="19" w16cid:durableId="1485246168">
    <w:abstractNumId w:val="17"/>
  </w:num>
  <w:num w:numId="20" w16cid:durableId="204174500">
    <w:abstractNumId w:val="18"/>
  </w:num>
  <w:num w:numId="21" w16cid:durableId="583033642">
    <w:abstractNumId w:val="15"/>
  </w:num>
  <w:num w:numId="22" w16cid:durableId="411392521">
    <w:abstractNumId w:val="18"/>
  </w:num>
  <w:num w:numId="23" w16cid:durableId="1149708572">
    <w:abstractNumId w:val="30"/>
  </w:num>
  <w:num w:numId="24" w16cid:durableId="759183430">
    <w:abstractNumId w:val="22"/>
  </w:num>
  <w:num w:numId="25" w16cid:durableId="936640889">
    <w:abstractNumId w:val="28"/>
  </w:num>
  <w:num w:numId="26" w16cid:durableId="682364219">
    <w:abstractNumId w:val="8"/>
  </w:num>
  <w:num w:numId="27" w16cid:durableId="2122454649">
    <w:abstractNumId w:val="21"/>
  </w:num>
  <w:num w:numId="28" w16cid:durableId="1027170652">
    <w:abstractNumId w:val="26"/>
  </w:num>
  <w:num w:numId="29" w16cid:durableId="642320681">
    <w:abstractNumId w:val="13"/>
  </w:num>
  <w:num w:numId="30" w16cid:durableId="504172265">
    <w:abstractNumId w:val="19"/>
  </w:num>
  <w:num w:numId="31" w16cid:durableId="1403336194">
    <w:abstractNumId w:val="24"/>
  </w:num>
  <w:num w:numId="32" w16cid:durableId="1594320521">
    <w:abstractNumId w:val="25"/>
  </w:num>
  <w:num w:numId="33" w16cid:durableId="436216360">
    <w:abstractNumId w:val="9"/>
  </w:num>
  <w:num w:numId="34" w16cid:durableId="1907688491">
    <w:abstractNumId w:val="12"/>
  </w:num>
  <w:num w:numId="35" w16cid:durableId="1979913374">
    <w:abstractNumId w:val="16"/>
  </w:num>
  <w:num w:numId="36" w16cid:durableId="1787042873">
    <w:abstractNumId w:val="29"/>
  </w:num>
  <w:num w:numId="37" w16cid:durableId="1837650438">
    <w:abstractNumId w:val="10"/>
  </w:num>
  <w:num w:numId="38" w16cid:durableId="109470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EE"/>
    <w:rsid w:val="00000837"/>
    <w:rsid w:val="00001218"/>
    <w:rsid w:val="00001329"/>
    <w:rsid w:val="00001F41"/>
    <w:rsid w:val="00003743"/>
    <w:rsid w:val="000047B4"/>
    <w:rsid w:val="00004823"/>
    <w:rsid w:val="00005712"/>
    <w:rsid w:val="00007A96"/>
    <w:rsid w:val="00007FD8"/>
    <w:rsid w:val="000117F8"/>
    <w:rsid w:val="00014837"/>
    <w:rsid w:val="00015A8E"/>
    <w:rsid w:val="00016CED"/>
    <w:rsid w:val="00020921"/>
    <w:rsid w:val="00020BEB"/>
    <w:rsid w:val="00024932"/>
    <w:rsid w:val="00026139"/>
    <w:rsid w:val="00027071"/>
    <w:rsid w:val="00027601"/>
    <w:rsid w:val="00031BE9"/>
    <w:rsid w:val="000322A9"/>
    <w:rsid w:val="00033321"/>
    <w:rsid w:val="000338E5"/>
    <w:rsid w:val="00033ECC"/>
    <w:rsid w:val="0003422F"/>
    <w:rsid w:val="00036FCC"/>
    <w:rsid w:val="00046FF0"/>
    <w:rsid w:val="000478BE"/>
    <w:rsid w:val="00047DDE"/>
    <w:rsid w:val="00050176"/>
    <w:rsid w:val="000509F5"/>
    <w:rsid w:val="000526A7"/>
    <w:rsid w:val="000609D6"/>
    <w:rsid w:val="00061E74"/>
    <w:rsid w:val="00062B65"/>
    <w:rsid w:val="000669EF"/>
    <w:rsid w:val="00067456"/>
    <w:rsid w:val="00071506"/>
    <w:rsid w:val="0007154F"/>
    <w:rsid w:val="0008012B"/>
    <w:rsid w:val="00081AB1"/>
    <w:rsid w:val="00085492"/>
    <w:rsid w:val="000876E6"/>
    <w:rsid w:val="00090316"/>
    <w:rsid w:val="000905FC"/>
    <w:rsid w:val="000935E2"/>
    <w:rsid w:val="00093981"/>
    <w:rsid w:val="00093CD9"/>
    <w:rsid w:val="00094A74"/>
    <w:rsid w:val="000A0493"/>
    <w:rsid w:val="000A3B70"/>
    <w:rsid w:val="000A4182"/>
    <w:rsid w:val="000A7A98"/>
    <w:rsid w:val="000B0146"/>
    <w:rsid w:val="000B067A"/>
    <w:rsid w:val="000B0E03"/>
    <w:rsid w:val="000B1540"/>
    <w:rsid w:val="000B21CE"/>
    <w:rsid w:val="000B33FD"/>
    <w:rsid w:val="000B4ABA"/>
    <w:rsid w:val="000B567F"/>
    <w:rsid w:val="000C4B16"/>
    <w:rsid w:val="000C50C3"/>
    <w:rsid w:val="000C5F18"/>
    <w:rsid w:val="000D1F71"/>
    <w:rsid w:val="000D21F6"/>
    <w:rsid w:val="000D3404"/>
    <w:rsid w:val="000D4142"/>
    <w:rsid w:val="000D42C3"/>
    <w:rsid w:val="000D4500"/>
    <w:rsid w:val="000D7AEA"/>
    <w:rsid w:val="000E01A9"/>
    <w:rsid w:val="000E134A"/>
    <w:rsid w:val="000E285F"/>
    <w:rsid w:val="000E2C66"/>
    <w:rsid w:val="000E3BC1"/>
    <w:rsid w:val="000E6E7D"/>
    <w:rsid w:val="000E784A"/>
    <w:rsid w:val="000F08C6"/>
    <w:rsid w:val="000F123C"/>
    <w:rsid w:val="000F2A53"/>
    <w:rsid w:val="000F2FED"/>
    <w:rsid w:val="000F3FAB"/>
    <w:rsid w:val="000F4C93"/>
    <w:rsid w:val="000F7D8D"/>
    <w:rsid w:val="0010616D"/>
    <w:rsid w:val="00106C11"/>
    <w:rsid w:val="00110478"/>
    <w:rsid w:val="00112306"/>
    <w:rsid w:val="0011711B"/>
    <w:rsid w:val="00117380"/>
    <w:rsid w:val="00117F8A"/>
    <w:rsid w:val="00121B9B"/>
    <w:rsid w:val="00122ADC"/>
    <w:rsid w:val="00123BD2"/>
    <w:rsid w:val="001256A3"/>
    <w:rsid w:val="00127B95"/>
    <w:rsid w:val="00130380"/>
    <w:rsid w:val="00130846"/>
    <w:rsid w:val="00130D5A"/>
    <w:rsid w:val="00130F59"/>
    <w:rsid w:val="00133CEF"/>
    <w:rsid w:val="00133EC0"/>
    <w:rsid w:val="00133F5F"/>
    <w:rsid w:val="001368CF"/>
    <w:rsid w:val="00140D77"/>
    <w:rsid w:val="001419F3"/>
    <w:rsid w:val="00141CE5"/>
    <w:rsid w:val="00144908"/>
    <w:rsid w:val="00146E53"/>
    <w:rsid w:val="0015333E"/>
    <w:rsid w:val="0015594B"/>
    <w:rsid w:val="001571C7"/>
    <w:rsid w:val="00161094"/>
    <w:rsid w:val="001645CF"/>
    <w:rsid w:val="00171273"/>
    <w:rsid w:val="00172A55"/>
    <w:rsid w:val="001758CD"/>
    <w:rsid w:val="0017665C"/>
    <w:rsid w:val="00177AD2"/>
    <w:rsid w:val="001815A8"/>
    <w:rsid w:val="001840FA"/>
    <w:rsid w:val="00185585"/>
    <w:rsid w:val="00190079"/>
    <w:rsid w:val="0019622E"/>
    <w:rsid w:val="001966A7"/>
    <w:rsid w:val="001A4627"/>
    <w:rsid w:val="001A4979"/>
    <w:rsid w:val="001A627D"/>
    <w:rsid w:val="001A67AA"/>
    <w:rsid w:val="001B147D"/>
    <w:rsid w:val="001B15D3"/>
    <w:rsid w:val="001B1827"/>
    <w:rsid w:val="001B1B4D"/>
    <w:rsid w:val="001B274E"/>
    <w:rsid w:val="001B3443"/>
    <w:rsid w:val="001B4497"/>
    <w:rsid w:val="001C0326"/>
    <w:rsid w:val="001C1429"/>
    <w:rsid w:val="001C192F"/>
    <w:rsid w:val="001C3747"/>
    <w:rsid w:val="001C3C42"/>
    <w:rsid w:val="001C73E8"/>
    <w:rsid w:val="001C7BC1"/>
    <w:rsid w:val="001D7869"/>
    <w:rsid w:val="001E1101"/>
    <w:rsid w:val="001E12CC"/>
    <w:rsid w:val="001E3DDE"/>
    <w:rsid w:val="001E6196"/>
    <w:rsid w:val="001E660D"/>
    <w:rsid w:val="001F0099"/>
    <w:rsid w:val="001F1DEA"/>
    <w:rsid w:val="001F2F78"/>
    <w:rsid w:val="001F793D"/>
    <w:rsid w:val="002026CD"/>
    <w:rsid w:val="002033FC"/>
    <w:rsid w:val="002044BB"/>
    <w:rsid w:val="00210B09"/>
    <w:rsid w:val="00210C9E"/>
    <w:rsid w:val="002115D7"/>
    <w:rsid w:val="00211840"/>
    <w:rsid w:val="00213F81"/>
    <w:rsid w:val="002200FF"/>
    <w:rsid w:val="00220E5F"/>
    <w:rsid w:val="002212B5"/>
    <w:rsid w:val="00222525"/>
    <w:rsid w:val="00224375"/>
    <w:rsid w:val="002249CB"/>
    <w:rsid w:val="00225345"/>
    <w:rsid w:val="00226668"/>
    <w:rsid w:val="00227CD1"/>
    <w:rsid w:val="00230724"/>
    <w:rsid w:val="00232187"/>
    <w:rsid w:val="00233809"/>
    <w:rsid w:val="002343A7"/>
    <w:rsid w:val="002369C4"/>
    <w:rsid w:val="00240046"/>
    <w:rsid w:val="0024008B"/>
    <w:rsid w:val="00243E70"/>
    <w:rsid w:val="0024797F"/>
    <w:rsid w:val="002502BA"/>
    <w:rsid w:val="0025119E"/>
    <w:rsid w:val="00251269"/>
    <w:rsid w:val="002535C0"/>
    <w:rsid w:val="00254E09"/>
    <w:rsid w:val="002579FE"/>
    <w:rsid w:val="0026311C"/>
    <w:rsid w:val="002657A8"/>
    <w:rsid w:val="0026668C"/>
    <w:rsid w:val="00266AC1"/>
    <w:rsid w:val="00267292"/>
    <w:rsid w:val="0027178C"/>
    <w:rsid w:val="002719FA"/>
    <w:rsid w:val="00272668"/>
    <w:rsid w:val="0027330B"/>
    <w:rsid w:val="00273BDC"/>
    <w:rsid w:val="00273E55"/>
    <w:rsid w:val="0027722C"/>
    <w:rsid w:val="0027730A"/>
    <w:rsid w:val="002803AD"/>
    <w:rsid w:val="00282052"/>
    <w:rsid w:val="002820ED"/>
    <w:rsid w:val="00282791"/>
    <w:rsid w:val="0028519E"/>
    <w:rsid w:val="002856A5"/>
    <w:rsid w:val="002872ED"/>
    <w:rsid w:val="002905C2"/>
    <w:rsid w:val="00291B74"/>
    <w:rsid w:val="00294E39"/>
    <w:rsid w:val="00295AF2"/>
    <w:rsid w:val="00295C91"/>
    <w:rsid w:val="00297151"/>
    <w:rsid w:val="002A0910"/>
    <w:rsid w:val="002A2FEC"/>
    <w:rsid w:val="002B1387"/>
    <w:rsid w:val="002B20E6"/>
    <w:rsid w:val="002B334F"/>
    <w:rsid w:val="002B42A3"/>
    <w:rsid w:val="002C0CDD"/>
    <w:rsid w:val="002C0DB2"/>
    <w:rsid w:val="002C1155"/>
    <w:rsid w:val="002C272A"/>
    <w:rsid w:val="002C3AF0"/>
    <w:rsid w:val="002C417C"/>
    <w:rsid w:val="002C4EEC"/>
    <w:rsid w:val="002C5122"/>
    <w:rsid w:val="002C5C6D"/>
    <w:rsid w:val="002C6B2C"/>
    <w:rsid w:val="002D2D85"/>
    <w:rsid w:val="002E0BB4"/>
    <w:rsid w:val="002E1A1D"/>
    <w:rsid w:val="002E4081"/>
    <w:rsid w:val="002E5B78"/>
    <w:rsid w:val="002E7B4E"/>
    <w:rsid w:val="002F19B9"/>
    <w:rsid w:val="002F2BF7"/>
    <w:rsid w:val="002F3AE3"/>
    <w:rsid w:val="00303BEC"/>
    <w:rsid w:val="0030464B"/>
    <w:rsid w:val="00304B55"/>
    <w:rsid w:val="00304D76"/>
    <w:rsid w:val="0030786C"/>
    <w:rsid w:val="003122CA"/>
    <w:rsid w:val="00316D14"/>
    <w:rsid w:val="00316FB0"/>
    <w:rsid w:val="00322951"/>
    <w:rsid w:val="003233DE"/>
    <w:rsid w:val="0032466B"/>
    <w:rsid w:val="00324DAE"/>
    <w:rsid w:val="00326B13"/>
    <w:rsid w:val="00327B44"/>
    <w:rsid w:val="00330B2C"/>
    <w:rsid w:val="003330EB"/>
    <w:rsid w:val="003339CE"/>
    <w:rsid w:val="00335F83"/>
    <w:rsid w:val="003364AF"/>
    <w:rsid w:val="00336605"/>
    <w:rsid w:val="003408CB"/>
    <w:rsid w:val="00340975"/>
    <w:rsid w:val="003415FD"/>
    <w:rsid w:val="00341657"/>
    <w:rsid w:val="003429F0"/>
    <w:rsid w:val="003450F7"/>
    <w:rsid w:val="0035097A"/>
    <w:rsid w:val="00351887"/>
    <w:rsid w:val="003540A4"/>
    <w:rsid w:val="00360E4E"/>
    <w:rsid w:val="00361025"/>
    <w:rsid w:val="00370AAA"/>
    <w:rsid w:val="00373E93"/>
    <w:rsid w:val="00375F77"/>
    <w:rsid w:val="00377A78"/>
    <w:rsid w:val="00381BBE"/>
    <w:rsid w:val="00382903"/>
    <w:rsid w:val="0038336A"/>
    <w:rsid w:val="003846FF"/>
    <w:rsid w:val="0038539C"/>
    <w:rsid w:val="00385AD4"/>
    <w:rsid w:val="00386653"/>
    <w:rsid w:val="00387181"/>
    <w:rsid w:val="00387924"/>
    <w:rsid w:val="00392E61"/>
    <w:rsid w:val="0039384D"/>
    <w:rsid w:val="00394DDB"/>
    <w:rsid w:val="00395C23"/>
    <w:rsid w:val="003A09F1"/>
    <w:rsid w:val="003A145D"/>
    <w:rsid w:val="003A2E4F"/>
    <w:rsid w:val="003A4438"/>
    <w:rsid w:val="003A5013"/>
    <w:rsid w:val="003A5078"/>
    <w:rsid w:val="003A62DD"/>
    <w:rsid w:val="003A67A1"/>
    <w:rsid w:val="003A775A"/>
    <w:rsid w:val="003B0AD7"/>
    <w:rsid w:val="003B0DAB"/>
    <w:rsid w:val="003B213A"/>
    <w:rsid w:val="003B43AD"/>
    <w:rsid w:val="003B4FAD"/>
    <w:rsid w:val="003C0FEC"/>
    <w:rsid w:val="003C15B8"/>
    <w:rsid w:val="003C2A75"/>
    <w:rsid w:val="003C2AC8"/>
    <w:rsid w:val="003C46A6"/>
    <w:rsid w:val="003C4827"/>
    <w:rsid w:val="003C6A6F"/>
    <w:rsid w:val="003D17F9"/>
    <w:rsid w:val="003D2D88"/>
    <w:rsid w:val="003D2F79"/>
    <w:rsid w:val="003D31B4"/>
    <w:rsid w:val="003D41EA"/>
    <w:rsid w:val="003D4850"/>
    <w:rsid w:val="003D4B99"/>
    <w:rsid w:val="003D535A"/>
    <w:rsid w:val="003E17A1"/>
    <w:rsid w:val="003E49EA"/>
    <w:rsid w:val="003E5265"/>
    <w:rsid w:val="003F0955"/>
    <w:rsid w:val="003F0D7A"/>
    <w:rsid w:val="003F4CEE"/>
    <w:rsid w:val="003F68A6"/>
    <w:rsid w:val="003F6B92"/>
    <w:rsid w:val="003F6FE1"/>
    <w:rsid w:val="00400F00"/>
    <w:rsid w:val="004045DE"/>
    <w:rsid w:val="00404F8B"/>
    <w:rsid w:val="00405256"/>
    <w:rsid w:val="00410031"/>
    <w:rsid w:val="004115A2"/>
    <w:rsid w:val="00412879"/>
    <w:rsid w:val="00415C81"/>
    <w:rsid w:val="00416731"/>
    <w:rsid w:val="00417806"/>
    <w:rsid w:val="00417829"/>
    <w:rsid w:val="00421710"/>
    <w:rsid w:val="004261C7"/>
    <w:rsid w:val="00431682"/>
    <w:rsid w:val="00432378"/>
    <w:rsid w:val="00434F97"/>
    <w:rsid w:val="00435959"/>
    <w:rsid w:val="00435EB7"/>
    <w:rsid w:val="0043609B"/>
    <w:rsid w:val="00436E9D"/>
    <w:rsid w:val="00437B4C"/>
    <w:rsid w:val="00440D65"/>
    <w:rsid w:val="004413BB"/>
    <w:rsid w:val="004435E6"/>
    <w:rsid w:val="004442EE"/>
    <w:rsid w:val="0044593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549B"/>
    <w:rsid w:val="00467201"/>
    <w:rsid w:val="00467BBF"/>
    <w:rsid w:val="00471CED"/>
    <w:rsid w:val="00473100"/>
    <w:rsid w:val="00476809"/>
    <w:rsid w:val="00482C63"/>
    <w:rsid w:val="00482E0F"/>
    <w:rsid w:val="004867E2"/>
    <w:rsid w:val="00491656"/>
    <w:rsid w:val="004929A9"/>
    <w:rsid w:val="004937F9"/>
    <w:rsid w:val="00493BCA"/>
    <w:rsid w:val="004B0753"/>
    <w:rsid w:val="004B0CDB"/>
    <w:rsid w:val="004B40F1"/>
    <w:rsid w:val="004C2FEC"/>
    <w:rsid w:val="004C6BCF"/>
    <w:rsid w:val="004D0940"/>
    <w:rsid w:val="004D58BF"/>
    <w:rsid w:val="004D5E5B"/>
    <w:rsid w:val="004E4335"/>
    <w:rsid w:val="004E5ACF"/>
    <w:rsid w:val="004E6CEE"/>
    <w:rsid w:val="004E6E21"/>
    <w:rsid w:val="004F13EE"/>
    <w:rsid w:val="004F2022"/>
    <w:rsid w:val="004F28A2"/>
    <w:rsid w:val="004F2BEC"/>
    <w:rsid w:val="004F6D86"/>
    <w:rsid w:val="004F7C05"/>
    <w:rsid w:val="00501C94"/>
    <w:rsid w:val="00506432"/>
    <w:rsid w:val="00506DD0"/>
    <w:rsid w:val="005107BF"/>
    <w:rsid w:val="0051242B"/>
    <w:rsid w:val="0051342C"/>
    <w:rsid w:val="00516620"/>
    <w:rsid w:val="0052051D"/>
    <w:rsid w:val="00521E25"/>
    <w:rsid w:val="005220AE"/>
    <w:rsid w:val="005230B1"/>
    <w:rsid w:val="0052748A"/>
    <w:rsid w:val="0053472F"/>
    <w:rsid w:val="00542C0A"/>
    <w:rsid w:val="00545EE6"/>
    <w:rsid w:val="00550B12"/>
    <w:rsid w:val="005550E7"/>
    <w:rsid w:val="005564FB"/>
    <w:rsid w:val="005572C7"/>
    <w:rsid w:val="005611F9"/>
    <w:rsid w:val="005634A5"/>
    <w:rsid w:val="005650ED"/>
    <w:rsid w:val="00575754"/>
    <w:rsid w:val="00580470"/>
    <w:rsid w:val="005866C0"/>
    <w:rsid w:val="005871D0"/>
    <w:rsid w:val="00587B3B"/>
    <w:rsid w:val="00591E20"/>
    <w:rsid w:val="00595408"/>
    <w:rsid w:val="00595E84"/>
    <w:rsid w:val="00596F72"/>
    <w:rsid w:val="00597D79"/>
    <w:rsid w:val="005A0C59"/>
    <w:rsid w:val="005A3ED8"/>
    <w:rsid w:val="005A48EB"/>
    <w:rsid w:val="005A4AA5"/>
    <w:rsid w:val="005A6CFB"/>
    <w:rsid w:val="005B13C7"/>
    <w:rsid w:val="005B3326"/>
    <w:rsid w:val="005B39AA"/>
    <w:rsid w:val="005C2B27"/>
    <w:rsid w:val="005C4646"/>
    <w:rsid w:val="005C5AEB"/>
    <w:rsid w:val="005C61FD"/>
    <w:rsid w:val="005C72D8"/>
    <w:rsid w:val="005C7DFC"/>
    <w:rsid w:val="005C7F14"/>
    <w:rsid w:val="005D0D42"/>
    <w:rsid w:val="005D3284"/>
    <w:rsid w:val="005D7F5C"/>
    <w:rsid w:val="005E0A3F"/>
    <w:rsid w:val="005E1BF1"/>
    <w:rsid w:val="005E6883"/>
    <w:rsid w:val="005E772F"/>
    <w:rsid w:val="005F4ECA"/>
    <w:rsid w:val="006009F4"/>
    <w:rsid w:val="00600E74"/>
    <w:rsid w:val="00600FF2"/>
    <w:rsid w:val="00601662"/>
    <w:rsid w:val="0060274D"/>
    <w:rsid w:val="006041BE"/>
    <w:rsid w:val="006043B1"/>
    <w:rsid w:val="006043C7"/>
    <w:rsid w:val="00612C73"/>
    <w:rsid w:val="0061545F"/>
    <w:rsid w:val="00616D3C"/>
    <w:rsid w:val="00624B52"/>
    <w:rsid w:val="00625114"/>
    <w:rsid w:val="00625516"/>
    <w:rsid w:val="00626B9A"/>
    <w:rsid w:val="00627CA1"/>
    <w:rsid w:val="006309F5"/>
    <w:rsid w:val="00631DF4"/>
    <w:rsid w:val="00634175"/>
    <w:rsid w:val="00637BF9"/>
    <w:rsid w:val="006408AC"/>
    <w:rsid w:val="006431EA"/>
    <w:rsid w:val="00647E3B"/>
    <w:rsid w:val="00650EB6"/>
    <w:rsid w:val="006511B6"/>
    <w:rsid w:val="00652742"/>
    <w:rsid w:val="006531FE"/>
    <w:rsid w:val="00657970"/>
    <w:rsid w:val="00657FF8"/>
    <w:rsid w:val="00660BA6"/>
    <w:rsid w:val="006645C8"/>
    <w:rsid w:val="00666E24"/>
    <w:rsid w:val="00670D99"/>
    <w:rsid w:val="00670E2B"/>
    <w:rsid w:val="006720E8"/>
    <w:rsid w:val="00672743"/>
    <w:rsid w:val="006734BB"/>
    <w:rsid w:val="0068186E"/>
    <w:rsid w:val="00681A34"/>
    <w:rsid w:val="006821EB"/>
    <w:rsid w:val="00682BB6"/>
    <w:rsid w:val="00684E8B"/>
    <w:rsid w:val="00686437"/>
    <w:rsid w:val="00686F45"/>
    <w:rsid w:val="006877BD"/>
    <w:rsid w:val="00692BC7"/>
    <w:rsid w:val="00692CF9"/>
    <w:rsid w:val="0069411F"/>
    <w:rsid w:val="00697587"/>
    <w:rsid w:val="00697E9A"/>
    <w:rsid w:val="006A1419"/>
    <w:rsid w:val="006A296E"/>
    <w:rsid w:val="006A2CC9"/>
    <w:rsid w:val="006A6DB3"/>
    <w:rsid w:val="006B2286"/>
    <w:rsid w:val="006B55E6"/>
    <w:rsid w:val="006B56BB"/>
    <w:rsid w:val="006B756D"/>
    <w:rsid w:val="006C2513"/>
    <w:rsid w:val="006C50AC"/>
    <w:rsid w:val="006C56B2"/>
    <w:rsid w:val="006C77A8"/>
    <w:rsid w:val="006D273D"/>
    <w:rsid w:val="006D4098"/>
    <w:rsid w:val="006D7681"/>
    <w:rsid w:val="006D7B2E"/>
    <w:rsid w:val="006E02EA"/>
    <w:rsid w:val="006E0968"/>
    <w:rsid w:val="006E10D7"/>
    <w:rsid w:val="006E2AF6"/>
    <w:rsid w:val="006E6748"/>
    <w:rsid w:val="006F39AB"/>
    <w:rsid w:val="006F7443"/>
    <w:rsid w:val="006F780B"/>
    <w:rsid w:val="00701275"/>
    <w:rsid w:val="007049B3"/>
    <w:rsid w:val="00705525"/>
    <w:rsid w:val="00705B9D"/>
    <w:rsid w:val="00707F56"/>
    <w:rsid w:val="0071227D"/>
    <w:rsid w:val="00713558"/>
    <w:rsid w:val="00715110"/>
    <w:rsid w:val="007204BB"/>
    <w:rsid w:val="00720D08"/>
    <w:rsid w:val="0072506E"/>
    <w:rsid w:val="007259AE"/>
    <w:rsid w:val="007263B9"/>
    <w:rsid w:val="00730FB9"/>
    <w:rsid w:val="007318CB"/>
    <w:rsid w:val="007334F8"/>
    <w:rsid w:val="007339CD"/>
    <w:rsid w:val="0073504E"/>
    <w:rsid w:val="007359D8"/>
    <w:rsid w:val="007362D4"/>
    <w:rsid w:val="00736FBC"/>
    <w:rsid w:val="0074512E"/>
    <w:rsid w:val="00746085"/>
    <w:rsid w:val="00747B50"/>
    <w:rsid w:val="00751A23"/>
    <w:rsid w:val="00755AAF"/>
    <w:rsid w:val="00760238"/>
    <w:rsid w:val="00764138"/>
    <w:rsid w:val="007662E8"/>
    <w:rsid w:val="0076672A"/>
    <w:rsid w:val="00766E1E"/>
    <w:rsid w:val="007705E5"/>
    <w:rsid w:val="0077068B"/>
    <w:rsid w:val="00771909"/>
    <w:rsid w:val="00775E45"/>
    <w:rsid w:val="00775F3A"/>
    <w:rsid w:val="00776E74"/>
    <w:rsid w:val="0078095F"/>
    <w:rsid w:val="00785169"/>
    <w:rsid w:val="00792133"/>
    <w:rsid w:val="0079499D"/>
    <w:rsid w:val="007954AB"/>
    <w:rsid w:val="007970D1"/>
    <w:rsid w:val="007A0534"/>
    <w:rsid w:val="007A14C5"/>
    <w:rsid w:val="007A3E38"/>
    <w:rsid w:val="007A4A10"/>
    <w:rsid w:val="007A5A74"/>
    <w:rsid w:val="007B1760"/>
    <w:rsid w:val="007B3D03"/>
    <w:rsid w:val="007C1251"/>
    <w:rsid w:val="007C46CC"/>
    <w:rsid w:val="007C554E"/>
    <w:rsid w:val="007C6D9C"/>
    <w:rsid w:val="007C6E62"/>
    <w:rsid w:val="007C7DDB"/>
    <w:rsid w:val="007D0C17"/>
    <w:rsid w:val="007D2A46"/>
    <w:rsid w:val="007D2CC7"/>
    <w:rsid w:val="007D673D"/>
    <w:rsid w:val="007E0DA4"/>
    <w:rsid w:val="007E22D1"/>
    <w:rsid w:val="007E7639"/>
    <w:rsid w:val="007F2220"/>
    <w:rsid w:val="007F243E"/>
    <w:rsid w:val="007F4268"/>
    <w:rsid w:val="007F4B3E"/>
    <w:rsid w:val="007F588A"/>
    <w:rsid w:val="008127AF"/>
    <w:rsid w:val="00812B46"/>
    <w:rsid w:val="00815269"/>
    <w:rsid w:val="00815700"/>
    <w:rsid w:val="00817B70"/>
    <w:rsid w:val="00824F03"/>
    <w:rsid w:val="008264EB"/>
    <w:rsid w:val="00826B8F"/>
    <w:rsid w:val="00830D3A"/>
    <w:rsid w:val="00831E8A"/>
    <w:rsid w:val="00832373"/>
    <w:rsid w:val="0083418F"/>
    <w:rsid w:val="00835C76"/>
    <w:rsid w:val="0083755D"/>
    <w:rsid w:val="008421A2"/>
    <w:rsid w:val="00843049"/>
    <w:rsid w:val="00844549"/>
    <w:rsid w:val="008452CF"/>
    <w:rsid w:val="0085054D"/>
    <w:rsid w:val="0085209B"/>
    <w:rsid w:val="00853848"/>
    <w:rsid w:val="00854FEC"/>
    <w:rsid w:val="00855F36"/>
    <w:rsid w:val="008566FA"/>
    <w:rsid w:val="00856B66"/>
    <w:rsid w:val="00856EA5"/>
    <w:rsid w:val="0085795F"/>
    <w:rsid w:val="00861A5F"/>
    <w:rsid w:val="008644AD"/>
    <w:rsid w:val="00865735"/>
    <w:rsid w:val="00865DDB"/>
    <w:rsid w:val="00867538"/>
    <w:rsid w:val="00873D90"/>
    <w:rsid w:val="00873FC8"/>
    <w:rsid w:val="0088469C"/>
    <w:rsid w:val="00884C63"/>
    <w:rsid w:val="00885908"/>
    <w:rsid w:val="008864B7"/>
    <w:rsid w:val="00886AD1"/>
    <w:rsid w:val="0088793D"/>
    <w:rsid w:val="008908DA"/>
    <w:rsid w:val="0089525A"/>
    <w:rsid w:val="0089677E"/>
    <w:rsid w:val="00896E8C"/>
    <w:rsid w:val="008A0F9A"/>
    <w:rsid w:val="008A7438"/>
    <w:rsid w:val="008B1334"/>
    <w:rsid w:val="008B47A8"/>
    <w:rsid w:val="008B6F98"/>
    <w:rsid w:val="008B7545"/>
    <w:rsid w:val="008C0278"/>
    <w:rsid w:val="008C0365"/>
    <w:rsid w:val="008C1412"/>
    <w:rsid w:val="008C24E9"/>
    <w:rsid w:val="008C367E"/>
    <w:rsid w:val="008C607B"/>
    <w:rsid w:val="008C7D01"/>
    <w:rsid w:val="008D0533"/>
    <w:rsid w:val="008D41EE"/>
    <w:rsid w:val="008D42CB"/>
    <w:rsid w:val="008D4644"/>
    <w:rsid w:val="008D48C9"/>
    <w:rsid w:val="008D5B79"/>
    <w:rsid w:val="008D6381"/>
    <w:rsid w:val="008E0C77"/>
    <w:rsid w:val="008E4FF2"/>
    <w:rsid w:val="008E5987"/>
    <w:rsid w:val="008E625F"/>
    <w:rsid w:val="008F264D"/>
    <w:rsid w:val="008F7100"/>
    <w:rsid w:val="00901DD0"/>
    <w:rsid w:val="00902AB6"/>
    <w:rsid w:val="0090728E"/>
    <w:rsid w:val="009074E1"/>
    <w:rsid w:val="009112F7"/>
    <w:rsid w:val="009122AF"/>
    <w:rsid w:val="009127BC"/>
    <w:rsid w:val="00912D54"/>
    <w:rsid w:val="0091389F"/>
    <w:rsid w:val="00920242"/>
    <w:rsid w:val="009208F7"/>
    <w:rsid w:val="00922517"/>
    <w:rsid w:val="00922722"/>
    <w:rsid w:val="009261E6"/>
    <w:rsid w:val="009268E1"/>
    <w:rsid w:val="00927BE8"/>
    <w:rsid w:val="009307DD"/>
    <w:rsid w:val="0093263C"/>
    <w:rsid w:val="00933E22"/>
    <w:rsid w:val="00934368"/>
    <w:rsid w:val="00945E7F"/>
    <w:rsid w:val="009464D1"/>
    <w:rsid w:val="0095060D"/>
    <w:rsid w:val="009557C1"/>
    <w:rsid w:val="00960D6E"/>
    <w:rsid w:val="009612B5"/>
    <w:rsid w:val="009677E6"/>
    <w:rsid w:val="00972BC1"/>
    <w:rsid w:val="00973A60"/>
    <w:rsid w:val="00973D4C"/>
    <w:rsid w:val="00974B59"/>
    <w:rsid w:val="0097567A"/>
    <w:rsid w:val="009771FD"/>
    <w:rsid w:val="0098340B"/>
    <w:rsid w:val="00986830"/>
    <w:rsid w:val="00986AEC"/>
    <w:rsid w:val="00990181"/>
    <w:rsid w:val="00990980"/>
    <w:rsid w:val="009924C3"/>
    <w:rsid w:val="009924C6"/>
    <w:rsid w:val="00993102"/>
    <w:rsid w:val="009946BC"/>
    <w:rsid w:val="009A4788"/>
    <w:rsid w:val="009A4E90"/>
    <w:rsid w:val="009A756E"/>
    <w:rsid w:val="009B076E"/>
    <w:rsid w:val="009B3F1E"/>
    <w:rsid w:val="009B4E31"/>
    <w:rsid w:val="009C1FF6"/>
    <w:rsid w:val="009C4A39"/>
    <w:rsid w:val="009C6F10"/>
    <w:rsid w:val="009D148F"/>
    <w:rsid w:val="009D3D70"/>
    <w:rsid w:val="009D51F9"/>
    <w:rsid w:val="009E6F7E"/>
    <w:rsid w:val="009E7A57"/>
    <w:rsid w:val="009F4F6A"/>
    <w:rsid w:val="00A0236B"/>
    <w:rsid w:val="00A04084"/>
    <w:rsid w:val="00A0601F"/>
    <w:rsid w:val="00A110D2"/>
    <w:rsid w:val="00A11397"/>
    <w:rsid w:val="00A1561F"/>
    <w:rsid w:val="00A16E36"/>
    <w:rsid w:val="00A17836"/>
    <w:rsid w:val="00A24961"/>
    <w:rsid w:val="00A24B10"/>
    <w:rsid w:val="00A30E9B"/>
    <w:rsid w:val="00A370FC"/>
    <w:rsid w:val="00A42815"/>
    <w:rsid w:val="00A4512D"/>
    <w:rsid w:val="00A50244"/>
    <w:rsid w:val="00A56F17"/>
    <w:rsid w:val="00A57C22"/>
    <w:rsid w:val="00A627D7"/>
    <w:rsid w:val="00A656C7"/>
    <w:rsid w:val="00A65C4E"/>
    <w:rsid w:val="00A705AF"/>
    <w:rsid w:val="00A70CBE"/>
    <w:rsid w:val="00A7112F"/>
    <w:rsid w:val="00A7127E"/>
    <w:rsid w:val="00A72454"/>
    <w:rsid w:val="00A74345"/>
    <w:rsid w:val="00A751ED"/>
    <w:rsid w:val="00A77696"/>
    <w:rsid w:val="00A80201"/>
    <w:rsid w:val="00A80542"/>
    <w:rsid w:val="00A80557"/>
    <w:rsid w:val="00A81D33"/>
    <w:rsid w:val="00A85B62"/>
    <w:rsid w:val="00A87EE1"/>
    <w:rsid w:val="00A904B1"/>
    <w:rsid w:val="00A92C3D"/>
    <w:rsid w:val="00A930AE"/>
    <w:rsid w:val="00A93C09"/>
    <w:rsid w:val="00A96429"/>
    <w:rsid w:val="00A973EE"/>
    <w:rsid w:val="00AA1A95"/>
    <w:rsid w:val="00AA260F"/>
    <w:rsid w:val="00AB1EE7"/>
    <w:rsid w:val="00AB4B37"/>
    <w:rsid w:val="00AB550E"/>
    <w:rsid w:val="00AB5762"/>
    <w:rsid w:val="00AB7ACB"/>
    <w:rsid w:val="00AC2679"/>
    <w:rsid w:val="00AC4BE4"/>
    <w:rsid w:val="00AC6BF9"/>
    <w:rsid w:val="00AD05E6"/>
    <w:rsid w:val="00AD0D3F"/>
    <w:rsid w:val="00AD1C5A"/>
    <w:rsid w:val="00AD3ACD"/>
    <w:rsid w:val="00AD5DA8"/>
    <w:rsid w:val="00AE0C56"/>
    <w:rsid w:val="00AE1D7D"/>
    <w:rsid w:val="00AE2A8B"/>
    <w:rsid w:val="00AE3F64"/>
    <w:rsid w:val="00AE5F47"/>
    <w:rsid w:val="00AE74E6"/>
    <w:rsid w:val="00AF084B"/>
    <w:rsid w:val="00AF7386"/>
    <w:rsid w:val="00AF761C"/>
    <w:rsid w:val="00AF7934"/>
    <w:rsid w:val="00B00B81"/>
    <w:rsid w:val="00B01B62"/>
    <w:rsid w:val="00B01D11"/>
    <w:rsid w:val="00B01E27"/>
    <w:rsid w:val="00B01E33"/>
    <w:rsid w:val="00B022A2"/>
    <w:rsid w:val="00B04580"/>
    <w:rsid w:val="00B04B09"/>
    <w:rsid w:val="00B167BD"/>
    <w:rsid w:val="00B16A51"/>
    <w:rsid w:val="00B23374"/>
    <w:rsid w:val="00B24EDA"/>
    <w:rsid w:val="00B25440"/>
    <w:rsid w:val="00B32222"/>
    <w:rsid w:val="00B35959"/>
    <w:rsid w:val="00B3618D"/>
    <w:rsid w:val="00B36233"/>
    <w:rsid w:val="00B36459"/>
    <w:rsid w:val="00B4217B"/>
    <w:rsid w:val="00B42851"/>
    <w:rsid w:val="00B43874"/>
    <w:rsid w:val="00B45AC7"/>
    <w:rsid w:val="00B4727D"/>
    <w:rsid w:val="00B5372F"/>
    <w:rsid w:val="00B54003"/>
    <w:rsid w:val="00B61129"/>
    <w:rsid w:val="00B64267"/>
    <w:rsid w:val="00B67E7F"/>
    <w:rsid w:val="00B727FD"/>
    <w:rsid w:val="00B72D40"/>
    <w:rsid w:val="00B7320A"/>
    <w:rsid w:val="00B74B37"/>
    <w:rsid w:val="00B74E31"/>
    <w:rsid w:val="00B75A04"/>
    <w:rsid w:val="00B839B2"/>
    <w:rsid w:val="00B84188"/>
    <w:rsid w:val="00B84E96"/>
    <w:rsid w:val="00B8766F"/>
    <w:rsid w:val="00B90327"/>
    <w:rsid w:val="00B92A3D"/>
    <w:rsid w:val="00B92A52"/>
    <w:rsid w:val="00B93848"/>
    <w:rsid w:val="00B94252"/>
    <w:rsid w:val="00B9715A"/>
    <w:rsid w:val="00B97AF3"/>
    <w:rsid w:val="00BA14BE"/>
    <w:rsid w:val="00BA2732"/>
    <w:rsid w:val="00BA293D"/>
    <w:rsid w:val="00BA49BC"/>
    <w:rsid w:val="00BA56B7"/>
    <w:rsid w:val="00BA72E5"/>
    <w:rsid w:val="00BA7A1E"/>
    <w:rsid w:val="00BA7CA9"/>
    <w:rsid w:val="00BB14DF"/>
    <w:rsid w:val="00BB24CD"/>
    <w:rsid w:val="00BB2F6C"/>
    <w:rsid w:val="00BB3875"/>
    <w:rsid w:val="00BB5860"/>
    <w:rsid w:val="00BB6AAD"/>
    <w:rsid w:val="00BC4A19"/>
    <w:rsid w:val="00BC4E6D"/>
    <w:rsid w:val="00BC59CD"/>
    <w:rsid w:val="00BC5A5D"/>
    <w:rsid w:val="00BC5F77"/>
    <w:rsid w:val="00BC5F8C"/>
    <w:rsid w:val="00BD0617"/>
    <w:rsid w:val="00BD2E9B"/>
    <w:rsid w:val="00BD441E"/>
    <w:rsid w:val="00BD4F4A"/>
    <w:rsid w:val="00BF669B"/>
    <w:rsid w:val="00BF6E07"/>
    <w:rsid w:val="00BF7AD7"/>
    <w:rsid w:val="00C00930"/>
    <w:rsid w:val="00C03EF8"/>
    <w:rsid w:val="00C060AD"/>
    <w:rsid w:val="00C0670D"/>
    <w:rsid w:val="00C113BF"/>
    <w:rsid w:val="00C137C6"/>
    <w:rsid w:val="00C1536A"/>
    <w:rsid w:val="00C2176E"/>
    <w:rsid w:val="00C21D95"/>
    <w:rsid w:val="00C226D8"/>
    <w:rsid w:val="00C23430"/>
    <w:rsid w:val="00C27D67"/>
    <w:rsid w:val="00C3146C"/>
    <w:rsid w:val="00C33A58"/>
    <w:rsid w:val="00C345DA"/>
    <w:rsid w:val="00C34C06"/>
    <w:rsid w:val="00C4631F"/>
    <w:rsid w:val="00C465A3"/>
    <w:rsid w:val="00C50E16"/>
    <w:rsid w:val="00C539AB"/>
    <w:rsid w:val="00C55258"/>
    <w:rsid w:val="00C557FC"/>
    <w:rsid w:val="00C568B5"/>
    <w:rsid w:val="00C625FE"/>
    <w:rsid w:val="00C62680"/>
    <w:rsid w:val="00C662AD"/>
    <w:rsid w:val="00C801D3"/>
    <w:rsid w:val="00C81E2C"/>
    <w:rsid w:val="00C82EEB"/>
    <w:rsid w:val="00C863C2"/>
    <w:rsid w:val="00C971DC"/>
    <w:rsid w:val="00CA16B7"/>
    <w:rsid w:val="00CA3B72"/>
    <w:rsid w:val="00CA4BE3"/>
    <w:rsid w:val="00CA60E8"/>
    <w:rsid w:val="00CA62AE"/>
    <w:rsid w:val="00CB17CA"/>
    <w:rsid w:val="00CB3061"/>
    <w:rsid w:val="00CB39AA"/>
    <w:rsid w:val="00CB5B1A"/>
    <w:rsid w:val="00CC220B"/>
    <w:rsid w:val="00CC5C43"/>
    <w:rsid w:val="00CD02AE"/>
    <w:rsid w:val="00CD07CB"/>
    <w:rsid w:val="00CD2A4F"/>
    <w:rsid w:val="00CD51BC"/>
    <w:rsid w:val="00CE03CA"/>
    <w:rsid w:val="00CE209F"/>
    <w:rsid w:val="00CE22F1"/>
    <w:rsid w:val="00CE50F2"/>
    <w:rsid w:val="00CE6502"/>
    <w:rsid w:val="00CE7BE9"/>
    <w:rsid w:val="00CF1218"/>
    <w:rsid w:val="00CF7D3C"/>
    <w:rsid w:val="00D02521"/>
    <w:rsid w:val="00D03933"/>
    <w:rsid w:val="00D04084"/>
    <w:rsid w:val="00D04DFB"/>
    <w:rsid w:val="00D05977"/>
    <w:rsid w:val="00D06281"/>
    <w:rsid w:val="00D066AC"/>
    <w:rsid w:val="00D14170"/>
    <w:rsid w:val="00D147EB"/>
    <w:rsid w:val="00D161CD"/>
    <w:rsid w:val="00D31CF2"/>
    <w:rsid w:val="00D34667"/>
    <w:rsid w:val="00D401E1"/>
    <w:rsid w:val="00D408B4"/>
    <w:rsid w:val="00D423B1"/>
    <w:rsid w:val="00D452FC"/>
    <w:rsid w:val="00D45D94"/>
    <w:rsid w:val="00D46488"/>
    <w:rsid w:val="00D524C8"/>
    <w:rsid w:val="00D60E25"/>
    <w:rsid w:val="00D630E5"/>
    <w:rsid w:val="00D65711"/>
    <w:rsid w:val="00D70899"/>
    <w:rsid w:val="00D70E24"/>
    <w:rsid w:val="00D72B61"/>
    <w:rsid w:val="00D75D6B"/>
    <w:rsid w:val="00D762EF"/>
    <w:rsid w:val="00D808C9"/>
    <w:rsid w:val="00D808EB"/>
    <w:rsid w:val="00D82EC6"/>
    <w:rsid w:val="00D8628A"/>
    <w:rsid w:val="00D90526"/>
    <w:rsid w:val="00D91F2A"/>
    <w:rsid w:val="00D92480"/>
    <w:rsid w:val="00D9784E"/>
    <w:rsid w:val="00DA1CA5"/>
    <w:rsid w:val="00DA3D1D"/>
    <w:rsid w:val="00DB0138"/>
    <w:rsid w:val="00DB2C80"/>
    <w:rsid w:val="00DB34F0"/>
    <w:rsid w:val="00DB6286"/>
    <w:rsid w:val="00DB645F"/>
    <w:rsid w:val="00DB6A9A"/>
    <w:rsid w:val="00DB76E9"/>
    <w:rsid w:val="00DC0331"/>
    <w:rsid w:val="00DC0A67"/>
    <w:rsid w:val="00DC1D5E"/>
    <w:rsid w:val="00DC2313"/>
    <w:rsid w:val="00DC5220"/>
    <w:rsid w:val="00DC7910"/>
    <w:rsid w:val="00DD2061"/>
    <w:rsid w:val="00DD2A46"/>
    <w:rsid w:val="00DD31F8"/>
    <w:rsid w:val="00DD5477"/>
    <w:rsid w:val="00DD7DAB"/>
    <w:rsid w:val="00DE285B"/>
    <w:rsid w:val="00DE3355"/>
    <w:rsid w:val="00DF0EE2"/>
    <w:rsid w:val="00DF282C"/>
    <w:rsid w:val="00DF486F"/>
    <w:rsid w:val="00DF572C"/>
    <w:rsid w:val="00DF5B5B"/>
    <w:rsid w:val="00DF7619"/>
    <w:rsid w:val="00E01F4F"/>
    <w:rsid w:val="00E042D8"/>
    <w:rsid w:val="00E04B95"/>
    <w:rsid w:val="00E04E16"/>
    <w:rsid w:val="00E04F1A"/>
    <w:rsid w:val="00E07EE7"/>
    <w:rsid w:val="00E1085D"/>
    <w:rsid w:val="00E10C74"/>
    <w:rsid w:val="00E1103B"/>
    <w:rsid w:val="00E122BB"/>
    <w:rsid w:val="00E17B44"/>
    <w:rsid w:val="00E2045E"/>
    <w:rsid w:val="00E25E8A"/>
    <w:rsid w:val="00E265E4"/>
    <w:rsid w:val="00E26CE3"/>
    <w:rsid w:val="00E26F77"/>
    <w:rsid w:val="00E27FEA"/>
    <w:rsid w:val="00E30434"/>
    <w:rsid w:val="00E31F41"/>
    <w:rsid w:val="00E329EB"/>
    <w:rsid w:val="00E347AD"/>
    <w:rsid w:val="00E406BE"/>
    <w:rsid w:val="00E4086F"/>
    <w:rsid w:val="00E422DE"/>
    <w:rsid w:val="00E43B3C"/>
    <w:rsid w:val="00E450C5"/>
    <w:rsid w:val="00E50188"/>
    <w:rsid w:val="00E514A2"/>
    <w:rsid w:val="00E514C6"/>
    <w:rsid w:val="00E515B6"/>
    <w:rsid w:val="00E515CB"/>
    <w:rsid w:val="00E52260"/>
    <w:rsid w:val="00E604CF"/>
    <w:rsid w:val="00E639B6"/>
    <w:rsid w:val="00E6434B"/>
    <w:rsid w:val="00E6463D"/>
    <w:rsid w:val="00E66C51"/>
    <w:rsid w:val="00E71187"/>
    <w:rsid w:val="00E72B5F"/>
    <w:rsid w:val="00E72E9B"/>
    <w:rsid w:val="00E77779"/>
    <w:rsid w:val="00E777F0"/>
    <w:rsid w:val="00E808E4"/>
    <w:rsid w:val="00E849DA"/>
    <w:rsid w:val="00E85CA7"/>
    <w:rsid w:val="00E92AAB"/>
    <w:rsid w:val="00E93768"/>
    <w:rsid w:val="00E9462E"/>
    <w:rsid w:val="00EA3346"/>
    <w:rsid w:val="00EA405F"/>
    <w:rsid w:val="00EA4409"/>
    <w:rsid w:val="00EA470E"/>
    <w:rsid w:val="00EA47A7"/>
    <w:rsid w:val="00EA49AC"/>
    <w:rsid w:val="00EA57EB"/>
    <w:rsid w:val="00EB151F"/>
    <w:rsid w:val="00EB3226"/>
    <w:rsid w:val="00EB4562"/>
    <w:rsid w:val="00EB5116"/>
    <w:rsid w:val="00EC213A"/>
    <w:rsid w:val="00EC6603"/>
    <w:rsid w:val="00EC7744"/>
    <w:rsid w:val="00ED0DAD"/>
    <w:rsid w:val="00ED0F46"/>
    <w:rsid w:val="00ED2373"/>
    <w:rsid w:val="00ED38BE"/>
    <w:rsid w:val="00ED3E4E"/>
    <w:rsid w:val="00EE3E8A"/>
    <w:rsid w:val="00EE40AF"/>
    <w:rsid w:val="00EE4491"/>
    <w:rsid w:val="00EF60B7"/>
    <w:rsid w:val="00EF6ECA"/>
    <w:rsid w:val="00EF719B"/>
    <w:rsid w:val="00F024E1"/>
    <w:rsid w:val="00F0477C"/>
    <w:rsid w:val="00F049F6"/>
    <w:rsid w:val="00F0524C"/>
    <w:rsid w:val="00F06C10"/>
    <w:rsid w:val="00F07517"/>
    <w:rsid w:val="00F1096F"/>
    <w:rsid w:val="00F11ECD"/>
    <w:rsid w:val="00F12589"/>
    <w:rsid w:val="00F12595"/>
    <w:rsid w:val="00F134D9"/>
    <w:rsid w:val="00F1403D"/>
    <w:rsid w:val="00F14217"/>
    <w:rsid w:val="00F1463F"/>
    <w:rsid w:val="00F16A6F"/>
    <w:rsid w:val="00F21302"/>
    <w:rsid w:val="00F321DE"/>
    <w:rsid w:val="00F33777"/>
    <w:rsid w:val="00F35C80"/>
    <w:rsid w:val="00F35CCC"/>
    <w:rsid w:val="00F40648"/>
    <w:rsid w:val="00F47DA2"/>
    <w:rsid w:val="00F519FC"/>
    <w:rsid w:val="00F52F8A"/>
    <w:rsid w:val="00F5514A"/>
    <w:rsid w:val="00F56217"/>
    <w:rsid w:val="00F562AB"/>
    <w:rsid w:val="00F5D174"/>
    <w:rsid w:val="00F6239D"/>
    <w:rsid w:val="00F715D2"/>
    <w:rsid w:val="00F7274F"/>
    <w:rsid w:val="00F73543"/>
    <w:rsid w:val="00F75C28"/>
    <w:rsid w:val="00F76FA8"/>
    <w:rsid w:val="00F8180C"/>
    <w:rsid w:val="00F916F0"/>
    <w:rsid w:val="00F93F08"/>
    <w:rsid w:val="00F94CED"/>
    <w:rsid w:val="00FA2CEE"/>
    <w:rsid w:val="00FA318C"/>
    <w:rsid w:val="00FA717C"/>
    <w:rsid w:val="00FA795B"/>
    <w:rsid w:val="00FB6F92"/>
    <w:rsid w:val="00FC026E"/>
    <w:rsid w:val="00FC4008"/>
    <w:rsid w:val="00FC5124"/>
    <w:rsid w:val="00FC57CF"/>
    <w:rsid w:val="00FD1D9D"/>
    <w:rsid w:val="00FD4731"/>
    <w:rsid w:val="00FD5F17"/>
    <w:rsid w:val="00FD6AB3"/>
    <w:rsid w:val="00FF0AB0"/>
    <w:rsid w:val="00FF28AC"/>
    <w:rsid w:val="00FF3C05"/>
    <w:rsid w:val="00FF57A3"/>
    <w:rsid w:val="00FF5A84"/>
    <w:rsid w:val="00FF7778"/>
    <w:rsid w:val="00FF7F62"/>
    <w:rsid w:val="011D6C5A"/>
    <w:rsid w:val="014F8030"/>
    <w:rsid w:val="017D47A1"/>
    <w:rsid w:val="01A4937A"/>
    <w:rsid w:val="01AA98BC"/>
    <w:rsid w:val="01BA25F6"/>
    <w:rsid w:val="0207C994"/>
    <w:rsid w:val="0230F312"/>
    <w:rsid w:val="026FA19E"/>
    <w:rsid w:val="0299D7B9"/>
    <w:rsid w:val="029F3CE3"/>
    <w:rsid w:val="02AD10CE"/>
    <w:rsid w:val="02CF9545"/>
    <w:rsid w:val="031CE25D"/>
    <w:rsid w:val="047A7AC5"/>
    <w:rsid w:val="056E0208"/>
    <w:rsid w:val="0672619E"/>
    <w:rsid w:val="0703368B"/>
    <w:rsid w:val="0712BF9A"/>
    <w:rsid w:val="076FC0EB"/>
    <w:rsid w:val="07C1F087"/>
    <w:rsid w:val="0875E493"/>
    <w:rsid w:val="08CD79DA"/>
    <w:rsid w:val="08D6BFF1"/>
    <w:rsid w:val="090974BE"/>
    <w:rsid w:val="0929C26D"/>
    <w:rsid w:val="09494CBA"/>
    <w:rsid w:val="09AB2F20"/>
    <w:rsid w:val="09DA2452"/>
    <w:rsid w:val="09DD48B6"/>
    <w:rsid w:val="0A2C5747"/>
    <w:rsid w:val="0A30E1CF"/>
    <w:rsid w:val="0A48CAC7"/>
    <w:rsid w:val="0A7C0DCF"/>
    <w:rsid w:val="0AC2A4FB"/>
    <w:rsid w:val="0B3577C2"/>
    <w:rsid w:val="0D3EA216"/>
    <w:rsid w:val="0D5ECFAA"/>
    <w:rsid w:val="0D61AD49"/>
    <w:rsid w:val="0D680BC6"/>
    <w:rsid w:val="0EA22446"/>
    <w:rsid w:val="0F578A5E"/>
    <w:rsid w:val="0F664D37"/>
    <w:rsid w:val="0F87D118"/>
    <w:rsid w:val="0FF6C241"/>
    <w:rsid w:val="10139DE4"/>
    <w:rsid w:val="10636121"/>
    <w:rsid w:val="1103A642"/>
    <w:rsid w:val="1157BCEA"/>
    <w:rsid w:val="11693FB3"/>
    <w:rsid w:val="11C45432"/>
    <w:rsid w:val="12622E2F"/>
    <w:rsid w:val="12EE7F11"/>
    <w:rsid w:val="13CAE938"/>
    <w:rsid w:val="13D6ACF0"/>
    <w:rsid w:val="14517E73"/>
    <w:rsid w:val="1550A012"/>
    <w:rsid w:val="159F0E9E"/>
    <w:rsid w:val="15F0FD3A"/>
    <w:rsid w:val="16ACC71B"/>
    <w:rsid w:val="16F8CB23"/>
    <w:rsid w:val="1721FED1"/>
    <w:rsid w:val="17498160"/>
    <w:rsid w:val="1752BA33"/>
    <w:rsid w:val="17B4295C"/>
    <w:rsid w:val="17C25C9E"/>
    <w:rsid w:val="185C832E"/>
    <w:rsid w:val="18D67052"/>
    <w:rsid w:val="1904AE2C"/>
    <w:rsid w:val="19613E0C"/>
    <w:rsid w:val="19B6334A"/>
    <w:rsid w:val="1AA0E975"/>
    <w:rsid w:val="1AD882D4"/>
    <w:rsid w:val="1ADD799B"/>
    <w:rsid w:val="1B236381"/>
    <w:rsid w:val="1BA19D92"/>
    <w:rsid w:val="1BCB345B"/>
    <w:rsid w:val="1CE49B2E"/>
    <w:rsid w:val="1CEFD319"/>
    <w:rsid w:val="1D36AD44"/>
    <w:rsid w:val="1D6D353B"/>
    <w:rsid w:val="1D9A6A34"/>
    <w:rsid w:val="1DCBFEE3"/>
    <w:rsid w:val="1EC716A9"/>
    <w:rsid w:val="1EEA1CD0"/>
    <w:rsid w:val="1F5577EB"/>
    <w:rsid w:val="1F73C10F"/>
    <w:rsid w:val="207D10B2"/>
    <w:rsid w:val="208FD896"/>
    <w:rsid w:val="20BABEC1"/>
    <w:rsid w:val="225FD0F3"/>
    <w:rsid w:val="22CB6704"/>
    <w:rsid w:val="22F4E4AC"/>
    <w:rsid w:val="2304A5B9"/>
    <w:rsid w:val="24D1B92B"/>
    <w:rsid w:val="24D8EF79"/>
    <w:rsid w:val="258F986F"/>
    <w:rsid w:val="261304F7"/>
    <w:rsid w:val="26BBFB74"/>
    <w:rsid w:val="2765892F"/>
    <w:rsid w:val="281A73D8"/>
    <w:rsid w:val="283A555D"/>
    <w:rsid w:val="285E52FC"/>
    <w:rsid w:val="292CEFE1"/>
    <w:rsid w:val="29AEBE99"/>
    <w:rsid w:val="29C5AD5E"/>
    <w:rsid w:val="2AEF3A10"/>
    <w:rsid w:val="2BBEB85E"/>
    <w:rsid w:val="2BF8A025"/>
    <w:rsid w:val="2DA09F2D"/>
    <w:rsid w:val="2E4D7007"/>
    <w:rsid w:val="2E91FF33"/>
    <w:rsid w:val="2ED4AAC8"/>
    <w:rsid w:val="2FCBDBAE"/>
    <w:rsid w:val="2FCC8DD2"/>
    <w:rsid w:val="30341B0A"/>
    <w:rsid w:val="30443ADA"/>
    <w:rsid w:val="3178F7E3"/>
    <w:rsid w:val="31B1C2F2"/>
    <w:rsid w:val="31E073D2"/>
    <w:rsid w:val="32ABC633"/>
    <w:rsid w:val="330AAE29"/>
    <w:rsid w:val="343F09AC"/>
    <w:rsid w:val="35C2C7EF"/>
    <w:rsid w:val="36EE8C62"/>
    <w:rsid w:val="370450D0"/>
    <w:rsid w:val="373A86B5"/>
    <w:rsid w:val="3767D3CE"/>
    <w:rsid w:val="37C73525"/>
    <w:rsid w:val="381234DD"/>
    <w:rsid w:val="39657CE7"/>
    <w:rsid w:val="39DC24BF"/>
    <w:rsid w:val="3A13EC31"/>
    <w:rsid w:val="3AF03247"/>
    <w:rsid w:val="3B0CF890"/>
    <w:rsid w:val="3BFD7701"/>
    <w:rsid w:val="3C1AD154"/>
    <w:rsid w:val="3C423EFB"/>
    <w:rsid w:val="3CAEA281"/>
    <w:rsid w:val="3CBD33DB"/>
    <w:rsid w:val="3CC859EF"/>
    <w:rsid w:val="3D5450DF"/>
    <w:rsid w:val="3D54B9C1"/>
    <w:rsid w:val="3D8A1138"/>
    <w:rsid w:val="3F7A0C24"/>
    <w:rsid w:val="3FF5E46B"/>
    <w:rsid w:val="4000CA97"/>
    <w:rsid w:val="40130818"/>
    <w:rsid w:val="403B0B8D"/>
    <w:rsid w:val="409FA3D3"/>
    <w:rsid w:val="4110E28A"/>
    <w:rsid w:val="41338C1E"/>
    <w:rsid w:val="4199151A"/>
    <w:rsid w:val="4282365C"/>
    <w:rsid w:val="42C7B183"/>
    <w:rsid w:val="42E5A2A0"/>
    <w:rsid w:val="43204D2B"/>
    <w:rsid w:val="434330C3"/>
    <w:rsid w:val="44C5C485"/>
    <w:rsid w:val="460A2528"/>
    <w:rsid w:val="463ABEB9"/>
    <w:rsid w:val="4715CBDD"/>
    <w:rsid w:val="47655B26"/>
    <w:rsid w:val="47897F00"/>
    <w:rsid w:val="47C27C0D"/>
    <w:rsid w:val="480003E7"/>
    <w:rsid w:val="482A0011"/>
    <w:rsid w:val="4845B4F7"/>
    <w:rsid w:val="48E368BF"/>
    <w:rsid w:val="49B7DC33"/>
    <w:rsid w:val="4BDF89F1"/>
    <w:rsid w:val="4BF04386"/>
    <w:rsid w:val="4C98B160"/>
    <w:rsid w:val="4DA04734"/>
    <w:rsid w:val="4DA9F54E"/>
    <w:rsid w:val="4DC113B9"/>
    <w:rsid w:val="4F4D0591"/>
    <w:rsid w:val="4F7B0303"/>
    <w:rsid w:val="4FCDC45B"/>
    <w:rsid w:val="4FF5F6AA"/>
    <w:rsid w:val="4FFD7956"/>
    <w:rsid w:val="50360B20"/>
    <w:rsid w:val="504363AD"/>
    <w:rsid w:val="5094CE6F"/>
    <w:rsid w:val="50CF93D7"/>
    <w:rsid w:val="5181830A"/>
    <w:rsid w:val="51ACDD2B"/>
    <w:rsid w:val="51BA6C06"/>
    <w:rsid w:val="51F16FB5"/>
    <w:rsid w:val="52230E49"/>
    <w:rsid w:val="52AA3A96"/>
    <w:rsid w:val="52C7B707"/>
    <w:rsid w:val="52E15953"/>
    <w:rsid w:val="535C9FA3"/>
    <w:rsid w:val="53E61E5F"/>
    <w:rsid w:val="53F604C0"/>
    <w:rsid w:val="54035E6A"/>
    <w:rsid w:val="54AE9657"/>
    <w:rsid w:val="580D244C"/>
    <w:rsid w:val="588B9FFA"/>
    <w:rsid w:val="58EF8C10"/>
    <w:rsid w:val="5A0CF5B9"/>
    <w:rsid w:val="5AA27739"/>
    <w:rsid w:val="5AB2292C"/>
    <w:rsid w:val="5B18DB2E"/>
    <w:rsid w:val="5B926E8B"/>
    <w:rsid w:val="5BE877C7"/>
    <w:rsid w:val="5C001E4D"/>
    <w:rsid w:val="5C92B109"/>
    <w:rsid w:val="5D07E806"/>
    <w:rsid w:val="5D6DD516"/>
    <w:rsid w:val="5D799F6E"/>
    <w:rsid w:val="5E551B9D"/>
    <w:rsid w:val="6052ACD1"/>
    <w:rsid w:val="6142A25F"/>
    <w:rsid w:val="618D13D5"/>
    <w:rsid w:val="6197CD2F"/>
    <w:rsid w:val="61A27117"/>
    <w:rsid w:val="61B8F2AE"/>
    <w:rsid w:val="626E0513"/>
    <w:rsid w:val="63637742"/>
    <w:rsid w:val="63B07FFB"/>
    <w:rsid w:val="63B1FBE5"/>
    <w:rsid w:val="63EDC606"/>
    <w:rsid w:val="63F8975B"/>
    <w:rsid w:val="64D634D2"/>
    <w:rsid w:val="64D9E2BE"/>
    <w:rsid w:val="64DDF9E3"/>
    <w:rsid w:val="66117C6F"/>
    <w:rsid w:val="66387715"/>
    <w:rsid w:val="663C009C"/>
    <w:rsid w:val="667CB7A5"/>
    <w:rsid w:val="66AA9B11"/>
    <w:rsid w:val="687C1E53"/>
    <w:rsid w:val="68C53CC2"/>
    <w:rsid w:val="68FFFC9B"/>
    <w:rsid w:val="69132114"/>
    <w:rsid w:val="696BE3D6"/>
    <w:rsid w:val="69F7DDA5"/>
    <w:rsid w:val="6AA607BF"/>
    <w:rsid w:val="6AB66811"/>
    <w:rsid w:val="6ABB6E0C"/>
    <w:rsid w:val="6B0D0EF6"/>
    <w:rsid w:val="6B9E1F07"/>
    <w:rsid w:val="6C81F06B"/>
    <w:rsid w:val="6E049C6F"/>
    <w:rsid w:val="6F1D3B42"/>
    <w:rsid w:val="6F9D66D8"/>
    <w:rsid w:val="6FDC05ED"/>
    <w:rsid w:val="709E4C74"/>
    <w:rsid w:val="70C9B751"/>
    <w:rsid w:val="70E1B7CC"/>
    <w:rsid w:val="71B5D42C"/>
    <w:rsid w:val="73045BEC"/>
    <w:rsid w:val="731446D9"/>
    <w:rsid w:val="743F8FC9"/>
    <w:rsid w:val="757ACE8D"/>
    <w:rsid w:val="75F49C36"/>
    <w:rsid w:val="76B036D1"/>
    <w:rsid w:val="78761B89"/>
    <w:rsid w:val="7887E695"/>
    <w:rsid w:val="7907B1D2"/>
    <w:rsid w:val="792184F5"/>
    <w:rsid w:val="79FBA0A3"/>
    <w:rsid w:val="7A9937E5"/>
    <w:rsid w:val="7ABA1115"/>
    <w:rsid w:val="7AF4F5F3"/>
    <w:rsid w:val="7B6DC02F"/>
    <w:rsid w:val="7B8D2549"/>
    <w:rsid w:val="7C08692C"/>
    <w:rsid w:val="7C328B9A"/>
    <w:rsid w:val="7C4CC370"/>
    <w:rsid w:val="7C90E193"/>
    <w:rsid w:val="7D27E0D5"/>
    <w:rsid w:val="7D62CF14"/>
    <w:rsid w:val="7D9E7020"/>
    <w:rsid w:val="7DD4A7BB"/>
    <w:rsid w:val="7EB03C7F"/>
    <w:rsid w:val="7F2F9D6C"/>
    <w:rsid w:val="7F4F353E"/>
    <w:rsid w:val="7FC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241F"/>
  <w15:docId w15:val="{64D5D6F7-45FF-45BE-907D-943AA119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99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uiPriority="99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D05977"/>
    <w:pPr>
      <w:spacing w:before="120" w:after="120" w:line="276" w:lineRule="auto"/>
    </w:pPr>
    <w:rPr>
      <w:rFonts w:ascii="Aptos" w:hAnsi="Aptos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qFormat/>
    <w:rsid w:val="00D05977"/>
    <w:pPr>
      <w:keepNext/>
      <w:spacing w:before="240" w:after="60"/>
      <w:outlineLvl w:val="0"/>
    </w:pPr>
    <w:rPr>
      <w:rFonts w:ascii="Aptos" w:hAnsi="Aptos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D05977"/>
    <w:pPr>
      <w:keepNext/>
      <w:spacing w:before="240" w:after="60"/>
      <w:outlineLvl w:val="1"/>
    </w:pPr>
    <w:rPr>
      <w:rFonts w:ascii="Aptos" w:hAnsi="Aptos" w:cs="Arial"/>
      <w:b/>
      <w:bCs/>
      <w:iCs/>
      <w:color w:val="9E4C6E" w:themeColor="accent4"/>
      <w:sz w:val="36"/>
      <w:szCs w:val="28"/>
      <w:lang w:eastAsia="en-US"/>
    </w:rPr>
  </w:style>
  <w:style w:type="paragraph" w:styleId="Heading3">
    <w:name w:val="heading 3"/>
    <w:next w:val="Normal"/>
    <w:qFormat/>
    <w:rsid w:val="00D05977"/>
    <w:pPr>
      <w:keepNext/>
      <w:spacing w:before="180" w:after="60"/>
      <w:outlineLvl w:val="2"/>
    </w:pPr>
    <w:rPr>
      <w:rFonts w:ascii="Aptos" w:hAnsi="Aptos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E66C51"/>
    <w:pPr>
      <w:keepNext/>
      <w:spacing w:before="240" w:after="60"/>
      <w:outlineLvl w:val="3"/>
    </w:pPr>
    <w:rPr>
      <w:rFonts w:ascii="Aptos" w:hAnsi="Aptos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E66C51"/>
    <w:pPr>
      <w:keepNext/>
      <w:spacing w:before="240" w:after="60"/>
      <w:outlineLvl w:val="4"/>
    </w:pPr>
    <w:rPr>
      <w:rFonts w:ascii="Aptos" w:hAnsi="Aptos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C801D3"/>
    <w:pPr>
      <w:numPr>
        <w:ilvl w:val="1"/>
      </w:numPr>
      <w:spacing w:before="120" w:after="60"/>
    </w:pPr>
    <w:rPr>
      <w:rFonts w:ascii="Aptos" w:hAnsi="Aptos" w:eastAsiaTheme="majorEastAsia" w:cstheme="majorBidi"/>
      <w:iCs/>
      <w:color w:val="3F4A75"/>
      <w:spacing w:val="15"/>
      <w:sz w:val="40"/>
      <w:szCs w:val="24"/>
      <w:lang w:eastAsia="en-US"/>
    </w:rPr>
  </w:style>
  <w:style w:type="character" w:styleId="SubtitleChar" w:customStyle="1">
    <w:name w:val="Subtitle Char"/>
    <w:basedOn w:val="DefaultParagraphFont"/>
    <w:link w:val="Subtitle"/>
    <w:rsid w:val="00C801D3"/>
    <w:rPr>
      <w:rFonts w:ascii="Aptos" w:hAnsi="Aptos" w:eastAsiaTheme="majorEastAsia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D05977"/>
    <w:pPr>
      <w:spacing w:before="2160" w:after="120"/>
      <w:contextualSpacing/>
    </w:pPr>
    <w:rPr>
      <w:rFonts w:ascii="Aptos Slab ExtraBold" w:hAnsi="Aptos Slab ExtraBold" w:eastAsiaTheme="majorEastAsia" w:cstheme="majorBidi"/>
      <w:b/>
      <w:color w:val="3F4A75"/>
      <w:kern w:val="28"/>
      <w:sz w:val="48"/>
      <w:szCs w:val="52"/>
      <w:lang w:eastAsia="en-US"/>
    </w:rPr>
  </w:style>
  <w:style w:type="character" w:styleId="TitleChar" w:customStyle="1">
    <w:name w:val="Title Char"/>
    <w:basedOn w:val="DefaultParagraphFont"/>
    <w:link w:val="Title"/>
    <w:rsid w:val="00D05977"/>
    <w:rPr>
      <w:rFonts w:ascii="Aptos Slab ExtraBold" w:hAnsi="Aptos Slab ExtraBold" w:eastAsiaTheme="majorEastAsia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color="3F4A75" w:themeColor="accent1" w:sz="4" w:space="4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3"/>
      </w:numPr>
    </w:pPr>
  </w:style>
  <w:style w:type="paragraph" w:styleId="ListNumber2">
    <w:name w:val="List Number 2"/>
    <w:basedOn w:val="ListBullet"/>
    <w:qFormat/>
    <w:rsid w:val="00BF7AD7"/>
    <w:pPr>
      <w:numPr>
        <w:numId w:val="22"/>
      </w:numPr>
    </w:pPr>
  </w:style>
  <w:style w:type="paragraph" w:styleId="ListBullet">
    <w:name w:val="List Bullet"/>
    <w:basedOn w:val="Normal"/>
    <w:qFormat/>
    <w:rsid w:val="00BF7AD7"/>
    <w:pPr>
      <w:numPr>
        <w:numId w:val="2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styleId="ImageTitle" w:customStyle="1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extleft" w:customStyle="1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itle" w:customStyle="1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587B3B"/>
    <w:pPr>
      <w:tabs>
        <w:tab w:val="center" w:pos="0"/>
        <w:tab w:val="right" w:pos="9026"/>
      </w:tabs>
      <w:jc w:val="right"/>
    </w:pPr>
    <w:rPr>
      <w:rFonts w:ascii="Aptos" w:hAnsi="Aptos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87B3B"/>
    <w:rPr>
      <w:rFonts w:ascii="Aptos" w:hAnsi="Aptos"/>
      <w:szCs w:val="24"/>
      <w:lang w:eastAsia="en-US"/>
    </w:rPr>
  </w:style>
  <w:style w:type="paragraph" w:styleId="TableHeaderWhite" w:customStyle="1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paragraph" w:styleId="Tablehead" w:customStyle="1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styleId="FigureTitle" w:customStyle="1">
    <w:name w:val="Figure Title"/>
    <w:next w:val="Normal"/>
    <w:qFormat/>
    <w:rsid w:val="00D05977"/>
    <w:pPr>
      <w:spacing w:before="120" w:after="120"/>
    </w:pPr>
    <w:rPr>
      <w:rFonts w:ascii="Aptos" w:hAnsi="Aptos" w:cs="Arial"/>
      <w:b/>
      <w:bCs/>
      <w:iCs/>
      <w:color w:val="000000" w:themeColor="text1"/>
      <w:sz w:val="22"/>
      <w:szCs w:val="22"/>
      <w:lang w:eastAsia="en-US"/>
    </w:rPr>
  </w:style>
  <w:style w:type="paragraph" w:styleId="Headertext" w:customStyle="1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901DD0"/>
    <w:rPr>
      <w:rFonts w:ascii="Arial" w:hAnsi="Arial"/>
      <w:color w:val="0000FF" w:themeColor="hyperlink"/>
      <w:sz w:val="22"/>
      <w:u w:val="single"/>
    </w:rPr>
  </w:style>
  <w:style w:type="table" w:styleId="PHNGreyTable" w:customStyle="1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styleId="Tablelistbullet" w:customStyle="1">
    <w:name w:val="Table list bullet"/>
    <w:basedOn w:val="Tabletextleft"/>
    <w:qFormat/>
    <w:rsid w:val="00BF7AD7"/>
    <w:pPr>
      <w:numPr>
        <w:numId w:val="25"/>
      </w:numPr>
    </w:pPr>
    <w:rPr>
      <w:szCs w:val="20"/>
    </w:rPr>
  </w:style>
  <w:style w:type="paragraph" w:styleId="Tablelistnumber" w:customStyle="1">
    <w:name w:val="Table list number"/>
    <w:basedOn w:val="Tabletextleft"/>
    <w:qFormat/>
    <w:rsid w:val="00BF7AD7"/>
    <w:pPr>
      <w:numPr>
        <w:numId w:val="26"/>
      </w:numPr>
    </w:pPr>
    <w:rPr>
      <w:bCs/>
      <w14:numSpacing w14:val="proportional"/>
    </w:rPr>
  </w:style>
  <w:style w:type="paragraph" w:styleId="TableHeader" w:customStyle="1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styleId="SectionHeading" w:customStyle="1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styleId="FootnoteTextChar" w:customStyle="1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styleId="VisionBox" w:customStyle="1">
    <w:name w:val="VisionBox"/>
    <w:basedOn w:val="Normal"/>
    <w:qFormat/>
    <w:rsid w:val="00BF7AD7"/>
    <w:pPr>
      <w:pBdr>
        <w:top w:val="single" w:color="358189" w:sz="4" w:space="15"/>
        <w:bottom w:val="single" w:color="358189" w:sz="4" w:space="10"/>
      </w:pBdr>
      <w:spacing w:before="240" w:after="240" w:line="340" w:lineRule="exact"/>
    </w:pPr>
    <w:rPr>
      <w:rFonts w:eastAsiaTheme="minorHAnsi"/>
      <w:color w:val="358189"/>
    </w:rPr>
  </w:style>
  <w:style w:type="paragraph" w:styleId="Style1" w:customStyle="1">
    <w:name w:val="Style1"/>
    <w:next w:val="Normal"/>
    <w:rsid w:val="00BF7AD7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styleId="BoldAllCaps" w:customStyle="1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color="auto" w:sz="0" w:space="0"/>
    </w:rPr>
  </w:style>
  <w:style w:type="paragraph" w:styleId="PolicyStatement" w:customStyle="1">
    <w:name w:val="PolicyStatement"/>
    <w:basedOn w:val="Normal"/>
    <w:qFormat/>
    <w:rsid w:val="00BF7AD7"/>
    <w:pPr>
      <w:pBdr>
        <w:top w:val="single" w:color="F2F2F2" w:themeColor="background1" w:themeShade="F2" w:sz="4" w:space="20"/>
        <w:left w:val="single" w:color="F2F2F2" w:themeColor="background1" w:themeShade="F2" w:sz="4" w:space="10"/>
        <w:bottom w:val="single" w:color="F2F2F2" w:themeColor="background1" w:themeShade="F2" w:sz="4" w:space="10"/>
        <w:right w:val="single" w:color="F2F2F2" w:themeColor="background1" w:themeShade="F2" w:sz="4" w:space="10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styleId="DepartmentofHealthtable" w:customStyle="1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TableTitleChar" w:customStyle="1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IntroPara" w:customStyle="1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styleId="TableTextright" w:customStyle="1">
    <w:name w:val="Table Text right"/>
    <w:basedOn w:val="Tabletextleft"/>
    <w:rsid w:val="00BF7AD7"/>
    <w:pPr>
      <w:jc w:val="right"/>
    </w:pPr>
  </w:style>
  <w:style w:type="paragraph" w:styleId="Tabletextright0" w:customStyle="1">
    <w:name w:val="Table text right"/>
    <w:basedOn w:val="Tabletextleft"/>
    <w:rsid w:val="00BF7AD7"/>
    <w:pPr>
      <w:jc w:val="right"/>
    </w:pPr>
  </w:style>
  <w:style w:type="paragraph" w:styleId="Tabletextcentre" w:customStyle="1">
    <w:name w:val="Table text centre"/>
    <w:basedOn w:val="Tabletextleft"/>
    <w:rsid w:val="00BF7AD7"/>
    <w:pPr>
      <w:jc w:val="center"/>
    </w:pPr>
  </w:style>
  <w:style w:type="paragraph" w:styleId="Boxheading" w:customStyle="1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styleId="Boxtype" w:customStyle="1">
    <w:name w:val="Box type"/>
    <w:next w:val="Normal"/>
    <w:qFormat/>
    <w:rsid w:val="00D05977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76" w:lineRule="auto"/>
      <w:ind w:left="227" w:right="227"/>
    </w:pPr>
    <w:rPr>
      <w:rFonts w:ascii="Aptos" w:hAnsi="Aptos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styleId="BodyTextChar" w:customStyle="1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styleId="Footerrightpage" w:customStyle="1">
    <w:name w:val="Footer right page"/>
    <w:basedOn w:val="Footer"/>
    <w:rsid w:val="00BF7AD7"/>
  </w:style>
  <w:style w:type="character" w:styleId="Heading7Char" w:customStyle="1">
    <w:name w:val="Heading 7 Char"/>
    <w:basedOn w:val="DefaultParagraphFont"/>
    <w:link w:val="Heading7"/>
    <w:semiHidden/>
    <w:rsid w:val="00BF7AD7"/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URL" w:customStyle="1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character" w:styleId="Heading1Char" w:customStyle="1">
    <w:name w:val="Heading 1 Char"/>
    <w:basedOn w:val="DefaultParagraphFont"/>
    <w:link w:val="Heading1"/>
    <w:rsid w:val="00D05977"/>
    <w:rPr>
      <w:rFonts w:ascii="Aptos" w:hAnsi="Aptos" w:cs="Arial"/>
      <w:b/>
      <w:bCs/>
      <w:color w:val="3F4A75"/>
      <w:kern w:val="28"/>
      <w:sz w:val="44"/>
      <w:szCs w:val="36"/>
      <w:lang w:eastAsia="en-US"/>
    </w:rPr>
  </w:style>
  <w:style w:type="paragraph" w:styleId="Revision">
    <w:name w:val="Revision"/>
    <w:hidden/>
    <w:uiPriority w:val="99"/>
    <w:semiHidden/>
    <w:rsid w:val="000B0E03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C59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59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C59CD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9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C59CD"/>
    <w:rPr>
      <w:rFonts w:ascii="Arial" w:hAnsi="Arial"/>
      <w:b/>
      <w:bCs/>
      <w:color w:val="000000" w:themeColor="text1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022A2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3757" w:themeColor="accent1" w:themeShade="BF"/>
      <w:kern w:val="0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B022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2A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health.gov.au/sites/default/files/2024-09/enhance-hta-an-enhanced-consumer-engagement-process-in-australian-health-technology-assessment-a-report-of-recommendations.pdf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ealth.gov.au/sites/default/files/2023-08/conversations-for-change-report-2023_0.pdf" TargetMode="External" Id="rId12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ealth.gov.au/our-work/hta-review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shor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8F12C133ADE49867CD979358DDE52" ma:contentTypeVersion="15" ma:contentTypeDescription="Create a new document." ma:contentTypeScope="" ma:versionID="8389f44a6f2df39c14fdd82ceabec27b">
  <xsd:schema xmlns:xsd="http://www.w3.org/2001/XMLSchema" xmlns:xs="http://www.w3.org/2001/XMLSchema" xmlns:p="http://schemas.microsoft.com/office/2006/metadata/properties" xmlns:ns2="b33a22f0-1548-4bd4-90ad-f69b2bdef635" xmlns:ns3="117fb4f1-39b0-4ef9-ad52-929d325d2c9d" targetNamespace="http://schemas.microsoft.com/office/2006/metadata/properties" ma:root="true" ma:fieldsID="c036cbca902e1c41421f33c5969c1f0f" ns2:_="" ns3:_="">
    <xsd:import namespace="b33a22f0-1548-4bd4-90ad-f69b2bdef635"/>
    <xsd:import namespace="117fb4f1-39b0-4ef9-ad52-929d325d2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22f0-1548-4bd4-90ad-f69b2bde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f1-39b0-4ef9-ad52-929d325d2c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7d2e3-fffd-4a0c-814e-8f319c2979ee}" ma:internalName="TaxCatchAll" ma:readOnly="false" ma:showField="CatchAllData" ma:web="117fb4f1-39b0-4ef9-ad52-929d325d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b4f1-39b0-4ef9-ad52-929d325d2c9d">
      <Value>5</Value>
    </TaxCatchAll>
    <lcf76f155ced4ddcb4097134ff3c332f xmlns="b33a22f0-1548-4bd4-90ad-f69b2bdef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EFD0D-D6E1-4690-896A-4DCFCCB1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a22f0-1548-4bd4-90ad-f69b2bdef635"/>
    <ds:schemaRef ds:uri="117fb4f1-39b0-4ef9-ad52-929d325d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17fb4f1-39b0-4ef9-ad52-929d325d2c9d"/>
    <ds:schemaRef ds:uri="b33a22f0-1548-4bd4-90ad-f69b2bdef6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Department of Health, Disability and Ageing short document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consumer engagement in HTA - Accessible version</dc:title>
  <dc:subject/>
  <dc:creator>Department of Health, Disability and Ageing</dc:creator>
  <cp:keywords>HTA, consumer engagement, PBAC, MSAC, PBS, MBS</cp:keywords>
  <cp:lastModifiedBy>NEWBERRY, Jacqui</cp:lastModifiedBy>
  <cp:revision>3</cp:revision>
  <cp:lastPrinted>2022-06-27T04:44:00Z</cp:lastPrinted>
  <dcterms:created xsi:type="dcterms:W3CDTF">2026-07-01T07:07:00Z</dcterms:created>
  <dcterms:modified xsi:type="dcterms:W3CDTF">2026-07-07T03:32:53Z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0x01010019F8F12C133ADE49867CD979358DDE52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2026-03-27T03:50:51Z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abbff942-4af8-4971-9e79-cba6b405ebc5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  <property fmtid="{D5CDD505-2E9C-101B-9397-08002B2CF9AE}" pid="33" name="docLang">
    <vt:lpwstr>en</vt:lpwstr>
  </property>
  <property fmtid="{D5CDD505-2E9C-101B-9397-08002B2CF9AE}" pid="34" name="mfb9edab7134471d8c78133ba7b278810">
    <vt:lpwstr>PCPD CC Corporate Communication SN|73cff0d0-7b20-43e0-ad96-75a3b55de641</vt:lpwstr>
  </property>
</Properties>
</file>