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Aus Gov and ATAGI header"/>
      </w:tblPr>
      <w:tblGrid>
        <w:gridCol w:w="3085"/>
        <w:gridCol w:w="7972"/>
      </w:tblGrid>
      <w:tr w:rsidR="00003BF7" w:rsidRPr="0068606A" w14:paraId="1E3B0856" w14:textId="77777777" w:rsidTr="7E01AA9A">
        <w:trPr>
          <w:trHeight w:val="1830"/>
        </w:trPr>
        <w:tc>
          <w:tcPr>
            <w:tcW w:w="3085" w:type="dxa"/>
            <w:tcBorders>
              <w:top w:val="nil"/>
              <w:left w:val="nil"/>
              <w:bottom w:val="nil"/>
              <w:right w:val="nil"/>
            </w:tcBorders>
            <w:shd w:val="clear" w:color="auto" w:fill="55259E"/>
            <w:vAlign w:val="center"/>
            <w:hideMark/>
          </w:tcPr>
          <w:p w14:paraId="78CB98C5" w14:textId="2B068CF6" w:rsidR="00003BF7" w:rsidRPr="0068606A" w:rsidRDefault="00003BF7" w:rsidP="00003BF7">
            <w:pPr>
              <w:jc w:val="center"/>
              <w:rPr>
                <w:rFonts w:ascii="Calibri" w:hAnsi="Calibri" w:cs="Calibri"/>
                <w:b/>
                <w:bCs/>
                <w:sz w:val="36"/>
                <w:szCs w:val="36"/>
              </w:rPr>
            </w:pPr>
            <w:r w:rsidRPr="00003BF7">
              <w:rPr>
                <w:rFonts w:ascii="Calibri" w:hAnsi="Calibri" w:cs="Calibri"/>
                <w:b/>
                <w:bCs/>
                <w:sz w:val="36"/>
                <w:szCs w:val="36"/>
              </w:rPr>
              <w:t> </w:t>
            </w:r>
            <w:r w:rsidRPr="0068606A">
              <w:rPr>
                <w:rFonts w:ascii="Calibri" w:hAnsi="Calibri" w:cs="Calibri"/>
                <w:b/>
                <w:bCs/>
                <w:noProof/>
                <w:sz w:val="36"/>
                <w:szCs w:val="36"/>
              </w:rPr>
              <w:drawing>
                <wp:anchor distT="0" distB="0" distL="114300" distR="114300" simplePos="0" relativeHeight="251658240" behindDoc="0" locked="0" layoutInCell="1" allowOverlap="1" wp14:anchorId="2DE65806" wp14:editId="6D9BD82C">
                  <wp:simplePos x="0" y="0"/>
                  <wp:positionH relativeFrom="column">
                    <wp:posOffset>253365</wp:posOffset>
                  </wp:positionH>
                  <wp:positionV relativeFrom="paragraph">
                    <wp:posOffset>1270</wp:posOffset>
                  </wp:positionV>
                  <wp:extent cx="1454150" cy="1143000"/>
                  <wp:effectExtent l="0" t="0" r="0" b="0"/>
                  <wp:wrapNone/>
                  <wp:docPr id="49282629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826298" name="Picture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150" cy="1143000"/>
                          </a:xfrm>
                          <a:prstGeom prst="rect">
                            <a:avLst/>
                          </a:prstGeom>
                          <a:noFill/>
                          <a:ln>
                            <a:noFill/>
                          </a:ln>
                        </pic:spPr>
                      </pic:pic>
                    </a:graphicData>
                  </a:graphic>
                </wp:anchor>
              </w:drawing>
            </w:r>
          </w:p>
          <w:p w14:paraId="45FC77B4" w14:textId="35B0BF6B" w:rsidR="00003BF7" w:rsidRPr="00003BF7" w:rsidRDefault="00003BF7" w:rsidP="00003BF7">
            <w:pPr>
              <w:jc w:val="center"/>
              <w:rPr>
                <w:rFonts w:ascii="Calibri" w:hAnsi="Calibri" w:cs="Calibri"/>
                <w:b/>
                <w:bCs/>
                <w:sz w:val="36"/>
                <w:szCs w:val="36"/>
              </w:rPr>
            </w:pPr>
            <w:r w:rsidRPr="00003BF7">
              <w:rPr>
                <w:rFonts w:ascii="Calibri" w:hAnsi="Calibri" w:cs="Calibri"/>
                <w:b/>
                <w:bCs/>
                <w:sz w:val="36"/>
                <w:szCs w:val="36"/>
              </w:rPr>
              <w:t> </w:t>
            </w:r>
          </w:p>
        </w:tc>
        <w:tc>
          <w:tcPr>
            <w:tcW w:w="7972" w:type="dxa"/>
            <w:tcBorders>
              <w:top w:val="nil"/>
              <w:left w:val="nil"/>
              <w:bottom w:val="nil"/>
              <w:right w:val="nil"/>
            </w:tcBorders>
            <w:shd w:val="clear" w:color="auto" w:fill="55259E"/>
            <w:vAlign w:val="center"/>
            <w:hideMark/>
          </w:tcPr>
          <w:p w14:paraId="018920BE" w14:textId="77777777" w:rsidR="00003BF7" w:rsidRPr="00003BF7" w:rsidRDefault="00003BF7" w:rsidP="00003BF7">
            <w:pPr>
              <w:jc w:val="right"/>
              <w:rPr>
                <w:rFonts w:ascii="Arial" w:hAnsi="Arial" w:cs="Arial"/>
                <w:color w:val="FFFFFF" w:themeColor="background1"/>
                <w:sz w:val="32"/>
                <w:szCs w:val="32"/>
              </w:rPr>
            </w:pPr>
            <w:r w:rsidRPr="00003BF7">
              <w:rPr>
                <w:rFonts w:ascii="Arial" w:hAnsi="Arial" w:cs="Arial"/>
                <w:color w:val="FFFFFF" w:themeColor="background1"/>
                <w:sz w:val="32"/>
                <w:szCs w:val="32"/>
              </w:rPr>
              <w:t>AUSTRALIAN TECHNICAL ADVISORY  </w:t>
            </w:r>
          </w:p>
          <w:p w14:paraId="04B9BF2A" w14:textId="77777777" w:rsidR="00003BF7" w:rsidRPr="00003BF7" w:rsidRDefault="00003BF7" w:rsidP="00003BF7">
            <w:pPr>
              <w:jc w:val="right"/>
              <w:rPr>
                <w:rFonts w:ascii="Arial" w:hAnsi="Arial" w:cs="Arial"/>
                <w:color w:val="FFFFFF" w:themeColor="background1"/>
                <w:sz w:val="32"/>
                <w:szCs w:val="32"/>
              </w:rPr>
            </w:pPr>
            <w:r w:rsidRPr="00003BF7">
              <w:rPr>
                <w:rFonts w:ascii="Arial" w:hAnsi="Arial" w:cs="Arial"/>
                <w:color w:val="FFFFFF" w:themeColor="background1"/>
                <w:sz w:val="32"/>
                <w:szCs w:val="32"/>
              </w:rPr>
              <w:t>GROUP ON IMMUNISATION (ATAGI) </w:t>
            </w:r>
          </w:p>
          <w:p w14:paraId="47A3FDCE" w14:textId="77777777" w:rsidR="00B54BA7" w:rsidRDefault="00B54BA7" w:rsidP="00003BF7">
            <w:pPr>
              <w:jc w:val="right"/>
              <w:rPr>
                <w:rFonts w:ascii="Arial" w:hAnsi="Arial" w:cs="Arial"/>
                <w:color w:val="FFFFFF" w:themeColor="background1"/>
                <w:sz w:val="28"/>
                <w:szCs w:val="28"/>
              </w:rPr>
            </w:pPr>
          </w:p>
          <w:p w14:paraId="64E77331" w14:textId="797A7853" w:rsidR="00B54BA7" w:rsidRPr="00003BF7" w:rsidRDefault="00C24846" w:rsidP="00510276">
            <w:pPr>
              <w:jc w:val="right"/>
              <w:rPr>
                <w:rFonts w:ascii="Calibri" w:hAnsi="Calibri" w:cs="Calibri"/>
                <w:color w:val="FFFFFF" w:themeColor="background1"/>
                <w:sz w:val="28"/>
                <w:szCs w:val="28"/>
              </w:rPr>
            </w:pPr>
            <w:r w:rsidRPr="7E01AA9A">
              <w:rPr>
                <w:rFonts w:ascii="Arial" w:hAnsi="Arial" w:cs="Arial"/>
                <w:color w:val="FFFFFF" w:themeColor="background1"/>
              </w:rPr>
              <w:t xml:space="preserve"> </w:t>
            </w:r>
            <w:r w:rsidR="0DD77850" w:rsidRPr="00053671">
              <w:rPr>
                <w:rFonts w:ascii="Arial" w:hAnsi="Arial" w:cs="Arial"/>
                <w:color w:val="FFFFFF" w:themeColor="background1"/>
                <w:sz w:val="28"/>
                <w:szCs w:val="28"/>
              </w:rPr>
              <w:t>A</w:t>
            </w:r>
            <w:r w:rsidRPr="00053671">
              <w:rPr>
                <w:rFonts w:ascii="Arial" w:hAnsi="Arial" w:cs="Arial"/>
                <w:color w:val="FFFFFF" w:themeColor="background1"/>
                <w:sz w:val="28"/>
                <w:szCs w:val="28"/>
              </w:rPr>
              <w:t xml:space="preserve">dvice regarding diphtheria vaccination in outbreak settings </w:t>
            </w:r>
          </w:p>
        </w:tc>
      </w:tr>
      <w:tr w:rsidR="00003BF7" w:rsidRPr="0068606A" w14:paraId="4BF5155C" w14:textId="77777777" w:rsidTr="7E01AA9A">
        <w:trPr>
          <w:trHeight w:val="68"/>
        </w:trPr>
        <w:tc>
          <w:tcPr>
            <w:tcW w:w="3085" w:type="dxa"/>
            <w:tcBorders>
              <w:top w:val="nil"/>
              <w:left w:val="nil"/>
              <w:bottom w:val="nil"/>
              <w:right w:val="nil"/>
            </w:tcBorders>
            <w:shd w:val="clear" w:color="auto" w:fill="55259E"/>
            <w:hideMark/>
          </w:tcPr>
          <w:p w14:paraId="59BB8430" w14:textId="77777777" w:rsidR="00003BF7" w:rsidRPr="00003BF7" w:rsidRDefault="00003BF7" w:rsidP="00003BF7">
            <w:pPr>
              <w:jc w:val="center"/>
              <w:rPr>
                <w:rFonts w:ascii="Calibri" w:hAnsi="Calibri" w:cs="Calibri"/>
                <w:b/>
                <w:bCs/>
                <w:sz w:val="36"/>
                <w:szCs w:val="36"/>
              </w:rPr>
            </w:pPr>
            <w:r w:rsidRPr="00003BF7">
              <w:rPr>
                <w:rFonts w:ascii="Calibri" w:hAnsi="Calibri" w:cs="Calibri"/>
                <w:b/>
                <w:bCs/>
                <w:sz w:val="36"/>
                <w:szCs w:val="36"/>
              </w:rPr>
              <w:t> </w:t>
            </w:r>
          </w:p>
        </w:tc>
        <w:tc>
          <w:tcPr>
            <w:tcW w:w="7972" w:type="dxa"/>
            <w:tcBorders>
              <w:top w:val="nil"/>
              <w:left w:val="nil"/>
              <w:bottom w:val="nil"/>
              <w:right w:val="nil"/>
            </w:tcBorders>
            <w:shd w:val="clear" w:color="auto" w:fill="55259E"/>
            <w:vAlign w:val="center"/>
            <w:hideMark/>
          </w:tcPr>
          <w:p w14:paraId="09CB0114" w14:textId="1309B748" w:rsidR="00003BF7" w:rsidRPr="00003BF7" w:rsidRDefault="00003BF7" w:rsidP="00003BF7">
            <w:pPr>
              <w:jc w:val="right"/>
              <w:rPr>
                <w:rFonts w:ascii="Calibri" w:hAnsi="Calibri" w:cs="Calibri"/>
                <w:b/>
                <w:bCs/>
                <w:color w:val="FFFFFF" w:themeColor="background1"/>
              </w:rPr>
            </w:pPr>
            <w:r w:rsidRPr="00003BF7">
              <w:rPr>
                <w:rFonts w:ascii="Calibri" w:hAnsi="Calibri" w:cs="Calibri"/>
                <w:b/>
                <w:bCs/>
                <w:color w:val="FFFFFF" w:themeColor="background1"/>
              </w:rPr>
              <w:t>Issue date:</w:t>
            </w:r>
            <w:r w:rsidRPr="00003BF7">
              <w:rPr>
                <w:rFonts w:ascii="Calibri" w:hAnsi="Calibri" w:cs="Calibri"/>
                <w:b/>
                <w:bCs/>
                <w:color w:val="FF0000"/>
              </w:rPr>
              <w:t>  </w:t>
            </w:r>
            <w:r w:rsidR="006D59C8" w:rsidRPr="00053671">
              <w:rPr>
                <w:rFonts w:ascii="Calibri" w:hAnsi="Calibri" w:cs="Calibri"/>
                <w:b/>
                <w:bCs/>
                <w:color w:val="FFFFFF" w:themeColor="background1"/>
              </w:rPr>
              <w:t xml:space="preserve">14 </w:t>
            </w:r>
            <w:r w:rsidR="00DB5311" w:rsidRPr="00053671">
              <w:rPr>
                <w:rFonts w:ascii="Calibri" w:hAnsi="Calibri" w:cs="Calibri"/>
                <w:b/>
                <w:bCs/>
                <w:color w:val="FFFFFF" w:themeColor="background1"/>
              </w:rPr>
              <w:t>Ju</w:t>
            </w:r>
            <w:r w:rsidR="00B12CAA" w:rsidRPr="00053671">
              <w:rPr>
                <w:rFonts w:ascii="Calibri" w:hAnsi="Calibri" w:cs="Calibri"/>
                <w:b/>
                <w:bCs/>
                <w:color w:val="FFFFFF" w:themeColor="background1"/>
              </w:rPr>
              <w:t>ly</w:t>
            </w:r>
            <w:r w:rsidR="006D1F9B" w:rsidRPr="00053671">
              <w:rPr>
                <w:rFonts w:ascii="Calibri" w:hAnsi="Calibri" w:cs="Calibri"/>
                <w:b/>
                <w:bCs/>
                <w:color w:val="FFFFFF" w:themeColor="background1"/>
              </w:rPr>
              <w:t xml:space="preserve"> </w:t>
            </w:r>
            <w:r w:rsidRPr="00053671">
              <w:rPr>
                <w:rFonts w:ascii="Calibri" w:hAnsi="Calibri" w:cs="Calibri"/>
                <w:b/>
                <w:bCs/>
                <w:color w:val="FFFFFF" w:themeColor="background1"/>
              </w:rPr>
              <w:t>202</w:t>
            </w:r>
            <w:r w:rsidR="00115153" w:rsidRPr="00053671">
              <w:rPr>
                <w:rFonts w:ascii="Calibri" w:hAnsi="Calibri" w:cs="Calibri"/>
                <w:b/>
                <w:bCs/>
                <w:color w:val="FFFFFF" w:themeColor="background1"/>
              </w:rPr>
              <w:t>6</w:t>
            </w:r>
            <w:r w:rsidRPr="00053671">
              <w:rPr>
                <w:rFonts w:ascii="Calibri" w:hAnsi="Calibri" w:cs="Calibri"/>
                <w:b/>
                <w:bCs/>
                <w:color w:val="FFFFFF" w:themeColor="background1"/>
                <w:sz w:val="22"/>
                <w:szCs w:val="22"/>
              </w:rPr>
              <w:t> </w:t>
            </w:r>
          </w:p>
        </w:tc>
      </w:tr>
    </w:tbl>
    <w:p w14:paraId="7A3E6F5A" w14:textId="4BE722BF" w:rsidR="00CB0861" w:rsidRPr="00402CCE" w:rsidRDefault="00CB0861" w:rsidP="00B54BA7">
      <w:pPr>
        <w:jc w:val="right"/>
        <w:rPr>
          <w:rFonts w:ascii="Arial" w:hAnsi="Arial" w:cs="Arial"/>
          <w:i/>
          <w:iCs/>
          <w:sz w:val="20"/>
          <w:szCs w:val="20"/>
        </w:rPr>
      </w:pPr>
      <w:r w:rsidRPr="00402CCE">
        <w:rPr>
          <w:rFonts w:ascii="Arial" w:hAnsi="Arial" w:cs="Arial"/>
          <w:i/>
          <w:iCs/>
          <w:sz w:val="20"/>
          <w:szCs w:val="20"/>
        </w:rPr>
        <w:t>Version 1</w:t>
      </w:r>
    </w:p>
    <w:p w14:paraId="622A085D" w14:textId="5A645EA7" w:rsidR="00CB5EE7" w:rsidRDefault="007A58FA" w:rsidP="00057523">
      <w:pPr>
        <w:pStyle w:val="Heading2"/>
        <w:rPr>
          <w:rFonts w:ascii="Arial" w:hAnsi="Arial" w:cs="Arial"/>
          <w:b/>
          <w:bCs/>
          <w:color w:val="7030A0"/>
          <w:sz w:val="28"/>
          <w:szCs w:val="28"/>
        </w:rPr>
      </w:pPr>
      <w:r>
        <w:rPr>
          <w:rFonts w:ascii="Arial" w:hAnsi="Arial" w:cs="Arial"/>
          <w:b/>
          <w:bCs/>
          <w:color w:val="7030A0"/>
          <w:sz w:val="28"/>
          <w:szCs w:val="28"/>
        </w:rPr>
        <w:t>Background</w:t>
      </w:r>
    </w:p>
    <w:p w14:paraId="2A9BC4EB" w14:textId="6F46E159" w:rsidR="00C442FF" w:rsidRPr="00C442FF" w:rsidRDefault="00664358" w:rsidP="006A63A5">
      <w:pPr>
        <w:rPr>
          <w:rFonts w:ascii="Arial" w:eastAsia="Segoe UI" w:hAnsi="Arial" w:cs="Arial"/>
          <w:color w:val="242424"/>
          <w:sz w:val="20"/>
          <w:szCs w:val="20"/>
        </w:rPr>
      </w:pPr>
      <w:r w:rsidRPr="62D74E01">
        <w:rPr>
          <w:rFonts w:ascii="Arial" w:hAnsi="Arial" w:cs="Arial"/>
          <w:sz w:val="20"/>
          <w:szCs w:val="20"/>
        </w:rPr>
        <w:t xml:space="preserve">This </w:t>
      </w:r>
      <w:r w:rsidR="00C442FF" w:rsidRPr="62D74E01">
        <w:rPr>
          <w:rFonts w:ascii="Arial" w:hAnsi="Arial" w:cs="Arial"/>
          <w:i/>
          <w:iCs/>
          <w:sz w:val="20"/>
          <w:szCs w:val="20"/>
        </w:rPr>
        <w:t>A</w:t>
      </w:r>
      <w:r w:rsidRPr="62D74E01">
        <w:rPr>
          <w:rFonts w:ascii="Arial" w:hAnsi="Arial" w:cs="Arial"/>
          <w:i/>
          <w:iCs/>
          <w:sz w:val="20"/>
          <w:szCs w:val="20"/>
        </w:rPr>
        <w:t>dvice regarding diphtheria vaccination in outbreak settings</w:t>
      </w:r>
      <w:r w:rsidRPr="62D74E01">
        <w:rPr>
          <w:rFonts w:ascii="Arial" w:hAnsi="Arial" w:cs="Arial"/>
          <w:sz w:val="20"/>
          <w:szCs w:val="20"/>
        </w:rPr>
        <w:t xml:space="preserve"> was </w:t>
      </w:r>
      <w:r w:rsidR="0048643B" w:rsidRPr="62D74E01">
        <w:rPr>
          <w:rFonts w:ascii="Arial" w:hAnsi="Arial" w:cs="Arial"/>
          <w:sz w:val="20"/>
          <w:szCs w:val="20"/>
        </w:rPr>
        <w:t>first</w:t>
      </w:r>
      <w:r w:rsidR="489328D9" w:rsidRPr="62D74E01">
        <w:rPr>
          <w:rFonts w:ascii="Arial" w:hAnsi="Arial" w:cs="Arial"/>
          <w:sz w:val="20"/>
          <w:szCs w:val="20"/>
        </w:rPr>
        <w:t xml:space="preserve"> </w:t>
      </w:r>
      <w:r w:rsidRPr="62D74E01">
        <w:rPr>
          <w:rFonts w:ascii="Arial" w:hAnsi="Arial" w:cs="Arial"/>
          <w:sz w:val="20"/>
          <w:szCs w:val="20"/>
        </w:rPr>
        <w:t xml:space="preserve">developed as internal advice </w:t>
      </w:r>
      <w:r w:rsidR="008017F1" w:rsidRPr="62D74E01">
        <w:rPr>
          <w:rFonts w:ascii="Arial" w:hAnsi="Arial" w:cs="Arial"/>
          <w:sz w:val="20"/>
          <w:szCs w:val="20"/>
        </w:rPr>
        <w:t>in early April</w:t>
      </w:r>
      <w:r w:rsidR="0003541E" w:rsidRPr="62D74E01">
        <w:rPr>
          <w:rFonts w:ascii="Arial" w:hAnsi="Arial" w:cs="Arial"/>
          <w:sz w:val="20"/>
          <w:szCs w:val="20"/>
        </w:rPr>
        <w:t xml:space="preserve"> 2026 </w:t>
      </w:r>
      <w:r w:rsidR="008017F1" w:rsidRPr="62D74E01">
        <w:rPr>
          <w:rFonts w:ascii="Arial" w:hAnsi="Arial" w:cs="Arial"/>
          <w:sz w:val="20"/>
          <w:szCs w:val="20"/>
        </w:rPr>
        <w:t>for the Northern Territory Department of Health (NT Health) in response to initial outbreak cases.</w:t>
      </w:r>
      <w:r w:rsidR="780FCEAE" w:rsidRPr="62D74E01">
        <w:rPr>
          <w:rFonts w:ascii="Arial" w:hAnsi="Arial" w:cs="Arial"/>
          <w:sz w:val="20"/>
          <w:szCs w:val="20"/>
        </w:rPr>
        <w:t xml:space="preserve"> </w:t>
      </w:r>
      <w:r w:rsidR="008017F1" w:rsidRPr="62D74E01">
        <w:rPr>
          <w:rFonts w:ascii="Arial" w:hAnsi="Arial" w:cs="Arial"/>
          <w:sz w:val="20"/>
          <w:szCs w:val="20"/>
        </w:rPr>
        <w:t xml:space="preserve">This advice </w:t>
      </w:r>
      <w:r w:rsidR="0271D3A3" w:rsidRPr="62D74E01">
        <w:rPr>
          <w:rFonts w:ascii="Arial" w:hAnsi="Arial" w:cs="Arial"/>
          <w:sz w:val="20"/>
          <w:szCs w:val="20"/>
        </w:rPr>
        <w:t xml:space="preserve">will continue to </w:t>
      </w:r>
      <w:r w:rsidR="0271D3A3" w:rsidRPr="62D74E01">
        <w:rPr>
          <w:rFonts w:ascii="Arial" w:eastAsia="Segoe UI" w:hAnsi="Arial" w:cs="Arial"/>
          <w:sz w:val="20"/>
          <w:szCs w:val="20"/>
        </w:rPr>
        <w:t>be updated as the outbreak progresses and evidence emerges</w:t>
      </w:r>
      <w:r w:rsidR="0048643B" w:rsidRPr="62D74E01">
        <w:rPr>
          <w:rFonts w:ascii="Arial" w:eastAsia="Segoe UI" w:hAnsi="Arial" w:cs="Arial"/>
          <w:sz w:val="20"/>
          <w:szCs w:val="20"/>
        </w:rPr>
        <w:t>.</w:t>
      </w:r>
    </w:p>
    <w:p w14:paraId="657A28F4" w14:textId="77777777" w:rsidR="00C442FF" w:rsidRDefault="00C442FF" w:rsidP="00C442FF">
      <w:pPr>
        <w:rPr>
          <w:rFonts w:ascii="Segoe UI" w:eastAsia="Segoe UI" w:hAnsi="Segoe UI" w:cs="Segoe UI"/>
          <w:color w:val="242424"/>
          <w:sz w:val="21"/>
          <w:szCs w:val="21"/>
        </w:rPr>
      </w:pPr>
    </w:p>
    <w:p w14:paraId="24C19C73" w14:textId="159B2230" w:rsidR="0067110F" w:rsidRPr="00C442FF" w:rsidRDefault="798A32A6" w:rsidP="00C442FF">
      <w:r w:rsidRPr="0048643B">
        <w:rPr>
          <w:rFonts w:ascii="Arial" w:hAnsi="Arial" w:cs="Arial"/>
          <w:sz w:val="20"/>
          <w:szCs w:val="20"/>
        </w:rPr>
        <w:t>F</w:t>
      </w:r>
      <w:r w:rsidR="7149CD27" w:rsidRPr="0048643B">
        <w:rPr>
          <w:rFonts w:ascii="Arial" w:hAnsi="Arial" w:cs="Arial"/>
          <w:sz w:val="20"/>
          <w:szCs w:val="20"/>
        </w:rPr>
        <w:t xml:space="preserve">urther </w:t>
      </w:r>
      <w:r w:rsidR="3A8D58A8" w:rsidRPr="0048643B">
        <w:rPr>
          <w:rFonts w:ascii="Arial" w:hAnsi="Arial" w:cs="Arial"/>
          <w:sz w:val="20"/>
          <w:szCs w:val="20"/>
        </w:rPr>
        <w:t>information</w:t>
      </w:r>
      <w:r w:rsidR="001A5A5F">
        <w:rPr>
          <w:rFonts w:ascii="Arial" w:hAnsi="Arial" w:cs="Arial"/>
          <w:sz w:val="20"/>
          <w:szCs w:val="20"/>
        </w:rPr>
        <w:t xml:space="preserve">, including the </w:t>
      </w:r>
      <w:hyperlink r:id="rId12" w:history="1">
        <w:r w:rsidR="001A5A5F" w:rsidRPr="006A2761">
          <w:rPr>
            <w:rStyle w:val="Hyperlink"/>
            <w:rFonts w:ascii="Arial" w:hAnsi="Arial" w:cs="Arial"/>
            <w:sz w:val="20"/>
            <w:szCs w:val="20"/>
          </w:rPr>
          <w:t>Interim guidance for diphtheria outbreak management</w:t>
        </w:r>
      </w:hyperlink>
      <w:r w:rsidR="001A5A5F">
        <w:rPr>
          <w:rFonts w:ascii="Arial" w:hAnsi="Arial" w:cs="Arial"/>
          <w:sz w:val="20"/>
          <w:szCs w:val="20"/>
        </w:rPr>
        <w:t xml:space="preserve"> from the Communicable Disease Network of Australia (</w:t>
      </w:r>
      <w:r w:rsidR="001A5A5F" w:rsidRPr="001A5A5F">
        <w:rPr>
          <w:rFonts w:ascii="Arial" w:hAnsi="Arial" w:cs="Arial"/>
          <w:sz w:val="20"/>
          <w:szCs w:val="20"/>
        </w:rPr>
        <w:t>CDNA</w:t>
      </w:r>
      <w:r w:rsidR="001A5A5F">
        <w:rPr>
          <w:rFonts w:ascii="Arial" w:hAnsi="Arial" w:cs="Arial"/>
          <w:sz w:val="20"/>
          <w:szCs w:val="20"/>
        </w:rPr>
        <w:t xml:space="preserve">), </w:t>
      </w:r>
      <w:r w:rsidR="059682CA" w:rsidRPr="0048643B">
        <w:rPr>
          <w:rFonts w:ascii="Arial" w:hAnsi="Arial" w:cs="Arial"/>
          <w:sz w:val="20"/>
          <w:szCs w:val="20"/>
        </w:rPr>
        <w:t xml:space="preserve">is available on </w:t>
      </w:r>
      <w:r w:rsidRPr="0048643B">
        <w:rPr>
          <w:rFonts w:ascii="Arial" w:hAnsi="Arial" w:cs="Arial"/>
          <w:sz w:val="20"/>
          <w:szCs w:val="20"/>
        </w:rPr>
        <w:t xml:space="preserve">the </w:t>
      </w:r>
      <w:hyperlink r:id="rId13" w:anchor="current-status" w:history="1">
        <w:r w:rsidR="059682CA" w:rsidRPr="006A63A5">
          <w:rPr>
            <w:rStyle w:val="Hyperlink"/>
            <w:rFonts w:ascii="Arial" w:hAnsi="Arial" w:cs="Arial"/>
            <w:sz w:val="20"/>
            <w:szCs w:val="20"/>
          </w:rPr>
          <w:t xml:space="preserve">Australian Centre for Disease Control </w:t>
        </w:r>
        <w:r w:rsidRPr="006A63A5">
          <w:rPr>
            <w:rStyle w:val="Hyperlink"/>
            <w:rFonts w:ascii="Arial" w:hAnsi="Arial" w:cs="Arial"/>
            <w:sz w:val="20"/>
            <w:szCs w:val="20"/>
          </w:rPr>
          <w:t>website</w:t>
        </w:r>
      </w:hyperlink>
      <w:r w:rsidR="059682CA" w:rsidRPr="0048643B">
        <w:rPr>
          <w:rFonts w:ascii="Arial" w:hAnsi="Arial" w:cs="Arial"/>
          <w:sz w:val="20"/>
          <w:szCs w:val="20"/>
        </w:rPr>
        <w:t>.</w:t>
      </w:r>
    </w:p>
    <w:p w14:paraId="162B9F22" w14:textId="71A7DE00" w:rsidR="007641FB" w:rsidRDefault="005F3185" w:rsidP="00EB6C89">
      <w:pPr>
        <w:pStyle w:val="Heading2"/>
        <w:rPr>
          <w:rFonts w:ascii="Arial" w:hAnsi="Arial" w:cs="Arial"/>
          <w:b/>
          <w:bCs/>
          <w:color w:val="7030A0"/>
          <w:sz w:val="28"/>
          <w:szCs w:val="28"/>
        </w:rPr>
      </w:pPr>
      <w:r w:rsidRPr="005F3185">
        <w:rPr>
          <w:rFonts w:ascii="Arial" w:hAnsi="Arial" w:cs="Arial"/>
          <w:b/>
          <w:bCs/>
          <w:color w:val="7030A0"/>
          <w:sz w:val="28"/>
          <w:szCs w:val="28"/>
        </w:rPr>
        <w:t>ATAGI guidance</w:t>
      </w:r>
    </w:p>
    <w:p w14:paraId="6BF7C0AF" w14:textId="72EAF46C" w:rsidR="008C08E9" w:rsidRPr="00EB6C89" w:rsidRDefault="1B4A4AEB" w:rsidP="008C08E9">
      <w:pPr>
        <w:pStyle w:val="Heading3"/>
        <w:keepLines w:val="0"/>
        <w:spacing w:before="200" w:after="100" w:line="271" w:lineRule="auto"/>
        <w:rPr>
          <w:rStyle w:val="normaltextrun"/>
          <w:rFonts w:ascii="Arial" w:eastAsia="Times New Roman" w:hAnsi="Arial" w:cs="Arial"/>
          <w:color w:val="57259F"/>
          <w:spacing w:val="5"/>
          <w:kern w:val="0"/>
          <w:sz w:val="23"/>
          <w:szCs w:val="23"/>
          <w:lang w:eastAsia="en-GB"/>
          <w14:ligatures w14:val="none"/>
        </w:rPr>
      </w:pPr>
      <w:r w:rsidRPr="75B774A9">
        <w:rPr>
          <w:rStyle w:val="normaltextrun"/>
          <w:rFonts w:ascii="Arial" w:eastAsia="Times New Roman" w:hAnsi="Arial" w:cs="Arial"/>
          <w:color w:val="57259F"/>
          <w:sz w:val="23"/>
          <w:szCs w:val="23"/>
          <w:lang w:eastAsia="en-GB"/>
        </w:rPr>
        <w:t>Diphtheria vaccination</w:t>
      </w:r>
      <w:r w:rsidR="00BA2778">
        <w:rPr>
          <w:rStyle w:val="normaltextrun"/>
          <w:rFonts w:ascii="Arial" w:eastAsia="Times New Roman" w:hAnsi="Arial" w:cs="Arial"/>
          <w:color w:val="57259F"/>
          <w:sz w:val="23"/>
          <w:szCs w:val="23"/>
          <w:lang w:eastAsia="en-GB"/>
        </w:rPr>
        <w:t xml:space="preserve"> </w:t>
      </w:r>
      <w:r w:rsidRPr="75B774A9">
        <w:rPr>
          <w:rStyle w:val="normaltextrun"/>
          <w:rFonts w:ascii="Arial" w:eastAsia="Times New Roman" w:hAnsi="Arial" w:cs="Arial"/>
          <w:color w:val="57259F"/>
          <w:sz w:val="23"/>
          <w:szCs w:val="23"/>
          <w:lang w:eastAsia="en-GB"/>
        </w:rPr>
        <w:t xml:space="preserve">for contacts in an </w:t>
      </w:r>
      <w:hyperlink r:id="rId14" w:history="1">
        <w:r w:rsidRPr="008E6ACE">
          <w:rPr>
            <w:rStyle w:val="Hyperlink"/>
            <w:rFonts w:ascii="Arial" w:eastAsia="Times New Roman" w:hAnsi="Arial" w:cs="Arial"/>
            <w:sz w:val="23"/>
            <w:szCs w:val="23"/>
            <w:lang w:eastAsia="en-GB"/>
          </w:rPr>
          <w:t>outbreak setting</w:t>
        </w:r>
      </w:hyperlink>
      <w:r w:rsidRPr="75B774A9">
        <w:rPr>
          <w:rStyle w:val="normaltextrun"/>
          <w:rFonts w:ascii="Arial" w:eastAsia="Times New Roman" w:hAnsi="Arial" w:cs="Arial"/>
          <w:color w:val="57259F"/>
          <w:sz w:val="23"/>
          <w:szCs w:val="23"/>
          <w:lang w:eastAsia="en-GB"/>
        </w:rPr>
        <w:t>, including healthcare workers</w:t>
      </w:r>
    </w:p>
    <w:p w14:paraId="1AA7D870" w14:textId="5915F249" w:rsidR="008C08E9" w:rsidRPr="000B73E7" w:rsidRDefault="008C08E9" w:rsidP="008C08E9">
      <w:pPr>
        <w:pStyle w:val="ListParagraph"/>
        <w:numPr>
          <w:ilvl w:val="0"/>
          <w:numId w:val="9"/>
        </w:numPr>
        <w:spacing w:after="160" w:line="259" w:lineRule="auto"/>
        <w:rPr>
          <w:rFonts w:ascii="Arial" w:hAnsi="Arial" w:cs="Arial"/>
          <w:sz w:val="20"/>
          <w:szCs w:val="20"/>
        </w:rPr>
      </w:pPr>
      <w:r w:rsidRPr="000B73E7">
        <w:rPr>
          <w:rFonts w:ascii="Arial" w:hAnsi="Arial" w:cs="Arial"/>
          <w:sz w:val="20"/>
          <w:szCs w:val="20"/>
        </w:rPr>
        <w:t xml:space="preserve">Medium and high-risk contacts as per the </w:t>
      </w:r>
      <w:hyperlink r:id="rId15" w:history="1">
        <w:r w:rsidR="001D100A">
          <w:rPr>
            <w:rStyle w:val="Hyperlink"/>
            <w:rFonts w:ascii="Arial" w:hAnsi="Arial" w:cs="Arial"/>
            <w:sz w:val="20"/>
            <w:szCs w:val="20"/>
          </w:rPr>
          <w:t>current definitions provided by the CDNA Interim guidance for diphtheria outbreak management</w:t>
        </w:r>
      </w:hyperlink>
      <w:r w:rsidR="009F4AE5">
        <w:rPr>
          <w:rFonts w:ascii="Arial" w:hAnsi="Arial" w:cs="Arial"/>
          <w:sz w:val="20"/>
          <w:szCs w:val="20"/>
        </w:rPr>
        <w:t xml:space="preserve"> </w:t>
      </w:r>
      <w:r w:rsidRPr="000B73E7">
        <w:rPr>
          <w:rFonts w:ascii="Arial" w:hAnsi="Arial" w:cs="Arial"/>
          <w:sz w:val="20"/>
          <w:szCs w:val="20"/>
        </w:rPr>
        <w:t>should receive a booster dose if more than 12 months have passed since their last diphtheria-</w:t>
      </w:r>
      <w:r w:rsidR="00685DC2">
        <w:rPr>
          <w:rFonts w:ascii="Arial" w:hAnsi="Arial" w:cs="Arial"/>
          <w:sz w:val="20"/>
          <w:szCs w:val="20"/>
        </w:rPr>
        <w:t xml:space="preserve">toxoid </w:t>
      </w:r>
      <w:r w:rsidRPr="000B73E7">
        <w:rPr>
          <w:rFonts w:ascii="Arial" w:hAnsi="Arial" w:cs="Arial"/>
          <w:sz w:val="20"/>
          <w:szCs w:val="20"/>
        </w:rPr>
        <w:t xml:space="preserve">vaccine (see </w:t>
      </w:r>
      <w:r w:rsidRPr="000B73E7">
        <w:rPr>
          <w:rFonts w:ascii="Arial" w:hAnsi="Arial" w:cs="Arial"/>
          <w:sz w:val="20"/>
          <w:szCs w:val="20"/>
          <w:u w:val="single"/>
        </w:rPr>
        <w:t>Table 1</w:t>
      </w:r>
      <w:r w:rsidRPr="000B73E7">
        <w:rPr>
          <w:rFonts w:ascii="Arial" w:hAnsi="Arial" w:cs="Arial"/>
          <w:sz w:val="20"/>
          <w:szCs w:val="20"/>
        </w:rPr>
        <w:t>).</w:t>
      </w:r>
    </w:p>
    <w:p w14:paraId="3426F2AA" w14:textId="17C15B23" w:rsidR="008C08E9" w:rsidRPr="000B73E7" w:rsidRDefault="008C08E9" w:rsidP="008C08E9">
      <w:pPr>
        <w:pStyle w:val="ListParagraph"/>
        <w:numPr>
          <w:ilvl w:val="0"/>
          <w:numId w:val="9"/>
        </w:numPr>
        <w:spacing w:after="160" w:line="259" w:lineRule="auto"/>
        <w:rPr>
          <w:rFonts w:ascii="Arial" w:hAnsi="Arial" w:cs="Arial"/>
          <w:sz w:val="20"/>
          <w:szCs w:val="20"/>
        </w:rPr>
      </w:pPr>
      <w:r w:rsidRPr="0E3E422E">
        <w:rPr>
          <w:rFonts w:ascii="Arial" w:hAnsi="Arial" w:cs="Arial"/>
          <w:sz w:val="20"/>
          <w:szCs w:val="20"/>
        </w:rPr>
        <w:t xml:space="preserve">Low-risk contacts and </w:t>
      </w:r>
      <w:r w:rsidR="00A13B63">
        <w:rPr>
          <w:rFonts w:ascii="Arial" w:hAnsi="Arial" w:cs="Arial"/>
          <w:sz w:val="20"/>
          <w:szCs w:val="20"/>
        </w:rPr>
        <w:t xml:space="preserve">other </w:t>
      </w:r>
      <w:r w:rsidRPr="0E3E422E">
        <w:rPr>
          <w:rFonts w:ascii="Arial" w:hAnsi="Arial" w:cs="Arial"/>
          <w:sz w:val="20"/>
          <w:szCs w:val="20"/>
        </w:rPr>
        <w:t>people in outbreak settings should be offered a booster if more than 5 years have passed since their last dose.</w:t>
      </w:r>
    </w:p>
    <w:p w14:paraId="55384384" w14:textId="7E48A6AC" w:rsidR="008C08E9" w:rsidRPr="000B73E7" w:rsidRDefault="008C08E9" w:rsidP="008C08E9">
      <w:pPr>
        <w:pStyle w:val="ListParagraph"/>
        <w:numPr>
          <w:ilvl w:val="0"/>
          <w:numId w:val="9"/>
        </w:numPr>
        <w:spacing w:after="160" w:line="259" w:lineRule="auto"/>
        <w:rPr>
          <w:rFonts w:ascii="Arial" w:hAnsi="Arial" w:cs="Arial"/>
          <w:sz w:val="20"/>
          <w:szCs w:val="20"/>
        </w:rPr>
      </w:pPr>
      <w:r w:rsidRPr="0E3E422E">
        <w:rPr>
          <w:rFonts w:ascii="Arial" w:hAnsi="Arial" w:cs="Arial"/>
          <w:sz w:val="20"/>
          <w:szCs w:val="20"/>
        </w:rPr>
        <w:t>Any contact who is unvaccinated or has incomplete vaccination should commence a primary or catch-up vaccination schedule. Serological testing is not recommended</w:t>
      </w:r>
      <w:r w:rsidR="004F01F6">
        <w:rPr>
          <w:rFonts w:ascii="Arial" w:hAnsi="Arial" w:cs="Arial"/>
          <w:sz w:val="20"/>
          <w:szCs w:val="20"/>
        </w:rPr>
        <w:t>, s</w:t>
      </w:r>
      <w:r w:rsidRPr="0E3E422E">
        <w:rPr>
          <w:rFonts w:ascii="Arial" w:hAnsi="Arial" w:cs="Arial"/>
          <w:sz w:val="20"/>
          <w:szCs w:val="20"/>
        </w:rPr>
        <w:t xml:space="preserve">ee </w:t>
      </w:r>
      <w:r w:rsidRPr="0E3E422E">
        <w:rPr>
          <w:rFonts w:ascii="Arial" w:hAnsi="Arial" w:cs="Arial"/>
          <w:i/>
          <w:iCs/>
          <w:sz w:val="20"/>
          <w:szCs w:val="20"/>
        </w:rPr>
        <w:t>Role of serological testing</w:t>
      </w:r>
      <w:r w:rsidRPr="0E3E422E">
        <w:rPr>
          <w:rFonts w:ascii="Arial" w:hAnsi="Arial" w:cs="Arial"/>
          <w:sz w:val="20"/>
          <w:szCs w:val="20"/>
        </w:rPr>
        <w:t xml:space="preserve"> below. </w:t>
      </w:r>
    </w:p>
    <w:p w14:paraId="6A82FE09" w14:textId="2699996A" w:rsidR="008C08E9" w:rsidRPr="00CA350E" w:rsidRDefault="008C08E9" w:rsidP="008C08E9">
      <w:pPr>
        <w:pStyle w:val="ListParagraph"/>
        <w:numPr>
          <w:ilvl w:val="0"/>
          <w:numId w:val="9"/>
        </w:numPr>
        <w:spacing w:after="160" w:line="259" w:lineRule="auto"/>
        <w:rPr>
          <w:rFonts w:ascii="Arial" w:hAnsi="Arial" w:cs="Arial"/>
          <w:sz w:val="20"/>
          <w:szCs w:val="20"/>
        </w:rPr>
      </w:pPr>
      <w:r w:rsidRPr="0E3E422E">
        <w:rPr>
          <w:rFonts w:ascii="Arial" w:hAnsi="Arial" w:cs="Arial"/>
          <w:sz w:val="20"/>
          <w:szCs w:val="20"/>
        </w:rPr>
        <w:t xml:space="preserve">Healthcare workers in outbreak </w:t>
      </w:r>
      <w:r w:rsidRPr="00CA350E">
        <w:rPr>
          <w:rFonts w:ascii="Arial" w:hAnsi="Arial" w:cs="Arial"/>
          <w:sz w:val="20"/>
          <w:szCs w:val="20"/>
        </w:rPr>
        <w:t>settings should actively review their vaccination status and have a booster dose if more than 5 years have passed since their last diphtheria-</w:t>
      </w:r>
      <w:r w:rsidR="00870B82">
        <w:rPr>
          <w:rFonts w:ascii="Arial" w:hAnsi="Arial" w:cs="Arial"/>
          <w:sz w:val="20"/>
          <w:szCs w:val="20"/>
        </w:rPr>
        <w:t xml:space="preserve">toxoid </w:t>
      </w:r>
      <w:r w:rsidRPr="00CA350E">
        <w:rPr>
          <w:rFonts w:ascii="Arial" w:hAnsi="Arial" w:cs="Arial"/>
          <w:sz w:val="20"/>
          <w:szCs w:val="20"/>
        </w:rPr>
        <w:t>vaccine.</w:t>
      </w:r>
    </w:p>
    <w:p w14:paraId="3E588C5E" w14:textId="15CFB0A8" w:rsidR="008C08E9" w:rsidRPr="00CA350E" w:rsidRDefault="008C08E9" w:rsidP="008C08E9">
      <w:pPr>
        <w:pStyle w:val="ListParagraph"/>
        <w:numPr>
          <w:ilvl w:val="1"/>
          <w:numId w:val="9"/>
        </w:numPr>
        <w:spacing w:after="160" w:line="259" w:lineRule="auto"/>
        <w:rPr>
          <w:rFonts w:ascii="Arial" w:hAnsi="Arial" w:cs="Arial"/>
          <w:sz w:val="20"/>
          <w:szCs w:val="20"/>
        </w:rPr>
      </w:pPr>
      <w:r w:rsidRPr="00CA350E">
        <w:rPr>
          <w:rFonts w:ascii="Arial" w:hAnsi="Arial" w:cs="Arial"/>
          <w:sz w:val="20"/>
          <w:szCs w:val="20"/>
        </w:rPr>
        <w:t xml:space="preserve">Those healthcare workers identified as </w:t>
      </w:r>
      <w:hyperlink r:id="rId16" w:history="1">
        <w:r w:rsidRPr="00EB78EC">
          <w:rPr>
            <w:rStyle w:val="Hyperlink"/>
            <w:rFonts w:ascii="Arial" w:hAnsi="Arial" w:cs="Arial"/>
            <w:sz w:val="20"/>
            <w:szCs w:val="20"/>
          </w:rPr>
          <w:t>medium and high-risk contacts</w:t>
        </w:r>
      </w:hyperlink>
      <w:r w:rsidRPr="00CA350E">
        <w:rPr>
          <w:rFonts w:ascii="Arial" w:hAnsi="Arial" w:cs="Arial"/>
          <w:sz w:val="20"/>
          <w:szCs w:val="20"/>
        </w:rPr>
        <w:t>, should receive a booster dose if more than 12 months have passed since their last diphtheria-</w:t>
      </w:r>
      <w:r w:rsidR="00870B82">
        <w:rPr>
          <w:rFonts w:ascii="Arial" w:hAnsi="Arial" w:cs="Arial"/>
          <w:sz w:val="20"/>
          <w:szCs w:val="20"/>
        </w:rPr>
        <w:t xml:space="preserve">toxoid </w:t>
      </w:r>
      <w:r w:rsidRPr="00CA350E">
        <w:rPr>
          <w:rFonts w:ascii="Arial" w:hAnsi="Arial" w:cs="Arial"/>
          <w:sz w:val="20"/>
          <w:szCs w:val="20"/>
        </w:rPr>
        <w:t>vaccine.</w:t>
      </w:r>
    </w:p>
    <w:p w14:paraId="37499DC2" w14:textId="4F8A199A" w:rsidR="008C08E9" w:rsidRPr="000B73E7" w:rsidRDefault="7E53B2DE" w:rsidP="008C08E9">
      <w:pPr>
        <w:pStyle w:val="ListParagraph"/>
        <w:numPr>
          <w:ilvl w:val="0"/>
          <w:numId w:val="9"/>
        </w:numPr>
        <w:spacing w:after="160" w:line="259" w:lineRule="auto"/>
        <w:rPr>
          <w:rFonts w:ascii="Arial" w:hAnsi="Arial" w:cs="Arial"/>
          <w:sz w:val="20"/>
          <w:szCs w:val="20"/>
        </w:rPr>
      </w:pPr>
      <w:r w:rsidRPr="75B774A9">
        <w:rPr>
          <w:rFonts w:ascii="Arial" w:hAnsi="Arial" w:cs="Arial"/>
          <w:sz w:val="20"/>
          <w:szCs w:val="20"/>
        </w:rPr>
        <w:t>T</w:t>
      </w:r>
      <w:r w:rsidR="1B4A4AEB" w:rsidRPr="75B774A9">
        <w:rPr>
          <w:rFonts w:ascii="Arial" w:hAnsi="Arial" w:cs="Arial"/>
          <w:sz w:val="20"/>
          <w:szCs w:val="20"/>
        </w:rPr>
        <w:t xml:space="preserve">ravellers to an outbreak setting, </w:t>
      </w:r>
      <w:r w:rsidR="1B4A4AEB" w:rsidRPr="00DE0379">
        <w:rPr>
          <w:rFonts w:ascii="Arial" w:hAnsi="Arial" w:cs="Arial"/>
          <w:sz w:val="20"/>
          <w:szCs w:val="20"/>
        </w:rPr>
        <w:t>including</w:t>
      </w:r>
      <w:r w:rsidRPr="00DE0379">
        <w:rPr>
          <w:rFonts w:ascii="Arial" w:hAnsi="Arial" w:cs="Arial"/>
          <w:sz w:val="20"/>
          <w:szCs w:val="20"/>
        </w:rPr>
        <w:t xml:space="preserve"> </w:t>
      </w:r>
      <w:hyperlink r:id="rId17" w:anchor="current-status" w:history="1">
        <w:r w:rsidRPr="00DE0379">
          <w:rPr>
            <w:rStyle w:val="Hyperlink"/>
            <w:rFonts w:ascii="Arial" w:hAnsi="Arial" w:cs="Arial"/>
            <w:sz w:val="20"/>
            <w:szCs w:val="20"/>
          </w:rPr>
          <w:t>outbreak settings</w:t>
        </w:r>
        <w:r w:rsidR="1B4A4AEB" w:rsidRPr="00DE0379">
          <w:rPr>
            <w:rStyle w:val="Hyperlink"/>
            <w:rFonts w:ascii="Arial" w:hAnsi="Arial" w:cs="Arial"/>
            <w:sz w:val="20"/>
            <w:szCs w:val="20"/>
          </w:rPr>
          <w:t xml:space="preserve"> in Australia</w:t>
        </w:r>
      </w:hyperlink>
      <w:r w:rsidR="1B4A4AEB" w:rsidRPr="75B774A9">
        <w:rPr>
          <w:rFonts w:ascii="Arial" w:hAnsi="Arial" w:cs="Arial"/>
          <w:sz w:val="20"/>
          <w:szCs w:val="20"/>
        </w:rPr>
        <w:t xml:space="preserve">, </w:t>
      </w:r>
      <w:r w:rsidR="0E846CCC" w:rsidRPr="75B774A9">
        <w:rPr>
          <w:rFonts w:ascii="Arial" w:hAnsi="Arial" w:cs="Arial"/>
          <w:sz w:val="20"/>
          <w:szCs w:val="20"/>
        </w:rPr>
        <w:t xml:space="preserve">should </w:t>
      </w:r>
      <w:r w:rsidR="00D37419" w:rsidRPr="75B774A9">
        <w:rPr>
          <w:rFonts w:ascii="Arial" w:hAnsi="Arial" w:cs="Arial"/>
          <w:sz w:val="20"/>
          <w:szCs w:val="20"/>
        </w:rPr>
        <w:t>receive a</w:t>
      </w:r>
      <w:r w:rsidR="1B4A4AEB" w:rsidRPr="75B774A9">
        <w:rPr>
          <w:rFonts w:ascii="Arial" w:hAnsi="Arial" w:cs="Arial"/>
          <w:sz w:val="20"/>
          <w:szCs w:val="20"/>
        </w:rPr>
        <w:t xml:space="preserve"> booster dose if more than 5 years have passed since their last diphtheria-</w:t>
      </w:r>
      <w:r w:rsidR="00870B82">
        <w:rPr>
          <w:rFonts w:ascii="Arial" w:hAnsi="Arial" w:cs="Arial"/>
          <w:sz w:val="20"/>
          <w:szCs w:val="20"/>
        </w:rPr>
        <w:t xml:space="preserve">toxoid </w:t>
      </w:r>
      <w:r w:rsidR="1B4A4AEB" w:rsidRPr="75B774A9">
        <w:rPr>
          <w:rFonts w:ascii="Arial" w:hAnsi="Arial" w:cs="Arial"/>
          <w:sz w:val="20"/>
          <w:szCs w:val="20"/>
        </w:rPr>
        <w:t>vaccine.</w:t>
      </w:r>
    </w:p>
    <w:p w14:paraId="1E35FD43" w14:textId="1F392C77" w:rsidR="008C08E9" w:rsidRPr="000B73E7" w:rsidRDefault="008C08E9" w:rsidP="008C08E9">
      <w:pPr>
        <w:pStyle w:val="ListParagraph"/>
        <w:numPr>
          <w:ilvl w:val="0"/>
          <w:numId w:val="9"/>
        </w:numPr>
        <w:spacing w:after="160" w:line="259" w:lineRule="auto"/>
        <w:rPr>
          <w:rFonts w:ascii="Arial" w:hAnsi="Arial" w:cs="Arial"/>
          <w:sz w:val="20"/>
          <w:szCs w:val="20"/>
        </w:rPr>
      </w:pPr>
      <w:r w:rsidRPr="397176C6">
        <w:rPr>
          <w:rFonts w:ascii="Arial" w:hAnsi="Arial" w:cs="Arial"/>
          <w:sz w:val="20"/>
          <w:szCs w:val="20"/>
        </w:rPr>
        <w:t xml:space="preserve">When providing a booster dose in the above circumstances, use of a diphtheria-tetanus-pertussis containing vaccine can be considered to </w:t>
      </w:r>
      <w:r w:rsidR="00A10654">
        <w:rPr>
          <w:rFonts w:ascii="Arial" w:hAnsi="Arial" w:cs="Arial"/>
          <w:sz w:val="20"/>
          <w:szCs w:val="20"/>
        </w:rPr>
        <w:t>boost</w:t>
      </w:r>
      <w:r w:rsidRPr="397176C6">
        <w:rPr>
          <w:rFonts w:ascii="Arial" w:hAnsi="Arial" w:cs="Arial"/>
          <w:sz w:val="20"/>
          <w:szCs w:val="20"/>
        </w:rPr>
        <w:t xml:space="preserve"> protection against pertussis.</w:t>
      </w:r>
    </w:p>
    <w:p w14:paraId="1841A864" w14:textId="59C1BC47" w:rsidR="008C08E9" w:rsidRDefault="008C08E9" w:rsidP="008C08E9">
      <w:pPr>
        <w:pStyle w:val="ListParagraph"/>
        <w:numPr>
          <w:ilvl w:val="0"/>
          <w:numId w:val="9"/>
        </w:numPr>
        <w:ind w:left="714" w:hanging="357"/>
        <w:contextualSpacing w:val="0"/>
        <w:rPr>
          <w:rFonts w:ascii="Arial" w:hAnsi="Arial" w:cs="Arial"/>
          <w:sz w:val="20"/>
          <w:szCs w:val="20"/>
        </w:rPr>
      </w:pPr>
      <w:r w:rsidRPr="000B73E7">
        <w:rPr>
          <w:rFonts w:ascii="Arial" w:hAnsi="Arial" w:cs="Arial"/>
          <w:sz w:val="20"/>
          <w:szCs w:val="20"/>
        </w:rPr>
        <w:t>Additional or booster doses of</w:t>
      </w:r>
      <w:r w:rsidR="0079739E">
        <w:rPr>
          <w:rFonts w:ascii="Arial" w:hAnsi="Arial" w:cs="Arial"/>
          <w:sz w:val="20"/>
          <w:szCs w:val="20"/>
        </w:rPr>
        <w:t xml:space="preserve"> diphtheria-tetanus-pertussis</w:t>
      </w:r>
      <w:r w:rsidRPr="000B73E7">
        <w:rPr>
          <w:rFonts w:ascii="Arial" w:hAnsi="Arial" w:cs="Arial"/>
          <w:sz w:val="20"/>
          <w:szCs w:val="20"/>
        </w:rPr>
        <w:t xml:space="preserve"> containing vaccine can be given safely within a shorter timeframe than the timeframes recommended above, such as for pregnancy or if an individual is identified as a high/medium risk contact.</w:t>
      </w:r>
    </w:p>
    <w:p w14:paraId="29E5CEE2" w14:textId="241FA382" w:rsidR="008C08E9" w:rsidRPr="006E1D1B" w:rsidRDefault="085D40E9" w:rsidP="25F8BF06">
      <w:pPr>
        <w:pStyle w:val="paragraph"/>
        <w:numPr>
          <w:ilvl w:val="0"/>
          <w:numId w:val="9"/>
        </w:numPr>
        <w:spacing w:before="0" w:beforeAutospacing="0" w:after="0" w:afterAutospacing="0"/>
        <w:textAlignment w:val="baseline"/>
        <w:rPr>
          <w:rFonts w:ascii="Segoe UI" w:hAnsi="Segoe UI" w:cs="Segoe UI"/>
          <w:sz w:val="18"/>
          <w:szCs w:val="18"/>
        </w:rPr>
      </w:pPr>
      <w:r w:rsidRPr="006E1D1B">
        <w:rPr>
          <w:rStyle w:val="normaltextrun"/>
          <w:rFonts w:ascii="Arial" w:eastAsiaTheme="majorEastAsia" w:hAnsi="Arial" w:cs="Arial"/>
          <w:sz w:val="20"/>
          <w:szCs w:val="20"/>
        </w:rPr>
        <w:t>If a child aged 10 years and older receives a dose of </w:t>
      </w:r>
      <w:proofErr w:type="spellStart"/>
      <w:r w:rsidRPr="006E1D1B">
        <w:rPr>
          <w:rStyle w:val="normaltextrun"/>
          <w:rFonts w:ascii="Arial" w:eastAsiaTheme="majorEastAsia" w:hAnsi="Arial" w:cs="Arial"/>
          <w:sz w:val="20"/>
          <w:szCs w:val="20"/>
        </w:rPr>
        <w:t>dTpa</w:t>
      </w:r>
      <w:proofErr w:type="spellEnd"/>
      <w:r w:rsidRPr="006E1D1B">
        <w:rPr>
          <w:rStyle w:val="normaltextrun"/>
          <w:rFonts w:ascii="Arial" w:eastAsiaTheme="majorEastAsia" w:hAnsi="Arial" w:cs="Arial"/>
          <w:sz w:val="20"/>
          <w:szCs w:val="20"/>
        </w:rPr>
        <w:t> as part of diphtheria outbreak management response, they will not require the routine dose recommended at 11-13 years.  </w:t>
      </w:r>
      <w:r w:rsidRPr="006E1D1B">
        <w:rPr>
          <w:rStyle w:val="eop"/>
          <w:rFonts w:ascii="Arial" w:eastAsiaTheme="majorEastAsia" w:hAnsi="Arial" w:cs="Arial"/>
          <w:sz w:val="20"/>
          <w:szCs w:val="20"/>
        </w:rPr>
        <w:t> </w:t>
      </w:r>
    </w:p>
    <w:p w14:paraId="703E83AC" w14:textId="7860E08F" w:rsidR="008C08E9" w:rsidRPr="006E1D1B" w:rsidRDefault="008C08E9" w:rsidP="25F8BF06">
      <w:pPr>
        <w:pStyle w:val="paragraph"/>
        <w:numPr>
          <w:ilvl w:val="0"/>
          <w:numId w:val="9"/>
        </w:numPr>
        <w:spacing w:before="0" w:beforeAutospacing="0" w:after="0" w:afterAutospacing="0"/>
        <w:textAlignment w:val="baseline"/>
        <w:rPr>
          <w:rFonts w:ascii="Segoe UI" w:hAnsi="Segoe UI" w:cs="Segoe UI"/>
          <w:sz w:val="18"/>
          <w:szCs w:val="18"/>
        </w:rPr>
      </w:pPr>
      <w:r w:rsidRPr="006E1D1B">
        <w:rPr>
          <w:rStyle w:val="normaltextrun"/>
          <w:rFonts w:ascii="Arial" w:eastAsiaTheme="majorEastAsia" w:hAnsi="Arial" w:cs="Arial"/>
          <w:sz w:val="20"/>
          <w:szCs w:val="20"/>
        </w:rPr>
        <w:t xml:space="preserve">If </w:t>
      </w:r>
      <w:r w:rsidRPr="00CC0042">
        <w:rPr>
          <w:rStyle w:val="normaltextrun"/>
          <w:rFonts w:ascii="Arial" w:eastAsiaTheme="majorEastAsia" w:hAnsi="Arial" w:cs="Arial"/>
          <w:sz w:val="20"/>
          <w:szCs w:val="20"/>
        </w:rPr>
        <w:t>a </w:t>
      </w:r>
      <w:proofErr w:type="spellStart"/>
      <w:r w:rsidRPr="00CC0042">
        <w:rPr>
          <w:rStyle w:val="normaltextrun"/>
          <w:rFonts w:ascii="Arial" w:eastAsiaTheme="majorEastAsia" w:hAnsi="Arial" w:cs="Arial"/>
          <w:sz w:val="20"/>
          <w:szCs w:val="20"/>
          <w:u w:val="single"/>
        </w:rPr>
        <w:t>DTPa</w:t>
      </w:r>
      <w:proofErr w:type="spellEnd"/>
      <w:r w:rsidRPr="00CC0042">
        <w:rPr>
          <w:rStyle w:val="normaltextrun"/>
          <w:rFonts w:ascii="Arial" w:eastAsiaTheme="majorEastAsia" w:hAnsi="Arial" w:cs="Arial"/>
          <w:sz w:val="20"/>
          <w:szCs w:val="20"/>
        </w:rPr>
        <w:t> </w:t>
      </w:r>
      <w:r w:rsidRPr="006E1D1B">
        <w:rPr>
          <w:rStyle w:val="normaltextrun"/>
          <w:rFonts w:ascii="Arial" w:eastAsiaTheme="majorEastAsia" w:hAnsi="Arial" w:cs="Arial"/>
          <w:sz w:val="20"/>
          <w:szCs w:val="20"/>
        </w:rPr>
        <w:t>booster is given to a child aged between 5 and </w:t>
      </w:r>
      <w:r w:rsidR="000001EB" w:rsidRPr="006E1D1B">
        <w:rPr>
          <w:rStyle w:val="normaltextrun"/>
          <w:rFonts w:ascii="Arial" w:eastAsiaTheme="majorEastAsia" w:hAnsi="Arial" w:cs="Arial"/>
          <w:sz w:val="20"/>
          <w:szCs w:val="20"/>
        </w:rPr>
        <w:t xml:space="preserve">9 </w:t>
      </w:r>
      <w:r w:rsidRPr="006E1D1B">
        <w:rPr>
          <w:rStyle w:val="normaltextrun"/>
          <w:rFonts w:ascii="Arial" w:eastAsiaTheme="majorEastAsia" w:hAnsi="Arial" w:cs="Arial"/>
          <w:sz w:val="20"/>
          <w:szCs w:val="20"/>
        </w:rPr>
        <w:t>years as part of diphtheria outbreak management response, the routine dose of </w:t>
      </w:r>
      <w:proofErr w:type="spellStart"/>
      <w:r w:rsidRPr="006E1D1B">
        <w:rPr>
          <w:rStyle w:val="normaltextrun"/>
          <w:rFonts w:ascii="Arial" w:eastAsiaTheme="majorEastAsia" w:hAnsi="Arial" w:cs="Arial"/>
          <w:sz w:val="20"/>
          <w:szCs w:val="20"/>
        </w:rPr>
        <w:t>dTpa</w:t>
      </w:r>
      <w:proofErr w:type="spellEnd"/>
      <w:r w:rsidRPr="006E1D1B">
        <w:rPr>
          <w:rStyle w:val="normaltextrun"/>
          <w:rFonts w:ascii="Arial" w:eastAsiaTheme="majorEastAsia" w:hAnsi="Arial" w:cs="Arial"/>
          <w:sz w:val="20"/>
          <w:szCs w:val="20"/>
        </w:rPr>
        <w:t> should be given at age 11–13 years. </w:t>
      </w:r>
      <w:r w:rsidRPr="006E1D1B">
        <w:rPr>
          <w:rStyle w:val="eop"/>
          <w:rFonts w:ascii="Arial" w:eastAsiaTheme="majorEastAsia" w:hAnsi="Arial" w:cs="Arial"/>
          <w:sz w:val="20"/>
          <w:szCs w:val="20"/>
        </w:rPr>
        <w:t> </w:t>
      </w:r>
    </w:p>
    <w:p w14:paraId="294E59F1" w14:textId="77777777" w:rsidR="008C08E9" w:rsidRPr="00BB5211" w:rsidRDefault="008C08E9" w:rsidP="008C08E9">
      <w:pPr>
        <w:pStyle w:val="ListParagraph"/>
        <w:rPr>
          <w:rFonts w:ascii="Arial" w:hAnsi="Arial" w:cs="Arial"/>
          <w:sz w:val="22"/>
          <w:szCs w:val="22"/>
        </w:rPr>
      </w:pPr>
    </w:p>
    <w:p w14:paraId="3DDD4127" w14:textId="77777777" w:rsidR="008C08E9" w:rsidRPr="000B73E7" w:rsidRDefault="085D40E9" w:rsidP="104013E5">
      <w:pPr>
        <w:pStyle w:val="ListParagraph"/>
        <w:rPr>
          <w:rFonts w:ascii="Arial" w:eastAsia="Times New Roman" w:hAnsi="Arial" w:cs="Arial"/>
          <w:b/>
          <w:bCs/>
          <w:color w:val="57259F"/>
          <w:kern w:val="0"/>
          <w:sz w:val="20"/>
          <w:szCs w:val="20"/>
          <w14:ligatures w14:val="none"/>
        </w:rPr>
      </w:pPr>
      <w:r w:rsidRPr="104013E5">
        <w:rPr>
          <w:rFonts w:ascii="Arial" w:eastAsia="Times New Roman" w:hAnsi="Arial" w:cs="Arial"/>
          <w:b/>
          <w:bCs/>
          <w:color w:val="57259F"/>
          <w:kern w:val="0"/>
          <w:sz w:val="20"/>
          <w:szCs w:val="20"/>
          <w14:ligatures w14:val="none"/>
        </w:rPr>
        <w:t xml:space="preserve">Table 1. Vaccination based on </w:t>
      </w:r>
      <w:hyperlink r:id="rId18" w:history="1">
        <w:r w:rsidRPr="0AC9CFED">
          <w:rPr>
            <w:rStyle w:val="Hyperlink"/>
            <w:rFonts w:ascii="Arial" w:eastAsia="Arial" w:hAnsi="Arial" w:cs="Arial"/>
            <w:b/>
            <w:bCs/>
            <w:sz w:val="20"/>
            <w:szCs w:val="20"/>
          </w:rPr>
          <w:t>exposure risk in outbreak settings</w:t>
        </w:r>
      </w:hyperlink>
    </w:p>
    <w:tbl>
      <w:tblPr>
        <w:tblStyle w:val="ListTable3-Accent1"/>
        <w:tblW w:w="0" w:type="auto"/>
        <w:jc w:val="center"/>
        <w:tblLook w:val="04A0" w:firstRow="1" w:lastRow="0" w:firstColumn="1" w:lastColumn="0" w:noHBand="0" w:noVBand="1"/>
      </w:tblPr>
      <w:tblGrid>
        <w:gridCol w:w="1838"/>
        <w:gridCol w:w="3544"/>
        <w:gridCol w:w="3634"/>
      </w:tblGrid>
      <w:tr w:rsidR="008C08E9" w:rsidRPr="00831586" w14:paraId="680096DC" w14:textId="77777777" w:rsidTr="009E7FD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838" w:type="dxa"/>
            <w:shd w:val="clear" w:color="auto" w:fill="7030A0"/>
          </w:tcPr>
          <w:p w14:paraId="6C193D65" w14:textId="77777777" w:rsidR="008C08E9" w:rsidRPr="0015130E" w:rsidRDefault="008C08E9" w:rsidP="009E7FD0">
            <w:pPr>
              <w:pStyle w:val="Tablecolumnheading"/>
              <w:spacing w:before="0" w:after="0"/>
              <w:jc w:val="left"/>
              <w:rPr>
                <w:rFonts w:ascii="Arial" w:hAnsi="Arial" w:cs="Arial"/>
                <w:b/>
                <w:bCs w:val="0"/>
              </w:rPr>
            </w:pPr>
            <w:r w:rsidRPr="0015130E">
              <w:rPr>
                <w:rFonts w:ascii="Arial" w:hAnsi="Arial" w:cs="Arial"/>
                <w:b/>
                <w:bCs w:val="0"/>
              </w:rPr>
              <w:t xml:space="preserve">Contacts </w:t>
            </w:r>
          </w:p>
        </w:tc>
        <w:tc>
          <w:tcPr>
            <w:tcW w:w="3544" w:type="dxa"/>
            <w:shd w:val="clear" w:color="auto" w:fill="7030A0"/>
          </w:tcPr>
          <w:p w14:paraId="1F554FCB" w14:textId="77777777" w:rsidR="008C08E9" w:rsidRPr="0015130E" w:rsidRDefault="008C08E9" w:rsidP="009E7FD0">
            <w:pPr>
              <w:pStyle w:val="Tablecolumnheading"/>
              <w:spacing w:before="0" w:after="0"/>
              <w:jc w:val="left"/>
              <w:cnfStyle w:val="100000000000" w:firstRow="1" w:lastRow="0" w:firstColumn="0" w:lastColumn="0" w:oddVBand="0" w:evenVBand="0" w:oddHBand="0" w:evenHBand="0" w:firstRowFirstColumn="0" w:firstRowLastColumn="0" w:lastRowFirstColumn="0" w:lastRowLastColumn="0"/>
              <w:rPr>
                <w:rFonts w:ascii="Arial" w:hAnsi="Arial" w:cs="Arial"/>
                <w:b/>
              </w:rPr>
            </w:pPr>
            <w:r w:rsidRPr="0E3E422E">
              <w:rPr>
                <w:rFonts w:ascii="Arial" w:hAnsi="Arial" w:cs="Arial"/>
                <w:b/>
              </w:rPr>
              <w:t>Completed childhood and adolescent vaccination course</w:t>
            </w:r>
          </w:p>
        </w:tc>
        <w:tc>
          <w:tcPr>
            <w:tcW w:w="3634" w:type="dxa"/>
            <w:shd w:val="clear" w:color="auto" w:fill="7030A0"/>
          </w:tcPr>
          <w:p w14:paraId="26E2DB37" w14:textId="09A1E5F7" w:rsidR="008C08E9" w:rsidRPr="0015130E" w:rsidRDefault="008C08E9" w:rsidP="009E7FD0">
            <w:pPr>
              <w:pStyle w:val="Tablecolumnheading"/>
              <w:spacing w:before="0" w:after="0"/>
              <w:jc w:val="left"/>
              <w:cnfStyle w:val="100000000000" w:firstRow="1" w:lastRow="0" w:firstColumn="0" w:lastColumn="0" w:oddVBand="0" w:evenVBand="0" w:oddHBand="0" w:evenHBand="0" w:firstRowFirstColumn="0" w:firstRowLastColumn="0" w:lastRowFirstColumn="0" w:lastRowLastColumn="0"/>
              <w:rPr>
                <w:rFonts w:ascii="Arial" w:hAnsi="Arial" w:cs="Arial"/>
                <w:b/>
                <w:bCs w:val="0"/>
              </w:rPr>
            </w:pPr>
            <w:r w:rsidRPr="0015130E">
              <w:rPr>
                <w:rFonts w:ascii="Arial" w:hAnsi="Arial" w:cs="Arial"/>
                <w:b/>
                <w:bCs w:val="0"/>
              </w:rPr>
              <w:t>Unvaccinated</w:t>
            </w:r>
            <w:r w:rsidR="00E83301">
              <w:rPr>
                <w:rFonts w:ascii="Arial" w:hAnsi="Arial" w:cs="Arial"/>
                <w:b/>
                <w:bCs w:val="0"/>
              </w:rPr>
              <w:t xml:space="preserve"> or I</w:t>
            </w:r>
            <w:r w:rsidRPr="0015130E">
              <w:rPr>
                <w:rFonts w:ascii="Arial" w:hAnsi="Arial" w:cs="Arial"/>
                <w:b/>
                <w:bCs w:val="0"/>
              </w:rPr>
              <w:t>ncomplete vaccination</w:t>
            </w:r>
            <w:r w:rsidR="00E83301">
              <w:rPr>
                <w:rFonts w:ascii="Arial" w:hAnsi="Arial" w:cs="Arial"/>
                <w:b/>
                <w:bCs w:val="0"/>
              </w:rPr>
              <w:t xml:space="preserve"> or </w:t>
            </w:r>
            <w:r w:rsidRPr="0015130E">
              <w:rPr>
                <w:rFonts w:ascii="Arial" w:hAnsi="Arial" w:cs="Arial"/>
                <w:b/>
                <w:bCs w:val="0"/>
              </w:rPr>
              <w:t>Vaccination status unknown</w:t>
            </w:r>
          </w:p>
        </w:tc>
      </w:tr>
      <w:tr w:rsidR="008C08E9" w:rsidRPr="00831586" w14:paraId="3B67CC8C" w14:textId="77777777" w:rsidTr="009E7F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79A85381" w14:textId="77777777" w:rsidR="008C08E9" w:rsidRPr="00831586" w:rsidRDefault="008C08E9" w:rsidP="009E7FD0">
            <w:pPr>
              <w:rPr>
                <w:rFonts w:ascii="Arial" w:hAnsi="Arial" w:cs="Arial"/>
                <w:sz w:val="20"/>
                <w:szCs w:val="20"/>
              </w:rPr>
            </w:pPr>
            <w:r w:rsidRPr="00831586">
              <w:rPr>
                <w:rFonts w:ascii="Arial" w:hAnsi="Arial" w:cs="Arial"/>
                <w:sz w:val="20"/>
                <w:szCs w:val="20"/>
              </w:rPr>
              <w:t xml:space="preserve">Low risk </w:t>
            </w:r>
          </w:p>
        </w:tc>
        <w:tc>
          <w:tcPr>
            <w:tcW w:w="3544" w:type="dxa"/>
          </w:tcPr>
          <w:p w14:paraId="4998770C" w14:textId="47CF9B9C" w:rsidR="008C08E9" w:rsidRPr="00831586" w:rsidRDefault="008C08E9" w:rsidP="009E7F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31586">
              <w:rPr>
                <w:rFonts w:ascii="Arial" w:hAnsi="Arial" w:cs="Arial"/>
                <w:sz w:val="20"/>
                <w:szCs w:val="20"/>
              </w:rPr>
              <w:t>Booster dose if more than 5 years have passed since their last diphtheria-toxoid vaccine.</w:t>
            </w:r>
          </w:p>
        </w:tc>
        <w:tc>
          <w:tcPr>
            <w:tcW w:w="3634" w:type="dxa"/>
            <w:vMerge w:val="restart"/>
          </w:tcPr>
          <w:p w14:paraId="791BD282" w14:textId="77777777" w:rsidR="008C08E9" w:rsidRPr="00831586" w:rsidRDefault="008C08E9" w:rsidP="009E7F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31586">
              <w:rPr>
                <w:rFonts w:ascii="Arial" w:hAnsi="Arial" w:cs="Arial"/>
                <w:sz w:val="20"/>
                <w:szCs w:val="20"/>
              </w:rPr>
              <w:t xml:space="preserve">Commence a primary or catch-up vaccination schedule. </w:t>
            </w:r>
            <w:r w:rsidRPr="00831586">
              <w:rPr>
                <w:rFonts w:ascii="Arial" w:hAnsi="Arial" w:cs="Arial"/>
                <w:i/>
                <w:iCs/>
                <w:sz w:val="20"/>
                <w:szCs w:val="20"/>
              </w:rPr>
              <w:t>See serological testing below.</w:t>
            </w:r>
          </w:p>
        </w:tc>
      </w:tr>
      <w:tr w:rsidR="008C08E9" w:rsidRPr="00831586" w14:paraId="11844C0A" w14:textId="77777777" w:rsidTr="009E7FD0">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181EF280" w14:textId="77777777" w:rsidR="008C08E9" w:rsidRPr="00831586" w:rsidRDefault="008C08E9" w:rsidP="009E7FD0">
            <w:pPr>
              <w:rPr>
                <w:rFonts w:ascii="Arial" w:hAnsi="Arial" w:cs="Arial"/>
                <w:sz w:val="20"/>
                <w:szCs w:val="20"/>
              </w:rPr>
            </w:pPr>
            <w:r w:rsidRPr="00831586">
              <w:rPr>
                <w:rFonts w:ascii="Arial" w:hAnsi="Arial" w:cs="Arial"/>
                <w:sz w:val="20"/>
                <w:szCs w:val="20"/>
              </w:rPr>
              <w:t>Medium Risk</w:t>
            </w:r>
          </w:p>
        </w:tc>
        <w:tc>
          <w:tcPr>
            <w:tcW w:w="3544" w:type="dxa"/>
            <w:vMerge w:val="restart"/>
          </w:tcPr>
          <w:p w14:paraId="7649D198" w14:textId="0291852B" w:rsidR="008C08E9" w:rsidRPr="00831586" w:rsidRDefault="008C08E9" w:rsidP="009E7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31586">
              <w:rPr>
                <w:rFonts w:ascii="Arial" w:hAnsi="Arial" w:cs="Arial"/>
                <w:sz w:val="20"/>
                <w:szCs w:val="20"/>
              </w:rPr>
              <w:t>Booster dose if more than 12 months have passed since their last diphtheria-toxoid vaccine</w:t>
            </w:r>
            <w:r w:rsidR="006D1955">
              <w:rPr>
                <w:rFonts w:ascii="Arial" w:hAnsi="Arial" w:cs="Arial"/>
                <w:sz w:val="20"/>
                <w:szCs w:val="20"/>
              </w:rPr>
              <w:t>.</w:t>
            </w:r>
          </w:p>
        </w:tc>
        <w:tc>
          <w:tcPr>
            <w:tcW w:w="3634" w:type="dxa"/>
            <w:vMerge/>
          </w:tcPr>
          <w:p w14:paraId="08FA9DCC" w14:textId="77777777" w:rsidR="008C08E9" w:rsidRPr="00831586" w:rsidRDefault="008C08E9" w:rsidP="009E7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C08E9" w:rsidRPr="00831586" w14:paraId="755A369C" w14:textId="77777777" w:rsidTr="009E7F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1B65E690" w14:textId="77777777" w:rsidR="008C08E9" w:rsidRPr="00831586" w:rsidRDefault="008C08E9" w:rsidP="009E7FD0">
            <w:pPr>
              <w:rPr>
                <w:rFonts w:ascii="Arial" w:hAnsi="Arial" w:cs="Arial"/>
                <w:sz w:val="20"/>
                <w:szCs w:val="20"/>
              </w:rPr>
            </w:pPr>
            <w:r w:rsidRPr="00831586">
              <w:rPr>
                <w:rFonts w:ascii="Arial" w:hAnsi="Arial" w:cs="Arial"/>
                <w:sz w:val="20"/>
                <w:szCs w:val="20"/>
              </w:rPr>
              <w:t>High Risk</w:t>
            </w:r>
          </w:p>
        </w:tc>
        <w:tc>
          <w:tcPr>
            <w:tcW w:w="3544" w:type="dxa"/>
            <w:vMerge/>
          </w:tcPr>
          <w:p w14:paraId="2F4AEE5E" w14:textId="77777777" w:rsidR="008C08E9" w:rsidRPr="00831586" w:rsidRDefault="008C08E9" w:rsidP="009E7F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634" w:type="dxa"/>
            <w:vMerge/>
          </w:tcPr>
          <w:p w14:paraId="68A74DA2" w14:textId="77777777" w:rsidR="008C08E9" w:rsidRPr="00831586" w:rsidRDefault="008C08E9" w:rsidP="009E7FD0">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20EDFB0E" w14:textId="77777777" w:rsidR="008C08E9" w:rsidRPr="009C43CB" w:rsidRDefault="008C08E9" w:rsidP="008C08E9">
      <w:pPr>
        <w:pStyle w:val="ListParagraph"/>
        <w:rPr>
          <w:rFonts w:ascii="Arial" w:hAnsi="Arial" w:cs="Arial"/>
          <w:i/>
          <w:iCs/>
          <w:sz w:val="18"/>
          <w:szCs w:val="18"/>
        </w:rPr>
      </w:pPr>
      <w:r w:rsidRPr="009C43CB">
        <w:rPr>
          <w:rFonts w:ascii="Arial" w:hAnsi="Arial" w:cs="Arial"/>
          <w:i/>
          <w:iCs/>
          <w:sz w:val="18"/>
          <w:szCs w:val="18"/>
        </w:rPr>
        <w:t xml:space="preserve">Further details on recommended primary course vaccination are available in the </w:t>
      </w:r>
      <w:hyperlink r:id="rId19" w:anchor="recommendations" w:history="1">
        <w:r w:rsidRPr="009C43CB">
          <w:rPr>
            <w:rStyle w:val="Hyperlink"/>
            <w:rFonts w:ascii="Arial" w:hAnsi="Arial" w:cs="Arial"/>
            <w:i/>
            <w:iCs/>
            <w:sz w:val="18"/>
            <w:szCs w:val="18"/>
          </w:rPr>
          <w:t>Diphtheria chapter</w:t>
        </w:r>
      </w:hyperlink>
      <w:r w:rsidRPr="009C43CB">
        <w:rPr>
          <w:rFonts w:ascii="Arial" w:hAnsi="Arial" w:cs="Arial"/>
          <w:i/>
          <w:iCs/>
          <w:sz w:val="18"/>
          <w:szCs w:val="18"/>
        </w:rPr>
        <w:t xml:space="preserve"> of the Australian Immunisation Handbook. </w:t>
      </w:r>
    </w:p>
    <w:p w14:paraId="79E51E07" w14:textId="77777777" w:rsidR="004634D6" w:rsidRPr="004634D6" w:rsidRDefault="004634D6" w:rsidP="004634D6">
      <w:pPr>
        <w:pStyle w:val="Heading3"/>
        <w:keepLines w:val="0"/>
        <w:spacing w:before="200" w:after="100" w:line="271" w:lineRule="auto"/>
        <w:rPr>
          <w:rStyle w:val="normaltextrun"/>
          <w:rFonts w:ascii="Arial" w:eastAsia="Times New Roman" w:hAnsi="Arial" w:cs="Arial"/>
          <w:iCs/>
          <w:color w:val="57259F"/>
          <w:spacing w:val="5"/>
          <w:kern w:val="0"/>
          <w:sz w:val="23"/>
          <w:szCs w:val="26"/>
          <w:lang w:eastAsia="en-GB"/>
          <w14:ligatures w14:val="none"/>
        </w:rPr>
      </w:pPr>
      <w:r w:rsidRPr="004634D6">
        <w:rPr>
          <w:rStyle w:val="normaltextrun"/>
          <w:rFonts w:ascii="Arial" w:eastAsia="Times New Roman" w:hAnsi="Arial" w:cs="Arial"/>
          <w:iCs/>
          <w:color w:val="57259F"/>
          <w:spacing w:val="5"/>
          <w:kern w:val="0"/>
          <w:sz w:val="23"/>
          <w:szCs w:val="26"/>
          <w:lang w:eastAsia="en-GB"/>
          <w14:ligatures w14:val="none"/>
        </w:rPr>
        <w:lastRenderedPageBreak/>
        <w:t xml:space="preserve">Individuals at increased risk </w:t>
      </w:r>
    </w:p>
    <w:p w14:paraId="65BDF285" w14:textId="77777777" w:rsidR="004634D6" w:rsidRPr="000B73E7" w:rsidRDefault="004634D6" w:rsidP="004634D6">
      <w:pPr>
        <w:pStyle w:val="ListParagraph"/>
        <w:numPr>
          <w:ilvl w:val="0"/>
          <w:numId w:val="9"/>
        </w:numPr>
        <w:spacing w:after="160" w:line="259" w:lineRule="auto"/>
        <w:rPr>
          <w:rFonts w:ascii="Arial" w:hAnsi="Arial" w:cs="Arial"/>
          <w:sz w:val="20"/>
          <w:szCs w:val="20"/>
        </w:rPr>
      </w:pPr>
      <w:r w:rsidRPr="000B73E7">
        <w:rPr>
          <w:rFonts w:ascii="Arial" w:hAnsi="Arial" w:cs="Arial"/>
          <w:sz w:val="20"/>
          <w:szCs w:val="20"/>
        </w:rPr>
        <w:t>Individuals at increased risk of diphtheria include any person who is nonimmune (under or unvaccinated), particularly young children, as those aged under five years have a significantly higher risk of severe disease and death compared with adults over 20 years of age</w:t>
      </w:r>
      <w:r w:rsidRPr="000B73E7">
        <w:rPr>
          <w:rStyle w:val="EndnoteReference"/>
          <w:rFonts w:ascii="Arial" w:hAnsi="Arial" w:cs="Arial"/>
          <w:sz w:val="20"/>
          <w:szCs w:val="20"/>
        </w:rPr>
        <w:endnoteReference w:id="1"/>
      </w:r>
      <w:r w:rsidRPr="000B73E7">
        <w:rPr>
          <w:rFonts w:ascii="Arial" w:hAnsi="Arial" w:cs="Arial"/>
          <w:sz w:val="20"/>
          <w:szCs w:val="20"/>
        </w:rPr>
        <w:t xml:space="preserve">. </w:t>
      </w:r>
    </w:p>
    <w:p w14:paraId="430DBB72" w14:textId="77777777" w:rsidR="004634D6" w:rsidRPr="000B73E7" w:rsidRDefault="004634D6" w:rsidP="004634D6">
      <w:pPr>
        <w:pStyle w:val="ListParagraph"/>
        <w:numPr>
          <w:ilvl w:val="0"/>
          <w:numId w:val="9"/>
        </w:numPr>
        <w:spacing w:after="160" w:line="259" w:lineRule="auto"/>
        <w:rPr>
          <w:rFonts w:ascii="Arial" w:hAnsi="Arial" w:cs="Arial"/>
          <w:sz w:val="20"/>
          <w:szCs w:val="20"/>
        </w:rPr>
      </w:pPr>
      <w:r w:rsidRPr="000B73E7">
        <w:rPr>
          <w:rFonts w:ascii="Arial" w:hAnsi="Arial" w:cs="Arial"/>
          <w:sz w:val="20"/>
          <w:szCs w:val="20"/>
        </w:rPr>
        <w:t xml:space="preserve">Travellers to and from areas with known diphtheria cases are also at increased risk due to greater likelihood of exposure. </w:t>
      </w:r>
    </w:p>
    <w:p w14:paraId="00DCEA2C" w14:textId="52DFDFF8" w:rsidR="004634D6" w:rsidRPr="000B73E7" w:rsidRDefault="2DF7DFBD" w:rsidP="004634D6">
      <w:pPr>
        <w:pStyle w:val="ListParagraph"/>
        <w:numPr>
          <w:ilvl w:val="0"/>
          <w:numId w:val="9"/>
        </w:numPr>
        <w:spacing w:after="160" w:line="259" w:lineRule="auto"/>
        <w:rPr>
          <w:rFonts w:ascii="Arial" w:hAnsi="Arial" w:cs="Arial"/>
          <w:sz w:val="20"/>
          <w:szCs w:val="20"/>
        </w:rPr>
      </w:pPr>
      <w:r w:rsidRPr="0E3E422E">
        <w:rPr>
          <w:rFonts w:ascii="Arial" w:hAnsi="Arial" w:cs="Arial"/>
          <w:sz w:val="20"/>
          <w:szCs w:val="20"/>
        </w:rPr>
        <w:t>P</w:t>
      </w:r>
      <w:r w:rsidR="004634D6" w:rsidRPr="0E3E422E">
        <w:rPr>
          <w:rFonts w:ascii="Arial" w:hAnsi="Arial" w:cs="Arial"/>
          <w:sz w:val="20"/>
          <w:szCs w:val="20"/>
        </w:rPr>
        <w:t>eople who are immunocompromised may be more vulnerable to infection and complications, underscoring the importance of ensuring adequate protection in these groups.</w:t>
      </w:r>
    </w:p>
    <w:p w14:paraId="361040B9" w14:textId="77777777" w:rsidR="004634D6" w:rsidRPr="000B73E7" w:rsidRDefault="004634D6" w:rsidP="004634D6">
      <w:pPr>
        <w:pStyle w:val="ListParagraph"/>
        <w:numPr>
          <w:ilvl w:val="0"/>
          <w:numId w:val="9"/>
        </w:numPr>
        <w:spacing w:after="160" w:line="259" w:lineRule="auto"/>
        <w:rPr>
          <w:rFonts w:ascii="Arial" w:hAnsi="Arial" w:cs="Arial"/>
          <w:sz w:val="20"/>
          <w:szCs w:val="20"/>
        </w:rPr>
      </w:pPr>
      <w:r w:rsidRPr="0E3E422E">
        <w:rPr>
          <w:rFonts w:ascii="Arial" w:hAnsi="Arial" w:cs="Arial"/>
          <w:sz w:val="20"/>
          <w:szCs w:val="20"/>
        </w:rPr>
        <w:t>Risk is also influenced by where a person lives, with higher vulnerability in communities with lower vaccination coverage, crowded living conditions, limited access to healthcare, or in remote and regional settings where delayed diagnosis and treatment may occur.</w:t>
      </w:r>
    </w:p>
    <w:p w14:paraId="288FCF87" w14:textId="77777777" w:rsidR="004634D6" w:rsidRPr="000B73E7" w:rsidRDefault="004634D6" w:rsidP="00454CCD">
      <w:pPr>
        <w:pStyle w:val="ListParagraph"/>
        <w:numPr>
          <w:ilvl w:val="0"/>
          <w:numId w:val="9"/>
        </w:numPr>
        <w:ind w:left="714" w:hanging="357"/>
        <w:rPr>
          <w:rFonts w:ascii="Arial" w:hAnsi="Arial" w:cs="Arial"/>
          <w:sz w:val="20"/>
          <w:szCs w:val="20"/>
        </w:rPr>
      </w:pPr>
      <w:r w:rsidRPr="000B73E7">
        <w:rPr>
          <w:rFonts w:ascii="Arial" w:hAnsi="Arial" w:cs="Arial"/>
          <w:sz w:val="20"/>
          <w:szCs w:val="20"/>
        </w:rPr>
        <w:t xml:space="preserve">ATAGI notes that the high incidence of respiratory and cutaneous diphtheria observed in Aboriginal and Torres Strait Islander people is closely linked to the above social, economic and geographical factors, rather than individual risk, underscoring the importance of equitable access to culturally safe healthcare and immunisation services. </w:t>
      </w:r>
    </w:p>
    <w:p w14:paraId="7E08C315" w14:textId="7A39F675" w:rsidR="00697BF6" w:rsidRPr="00EB6C89" w:rsidRDefault="00697BF6" w:rsidP="00346C50">
      <w:pPr>
        <w:pStyle w:val="Heading3"/>
        <w:keepLines w:val="0"/>
        <w:spacing w:before="200" w:after="100" w:line="271" w:lineRule="auto"/>
        <w:rPr>
          <w:rStyle w:val="normaltextrun"/>
          <w:rFonts w:ascii="Arial" w:eastAsia="Times New Roman" w:hAnsi="Arial" w:cs="Arial"/>
          <w:color w:val="57259F"/>
          <w:spacing w:val="5"/>
          <w:kern w:val="0"/>
          <w:sz w:val="23"/>
          <w:szCs w:val="23"/>
          <w:lang w:eastAsia="en-GB"/>
          <w14:ligatures w14:val="none"/>
        </w:rPr>
      </w:pPr>
      <w:r w:rsidRPr="009576BA">
        <w:rPr>
          <w:rStyle w:val="normaltextrun"/>
          <w:rFonts w:ascii="Arial" w:eastAsia="Times New Roman" w:hAnsi="Arial" w:cs="Arial"/>
          <w:color w:val="57259F"/>
          <w:spacing w:val="5"/>
          <w:kern w:val="0"/>
          <w:sz w:val="23"/>
          <w:szCs w:val="23"/>
          <w:lang w:eastAsia="en-GB"/>
          <w14:ligatures w14:val="none"/>
        </w:rPr>
        <w:t>Role of serological testing in outbreak settings</w:t>
      </w:r>
    </w:p>
    <w:p w14:paraId="05C5B41A" w14:textId="17AC57B9" w:rsidR="00C133C9" w:rsidRPr="00520F97" w:rsidRDefault="00EF0E6E" w:rsidP="00520F97">
      <w:pPr>
        <w:pStyle w:val="ListParagraph"/>
        <w:numPr>
          <w:ilvl w:val="0"/>
          <w:numId w:val="9"/>
        </w:numPr>
        <w:spacing w:after="160" w:line="259" w:lineRule="auto"/>
        <w:rPr>
          <w:rFonts w:ascii="Arial" w:hAnsi="Arial" w:cs="Arial"/>
          <w:sz w:val="20"/>
          <w:szCs w:val="20"/>
        </w:rPr>
      </w:pPr>
      <w:r w:rsidRPr="397176C6">
        <w:rPr>
          <w:rFonts w:ascii="Arial" w:hAnsi="Arial" w:cs="Arial"/>
          <w:sz w:val="20"/>
          <w:szCs w:val="20"/>
        </w:rPr>
        <w:t xml:space="preserve">Serological testing for diphtheria immunity </w:t>
      </w:r>
      <w:r w:rsidRPr="009F6B7A">
        <w:rPr>
          <w:rFonts w:ascii="Arial" w:hAnsi="Arial" w:cs="Arial"/>
          <w:sz w:val="20"/>
          <w:szCs w:val="20"/>
        </w:rPr>
        <w:t xml:space="preserve">is </w:t>
      </w:r>
      <w:r w:rsidR="5881F02C" w:rsidRPr="009F6B7A">
        <w:rPr>
          <w:rFonts w:ascii="Arial" w:hAnsi="Arial" w:cs="Arial"/>
          <w:sz w:val="20"/>
          <w:szCs w:val="20"/>
        </w:rPr>
        <w:t xml:space="preserve">generally </w:t>
      </w:r>
      <w:r w:rsidRPr="009F6B7A">
        <w:rPr>
          <w:rFonts w:ascii="Arial" w:hAnsi="Arial" w:cs="Arial"/>
          <w:sz w:val="20"/>
          <w:szCs w:val="20"/>
        </w:rPr>
        <w:t>not recommended</w:t>
      </w:r>
      <w:r w:rsidR="00057F84" w:rsidRPr="009F6B7A">
        <w:rPr>
          <w:rFonts w:ascii="Arial" w:hAnsi="Arial" w:cs="Arial"/>
          <w:sz w:val="20"/>
          <w:szCs w:val="20"/>
        </w:rPr>
        <w:t xml:space="preserve">. </w:t>
      </w:r>
      <w:r w:rsidR="00C133C9" w:rsidRPr="009F6B7A">
        <w:rPr>
          <w:rFonts w:ascii="Arial" w:hAnsi="Arial" w:cs="Arial"/>
          <w:sz w:val="20"/>
          <w:szCs w:val="20"/>
        </w:rPr>
        <w:t>I</w:t>
      </w:r>
      <w:r w:rsidR="00C133C9" w:rsidRPr="397176C6">
        <w:rPr>
          <w:rFonts w:ascii="Arial" w:hAnsi="Arial" w:cs="Arial"/>
          <w:sz w:val="20"/>
          <w:szCs w:val="20"/>
        </w:rPr>
        <w:t xml:space="preserve">n routine or outbreak settings, serological testing may delay timely access to vaccination and create additional administrative burden, an issue that is often amplified in remote and regional settings where access to pathology services, follow up, and workforce capacity may be limited. </w:t>
      </w:r>
    </w:p>
    <w:p w14:paraId="5F640A32" w14:textId="423D9DA9" w:rsidR="00EF7B9D" w:rsidRPr="00554085" w:rsidRDefault="008115A8" w:rsidP="00697BF6">
      <w:pPr>
        <w:pStyle w:val="ListParagraph"/>
        <w:numPr>
          <w:ilvl w:val="0"/>
          <w:numId w:val="9"/>
        </w:numPr>
        <w:spacing w:after="160" w:line="259" w:lineRule="auto"/>
        <w:rPr>
          <w:rFonts w:ascii="Arial" w:hAnsi="Arial" w:cs="Arial"/>
          <w:sz w:val="20"/>
          <w:szCs w:val="20"/>
        </w:rPr>
      </w:pPr>
      <w:r w:rsidRPr="6A77D795">
        <w:rPr>
          <w:rFonts w:ascii="Arial" w:hAnsi="Arial" w:cs="Arial"/>
          <w:sz w:val="20"/>
          <w:szCs w:val="20"/>
        </w:rPr>
        <w:t>However, l</w:t>
      </w:r>
      <w:r w:rsidR="00F045D7" w:rsidRPr="6A77D795">
        <w:rPr>
          <w:rFonts w:ascii="Arial" w:hAnsi="Arial" w:cs="Arial"/>
          <w:sz w:val="20"/>
          <w:szCs w:val="20"/>
        </w:rPr>
        <w:t xml:space="preserve">aboratory workers who are exposed to toxigenic </w:t>
      </w:r>
      <w:r w:rsidR="00F63825" w:rsidRPr="6A77D795">
        <w:rPr>
          <w:rFonts w:ascii="Arial" w:hAnsi="Arial" w:cs="Arial"/>
          <w:i/>
          <w:iCs/>
          <w:sz w:val="20"/>
          <w:szCs w:val="20"/>
        </w:rPr>
        <w:t>Corynebacterium diphtheriae</w:t>
      </w:r>
      <w:r w:rsidR="00F63825" w:rsidRPr="6A77D795">
        <w:rPr>
          <w:rFonts w:ascii="Arial" w:hAnsi="Arial" w:cs="Arial"/>
          <w:sz w:val="20"/>
          <w:szCs w:val="20"/>
        </w:rPr>
        <w:t> in their jobs</w:t>
      </w:r>
      <w:r w:rsidR="00554085" w:rsidRPr="6A77D795">
        <w:rPr>
          <w:rFonts w:ascii="Arial" w:hAnsi="Arial" w:cs="Arial"/>
          <w:sz w:val="20"/>
          <w:szCs w:val="20"/>
        </w:rPr>
        <w:t xml:space="preserve"> </w:t>
      </w:r>
      <w:r w:rsidRPr="6A77D795">
        <w:rPr>
          <w:rFonts w:ascii="Arial" w:hAnsi="Arial" w:cs="Arial"/>
          <w:sz w:val="20"/>
          <w:szCs w:val="20"/>
        </w:rPr>
        <w:t xml:space="preserve">are recommended to have serological testing </w:t>
      </w:r>
      <w:r w:rsidR="00D02065" w:rsidRPr="6A77D795">
        <w:rPr>
          <w:rFonts w:ascii="Arial" w:hAnsi="Arial" w:cs="Arial"/>
          <w:sz w:val="20"/>
          <w:szCs w:val="20"/>
        </w:rPr>
        <w:t xml:space="preserve">every 10 years </w:t>
      </w:r>
      <w:r w:rsidR="00554085" w:rsidRPr="6A77D795">
        <w:rPr>
          <w:rFonts w:ascii="Arial" w:hAnsi="Arial" w:cs="Arial"/>
          <w:sz w:val="20"/>
          <w:szCs w:val="20"/>
        </w:rPr>
        <w:t xml:space="preserve">as per advice in the </w:t>
      </w:r>
      <w:hyperlink r:id="rId20" w:history="1">
        <w:r w:rsidR="00554085" w:rsidRPr="6A77D795">
          <w:rPr>
            <w:rStyle w:val="Hyperlink"/>
            <w:rFonts w:ascii="Arial" w:hAnsi="Arial" w:cs="Arial"/>
            <w:sz w:val="20"/>
            <w:szCs w:val="20"/>
          </w:rPr>
          <w:t>Australian Immunisation Handbook</w:t>
        </w:r>
      </w:hyperlink>
      <w:r w:rsidR="00554085" w:rsidRPr="6A77D795">
        <w:rPr>
          <w:rFonts w:ascii="Arial" w:hAnsi="Arial" w:cs="Arial"/>
          <w:sz w:val="20"/>
          <w:szCs w:val="20"/>
        </w:rPr>
        <w:t>.</w:t>
      </w:r>
    </w:p>
    <w:p w14:paraId="3DB6DC44" w14:textId="0F51D675" w:rsidR="00697BF6" w:rsidRPr="00EB6C89" w:rsidRDefault="78499AE1" w:rsidP="00A20D0A">
      <w:pPr>
        <w:pStyle w:val="Heading3"/>
        <w:keepLines w:val="0"/>
        <w:spacing w:before="200" w:after="100" w:line="271" w:lineRule="auto"/>
        <w:rPr>
          <w:rStyle w:val="normaltextrun"/>
          <w:rFonts w:ascii="Arial" w:eastAsia="Times New Roman" w:hAnsi="Arial" w:cs="Arial"/>
          <w:color w:val="57259F"/>
          <w:sz w:val="23"/>
          <w:szCs w:val="23"/>
          <w:lang w:eastAsia="en-GB"/>
        </w:rPr>
      </w:pPr>
      <w:r w:rsidRPr="6A77D795">
        <w:rPr>
          <w:rStyle w:val="normaltextrun"/>
          <w:rFonts w:ascii="Arial" w:eastAsia="Times New Roman" w:hAnsi="Arial" w:cs="Arial"/>
          <w:color w:val="57259F"/>
          <w:sz w:val="23"/>
          <w:szCs w:val="23"/>
          <w:lang w:eastAsia="en-GB"/>
        </w:rPr>
        <w:t>Further Information</w:t>
      </w:r>
    </w:p>
    <w:p w14:paraId="594C1FE4" w14:textId="403D5056" w:rsidR="008C08E9" w:rsidRPr="000B73E7" w:rsidRDefault="008C08E9" w:rsidP="008C08E9">
      <w:pPr>
        <w:pStyle w:val="ListParagraph"/>
        <w:numPr>
          <w:ilvl w:val="0"/>
          <w:numId w:val="9"/>
        </w:numPr>
        <w:spacing w:after="160" w:line="259" w:lineRule="auto"/>
        <w:rPr>
          <w:rFonts w:ascii="Arial" w:hAnsi="Arial" w:cs="Arial"/>
          <w:sz w:val="20"/>
          <w:szCs w:val="20"/>
        </w:rPr>
      </w:pPr>
      <w:r w:rsidRPr="000B73E7">
        <w:rPr>
          <w:rFonts w:ascii="Arial" w:hAnsi="Arial" w:cs="Arial"/>
          <w:sz w:val="20"/>
          <w:szCs w:val="20"/>
        </w:rPr>
        <w:t>Diphtheria has been rare in Australia since the introduction of effective vaccines in routine childhood immunisation programs, with only sporadic cases reported. Vaccination is an important outbreak control measure, alongside case isolation, antibiotic prophylaxis and other contact management strategies.</w:t>
      </w:r>
    </w:p>
    <w:p w14:paraId="58705980" w14:textId="07D4EB5F" w:rsidR="008C08E9" w:rsidRPr="000B73E7" w:rsidRDefault="00980DBC" w:rsidP="008C08E9">
      <w:pPr>
        <w:pStyle w:val="ListParagraph"/>
        <w:numPr>
          <w:ilvl w:val="0"/>
          <w:numId w:val="9"/>
        </w:numPr>
        <w:spacing w:after="160" w:line="259" w:lineRule="auto"/>
        <w:rPr>
          <w:rFonts w:ascii="Arial" w:hAnsi="Arial" w:cs="Arial"/>
          <w:sz w:val="20"/>
          <w:szCs w:val="20"/>
        </w:rPr>
      </w:pPr>
      <w:r w:rsidRPr="000B73E7">
        <w:rPr>
          <w:rFonts w:ascii="Arial" w:hAnsi="Arial" w:cs="Arial"/>
          <w:sz w:val="20"/>
          <w:szCs w:val="20"/>
        </w:rPr>
        <w:t>Diphtheria</w:t>
      </w:r>
      <w:r>
        <w:rPr>
          <w:rFonts w:ascii="Arial" w:hAnsi="Arial" w:cs="Arial"/>
          <w:sz w:val="20"/>
          <w:szCs w:val="20"/>
        </w:rPr>
        <w:t>-</w:t>
      </w:r>
      <w:r w:rsidR="008C08E9" w:rsidRPr="000B73E7">
        <w:rPr>
          <w:rFonts w:ascii="Arial" w:hAnsi="Arial" w:cs="Arial"/>
          <w:sz w:val="20"/>
          <w:szCs w:val="20"/>
        </w:rPr>
        <w:t>toxoid</w:t>
      </w:r>
      <w:r>
        <w:rPr>
          <w:rFonts w:ascii="Arial" w:hAnsi="Arial" w:cs="Arial"/>
          <w:sz w:val="20"/>
          <w:szCs w:val="20"/>
        </w:rPr>
        <w:t xml:space="preserve"> </w:t>
      </w:r>
      <w:r w:rsidR="008C08E9" w:rsidRPr="000B73E7">
        <w:rPr>
          <w:rFonts w:ascii="Arial" w:hAnsi="Arial" w:cs="Arial"/>
          <w:sz w:val="20"/>
          <w:szCs w:val="20"/>
        </w:rPr>
        <w:t>vaccines prevent symptomatic toxin-mediated disease but do not consistently prevent carriage or transmission. While diphtheria vaccination coverage in children is generally high (up to 97% at 60 months in 2019</w:t>
      </w:r>
      <w:r w:rsidR="008C08E9" w:rsidRPr="000B73E7">
        <w:rPr>
          <w:rFonts w:ascii="Arial" w:hAnsi="Arial" w:cs="Arial"/>
          <w:sz w:val="20"/>
          <w:szCs w:val="20"/>
          <w:vertAlign w:val="superscript"/>
        </w:rPr>
        <w:endnoteReference w:id="2"/>
      </w:r>
      <w:r w:rsidR="008C08E9" w:rsidRPr="000B73E7">
        <w:rPr>
          <w:rFonts w:ascii="Arial" w:hAnsi="Arial" w:cs="Arial"/>
          <w:sz w:val="20"/>
          <w:szCs w:val="20"/>
        </w:rPr>
        <w:t>), a substantial immunity gap exists in older adults, with only around 30% of adults aged 50 years and older up to date for diphtheria vaccination</w:t>
      </w:r>
      <w:r w:rsidR="00AD4CC4">
        <w:rPr>
          <w:rFonts w:ascii="Arial" w:hAnsi="Arial" w:cs="Arial"/>
          <w:sz w:val="20"/>
          <w:szCs w:val="20"/>
        </w:rPr>
        <w:t xml:space="preserve"> (i.e. received a dose of diphtheria-toxoid containing vaccine after the age of 40 years)</w:t>
      </w:r>
      <w:r w:rsidR="008C08E9" w:rsidRPr="000B73E7">
        <w:rPr>
          <w:rFonts w:ascii="Arial" w:hAnsi="Arial" w:cs="Arial"/>
          <w:sz w:val="20"/>
          <w:szCs w:val="20"/>
        </w:rPr>
        <w:t xml:space="preserve"> in 2024</w:t>
      </w:r>
      <w:r w:rsidR="008C08E9" w:rsidRPr="000B73E7">
        <w:rPr>
          <w:rFonts w:ascii="Arial" w:hAnsi="Arial" w:cs="Arial"/>
          <w:sz w:val="20"/>
          <w:szCs w:val="20"/>
          <w:vertAlign w:val="superscript"/>
        </w:rPr>
        <w:endnoteReference w:id="3"/>
      </w:r>
      <w:r w:rsidR="008C08E9" w:rsidRPr="000B73E7">
        <w:rPr>
          <w:rFonts w:ascii="Arial" w:hAnsi="Arial" w:cs="Arial"/>
          <w:sz w:val="20"/>
          <w:szCs w:val="20"/>
        </w:rPr>
        <w:t xml:space="preserve">. An Australian seroprevalence study conducted in 2022 found that approximately 64% of blood donors aged 50 years and over had </w:t>
      </w:r>
      <w:proofErr w:type="spellStart"/>
      <w:r w:rsidR="008C08E9" w:rsidRPr="000B73E7">
        <w:rPr>
          <w:rFonts w:ascii="Arial" w:hAnsi="Arial" w:cs="Arial"/>
          <w:sz w:val="20"/>
          <w:szCs w:val="20"/>
        </w:rPr>
        <w:t>seroprotection</w:t>
      </w:r>
      <w:proofErr w:type="spellEnd"/>
      <w:r w:rsidR="008C08E9" w:rsidRPr="000B73E7">
        <w:rPr>
          <w:rFonts w:ascii="Arial" w:hAnsi="Arial" w:cs="Arial"/>
          <w:sz w:val="20"/>
          <w:szCs w:val="20"/>
        </w:rPr>
        <w:t xml:space="preserve"> against diphtheria</w:t>
      </w:r>
      <w:r w:rsidR="00D21F71">
        <w:rPr>
          <w:rFonts w:ascii="Arial" w:hAnsi="Arial" w:cs="Arial"/>
          <w:sz w:val="20"/>
          <w:szCs w:val="20"/>
        </w:rPr>
        <w:t xml:space="preserve"> </w:t>
      </w:r>
      <w:r w:rsidR="0057582B" w:rsidRPr="00D21F71">
        <w:rPr>
          <w:rFonts w:ascii="Arial" w:hAnsi="Arial" w:cs="Arial"/>
          <w:sz w:val="20"/>
          <w:szCs w:val="20"/>
          <w:vertAlign w:val="superscript"/>
        </w:rPr>
        <w:t>iv</w:t>
      </w:r>
      <w:r w:rsidR="008C08E9" w:rsidRPr="000B73E7">
        <w:rPr>
          <w:rFonts w:ascii="Arial" w:hAnsi="Arial" w:cs="Arial"/>
          <w:sz w:val="20"/>
          <w:szCs w:val="20"/>
        </w:rPr>
        <w:t xml:space="preserve">, indicating higher population immunity than suggested by vaccination status alone, but still suboptimal. </w:t>
      </w:r>
    </w:p>
    <w:p w14:paraId="69265E03" w14:textId="77777777" w:rsidR="008C08E9" w:rsidRPr="00831586" w:rsidRDefault="008C08E9" w:rsidP="008C08E9">
      <w:pPr>
        <w:pStyle w:val="ListParagraph"/>
        <w:numPr>
          <w:ilvl w:val="0"/>
          <w:numId w:val="9"/>
        </w:numPr>
        <w:spacing w:after="160" w:line="259" w:lineRule="auto"/>
        <w:rPr>
          <w:rFonts w:ascii="Arial" w:hAnsi="Arial" w:cs="Arial"/>
          <w:sz w:val="20"/>
          <w:szCs w:val="20"/>
        </w:rPr>
      </w:pPr>
      <w:r w:rsidRPr="0E3E422E">
        <w:rPr>
          <w:rFonts w:ascii="Arial" w:hAnsi="Arial" w:cs="Arial"/>
          <w:sz w:val="20"/>
          <w:szCs w:val="20"/>
        </w:rPr>
        <w:t>ATAGI notes that there is currently a worldwide shortage of diphtheria antitoxin which is used in management of severe cases of respiratory diphtheria, increasing the importance of preventive measures. However, even with adequate antitoxin supply, vaccination is critical to bringing diphtheria outbreaks under control and preventing severe outcomes.</w:t>
      </w:r>
    </w:p>
    <w:p w14:paraId="7FF1831C" w14:textId="77777777" w:rsidR="008C08E9" w:rsidRPr="000B73E7" w:rsidRDefault="008C08E9" w:rsidP="008C08E9">
      <w:pPr>
        <w:pStyle w:val="ListParagraph"/>
        <w:numPr>
          <w:ilvl w:val="0"/>
          <w:numId w:val="9"/>
        </w:numPr>
        <w:spacing w:after="160" w:line="259" w:lineRule="auto"/>
        <w:rPr>
          <w:rFonts w:ascii="Arial" w:hAnsi="Arial" w:cs="Arial"/>
          <w:sz w:val="20"/>
          <w:szCs w:val="20"/>
        </w:rPr>
      </w:pPr>
      <w:r w:rsidRPr="000B73E7">
        <w:rPr>
          <w:rFonts w:ascii="Arial" w:hAnsi="Arial" w:cs="Arial"/>
          <w:sz w:val="20"/>
          <w:szCs w:val="20"/>
        </w:rPr>
        <w:t xml:space="preserve">ATAGI recommends that all people maintain protection against diphtheria as per age-appropriate vaccination recommendations with booster doses in adulthood to maintain protection over time. </w:t>
      </w:r>
    </w:p>
    <w:p w14:paraId="2B2CF92B" w14:textId="3B506DEE" w:rsidR="00697BF6" w:rsidRPr="000B73E7" w:rsidRDefault="00697BF6" w:rsidP="00697BF6">
      <w:pPr>
        <w:pStyle w:val="ListParagraph"/>
        <w:numPr>
          <w:ilvl w:val="0"/>
          <w:numId w:val="9"/>
        </w:numPr>
        <w:spacing w:after="160" w:line="259" w:lineRule="auto"/>
        <w:rPr>
          <w:rFonts w:ascii="Arial" w:hAnsi="Arial" w:cs="Arial"/>
          <w:sz w:val="20"/>
          <w:szCs w:val="20"/>
        </w:rPr>
      </w:pPr>
      <w:r w:rsidRPr="000B73E7">
        <w:rPr>
          <w:rFonts w:ascii="Arial" w:hAnsi="Arial" w:cs="Arial"/>
          <w:sz w:val="20"/>
          <w:szCs w:val="20"/>
        </w:rPr>
        <w:t xml:space="preserve">The </w:t>
      </w:r>
      <w:hyperlink r:id="rId21" w:history="1">
        <w:r w:rsidRPr="00EA0393">
          <w:rPr>
            <w:rStyle w:val="Hyperlink"/>
            <w:rFonts w:ascii="Arial" w:hAnsi="Arial" w:cs="Arial"/>
            <w:sz w:val="20"/>
            <w:szCs w:val="20"/>
          </w:rPr>
          <w:t>National Immunisation Program</w:t>
        </w:r>
      </w:hyperlink>
      <w:r w:rsidRPr="000B73E7">
        <w:rPr>
          <w:rFonts w:ascii="Arial" w:hAnsi="Arial" w:cs="Arial"/>
          <w:sz w:val="20"/>
          <w:szCs w:val="20"/>
        </w:rPr>
        <w:t xml:space="preserve"> (NIP) includes a diphtheria-</w:t>
      </w:r>
      <w:r w:rsidR="00980DBC">
        <w:rPr>
          <w:rFonts w:ascii="Arial" w:hAnsi="Arial" w:cs="Arial"/>
          <w:sz w:val="20"/>
          <w:szCs w:val="20"/>
        </w:rPr>
        <w:t xml:space="preserve"> toxoid </w:t>
      </w:r>
      <w:r w:rsidRPr="000B73E7">
        <w:rPr>
          <w:rFonts w:ascii="Arial" w:hAnsi="Arial" w:cs="Arial"/>
          <w:sz w:val="20"/>
          <w:szCs w:val="20"/>
        </w:rPr>
        <w:t xml:space="preserve">vaccine available for free for: </w:t>
      </w:r>
    </w:p>
    <w:p w14:paraId="775F9FA3" w14:textId="77777777" w:rsidR="00697BF6" w:rsidRPr="000B73E7" w:rsidRDefault="00697BF6" w:rsidP="00697BF6">
      <w:pPr>
        <w:pStyle w:val="ListParagraph"/>
        <w:numPr>
          <w:ilvl w:val="1"/>
          <w:numId w:val="9"/>
        </w:numPr>
        <w:spacing w:after="160" w:line="259" w:lineRule="auto"/>
        <w:rPr>
          <w:rFonts w:ascii="Arial" w:hAnsi="Arial" w:cs="Arial"/>
          <w:sz w:val="20"/>
          <w:szCs w:val="20"/>
        </w:rPr>
      </w:pPr>
      <w:r w:rsidRPr="000B73E7">
        <w:rPr>
          <w:rFonts w:ascii="Arial" w:hAnsi="Arial" w:cs="Arial"/>
          <w:sz w:val="20"/>
          <w:szCs w:val="20"/>
        </w:rPr>
        <w:t xml:space="preserve">A primary course for children with 5 doses at 2, 4, 6, 18 months and 4 years. </w:t>
      </w:r>
    </w:p>
    <w:p w14:paraId="2A7C392F" w14:textId="730C7482" w:rsidR="00697BF6" w:rsidRPr="000B73E7" w:rsidRDefault="00697BF6" w:rsidP="00697BF6">
      <w:pPr>
        <w:pStyle w:val="ListParagraph"/>
        <w:numPr>
          <w:ilvl w:val="1"/>
          <w:numId w:val="9"/>
        </w:numPr>
        <w:spacing w:after="160" w:line="259" w:lineRule="auto"/>
        <w:rPr>
          <w:rFonts w:ascii="Arial" w:hAnsi="Arial" w:cs="Arial"/>
          <w:sz w:val="20"/>
          <w:szCs w:val="20"/>
        </w:rPr>
      </w:pPr>
      <w:r w:rsidRPr="0E3E422E">
        <w:rPr>
          <w:rFonts w:ascii="Arial" w:hAnsi="Arial" w:cs="Arial"/>
          <w:sz w:val="20"/>
          <w:szCs w:val="20"/>
        </w:rPr>
        <w:t xml:space="preserve">A booster dose for </w:t>
      </w:r>
      <w:r w:rsidR="2AC79437" w:rsidRPr="0E3E422E">
        <w:rPr>
          <w:rFonts w:ascii="Arial" w:hAnsi="Arial" w:cs="Arial"/>
          <w:sz w:val="20"/>
          <w:szCs w:val="20"/>
        </w:rPr>
        <w:t>adolesc</w:t>
      </w:r>
      <w:r w:rsidR="004E340C">
        <w:rPr>
          <w:rFonts w:ascii="Arial" w:hAnsi="Arial" w:cs="Arial"/>
          <w:sz w:val="20"/>
          <w:szCs w:val="20"/>
        </w:rPr>
        <w:t>e</w:t>
      </w:r>
      <w:r w:rsidR="2AC79437" w:rsidRPr="0E3E422E">
        <w:rPr>
          <w:rFonts w:ascii="Arial" w:hAnsi="Arial" w:cs="Arial"/>
          <w:sz w:val="20"/>
          <w:szCs w:val="20"/>
        </w:rPr>
        <w:t>nts</w:t>
      </w:r>
      <w:r w:rsidRPr="0E3E422E">
        <w:rPr>
          <w:rFonts w:ascii="Arial" w:hAnsi="Arial" w:cs="Arial"/>
          <w:sz w:val="20"/>
          <w:szCs w:val="20"/>
        </w:rPr>
        <w:t xml:space="preserve"> between 11 and 13 years.</w:t>
      </w:r>
    </w:p>
    <w:p w14:paraId="7AAA9B69" w14:textId="3E60A599" w:rsidR="00697BF6" w:rsidRPr="000B73E7" w:rsidRDefault="00697BF6" w:rsidP="00697BF6">
      <w:pPr>
        <w:pStyle w:val="ListParagraph"/>
        <w:numPr>
          <w:ilvl w:val="1"/>
          <w:numId w:val="9"/>
        </w:numPr>
        <w:spacing w:after="160" w:line="259" w:lineRule="auto"/>
        <w:rPr>
          <w:rFonts w:ascii="Arial" w:hAnsi="Arial" w:cs="Arial"/>
          <w:sz w:val="20"/>
          <w:szCs w:val="20"/>
        </w:rPr>
      </w:pPr>
      <w:r w:rsidRPr="000B73E7">
        <w:rPr>
          <w:rFonts w:ascii="Arial" w:hAnsi="Arial" w:cs="Arial"/>
          <w:sz w:val="20"/>
          <w:szCs w:val="20"/>
        </w:rPr>
        <w:t xml:space="preserve">Catch-up vaccination for children and adolescents </w:t>
      </w:r>
      <w:r w:rsidR="0028281C">
        <w:rPr>
          <w:rFonts w:ascii="Arial" w:hAnsi="Arial" w:cs="Arial"/>
          <w:sz w:val="20"/>
          <w:szCs w:val="20"/>
        </w:rPr>
        <w:t>under</w:t>
      </w:r>
      <w:r w:rsidRPr="000B73E7">
        <w:rPr>
          <w:rFonts w:ascii="Arial" w:hAnsi="Arial" w:cs="Arial"/>
          <w:sz w:val="20"/>
          <w:szCs w:val="20"/>
        </w:rPr>
        <w:t xml:space="preserve"> 20 years of age.</w:t>
      </w:r>
    </w:p>
    <w:p w14:paraId="7E18F517" w14:textId="77777777" w:rsidR="00697BF6" w:rsidRPr="000B73E7" w:rsidRDefault="00697BF6" w:rsidP="00697BF6">
      <w:pPr>
        <w:pStyle w:val="ListParagraph"/>
        <w:numPr>
          <w:ilvl w:val="1"/>
          <w:numId w:val="9"/>
        </w:numPr>
        <w:spacing w:after="160" w:line="259" w:lineRule="auto"/>
        <w:rPr>
          <w:rFonts w:ascii="Arial" w:hAnsi="Arial" w:cs="Arial"/>
          <w:sz w:val="20"/>
          <w:szCs w:val="20"/>
        </w:rPr>
      </w:pPr>
      <w:r w:rsidRPr="000B73E7">
        <w:rPr>
          <w:rFonts w:ascii="Arial" w:hAnsi="Arial" w:cs="Arial"/>
          <w:sz w:val="20"/>
          <w:szCs w:val="20"/>
        </w:rPr>
        <w:t>Women who are pregnant.</w:t>
      </w:r>
    </w:p>
    <w:p w14:paraId="2BADC1D5" w14:textId="256BF4E5" w:rsidR="004634D6" w:rsidRPr="00D21F71" w:rsidRDefault="00697BF6" w:rsidP="00D21F71">
      <w:pPr>
        <w:pStyle w:val="ListParagraph"/>
        <w:numPr>
          <w:ilvl w:val="0"/>
          <w:numId w:val="9"/>
        </w:numPr>
        <w:spacing w:after="160" w:line="259" w:lineRule="auto"/>
        <w:rPr>
          <w:rFonts w:ascii="Arial" w:hAnsi="Arial" w:cs="Arial"/>
          <w:sz w:val="22"/>
          <w:szCs w:val="22"/>
          <w:lang w:eastAsia="en-GB"/>
        </w:rPr>
      </w:pPr>
      <w:r w:rsidRPr="0E3E422E">
        <w:rPr>
          <w:rFonts w:ascii="Arial" w:hAnsi="Arial" w:cs="Arial"/>
          <w:sz w:val="20"/>
          <w:szCs w:val="20"/>
        </w:rPr>
        <w:t>Additional doses for adults, including boosters and catch-up vaccinations, are not available for free on the NIP, but may be available through state and territory programs</w:t>
      </w:r>
      <w:r w:rsidR="10C34536" w:rsidRPr="0E3E422E">
        <w:rPr>
          <w:rFonts w:ascii="Arial" w:hAnsi="Arial" w:cs="Arial"/>
          <w:sz w:val="20"/>
          <w:szCs w:val="20"/>
        </w:rPr>
        <w:t xml:space="preserve"> and can be accessed privately</w:t>
      </w:r>
      <w:r w:rsidRPr="0E3E422E">
        <w:rPr>
          <w:rFonts w:ascii="Arial" w:hAnsi="Arial" w:cs="Arial"/>
          <w:sz w:val="20"/>
          <w:szCs w:val="20"/>
        </w:rPr>
        <w:t>.</w:t>
      </w:r>
    </w:p>
    <w:sectPr w:rsidR="004634D6" w:rsidRPr="00D21F71" w:rsidSect="00EB6C89">
      <w:headerReference w:type="even" r:id="rId22"/>
      <w:footerReference w:type="even" r:id="rId23"/>
      <w:footerReference w:type="default" r:id="rId24"/>
      <w:headerReference w:type="first" r:id="rId25"/>
      <w:footerReference w:type="first" r:id="rId26"/>
      <w:pgSz w:w="11900" w:h="16840"/>
      <w:pgMar w:top="720" w:right="720" w:bottom="720" w:left="720"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DC01" w14:textId="77777777" w:rsidR="009F3C86" w:rsidRDefault="009F3C86" w:rsidP="00D95542">
      <w:r>
        <w:separator/>
      </w:r>
    </w:p>
  </w:endnote>
  <w:endnote w:type="continuationSeparator" w:id="0">
    <w:p w14:paraId="3B9AEEB2" w14:textId="77777777" w:rsidR="009F3C86" w:rsidRDefault="009F3C86" w:rsidP="00D95542">
      <w:r>
        <w:continuationSeparator/>
      </w:r>
    </w:p>
  </w:endnote>
  <w:endnote w:id="1">
    <w:p w14:paraId="643DD42C" w14:textId="55D6A61B" w:rsidR="004634D6" w:rsidRPr="00D21F71" w:rsidRDefault="004634D6" w:rsidP="004634D6">
      <w:pPr>
        <w:pStyle w:val="EndnoteText"/>
        <w:rPr>
          <w:sz w:val="18"/>
          <w:szCs w:val="18"/>
        </w:rPr>
      </w:pPr>
      <w:r w:rsidRPr="00D21F71">
        <w:rPr>
          <w:rStyle w:val="EndnoteReference"/>
          <w:sz w:val="18"/>
          <w:szCs w:val="18"/>
        </w:rPr>
        <w:endnoteRef/>
      </w:r>
      <w:r w:rsidRPr="00D21F71">
        <w:rPr>
          <w:sz w:val="18"/>
          <w:szCs w:val="18"/>
        </w:rPr>
        <w:t xml:space="preserve"> Truelove, SA, Keegan, LT, Moss, WG et al. 2020. Clinical and Epidemiological Aspects of Diphtheria: A Systematic Review and Pooled Analysis. </w:t>
      </w:r>
      <w:r w:rsidRPr="00D21F71">
        <w:rPr>
          <w:i/>
          <w:iCs/>
          <w:sz w:val="18"/>
          <w:szCs w:val="18"/>
        </w:rPr>
        <w:t>Clinical Infectious Diseases</w:t>
      </w:r>
      <w:r w:rsidRPr="00D21F71">
        <w:rPr>
          <w:sz w:val="18"/>
          <w:szCs w:val="18"/>
        </w:rPr>
        <w:t>, 71(1):89-97.</w:t>
      </w:r>
    </w:p>
  </w:endnote>
  <w:endnote w:id="2">
    <w:p w14:paraId="49187383" w14:textId="293D22A2" w:rsidR="0057582B" w:rsidRPr="00D21F71" w:rsidRDefault="008C08E9" w:rsidP="008C08E9">
      <w:pPr>
        <w:pStyle w:val="EndnoteText"/>
        <w:rPr>
          <w:sz w:val="18"/>
          <w:szCs w:val="18"/>
        </w:rPr>
      </w:pPr>
      <w:r w:rsidRPr="00D21F71">
        <w:rPr>
          <w:rStyle w:val="EndnoteReference"/>
          <w:sz w:val="18"/>
          <w:szCs w:val="18"/>
        </w:rPr>
        <w:endnoteRef/>
      </w:r>
      <w:r w:rsidR="0057582B" w:rsidRPr="00D21F71">
        <w:rPr>
          <w:sz w:val="18"/>
          <w:szCs w:val="18"/>
        </w:rPr>
        <w:t xml:space="preserve"> </w:t>
      </w:r>
      <w:r w:rsidRPr="00D21F71">
        <w:rPr>
          <w:sz w:val="18"/>
          <w:szCs w:val="18"/>
        </w:rPr>
        <w:t xml:space="preserve">National Centre for Immunisation, Research and Surveillance (NCIRS). </w:t>
      </w:r>
      <w:hyperlink r:id="rId1" w:history="1">
        <w:r w:rsidRPr="00D21F71">
          <w:rPr>
            <w:rStyle w:val="Hyperlink"/>
            <w:i/>
            <w:iCs/>
            <w:sz w:val="18"/>
            <w:szCs w:val="18"/>
          </w:rPr>
          <w:t>Rare Diseases | Vaccination for Our Mob | NCIRS</w:t>
        </w:r>
      </w:hyperlink>
      <w:r w:rsidRPr="00D21F71">
        <w:rPr>
          <w:sz w:val="18"/>
          <w:szCs w:val="18"/>
        </w:rPr>
        <w:t>. Accessed 2 April 2026</w:t>
      </w:r>
    </w:p>
    <w:p w14:paraId="12D25CD1" w14:textId="342631DA" w:rsidR="00D21F71" w:rsidRPr="00D21F71" w:rsidRDefault="00D21F71" w:rsidP="008C08E9">
      <w:pPr>
        <w:pStyle w:val="EndnoteText"/>
        <w:rPr>
          <w:sz w:val="18"/>
          <w:szCs w:val="18"/>
        </w:rPr>
      </w:pPr>
      <w:r w:rsidRPr="00D21F71">
        <w:rPr>
          <w:sz w:val="18"/>
          <w:szCs w:val="18"/>
          <w:vertAlign w:val="superscript"/>
        </w:rPr>
        <w:t>iii</w:t>
      </w:r>
      <w:r w:rsidRPr="00D21F71">
        <w:rPr>
          <w:sz w:val="18"/>
          <w:szCs w:val="18"/>
        </w:rPr>
        <w:t xml:space="preserve"> </w:t>
      </w:r>
      <w:proofErr w:type="spellStart"/>
      <w:proofErr w:type="gramStart"/>
      <w:r w:rsidRPr="00D21F71">
        <w:rPr>
          <w:sz w:val="18"/>
          <w:szCs w:val="18"/>
        </w:rPr>
        <w:t>Hendry,AJ</w:t>
      </w:r>
      <w:proofErr w:type="spellEnd"/>
      <w:proofErr w:type="gramEnd"/>
      <w:r w:rsidRPr="00D21F71">
        <w:rPr>
          <w:sz w:val="18"/>
          <w:szCs w:val="18"/>
        </w:rPr>
        <w:t xml:space="preserve">, Quinn, HE, </w:t>
      </w:r>
      <w:proofErr w:type="spellStart"/>
      <w:proofErr w:type="gramStart"/>
      <w:r w:rsidRPr="00D21F71">
        <w:rPr>
          <w:sz w:val="18"/>
          <w:szCs w:val="18"/>
        </w:rPr>
        <w:t>Macartnery,K</w:t>
      </w:r>
      <w:proofErr w:type="spellEnd"/>
      <w:proofErr w:type="gramEnd"/>
      <w:r w:rsidRPr="00D21F71">
        <w:rPr>
          <w:sz w:val="18"/>
          <w:szCs w:val="18"/>
        </w:rPr>
        <w:t xml:space="preserve"> &amp; FH Beard. 2024. Tetanus, pertussis and diphtheria vaccination coverage in older adults, Australia 2023: analysis of Australian Immunisation Register data. </w:t>
      </w:r>
      <w:r w:rsidRPr="00D21F71">
        <w:rPr>
          <w:i/>
          <w:iCs/>
          <w:sz w:val="18"/>
          <w:szCs w:val="18"/>
        </w:rPr>
        <w:t>The Medical Journal of Australia</w:t>
      </w:r>
      <w:r w:rsidRPr="00D21F71">
        <w:rPr>
          <w:sz w:val="18"/>
          <w:szCs w:val="18"/>
        </w:rPr>
        <w:t>. 221 (4):224-225</w:t>
      </w:r>
    </w:p>
  </w:endnote>
  <w:endnote w:id="3">
    <w:p w14:paraId="7D3CD845" w14:textId="36B830FF" w:rsidR="008C08E9" w:rsidRPr="00D21F71" w:rsidRDefault="0057582B" w:rsidP="008C08E9">
      <w:pPr>
        <w:pStyle w:val="EndnoteText"/>
        <w:rPr>
          <w:sz w:val="16"/>
          <w:szCs w:val="16"/>
        </w:rPr>
      </w:pPr>
      <w:r w:rsidRPr="00D21F71">
        <w:rPr>
          <w:sz w:val="18"/>
          <w:szCs w:val="18"/>
          <w:vertAlign w:val="superscript"/>
        </w:rPr>
        <w:t xml:space="preserve">iv </w:t>
      </w:r>
      <w:r w:rsidR="008C08E9" w:rsidRPr="00D21F71">
        <w:rPr>
          <w:sz w:val="18"/>
          <w:szCs w:val="18"/>
        </w:rPr>
        <w:t>Hirani, R, Koirala, A, Mowat, Y et. Al. 2025.</w:t>
      </w:r>
      <w:r w:rsidR="008C08E9" w:rsidRPr="00D21F71">
        <w:rPr>
          <w:i/>
          <w:iCs/>
          <w:sz w:val="18"/>
          <w:szCs w:val="18"/>
        </w:rPr>
        <w:t xml:space="preserve"> </w:t>
      </w:r>
      <w:r w:rsidR="008C08E9" w:rsidRPr="00D21F71">
        <w:rPr>
          <w:sz w:val="18"/>
          <w:szCs w:val="18"/>
        </w:rPr>
        <w:t xml:space="preserve">Seroprevalence of diphtheria, tetanus and pertussis in Australian blood donors [Abstract]. Joint Blood2025-ISBT 36th Regional Congress, Perth, Australia. </w:t>
      </w:r>
      <w:hyperlink r:id="rId2" w:history="1">
        <w:r w:rsidR="008C08E9" w:rsidRPr="00D21F71">
          <w:rPr>
            <w:rStyle w:val="Hyperlink"/>
            <w:sz w:val="18"/>
            <w:szCs w:val="18"/>
          </w:rPr>
          <w:t>Seroprevalence of diphtheria, tetanus and pertussis in Australian blood donors (abstract #130)</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CC33" w14:textId="34EE1E79" w:rsidR="00D95542" w:rsidRDefault="00D95542">
    <w:pPr>
      <w:pStyle w:val="Footer"/>
    </w:pPr>
    <w:r>
      <w:rPr>
        <w:noProof/>
      </w:rPr>
      <mc:AlternateContent>
        <mc:Choice Requires="wps">
          <w:drawing>
            <wp:anchor distT="0" distB="0" distL="0" distR="0" simplePos="0" relativeHeight="251658241" behindDoc="0" locked="0" layoutInCell="1" allowOverlap="1" wp14:anchorId="2E13DE81" wp14:editId="4B027530">
              <wp:simplePos x="635" y="635"/>
              <wp:positionH relativeFrom="page">
                <wp:align>center</wp:align>
              </wp:positionH>
              <wp:positionV relativeFrom="page">
                <wp:align>bottom</wp:align>
              </wp:positionV>
              <wp:extent cx="551815" cy="376555"/>
              <wp:effectExtent l="0" t="0" r="635" b="0"/>
              <wp:wrapNone/>
              <wp:docPr id="194367759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6F3819" w14:textId="4EC7E442" w:rsidR="00D95542" w:rsidRPr="00D95542" w:rsidRDefault="00D95542" w:rsidP="00D95542">
                          <w:pPr>
                            <w:rPr>
                              <w:rFonts w:ascii="Calibri" w:eastAsia="Calibri" w:hAnsi="Calibri" w:cs="Calibri"/>
                              <w:noProof/>
                              <w:color w:val="FF0000"/>
                            </w:rPr>
                          </w:pPr>
                          <w:r w:rsidRPr="00D9554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3DE81" id="_x0000_t202" coordsize="21600,21600" o:spt="202" path="m,l,21600r21600,l21600,xe">
              <v:stroke joinstyle="miter"/>
              <v:path gradientshapeok="t" o:connecttype="rect"/>
            </v:shapetype>
            <v:shape id="Text Box 9"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1D6F3819" w14:textId="4EC7E442" w:rsidR="00D95542" w:rsidRPr="00D95542" w:rsidRDefault="00D95542" w:rsidP="00D95542">
                    <w:pPr>
                      <w:rPr>
                        <w:rFonts w:ascii="Calibri" w:eastAsia="Calibri" w:hAnsi="Calibri" w:cs="Calibri"/>
                        <w:noProof/>
                        <w:color w:val="FF0000"/>
                      </w:rPr>
                    </w:pPr>
                    <w:r w:rsidRPr="00D95542">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0342" w14:textId="6DC8CC03" w:rsidR="00D95542" w:rsidRDefault="00D95542">
    <w:pPr>
      <w:pStyle w:val="Footer"/>
    </w:pPr>
    <w:r>
      <w:rPr>
        <w:noProof/>
      </w:rPr>
      <mc:AlternateContent>
        <mc:Choice Requires="wps">
          <w:drawing>
            <wp:anchor distT="0" distB="0" distL="0" distR="0" simplePos="0" relativeHeight="251658242" behindDoc="0" locked="0" layoutInCell="1" allowOverlap="1" wp14:anchorId="4B4793DD" wp14:editId="2DDA3721">
              <wp:simplePos x="635" y="635"/>
              <wp:positionH relativeFrom="page">
                <wp:align>center</wp:align>
              </wp:positionH>
              <wp:positionV relativeFrom="page">
                <wp:align>bottom</wp:align>
              </wp:positionV>
              <wp:extent cx="551815" cy="376555"/>
              <wp:effectExtent l="0" t="0" r="635" b="0"/>
              <wp:wrapNone/>
              <wp:docPr id="164463382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E85BC70" w14:textId="4B711D80" w:rsidR="00D95542" w:rsidRPr="00D95542" w:rsidRDefault="00D95542" w:rsidP="00D95542">
                          <w:pPr>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4793DD" id="_x0000_t202" coordsize="21600,21600" o:spt="202" path="m,l,21600r21600,l21600,xe">
              <v:stroke joinstyle="miter"/>
              <v:path gradientshapeok="t" o:connecttype="rect"/>
            </v:shapetype>
            <v:shape id="Text Box 10" o:spid="_x0000_s1028"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E85BC70" w14:textId="4B711D80" w:rsidR="00D95542" w:rsidRPr="00D95542" w:rsidRDefault="00D95542" w:rsidP="00D95542">
                    <w:pPr>
                      <w:rPr>
                        <w:rFonts w:ascii="Calibri" w:eastAsia="Calibri" w:hAnsi="Calibri" w:cs="Calibri"/>
                        <w:noProof/>
                        <w:color w:val="FF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C21A" w14:textId="76F1D0A2" w:rsidR="00D95542" w:rsidRDefault="00D95542">
    <w:pPr>
      <w:pStyle w:val="Footer"/>
    </w:pPr>
    <w:r>
      <w:rPr>
        <w:noProof/>
      </w:rPr>
      <mc:AlternateContent>
        <mc:Choice Requires="wps">
          <w:drawing>
            <wp:anchor distT="0" distB="0" distL="0" distR="0" simplePos="0" relativeHeight="251658244" behindDoc="0" locked="0" layoutInCell="1" allowOverlap="1" wp14:anchorId="35DDBD81" wp14:editId="51033395">
              <wp:simplePos x="635" y="635"/>
              <wp:positionH relativeFrom="page">
                <wp:align>center</wp:align>
              </wp:positionH>
              <wp:positionV relativeFrom="page">
                <wp:align>bottom</wp:align>
              </wp:positionV>
              <wp:extent cx="551815" cy="376555"/>
              <wp:effectExtent l="0" t="0" r="635" b="0"/>
              <wp:wrapNone/>
              <wp:docPr id="207868411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F55D84" w14:textId="471142B5" w:rsidR="00D95542" w:rsidRPr="00D95542" w:rsidRDefault="00D95542" w:rsidP="00D95542">
                          <w:pPr>
                            <w:rPr>
                              <w:rFonts w:ascii="Calibri" w:eastAsia="Calibri" w:hAnsi="Calibri" w:cs="Calibri"/>
                              <w:noProof/>
                              <w:color w:val="FF0000"/>
                            </w:rPr>
                          </w:pPr>
                          <w:r w:rsidRPr="00D9554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DBD81" id="_x0000_t202" coordsize="21600,21600" o:spt="202" path="m,l,21600r21600,l21600,xe">
              <v:stroke joinstyle="miter"/>
              <v:path gradientshapeok="t" o:connecttype="rect"/>
            </v:shapetype>
            <v:shape id="Text Box 8" o:spid="_x0000_s1030"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13F55D84" w14:textId="471142B5" w:rsidR="00D95542" w:rsidRPr="00D95542" w:rsidRDefault="00D95542" w:rsidP="00D95542">
                    <w:pPr>
                      <w:rPr>
                        <w:rFonts w:ascii="Calibri" w:eastAsia="Calibri" w:hAnsi="Calibri" w:cs="Calibri"/>
                        <w:noProof/>
                        <w:color w:val="FF0000"/>
                      </w:rPr>
                    </w:pPr>
                    <w:r w:rsidRPr="00D95542">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A1C28" w14:textId="77777777" w:rsidR="009F3C86" w:rsidRDefault="009F3C86" w:rsidP="00D95542">
      <w:r>
        <w:separator/>
      </w:r>
    </w:p>
  </w:footnote>
  <w:footnote w:type="continuationSeparator" w:id="0">
    <w:p w14:paraId="20857397" w14:textId="77777777" w:rsidR="009F3C86" w:rsidRDefault="009F3C86" w:rsidP="00D95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9227" w14:textId="1A070E1B" w:rsidR="00D95542" w:rsidRDefault="00D95542">
    <w:pPr>
      <w:pStyle w:val="Header"/>
    </w:pPr>
    <w:r>
      <w:rPr>
        <w:noProof/>
      </w:rPr>
      <mc:AlternateContent>
        <mc:Choice Requires="wps">
          <w:drawing>
            <wp:anchor distT="0" distB="0" distL="0" distR="0" simplePos="0" relativeHeight="251658240" behindDoc="0" locked="0" layoutInCell="1" allowOverlap="1" wp14:anchorId="1BB4D25D" wp14:editId="53AAF0F5">
              <wp:simplePos x="635" y="635"/>
              <wp:positionH relativeFrom="page">
                <wp:align>center</wp:align>
              </wp:positionH>
              <wp:positionV relativeFrom="page">
                <wp:align>top</wp:align>
              </wp:positionV>
              <wp:extent cx="551815" cy="376555"/>
              <wp:effectExtent l="0" t="0" r="635" b="4445"/>
              <wp:wrapNone/>
              <wp:docPr id="36204492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E1361E" w14:textId="23E615E9" w:rsidR="00D95542" w:rsidRPr="00D95542" w:rsidRDefault="00D95542" w:rsidP="00D95542">
                          <w:pPr>
                            <w:rPr>
                              <w:rFonts w:ascii="Calibri" w:eastAsia="Calibri" w:hAnsi="Calibri" w:cs="Calibri"/>
                              <w:noProof/>
                              <w:color w:val="FF0000"/>
                            </w:rPr>
                          </w:pPr>
                          <w:r w:rsidRPr="00D9554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B4D25D" id="_x0000_t202" coordsize="21600,21600" o:spt="202" path="m,l,21600r21600,l21600,xe">
              <v:stroke joinstyle="miter"/>
              <v:path gradientshapeok="t" o:connecttype="rect"/>
            </v:shapetype>
            <v:shape id="Text Box 6"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DE1361E" w14:textId="23E615E9" w:rsidR="00D95542" w:rsidRPr="00D95542" w:rsidRDefault="00D95542" w:rsidP="00D95542">
                    <w:pPr>
                      <w:rPr>
                        <w:rFonts w:ascii="Calibri" w:eastAsia="Calibri" w:hAnsi="Calibri" w:cs="Calibri"/>
                        <w:noProof/>
                        <w:color w:val="FF0000"/>
                      </w:rPr>
                    </w:pPr>
                    <w:r w:rsidRPr="00D9554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F050" w14:textId="5A9C0C3F" w:rsidR="00D95542" w:rsidRDefault="00D95542">
    <w:pPr>
      <w:pStyle w:val="Header"/>
    </w:pPr>
    <w:r>
      <w:rPr>
        <w:noProof/>
      </w:rPr>
      <mc:AlternateContent>
        <mc:Choice Requires="wps">
          <w:drawing>
            <wp:anchor distT="0" distB="0" distL="0" distR="0" simplePos="0" relativeHeight="251658243" behindDoc="0" locked="0" layoutInCell="1" allowOverlap="1" wp14:anchorId="2F8EA095" wp14:editId="6AD6B50E">
              <wp:simplePos x="635" y="635"/>
              <wp:positionH relativeFrom="page">
                <wp:align>center</wp:align>
              </wp:positionH>
              <wp:positionV relativeFrom="page">
                <wp:align>top</wp:align>
              </wp:positionV>
              <wp:extent cx="551815" cy="376555"/>
              <wp:effectExtent l="0" t="0" r="635" b="4445"/>
              <wp:wrapNone/>
              <wp:docPr id="203684036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141C9B" w14:textId="5D9A464A" w:rsidR="00D95542" w:rsidRPr="00D95542" w:rsidRDefault="00D95542" w:rsidP="00D95542">
                          <w:pPr>
                            <w:rPr>
                              <w:rFonts w:ascii="Calibri" w:eastAsia="Calibri" w:hAnsi="Calibri" w:cs="Calibri"/>
                              <w:noProof/>
                              <w:color w:val="FF0000"/>
                            </w:rPr>
                          </w:pPr>
                          <w:r w:rsidRPr="00D9554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EA095"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4B141C9B" w14:textId="5D9A464A" w:rsidR="00D95542" w:rsidRPr="00D95542" w:rsidRDefault="00D95542" w:rsidP="00D95542">
                    <w:pPr>
                      <w:rPr>
                        <w:rFonts w:ascii="Calibri" w:eastAsia="Calibri" w:hAnsi="Calibri" w:cs="Calibri"/>
                        <w:noProof/>
                        <w:color w:val="FF0000"/>
                      </w:rPr>
                    </w:pPr>
                    <w:r w:rsidRPr="00D95542">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AB2"/>
    <w:multiLevelType w:val="hybridMultilevel"/>
    <w:tmpl w:val="AA9EE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96780"/>
    <w:multiLevelType w:val="hybridMultilevel"/>
    <w:tmpl w:val="7DE2E32A"/>
    <w:lvl w:ilvl="0" w:tplc="C69E2194">
      <w:start w:val="1"/>
      <w:numFmt w:val="bullet"/>
      <w:lvlText w:val=""/>
      <w:lvlJc w:val="left"/>
      <w:pPr>
        <w:ind w:left="589" w:hanging="22"/>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B166BD"/>
    <w:multiLevelType w:val="hybridMultilevel"/>
    <w:tmpl w:val="7AA0D4D6"/>
    <w:lvl w:ilvl="0" w:tplc="30FCB456">
      <w:start w:val="1"/>
      <w:numFmt w:val="decimal"/>
      <w:lvlText w:val="%1."/>
      <w:lvlJc w:val="left"/>
      <w:pPr>
        <w:ind w:left="785" w:hanging="360"/>
      </w:pPr>
      <w:rPr>
        <w:rFonts w:hint="default"/>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535D83"/>
    <w:multiLevelType w:val="hybridMultilevel"/>
    <w:tmpl w:val="7A9AD7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E57028"/>
    <w:multiLevelType w:val="hybridMultilevel"/>
    <w:tmpl w:val="1098EA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113165"/>
    <w:multiLevelType w:val="hybridMultilevel"/>
    <w:tmpl w:val="3C329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9615A0"/>
    <w:multiLevelType w:val="hybridMultilevel"/>
    <w:tmpl w:val="75D4BC7A"/>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7" w15:restartNumberingAfterBreak="0">
    <w:nsid w:val="376E2B78"/>
    <w:multiLevelType w:val="hybridMultilevel"/>
    <w:tmpl w:val="CAA83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624334"/>
    <w:multiLevelType w:val="hybridMultilevel"/>
    <w:tmpl w:val="D0E6A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F84DA9"/>
    <w:multiLevelType w:val="hybridMultilevel"/>
    <w:tmpl w:val="FF445D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9C55EC6"/>
    <w:multiLevelType w:val="hybridMultilevel"/>
    <w:tmpl w:val="2BF4A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960C77"/>
    <w:multiLevelType w:val="hybridMultilevel"/>
    <w:tmpl w:val="B380C3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17295434">
    <w:abstractNumId w:val="7"/>
  </w:num>
  <w:num w:numId="2" w16cid:durableId="1065446534">
    <w:abstractNumId w:val="2"/>
  </w:num>
  <w:num w:numId="3" w16cid:durableId="837036010">
    <w:abstractNumId w:val="0"/>
  </w:num>
  <w:num w:numId="4" w16cid:durableId="1052123129">
    <w:abstractNumId w:val="8"/>
  </w:num>
  <w:num w:numId="5" w16cid:durableId="1397437623">
    <w:abstractNumId w:val="5"/>
  </w:num>
  <w:num w:numId="6" w16cid:durableId="777680361">
    <w:abstractNumId w:val="6"/>
  </w:num>
  <w:num w:numId="7" w16cid:durableId="1756315772">
    <w:abstractNumId w:val="1"/>
  </w:num>
  <w:num w:numId="8" w16cid:durableId="2048945149">
    <w:abstractNumId w:val="4"/>
  </w:num>
  <w:num w:numId="9" w16cid:durableId="2112431591">
    <w:abstractNumId w:val="9"/>
  </w:num>
  <w:num w:numId="10" w16cid:durableId="125663102">
    <w:abstractNumId w:val="10"/>
  </w:num>
  <w:num w:numId="11" w16cid:durableId="235743848">
    <w:abstractNumId w:val="3"/>
  </w:num>
  <w:num w:numId="12" w16cid:durableId="1529924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472"/>
    <w:rsid w:val="000001EB"/>
    <w:rsid w:val="000001FC"/>
    <w:rsid w:val="0000167A"/>
    <w:rsid w:val="00003BF7"/>
    <w:rsid w:val="00003CE5"/>
    <w:rsid w:val="000044D7"/>
    <w:rsid w:val="00004F3C"/>
    <w:rsid w:val="000062E7"/>
    <w:rsid w:val="00006A6A"/>
    <w:rsid w:val="00006E04"/>
    <w:rsid w:val="00010C94"/>
    <w:rsid w:val="000111DB"/>
    <w:rsid w:val="000119BF"/>
    <w:rsid w:val="000140B7"/>
    <w:rsid w:val="0002173D"/>
    <w:rsid w:val="00025A89"/>
    <w:rsid w:val="00026EE0"/>
    <w:rsid w:val="000278D4"/>
    <w:rsid w:val="00031969"/>
    <w:rsid w:val="00032952"/>
    <w:rsid w:val="000348B3"/>
    <w:rsid w:val="0003541E"/>
    <w:rsid w:val="00037C5D"/>
    <w:rsid w:val="00045C5A"/>
    <w:rsid w:val="00045E73"/>
    <w:rsid w:val="000469B9"/>
    <w:rsid w:val="00047BB2"/>
    <w:rsid w:val="00047CCB"/>
    <w:rsid w:val="00051BF8"/>
    <w:rsid w:val="00053630"/>
    <w:rsid w:val="00053671"/>
    <w:rsid w:val="000540F9"/>
    <w:rsid w:val="0005512B"/>
    <w:rsid w:val="00057523"/>
    <w:rsid w:val="00057581"/>
    <w:rsid w:val="00057F84"/>
    <w:rsid w:val="00065A49"/>
    <w:rsid w:val="000663C0"/>
    <w:rsid w:val="00066565"/>
    <w:rsid w:val="00070985"/>
    <w:rsid w:val="00071576"/>
    <w:rsid w:val="00073AEA"/>
    <w:rsid w:val="000763D2"/>
    <w:rsid w:val="00081024"/>
    <w:rsid w:val="00081F57"/>
    <w:rsid w:val="00083F79"/>
    <w:rsid w:val="000866EE"/>
    <w:rsid w:val="00091CE4"/>
    <w:rsid w:val="00092F11"/>
    <w:rsid w:val="00096F77"/>
    <w:rsid w:val="000A20C6"/>
    <w:rsid w:val="000A227F"/>
    <w:rsid w:val="000B27AB"/>
    <w:rsid w:val="000B3E76"/>
    <w:rsid w:val="000B4E4F"/>
    <w:rsid w:val="000B5F69"/>
    <w:rsid w:val="000B73E7"/>
    <w:rsid w:val="000C01DB"/>
    <w:rsid w:val="000C0E30"/>
    <w:rsid w:val="000C7E83"/>
    <w:rsid w:val="000D3887"/>
    <w:rsid w:val="000D467C"/>
    <w:rsid w:val="000D53C9"/>
    <w:rsid w:val="000D7DF8"/>
    <w:rsid w:val="000E17F7"/>
    <w:rsid w:val="000E4B20"/>
    <w:rsid w:val="000E62C5"/>
    <w:rsid w:val="000F1135"/>
    <w:rsid w:val="000F16D8"/>
    <w:rsid w:val="000F1A93"/>
    <w:rsid w:val="000F262A"/>
    <w:rsid w:val="000F2AA8"/>
    <w:rsid w:val="000F4D8F"/>
    <w:rsid w:val="000F6B4D"/>
    <w:rsid w:val="001002B9"/>
    <w:rsid w:val="00101892"/>
    <w:rsid w:val="00106928"/>
    <w:rsid w:val="0011055F"/>
    <w:rsid w:val="00112724"/>
    <w:rsid w:val="00113633"/>
    <w:rsid w:val="00113E29"/>
    <w:rsid w:val="00115153"/>
    <w:rsid w:val="00116330"/>
    <w:rsid w:val="00123280"/>
    <w:rsid w:val="001240E9"/>
    <w:rsid w:val="00125AFC"/>
    <w:rsid w:val="00136214"/>
    <w:rsid w:val="0014108B"/>
    <w:rsid w:val="00141432"/>
    <w:rsid w:val="00141E70"/>
    <w:rsid w:val="0015130E"/>
    <w:rsid w:val="00152CA6"/>
    <w:rsid w:val="00153AA4"/>
    <w:rsid w:val="00154649"/>
    <w:rsid w:val="0015545B"/>
    <w:rsid w:val="00162CCF"/>
    <w:rsid w:val="00163560"/>
    <w:rsid w:val="0017083A"/>
    <w:rsid w:val="00183287"/>
    <w:rsid w:val="001860F9"/>
    <w:rsid w:val="001932D1"/>
    <w:rsid w:val="001935DE"/>
    <w:rsid w:val="001939C3"/>
    <w:rsid w:val="0019421B"/>
    <w:rsid w:val="0019554F"/>
    <w:rsid w:val="0019698C"/>
    <w:rsid w:val="00197F02"/>
    <w:rsid w:val="001A1DC6"/>
    <w:rsid w:val="001A5A5F"/>
    <w:rsid w:val="001A7233"/>
    <w:rsid w:val="001B05C7"/>
    <w:rsid w:val="001B0F00"/>
    <w:rsid w:val="001B1C9D"/>
    <w:rsid w:val="001C0646"/>
    <w:rsid w:val="001C30CF"/>
    <w:rsid w:val="001C5524"/>
    <w:rsid w:val="001C7EED"/>
    <w:rsid w:val="001D100A"/>
    <w:rsid w:val="001D199B"/>
    <w:rsid w:val="001D24A9"/>
    <w:rsid w:val="001D4244"/>
    <w:rsid w:val="001E1775"/>
    <w:rsid w:val="001E23C0"/>
    <w:rsid w:val="001E4C93"/>
    <w:rsid w:val="001E59E3"/>
    <w:rsid w:val="001E7A45"/>
    <w:rsid w:val="001F0628"/>
    <w:rsid w:val="0020460C"/>
    <w:rsid w:val="00206F23"/>
    <w:rsid w:val="002108AA"/>
    <w:rsid w:val="002153A6"/>
    <w:rsid w:val="002175F0"/>
    <w:rsid w:val="00220EAC"/>
    <w:rsid w:val="00222179"/>
    <w:rsid w:val="0022285A"/>
    <w:rsid w:val="0022649A"/>
    <w:rsid w:val="0022797F"/>
    <w:rsid w:val="00232B81"/>
    <w:rsid w:val="002364AB"/>
    <w:rsid w:val="002438C1"/>
    <w:rsid w:val="00243D7A"/>
    <w:rsid w:val="00245A8D"/>
    <w:rsid w:val="00250C08"/>
    <w:rsid w:val="00255A4B"/>
    <w:rsid w:val="00256052"/>
    <w:rsid w:val="00256600"/>
    <w:rsid w:val="00260ABC"/>
    <w:rsid w:val="00264840"/>
    <w:rsid w:val="002666E9"/>
    <w:rsid w:val="0026696E"/>
    <w:rsid w:val="002669AD"/>
    <w:rsid w:val="002671FC"/>
    <w:rsid w:val="0026741F"/>
    <w:rsid w:val="00272728"/>
    <w:rsid w:val="0028281C"/>
    <w:rsid w:val="00285AA0"/>
    <w:rsid w:val="002935B4"/>
    <w:rsid w:val="00294B02"/>
    <w:rsid w:val="002955DE"/>
    <w:rsid w:val="00297807"/>
    <w:rsid w:val="002A00B9"/>
    <w:rsid w:val="002A5203"/>
    <w:rsid w:val="002B0426"/>
    <w:rsid w:val="002B276A"/>
    <w:rsid w:val="002B2F9D"/>
    <w:rsid w:val="002B4196"/>
    <w:rsid w:val="002B443B"/>
    <w:rsid w:val="002B4468"/>
    <w:rsid w:val="002B52FC"/>
    <w:rsid w:val="002B5959"/>
    <w:rsid w:val="002B7D10"/>
    <w:rsid w:val="002C210A"/>
    <w:rsid w:val="002C3A64"/>
    <w:rsid w:val="002C3DC5"/>
    <w:rsid w:val="002C572F"/>
    <w:rsid w:val="002D0B62"/>
    <w:rsid w:val="002D13B4"/>
    <w:rsid w:val="002D545D"/>
    <w:rsid w:val="002D6A0E"/>
    <w:rsid w:val="002D6C65"/>
    <w:rsid w:val="002E36ED"/>
    <w:rsid w:val="002E37C1"/>
    <w:rsid w:val="002E3AD9"/>
    <w:rsid w:val="002E41AF"/>
    <w:rsid w:val="002E41B5"/>
    <w:rsid w:val="002E691E"/>
    <w:rsid w:val="002F07E6"/>
    <w:rsid w:val="002F0C4E"/>
    <w:rsid w:val="002F24BE"/>
    <w:rsid w:val="002F6C71"/>
    <w:rsid w:val="002F7D3E"/>
    <w:rsid w:val="00304690"/>
    <w:rsid w:val="00305D42"/>
    <w:rsid w:val="00305E4C"/>
    <w:rsid w:val="0030660D"/>
    <w:rsid w:val="003131EB"/>
    <w:rsid w:val="00313A1A"/>
    <w:rsid w:val="00321BDB"/>
    <w:rsid w:val="003341EA"/>
    <w:rsid w:val="0033673D"/>
    <w:rsid w:val="0033706B"/>
    <w:rsid w:val="00346C50"/>
    <w:rsid w:val="00347430"/>
    <w:rsid w:val="0035137A"/>
    <w:rsid w:val="003574B9"/>
    <w:rsid w:val="003621B9"/>
    <w:rsid w:val="00370DC3"/>
    <w:rsid w:val="003776D3"/>
    <w:rsid w:val="00380B3F"/>
    <w:rsid w:val="00380CA5"/>
    <w:rsid w:val="00383F2E"/>
    <w:rsid w:val="003849C4"/>
    <w:rsid w:val="0038599E"/>
    <w:rsid w:val="00390EA3"/>
    <w:rsid w:val="00392760"/>
    <w:rsid w:val="003929F8"/>
    <w:rsid w:val="0039362F"/>
    <w:rsid w:val="003A312D"/>
    <w:rsid w:val="003A3CB9"/>
    <w:rsid w:val="003A438C"/>
    <w:rsid w:val="003A7227"/>
    <w:rsid w:val="003B0199"/>
    <w:rsid w:val="003B1074"/>
    <w:rsid w:val="003B133B"/>
    <w:rsid w:val="003B20D0"/>
    <w:rsid w:val="003B624A"/>
    <w:rsid w:val="003B63DA"/>
    <w:rsid w:val="003B695C"/>
    <w:rsid w:val="003C10D6"/>
    <w:rsid w:val="003C18EB"/>
    <w:rsid w:val="003C2675"/>
    <w:rsid w:val="003C2917"/>
    <w:rsid w:val="003C3E0D"/>
    <w:rsid w:val="003C42A4"/>
    <w:rsid w:val="003C53C8"/>
    <w:rsid w:val="003D0B4B"/>
    <w:rsid w:val="003D22B4"/>
    <w:rsid w:val="003D6D34"/>
    <w:rsid w:val="003E01A3"/>
    <w:rsid w:val="003E38FE"/>
    <w:rsid w:val="003E6CDA"/>
    <w:rsid w:val="003F11B8"/>
    <w:rsid w:val="003F11BF"/>
    <w:rsid w:val="003F1BC5"/>
    <w:rsid w:val="003F2390"/>
    <w:rsid w:val="003F4756"/>
    <w:rsid w:val="003F4EB7"/>
    <w:rsid w:val="00400234"/>
    <w:rsid w:val="004014FD"/>
    <w:rsid w:val="0040268D"/>
    <w:rsid w:val="00402CCE"/>
    <w:rsid w:val="00406717"/>
    <w:rsid w:val="00407D12"/>
    <w:rsid w:val="00410144"/>
    <w:rsid w:val="0041679E"/>
    <w:rsid w:val="004203F4"/>
    <w:rsid w:val="00421739"/>
    <w:rsid w:val="0042310A"/>
    <w:rsid w:val="00423519"/>
    <w:rsid w:val="00425226"/>
    <w:rsid w:val="0042635D"/>
    <w:rsid w:val="00430D15"/>
    <w:rsid w:val="0044405A"/>
    <w:rsid w:val="00447D7F"/>
    <w:rsid w:val="004500D0"/>
    <w:rsid w:val="00453D48"/>
    <w:rsid w:val="00454A04"/>
    <w:rsid w:val="00454CCD"/>
    <w:rsid w:val="00454E60"/>
    <w:rsid w:val="00455328"/>
    <w:rsid w:val="004575E6"/>
    <w:rsid w:val="0046302D"/>
    <w:rsid w:val="004634D6"/>
    <w:rsid w:val="004672CB"/>
    <w:rsid w:val="00470F7F"/>
    <w:rsid w:val="00473FBD"/>
    <w:rsid w:val="004773C1"/>
    <w:rsid w:val="004816E0"/>
    <w:rsid w:val="0048311A"/>
    <w:rsid w:val="004844EF"/>
    <w:rsid w:val="0048643B"/>
    <w:rsid w:val="0048723C"/>
    <w:rsid w:val="00490387"/>
    <w:rsid w:val="0049248B"/>
    <w:rsid w:val="004962D3"/>
    <w:rsid w:val="004A0701"/>
    <w:rsid w:val="004A3633"/>
    <w:rsid w:val="004A3874"/>
    <w:rsid w:val="004A6EC8"/>
    <w:rsid w:val="004B5182"/>
    <w:rsid w:val="004C4B3D"/>
    <w:rsid w:val="004C5E71"/>
    <w:rsid w:val="004D14C2"/>
    <w:rsid w:val="004D258F"/>
    <w:rsid w:val="004D55F9"/>
    <w:rsid w:val="004D5E58"/>
    <w:rsid w:val="004D69FF"/>
    <w:rsid w:val="004E340C"/>
    <w:rsid w:val="004E3423"/>
    <w:rsid w:val="004F01F6"/>
    <w:rsid w:val="004F2433"/>
    <w:rsid w:val="004F2812"/>
    <w:rsid w:val="004F6CA2"/>
    <w:rsid w:val="00510276"/>
    <w:rsid w:val="00511587"/>
    <w:rsid w:val="00514132"/>
    <w:rsid w:val="00514DAA"/>
    <w:rsid w:val="005170AE"/>
    <w:rsid w:val="00520936"/>
    <w:rsid w:val="00520E82"/>
    <w:rsid w:val="00520F97"/>
    <w:rsid w:val="0052748A"/>
    <w:rsid w:val="00531AF7"/>
    <w:rsid w:val="00531B58"/>
    <w:rsid w:val="00532610"/>
    <w:rsid w:val="00532C13"/>
    <w:rsid w:val="00532C44"/>
    <w:rsid w:val="005335C0"/>
    <w:rsid w:val="0053400E"/>
    <w:rsid w:val="00537432"/>
    <w:rsid w:val="0053769C"/>
    <w:rsid w:val="00543ABC"/>
    <w:rsid w:val="00544C5B"/>
    <w:rsid w:val="00545E07"/>
    <w:rsid w:val="005470E9"/>
    <w:rsid w:val="00550F7B"/>
    <w:rsid w:val="00551841"/>
    <w:rsid w:val="005518E8"/>
    <w:rsid w:val="00554085"/>
    <w:rsid w:val="00554E8B"/>
    <w:rsid w:val="0055747E"/>
    <w:rsid w:val="00561776"/>
    <w:rsid w:val="00562E5B"/>
    <w:rsid w:val="00562FDE"/>
    <w:rsid w:val="0056300E"/>
    <w:rsid w:val="00564ACE"/>
    <w:rsid w:val="005671F5"/>
    <w:rsid w:val="005675F7"/>
    <w:rsid w:val="00575423"/>
    <w:rsid w:val="0057582B"/>
    <w:rsid w:val="00577053"/>
    <w:rsid w:val="00577809"/>
    <w:rsid w:val="0057784B"/>
    <w:rsid w:val="005830B1"/>
    <w:rsid w:val="005859A0"/>
    <w:rsid w:val="00585DF0"/>
    <w:rsid w:val="005877CA"/>
    <w:rsid w:val="005938DC"/>
    <w:rsid w:val="00595E0D"/>
    <w:rsid w:val="005B127D"/>
    <w:rsid w:val="005B182D"/>
    <w:rsid w:val="005B25CC"/>
    <w:rsid w:val="005C270F"/>
    <w:rsid w:val="005C47C0"/>
    <w:rsid w:val="005C4DB1"/>
    <w:rsid w:val="005C59A5"/>
    <w:rsid w:val="005D0A6D"/>
    <w:rsid w:val="005D1D99"/>
    <w:rsid w:val="005D2EEC"/>
    <w:rsid w:val="005D350B"/>
    <w:rsid w:val="005E2FF3"/>
    <w:rsid w:val="005E4CF6"/>
    <w:rsid w:val="005E60DD"/>
    <w:rsid w:val="005E6B91"/>
    <w:rsid w:val="005E7897"/>
    <w:rsid w:val="005F09D9"/>
    <w:rsid w:val="005F1EA3"/>
    <w:rsid w:val="005F3185"/>
    <w:rsid w:val="005F530C"/>
    <w:rsid w:val="005F619B"/>
    <w:rsid w:val="005F6897"/>
    <w:rsid w:val="00600EEA"/>
    <w:rsid w:val="00601E2F"/>
    <w:rsid w:val="00602FA3"/>
    <w:rsid w:val="006038F8"/>
    <w:rsid w:val="00604EEA"/>
    <w:rsid w:val="0061301B"/>
    <w:rsid w:val="00613333"/>
    <w:rsid w:val="006136A5"/>
    <w:rsid w:val="00614236"/>
    <w:rsid w:val="006154B1"/>
    <w:rsid w:val="00620AE6"/>
    <w:rsid w:val="00626225"/>
    <w:rsid w:val="00626DAA"/>
    <w:rsid w:val="0063530C"/>
    <w:rsid w:val="00641329"/>
    <w:rsid w:val="00641397"/>
    <w:rsid w:val="00641F83"/>
    <w:rsid w:val="006435F9"/>
    <w:rsid w:val="0064396C"/>
    <w:rsid w:val="00644F1B"/>
    <w:rsid w:val="00645245"/>
    <w:rsid w:val="00651243"/>
    <w:rsid w:val="00660985"/>
    <w:rsid w:val="0066372D"/>
    <w:rsid w:val="00663F6A"/>
    <w:rsid w:val="00664358"/>
    <w:rsid w:val="006677B1"/>
    <w:rsid w:val="0067010B"/>
    <w:rsid w:val="00670AB7"/>
    <w:rsid w:val="0067110F"/>
    <w:rsid w:val="00673496"/>
    <w:rsid w:val="00674599"/>
    <w:rsid w:val="006766DA"/>
    <w:rsid w:val="00682DCE"/>
    <w:rsid w:val="006846F0"/>
    <w:rsid w:val="00685DC2"/>
    <w:rsid w:val="0068606A"/>
    <w:rsid w:val="00696EE3"/>
    <w:rsid w:val="00696F6D"/>
    <w:rsid w:val="00697BF6"/>
    <w:rsid w:val="006A1B4D"/>
    <w:rsid w:val="006A2761"/>
    <w:rsid w:val="006A3AEC"/>
    <w:rsid w:val="006A3C4B"/>
    <w:rsid w:val="006A63A5"/>
    <w:rsid w:val="006B1EA2"/>
    <w:rsid w:val="006B20B1"/>
    <w:rsid w:val="006B38B0"/>
    <w:rsid w:val="006B3D40"/>
    <w:rsid w:val="006B457D"/>
    <w:rsid w:val="006C2595"/>
    <w:rsid w:val="006C5E44"/>
    <w:rsid w:val="006C6C7B"/>
    <w:rsid w:val="006C6FA3"/>
    <w:rsid w:val="006D1955"/>
    <w:rsid w:val="006D1F7E"/>
    <w:rsid w:val="006D1F9B"/>
    <w:rsid w:val="006D3681"/>
    <w:rsid w:val="006D59C8"/>
    <w:rsid w:val="006E1D1B"/>
    <w:rsid w:val="006E644A"/>
    <w:rsid w:val="006F115A"/>
    <w:rsid w:val="006F51E4"/>
    <w:rsid w:val="006F5745"/>
    <w:rsid w:val="006F57E1"/>
    <w:rsid w:val="007002CF"/>
    <w:rsid w:val="00710B9A"/>
    <w:rsid w:val="00712980"/>
    <w:rsid w:val="00715A5B"/>
    <w:rsid w:val="00723CA3"/>
    <w:rsid w:val="0072420A"/>
    <w:rsid w:val="00725C77"/>
    <w:rsid w:val="0072621D"/>
    <w:rsid w:val="00727632"/>
    <w:rsid w:val="0073169A"/>
    <w:rsid w:val="007321E5"/>
    <w:rsid w:val="00736ACE"/>
    <w:rsid w:val="00737D30"/>
    <w:rsid w:val="0074124F"/>
    <w:rsid w:val="00742A90"/>
    <w:rsid w:val="0074353A"/>
    <w:rsid w:val="007471D3"/>
    <w:rsid w:val="00747367"/>
    <w:rsid w:val="00752B43"/>
    <w:rsid w:val="007539B7"/>
    <w:rsid w:val="00754007"/>
    <w:rsid w:val="00755111"/>
    <w:rsid w:val="00757826"/>
    <w:rsid w:val="00761359"/>
    <w:rsid w:val="007618F3"/>
    <w:rsid w:val="00762838"/>
    <w:rsid w:val="007641FB"/>
    <w:rsid w:val="007645C8"/>
    <w:rsid w:val="00770CA1"/>
    <w:rsid w:val="00771FFA"/>
    <w:rsid w:val="00772C94"/>
    <w:rsid w:val="007754BC"/>
    <w:rsid w:val="007758EA"/>
    <w:rsid w:val="007906C9"/>
    <w:rsid w:val="0079153F"/>
    <w:rsid w:val="007918A3"/>
    <w:rsid w:val="00793C41"/>
    <w:rsid w:val="00793E68"/>
    <w:rsid w:val="00793EC5"/>
    <w:rsid w:val="00794732"/>
    <w:rsid w:val="00796104"/>
    <w:rsid w:val="00796482"/>
    <w:rsid w:val="0079739E"/>
    <w:rsid w:val="007A039C"/>
    <w:rsid w:val="007A0EC1"/>
    <w:rsid w:val="007A1484"/>
    <w:rsid w:val="007A2D86"/>
    <w:rsid w:val="007A2EB9"/>
    <w:rsid w:val="007A3461"/>
    <w:rsid w:val="007A48E5"/>
    <w:rsid w:val="007A58FA"/>
    <w:rsid w:val="007A64E4"/>
    <w:rsid w:val="007A7580"/>
    <w:rsid w:val="007B220D"/>
    <w:rsid w:val="007B42C5"/>
    <w:rsid w:val="007B6073"/>
    <w:rsid w:val="007C0CEE"/>
    <w:rsid w:val="007C1B41"/>
    <w:rsid w:val="007C3E92"/>
    <w:rsid w:val="007D19C9"/>
    <w:rsid w:val="007D5BC8"/>
    <w:rsid w:val="007D6B47"/>
    <w:rsid w:val="007E1A14"/>
    <w:rsid w:val="007E31E3"/>
    <w:rsid w:val="007E4887"/>
    <w:rsid w:val="007E53DB"/>
    <w:rsid w:val="007F0462"/>
    <w:rsid w:val="007F1055"/>
    <w:rsid w:val="007F29DE"/>
    <w:rsid w:val="007F3DDA"/>
    <w:rsid w:val="007F5610"/>
    <w:rsid w:val="007F748F"/>
    <w:rsid w:val="008017F1"/>
    <w:rsid w:val="00801ECC"/>
    <w:rsid w:val="008115A8"/>
    <w:rsid w:val="00812310"/>
    <w:rsid w:val="00814681"/>
    <w:rsid w:val="00814BBC"/>
    <w:rsid w:val="008164D3"/>
    <w:rsid w:val="0081694E"/>
    <w:rsid w:val="00816EC5"/>
    <w:rsid w:val="008175D4"/>
    <w:rsid w:val="00821D3E"/>
    <w:rsid w:val="008242B3"/>
    <w:rsid w:val="008247B7"/>
    <w:rsid w:val="00825999"/>
    <w:rsid w:val="00827E75"/>
    <w:rsid w:val="0083036F"/>
    <w:rsid w:val="00831586"/>
    <w:rsid w:val="008353DA"/>
    <w:rsid w:val="008361F3"/>
    <w:rsid w:val="00837D0B"/>
    <w:rsid w:val="00840F69"/>
    <w:rsid w:val="008424BD"/>
    <w:rsid w:val="008433CB"/>
    <w:rsid w:val="00845CB9"/>
    <w:rsid w:val="00852589"/>
    <w:rsid w:val="0085282A"/>
    <w:rsid w:val="00852BB9"/>
    <w:rsid w:val="008613E6"/>
    <w:rsid w:val="0086381D"/>
    <w:rsid w:val="00865DDE"/>
    <w:rsid w:val="0086720E"/>
    <w:rsid w:val="00870B82"/>
    <w:rsid w:val="00872641"/>
    <w:rsid w:val="00873F63"/>
    <w:rsid w:val="00880DC8"/>
    <w:rsid w:val="008836F8"/>
    <w:rsid w:val="008844AB"/>
    <w:rsid w:val="00887D1B"/>
    <w:rsid w:val="008947A3"/>
    <w:rsid w:val="008A18CC"/>
    <w:rsid w:val="008A2EB2"/>
    <w:rsid w:val="008A3158"/>
    <w:rsid w:val="008A328B"/>
    <w:rsid w:val="008B0104"/>
    <w:rsid w:val="008B15DB"/>
    <w:rsid w:val="008B7B00"/>
    <w:rsid w:val="008C08E9"/>
    <w:rsid w:val="008C3772"/>
    <w:rsid w:val="008C38A4"/>
    <w:rsid w:val="008C7714"/>
    <w:rsid w:val="008C7BFA"/>
    <w:rsid w:val="008D5F15"/>
    <w:rsid w:val="008D7B22"/>
    <w:rsid w:val="008E311C"/>
    <w:rsid w:val="008E35CE"/>
    <w:rsid w:val="008E4058"/>
    <w:rsid w:val="008E4F58"/>
    <w:rsid w:val="008E51A6"/>
    <w:rsid w:val="008E5DC0"/>
    <w:rsid w:val="008E6942"/>
    <w:rsid w:val="008E6ACE"/>
    <w:rsid w:val="008F120A"/>
    <w:rsid w:val="008F542E"/>
    <w:rsid w:val="008F5A1A"/>
    <w:rsid w:val="008F77BB"/>
    <w:rsid w:val="00900BFD"/>
    <w:rsid w:val="0090262A"/>
    <w:rsid w:val="00904686"/>
    <w:rsid w:val="00904F94"/>
    <w:rsid w:val="0091069C"/>
    <w:rsid w:val="009128D9"/>
    <w:rsid w:val="00920DD4"/>
    <w:rsid w:val="009227A5"/>
    <w:rsid w:val="00925BF1"/>
    <w:rsid w:val="00925FEC"/>
    <w:rsid w:val="00927F3C"/>
    <w:rsid w:val="009318F8"/>
    <w:rsid w:val="009360D0"/>
    <w:rsid w:val="009418CF"/>
    <w:rsid w:val="0094498B"/>
    <w:rsid w:val="00944D4C"/>
    <w:rsid w:val="009455CF"/>
    <w:rsid w:val="009459A5"/>
    <w:rsid w:val="0095136F"/>
    <w:rsid w:val="00953727"/>
    <w:rsid w:val="00954121"/>
    <w:rsid w:val="00954794"/>
    <w:rsid w:val="00954EC6"/>
    <w:rsid w:val="009550B5"/>
    <w:rsid w:val="009576BA"/>
    <w:rsid w:val="0096157B"/>
    <w:rsid w:val="00964F3D"/>
    <w:rsid w:val="0097113B"/>
    <w:rsid w:val="0097388C"/>
    <w:rsid w:val="00976244"/>
    <w:rsid w:val="00980DBC"/>
    <w:rsid w:val="00980F06"/>
    <w:rsid w:val="00982EFE"/>
    <w:rsid w:val="00983397"/>
    <w:rsid w:val="00983639"/>
    <w:rsid w:val="00985849"/>
    <w:rsid w:val="009871A7"/>
    <w:rsid w:val="00987CC1"/>
    <w:rsid w:val="009925D4"/>
    <w:rsid w:val="009940DA"/>
    <w:rsid w:val="009974A6"/>
    <w:rsid w:val="0099791E"/>
    <w:rsid w:val="009A0F59"/>
    <w:rsid w:val="009A7363"/>
    <w:rsid w:val="009B1B2C"/>
    <w:rsid w:val="009B4022"/>
    <w:rsid w:val="009B484D"/>
    <w:rsid w:val="009B4905"/>
    <w:rsid w:val="009B5C95"/>
    <w:rsid w:val="009B5D6C"/>
    <w:rsid w:val="009C0271"/>
    <w:rsid w:val="009C3EE7"/>
    <w:rsid w:val="009C43CB"/>
    <w:rsid w:val="009D2513"/>
    <w:rsid w:val="009D2BC7"/>
    <w:rsid w:val="009D3780"/>
    <w:rsid w:val="009D7998"/>
    <w:rsid w:val="009E0767"/>
    <w:rsid w:val="009E131E"/>
    <w:rsid w:val="009E40FD"/>
    <w:rsid w:val="009E7D08"/>
    <w:rsid w:val="009E7FD0"/>
    <w:rsid w:val="009F0105"/>
    <w:rsid w:val="009F0108"/>
    <w:rsid w:val="009F3C86"/>
    <w:rsid w:val="009F4AE5"/>
    <w:rsid w:val="009F6B7A"/>
    <w:rsid w:val="00A0380E"/>
    <w:rsid w:val="00A03BC1"/>
    <w:rsid w:val="00A03F52"/>
    <w:rsid w:val="00A06CAC"/>
    <w:rsid w:val="00A100E9"/>
    <w:rsid w:val="00A105F6"/>
    <w:rsid w:val="00A10654"/>
    <w:rsid w:val="00A13B63"/>
    <w:rsid w:val="00A17102"/>
    <w:rsid w:val="00A20D0A"/>
    <w:rsid w:val="00A23D88"/>
    <w:rsid w:val="00A24025"/>
    <w:rsid w:val="00A24173"/>
    <w:rsid w:val="00A25942"/>
    <w:rsid w:val="00A30477"/>
    <w:rsid w:val="00A35941"/>
    <w:rsid w:val="00A35E4C"/>
    <w:rsid w:val="00A36B0C"/>
    <w:rsid w:val="00A40F7C"/>
    <w:rsid w:val="00A44A26"/>
    <w:rsid w:val="00A46641"/>
    <w:rsid w:val="00A50264"/>
    <w:rsid w:val="00A5172D"/>
    <w:rsid w:val="00A55807"/>
    <w:rsid w:val="00A55EBF"/>
    <w:rsid w:val="00A57D7F"/>
    <w:rsid w:val="00A60C0F"/>
    <w:rsid w:val="00A62FDF"/>
    <w:rsid w:val="00A64200"/>
    <w:rsid w:val="00A64764"/>
    <w:rsid w:val="00A66E7D"/>
    <w:rsid w:val="00A717CE"/>
    <w:rsid w:val="00A7330C"/>
    <w:rsid w:val="00A76AF1"/>
    <w:rsid w:val="00A811B4"/>
    <w:rsid w:val="00A82D24"/>
    <w:rsid w:val="00A86416"/>
    <w:rsid w:val="00A921CD"/>
    <w:rsid w:val="00A92EB3"/>
    <w:rsid w:val="00AA0911"/>
    <w:rsid w:val="00AA14AB"/>
    <w:rsid w:val="00AA1748"/>
    <w:rsid w:val="00AA1D5A"/>
    <w:rsid w:val="00AA21E3"/>
    <w:rsid w:val="00AA72C7"/>
    <w:rsid w:val="00AA7303"/>
    <w:rsid w:val="00AB7DDB"/>
    <w:rsid w:val="00AC0CD3"/>
    <w:rsid w:val="00AC0DAF"/>
    <w:rsid w:val="00AC40FC"/>
    <w:rsid w:val="00AD077D"/>
    <w:rsid w:val="00AD1FB6"/>
    <w:rsid w:val="00AD35CD"/>
    <w:rsid w:val="00AD4CC4"/>
    <w:rsid w:val="00AD5168"/>
    <w:rsid w:val="00AD5B6E"/>
    <w:rsid w:val="00AD6EA8"/>
    <w:rsid w:val="00AD6F15"/>
    <w:rsid w:val="00AE02CA"/>
    <w:rsid w:val="00AE5870"/>
    <w:rsid w:val="00AE65B0"/>
    <w:rsid w:val="00AF2135"/>
    <w:rsid w:val="00AF7157"/>
    <w:rsid w:val="00AF7F4F"/>
    <w:rsid w:val="00B0060E"/>
    <w:rsid w:val="00B00BFB"/>
    <w:rsid w:val="00B03C62"/>
    <w:rsid w:val="00B04199"/>
    <w:rsid w:val="00B05E31"/>
    <w:rsid w:val="00B0657B"/>
    <w:rsid w:val="00B0783D"/>
    <w:rsid w:val="00B11082"/>
    <w:rsid w:val="00B11188"/>
    <w:rsid w:val="00B12CAA"/>
    <w:rsid w:val="00B14D2D"/>
    <w:rsid w:val="00B16E19"/>
    <w:rsid w:val="00B20F3C"/>
    <w:rsid w:val="00B2346B"/>
    <w:rsid w:val="00B26551"/>
    <w:rsid w:val="00B27A8F"/>
    <w:rsid w:val="00B27BF6"/>
    <w:rsid w:val="00B313E5"/>
    <w:rsid w:val="00B3236C"/>
    <w:rsid w:val="00B355EE"/>
    <w:rsid w:val="00B359A6"/>
    <w:rsid w:val="00B41FBA"/>
    <w:rsid w:val="00B42721"/>
    <w:rsid w:val="00B42EF4"/>
    <w:rsid w:val="00B54BA7"/>
    <w:rsid w:val="00B556B1"/>
    <w:rsid w:val="00B60D5E"/>
    <w:rsid w:val="00B63BE0"/>
    <w:rsid w:val="00B649FB"/>
    <w:rsid w:val="00B64A57"/>
    <w:rsid w:val="00B658A6"/>
    <w:rsid w:val="00B718DF"/>
    <w:rsid w:val="00B72774"/>
    <w:rsid w:val="00B7437E"/>
    <w:rsid w:val="00B748D1"/>
    <w:rsid w:val="00B76CDD"/>
    <w:rsid w:val="00B816B2"/>
    <w:rsid w:val="00B830AB"/>
    <w:rsid w:val="00B85E31"/>
    <w:rsid w:val="00B875B1"/>
    <w:rsid w:val="00B87D10"/>
    <w:rsid w:val="00B922AA"/>
    <w:rsid w:val="00B928AF"/>
    <w:rsid w:val="00B95376"/>
    <w:rsid w:val="00BA07DE"/>
    <w:rsid w:val="00BA2778"/>
    <w:rsid w:val="00BA4FE5"/>
    <w:rsid w:val="00BA52BE"/>
    <w:rsid w:val="00BA6A00"/>
    <w:rsid w:val="00BB08D1"/>
    <w:rsid w:val="00BB11E0"/>
    <w:rsid w:val="00BB2A0C"/>
    <w:rsid w:val="00BB2B7C"/>
    <w:rsid w:val="00BB32C5"/>
    <w:rsid w:val="00BB4300"/>
    <w:rsid w:val="00BB5211"/>
    <w:rsid w:val="00BB6F96"/>
    <w:rsid w:val="00BB71F8"/>
    <w:rsid w:val="00BC087D"/>
    <w:rsid w:val="00BC0BAD"/>
    <w:rsid w:val="00BC27BE"/>
    <w:rsid w:val="00BC2FF7"/>
    <w:rsid w:val="00BD048C"/>
    <w:rsid w:val="00BD0C0E"/>
    <w:rsid w:val="00BD172F"/>
    <w:rsid w:val="00BD1954"/>
    <w:rsid w:val="00BD2EBD"/>
    <w:rsid w:val="00BD7559"/>
    <w:rsid w:val="00BD78D4"/>
    <w:rsid w:val="00BE187B"/>
    <w:rsid w:val="00BE1D9C"/>
    <w:rsid w:val="00BE4AB5"/>
    <w:rsid w:val="00BF0261"/>
    <w:rsid w:val="00BF1971"/>
    <w:rsid w:val="00BF2A6C"/>
    <w:rsid w:val="00BF61DC"/>
    <w:rsid w:val="00C02305"/>
    <w:rsid w:val="00C036D6"/>
    <w:rsid w:val="00C114B2"/>
    <w:rsid w:val="00C11727"/>
    <w:rsid w:val="00C133C9"/>
    <w:rsid w:val="00C155FE"/>
    <w:rsid w:val="00C15E30"/>
    <w:rsid w:val="00C15F57"/>
    <w:rsid w:val="00C17228"/>
    <w:rsid w:val="00C2060B"/>
    <w:rsid w:val="00C22AD3"/>
    <w:rsid w:val="00C24846"/>
    <w:rsid w:val="00C400F7"/>
    <w:rsid w:val="00C4150E"/>
    <w:rsid w:val="00C43D0E"/>
    <w:rsid w:val="00C442FF"/>
    <w:rsid w:val="00C45737"/>
    <w:rsid w:val="00C50C2F"/>
    <w:rsid w:val="00C53A51"/>
    <w:rsid w:val="00C552AD"/>
    <w:rsid w:val="00C5733B"/>
    <w:rsid w:val="00C62820"/>
    <w:rsid w:val="00C629DA"/>
    <w:rsid w:val="00C65A20"/>
    <w:rsid w:val="00C70924"/>
    <w:rsid w:val="00C71C41"/>
    <w:rsid w:val="00C73823"/>
    <w:rsid w:val="00C77C9A"/>
    <w:rsid w:val="00C87D68"/>
    <w:rsid w:val="00C90145"/>
    <w:rsid w:val="00C93F0B"/>
    <w:rsid w:val="00C97DF3"/>
    <w:rsid w:val="00CA0618"/>
    <w:rsid w:val="00CA06C0"/>
    <w:rsid w:val="00CA0CF4"/>
    <w:rsid w:val="00CA350E"/>
    <w:rsid w:val="00CA67A8"/>
    <w:rsid w:val="00CB0861"/>
    <w:rsid w:val="00CB187E"/>
    <w:rsid w:val="00CB1900"/>
    <w:rsid w:val="00CB459D"/>
    <w:rsid w:val="00CB521F"/>
    <w:rsid w:val="00CB5EE7"/>
    <w:rsid w:val="00CC0042"/>
    <w:rsid w:val="00CC1CF0"/>
    <w:rsid w:val="00CC4F45"/>
    <w:rsid w:val="00CC6626"/>
    <w:rsid w:val="00CD048C"/>
    <w:rsid w:val="00CD0C21"/>
    <w:rsid w:val="00CD75F6"/>
    <w:rsid w:val="00CE6768"/>
    <w:rsid w:val="00CF1DF5"/>
    <w:rsid w:val="00CF4BF2"/>
    <w:rsid w:val="00CF5FEC"/>
    <w:rsid w:val="00D00478"/>
    <w:rsid w:val="00D012D0"/>
    <w:rsid w:val="00D02065"/>
    <w:rsid w:val="00D03A31"/>
    <w:rsid w:val="00D050FB"/>
    <w:rsid w:val="00D119FD"/>
    <w:rsid w:val="00D16404"/>
    <w:rsid w:val="00D21689"/>
    <w:rsid w:val="00D21E47"/>
    <w:rsid w:val="00D21EE9"/>
    <w:rsid w:val="00D21F71"/>
    <w:rsid w:val="00D22D41"/>
    <w:rsid w:val="00D23DCE"/>
    <w:rsid w:val="00D23EA3"/>
    <w:rsid w:val="00D329F4"/>
    <w:rsid w:val="00D32A0D"/>
    <w:rsid w:val="00D330AA"/>
    <w:rsid w:val="00D3320F"/>
    <w:rsid w:val="00D37419"/>
    <w:rsid w:val="00D377B8"/>
    <w:rsid w:val="00D37D00"/>
    <w:rsid w:val="00D42FBB"/>
    <w:rsid w:val="00D5593A"/>
    <w:rsid w:val="00D6173F"/>
    <w:rsid w:val="00D63AAF"/>
    <w:rsid w:val="00D661D5"/>
    <w:rsid w:val="00D679DB"/>
    <w:rsid w:val="00D7011B"/>
    <w:rsid w:val="00D74CC9"/>
    <w:rsid w:val="00D83C7C"/>
    <w:rsid w:val="00D85147"/>
    <w:rsid w:val="00D912A7"/>
    <w:rsid w:val="00D95542"/>
    <w:rsid w:val="00D95AE4"/>
    <w:rsid w:val="00D97475"/>
    <w:rsid w:val="00D974C2"/>
    <w:rsid w:val="00DA2334"/>
    <w:rsid w:val="00DA3F2D"/>
    <w:rsid w:val="00DB0C72"/>
    <w:rsid w:val="00DB1E61"/>
    <w:rsid w:val="00DB25FF"/>
    <w:rsid w:val="00DB3495"/>
    <w:rsid w:val="00DB4CBB"/>
    <w:rsid w:val="00DB5311"/>
    <w:rsid w:val="00DB68D9"/>
    <w:rsid w:val="00DC6249"/>
    <w:rsid w:val="00DD1EEE"/>
    <w:rsid w:val="00DD42AC"/>
    <w:rsid w:val="00DD6DBD"/>
    <w:rsid w:val="00DE0061"/>
    <w:rsid w:val="00DE0379"/>
    <w:rsid w:val="00DE04E7"/>
    <w:rsid w:val="00DE1955"/>
    <w:rsid w:val="00DE1E69"/>
    <w:rsid w:val="00DE3345"/>
    <w:rsid w:val="00DE3D3E"/>
    <w:rsid w:val="00DF2715"/>
    <w:rsid w:val="00DF5452"/>
    <w:rsid w:val="00DF5E2B"/>
    <w:rsid w:val="00DF665B"/>
    <w:rsid w:val="00DF75B1"/>
    <w:rsid w:val="00E002EF"/>
    <w:rsid w:val="00E01E95"/>
    <w:rsid w:val="00E04AD4"/>
    <w:rsid w:val="00E04AE7"/>
    <w:rsid w:val="00E0680C"/>
    <w:rsid w:val="00E06EDE"/>
    <w:rsid w:val="00E077EB"/>
    <w:rsid w:val="00E0795E"/>
    <w:rsid w:val="00E2071E"/>
    <w:rsid w:val="00E218AA"/>
    <w:rsid w:val="00E22947"/>
    <w:rsid w:val="00E22E5B"/>
    <w:rsid w:val="00E25962"/>
    <w:rsid w:val="00E26713"/>
    <w:rsid w:val="00E26B13"/>
    <w:rsid w:val="00E30CEF"/>
    <w:rsid w:val="00E31674"/>
    <w:rsid w:val="00E32BFB"/>
    <w:rsid w:val="00E34472"/>
    <w:rsid w:val="00E35E22"/>
    <w:rsid w:val="00E436CD"/>
    <w:rsid w:val="00E479FD"/>
    <w:rsid w:val="00E50798"/>
    <w:rsid w:val="00E52F38"/>
    <w:rsid w:val="00E54FE6"/>
    <w:rsid w:val="00E55E10"/>
    <w:rsid w:val="00E62470"/>
    <w:rsid w:val="00E63601"/>
    <w:rsid w:val="00E65D60"/>
    <w:rsid w:val="00E67E40"/>
    <w:rsid w:val="00E73027"/>
    <w:rsid w:val="00E746F0"/>
    <w:rsid w:val="00E755D6"/>
    <w:rsid w:val="00E76A5E"/>
    <w:rsid w:val="00E7761A"/>
    <w:rsid w:val="00E8077E"/>
    <w:rsid w:val="00E83301"/>
    <w:rsid w:val="00E93D26"/>
    <w:rsid w:val="00E93E4A"/>
    <w:rsid w:val="00EA00DC"/>
    <w:rsid w:val="00EA024C"/>
    <w:rsid w:val="00EA0393"/>
    <w:rsid w:val="00EA060E"/>
    <w:rsid w:val="00EA6ABF"/>
    <w:rsid w:val="00EB2364"/>
    <w:rsid w:val="00EB2F7C"/>
    <w:rsid w:val="00EB5D98"/>
    <w:rsid w:val="00EB603C"/>
    <w:rsid w:val="00EB6C89"/>
    <w:rsid w:val="00EB78EC"/>
    <w:rsid w:val="00EC098A"/>
    <w:rsid w:val="00EC5614"/>
    <w:rsid w:val="00EC701C"/>
    <w:rsid w:val="00EC710C"/>
    <w:rsid w:val="00ED182A"/>
    <w:rsid w:val="00ED6A49"/>
    <w:rsid w:val="00ED6E75"/>
    <w:rsid w:val="00EE176D"/>
    <w:rsid w:val="00EE6134"/>
    <w:rsid w:val="00EE7F68"/>
    <w:rsid w:val="00EF0E6E"/>
    <w:rsid w:val="00EF1F05"/>
    <w:rsid w:val="00EF3013"/>
    <w:rsid w:val="00EF7B9D"/>
    <w:rsid w:val="00F027D6"/>
    <w:rsid w:val="00F035EC"/>
    <w:rsid w:val="00F045D7"/>
    <w:rsid w:val="00F077D6"/>
    <w:rsid w:val="00F12638"/>
    <w:rsid w:val="00F13668"/>
    <w:rsid w:val="00F14950"/>
    <w:rsid w:val="00F149B6"/>
    <w:rsid w:val="00F207ED"/>
    <w:rsid w:val="00F22ADD"/>
    <w:rsid w:val="00F22C51"/>
    <w:rsid w:val="00F232B4"/>
    <w:rsid w:val="00F24528"/>
    <w:rsid w:val="00F27155"/>
    <w:rsid w:val="00F32034"/>
    <w:rsid w:val="00F326A7"/>
    <w:rsid w:val="00F32FD7"/>
    <w:rsid w:val="00F33E04"/>
    <w:rsid w:val="00F362DB"/>
    <w:rsid w:val="00F37A97"/>
    <w:rsid w:val="00F40229"/>
    <w:rsid w:val="00F425C2"/>
    <w:rsid w:val="00F43AE4"/>
    <w:rsid w:val="00F45A10"/>
    <w:rsid w:val="00F46950"/>
    <w:rsid w:val="00F47BD7"/>
    <w:rsid w:val="00F51DA9"/>
    <w:rsid w:val="00F52314"/>
    <w:rsid w:val="00F53584"/>
    <w:rsid w:val="00F55609"/>
    <w:rsid w:val="00F55B7C"/>
    <w:rsid w:val="00F61150"/>
    <w:rsid w:val="00F63825"/>
    <w:rsid w:val="00F645D7"/>
    <w:rsid w:val="00F655D4"/>
    <w:rsid w:val="00F66A8B"/>
    <w:rsid w:val="00F7357F"/>
    <w:rsid w:val="00F774A1"/>
    <w:rsid w:val="00F80DEE"/>
    <w:rsid w:val="00F87DDD"/>
    <w:rsid w:val="00F951DB"/>
    <w:rsid w:val="00F95466"/>
    <w:rsid w:val="00F95F36"/>
    <w:rsid w:val="00FA0823"/>
    <w:rsid w:val="00FA2A1A"/>
    <w:rsid w:val="00FA6A61"/>
    <w:rsid w:val="00FA745C"/>
    <w:rsid w:val="00FA747A"/>
    <w:rsid w:val="00FA760F"/>
    <w:rsid w:val="00FB05EC"/>
    <w:rsid w:val="00FB32BF"/>
    <w:rsid w:val="00FB3AD2"/>
    <w:rsid w:val="00FB3FEB"/>
    <w:rsid w:val="00FB49CE"/>
    <w:rsid w:val="00FC0387"/>
    <w:rsid w:val="00FC372A"/>
    <w:rsid w:val="00FC411A"/>
    <w:rsid w:val="00FC5951"/>
    <w:rsid w:val="00FC6053"/>
    <w:rsid w:val="00FD151E"/>
    <w:rsid w:val="00FE23E4"/>
    <w:rsid w:val="00FE5382"/>
    <w:rsid w:val="00FE53C9"/>
    <w:rsid w:val="00FF2EDF"/>
    <w:rsid w:val="00FF7FFD"/>
    <w:rsid w:val="0271D3A3"/>
    <w:rsid w:val="03FAE150"/>
    <w:rsid w:val="045A5A96"/>
    <w:rsid w:val="059682CA"/>
    <w:rsid w:val="085D40E9"/>
    <w:rsid w:val="0AC9CFED"/>
    <w:rsid w:val="0DD77850"/>
    <w:rsid w:val="0E3E422E"/>
    <w:rsid w:val="0E846CCC"/>
    <w:rsid w:val="104013E5"/>
    <w:rsid w:val="10C34536"/>
    <w:rsid w:val="11797BB9"/>
    <w:rsid w:val="168835BE"/>
    <w:rsid w:val="1B4A4AEB"/>
    <w:rsid w:val="1E10A2DA"/>
    <w:rsid w:val="1F39D356"/>
    <w:rsid w:val="209392FE"/>
    <w:rsid w:val="211A5F49"/>
    <w:rsid w:val="2369E919"/>
    <w:rsid w:val="25F8BF06"/>
    <w:rsid w:val="277D4B96"/>
    <w:rsid w:val="27B68D16"/>
    <w:rsid w:val="280E28CE"/>
    <w:rsid w:val="2A1CEAE3"/>
    <w:rsid w:val="2AC79437"/>
    <w:rsid w:val="2C8C7E91"/>
    <w:rsid w:val="2CC96925"/>
    <w:rsid w:val="2CD9A1DE"/>
    <w:rsid w:val="2DF7DFBD"/>
    <w:rsid w:val="2E5482DB"/>
    <w:rsid w:val="3293E3ED"/>
    <w:rsid w:val="38F31138"/>
    <w:rsid w:val="397176C6"/>
    <w:rsid w:val="3A4C7523"/>
    <w:rsid w:val="3A62D201"/>
    <w:rsid w:val="3A8D58A8"/>
    <w:rsid w:val="3D714EF9"/>
    <w:rsid w:val="3D95CF59"/>
    <w:rsid w:val="440E2A01"/>
    <w:rsid w:val="45732900"/>
    <w:rsid w:val="46362AA6"/>
    <w:rsid w:val="489328D9"/>
    <w:rsid w:val="493BAB1B"/>
    <w:rsid w:val="4A9BDE3B"/>
    <w:rsid w:val="4AA60AA7"/>
    <w:rsid w:val="4E23ACE0"/>
    <w:rsid w:val="4F36A8CE"/>
    <w:rsid w:val="541953C8"/>
    <w:rsid w:val="5881F02C"/>
    <w:rsid w:val="5D59524C"/>
    <w:rsid w:val="5E62034E"/>
    <w:rsid w:val="5EE95D64"/>
    <w:rsid w:val="62D74E01"/>
    <w:rsid w:val="6825A7EE"/>
    <w:rsid w:val="69AF1DD4"/>
    <w:rsid w:val="6A77D795"/>
    <w:rsid w:val="6ACDA5D8"/>
    <w:rsid w:val="6B5F7CFF"/>
    <w:rsid w:val="6DA38EA4"/>
    <w:rsid w:val="6DEDCD54"/>
    <w:rsid w:val="6FAA9936"/>
    <w:rsid w:val="6FDC91C5"/>
    <w:rsid w:val="710212DC"/>
    <w:rsid w:val="7149CD27"/>
    <w:rsid w:val="71EEFD77"/>
    <w:rsid w:val="7514F47E"/>
    <w:rsid w:val="75B774A9"/>
    <w:rsid w:val="775DAC70"/>
    <w:rsid w:val="780FCEAE"/>
    <w:rsid w:val="78499AE1"/>
    <w:rsid w:val="78F080FA"/>
    <w:rsid w:val="7936C67D"/>
    <w:rsid w:val="798A32A6"/>
    <w:rsid w:val="7E01AA9A"/>
    <w:rsid w:val="7E53B2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5BDD1"/>
  <w14:defaultImageDpi w14:val="32767"/>
  <w15:chartTrackingRefBased/>
  <w15:docId w15:val="{97ED3C38-8571-462D-A1D8-3B999D53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E3447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3447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3447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3447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3447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34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4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344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344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3447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3447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34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472"/>
    <w:rPr>
      <w:rFonts w:eastAsiaTheme="majorEastAsia" w:cstheme="majorBidi"/>
      <w:color w:val="272727" w:themeColor="text1" w:themeTint="D8"/>
    </w:rPr>
  </w:style>
  <w:style w:type="paragraph" w:styleId="Title">
    <w:name w:val="Title"/>
    <w:basedOn w:val="Normal"/>
    <w:next w:val="Normal"/>
    <w:link w:val="TitleChar"/>
    <w:uiPriority w:val="10"/>
    <w:qFormat/>
    <w:rsid w:val="00E34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4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4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4472"/>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E34472"/>
    <w:pPr>
      <w:ind w:left="720"/>
      <w:contextualSpacing/>
    </w:pPr>
  </w:style>
  <w:style w:type="character" w:styleId="IntenseEmphasis">
    <w:name w:val="Intense Emphasis"/>
    <w:basedOn w:val="DefaultParagraphFont"/>
    <w:uiPriority w:val="21"/>
    <w:qFormat/>
    <w:rsid w:val="00E34472"/>
    <w:rPr>
      <w:i/>
      <w:iCs/>
      <w:color w:val="365F91" w:themeColor="accent1" w:themeShade="BF"/>
    </w:rPr>
  </w:style>
  <w:style w:type="paragraph" w:styleId="IntenseQuote">
    <w:name w:val="Intense Quote"/>
    <w:basedOn w:val="Normal"/>
    <w:next w:val="Normal"/>
    <w:link w:val="IntenseQuoteChar"/>
    <w:uiPriority w:val="30"/>
    <w:qFormat/>
    <w:rsid w:val="00E344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34472"/>
    <w:rPr>
      <w:i/>
      <w:iCs/>
      <w:color w:val="365F91" w:themeColor="accent1" w:themeShade="BF"/>
    </w:rPr>
  </w:style>
  <w:style w:type="character" w:styleId="IntenseReference">
    <w:name w:val="Intense Reference"/>
    <w:basedOn w:val="DefaultParagraphFont"/>
    <w:uiPriority w:val="32"/>
    <w:qFormat/>
    <w:rsid w:val="00E34472"/>
    <w:rPr>
      <w:b/>
      <w:bCs/>
      <w:smallCaps/>
      <w:color w:val="365F91" w:themeColor="accent1" w:themeShade="BF"/>
      <w:spacing w:val="5"/>
    </w:rPr>
  </w:style>
  <w:style w:type="character" w:styleId="Hyperlink">
    <w:name w:val="Hyperlink"/>
    <w:basedOn w:val="DefaultParagraphFont"/>
    <w:uiPriority w:val="99"/>
    <w:unhideWhenUsed/>
    <w:rsid w:val="006766DA"/>
    <w:rPr>
      <w:color w:val="0000FF" w:themeColor="hyperlink"/>
      <w:u w:val="single"/>
    </w:rPr>
  </w:style>
  <w:style w:type="character" w:styleId="UnresolvedMention">
    <w:name w:val="Unresolved Mention"/>
    <w:basedOn w:val="DefaultParagraphFont"/>
    <w:uiPriority w:val="99"/>
    <w:rsid w:val="006766DA"/>
    <w:rPr>
      <w:color w:val="605E5C"/>
      <w:shd w:val="clear" w:color="auto" w:fill="E1DFDD"/>
    </w:rPr>
  </w:style>
  <w:style w:type="paragraph" w:styleId="Revision">
    <w:name w:val="Revision"/>
    <w:hidden/>
    <w:uiPriority w:val="99"/>
    <w:semiHidden/>
    <w:rsid w:val="00D6173F"/>
  </w:style>
  <w:style w:type="paragraph" w:styleId="NormalWeb">
    <w:name w:val="Normal (Web)"/>
    <w:basedOn w:val="Normal"/>
    <w:uiPriority w:val="99"/>
    <w:semiHidden/>
    <w:unhideWhenUsed/>
    <w:rsid w:val="00003BF7"/>
    <w:rPr>
      <w:rFonts w:ascii="Times New Roman" w:hAnsi="Times New Roman" w:cs="Times New Roman"/>
    </w:rPr>
  </w:style>
  <w:style w:type="paragraph" w:styleId="Header">
    <w:name w:val="header"/>
    <w:basedOn w:val="Normal"/>
    <w:link w:val="HeaderChar"/>
    <w:uiPriority w:val="99"/>
    <w:unhideWhenUsed/>
    <w:rsid w:val="00D95542"/>
    <w:pPr>
      <w:tabs>
        <w:tab w:val="center" w:pos="4513"/>
        <w:tab w:val="right" w:pos="9026"/>
      </w:tabs>
    </w:pPr>
  </w:style>
  <w:style w:type="character" w:customStyle="1" w:styleId="HeaderChar">
    <w:name w:val="Header Char"/>
    <w:basedOn w:val="DefaultParagraphFont"/>
    <w:link w:val="Header"/>
    <w:uiPriority w:val="99"/>
    <w:rsid w:val="00D95542"/>
    <w:rPr>
      <w:lang w:val="en-AU"/>
    </w:rPr>
  </w:style>
  <w:style w:type="paragraph" w:styleId="Footer">
    <w:name w:val="footer"/>
    <w:basedOn w:val="Normal"/>
    <w:link w:val="FooterChar"/>
    <w:uiPriority w:val="99"/>
    <w:unhideWhenUsed/>
    <w:rsid w:val="00D95542"/>
    <w:pPr>
      <w:tabs>
        <w:tab w:val="center" w:pos="4513"/>
        <w:tab w:val="right" w:pos="9026"/>
      </w:tabs>
    </w:pPr>
  </w:style>
  <w:style w:type="character" w:customStyle="1" w:styleId="FooterChar">
    <w:name w:val="Footer Char"/>
    <w:basedOn w:val="DefaultParagraphFont"/>
    <w:link w:val="Footer"/>
    <w:uiPriority w:val="99"/>
    <w:rsid w:val="00D95542"/>
    <w:rPr>
      <w:lang w:val="en-AU"/>
    </w:rPr>
  </w:style>
  <w:style w:type="character" w:styleId="CommentReference">
    <w:name w:val="annotation reference"/>
    <w:basedOn w:val="DefaultParagraphFont"/>
    <w:uiPriority w:val="99"/>
    <w:semiHidden/>
    <w:unhideWhenUsed/>
    <w:rsid w:val="007A0EC1"/>
    <w:rPr>
      <w:sz w:val="16"/>
      <w:szCs w:val="16"/>
    </w:rPr>
  </w:style>
  <w:style w:type="paragraph" w:styleId="CommentText">
    <w:name w:val="annotation text"/>
    <w:basedOn w:val="Normal"/>
    <w:link w:val="CommentTextChar"/>
    <w:uiPriority w:val="99"/>
    <w:unhideWhenUsed/>
    <w:rsid w:val="007A0EC1"/>
    <w:rPr>
      <w:sz w:val="20"/>
      <w:szCs w:val="20"/>
    </w:rPr>
  </w:style>
  <w:style w:type="character" w:customStyle="1" w:styleId="CommentTextChar">
    <w:name w:val="Comment Text Char"/>
    <w:basedOn w:val="DefaultParagraphFont"/>
    <w:link w:val="CommentText"/>
    <w:uiPriority w:val="99"/>
    <w:rsid w:val="007A0EC1"/>
    <w:rPr>
      <w:sz w:val="20"/>
      <w:szCs w:val="20"/>
      <w:lang w:val="en-AU"/>
    </w:rPr>
  </w:style>
  <w:style w:type="paragraph" w:styleId="CommentSubject">
    <w:name w:val="annotation subject"/>
    <w:basedOn w:val="CommentText"/>
    <w:next w:val="CommentText"/>
    <w:link w:val="CommentSubjectChar"/>
    <w:uiPriority w:val="99"/>
    <w:semiHidden/>
    <w:unhideWhenUsed/>
    <w:rsid w:val="007A0EC1"/>
    <w:rPr>
      <w:b/>
      <w:bCs/>
    </w:rPr>
  </w:style>
  <w:style w:type="character" w:customStyle="1" w:styleId="CommentSubjectChar">
    <w:name w:val="Comment Subject Char"/>
    <w:basedOn w:val="CommentTextChar"/>
    <w:link w:val="CommentSubject"/>
    <w:uiPriority w:val="99"/>
    <w:semiHidden/>
    <w:rsid w:val="007A0EC1"/>
    <w:rPr>
      <w:b/>
      <w:bCs/>
      <w:sz w:val="20"/>
      <w:szCs w:val="20"/>
      <w:lang w:val="en-AU"/>
    </w:rPr>
  </w:style>
  <w:style w:type="character" w:customStyle="1" w:styleId="normaltextrun">
    <w:name w:val="normaltextrun"/>
    <w:basedOn w:val="DefaultParagraphFont"/>
    <w:rsid w:val="00136214"/>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locked/>
    <w:rsid w:val="007A58FA"/>
    <w:rPr>
      <w:lang w:val="en-AU"/>
    </w:rPr>
  </w:style>
  <w:style w:type="paragraph" w:styleId="EndnoteText">
    <w:name w:val="endnote text"/>
    <w:basedOn w:val="Normal"/>
    <w:link w:val="EndnoteTextChar"/>
    <w:uiPriority w:val="99"/>
    <w:semiHidden/>
    <w:unhideWhenUsed/>
    <w:rsid w:val="004634D6"/>
    <w:rPr>
      <w:rFonts w:ascii="Arial" w:hAnsi="Arial" w:cs="Times New Roman"/>
      <w:sz w:val="20"/>
      <w:szCs w:val="20"/>
    </w:rPr>
  </w:style>
  <w:style w:type="character" w:customStyle="1" w:styleId="EndnoteTextChar">
    <w:name w:val="Endnote Text Char"/>
    <w:basedOn w:val="DefaultParagraphFont"/>
    <w:link w:val="EndnoteText"/>
    <w:uiPriority w:val="99"/>
    <w:semiHidden/>
    <w:rsid w:val="004634D6"/>
    <w:rPr>
      <w:rFonts w:ascii="Arial" w:hAnsi="Arial" w:cs="Times New Roman"/>
      <w:sz w:val="20"/>
      <w:szCs w:val="20"/>
      <w:lang w:val="en-AU"/>
    </w:rPr>
  </w:style>
  <w:style w:type="character" w:styleId="EndnoteReference">
    <w:name w:val="endnote reference"/>
    <w:basedOn w:val="DefaultParagraphFont"/>
    <w:uiPriority w:val="99"/>
    <w:semiHidden/>
    <w:unhideWhenUsed/>
    <w:rsid w:val="004634D6"/>
    <w:rPr>
      <w:vertAlign w:val="superscript"/>
    </w:rPr>
  </w:style>
  <w:style w:type="table" w:styleId="ListTable3-Accent1">
    <w:name w:val="List Table 3 Accent 1"/>
    <w:basedOn w:val="TableNormal"/>
    <w:uiPriority w:val="48"/>
    <w:rsid w:val="000663C0"/>
    <w:rPr>
      <w:rFonts w:ascii="Times New Roman" w:hAnsi="Times New Roman" w:cs="Times New Roman"/>
      <w:lang w:val="en-A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FootnoteText">
    <w:name w:val="footnote text"/>
    <w:basedOn w:val="Normal"/>
    <w:link w:val="FootnoteTextChar"/>
    <w:uiPriority w:val="99"/>
    <w:semiHidden/>
    <w:unhideWhenUsed/>
    <w:rsid w:val="000663C0"/>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0663C0"/>
    <w:rPr>
      <w:rFonts w:ascii="Times New Roman" w:hAnsi="Times New Roman" w:cs="Times New Roman"/>
      <w:sz w:val="20"/>
      <w:szCs w:val="20"/>
      <w:lang w:val="en-AU"/>
    </w:rPr>
  </w:style>
  <w:style w:type="character" w:styleId="FootnoteReference">
    <w:name w:val="footnote reference"/>
    <w:basedOn w:val="DefaultParagraphFont"/>
    <w:uiPriority w:val="99"/>
    <w:semiHidden/>
    <w:unhideWhenUsed/>
    <w:rsid w:val="000663C0"/>
    <w:rPr>
      <w:vertAlign w:val="superscript"/>
    </w:rPr>
  </w:style>
  <w:style w:type="paragraph" w:customStyle="1" w:styleId="Tablecolumnheading">
    <w:name w:val="Table column heading"/>
    <w:qFormat/>
    <w:rsid w:val="00C15F57"/>
    <w:pPr>
      <w:spacing w:before="60" w:after="60"/>
      <w:jc w:val="center"/>
    </w:pPr>
    <w:rPr>
      <w:rFonts w:ascii="Times New Roman" w:eastAsia="Times New Roman" w:hAnsi="Times New Roman" w:cs="Times New Roman"/>
      <w:b/>
      <w:kern w:val="0"/>
      <w:sz w:val="20"/>
      <w:szCs w:val="20"/>
      <w:lang w:val="en-AU" w:eastAsia="en-AU"/>
      <w14:ligatures w14:val="none"/>
    </w:rPr>
  </w:style>
  <w:style w:type="paragraph" w:customStyle="1" w:styleId="paragraph">
    <w:name w:val="paragraph"/>
    <w:basedOn w:val="Normal"/>
    <w:rsid w:val="002175F0"/>
    <w:pPr>
      <w:spacing w:before="100" w:beforeAutospacing="1" w:after="100" w:afterAutospacing="1"/>
    </w:pPr>
    <w:rPr>
      <w:rFonts w:ascii="Times New Roman" w:eastAsia="Times New Roman" w:hAnsi="Times New Roman" w:cs="Times New Roman"/>
      <w:kern w:val="0"/>
      <w:lang w:eastAsia="en-AU"/>
      <w14:ligatures w14:val="none"/>
    </w:rPr>
  </w:style>
  <w:style w:type="character" w:customStyle="1" w:styleId="eop">
    <w:name w:val="eop"/>
    <w:basedOn w:val="DefaultParagraphFont"/>
    <w:rsid w:val="002175F0"/>
  </w:style>
  <w:style w:type="character" w:styleId="FollowedHyperlink">
    <w:name w:val="FollowedHyperlink"/>
    <w:basedOn w:val="DefaultParagraphFont"/>
    <w:uiPriority w:val="99"/>
    <w:semiHidden/>
    <w:unhideWhenUsed/>
    <w:rsid w:val="0091069C"/>
    <w:rPr>
      <w:color w:val="800080" w:themeColor="followedHyperlink"/>
      <w:u w:val="single"/>
    </w:rPr>
  </w:style>
  <w:style w:type="character" w:customStyle="1" w:styleId="selected">
    <w:name w:val="selected"/>
    <w:basedOn w:val="DefaultParagraphFont"/>
    <w:rsid w:val="00575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170801">
      <w:bodyDiv w:val="1"/>
      <w:marLeft w:val="0"/>
      <w:marRight w:val="0"/>
      <w:marTop w:val="0"/>
      <w:marBottom w:val="0"/>
      <w:divBdr>
        <w:top w:val="none" w:sz="0" w:space="0" w:color="auto"/>
        <w:left w:val="none" w:sz="0" w:space="0" w:color="auto"/>
        <w:bottom w:val="none" w:sz="0" w:space="0" w:color="auto"/>
        <w:right w:val="none" w:sz="0" w:space="0" w:color="auto"/>
      </w:divBdr>
      <w:divsChild>
        <w:div w:id="100224005">
          <w:marLeft w:val="0"/>
          <w:marRight w:val="0"/>
          <w:marTop w:val="0"/>
          <w:marBottom w:val="0"/>
          <w:divBdr>
            <w:top w:val="none" w:sz="0" w:space="0" w:color="auto"/>
            <w:left w:val="none" w:sz="0" w:space="0" w:color="auto"/>
            <w:bottom w:val="none" w:sz="0" w:space="0" w:color="auto"/>
            <w:right w:val="none" w:sz="0" w:space="0" w:color="auto"/>
          </w:divBdr>
          <w:divsChild>
            <w:div w:id="1219197297">
              <w:marLeft w:val="0"/>
              <w:marRight w:val="0"/>
              <w:marTop w:val="0"/>
              <w:marBottom w:val="0"/>
              <w:divBdr>
                <w:top w:val="none" w:sz="0" w:space="0" w:color="auto"/>
                <w:left w:val="none" w:sz="0" w:space="0" w:color="auto"/>
                <w:bottom w:val="none" w:sz="0" w:space="0" w:color="auto"/>
                <w:right w:val="none" w:sz="0" w:space="0" w:color="auto"/>
              </w:divBdr>
            </w:div>
          </w:divsChild>
        </w:div>
        <w:div w:id="931015968">
          <w:marLeft w:val="0"/>
          <w:marRight w:val="0"/>
          <w:marTop w:val="0"/>
          <w:marBottom w:val="0"/>
          <w:divBdr>
            <w:top w:val="none" w:sz="0" w:space="0" w:color="auto"/>
            <w:left w:val="none" w:sz="0" w:space="0" w:color="auto"/>
            <w:bottom w:val="none" w:sz="0" w:space="0" w:color="auto"/>
            <w:right w:val="none" w:sz="0" w:space="0" w:color="auto"/>
          </w:divBdr>
          <w:divsChild>
            <w:div w:id="643657342">
              <w:marLeft w:val="0"/>
              <w:marRight w:val="0"/>
              <w:marTop w:val="0"/>
              <w:marBottom w:val="0"/>
              <w:divBdr>
                <w:top w:val="none" w:sz="0" w:space="0" w:color="auto"/>
                <w:left w:val="none" w:sz="0" w:space="0" w:color="auto"/>
                <w:bottom w:val="none" w:sz="0" w:space="0" w:color="auto"/>
                <w:right w:val="none" w:sz="0" w:space="0" w:color="auto"/>
              </w:divBdr>
            </w:div>
            <w:div w:id="1871337052">
              <w:marLeft w:val="0"/>
              <w:marRight w:val="0"/>
              <w:marTop w:val="0"/>
              <w:marBottom w:val="0"/>
              <w:divBdr>
                <w:top w:val="none" w:sz="0" w:space="0" w:color="auto"/>
                <w:left w:val="none" w:sz="0" w:space="0" w:color="auto"/>
                <w:bottom w:val="none" w:sz="0" w:space="0" w:color="auto"/>
                <w:right w:val="none" w:sz="0" w:space="0" w:color="auto"/>
              </w:divBdr>
            </w:div>
            <w:div w:id="1956717115">
              <w:marLeft w:val="0"/>
              <w:marRight w:val="0"/>
              <w:marTop w:val="0"/>
              <w:marBottom w:val="0"/>
              <w:divBdr>
                <w:top w:val="none" w:sz="0" w:space="0" w:color="auto"/>
                <w:left w:val="none" w:sz="0" w:space="0" w:color="auto"/>
                <w:bottom w:val="none" w:sz="0" w:space="0" w:color="auto"/>
                <w:right w:val="none" w:sz="0" w:space="0" w:color="auto"/>
              </w:divBdr>
            </w:div>
          </w:divsChild>
        </w:div>
        <w:div w:id="1494877057">
          <w:marLeft w:val="0"/>
          <w:marRight w:val="0"/>
          <w:marTop w:val="0"/>
          <w:marBottom w:val="0"/>
          <w:divBdr>
            <w:top w:val="none" w:sz="0" w:space="0" w:color="auto"/>
            <w:left w:val="none" w:sz="0" w:space="0" w:color="auto"/>
            <w:bottom w:val="none" w:sz="0" w:space="0" w:color="auto"/>
            <w:right w:val="none" w:sz="0" w:space="0" w:color="auto"/>
          </w:divBdr>
          <w:divsChild>
            <w:div w:id="1237864356">
              <w:marLeft w:val="0"/>
              <w:marRight w:val="0"/>
              <w:marTop w:val="0"/>
              <w:marBottom w:val="0"/>
              <w:divBdr>
                <w:top w:val="none" w:sz="0" w:space="0" w:color="auto"/>
                <w:left w:val="none" w:sz="0" w:space="0" w:color="auto"/>
                <w:bottom w:val="none" w:sz="0" w:space="0" w:color="auto"/>
                <w:right w:val="none" w:sz="0" w:space="0" w:color="auto"/>
              </w:divBdr>
            </w:div>
          </w:divsChild>
        </w:div>
        <w:div w:id="1776778928">
          <w:marLeft w:val="0"/>
          <w:marRight w:val="0"/>
          <w:marTop w:val="0"/>
          <w:marBottom w:val="0"/>
          <w:divBdr>
            <w:top w:val="none" w:sz="0" w:space="0" w:color="auto"/>
            <w:left w:val="none" w:sz="0" w:space="0" w:color="auto"/>
            <w:bottom w:val="none" w:sz="0" w:space="0" w:color="auto"/>
            <w:right w:val="none" w:sz="0" w:space="0" w:color="auto"/>
          </w:divBdr>
          <w:divsChild>
            <w:div w:id="10448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6000">
      <w:bodyDiv w:val="1"/>
      <w:marLeft w:val="0"/>
      <w:marRight w:val="0"/>
      <w:marTop w:val="0"/>
      <w:marBottom w:val="0"/>
      <w:divBdr>
        <w:top w:val="none" w:sz="0" w:space="0" w:color="auto"/>
        <w:left w:val="none" w:sz="0" w:space="0" w:color="auto"/>
        <w:bottom w:val="none" w:sz="0" w:space="0" w:color="auto"/>
        <w:right w:val="none" w:sz="0" w:space="0" w:color="auto"/>
      </w:divBdr>
    </w:div>
    <w:div w:id="1710255400">
      <w:bodyDiv w:val="1"/>
      <w:marLeft w:val="0"/>
      <w:marRight w:val="0"/>
      <w:marTop w:val="0"/>
      <w:marBottom w:val="0"/>
      <w:divBdr>
        <w:top w:val="none" w:sz="0" w:space="0" w:color="auto"/>
        <w:left w:val="none" w:sz="0" w:space="0" w:color="auto"/>
        <w:bottom w:val="none" w:sz="0" w:space="0" w:color="auto"/>
        <w:right w:val="none" w:sz="0" w:space="0" w:color="auto"/>
      </w:divBdr>
      <w:divsChild>
        <w:div w:id="282469753">
          <w:marLeft w:val="0"/>
          <w:marRight w:val="0"/>
          <w:marTop w:val="0"/>
          <w:marBottom w:val="0"/>
          <w:divBdr>
            <w:top w:val="none" w:sz="0" w:space="0" w:color="auto"/>
            <w:left w:val="none" w:sz="0" w:space="0" w:color="auto"/>
            <w:bottom w:val="none" w:sz="0" w:space="0" w:color="auto"/>
            <w:right w:val="none" w:sz="0" w:space="0" w:color="auto"/>
          </w:divBdr>
          <w:divsChild>
            <w:div w:id="167642326">
              <w:marLeft w:val="0"/>
              <w:marRight w:val="0"/>
              <w:marTop w:val="0"/>
              <w:marBottom w:val="0"/>
              <w:divBdr>
                <w:top w:val="none" w:sz="0" w:space="0" w:color="auto"/>
                <w:left w:val="none" w:sz="0" w:space="0" w:color="auto"/>
                <w:bottom w:val="none" w:sz="0" w:space="0" w:color="auto"/>
                <w:right w:val="none" w:sz="0" w:space="0" w:color="auto"/>
              </w:divBdr>
            </w:div>
          </w:divsChild>
        </w:div>
        <w:div w:id="1235432510">
          <w:marLeft w:val="0"/>
          <w:marRight w:val="0"/>
          <w:marTop w:val="0"/>
          <w:marBottom w:val="0"/>
          <w:divBdr>
            <w:top w:val="none" w:sz="0" w:space="0" w:color="auto"/>
            <w:left w:val="none" w:sz="0" w:space="0" w:color="auto"/>
            <w:bottom w:val="none" w:sz="0" w:space="0" w:color="auto"/>
            <w:right w:val="none" w:sz="0" w:space="0" w:color="auto"/>
          </w:divBdr>
          <w:divsChild>
            <w:div w:id="845291264">
              <w:marLeft w:val="0"/>
              <w:marRight w:val="0"/>
              <w:marTop w:val="0"/>
              <w:marBottom w:val="0"/>
              <w:divBdr>
                <w:top w:val="none" w:sz="0" w:space="0" w:color="auto"/>
                <w:left w:val="none" w:sz="0" w:space="0" w:color="auto"/>
                <w:bottom w:val="none" w:sz="0" w:space="0" w:color="auto"/>
                <w:right w:val="none" w:sz="0" w:space="0" w:color="auto"/>
              </w:divBdr>
            </w:div>
          </w:divsChild>
        </w:div>
        <w:div w:id="1301887881">
          <w:marLeft w:val="0"/>
          <w:marRight w:val="0"/>
          <w:marTop w:val="0"/>
          <w:marBottom w:val="0"/>
          <w:divBdr>
            <w:top w:val="none" w:sz="0" w:space="0" w:color="auto"/>
            <w:left w:val="none" w:sz="0" w:space="0" w:color="auto"/>
            <w:bottom w:val="none" w:sz="0" w:space="0" w:color="auto"/>
            <w:right w:val="none" w:sz="0" w:space="0" w:color="auto"/>
          </w:divBdr>
          <w:divsChild>
            <w:div w:id="379718025">
              <w:marLeft w:val="0"/>
              <w:marRight w:val="0"/>
              <w:marTop w:val="0"/>
              <w:marBottom w:val="0"/>
              <w:divBdr>
                <w:top w:val="none" w:sz="0" w:space="0" w:color="auto"/>
                <w:left w:val="none" w:sz="0" w:space="0" w:color="auto"/>
                <w:bottom w:val="none" w:sz="0" w:space="0" w:color="auto"/>
                <w:right w:val="none" w:sz="0" w:space="0" w:color="auto"/>
              </w:divBdr>
            </w:div>
          </w:divsChild>
        </w:div>
        <w:div w:id="1348599895">
          <w:marLeft w:val="0"/>
          <w:marRight w:val="0"/>
          <w:marTop w:val="0"/>
          <w:marBottom w:val="0"/>
          <w:divBdr>
            <w:top w:val="none" w:sz="0" w:space="0" w:color="auto"/>
            <w:left w:val="none" w:sz="0" w:space="0" w:color="auto"/>
            <w:bottom w:val="none" w:sz="0" w:space="0" w:color="auto"/>
            <w:right w:val="none" w:sz="0" w:space="0" w:color="auto"/>
          </w:divBdr>
          <w:divsChild>
            <w:div w:id="155264735">
              <w:marLeft w:val="0"/>
              <w:marRight w:val="0"/>
              <w:marTop w:val="0"/>
              <w:marBottom w:val="0"/>
              <w:divBdr>
                <w:top w:val="none" w:sz="0" w:space="0" w:color="auto"/>
                <w:left w:val="none" w:sz="0" w:space="0" w:color="auto"/>
                <w:bottom w:val="none" w:sz="0" w:space="0" w:color="auto"/>
                <w:right w:val="none" w:sz="0" w:space="0" w:color="auto"/>
              </w:divBdr>
            </w:div>
            <w:div w:id="372510362">
              <w:marLeft w:val="0"/>
              <w:marRight w:val="0"/>
              <w:marTop w:val="0"/>
              <w:marBottom w:val="0"/>
              <w:divBdr>
                <w:top w:val="none" w:sz="0" w:space="0" w:color="auto"/>
                <w:left w:val="none" w:sz="0" w:space="0" w:color="auto"/>
                <w:bottom w:val="none" w:sz="0" w:space="0" w:color="auto"/>
                <w:right w:val="none" w:sz="0" w:space="0" w:color="auto"/>
              </w:divBdr>
            </w:div>
            <w:div w:id="7564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au/diseases/diphtheria" TargetMode="External"/><Relationship Id="rId18" Type="http://schemas.openxmlformats.org/officeDocument/2006/relationships/hyperlink" Target="https://www.cdc.gov.au/resources/publications/cdna-interim-guidance-diphtheria-outbreak-managemen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health.gov.au/resources/publications/national-immunisation-program-schedule?language=en" TargetMode="External"/><Relationship Id="rId7" Type="http://schemas.openxmlformats.org/officeDocument/2006/relationships/settings" Target="settings.xml"/><Relationship Id="rId12" Type="http://schemas.openxmlformats.org/officeDocument/2006/relationships/hyperlink" Target="https://www.cdc.gov.au/resources/publications/cdna-interim-guidance-diphtheria-outbreak-management" TargetMode="External"/><Relationship Id="rId17" Type="http://schemas.openxmlformats.org/officeDocument/2006/relationships/hyperlink" Target="https://www.cdc.gov.au/diseases/diphtheri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dc.gov.au/resources/publications/cdna-interim-guidance-diphtheria-outbreak-management" TargetMode="External"/><Relationship Id="rId20" Type="http://schemas.openxmlformats.org/officeDocument/2006/relationships/hyperlink" Target="https://immunisationhandbook.health.gov.au/diphthe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dc.gov.au/resources/publications/cdna-interim-guidance-diphtheria-outbreak-managemen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mmunisationhandbook.health.gov.au/contents/vaccine-preventable-diseases/diphth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au/diseases/diphtheria" TargetMode="External"/><Relationship Id="rId22" Type="http://schemas.openxmlformats.org/officeDocument/2006/relationships/header" Target="header1.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researchgate.net/publication/396969621_Seroprevalence_of_diphtheria_tetanus_and_pertussis_in_Australian_blood_donors_abstract_130" TargetMode="External"/><Relationship Id="rId1" Type="http://schemas.openxmlformats.org/officeDocument/2006/relationships/hyperlink" Target="https://vaccinationforourmob.ncirs.org.au/rare-diseases" TargetMode="Externa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c38f0e-ea1a-4921-a781-bef71901c203" xsi:nil="true"/>
    <lcf76f155ced4ddcb4097134ff3c332f xmlns="58308d6b-e1c7-4e4d-9474-f0e73589c7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8F861AD89AA649BDF56F92C72A0C9D" ma:contentTypeVersion="16" ma:contentTypeDescription="Create a new document." ma:contentTypeScope="" ma:versionID="6a4fc5ec56417e0758518d1cea682d55">
  <xsd:schema xmlns:xsd="http://www.w3.org/2001/XMLSchema" xmlns:xs="http://www.w3.org/2001/XMLSchema" xmlns:p="http://schemas.microsoft.com/office/2006/metadata/properties" xmlns:ns2="58308d6b-e1c7-4e4d-9474-f0e73589c712" xmlns:ns3="42c38f0e-ea1a-4921-a781-bef71901c203" targetNamespace="http://schemas.microsoft.com/office/2006/metadata/properties" ma:root="true" ma:fieldsID="0d16f41911c5a9d1b920118225f37524" ns2:_="" ns3:_="">
    <xsd:import namespace="58308d6b-e1c7-4e4d-9474-f0e73589c712"/>
    <xsd:import namespace="42c38f0e-ea1a-4921-a781-bef71901c2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8d6b-e1c7-4e4d-9474-f0e73589c71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c38f0e-ea1a-4921-a781-bef71901c20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491838-abfe-4b3e-85b8-a09ee2142802}" ma:internalName="TaxCatchAll" ma:showField="CatchAllData" ma:web="42c38f0e-ea1a-4921-a781-bef71901c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9F7CC-1D00-404A-9544-B5F996DC18F1}">
  <ds:schemaRefs>
    <ds:schemaRef ds:uri="http://schemas.openxmlformats.org/officeDocument/2006/bibliography"/>
  </ds:schemaRefs>
</ds:datastoreItem>
</file>

<file path=customXml/itemProps2.xml><?xml version="1.0" encoding="utf-8"?>
<ds:datastoreItem xmlns:ds="http://schemas.openxmlformats.org/officeDocument/2006/customXml" ds:itemID="{60BFCB46-E7AD-4935-8DAE-A061E7BF66B2}">
  <ds:schemaRefs>
    <ds:schemaRef ds:uri="http://schemas.microsoft.com/sharepoint/v3/contenttype/forms"/>
  </ds:schemaRefs>
</ds:datastoreItem>
</file>

<file path=customXml/itemProps3.xml><?xml version="1.0" encoding="utf-8"?>
<ds:datastoreItem xmlns:ds="http://schemas.openxmlformats.org/officeDocument/2006/customXml" ds:itemID="{D73EE926-3527-4EF3-B6BE-18ABB4A7BE2F}">
  <ds:schemaRefs>
    <ds:schemaRef ds:uri="http://schemas.microsoft.com/office/2006/metadata/properties"/>
    <ds:schemaRef ds:uri="http://schemas.microsoft.com/office/infopath/2007/PartnerControls"/>
    <ds:schemaRef ds:uri="42c38f0e-ea1a-4921-a781-bef71901c203"/>
    <ds:schemaRef ds:uri="58308d6b-e1c7-4e4d-9474-f0e73589c712"/>
  </ds:schemaRefs>
</ds:datastoreItem>
</file>

<file path=customXml/itemProps4.xml><?xml version="1.0" encoding="utf-8"?>
<ds:datastoreItem xmlns:ds="http://schemas.openxmlformats.org/officeDocument/2006/customXml" ds:itemID="{FA969EF8-6402-402C-9426-47A4092D5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08d6b-e1c7-4e4d-9474-f0e73589c712"/>
    <ds:schemaRef ds:uri="42c38f0e-ea1a-4921-a781-bef71901c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1218</Words>
  <Characters>7128</Characters>
  <Application>Microsoft Office Word</Application>
  <DocSecurity>0</DocSecurity>
  <Lines>127</Lines>
  <Paragraphs>67</Paragraphs>
  <ScaleCrop>false</ScaleCrop>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ATAGI Advice regarding diphtheria vaccination in outbreak settings 2026</dc:title>
  <dc:subject>diphtheria; vaccination</dc:subject>
  <dc:creator>Australian Technical Advisory Group on Immunisation (ATAGI)</dc:creator>
  <cp:keywords/>
  <dc:description/>
  <cp:revision>3</cp:revision>
  <cp:lastPrinted>2025-12-02T05:36:00Z</cp:lastPrinted>
  <dcterms:created xsi:type="dcterms:W3CDTF">2026-07-14T03:13:00Z</dcterms:created>
  <dcterms:modified xsi:type="dcterms:W3CDTF">2026-07-14T04:07:00Z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7967b7a9,15945dfc,e881674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7be633d1,73da2a97,62071edd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2025-11-20T23:07:35Z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4cfed623-e722-4fde-aa27-fbeebd8576bd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0x010100668F861AD89AA649BDF56F92C72A0C9D</vt:lpwstr>
  </property>
  <property fmtid="{D5CDD505-2E9C-101B-9397-08002B2CF9AE}" pid="17" name="MediaServiceImageTags">
    <vt:lpwstr/>
  </property>
</Properties>
</file>