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B033C" w14:textId="7A0D444C" w:rsidR="006C492B" w:rsidRPr="005567A0" w:rsidRDefault="000D0798" w:rsidP="000F592E">
      <w:pPr>
        <w:spacing w:after="360"/>
        <w:rPr>
          <w:rFonts w:asciiTheme="minorHAnsi" w:hAnsiTheme="minorHAnsi" w:cstheme="minorHAnsi"/>
        </w:rPr>
      </w:pPr>
      <w:r w:rsidRPr="005567A0">
        <w:rPr>
          <w:rFonts w:asciiTheme="minorHAnsi" w:hAnsiTheme="minorHAnsi" w:cstheme="minorHAnsi"/>
          <w:noProof/>
        </w:rPr>
        <w:drawing>
          <wp:inline distT="0" distB="0" distL="0" distR="0" wp14:anchorId="1FF6D94A" wp14:editId="0AB31EE9">
            <wp:extent cx="5132717" cy="819673"/>
            <wp:effectExtent l="0" t="0" r="0" b="0"/>
            <wp:docPr id="1124373706"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73706" name="Graphic 2">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5287861" cy="844449"/>
                    </a:xfrm>
                    <a:prstGeom prst="rect">
                      <a:avLst/>
                    </a:prstGeom>
                  </pic:spPr>
                </pic:pic>
              </a:graphicData>
            </a:graphic>
          </wp:inline>
        </w:drawing>
      </w:r>
    </w:p>
    <w:p w14:paraId="56EAEBBB" w14:textId="77777777" w:rsidR="0087599B" w:rsidRDefault="0087599B" w:rsidP="0087599B">
      <w:pPr>
        <w:pStyle w:val="Importance"/>
      </w:pPr>
      <w:r>
        <w:t>Important Notice: Aged Care Act Update</w:t>
      </w:r>
    </w:p>
    <w:p w14:paraId="0D624153" w14:textId="77777777" w:rsidR="0087599B" w:rsidRDefault="0087599B" w:rsidP="0087599B">
      <w:pPr>
        <w:pStyle w:val="Boxtext"/>
      </w:pPr>
      <w:r>
        <w:t xml:space="preserve">The </w:t>
      </w:r>
      <w:r w:rsidRPr="0087599B">
        <w:rPr>
          <w:rStyle w:val="Emphasis"/>
        </w:rPr>
        <w:t>Aged Care Act 1997</w:t>
      </w:r>
      <w:r>
        <w:t xml:space="preserve"> and the A</w:t>
      </w:r>
      <w:r w:rsidRPr="0087599B">
        <w:rPr>
          <w:rStyle w:val="Emphasis"/>
        </w:rPr>
        <w:t>ged Care Act 2024</w:t>
      </w:r>
      <w:r>
        <w:t xml:space="preserve"> along with their associated Principles and Rules, are relevant legislation for the 2025-26 reporting year.</w:t>
      </w:r>
    </w:p>
    <w:p w14:paraId="0D70BF35" w14:textId="77777777" w:rsidR="0087599B" w:rsidRDefault="0087599B" w:rsidP="0087599B">
      <w:pPr>
        <w:pStyle w:val="Boxtext"/>
      </w:pPr>
      <w:r>
        <w:t>Registered providers (providers) are required to report prudential information in accordance with the legislative framework that applied at the time the obligations were in force.</w:t>
      </w:r>
    </w:p>
    <w:p w14:paraId="3964149E" w14:textId="77777777" w:rsidR="0087599B" w:rsidRDefault="0087599B" w:rsidP="0087599B">
      <w:pPr>
        <w:pStyle w:val="Boxtext"/>
      </w:pPr>
      <w:r>
        <w:t>As the governing legislation changed part way through the reporting period, providers must report against the relevant prudential requirements for each applicable period as outlined below:</w:t>
      </w:r>
    </w:p>
    <w:p w14:paraId="4F77CC5C" w14:textId="38C8BC2A" w:rsidR="0087599B" w:rsidRDefault="0087599B" w:rsidP="006F2E69">
      <w:pPr>
        <w:pStyle w:val="Boxtext"/>
        <w:ind w:firstLine="284"/>
      </w:pPr>
      <w:r>
        <w:sym w:font="Wingdings 2" w:char="F0A1"/>
      </w:r>
      <w:r>
        <w:tab/>
        <w:t xml:space="preserve">1 July 2025 to 31 October 2025 - </w:t>
      </w:r>
      <w:r w:rsidRPr="006F2E69">
        <w:t xml:space="preserve">the </w:t>
      </w:r>
      <w:r w:rsidRPr="006F2E69">
        <w:rPr>
          <w:rStyle w:val="Emphasis"/>
        </w:rPr>
        <w:t>Aged Care Act 1997</w:t>
      </w:r>
      <w:r>
        <w:t xml:space="preserve"> (the old Act) and the Fees and Payments Principles 2014 (No.2) (the </w:t>
      </w:r>
      <w:proofErr w:type="gramStart"/>
      <w:r>
        <w:t>Principles</w:t>
      </w:r>
      <w:proofErr w:type="gramEnd"/>
      <w:r>
        <w:t>), including the Prudential Standards (the old Standards)</w:t>
      </w:r>
    </w:p>
    <w:p w14:paraId="060B4972" w14:textId="1DAC1B59" w:rsidR="0087599B" w:rsidRPr="0087599B" w:rsidRDefault="0087599B" w:rsidP="006F2E69">
      <w:pPr>
        <w:pStyle w:val="Boxtext"/>
        <w:ind w:firstLine="284"/>
      </w:pPr>
      <w:r>
        <w:sym w:font="Wingdings 2" w:char="F0A1"/>
      </w:r>
      <w:r>
        <w:tab/>
        <w:t xml:space="preserve">1 November 2025 to 30 June 2026 - the </w:t>
      </w:r>
      <w:r w:rsidRPr="006F2E69">
        <w:rPr>
          <w:rStyle w:val="Emphasis"/>
        </w:rPr>
        <w:t>Aged Care Act 2024</w:t>
      </w:r>
      <w:r>
        <w:t xml:space="preserve"> (the new Act), the Aged Care Rules 2025 (the Rules) and the </w:t>
      </w:r>
      <w:r w:rsidRPr="006F2E69">
        <w:rPr>
          <w:rStyle w:val="Emphasis"/>
        </w:rPr>
        <w:t>Aged Care Financial and Prudential Standards 2025</w:t>
      </w:r>
      <w:r>
        <w:t xml:space="preserve"> (the new Standards)</w:t>
      </w:r>
    </w:p>
    <w:p w14:paraId="7EF4C52C" w14:textId="29DF1611" w:rsidR="004C097B" w:rsidRPr="005567A0" w:rsidRDefault="00C164D4" w:rsidP="00892D11">
      <w:pPr>
        <w:pStyle w:val="Title"/>
      </w:pPr>
      <w:r w:rsidRPr="005567A0">
        <w:t xml:space="preserve">Audit Guidance </w:t>
      </w:r>
      <w:r w:rsidR="004C097B" w:rsidRPr="005567A0">
        <w:t>A</w:t>
      </w:r>
      <w:r w:rsidR="00C810B1" w:rsidRPr="005567A0">
        <w:t xml:space="preserve">nnual </w:t>
      </w:r>
      <w:r w:rsidR="004C097B" w:rsidRPr="005567A0">
        <w:t>P</w:t>
      </w:r>
      <w:r w:rsidR="00C810B1" w:rsidRPr="005567A0">
        <w:t xml:space="preserve">rudential </w:t>
      </w:r>
      <w:r w:rsidR="004C097B" w:rsidRPr="005567A0">
        <w:t>C</w:t>
      </w:r>
      <w:r w:rsidR="00C810B1" w:rsidRPr="005567A0">
        <w:t xml:space="preserve">ompliance </w:t>
      </w:r>
      <w:r w:rsidR="004C097B" w:rsidRPr="005567A0">
        <w:t>S</w:t>
      </w:r>
      <w:r w:rsidR="00C810B1" w:rsidRPr="005567A0">
        <w:t>tatement</w:t>
      </w:r>
    </w:p>
    <w:p w14:paraId="404FF1E1" w14:textId="3DB03985" w:rsidR="00D22417" w:rsidRDefault="003670D0" w:rsidP="0087599B">
      <w:pPr>
        <w:rPr>
          <w:lang w:val="en-US"/>
        </w:rPr>
      </w:pPr>
      <w:r>
        <w:rPr>
          <w:lang w:val="en-US"/>
        </w:rPr>
        <w:t>P</w:t>
      </w:r>
      <w:r w:rsidR="004C4BC2">
        <w:rPr>
          <w:lang w:val="en-US"/>
        </w:rPr>
        <w:t xml:space="preserve">roviders are required </w:t>
      </w:r>
      <w:r w:rsidR="0034348E">
        <w:rPr>
          <w:lang w:val="en-US"/>
        </w:rPr>
        <w:t xml:space="preserve">to report on compliance with prudential obligations by submitting </w:t>
      </w:r>
      <w:r w:rsidR="004E5E75">
        <w:rPr>
          <w:lang w:val="en-US"/>
        </w:rPr>
        <w:t>an</w:t>
      </w:r>
      <w:r w:rsidR="0034348E">
        <w:rPr>
          <w:lang w:val="en-US"/>
        </w:rPr>
        <w:t xml:space="preserve"> Annual Prudential Compliance Statement</w:t>
      </w:r>
      <w:r w:rsidR="00DB7FF5">
        <w:rPr>
          <w:lang w:val="en-US"/>
        </w:rPr>
        <w:t xml:space="preserve"> (APCS)</w:t>
      </w:r>
      <w:r w:rsidR="00875C00">
        <w:rPr>
          <w:lang w:val="en-US"/>
        </w:rPr>
        <w:t>,</w:t>
      </w:r>
      <w:r>
        <w:rPr>
          <w:lang w:val="en-US"/>
        </w:rPr>
        <w:t xml:space="preserve"> as part of </w:t>
      </w:r>
      <w:r w:rsidR="004E5E75">
        <w:rPr>
          <w:lang w:val="en-US"/>
        </w:rPr>
        <w:t>their</w:t>
      </w:r>
      <w:r>
        <w:rPr>
          <w:lang w:val="en-US"/>
        </w:rPr>
        <w:t xml:space="preserve"> Aged Care Financial Report</w:t>
      </w:r>
      <w:r w:rsidR="00875C00">
        <w:rPr>
          <w:lang w:val="en-US"/>
        </w:rPr>
        <w:t xml:space="preserve"> (ACFR), to the System Governor</w:t>
      </w:r>
      <w:r w:rsidR="00E45619">
        <w:rPr>
          <w:rStyle w:val="FootnoteReference"/>
          <w:rFonts w:cstheme="minorHAnsi"/>
          <w:lang w:val="en-US"/>
        </w:rPr>
        <w:footnoteReference w:id="2"/>
      </w:r>
      <w:r w:rsidR="00827351">
        <w:rPr>
          <w:lang w:val="en-US"/>
        </w:rPr>
        <w:t>.</w:t>
      </w:r>
      <w:r w:rsidR="007768CD">
        <w:rPr>
          <w:lang w:val="en-US"/>
        </w:rPr>
        <w:t xml:space="preserve"> </w:t>
      </w:r>
    </w:p>
    <w:p w14:paraId="5643858B" w14:textId="77777777" w:rsidR="00C921A4" w:rsidRDefault="00C67537" w:rsidP="0087599B">
      <w:pPr>
        <w:rPr>
          <w:lang w:val="en-US"/>
        </w:rPr>
      </w:pPr>
      <w:r w:rsidRPr="008E1642">
        <w:rPr>
          <w:lang w:val="en-US"/>
        </w:rPr>
        <w:t>The APCS contains questions about the number and value of the refundable deposits, accommodation bon</w:t>
      </w:r>
      <w:r w:rsidRPr="008B217A">
        <w:rPr>
          <w:lang w:val="en-US"/>
        </w:rPr>
        <w:t>ds and entry contributions held</w:t>
      </w:r>
      <w:r w:rsidR="00E35481">
        <w:rPr>
          <w:lang w:val="en-US"/>
        </w:rPr>
        <w:t>, the way these funds were managed and expended</w:t>
      </w:r>
      <w:r w:rsidRPr="008B217A">
        <w:rPr>
          <w:lang w:val="en-US"/>
        </w:rPr>
        <w:t xml:space="preserve"> and whether refunds were paid on time. </w:t>
      </w:r>
    </w:p>
    <w:p w14:paraId="27FB7801" w14:textId="5C0E9715" w:rsidR="00C921A4" w:rsidRPr="000D1766" w:rsidRDefault="00597CAB" w:rsidP="0087599B">
      <w:pPr>
        <w:pStyle w:val="ListBullet"/>
      </w:pPr>
      <w:r>
        <w:t>F</w:t>
      </w:r>
      <w:r w:rsidR="00E25AE4" w:rsidRPr="005567A0">
        <w:t xml:space="preserve">or the period 1 July 2025 – </w:t>
      </w:r>
      <w:r w:rsidR="00554ACC" w:rsidRPr="005567A0">
        <w:t>3</w:t>
      </w:r>
      <w:r w:rsidR="00E25AE4" w:rsidRPr="005567A0">
        <w:t xml:space="preserve">1 </w:t>
      </w:r>
      <w:r w:rsidR="00554ACC" w:rsidRPr="005567A0">
        <w:t>October</w:t>
      </w:r>
      <w:r w:rsidR="00E25AE4" w:rsidRPr="005567A0">
        <w:t xml:space="preserve"> 2025, audito</w:t>
      </w:r>
      <w:r w:rsidR="00EF074F" w:rsidRPr="005567A0">
        <w:t xml:space="preserve">rs </w:t>
      </w:r>
      <w:r w:rsidR="00E25AE4" w:rsidRPr="005567A0">
        <w:t xml:space="preserve">will need </w:t>
      </w:r>
      <w:r w:rsidR="00C67537" w:rsidRPr="005567A0">
        <w:t>to assess compliance with Part 5</w:t>
      </w:r>
      <w:r w:rsidR="0026326F" w:rsidRPr="005567A0">
        <w:t xml:space="preserve"> </w:t>
      </w:r>
      <w:r w:rsidR="006C284E" w:rsidRPr="005567A0">
        <w:t>(</w:t>
      </w:r>
      <w:r w:rsidR="009766EA" w:rsidRPr="005567A0">
        <w:t xml:space="preserve">inherently </w:t>
      </w:r>
      <w:r w:rsidR="0026326F" w:rsidRPr="005567A0">
        <w:t>considering compliance with Parts 6 and 7</w:t>
      </w:r>
      <w:r w:rsidR="006C284E" w:rsidRPr="005567A0">
        <w:t>)</w:t>
      </w:r>
      <w:r w:rsidR="00DF2E13" w:rsidRPr="005567A0">
        <w:t xml:space="preserve"> </w:t>
      </w:r>
      <w:r w:rsidR="00FB7AB3" w:rsidRPr="005567A0">
        <w:t xml:space="preserve">of the </w:t>
      </w:r>
      <w:proofErr w:type="gramStart"/>
      <w:r w:rsidR="00FB7AB3" w:rsidRPr="005567A0">
        <w:t>Principles</w:t>
      </w:r>
      <w:proofErr w:type="gramEnd"/>
    </w:p>
    <w:p w14:paraId="5488C353" w14:textId="18EA20CB" w:rsidR="00FE25DD" w:rsidRDefault="00597CAB" w:rsidP="00FE25DD">
      <w:pPr>
        <w:pStyle w:val="ListBullet"/>
      </w:pPr>
      <w:r>
        <w:t>F</w:t>
      </w:r>
      <w:r w:rsidR="00DF2E13" w:rsidRPr="005567A0">
        <w:t xml:space="preserve">rom 1 November 2025 </w:t>
      </w:r>
      <w:r w:rsidR="00537D84" w:rsidRPr="005567A0">
        <w:t>-</w:t>
      </w:r>
      <w:r w:rsidR="00DF2E13" w:rsidRPr="005567A0">
        <w:t xml:space="preserve"> 30 June 2026 auditors will need to assess compliance with </w:t>
      </w:r>
      <w:r w:rsidR="00F80DB4" w:rsidRPr="005567A0">
        <w:t xml:space="preserve">the </w:t>
      </w:r>
      <w:r w:rsidR="00932A59" w:rsidRPr="005567A0">
        <w:t xml:space="preserve">new Standards, </w:t>
      </w:r>
      <w:r w:rsidR="00894136">
        <w:t>s</w:t>
      </w:r>
      <w:r w:rsidR="001F52BF" w:rsidRPr="005567A0">
        <w:t xml:space="preserve">ection 150A of the new Act, </w:t>
      </w:r>
      <w:r w:rsidR="00894136">
        <w:t>s</w:t>
      </w:r>
      <w:r w:rsidR="001F52BF" w:rsidRPr="005567A0">
        <w:t>ections 155</w:t>
      </w:r>
      <w:r w:rsidR="000A2429" w:rsidRPr="005567A0">
        <w:t>-</w:t>
      </w:r>
      <w:r w:rsidR="001F52BF" w:rsidRPr="005567A0">
        <w:t>30, 155</w:t>
      </w:r>
      <w:r w:rsidR="001A6D66" w:rsidRPr="005567A0">
        <w:t>-</w:t>
      </w:r>
      <w:r w:rsidR="001F52BF" w:rsidRPr="005567A0">
        <w:t>35 and 166</w:t>
      </w:r>
      <w:r w:rsidR="001A6D66" w:rsidRPr="005567A0">
        <w:t>-</w:t>
      </w:r>
      <w:r w:rsidR="001F52BF" w:rsidRPr="005567A0">
        <w:t>360 to 166</w:t>
      </w:r>
      <w:r w:rsidR="001A6D66" w:rsidRPr="005567A0">
        <w:t>-</w:t>
      </w:r>
      <w:r w:rsidR="001F52BF" w:rsidRPr="005567A0">
        <w:t xml:space="preserve">385 of the </w:t>
      </w:r>
      <w:r w:rsidR="00133339" w:rsidRPr="005567A0">
        <w:t>Rules.</w:t>
      </w:r>
    </w:p>
    <w:p w14:paraId="68F8CE35" w14:textId="77777777" w:rsidR="00FE25DD" w:rsidRDefault="00FE25DD" w:rsidP="00FE25DD">
      <w:pPr>
        <w:rPr>
          <w:rFonts w:asciiTheme="minorHAnsi" w:hAnsiTheme="minorHAnsi" w:cstheme="minorHAnsi"/>
        </w:rPr>
      </w:pPr>
      <w:r>
        <w:br w:type="page"/>
      </w:r>
    </w:p>
    <w:p w14:paraId="4B35E6AA" w14:textId="686C0C8C" w:rsidR="0087599B" w:rsidRPr="0087599B" w:rsidRDefault="0087599B" w:rsidP="0087599B">
      <w:pPr>
        <w:pStyle w:val="Bluebox"/>
        <w:rPr>
          <w:rStyle w:val="Strong"/>
        </w:rPr>
      </w:pPr>
      <w:r w:rsidRPr="0087599B">
        <w:rPr>
          <w:rStyle w:val="Strong"/>
        </w:rPr>
        <w:lastRenderedPageBreak/>
        <w:t>Note:</w:t>
      </w:r>
    </w:p>
    <w:p w14:paraId="5452C9BE" w14:textId="43564DFF" w:rsidR="0087599B" w:rsidRDefault="0087599B" w:rsidP="004D7C22">
      <w:pPr>
        <w:pStyle w:val="Bluebox"/>
        <w:ind w:firstLine="284"/>
      </w:pPr>
      <w:r>
        <w:sym w:font="Wingdings 2" w:char="F0A1"/>
      </w:r>
      <w:r>
        <w:tab/>
      </w:r>
      <w:r w:rsidRPr="00307BB5">
        <w:t xml:space="preserve">Under the new legislation the new Standards do not apply to providers that are a government entity or a local government authority (government providers). This does not </w:t>
      </w:r>
      <w:proofErr w:type="gramStart"/>
      <w:r w:rsidRPr="00307BB5">
        <w:t>preclude</w:t>
      </w:r>
      <w:proofErr w:type="gramEnd"/>
      <w:r w:rsidRPr="00307BB5">
        <w:t xml:space="preserve"> government providers from complying with broader financial and prudential obligations and/or from completing an APCS. As such, government providers are still required to have their compliance with certain obligations and APCS audited and include it as part of their APCS submission.</w:t>
      </w:r>
    </w:p>
    <w:p w14:paraId="07126940" w14:textId="742E4C93" w:rsidR="0087599B" w:rsidRDefault="0087599B" w:rsidP="004D7C22">
      <w:pPr>
        <w:pStyle w:val="Bluebox"/>
        <w:ind w:firstLine="284"/>
      </w:pPr>
      <w:r>
        <w:sym w:font="Wingdings 2" w:char="F0A1"/>
      </w:r>
      <w:r>
        <w:tab/>
      </w:r>
      <w:r w:rsidRPr="00307BB5">
        <w:t>As the new Act commenced part way through a ‘reporting quarter’</w:t>
      </w:r>
      <w:r>
        <w:t>,</w:t>
      </w:r>
      <w:r w:rsidRPr="00307BB5">
        <w:t xml:space="preserve"> </w:t>
      </w:r>
      <w:r>
        <w:t xml:space="preserve">providers were not required to comply with </w:t>
      </w:r>
      <w:r w:rsidRPr="00307BB5">
        <w:t xml:space="preserve">the new Liquidity Standard and Investment Standard </w:t>
      </w:r>
      <w:r>
        <w:t xml:space="preserve">until </w:t>
      </w:r>
      <w:r w:rsidRPr="00307BB5">
        <w:t>1 January 2026.</w:t>
      </w:r>
      <w:r>
        <w:t xml:space="preserve"> Auditors should therefore assess compliance with </w:t>
      </w:r>
      <w:r w:rsidRPr="00307BB5">
        <w:t>the new Liquidity Standard and Investment Standard</w:t>
      </w:r>
      <w:r>
        <w:t xml:space="preserve"> from 1 January 2026 onwards.</w:t>
      </w:r>
    </w:p>
    <w:p w14:paraId="685C6CF4" w14:textId="60E179C8" w:rsidR="0087599B" w:rsidRDefault="0087599B" w:rsidP="004D7C22">
      <w:pPr>
        <w:pStyle w:val="Bluebox"/>
        <w:ind w:firstLine="284"/>
      </w:pPr>
      <w:r>
        <w:sym w:font="Wingdings 2" w:char="F0A1"/>
      </w:r>
      <w:r>
        <w:tab/>
      </w:r>
      <w:r w:rsidRPr="0578F4E1">
        <w:t xml:space="preserve">This guide and the example independent audit templates reference </w:t>
      </w:r>
      <w:r>
        <w:t>the legislative framework</w:t>
      </w:r>
      <w:r w:rsidRPr="0578F4E1">
        <w:t xml:space="preserve"> </w:t>
      </w:r>
      <w:r>
        <w:t>that applied during</w:t>
      </w:r>
      <w:r w:rsidRPr="0578F4E1">
        <w:t xml:space="preserve"> each part of the reporting period.</w:t>
      </w:r>
    </w:p>
    <w:p w14:paraId="3CCCA907" w14:textId="77777777" w:rsidR="0087599B" w:rsidRDefault="0087599B" w:rsidP="0087599B">
      <w:pPr>
        <w:pStyle w:val="Bluebox"/>
      </w:pPr>
      <w:r w:rsidRPr="0578F4E1">
        <w:t>Auditors must assess and audit a provider’s compliance across the full 12-month reporting period</w:t>
      </w:r>
      <w:r>
        <w:t>.</w:t>
      </w:r>
      <w:r w:rsidRPr="0578F4E1">
        <w:t xml:space="preserve"> </w:t>
      </w:r>
      <w:r>
        <w:t xml:space="preserve">Auditors </w:t>
      </w:r>
      <w:r w:rsidRPr="0578F4E1">
        <w:t>may choose to present their findings</w:t>
      </w:r>
      <w:r>
        <w:t xml:space="preserve"> as:</w:t>
      </w:r>
    </w:p>
    <w:p w14:paraId="127D49F6" w14:textId="6C51DD80" w:rsidR="0087599B" w:rsidRPr="0087599B" w:rsidRDefault="0087599B" w:rsidP="004D7C22">
      <w:pPr>
        <w:pStyle w:val="Bluebox"/>
        <w:tabs>
          <w:tab w:val="left" w:pos="426"/>
        </w:tabs>
        <w:ind w:firstLine="142"/>
      </w:pPr>
      <w:r>
        <w:sym w:font="Wingdings 2" w:char="F097"/>
      </w:r>
      <w:r>
        <w:tab/>
      </w:r>
      <w:r w:rsidRPr="005567A0">
        <w:t>separate a</w:t>
      </w:r>
      <w:r w:rsidRPr="0087599B">
        <w:t>udit findings for each legislative framework</w:t>
      </w:r>
    </w:p>
    <w:p w14:paraId="6B8B22BA" w14:textId="200A71FF" w:rsidR="0087599B" w:rsidRPr="005567A0" w:rsidRDefault="0087599B" w:rsidP="004D7C22">
      <w:pPr>
        <w:pStyle w:val="Bluebox"/>
        <w:tabs>
          <w:tab w:val="left" w:pos="426"/>
        </w:tabs>
        <w:ind w:firstLine="142"/>
      </w:pPr>
      <w:r>
        <w:sym w:font="Wingdings 2" w:char="F097"/>
      </w:r>
      <w:r>
        <w:tab/>
      </w:r>
      <w:r w:rsidRPr="0087599B">
        <w:t>a single cons</w:t>
      </w:r>
      <w:r w:rsidRPr="005567A0">
        <w:t>olidated audit</w:t>
      </w:r>
    </w:p>
    <w:p w14:paraId="5B2AEA9A" w14:textId="53C03AE5" w:rsidR="00307BB5" w:rsidRPr="00A46299" w:rsidRDefault="0087599B" w:rsidP="0087599B">
      <w:pPr>
        <w:pStyle w:val="Bluebox"/>
        <w:rPr>
          <w:rFonts w:cstheme="minorHAnsi"/>
        </w:rPr>
      </w:pPr>
      <w:r>
        <w:t xml:space="preserve">Where a consolidated approach is taken, the audit </w:t>
      </w:r>
      <w:r w:rsidRPr="42E72F79">
        <w:t>must</w:t>
      </w:r>
      <w:r>
        <w:t xml:space="preserve"> clearly provide an opinion on </w:t>
      </w:r>
      <w:r w:rsidRPr="4042A8EF">
        <w:t xml:space="preserve">the provider’s </w:t>
      </w:r>
      <w:r w:rsidRPr="58D131DF">
        <w:t>compliance with</w:t>
      </w:r>
      <w:r w:rsidRPr="4042A8EF">
        <w:t xml:space="preserve"> </w:t>
      </w:r>
      <w:r w:rsidRPr="4FC3AB2F">
        <w:t xml:space="preserve">the </w:t>
      </w:r>
      <w:r w:rsidRPr="71E0C5D1">
        <w:t>requirements</w:t>
      </w:r>
      <w:r w:rsidRPr="4FC3AB2F">
        <w:t xml:space="preserve"> applicable </w:t>
      </w:r>
      <w:r w:rsidRPr="5884B324">
        <w:t>under each</w:t>
      </w:r>
      <w:r w:rsidRPr="4042A8EF">
        <w:t xml:space="preserve"> </w:t>
      </w:r>
      <w:r w:rsidRPr="1D1F29F6">
        <w:t>legislative</w:t>
      </w:r>
      <w:r w:rsidRPr="363D7B84">
        <w:t xml:space="preserve"> </w:t>
      </w:r>
      <w:r>
        <w:t>framework</w:t>
      </w:r>
      <w:r w:rsidRPr="6E8D36ED">
        <w:t xml:space="preserve"> for the relevant </w:t>
      </w:r>
      <w:r w:rsidRPr="2FBEE498">
        <w:t>period.</w:t>
      </w:r>
    </w:p>
    <w:p w14:paraId="564B9EFD" w14:textId="723B48DC" w:rsidR="00814FEB" w:rsidRPr="005567A0" w:rsidRDefault="00814FEB" w:rsidP="0087599B">
      <w:pPr>
        <w:pStyle w:val="Heading2"/>
      </w:pPr>
      <w:r w:rsidRPr="005567A0">
        <w:t xml:space="preserve">Objectives of this </w:t>
      </w:r>
      <w:r w:rsidR="006B0E7F" w:rsidRPr="000A349B">
        <w:t>g</w:t>
      </w:r>
      <w:r w:rsidRPr="005567A0">
        <w:t>uide</w:t>
      </w:r>
    </w:p>
    <w:p w14:paraId="2E1F3E82" w14:textId="7BE32850" w:rsidR="00814FEB" w:rsidRPr="005567A0" w:rsidRDefault="00814FEB" w:rsidP="005D09FD">
      <w:pPr>
        <w:spacing w:after="0"/>
        <w:rPr>
          <w:rFonts w:asciiTheme="minorHAnsi" w:hAnsiTheme="minorHAnsi" w:cstheme="minorHAnsi"/>
          <w:i/>
          <w:smallCaps/>
        </w:rPr>
      </w:pPr>
      <w:r w:rsidRPr="005567A0">
        <w:rPr>
          <w:rFonts w:asciiTheme="minorHAnsi" w:hAnsiTheme="minorHAnsi" w:cstheme="minorHAnsi"/>
        </w:rPr>
        <w:t xml:space="preserve">This </w:t>
      </w:r>
      <w:r w:rsidR="004B702E" w:rsidRPr="005567A0">
        <w:rPr>
          <w:rFonts w:asciiTheme="minorHAnsi" w:hAnsiTheme="minorHAnsi" w:cstheme="minorHAnsi"/>
        </w:rPr>
        <w:t>g</w:t>
      </w:r>
      <w:r w:rsidRPr="005567A0">
        <w:rPr>
          <w:rFonts w:asciiTheme="minorHAnsi" w:hAnsiTheme="minorHAnsi" w:cstheme="minorHAnsi"/>
        </w:rPr>
        <w:t xml:space="preserve">uide to the </w:t>
      </w:r>
      <w:r w:rsidR="004B702E" w:rsidRPr="005567A0">
        <w:rPr>
          <w:rFonts w:asciiTheme="minorHAnsi" w:hAnsiTheme="minorHAnsi" w:cstheme="minorHAnsi"/>
        </w:rPr>
        <w:t>a</w:t>
      </w:r>
      <w:r w:rsidRPr="005567A0">
        <w:rPr>
          <w:rFonts w:asciiTheme="minorHAnsi" w:hAnsiTheme="minorHAnsi" w:cstheme="minorHAnsi"/>
        </w:rPr>
        <w:t xml:space="preserve">udit of the </w:t>
      </w:r>
      <w:r w:rsidR="004B702E" w:rsidRPr="005567A0">
        <w:rPr>
          <w:rFonts w:asciiTheme="minorHAnsi" w:hAnsiTheme="minorHAnsi" w:cstheme="minorHAnsi"/>
        </w:rPr>
        <w:t>p</w:t>
      </w:r>
      <w:r w:rsidRPr="005567A0">
        <w:rPr>
          <w:rFonts w:asciiTheme="minorHAnsi" w:hAnsiTheme="minorHAnsi" w:cstheme="minorHAnsi"/>
        </w:rPr>
        <w:t>rovider</w:t>
      </w:r>
      <w:r w:rsidR="004360C4">
        <w:rPr>
          <w:rFonts w:asciiTheme="minorHAnsi" w:hAnsiTheme="minorHAnsi" w:cstheme="minorHAnsi"/>
        </w:rPr>
        <w:t>’</w:t>
      </w:r>
      <w:r w:rsidRPr="005567A0">
        <w:rPr>
          <w:rFonts w:asciiTheme="minorHAnsi" w:hAnsiTheme="minorHAnsi" w:cstheme="minorHAnsi"/>
        </w:rPr>
        <w:t xml:space="preserve">s </w:t>
      </w:r>
      <w:r w:rsidR="004B702E" w:rsidRPr="005567A0">
        <w:rPr>
          <w:rFonts w:asciiTheme="minorHAnsi" w:hAnsiTheme="minorHAnsi" w:cstheme="minorHAnsi"/>
        </w:rPr>
        <w:t>c</w:t>
      </w:r>
      <w:r w:rsidRPr="005567A0">
        <w:rPr>
          <w:rFonts w:asciiTheme="minorHAnsi" w:hAnsiTheme="minorHAnsi" w:cstheme="minorHAnsi"/>
        </w:rPr>
        <w:t xml:space="preserve">ompliance with </w:t>
      </w:r>
      <w:r w:rsidR="004B702E" w:rsidRPr="005567A0">
        <w:rPr>
          <w:rFonts w:asciiTheme="minorHAnsi" w:hAnsiTheme="minorHAnsi" w:cstheme="minorHAnsi"/>
        </w:rPr>
        <w:t>p</w:t>
      </w:r>
      <w:r w:rsidRPr="005567A0">
        <w:rPr>
          <w:rFonts w:asciiTheme="minorHAnsi" w:hAnsiTheme="minorHAnsi" w:cstheme="minorHAnsi"/>
        </w:rPr>
        <w:t xml:space="preserve">rudential </w:t>
      </w:r>
      <w:r w:rsidR="004B702E" w:rsidRPr="005567A0">
        <w:rPr>
          <w:rFonts w:asciiTheme="minorHAnsi" w:hAnsiTheme="minorHAnsi" w:cstheme="minorHAnsi"/>
        </w:rPr>
        <w:t>r</w:t>
      </w:r>
      <w:r w:rsidRPr="005567A0">
        <w:rPr>
          <w:rFonts w:asciiTheme="minorHAnsi" w:hAnsiTheme="minorHAnsi" w:cstheme="minorHAnsi"/>
        </w:rPr>
        <w:t>equirements sets out:</w:t>
      </w:r>
    </w:p>
    <w:p w14:paraId="7FADC40F" w14:textId="138E01AA" w:rsidR="00814FEB" w:rsidRPr="005567A0" w:rsidRDefault="00814FEB" w:rsidP="0087599B">
      <w:pPr>
        <w:pStyle w:val="ListBullet"/>
      </w:pPr>
      <w:r w:rsidRPr="005567A0">
        <w:t xml:space="preserve">the expectations regarding the audit of </w:t>
      </w:r>
      <w:r w:rsidR="009E1020" w:rsidRPr="005567A0">
        <w:t xml:space="preserve">a </w:t>
      </w:r>
      <w:r w:rsidRPr="005567A0">
        <w:t>provider</w:t>
      </w:r>
      <w:r w:rsidR="00430401" w:rsidRPr="005567A0">
        <w:t>’</w:t>
      </w:r>
      <w:r w:rsidR="009E1020" w:rsidRPr="005567A0">
        <w:t>s</w:t>
      </w:r>
      <w:r w:rsidRPr="005567A0">
        <w:t xml:space="preserve"> A</w:t>
      </w:r>
      <w:r w:rsidR="009B3838" w:rsidRPr="005567A0">
        <w:t>PCS</w:t>
      </w:r>
    </w:p>
    <w:p w14:paraId="4847748D" w14:textId="7F12C163" w:rsidR="00814FEB" w:rsidRPr="005567A0" w:rsidRDefault="00814FEB" w:rsidP="0087599B">
      <w:pPr>
        <w:pStyle w:val="ListBullet"/>
      </w:pPr>
      <w:r w:rsidRPr="005567A0">
        <w:t xml:space="preserve">information </w:t>
      </w:r>
      <w:r w:rsidR="00CA3981" w:rsidRPr="005567A0">
        <w:t>th</w:t>
      </w:r>
      <w:r w:rsidR="00CA3981">
        <w:t>e</w:t>
      </w:r>
      <w:r w:rsidR="00CA3981" w:rsidRPr="005567A0">
        <w:t xml:space="preserve"> </w:t>
      </w:r>
      <w:r w:rsidRPr="005567A0">
        <w:t xml:space="preserve">auditor </w:t>
      </w:r>
      <w:r w:rsidR="00CA3981">
        <w:t>is</w:t>
      </w:r>
      <w:r w:rsidR="00CA3981" w:rsidRPr="005567A0">
        <w:t xml:space="preserve"> </w:t>
      </w:r>
      <w:r w:rsidRPr="005567A0">
        <w:t>expected to consider in the conduct of their audit.</w:t>
      </w:r>
    </w:p>
    <w:p w14:paraId="0AEB78A4" w14:textId="6ABCF650" w:rsidR="002551D2" w:rsidRPr="0087599B" w:rsidRDefault="002551D2" w:rsidP="0087599B">
      <w:pPr>
        <w:pStyle w:val="Heading2"/>
      </w:pPr>
      <w:r w:rsidRPr="005567A0">
        <w:t>Auditor</w:t>
      </w:r>
      <w:r w:rsidR="004B702E" w:rsidRPr="005567A0">
        <w:t>’</w:t>
      </w:r>
      <w:r w:rsidRPr="005567A0">
        <w:t xml:space="preserve">s </w:t>
      </w:r>
      <w:r w:rsidR="004B702E" w:rsidRPr="0087599B">
        <w:t>r</w:t>
      </w:r>
      <w:r w:rsidRPr="0087599B">
        <w:t>esponsibili</w:t>
      </w:r>
      <w:r w:rsidRPr="005567A0">
        <w:t>ty</w:t>
      </w:r>
    </w:p>
    <w:p w14:paraId="067FE8B9" w14:textId="63BF5D96" w:rsidR="00814FEB" w:rsidRPr="005567A0" w:rsidRDefault="00C73E5D" w:rsidP="00814FEB">
      <w:pPr>
        <w:rPr>
          <w:rFonts w:asciiTheme="minorHAnsi" w:hAnsiTheme="minorHAnsi" w:cstheme="minorHAnsi"/>
          <w:i/>
          <w:smallCaps/>
        </w:rPr>
      </w:pPr>
      <w:r w:rsidRPr="005567A0">
        <w:rPr>
          <w:rFonts w:asciiTheme="minorHAnsi" w:hAnsiTheme="minorHAnsi" w:cstheme="minorHAnsi"/>
        </w:rPr>
        <w:t>The</w:t>
      </w:r>
      <w:r w:rsidR="00E91B7B" w:rsidRPr="005567A0">
        <w:rPr>
          <w:rFonts w:asciiTheme="minorHAnsi" w:hAnsiTheme="minorHAnsi" w:cstheme="minorHAnsi"/>
        </w:rPr>
        <w:t xml:space="preserve"> </w:t>
      </w:r>
      <w:r w:rsidRPr="005567A0">
        <w:rPr>
          <w:rFonts w:asciiTheme="minorHAnsi" w:hAnsiTheme="minorHAnsi" w:cstheme="minorHAnsi"/>
        </w:rPr>
        <w:t>a</w:t>
      </w:r>
      <w:r w:rsidR="00814FEB" w:rsidRPr="005567A0">
        <w:rPr>
          <w:rFonts w:asciiTheme="minorHAnsi" w:hAnsiTheme="minorHAnsi" w:cstheme="minorHAnsi"/>
        </w:rPr>
        <w:t>uditor</w:t>
      </w:r>
      <w:r w:rsidR="00814FEB" w:rsidRPr="005567A0" w:rsidDel="009679A4">
        <w:rPr>
          <w:rFonts w:asciiTheme="minorHAnsi" w:hAnsiTheme="minorHAnsi" w:cstheme="minorHAnsi"/>
        </w:rPr>
        <w:t>’s</w:t>
      </w:r>
      <w:r w:rsidR="00814FEB" w:rsidRPr="005567A0">
        <w:rPr>
          <w:rFonts w:asciiTheme="minorHAnsi" w:hAnsiTheme="minorHAnsi" w:cstheme="minorHAnsi"/>
        </w:rPr>
        <w:t xml:space="preserve"> responsibility is to form and express an opinion on the</w:t>
      </w:r>
      <w:r w:rsidR="00961FD3" w:rsidRPr="005567A0">
        <w:rPr>
          <w:rFonts w:asciiTheme="minorHAnsi" w:hAnsiTheme="minorHAnsi" w:cstheme="minorHAnsi"/>
        </w:rPr>
        <w:t xml:space="preserve"> </w:t>
      </w:r>
      <w:r w:rsidR="00814FEB" w:rsidRPr="005567A0">
        <w:rPr>
          <w:rFonts w:asciiTheme="minorHAnsi" w:hAnsiTheme="minorHAnsi" w:cstheme="minorHAnsi"/>
        </w:rPr>
        <w:t xml:space="preserve">provider’s compliance </w:t>
      </w:r>
      <w:r w:rsidR="00814FEB" w:rsidRPr="0087599B">
        <w:t xml:space="preserve">with </w:t>
      </w:r>
      <w:r w:rsidR="00814FEB" w:rsidRPr="005567A0">
        <w:rPr>
          <w:rFonts w:asciiTheme="minorHAnsi" w:hAnsiTheme="minorHAnsi" w:cstheme="minorHAnsi"/>
        </w:rPr>
        <w:t>matters disclosed through the APCS.</w:t>
      </w:r>
    </w:p>
    <w:p w14:paraId="740FBD12" w14:textId="3294E8F0" w:rsidR="005D09FD" w:rsidRPr="00FE25DD" w:rsidRDefault="00814FEB" w:rsidP="0087599B">
      <w:r w:rsidRPr="005567A0">
        <w:t>The audit is to be conducted in accordance with the applicable Standards on Assurance Engagements (ASAE 3100 Compliance Engagements)</w:t>
      </w:r>
      <w:r w:rsidR="0066691F" w:rsidRPr="005567A0">
        <w:rPr>
          <w:rStyle w:val="FootnoteReference"/>
          <w:rFonts w:asciiTheme="minorHAnsi" w:hAnsiTheme="minorHAnsi" w:cstheme="minorHAnsi"/>
        </w:rPr>
        <w:footnoteReference w:id="3"/>
      </w:r>
      <w:r w:rsidRPr="005567A0">
        <w:t>, issued by the Auditing and Assurance Standards Board and with the requirements of the</w:t>
      </w:r>
      <w:r w:rsidR="00955E01" w:rsidRPr="00DB57DF">
        <w:t xml:space="preserve"> Department of Health, Disability</w:t>
      </w:r>
      <w:r w:rsidRPr="00DB57DF">
        <w:t xml:space="preserve"> </w:t>
      </w:r>
      <w:r w:rsidR="003E5742" w:rsidRPr="00DB57DF">
        <w:t xml:space="preserve">and </w:t>
      </w:r>
      <w:r w:rsidR="00955E01" w:rsidRPr="00DB57DF">
        <w:t xml:space="preserve">Ageing </w:t>
      </w:r>
      <w:r w:rsidR="00955E01">
        <w:t>(</w:t>
      </w:r>
      <w:r w:rsidR="003E5742">
        <w:t xml:space="preserve">the </w:t>
      </w:r>
      <w:r w:rsidRPr="005567A0">
        <w:t>Department</w:t>
      </w:r>
      <w:r w:rsidR="00955E01">
        <w:t>)</w:t>
      </w:r>
      <w:r w:rsidRPr="005567A0">
        <w:t xml:space="preserve"> </w:t>
      </w:r>
      <w:r w:rsidR="003E5742" w:rsidRPr="005567A0">
        <w:t xml:space="preserve">and the </w:t>
      </w:r>
      <w:r w:rsidR="00C876C1">
        <w:t xml:space="preserve">Aged Care Quality and Safety </w:t>
      </w:r>
      <w:r w:rsidR="003E5742" w:rsidRPr="005567A0">
        <w:t xml:space="preserve">Commission </w:t>
      </w:r>
      <w:r w:rsidR="00C876C1">
        <w:t xml:space="preserve">(the Commission) </w:t>
      </w:r>
      <w:r w:rsidRPr="005567A0">
        <w:t xml:space="preserve">as set out in this </w:t>
      </w:r>
      <w:r w:rsidR="004B702E" w:rsidRPr="005567A0">
        <w:t>g</w:t>
      </w:r>
      <w:r w:rsidRPr="005567A0">
        <w:t xml:space="preserve">uide. The audit is to be conducted </w:t>
      </w:r>
      <w:proofErr w:type="gramStart"/>
      <w:r w:rsidRPr="005567A0">
        <w:t>so as to</w:t>
      </w:r>
      <w:proofErr w:type="gramEnd"/>
      <w:r w:rsidRPr="005567A0">
        <w:t xml:space="preserve"> provide the auditor with reasonable assurance that the provider has complied with the matters disclosed through the APCS.</w:t>
      </w:r>
    </w:p>
    <w:p w14:paraId="1AD560C4" w14:textId="211F8CB8" w:rsidR="00814FEB" w:rsidRPr="00404A80" w:rsidRDefault="00814FEB" w:rsidP="0087599B">
      <w:pPr>
        <w:pStyle w:val="Heading2"/>
      </w:pPr>
      <w:r w:rsidRPr="005567A0">
        <w:t xml:space="preserve">Requirement for </w:t>
      </w:r>
      <w:r w:rsidR="004B702E" w:rsidRPr="005567A0">
        <w:t>a</w:t>
      </w:r>
      <w:r w:rsidRPr="005567A0">
        <w:t>udit</w:t>
      </w:r>
    </w:p>
    <w:p w14:paraId="0A3F9A8E" w14:textId="4ECC347D" w:rsidR="00814FEB" w:rsidRPr="00FE25DD" w:rsidRDefault="00814FEB" w:rsidP="62B789B3">
      <w:pPr>
        <w:spacing w:after="0"/>
      </w:pPr>
      <w:r w:rsidRPr="005567A0">
        <w:rPr>
          <w:rFonts w:asciiTheme="minorHAnsi" w:hAnsiTheme="minorHAnsi" w:cstheme="minorHAnsi"/>
        </w:rPr>
        <w:t>To comply with the</w:t>
      </w:r>
      <w:r w:rsidR="2CAD0371" w:rsidRPr="005567A0">
        <w:rPr>
          <w:rFonts w:asciiTheme="minorHAnsi" w:hAnsiTheme="minorHAnsi" w:cstheme="minorHAnsi"/>
        </w:rPr>
        <w:t xml:space="preserve">ir responsibilities under </w:t>
      </w:r>
      <w:r w:rsidR="005C42D1">
        <w:rPr>
          <w:rFonts w:asciiTheme="minorHAnsi" w:hAnsiTheme="minorHAnsi" w:cstheme="minorHAnsi"/>
        </w:rPr>
        <w:t>s</w:t>
      </w:r>
      <w:r w:rsidR="002F1672" w:rsidRPr="005567A0">
        <w:rPr>
          <w:rFonts w:asciiTheme="minorHAnsi" w:hAnsiTheme="minorHAnsi" w:cstheme="minorHAnsi"/>
        </w:rPr>
        <w:t>ection 166</w:t>
      </w:r>
      <w:r w:rsidR="002F1672" w:rsidRPr="005567A0">
        <w:rPr>
          <w:rFonts w:asciiTheme="minorHAnsi" w:hAnsiTheme="minorHAnsi" w:cstheme="minorHAnsi"/>
        </w:rPr>
        <w:noBreakHyphen/>
        <w:t>385</w:t>
      </w:r>
      <w:r w:rsidR="002F1672" w:rsidRPr="005567A0" w:rsidDel="002F1672">
        <w:rPr>
          <w:rFonts w:asciiTheme="minorHAnsi" w:hAnsiTheme="minorHAnsi" w:cstheme="minorHAnsi"/>
        </w:rPr>
        <w:t xml:space="preserve"> </w:t>
      </w:r>
      <w:r w:rsidR="33D77DA6" w:rsidRPr="005567A0">
        <w:rPr>
          <w:rFonts w:asciiTheme="minorHAnsi" w:hAnsiTheme="minorHAnsi" w:cstheme="minorHAnsi"/>
        </w:rPr>
        <w:t xml:space="preserve">of </w:t>
      </w:r>
      <w:proofErr w:type="gramStart"/>
      <w:r w:rsidR="33D77DA6" w:rsidRPr="005567A0">
        <w:rPr>
          <w:rFonts w:asciiTheme="minorHAnsi" w:hAnsiTheme="minorHAnsi" w:cstheme="minorHAnsi"/>
        </w:rPr>
        <w:t xml:space="preserve">the </w:t>
      </w:r>
      <w:r w:rsidR="75BB2F3F" w:rsidRPr="005567A0">
        <w:rPr>
          <w:rFonts w:asciiTheme="minorHAnsi" w:hAnsiTheme="minorHAnsi" w:cstheme="minorHAnsi"/>
        </w:rPr>
        <w:t xml:space="preserve"> Rules</w:t>
      </w:r>
      <w:proofErr w:type="gramEnd"/>
      <w:r w:rsidRPr="005567A0">
        <w:rPr>
          <w:rFonts w:asciiTheme="minorHAnsi" w:hAnsiTheme="minorHAnsi" w:cstheme="minorHAnsi"/>
        </w:rPr>
        <w:t xml:space="preserve">, </w:t>
      </w:r>
      <w:r w:rsidR="008C6EA6" w:rsidRPr="005567A0">
        <w:rPr>
          <w:rFonts w:asciiTheme="minorHAnsi" w:hAnsiTheme="minorHAnsi" w:cstheme="minorHAnsi"/>
        </w:rPr>
        <w:t xml:space="preserve">the </w:t>
      </w:r>
      <w:r w:rsidRPr="005567A0">
        <w:rPr>
          <w:rFonts w:asciiTheme="minorHAnsi" w:hAnsiTheme="minorHAnsi" w:cstheme="minorHAnsi"/>
        </w:rPr>
        <w:t>provider</w:t>
      </w:r>
      <w:r w:rsidR="008C6EA6" w:rsidRPr="005567A0">
        <w:rPr>
          <w:rFonts w:asciiTheme="minorHAnsi" w:hAnsiTheme="minorHAnsi" w:cstheme="minorHAnsi"/>
        </w:rPr>
        <w:t xml:space="preserve"> is</w:t>
      </w:r>
      <w:r w:rsidRPr="005567A0">
        <w:rPr>
          <w:rFonts w:asciiTheme="minorHAnsi" w:hAnsiTheme="minorHAnsi" w:cstheme="minorHAnsi"/>
        </w:rPr>
        <w:t xml:space="preserve"> required to include with their APCS an audit opinion from a registered company auditor</w:t>
      </w:r>
      <w:r w:rsidR="00694891" w:rsidRPr="005567A0">
        <w:rPr>
          <w:rStyle w:val="FootnoteReference"/>
          <w:rFonts w:asciiTheme="minorHAnsi" w:hAnsiTheme="minorHAnsi" w:cstheme="minorHAnsi"/>
        </w:rPr>
        <w:footnoteReference w:id="4"/>
      </w:r>
      <w:r w:rsidR="00B760C6" w:rsidRPr="005567A0">
        <w:rPr>
          <w:rFonts w:asciiTheme="minorHAnsi" w:hAnsiTheme="minorHAnsi" w:cstheme="minorHAnsi"/>
          <w:vertAlign w:val="superscript"/>
        </w:rPr>
        <w:t xml:space="preserve"> </w:t>
      </w:r>
      <w:r w:rsidR="00F020BA" w:rsidRPr="005567A0">
        <w:rPr>
          <w:rFonts w:asciiTheme="minorHAnsi" w:hAnsiTheme="minorHAnsi" w:cstheme="minorHAnsi"/>
        </w:rPr>
        <w:t>(RCA)</w:t>
      </w:r>
      <w:r w:rsidRPr="005567A0">
        <w:rPr>
          <w:rFonts w:asciiTheme="minorHAnsi" w:hAnsiTheme="minorHAnsi" w:cstheme="minorHAnsi"/>
        </w:rPr>
        <w:t xml:space="preserve">, or an auditor approved by the </w:t>
      </w:r>
      <w:r w:rsidR="00C63E8A" w:rsidRPr="005567A0">
        <w:rPr>
          <w:rFonts w:asciiTheme="minorHAnsi" w:hAnsiTheme="minorHAnsi" w:cstheme="minorHAnsi"/>
        </w:rPr>
        <w:t>System Governor</w:t>
      </w:r>
      <w:r w:rsidRPr="005567A0">
        <w:rPr>
          <w:rFonts w:asciiTheme="minorHAnsi" w:hAnsiTheme="minorHAnsi" w:cstheme="minorHAnsi"/>
        </w:rPr>
        <w:t>, addressing the</w:t>
      </w:r>
      <w:r w:rsidR="00961FD3" w:rsidRPr="005567A0">
        <w:rPr>
          <w:rFonts w:asciiTheme="minorHAnsi" w:hAnsiTheme="minorHAnsi" w:cstheme="minorHAnsi"/>
        </w:rPr>
        <w:t xml:space="preserve"> </w:t>
      </w:r>
      <w:r w:rsidRPr="005567A0">
        <w:rPr>
          <w:rFonts w:asciiTheme="minorHAnsi" w:hAnsiTheme="minorHAnsi" w:cstheme="minorHAnsi"/>
        </w:rPr>
        <w:t xml:space="preserve">provider’s compliance with </w:t>
      </w:r>
      <w:r w:rsidR="7F454F1E" w:rsidRPr="005567A0">
        <w:rPr>
          <w:rFonts w:asciiTheme="minorHAnsi" w:hAnsiTheme="minorHAnsi" w:cstheme="minorHAnsi"/>
        </w:rPr>
        <w:t>prudential obligations.</w:t>
      </w:r>
    </w:p>
    <w:p w14:paraId="06EDF12F" w14:textId="18059C17" w:rsidR="00814FEB" w:rsidRPr="00FE25DD" w:rsidRDefault="7F454F1E" w:rsidP="62B789B3">
      <w:pPr>
        <w:spacing w:after="0"/>
      </w:pPr>
      <w:r w:rsidRPr="005567A0">
        <w:rPr>
          <w:rFonts w:asciiTheme="minorHAnsi" w:hAnsiTheme="minorHAnsi" w:cstheme="minorHAnsi"/>
          <w:b/>
        </w:rPr>
        <w:t>For the period 1 July 2025 – 31 October 2025</w:t>
      </w:r>
      <w:r w:rsidRPr="005567A0">
        <w:rPr>
          <w:rFonts w:asciiTheme="minorHAnsi" w:hAnsiTheme="minorHAnsi" w:cstheme="minorHAnsi"/>
        </w:rPr>
        <w:t xml:space="preserve"> the auditor must determine and report on the provider’s compliance with </w:t>
      </w:r>
      <w:r w:rsidR="00814FEB" w:rsidRPr="005567A0">
        <w:rPr>
          <w:rFonts w:asciiTheme="minorHAnsi" w:hAnsiTheme="minorHAnsi" w:cstheme="minorHAnsi"/>
        </w:rPr>
        <w:t xml:space="preserve">Part 5 of the </w:t>
      </w:r>
      <w:proofErr w:type="gramStart"/>
      <w:r w:rsidR="00814FEB" w:rsidRPr="005567A0">
        <w:rPr>
          <w:rFonts w:asciiTheme="minorHAnsi" w:hAnsiTheme="minorHAnsi" w:cstheme="minorHAnsi"/>
        </w:rPr>
        <w:t>Principles</w:t>
      </w:r>
      <w:proofErr w:type="gramEnd"/>
      <w:r w:rsidR="643EC750" w:rsidRPr="005567A0">
        <w:rPr>
          <w:rFonts w:asciiTheme="minorHAnsi" w:hAnsiTheme="minorHAnsi" w:cstheme="minorHAnsi"/>
        </w:rPr>
        <w:t xml:space="preserve"> (and inherently also consider compliance with Parts 6 and 7)</w:t>
      </w:r>
      <w:r w:rsidR="00814FEB" w:rsidRPr="005567A0">
        <w:rPr>
          <w:rFonts w:asciiTheme="minorHAnsi" w:hAnsiTheme="minorHAnsi" w:cstheme="minorHAnsi"/>
        </w:rPr>
        <w:t>. The audit should focus on th</w:t>
      </w:r>
      <w:r w:rsidR="0B095517" w:rsidRPr="005567A0">
        <w:rPr>
          <w:rFonts w:asciiTheme="minorHAnsi" w:hAnsiTheme="minorHAnsi" w:cstheme="minorHAnsi"/>
        </w:rPr>
        <w:t>e</w:t>
      </w:r>
      <w:r w:rsidR="005A1367" w:rsidRPr="005567A0">
        <w:rPr>
          <w:rFonts w:asciiTheme="minorHAnsi" w:hAnsiTheme="minorHAnsi" w:cstheme="minorHAnsi"/>
        </w:rPr>
        <w:t xml:space="preserve"> </w:t>
      </w:r>
      <w:r w:rsidR="00814FEB" w:rsidRPr="005567A0">
        <w:rPr>
          <w:rFonts w:asciiTheme="minorHAnsi" w:hAnsiTheme="minorHAnsi" w:cstheme="minorHAnsi"/>
        </w:rPr>
        <w:t>provider’s compliance with:</w:t>
      </w:r>
    </w:p>
    <w:p w14:paraId="714A5177" w14:textId="228A7E03" w:rsidR="00814FEB" w:rsidRPr="005567A0" w:rsidRDefault="00814FEB" w:rsidP="0087599B">
      <w:pPr>
        <w:pStyle w:val="ListBullet"/>
      </w:pPr>
      <w:r w:rsidRPr="005567A0">
        <w:t>the legislated obligations for managing refundable deposits, bonds and entry contributions, including meeting the statutory timeframes for balance r</w:t>
      </w:r>
      <w:r w:rsidR="00227270" w:rsidRPr="005567A0">
        <w:t>efunds</w:t>
      </w:r>
    </w:p>
    <w:p w14:paraId="4B2447AD" w14:textId="2A41DC3F" w:rsidR="00814FEB" w:rsidRPr="005567A0" w:rsidRDefault="00814FEB" w:rsidP="0578F4E1">
      <w:pPr>
        <w:pStyle w:val="ListParagraph"/>
        <w:numPr>
          <w:ilvl w:val="0"/>
          <w:numId w:val="1"/>
        </w:numPr>
        <w:ind w:left="908" w:hanging="454"/>
        <w:rPr>
          <w:rFonts w:asciiTheme="minorHAnsi" w:hAnsiTheme="minorHAnsi"/>
        </w:rPr>
      </w:pPr>
      <w:r w:rsidRPr="005567A0">
        <w:rPr>
          <w:rFonts w:asciiTheme="minorHAnsi" w:hAnsiTheme="minorHAnsi"/>
        </w:rPr>
        <w:t xml:space="preserve">the </w:t>
      </w:r>
      <w:r w:rsidR="005B3680" w:rsidRPr="005567A0">
        <w:rPr>
          <w:rFonts w:asciiTheme="minorHAnsi" w:hAnsiTheme="minorHAnsi"/>
        </w:rPr>
        <w:t xml:space="preserve">old </w:t>
      </w:r>
      <w:r w:rsidRPr="005567A0">
        <w:rPr>
          <w:rFonts w:asciiTheme="minorHAnsi" w:hAnsiTheme="minorHAnsi"/>
        </w:rPr>
        <w:t>Standards (the Liquidity, Records, Governance and Disclosure Standards)</w:t>
      </w:r>
      <w:r w:rsidR="00227270" w:rsidRPr="00965659">
        <w:rPr>
          <w:rStyle w:val="FootnoteReference"/>
          <w:rFonts w:asciiTheme="minorHAnsi" w:hAnsiTheme="minorHAnsi" w:cstheme="minorHAnsi"/>
        </w:rPr>
        <w:footnoteReference w:id="5"/>
      </w:r>
    </w:p>
    <w:p w14:paraId="6D419AB0" w14:textId="4091CED1" w:rsidR="00592E41" w:rsidRPr="005567A0" w:rsidRDefault="00814FEB" w:rsidP="0087599B">
      <w:pPr>
        <w:pStyle w:val="ListBullet"/>
      </w:pPr>
      <w:r w:rsidRPr="005567A0">
        <w:t>the permitted uses</w:t>
      </w:r>
      <w:r w:rsidR="00C67537" w:rsidRPr="00965659">
        <w:rPr>
          <w:rStyle w:val="FootnoteReference"/>
        </w:rPr>
        <w:footnoteReference w:id="6"/>
      </w:r>
      <w:r w:rsidR="004B702E" w:rsidRPr="005567A0">
        <w:rPr>
          <w:rStyle w:val="FootnoteReference"/>
        </w:rPr>
        <w:t xml:space="preserve"> </w:t>
      </w:r>
      <w:r w:rsidRPr="005567A0">
        <w:t>of refundable deposits and bonds</w:t>
      </w:r>
    </w:p>
    <w:p w14:paraId="67BB8D8C" w14:textId="4FD63959" w:rsidR="00814FEB" w:rsidRPr="005567A0" w:rsidRDefault="00E75C67" w:rsidP="0087599B">
      <w:pPr>
        <w:pStyle w:val="ListBullet"/>
      </w:pPr>
      <w:r w:rsidRPr="005567A0">
        <w:t xml:space="preserve">the legislated obligations </w:t>
      </w:r>
      <w:r w:rsidR="00A72A93" w:rsidRPr="005567A0">
        <w:t>around charging accommodation payments and contributions</w:t>
      </w:r>
      <w:r w:rsidR="0052255B" w:rsidRPr="005567A0">
        <w:rPr>
          <w:rStyle w:val="FootnoteReference"/>
        </w:rPr>
        <w:footnoteReference w:id="7"/>
      </w:r>
      <w:r w:rsidR="00814FEB" w:rsidRPr="005567A0">
        <w:t>.</w:t>
      </w:r>
    </w:p>
    <w:p w14:paraId="7B308C5E" w14:textId="4E6348F2" w:rsidR="00814FEB" w:rsidRPr="004C23B3" w:rsidRDefault="1A706DC3" w:rsidP="62B789B3">
      <w:pPr>
        <w:spacing w:after="0"/>
      </w:pPr>
      <w:r w:rsidRPr="005567A0">
        <w:rPr>
          <w:rFonts w:asciiTheme="minorHAnsi" w:hAnsiTheme="minorHAnsi" w:cstheme="minorHAnsi"/>
          <w:b/>
        </w:rPr>
        <w:t>For the period 1 November 2025 – 30 June 2026</w:t>
      </w:r>
      <w:r w:rsidRPr="005567A0">
        <w:rPr>
          <w:rFonts w:asciiTheme="minorHAnsi" w:hAnsiTheme="minorHAnsi" w:cstheme="minorHAnsi"/>
        </w:rPr>
        <w:t xml:space="preserve"> the auditor must determine and report on the provider’s compliance with </w:t>
      </w:r>
      <w:r w:rsidR="00F6248C" w:rsidRPr="005567A0">
        <w:rPr>
          <w:rFonts w:asciiTheme="minorHAnsi" w:hAnsiTheme="minorHAnsi" w:cstheme="minorHAnsi"/>
        </w:rPr>
        <w:t xml:space="preserve">the </w:t>
      </w:r>
      <w:r w:rsidR="00EE4299" w:rsidRPr="005567A0">
        <w:rPr>
          <w:rFonts w:asciiTheme="minorHAnsi" w:hAnsiTheme="minorHAnsi" w:cstheme="minorHAnsi"/>
        </w:rPr>
        <w:t xml:space="preserve">new Standards, </w:t>
      </w:r>
      <w:r w:rsidR="00990A82">
        <w:rPr>
          <w:rFonts w:asciiTheme="minorHAnsi" w:hAnsiTheme="minorHAnsi" w:cstheme="minorHAnsi"/>
        </w:rPr>
        <w:t>s</w:t>
      </w:r>
      <w:r w:rsidR="00EE4299" w:rsidRPr="005567A0">
        <w:rPr>
          <w:rFonts w:asciiTheme="minorHAnsi" w:hAnsiTheme="minorHAnsi" w:cstheme="minorHAnsi"/>
        </w:rPr>
        <w:t xml:space="preserve">ection 150A of the new Act, </w:t>
      </w:r>
      <w:r w:rsidR="005C42D1">
        <w:rPr>
          <w:rFonts w:asciiTheme="minorHAnsi" w:hAnsiTheme="minorHAnsi" w:cstheme="minorHAnsi"/>
        </w:rPr>
        <w:t>s</w:t>
      </w:r>
      <w:r w:rsidR="00EE4299" w:rsidRPr="005567A0">
        <w:rPr>
          <w:rFonts w:asciiTheme="minorHAnsi" w:hAnsiTheme="minorHAnsi" w:cstheme="minorHAnsi"/>
        </w:rPr>
        <w:t>ections 155</w:t>
      </w:r>
      <w:r w:rsidR="00EE4299" w:rsidRPr="00EE4299">
        <w:rPr>
          <w:rFonts w:ascii="Cambria Math" w:hAnsi="Cambria Math" w:cs="Cambria Math"/>
        </w:rPr>
        <w:t>‑</w:t>
      </w:r>
      <w:r w:rsidR="00EE4299" w:rsidRPr="005567A0">
        <w:rPr>
          <w:rFonts w:asciiTheme="minorHAnsi" w:hAnsiTheme="minorHAnsi" w:cstheme="minorHAnsi"/>
        </w:rPr>
        <w:t>30, 155</w:t>
      </w:r>
      <w:r w:rsidR="00EE4299" w:rsidRPr="00EE4299">
        <w:rPr>
          <w:rFonts w:ascii="Cambria Math" w:hAnsi="Cambria Math" w:cs="Cambria Math"/>
        </w:rPr>
        <w:t>‑</w:t>
      </w:r>
      <w:r w:rsidR="00EE4299" w:rsidRPr="005567A0">
        <w:rPr>
          <w:rFonts w:asciiTheme="minorHAnsi" w:hAnsiTheme="minorHAnsi" w:cstheme="minorHAnsi"/>
        </w:rPr>
        <w:t>35 and 166</w:t>
      </w:r>
      <w:r w:rsidR="00EE4299" w:rsidRPr="00EE4299">
        <w:rPr>
          <w:rFonts w:ascii="Cambria Math" w:hAnsi="Cambria Math" w:cs="Cambria Math"/>
        </w:rPr>
        <w:t>‑</w:t>
      </w:r>
      <w:r w:rsidR="00EE4299" w:rsidRPr="005567A0">
        <w:rPr>
          <w:rFonts w:asciiTheme="minorHAnsi" w:hAnsiTheme="minorHAnsi" w:cstheme="minorHAnsi"/>
        </w:rPr>
        <w:t>360 to 166</w:t>
      </w:r>
      <w:r w:rsidR="00EE4299" w:rsidRPr="00EE4299">
        <w:rPr>
          <w:rFonts w:ascii="Cambria Math" w:hAnsi="Cambria Math" w:cs="Cambria Math"/>
        </w:rPr>
        <w:t>‑</w:t>
      </w:r>
      <w:r w:rsidR="00EE4299" w:rsidRPr="005567A0">
        <w:rPr>
          <w:rFonts w:asciiTheme="minorHAnsi" w:hAnsiTheme="minorHAnsi" w:cstheme="minorHAnsi"/>
        </w:rPr>
        <w:t>385 of the Rules.</w:t>
      </w:r>
      <w:r w:rsidR="3D802419" w:rsidRPr="005567A0">
        <w:rPr>
          <w:rFonts w:asciiTheme="minorHAnsi" w:hAnsiTheme="minorHAnsi" w:cstheme="minorHAnsi"/>
        </w:rPr>
        <w:t xml:space="preserve"> </w:t>
      </w:r>
      <w:r w:rsidRPr="005567A0">
        <w:rPr>
          <w:rFonts w:asciiTheme="minorHAnsi" w:hAnsiTheme="minorHAnsi" w:cstheme="minorHAnsi"/>
        </w:rPr>
        <w:t>The audit should focus on the</w:t>
      </w:r>
      <w:r w:rsidR="6F7B7C60" w:rsidRPr="005567A0">
        <w:rPr>
          <w:rFonts w:asciiTheme="minorHAnsi" w:hAnsiTheme="minorHAnsi" w:cstheme="minorHAnsi"/>
        </w:rPr>
        <w:t xml:space="preserve"> </w:t>
      </w:r>
      <w:r w:rsidRPr="005567A0">
        <w:rPr>
          <w:rFonts w:asciiTheme="minorHAnsi" w:hAnsiTheme="minorHAnsi" w:cstheme="minorHAnsi"/>
        </w:rPr>
        <w:t>provider’s compliance with:</w:t>
      </w:r>
    </w:p>
    <w:p w14:paraId="7F71A1D5" w14:textId="6A1A0330" w:rsidR="00814FEB" w:rsidRPr="005567A0" w:rsidRDefault="007C0CE1" w:rsidP="0087599B">
      <w:pPr>
        <w:pStyle w:val="ListBullet"/>
      </w:pPr>
      <w:r w:rsidRPr="005567A0">
        <w:t>t</w:t>
      </w:r>
      <w:r w:rsidR="34241AC5" w:rsidRPr="005567A0">
        <w:t xml:space="preserve">he </w:t>
      </w:r>
      <w:r w:rsidR="005B3680" w:rsidRPr="005567A0">
        <w:t>new</w:t>
      </w:r>
      <w:r w:rsidR="34241AC5" w:rsidRPr="005567A0">
        <w:t xml:space="preserve"> Standards</w:t>
      </w:r>
    </w:p>
    <w:p w14:paraId="3F68B0B1" w14:textId="02F93949" w:rsidR="00814FEB" w:rsidRPr="004C23B3" w:rsidRDefault="1A706DC3" w:rsidP="0087599B">
      <w:pPr>
        <w:pStyle w:val="ListBullet"/>
      </w:pPr>
      <w:r w:rsidRPr="005567A0">
        <w:t xml:space="preserve">the </w:t>
      </w:r>
      <w:r w:rsidR="278F7742" w:rsidRPr="005567A0">
        <w:t xml:space="preserve">record keeping obligations under </w:t>
      </w:r>
      <w:r w:rsidR="005C42D1" w:rsidRPr="005567A0">
        <w:t>s</w:t>
      </w:r>
      <w:r w:rsidR="278F7742" w:rsidRPr="005567A0">
        <w:t xml:space="preserve">ection 150A of the </w:t>
      </w:r>
      <w:r w:rsidR="006029F4" w:rsidRPr="005567A0">
        <w:t xml:space="preserve">new </w:t>
      </w:r>
      <w:r w:rsidR="278F7742" w:rsidRPr="005567A0">
        <w:t>Act</w:t>
      </w:r>
    </w:p>
    <w:p w14:paraId="12505A1A" w14:textId="67B27A89" w:rsidR="00814FEB" w:rsidRPr="004C23B3" w:rsidRDefault="1A706DC3" w:rsidP="0087599B">
      <w:pPr>
        <w:pStyle w:val="ListBullet"/>
      </w:pPr>
      <w:r w:rsidRPr="005567A0">
        <w:t xml:space="preserve">legislated obligations for </w:t>
      </w:r>
      <w:r w:rsidR="028C0FB8" w:rsidRPr="005567A0">
        <w:t>disclosing information relating to a provider’s management and use of refundable deposits</w:t>
      </w:r>
      <w:r w:rsidR="0014751B" w:rsidRPr="005567A0">
        <w:rPr>
          <w:rStyle w:val="FootnoteReference"/>
        </w:rPr>
        <w:footnoteReference w:id="8"/>
      </w:r>
      <w:r w:rsidR="028C0FB8" w:rsidRPr="005567A0">
        <w:t xml:space="preserve"> </w:t>
      </w:r>
    </w:p>
    <w:p w14:paraId="77BADE8F" w14:textId="0B00F516" w:rsidR="00814FEB" w:rsidRPr="004C23B3" w:rsidRDefault="1A706DC3" w:rsidP="0087599B">
      <w:pPr>
        <w:pStyle w:val="ListBullet"/>
      </w:pPr>
      <w:r w:rsidRPr="005567A0">
        <w:t>managing refundable deposits, bonds and entry contributions, including meeting the statutory timeframes for balance refunds</w:t>
      </w:r>
    </w:p>
    <w:p w14:paraId="166AC089" w14:textId="2E1747C3" w:rsidR="00814FEB" w:rsidRPr="005567A0" w:rsidRDefault="1A706DC3" w:rsidP="0087599B">
      <w:pPr>
        <w:pStyle w:val="ListBullet"/>
      </w:pPr>
      <w:r w:rsidRPr="005567A0">
        <w:t>the permitted uses</w:t>
      </w:r>
      <w:r w:rsidR="00814FEB" w:rsidRPr="005567A0">
        <w:rPr>
          <w:rStyle w:val="FootnoteReference"/>
        </w:rPr>
        <w:footnoteReference w:id="9"/>
      </w:r>
      <w:r w:rsidRPr="005567A0">
        <w:t xml:space="preserve"> of refundable deposits and bonds</w:t>
      </w:r>
    </w:p>
    <w:p w14:paraId="35884BF6" w14:textId="6738CC90" w:rsidR="00A72A93" w:rsidRPr="005567A0" w:rsidRDefault="00E75C67" w:rsidP="0087599B">
      <w:pPr>
        <w:pStyle w:val="ListBullet"/>
      </w:pPr>
      <w:r w:rsidRPr="005567A0">
        <w:t xml:space="preserve">the legislated obligations </w:t>
      </w:r>
      <w:r w:rsidR="00A72A93" w:rsidRPr="005567A0">
        <w:t>around charging accommodation payments and contributions</w:t>
      </w:r>
      <w:r w:rsidR="00910CF6" w:rsidRPr="005567A0">
        <w:rPr>
          <w:rStyle w:val="FootnoteReference"/>
        </w:rPr>
        <w:footnoteReference w:id="10"/>
      </w:r>
      <w:r w:rsidRPr="005567A0">
        <w:t>.</w:t>
      </w:r>
    </w:p>
    <w:p w14:paraId="10359DE8" w14:textId="73F77571" w:rsidR="00655946" w:rsidRDefault="00655946">
      <w:pPr>
        <w:spacing w:before="0" w:after="0"/>
      </w:pPr>
      <w:r>
        <w:br w:type="page"/>
      </w:r>
    </w:p>
    <w:p w14:paraId="7D6D7D3D" w14:textId="0E73EC1C" w:rsidR="00814FEB" w:rsidRPr="004C23B3" w:rsidRDefault="00B16DA0" w:rsidP="005567A0">
      <w:pPr>
        <w:pStyle w:val="Heading1"/>
        <w:spacing w:before="360"/>
      </w:pPr>
      <w:r w:rsidRPr="005567A0">
        <w:rPr>
          <w:rFonts w:asciiTheme="minorHAnsi" w:hAnsiTheme="minorHAnsi" w:cstheme="minorHAnsi"/>
          <w:color w:val="0070C0"/>
        </w:rPr>
        <w:t xml:space="preserve">THE </w:t>
      </w:r>
      <w:r w:rsidR="0086173E" w:rsidRPr="005567A0">
        <w:rPr>
          <w:rFonts w:asciiTheme="minorHAnsi" w:hAnsiTheme="minorHAnsi" w:cstheme="minorHAnsi"/>
          <w:color w:val="0070C0"/>
        </w:rPr>
        <w:t>INDEPENDENT AUDIT</w:t>
      </w:r>
      <w:r w:rsidRPr="005567A0">
        <w:rPr>
          <w:rFonts w:asciiTheme="minorHAnsi" w:hAnsiTheme="minorHAnsi" w:cstheme="minorHAnsi"/>
          <w:color w:val="0070C0"/>
        </w:rPr>
        <w:t xml:space="preserve"> AND OPINION</w:t>
      </w:r>
    </w:p>
    <w:p w14:paraId="6C6A97DA" w14:textId="0A8740FE" w:rsidR="00814FEB" w:rsidRPr="005567A0" w:rsidRDefault="00814FEB" w:rsidP="00655946">
      <w:pPr>
        <w:pStyle w:val="Heading2"/>
      </w:pPr>
      <w:r w:rsidRPr="005567A0">
        <w:t xml:space="preserve">Who </w:t>
      </w:r>
      <w:r w:rsidR="004B702E" w:rsidRPr="005567A0">
        <w:t>m</w:t>
      </w:r>
      <w:r w:rsidRPr="005567A0">
        <w:t xml:space="preserve">ay </w:t>
      </w:r>
      <w:r w:rsidR="004B702E" w:rsidRPr="005567A0">
        <w:t>c</w:t>
      </w:r>
      <w:r w:rsidRPr="005567A0">
        <w:t xml:space="preserve">onduct an </w:t>
      </w:r>
      <w:r w:rsidR="004B702E" w:rsidRPr="005567A0">
        <w:t>a</w:t>
      </w:r>
      <w:r w:rsidRPr="005567A0">
        <w:t>udit?</w:t>
      </w:r>
    </w:p>
    <w:p w14:paraId="5050686D" w14:textId="7531BF5B" w:rsidR="00814FEB" w:rsidRPr="00607004" w:rsidRDefault="00814FEB" w:rsidP="00712691">
      <w:r w:rsidRPr="005567A0">
        <w:rPr>
          <w:rFonts w:asciiTheme="minorHAnsi" w:hAnsiTheme="minorHAnsi" w:cstheme="minorHAnsi"/>
        </w:rPr>
        <w:t xml:space="preserve">The audit must be performed </w:t>
      </w:r>
      <w:r w:rsidR="00227270" w:rsidRPr="005567A0">
        <w:rPr>
          <w:rFonts w:asciiTheme="minorHAnsi" w:hAnsiTheme="minorHAnsi" w:cstheme="minorHAnsi"/>
        </w:rPr>
        <w:t>by a</w:t>
      </w:r>
      <w:r w:rsidR="00B424C7">
        <w:rPr>
          <w:rFonts w:asciiTheme="minorHAnsi" w:hAnsiTheme="minorHAnsi" w:cstheme="minorHAnsi"/>
        </w:rPr>
        <w:t>n</w:t>
      </w:r>
      <w:r w:rsidR="00227270" w:rsidRPr="005567A0">
        <w:rPr>
          <w:rFonts w:asciiTheme="minorHAnsi" w:hAnsiTheme="minorHAnsi" w:cstheme="minorHAnsi"/>
        </w:rPr>
        <w:t xml:space="preserve"> </w:t>
      </w:r>
      <w:r w:rsidR="00D55AC8" w:rsidRPr="005567A0">
        <w:rPr>
          <w:rFonts w:asciiTheme="minorHAnsi" w:hAnsiTheme="minorHAnsi" w:cstheme="minorHAnsi"/>
        </w:rPr>
        <w:t>RCA</w:t>
      </w:r>
      <w:r w:rsidRPr="005567A0">
        <w:rPr>
          <w:rFonts w:asciiTheme="minorHAnsi" w:hAnsiTheme="minorHAnsi" w:cstheme="minorHAnsi"/>
        </w:rPr>
        <w:t xml:space="preserve"> or by a person who has been approved by the </w:t>
      </w:r>
      <w:r w:rsidR="00DF5128" w:rsidRPr="005567A0">
        <w:rPr>
          <w:rFonts w:asciiTheme="minorHAnsi" w:hAnsiTheme="minorHAnsi" w:cstheme="minorHAnsi"/>
        </w:rPr>
        <w:t xml:space="preserve">System Governor </w:t>
      </w:r>
      <w:r w:rsidRPr="005567A0">
        <w:rPr>
          <w:rFonts w:asciiTheme="minorHAnsi" w:hAnsiTheme="minorHAnsi" w:cstheme="minorHAnsi"/>
        </w:rPr>
        <w:t xml:space="preserve">under </w:t>
      </w:r>
      <w:r w:rsidR="006C1ADB">
        <w:rPr>
          <w:rFonts w:asciiTheme="minorHAnsi" w:hAnsiTheme="minorHAnsi" w:cstheme="minorHAnsi"/>
        </w:rPr>
        <w:t>s</w:t>
      </w:r>
      <w:r w:rsidRPr="005567A0">
        <w:rPr>
          <w:rFonts w:asciiTheme="minorHAnsi" w:hAnsiTheme="minorHAnsi" w:cstheme="minorHAnsi"/>
        </w:rPr>
        <w:t xml:space="preserve">ection </w:t>
      </w:r>
      <w:r w:rsidR="009A3121" w:rsidRPr="005567A0">
        <w:rPr>
          <w:rFonts w:asciiTheme="minorHAnsi" w:hAnsiTheme="minorHAnsi" w:cstheme="minorHAnsi"/>
        </w:rPr>
        <w:t>166</w:t>
      </w:r>
      <w:r w:rsidR="009A3121" w:rsidRPr="005567A0">
        <w:rPr>
          <w:rFonts w:asciiTheme="minorHAnsi" w:hAnsiTheme="minorHAnsi" w:cstheme="minorHAnsi"/>
        </w:rPr>
        <w:noBreakHyphen/>
        <w:t>385</w:t>
      </w:r>
      <w:r w:rsidRPr="005567A0">
        <w:rPr>
          <w:rFonts w:asciiTheme="minorHAnsi" w:hAnsiTheme="minorHAnsi" w:cstheme="minorHAnsi"/>
        </w:rPr>
        <w:t xml:space="preserve"> of the </w:t>
      </w:r>
      <w:r w:rsidR="009A3121" w:rsidRPr="005567A0">
        <w:rPr>
          <w:rFonts w:asciiTheme="minorHAnsi" w:hAnsiTheme="minorHAnsi" w:cstheme="minorHAnsi"/>
        </w:rPr>
        <w:t>Rul</w:t>
      </w:r>
      <w:r w:rsidRPr="005567A0">
        <w:rPr>
          <w:rFonts w:asciiTheme="minorHAnsi" w:hAnsiTheme="minorHAnsi" w:cstheme="minorHAnsi"/>
        </w:rPr>
        <w:t>es. The Auditor-General of a State or Territory is taken to be registered as an auditor.</w:t>
      </w:r>
      <w:r w:rsidR="00227270" w:rsidRPr="005567A0">
        <w:rPr>
          <w:rStyle w:val="FootnoteReference"/>
          <w:rFonts w:asciiTheme="minorHAnsi" w:hAnsiTheme="minorHAnsi" w:cstheme="minorHAnsi"/>
        </w:rPr>
        <w:footnoteReference w:id="11"/>
      </w:r>
      <w:r w:rsidRPr="005567A0">
        <w:rPr>
          <w:rFonts w:asciiTheme="minorHAnsi" w:hAnsiTheme="minorHAnsi" w:cstheme="minorHAnsi"/>
        </w:rPr>
        <w:t xml:space="preserve"> </w:t>
      </w:r>
    </w:p>
    <w:p w14:paraId="37C2FC88" w14:textId="42A1145C" w:rsidR="00814FEB" w:rsidRPr="00607004" w:rsidRDefault="00961FD3" w:rsidP="62B789B3">
      <w:r w:rsidRPr="005567A0">
        <w:rPr>
          <w:rFonts w:asciiTheme="minorHAnsi" w:hAnsiTheme="minorHAnsi" w:cstheme="minorHAnsi"/>
        </w:rPr>
        <w:t xml:space="preserve">Only a </w:t>
      </w:r>
      <w:r w:rsidR="00814FEB" w:rsidRPr="005567A0">
        <w:rPr>
          <w:rFonts w:asciiTheme="minorHAnsi" w:hAnsiTheme="minorHAnsi" w:cstheme="minorHAnsi"/>
        </w:rPr>
        <w:t xml:space="preserve">provider may request </w:t>
      </w:r>
      <w:r w:rsidR="00E55CB3">
        <w:rPr>
          <w:rFonts w:asciiTheme="minorHAnsi" w:hAnsiTheme="minorHAnsi" w:cstheme="minorHAnsi"/>
        </w:rPr>
        <w:t>th</w:t>
      </w:r>
      <w:r w:rsidR="00814FEB" w:rsidRPr="005567A0">
        <w:rPr>
          <w:rFonts w:asciiTheme="minorHAnsi" w:hAnsiTheme="minorHAnsi" w:cstheme="minorHAnsi"/>
        </w:rPr>
        <w:t xml:space="preserve">at their auditor be approved to audit the APCS. </w:t>
      </w:r>
      <w:r w:rsidR="00F71C67" w:rsidRPr="005567A0">
        <w:rPr>
          <w:rFonts w:asciiTheme="minorHAnsi" w:hAnsiTheme="minorHAnsi" w:cstheme="minorHAnsi"/>
        </w:rPr>
        <w:t xml:space="preserve">Any requests for such an alternative auditor should be lodged together with the reasons why an RCA is not available. </w:t>
      </w:r>
      <w:r w:rsidR="006A4AF8" w:rsidRPr="005567A0">
        <w:rPr>
          <w:rFonts w:asciiTheme="minorHAnsi" w:hAnsiTheme="minorHAnsi" w:cstheme="minorHAnsi"/>
        </w:rPr>
        <w:t>A p</w:t>
      </w:r>
      <w:r w:rsidR="00F71C67" w:rsidRPr="005567A0">
        <w:rPr>
          <w:rFonts w:asciiTheme="minorHAnsi" w:hAnsiTheme="minorHAnsi" w:cstheme="minorHAnsi"/>
        </w:rPr>
        <w:t xml:space="preserve">rovider can request an application form for an alternative auditor by </w:t>
      </w:r>
      <w:hyperlink r:id="rId13" w:history="1">
        <w:r w:rsidR="00F71C67" w:rsidRPr="005567A0">
          <w:rPr>
            <w:rStyle w:val="Hyperlink"/>
            <w:rFonts w:asciiTheme="minorHAnsi" w:hAnsiTheme="minorHAnsi" w:cstheme="minorHAnsi"/>
          </w:rPr>
          <w:t>contacting Forms Administration</w:t>
        </w:r>
      </w:hyperlink>
      <w:r w:rsidR="00F71C67" w:rsidRPr="005567A0">
        <w:rPr>
          <w:rFonts w:asciiTheme="minorHAnsi" w:hAnsiTheme="minorHAnsi" w:cstheme="minorHAnsi"/>
        </w:rPr>
        <w:t xml:space="preserve">. Please note, the </w:t>
      </w:r>
      <w:r w:rsidR="00172D5F">
        <w:rPr>
          <w:rFonts w:asciiTheme="minorHAnsi" w:hAnsiTheme="minorHAnsi" w:cstheme="minorHAnsi"/>
        </w:rPr>
        <w:t>D</w:t>
      </w:r>
      <w:r w:rsidR="00F71C67" w:rsidRPr="005567A0">
        <w:rPr>
          <w:rFonts w:asciiTheme="minorHAnsi" w:hAnsiTheme="minorHAnsi" w:cstheme="minorHAnsi"/>
        </w:rPr>
        <w:t>epartment has 28 days in which to process any application for alternative arrangements.</w:t>
      </w:r>
    </w:p>
    <w:p w14:paraId="4E5ECC91" w14:textId="66B26F41" w:rsidR="00814FEB" w:rsidRPr="004C23B3" w:rsidRDefault="00814FEB" w:rsidP="00655946">
      <w:pPr>
        <w:pStyle w:val="Heading2"/>
      </w:pPr>
      <w:r w:rsidRPr="004C23B3">
        <w:t xml:space="preserve">Scope of the </w:t>
      </w:r>
      <w:r w:rsidR="004B702E" w:rsidRPr="004C23B3">
        <w:t>a</w:t>
      </w:r>
      <w:r w:rsidRPr="004C23B3">
        <w:t xml:space="preserve">udit </w:t>
      </w:r>
      <w:r w:rsidR="004B702E" w:rsidRPr="004C23B3">
        <w:t>o</w:t>
      </w:r>
      <w:r w:rsidRPr="004C23B3">
        <w:t>pinion</w:t>
      </w:r>
    </w:p>
    <w:p w14:paraId="7AC5A359" w14:textId="3896D97A" w:rsidR="00814FEB" w:rsidRPr="00607004" w:rsidRDefault="147C37D6" w:rsidP="005567A0">
      <w:pPr>
        <w:spacing w:before="0"/>
      </w:pPr>
      <w:r w:rsidRPr="005567A0">
        <w:rPr>
          <w:rFonts w:asciiTheme="minorHAnsi" w:hAnsiTheme="minorHAnsi" w:cstheme="minorHAnsi"/>
        </w:rPr>
        <w:t xml:space="preserve">It is expected that the </w:t>
      </w:r>
      <w:r w:rsidR="00AF2608">
        <w:rPr>
          <w:rFonts w:asciiTheme="minorHAnsi" w:hAnsiTheme="minorHAnsi" w:cstheme="minorHAnsi"/>
        </w:rPr>
        <w:t>independent audit</w:t>
      </w:r>
      <w:r w:rsidRPr="005567A0">
        <w:rPr>
          <w:rFonts w:asciiTheme="minorHAnsi" w:hAnsiTheme="minorHAnsi" w:cstheme="minorHAnsi"/>
        </w:rPr>
        <w:t xml:space="preserve">, including an audit opinion, will be issued in accordance with the Standard on Assurance Engagements (ASAE 3100 Assurance Engagements Other than Audits or Reviews of Historical Financial Information) issued by the Auditing and Assurance Standards Board. </w:t>
      </w:r>
    </w:p>
    <w:p w14:paraId="745B8884" w14:textId="446D7B99" w:rsidR="00814FEB" w:rsidRPr="00607004" w:rsidRDefault="003E5742" w:rsidP="62B789B3">
      <w:r w:rsidRPr="005567A0">
        <w:rPr>
          <w:rFonts w:asciiTheme="minorHAnsi" w:hAnsiTheme="minorHAnsi" w:cstheme="minorHAnsi"/>
        </w:rPr>
        <w:t xml:space="preserve">It is expected that the auditor’s opinion </w:t>
      </w:r>
      <w:r w:rsidR="00FF4599" w:rsidRPr="005567A0">
        <w:rPr>
          <w:rFonts w:asciiTheme="minorHAnsi" w:hAnsiTheme="minorHAnsi" w:cstheme="minorHAnsi"/>
        </w:rPr>
        <w:t>addresses</w:t>
      </w:r>
      <w:r w:rsidR="00814FEB" w:rsidRPr="005567A0">
        <w:rPr>
          <w:rFonts w:asciiTheme="minorHAnsi" w:hAnsiTheme="minorHAnsi" w:cstheme="minorHAnsi"/>
        </w:rPr>
        <w:t xml:space="preserve"> the provider’s compliance with the requirements of </w:t>
      </w:r>
      <w:r w:rsidR="71B1CE71" w:rsidRPr="005567A0">
        <w:rPr>
          <w:rFonts w:asciiTheme="minorHAnsi" w:hAnsiTheme="minorHAnsi" w:cstheme="minorHAnsi"/>
        </w:rPr>
        <w:t>the legislation applicable during each part of the financial year.</w:t>
      </w:r>
    </w:p>
    <w:p w14:paraId="17478504" w14:textId="78EA890C" w:rsidR="00814FEB" w:rsidRPr="00607004" w:rsidRDefault="1305C43F" w:rsidP="005567A0">
      <w:pPr>
        <w:spacing w:after="240"/>
      </w:pPr>
      <w:r w:rsidRPr="005567A0">
        <w:rPr>
          <w:rFonts w:asciiTheme="minorHAnsi" w:hAnsiTheme="minorHAnsi" w:cstheme="minorHAnsi"/>
        </w:rPr>
        <w:t xml:space="preserve">It is not expected that </w:t>
      </w:r>
      <w:r w:rsidR="00EF19D2" w:rsidRPr="005567A0">
        <w:rPr>
          <w:rFonts w:asciiTheme="minorHAnsi" w:hAnsiTheme="minorHAnsi" w:cstheme="minorHAnsi"/>
        </w:rPr>
        <w:t xml:space="preserve">the </w:t>
      </w:r>
      <w:r w:rsidRPr="005567A0">
        <w:rPr>
          <w:rFonts w:asciiTheme="minorHAnsi" w:hAnsiTheme="minorHAnsi" w:cstheme="minorHAnsi"/>
        </w:rPr>
        <w:t>auditor verif</w:t>
      </w:r>
      <w:r w:rsidR="00EF19D2" w:rsidRPr="005567A0">
        <w:rPr>
          <w:rFonts w:asciiTheme="minorHAnsi" w:hAnsiTheme="minorHAnsi" w:cstheme="minorHAnsi"/>
        </w:rPr>
        <w:t>ies</w:t>
      </w:r>
      <w:r w:rsidRPr="005567A0">
        <w:rPr>
          <w:rFonts w:asciiTheme="minorHAnsi" w:hAnsiTheme="minorHAnsi" w:cstheme="minorHAnsi"/>
        </w:rPr>
        <w:t xml:space="preserve"> free text statements made by a provider in association with non-compliance disclosed in the APCS. However, the auditor should be satisfied that statements are consistent with the</w:t>
      </w:r>
      <w:r w:rsidR="00F65823" w:rsidRPr="005567A0">
        <w:rPr>
          <w:rFonts w:asciiTheme="minorHAnsi" w:hAnsiTheme="minorHAnsi" w:cstheme="minorHAnsi"/>
        </w:rPr>
        <w:t>ir</w:t>
      </w:r>
      <w:r w:rsidRPr="005567A0">
        <w:rPr>
          <w:rFonts w:asciiTheme="minorHAnsi" w:hAnsiTheme="minorHAnsi" w:cstheme="minorHAnsi"/>
        </w:rPr>
        <w:t xml:space="preserve"> knowledge of the</w:t>
      </w:r>
      <w:r w:rsidR="495FE7CD" w:rsidRPr="005567A0">
        <w:rPr>
          <w:rFonts w:asciiTheme="minorHAnsi" w:hAnsiTheme="minorHAnsi" w:cstheme="minorHAnsi"/>
        </w:rPr>
        <w:t xml:space="preserve"> </w:t>
      </w:r>
      <w:r w:rsidRPr="005567A0">
        <w:rPr>
          <w:rFonts w:asciiTheme="minorHAnsi" w:hAnsiTheme="minorHAnsi" w:cstheme="minorHAnsi"/>
        </w:rPr>
        <w:t>provider’s operations.</w:t>
      </w:r>
    </w:p>
    <w:tbl>
      <w:tblPr>
        <w:tblStyle w:val="TableGrid"/>
        <w:tblW w:w="9070" w:type="dxa"/>
        <w:tblLook w:val="06A0" w:firstRow="1" w:lastRow="0" w:firstColumn="1" w:lastColumn="0" w:noHBand="1" w:noVBand="1"/>
      </w:tblPr>
      <w:tblGrid>
        <w:gridCol w:w="4673"/>
        <w:gridCol w:w="4397"/>
      </w:tblGrid>
      <w:tr w:rsidR="62B789B3" w14:paraId="72B9E787" w14:textId="77777777" w:rsidTr="0087599B">
        <w:trPr>
          <w:trHeight w:val="300"/>
          <w:tblHeader/>
        </w:trPr>
        <w:tc>
          <w:tcPr>
            <w:tcW w:w="4673" w:type="dxa"/>
            <w:shd w:val="clear" w:color="auto" w:fill="DBE5F1" w:themeFill="accent1" w:themeFillTint="33"/>
          </w:tcPr>
          <w:p w14:paraId="6FB29D30" w14:textId="57EFA50E" w:rsidR="62B789B3" w:rsidRPr="005567A0" w:rsidRDefault="62B789B3" w:rsidP="005567A0">
            <w:pPr>
              <w:spacing w:before="60" w:after="60"/>
              <w:jc w:val="center"/>
              <w:rPr>
                <w:rFonts w:asciiTheme="minorHAnsi" w:hAnsiTheme="minorHAnsi" w:cstheme="minorHAnsi"/>
                <w:b/>
              </w:rPr>
            </w:pPr>
            <w:r w:rsidRPr="005567A0">
              <w:rPr>
                <w:rFonts w:asciiTheme="minorHAnsi" w:hAnsiTheme="minorHAnsi" w:cstheme="minorHAnsi"/>
                <w:b/>
              </w:rPr>
              <w:t>1 July 2025 – 31 October 202</w:t>
            </w:r>
            <w:r w:rsidR="007F6901" w:rsidRPr="005567A0">
              <w:rPr>
                <w:rFonts w:asciiTheme="minorHAnsi" w:hAnsiTheme="minorHAnsi" w:cstheme="minorHAnsi"/>
                <w:b/>
              </w:rPr>
              <w:t>5</w:t>
            </w:r>
          </w:p>
        </w:tc>
        <w:tc>
          <w:tcPr>
            <w:tcW w:w="4397" w:type="dxa"/>
            <w:shd w:val="clear" w:color="auto" w:fill="DBE5F1" w:themeFill="accent1" w:themeFillTint="33"/>
          </w:tcPr>
          <w:p w14:paraId="6F5DA3D2" w14:textId="21FD5135" w:rsidR="62B789B3" w:rsidRPr="005567A0" w:rsidRDefault="62B789B3" w:rsidP="005567A0">
            <w:pPr>
              <w:spacing w:before="60" w:after="60"/>
              <w:jc w:val="center"/>
              <w:rPr>
                <w:rFonts w:asciiTheme="minorHAnsi" w:hAnsiTheme="minorHAnsi" w:cstheme="minorHAnsi"/>
                <w:b/>
              </w:rPr>
            </w:pPr>
            <w:r w:rsidRPr="005567A0">
              <w:rPr>
                <w:rFonts w:asciiTheme="minorHAnsi" w:hAnsiTheme="minorHAnsi" w:cstheme="minorHAnsi"/>
                <w:b/>
              </w:rPr>
              <w:t>1 November 2025 – 30 June 2026</w:t>
            </w:r>
          </w:p>
        </w:tc>
      </w:tr>
      <w:tr w:rsidR="62B789B3" w14:paraId="25AACE4D" w14:textId="77777777" w:rsidTr="005567A0">
        <w:trPr>
          <w:trHeight w:val="283"/>
        </w:trPr>
        <w:tc>
          <w:tcPr>
            <w:tcW w:w="4673" w:type="dxa"/>
          </w:tcPr>
          <w:p w14:paraId="5B46B6A8" w14:textId="451AD260" w:rsidR="7CFCA59B" w:rsidRPr="005567A0" w:rsidRDefault="7CFCA59B" w:rsidP="005567A0">
            <w:pPr>
              <w:spacing w:before="0"/>
              <w:rPr>
                <w:rFonts w:asciiTheme="minorHAnsi" w:hAnsiTheme="minorHAnsi" w:cstheme="minorHAnsi"/>
                <w:i/>
                <w:smallCaps/>
              </w:rPr>
            </w:pPr>
            <w:r w:rsidRPr="005567A0">
              <w:rPr>
                <w:rFonts w:asciiTheme="minorHAnsi" w:hAnsiTheme="minorHAnsi" w:cstheme="minorHAnsi"/>
              </w:rPr>
              <w:t xml:space="preserve">The </w:t>
            </w:r>
            <w:proofErr w:type="gramStart"/>
            <w:r w:rsidRPr="005567A0">
              <w:rPr>
                <w:rFonts w:asciiTheme="minorHAnsi" w:hAnsiTheme="minorHAnsi" w:cstheme="minorHAnsi"/>
              </w:rPr>
              <w:t>Principles</w:t>
            </w:r>
            <w:proofErr w:type="gramEnd"/>
            <w:r w:rsidRPr="005567A0">
              <w:rPr>
                <w:rFonts w:asciiTheme="minorHAnsi" w:hAnsiTheme="minorHAnsi" w:cstheme="minorHAnsi"/>
              </w:rPr>
              <w:t xml:space="preserve"> require that the auditor’s opinion</w:t>
            </w:r>
            <w:r w:rsidRPr="005567A0">
              <w:rPr>
                <w:rStyle w:val="FootnoteReference"/>
                <w:rFonts w:asciiTheme="minorHAnsi" w:hAnsiTheme="minorHAnsi" w:cstheme="minorHAnsi"/>
              </w:rPr>
              <w:footnoteReference w:id="12"/>
            </w:r>
            <w:r w:rsidRPr="005567A0">
              <w:rPr>
                <w:rFonts w:asciiTheme="minorHAnsi" w:hAnsiTheme="minorHAnsi" w:cstheme="minorHAnsi"/>
              </w:rPr>
              <w:t xml:space="preserve"> addresses: ‘whether the approved provider has complied with this Division (being Part 5 of the Fees and Payments Principles) in the relevant financial year’.</w:t>
            </w:r>
          </w:p>
          <w:p w14:paraId="388C1045" w14:textId="3F9E9ACF" w:rsidR="7CFCA59B" w:rsidRPr="005567A0" w:rsidRDefault="7CFCA59B" w:rsidP="62B789B3">
            <w:pPr>
              <w:rPr>
                <w:rFonts w:asciiTheme="minorHAnsi" w:hAnsiTheme="minorHAnsi" w:cstheme="minorHAnsi"/>
              </w:rPr>
            </w:pPr>
            <w:r w:rsidRPr="005567A0">
              <w:rPr>
                <w:rFonts w:asciiTheme="minorHAnsi" w:hAnsiTheme="minorHAnsi" w:cstheme="minorHAnsi"/>
              </w:rPr>
              <w:t xml:space="preserve">Part 5 of the </w:t>
            </w:r>
            <w:proofErr w:type="gramStart"/>
            <w:r w:rsidRPr="005567A0">
              <w:rPr>
                <w:rFonts w:asciiTheme="minorHAnsi" w:hAnsiTheme="minorHAnsi" w:cstheme="minorHAnsi"/>
              </w:rPr>
              <w:t>Principles</w:t>
            </w:r>
            <w:proofErr w:type="gramEnd"/>
            <w:r w:rsidRPr="005567A0">
              <w:rPr>
                <w:rFonts w:asciiTheme="minorHAnsi" w:hAnsiTheme="minorHAnsi" w:cstheme="minorHAnsi"/>
              </w:rPr>
              <w:t xml:space="preserve"> specifies the matters to be disclosed in the APCS and therefore requires an audit opinion about all matters reported in the APCS.</w:t>
            </w:r>
          </w:p>
          <w:p w14:paraId="786EA9F5" w14:textId="10136552" w:rsidR="62B789B3" w:rsidRPr="005567A0" w:rsidRDefault="00756A54" w:rsidP="005567A0">
            <w:pPr>
              <w:spacing w:after="0"/>
              <w:rPr>
                <w:rFonts w:asciiTheme="minorHAnsi" w:hAnsiTheme="minorHAnsi" w:cstheme="minorHAnsi"/>
              </w:rPr>
            </w:pPr>
            <w:r w:rsidRPr="005567A0">
              <w:rPr>
                <w:rFonts w:asciiTheme="minorHAnsi" w:hAnsiTheme="minorHAnsi" w:cstheme="minorHAnsi"/>
              </w:rPr>
              <w:t>G</w:t>
            </w:r>
            <w:r w:rsidR="004634AF" w:rsidRPr="005567A0">
              <w:rPr>
                <w:rFonts w:asciiTheme="minorHAnsi" w:hAnsiTheme="minorHAnsi" w:cstheme="minorHAnsi"/>
              </w:rPr>
              <w:t>overnment entit</w:t>
            </w:r>
            <w:r w:rsidRPr="005567A0">
              <w:rPr>
                <w:rFonts w:asciiTheme="minorHAnsi" w:hAnsiTheme="minorHAnsi" w:cstheme="minorHAnsi"/>
              </w:rPr>
              <w:t>ies</w:t>
            </w:r>
            <w:r w:rsidR="004634AF" w:rsidRPr="005567A0">
              <w:rPr>
                <w:rFonts w:asciiTheme="minorHAnsi" w:hAnsiTheme="minorHAnsi" w:cstheme="minorHAnsi"/>
              </w:rPr>
              <w:t xml:space="preserve"> or local government authorit</w:t>
            </w:r>
            <w:r w:rsidRPr="005567A0">
              <w:rPr>
                <w:rFonts w:asciiTheme="minorHAnsi" w:hAnsiTheme="minorHAnsi" w:cstheme="minorHAnsi"/>
              </w:rPr>
              <w:t>ies</w:t>
            </w:r>
            <w:r w:rsidR="009763FB" w:rsidRPr="005567A0">
              <w:rPr>
                <w:rFonts w:asciiTheme="minorHAnsi" w:hAnsiTheme="minorHAnsi" w:cstheme="minorHAnsi"/>
              </w:rPr>
              <w:t xml:space="preserve"> </w:t>
            </w:r>
            <w:r w:rsidRPr="005567A0">
              <w:rPr>
                <w:rFonts w:asciiTheme="minorHAnsi" w:hAnsiTheme="minorHAnsi" w:cstheme="minorHAnsi"/>
              </w:rPr>
              <w:t>were</w:t>
            </w:r>
            <w:r w:rsidR="009763FB" w:rsidRPr="005567A0">
              <w:rPr>
                <w:rFonts w:asciiTheme="minorHAnsi" w:hAnsiTheme="minorHAnsi" w:cstheme="minorHAnsi"/>
              </w:rPr>
              <w:t xml:space="preserve"> </w:t>
            </w:r>
            <w:r w:rsidR="00D131E6" w:rsidRPr="005567A0">
              <w:rPr>
                <w:rFonts w:asciiTheme="minorHAnsi" w:hAnsiTheme="minorHAnsi" w:cstheme="minorHAnsi"/>
              </w:rPr>
              <w:t>subject to the old Standards</w:t>
            </w:r>
            <w:r w:rsidR="008B7846" w:rsidRPr="005567A0">
              <w:rPr>
                <w:rFonts w:asciiTheme="minorHAnsi" w:hAnsiTheme="minorHAnsi" w:cstheme="minorHAnsi"/>
              </w:rPr>
              <w:t xml:space="preserve"> during this period.</w:t>
            </w:r>
            <w:r w:rsidR="00D131E6" w:rsidRPr="005567A0">
              <w:rPr>
                <w:rFonts w:asciiTheme="minorHAnsi" w:hAnsiTheme="minorHAnsi" w:cstheme="minorHAnsi"/>
              </w:rPr>
              <w:t xml:space="preserve"> </w:t>
            </w:r>
          </w:p>
        </w:tc>
        <w:tc>
          <w:tcPr>
            <w:tcW w:w="4397" w:type="dxa"/>
          </w:tcPr>
          <w:p w14:paraId="4B0F3365" w14:textId="2E2B3267" w:rsidR="62B789B3" w:rsidRPr="005567A0" w:rsidRDefault="00F154FE" w:rsidP="005567A0">
            <w:pPr>
              <w:spacing w:before="0"/>
              <w:rPr>
                <w:rFonts w:asciiTheme="minorHAnsi" w:hAnsiTheme="minorHAnsi" w:cstheme="minorHAnsi"/>
              </w:rPr>
            </w:pPr>
            <w:r w:rsidRPr="005567A0">
              <w:rPr>
                <w:rFonts w:asciiTheme="minorHAnsi" w:hAnsiTheme="minorHAnsi" w:cstheme="minorHAnsi"/>
              </w:rPr>
              <w:t xml:space="preserve">The Rules </w:t>
            </w:r>
            <w:r w:rsidR="00021D8F" w:rsidRPr="005567A0">
              <w:rPr>
                <w:rFonts w:asciiTheme="minorHAnsi" w:hAnsiTheme="minorHAnsi" w:cstheme="minorHAnsi"/>
              </w:rPr>
              <w:t xml:space="preserve">require that the auditor’s opinion </w:t>
            </w:r>
            <w:r w:rsidR="0086474B" w:rsidRPr="005567A0">
              <w:rPr>
                <w:rFonts w:asciiTheme="minorHAnsi" w:hAnsiTheme="minorHAnsi" w:cstheme="minorHAnsi"/>
              </w:rPr>
              <w:t>addresses: ‘</w:t>
            </w:r>
            <w:r w:rsidR="008E71AB" w:rsidRPr="005567A0">
              <w:rPr>
                <w:rFonts w:asciiTheme="minorHAnsi" w:hAnsiTheme="minorHAnsi" w:cstheme="minorHAnsi"/>
              </w:rPr>
              <w:t>whether the registered provider has complied with</w:t>
            </w:r>
            <w:r w:rsidR="00E468F3" w:rsidRPr="005567A0">
              <w:rPr>
                <w:rFonts w:asciiTheme="minorHAnsi" w:hAnsiTheme="minorHAnsi" w:cstheme="minorHAnsi"/>
              </w:rPr>
              <w:t xml:space="preserve"> </w:t>
            </w:r>
            <w:r w:rsidR="003A0436">
              <w:rPr>
                <w:rFonts w:asciiTheme="minorHAnsi" w:hAnsiTheme="minorHAnsi" w:cstheme="minorHAnsi"/>
              </w:rPr>
              <w:t>s</w:t>
            </w:r>
            <w:r w:rsidR="00E468F3" w:rsidRPr="005567A0">
              <w:rPr>
                <w:rFonts w:asciiTheme="minorHAnsi" w:hAnsiTheme="minorHAnsi" w:cstheme="minorHAnsi"/>
              </w:rPr>
              <w:t xml:space="preserve">ection 150A of the </w:t>
            </w:r>
            <w:r w:rsidR="002D29E7" w:rsidRPr="005567A0">
              <w:rPr>
                <w:rFonts w:asciiTheme="minorHAnsi" w:hAnsiTheme="minorHAnsi" w:cstheme="minorHAnsi"/>
              </w:rPr>
              <w:t>Aged Care</w:t>
            </w:r>
            <w:r w:rsidR="00E468F3" w:rsidRPr="005567A0">
              <w:rPr>
                <w:rFonts w:asciiTheme="minorHAnsi" w:hAnsiTheme="minorHAnsi" w:cstheme="minorHAnsi"/>
              </w:rPr>
              <w:t xml:space="preserve"> Act</w:t>
            </w:r>
            <w:r w:rsidR="002D29E7" w:rsidRPr="005567A0">
              <w:rPr>
                <w:rFonts w:asciiTheme="minorHAnsi" w:hAnsiTheme="minorHAnsi" w:cstheme="minorHAnsi"/>
              </w:rPr>
              <w:t xml:space="preserve"> 2024 and </w:t>
            </w:r>
            <w:r w:rsidR="003A0436">
              <w:rPr>
                <w:rFonts w:asciiTheme="minorHAnsi" w:hAnsiTheme="minorHAnsi" w:cstheme="minorHAnsi"/>
              </w:rPr>
              <w:t>s</w:t>
            </w:r>
            <w:r w:rsidR="00E468F3" w:rsidRPr="005567A0">
              <w:rPr>
                <w:rFonts w:asciiTheme="minorHAnsi" w:hAnsiTheme="minorHAnsi" w:cstheme="minorHAnsi"/>
              </w:rPr>
              <w:t>ections 155</w:t>
            </w:r>
            <w:r w:rsidR="00E468F3" w:rsidRPr="00E468F3">
              <w:rPr>
                <w:rFonts w:ascii="Cambria Math" w:hAnsi="Cambria Math" w:cs="Cambria Math"/>
              </w:rPr>
              <w:t>‑</w:t>
            </w:r>
            <w:r w:rsidR="00E468F3" w:rsidRPr="005567A0">
              <w:rPr>
                <w:rFonts w:asciiTheme="minorHAnsi" w:hAnsiTheme="minorHAnsi" w:cstheme="minorHAnsi"/>
              </w:rPr>
              <w:t>30, 155</w:t>
            </w:r>
            <w:r w:rsidR="00E468F3" w:rsidRPr="00E468F3">
              <w:rPr>
                <w:rFonts w:ascii="Cambria Math" w:hAnsi="Cambria Math" w:cs="Cambria Math"/>
              </w:rPr>
              <w:t>‑</w:t>
            </w:r>
            <w:r w:rsidR="00E468F3" w:rsidRPr="005567A0">
              <w:rPr>
                <w:rFonts w:asciiTheme="minorHAnsi" w:hAnsiTheme="minorHAnsi" w:cstheme="minorHAnsi"/>
              </w:rPr>
              <w:t>35 and 166</w:t>
            </w:r>
            <w:r w:rsidR="00E468F3" w:rsidRPr="00E468F3">
              <w:rPr>
                <w:rFonts w:ascii="Cambria Math" w:hAnsi="Cambria Math" w:cs="Cambria Math"/>
              </w:rPr>
              <w:t>‑</w:t>
            </w:r>
            <w:r w:rsidR="00E468F3" w:rsidRPr="005567A0">
              <w:rPr>
                <w:rFonts w:asciiTheme="minorHAnsi" w:hAnsiTheme="minorHAnsi" w:cstheme="minorHAnsi"/>
              </w:rPr>
              <w:t>360 to 166</w:t>
            </w:r>
            <w:r w:rsidR="00E468F3" w:rsidRPr="00E468F3">
              <w:rPr>
                <w:rFonts w:ascii="Cambria Math" w:hAnsi="Cambria Math" w:cs="Cambria Math"/>
              </w:rPr>
              <w:t>‑</w:t>
            </w:r>
            <w:r w:rsidR="00E468F3" w:rsidRPr="005567A0">
              <w:rPr>
                <w:rFonts w:asciiTheme="minorHAnsi" w:hAnsiTheme="minorHAnsi" w:cstheme="minorHAnsi"/>
              </w:rPr>
              <w:t>385 of th</w:t>
            </w:r>
            <w:r w:rsidR="002D29E7" w:rsidRPr="005567A0">
              <w:rPr>
                <w:rFonts w:asciiTheme="minorHAnsi" w:hAnsiTheme="minorHAnsi" w:cstheme="minorHAnsi"/>
              </w:rPr>
              <w:t xml:space="preserve">is instrument </w:t>
            </w:r>
            <w:r w:rsidR="00C8779E" w:rsidRPr="005567A0">
              <w:rPr>
                <w:rFonts w:asciiTheme="minorHAnsi" w:hAnsiTheme="minorHAnsi" w:cstheme="minorHAnsi"/>
              </w:rPr>
              <w:t>in the reporting period’.</w:t>
            </w:r>
          </w:p>
          <w:p w14:paraId="12C27BA0" w14:textId="49C4EA5B" w:rsidR="009E5F9D" w:rsidRPr="005567A0" w:rsidRDefault="009563DB" w:rsidP="00020A4B">
            <w:pPr>
              <w:rPr>
                <w:rFonts w:asciiTheme="minorHAnsi" w:hAnsiTheme="minorHAnsi" w:cstheme="minorHAnsi"/>
              </w:rPr>
            </w:pPr>
            <w:r w:rsidRPr="005567A0">
              <w:rPr>
                <w:rFonts w:asciiTheme="minorHAnsi" w:hAnsiTheme="minorHAnsi" w:cstheme="minorHAnsi"/>
              </w:rPr>
              <w:t xml:space="preserve">The new standards </w:t>
            </w:r>
            <w:r w:rsidR="009C7AA7" w:rsidRPr="005567A0">
              <w:rPr>
                <w:rFonts w:asciiTheme="minorHAnsi" w:hAnsiTheme="minorHAnsi" w:cstheme="minorHAnsi"/>
              </w:rPr>
              <w:t>specif</w:t>
            </w:r>
            <w:r w:rsidR="00D9080B" w:rsidRPr="005567A0">
              <w:rPr>
                <w:rFonts w:asciiTheme="minorHAnsi" w:hAnsiTheme="minorHAnsi" w:cstheme="minorHAnsi"/>
              </w:rPr>
              <w:t xml:space="preserve">y that </w:t>
            </w:r>
            <w:r w:rsidR="0057228A" w:rsidRPr="005567A0">
              <w:rPr>
                <w:rFonts w:asciiTheme="minorHAnsi" w:hAnsiTheme="minorHAnsi" w:cstheme="minorHAnsi"/>
              </w:rPr>
              <w:t>they</w:t>
            </w:r>
            <w:r w:rsidR="00756A54" w:rsidRPr="005567A0">
              <w:rPr>
                <w:rFonts w:asciiTheme="minorHAnsi" w:hAnsiTheme="minorHAnsi" w:cstheme="minorHAnsi"/>
              </w:rPr>
              <w:t xml:space="preserve"> </w:t>
            </w:r>
            <w:r w:rsidR="0057228A" w:rsidRPr="005567A0">
              <w:rPr>
                <w:rFonts w:asciiTheme="minorHAnsi" w:hAnsiTheme="minorHAnsi" w:cstheme="minorHAnsi"/>
              </w:rPr>
              <w:t>apply to provider</w:t>
            </w:r>
            <w:r w:rsidR="00756A54" w:rsidRPr="005567A0">
              <w:rPr>
                <w:rFonts w:asciiTheme="minorHAnsi" w:hAnsiTheme="minorHAnsi" w:cstheme="minorHAnsi"/>
              </w:rPr>
              <w:t>s</w:t>
            </w:r>
            <w:r w:rsidR="002546E1" w:rsidRPr="005567A0">
              <w:rPr>
                <w:rFonts w:asciiTheme="minorHAnsi" w:hAnsiTheme="minorHAnsi" w:cstheme="minorHAnsi"/>
              </w:rPr>
              <w:t xml:space="preserve"> </w:t>
            </w:r>
            <w:r w:rsidR="0057228A" w:rsidRPr="005567A0">
              <w:rPr>
                <w:rFonts w:asciiTheme="minorHAnsi" w:hAnsiTheme="minorHAnsi" w:cstheme="minorHAnsi"/>
              </w:rPr>
              <w:t xml:space="preserve">that </w:t>
            </w:r>
            <w:r w:rsidR="00756A54" w:rsidRPr="005567A0">
              <w:rPr>
                <w:rFonts w:asciiTheme="minorHAnsi" w:hAnsiTheme="minorHAnsi" w:cstheme="minorHAnsi"/>
              </w:rPr>
              <w:t>are</w:t>
            </w:r>
            <w:r w:rsidR="008252E0" w:rsidRPr="005567A0">
              <w:rPr>
                <w:rFonts w:asciiTheme="minorHAnsi" w:hAnsiTheme="minorHAnsi" w:cstheme="minorHAnsi"/>
              </w:rPr>
              <w:t xml:space="preserve"> not </w:t>
            </w:r>
            <w:r w:rsidR="00D9080B" w:rsidRPr="005567A0">
              <w:rPr>
                <w:rFonts w:asciiTheme="minorHAnsi" w:hAnsiTheme="minorHAnsi" w:cstheme="minorHAnsi"/>
              </w:rPr>
              <w:t>government entit</w:t>
            </w:r>
            <w:r w:rsidR="00756A54" w:rsidRPr="005567A0">
              <w:rPr>
                <w:rFonts w:asciiTheme="minorHAnsi" w:hAnsiTheme="minorHAnsi" w:cstheme="minorHAnsi"/>
              </w:rPr>
              <w:t>ies</w:t>
            </w:r>
            <w:r w:rsidR="00D9080B" w:rsidRPr="005567A0">
              <w:rPr>
                <w:rFonts w:asciiTheme="minorHAnsi" w:hAnsiTheme="minorHAnsi" w:cstheme="minorHAnsi"/>
              </w:rPr>
              <w:t xml:space="preserve"> or local government authorit</w:t>
            </w:r>
            <w:r w:rsidR="00756A54" w:rsidRPr="005567A0">
              <w:rPr>
                <w:rFonts w:asciiTheme="minorHAnsi" w:hAnsiTheme="minorHAnsi" w:cstheme="minorHAnsi"/>
              </w:rPr>
              <w:t>ies</w:t>
            </w:r>
            <w:r w:rsidR="00020A4B" w:rsidRPr="005567A0">
              <w:rPr>
                <w:rFonts w:asciiTheme="minorHAnsi" w:hAnsiTheme="minorHAnsi" w:cstheme="minorHAnsi"/>
              </w:rPr>
              <w:t xml:space="preserve"> - a</w:t>
            </w:r>
            <w:r w:rsidR="009E5F9D" w:rsidRPr="005567A0">
              <w:rPr>
                <w:rFonts w:asciiTheme="minorHAnsi" w:hAnsiTheme="minorHAnsi" w:cstheme="minorHAnsi"/>
              </w:rPr>
              <w:t xml:space="preserve">ll other </w:t>
            </w:r>
            <w:r w:rsidR="00BE4A7E" w:rsidRPr="005567A0">
              <w:rPr>
                <w:rFonts w:asciiTheme="minorHAnsi" w:hAnsiTheme="minorHAnsi" w:cstheme="minorHAnsi"/>
              </w:rPr>
              <w:t xml:space="preserve">obligations are </w:t>
            </w:r>
            <w:r w:rsidR="00020A4B" w:rsidRPr="005567A0">
              <w:rPr>
                <w:rFonts w:asciiTheme="minorHAnsi" w:hAnsiTheme="minorHAnsi" w:cstheme="minorHAnsi"/>
              </w:rPr>
              <w:t>i</w:t>
            </w:r>
            <w:r w:rsidR="00BE4A7E" w:rsidRPr="005567A0">
              <w:rPr>
                <w:rFonts w:asciiTheme="minorHAnsi" w:hAnsiTheme="minorHAnsi" w:cstheme="minorHAnsi"/>
              </w:rPr>
              <w:t>n scope.</w:t>
            </w:r>
          </w:p>
        </w:tc>
      </w:tr>
    </w:tbl>
    <w:p w14:paraId="03DB0D56" w14:textId="14DBC446" w:rsidR="00814FEB" w:rsidRPr="00607004" w:rsidRDefault="00B6157A" w:rsidP="62B789B3">
      <w:r w:rsidRPr="005567A0">
        <w:rPr>
          <w:rFonts w:asciiTheme="minorHAnsi" w:hAnsiTheme="minorHAnsi" w:cstheme="minorHAnsi"/>
        </w:rPr>
        <w:t xml:space="preserve">Guidance </w:t>
      </w:r>
      <w:r w:rsidRPr="002C6DB2">
        <w:rPr>
          <w:rFonts w:asciiTheme="minorHAnsi" w:hAnsiTheme="minorHAnsi" w:cstheme="minorHAnsi"/>
        </w:rPr>
        <w:t>o</w:t>
      </w:r>
      <w:r w:rsidR="00814FEB" w:rsidRPr="002C6DB2">
        <w:rPr>
          <w:rFonts w:asciiTheme="minorHAnsi" w:hAnsiTheme="minorHAnsi" w:cstheme="minorHAnsi"/>
        </w:rPr>
        <w:t xml:space="preserve">n pages </w:t>
      </w:r>
      <w:r w:rsidR="006B7B8E" w:rsidRPr="002C6DB2">
        <w:rPr>
          <w:rFonts w:asciiTheme="minorHAnsi" w:hAnsiTheme="minorHAnsi" w:cstheme="minorHAnsi"/>
        </w:rPr>
        <w:t>1</w:t>
      </w:r>
      <w:r w:rsidR="00F97285" w:rsidRPr="002C6DB2">
        <w:rPr>
          <w:rFonts w:asciiTheme="minorHAnsi" w:hAnsiTheme="minorHAnsi" w:cstheme="minorHAnsi"/>
        </w:rPr>
        <w:t>4</w:t>
      </w:r>
      <w:r w:rsidR="005A25AA" w:rsidRPr="002C6DB2">
        <w:rPr>
          <w:rFonts w:asciiTheme="minorHAnsi" w:hAnsiTheme="minorHAnsi" w:cstheme="minorHAnsi"/>
        </w:rPr>
        <w:t xml:space="preserve"> to 1</w:t>
      </w:r>
      <w:r w:rsidR="00F97285" w:rsidRPr="002C6DB2">
        <w:rPr>
          <w:rFonts w:asciiTheme="minorHAnsi" w:hAnsiTheme="minorHAnsi" w:cstheme="minorHAnsi"/>
        </w:rPr>
        <w:t>6</w:t>
      </w:r>
      <w:r w:rsidR="00814FEB" w:rsidRPr="002C6DB2">
        <w:rPr>
          <w:rFonts w:asciiTheme="minorHAnsi" w:hAnsiTheme="minorHAnsi" w:cstheme="minorHAnsi"/>
        </w:rPr>
        <w:t xml:space="preserve"> sets</w:t>
      </w:r>
      <w:r w:rsidR="00814FEB" w:rsidRPr="005567A0">
        <w:rPr>
          <w:rFonts w:asciiTheme="minorHAnsi" w:hAnsiTheme="minorHAnsi" w:cstheme="minorHAnsi"/>
        </w:rPr>
        <w:t xml:space="preserve"> out a selection of prudential requirements that are to be considered in the scope of the audit. The listing is indicative only and should not be considered as exhaustive or as a pro forma audit program.</w:t>
      </w:r>
    </w:p>
    <w:p w14:paraId="2F7403DD" w14:textId="327C596A" w:rsidR="00814FEB" w:rsidRPr="004C23B3" w:rsidRDefault="00814FEB" w:rsidP="00655946">
      <w:pPr>
        <w:pStyle w:val="Heading2"/>
      </w:pPr>
      <w:r w:rsidRPr="004C23B3">
        <w:t xml:space="preserve">The </w:t>
      </w:r>
      <w:r w:rsidR="00B43718" w:rsidRPr="004C23B3">
        <w:t>n</w:t>
      </w:r>
      <w:r w:rsidRPr="004C23B3">
        <w:t xml:space="preserve">ature, </w:t>
      </w:r>
      <w:r w:rsidR="00B43718" w:rsidRPr="004C23B3">
        <w:t>t</w:t>
      </w:r>
      <w:r w:rsidRPr="004C23B3">
        <w:t xml:space="preserve">iming and </w:t>
      </w:r>
      <w:r w:rsidR="00B43718" w:rsidRPr="004C23B3">
        <w:t>e</w:t>
      </w:r>
      <w:r w:rsidRPr="004C23B3">
        <w:t xml:space="preserve">xtent of the </w:t>
      </w:r>
      <w:r w:rsidR="00B43718" w:rsidRPr="004C23B3">
        <w:t>a</w:t>
      </w:r>
      <w:r w:rsidRPr="004C23B3">
        <w:t xml:space="preserve">udit </w:t>
      </w:r>
      <w:r w:rsidR="00B43718" w:rsidRPr="004C23B3">
        <w:t>t</w:t>
      </w:r>
      <w:r w:rsidRPr="004C23B3">
        <w:t>ests</w:t>
      </w:r>
    </w:p>
    <w:p w14:paraId="10C4FA46" w14:textId="0D0BAEE1" w:rsidR="00814FEB" w:rsidRPr="00607004" w:rsidRDefault="00823839" w:rsidP="005567A0">
      <w:pPr>
        <w:spacing w:before="0"/>
      </w:pPr>
      <w:r w:rsidRPr="005567A0">
        <w:rPr>
          <w:rFonts w:asciiTheme="minorHAnsi" w:hAnsiTheme="minorHAnsi" w:cstheme="minorHAnsi"/>
        </w:rPr>
        <w:t>The a</w:t>
      </w:r>
      <w:r w:rsidR="00814FEB" w:rsidRPr="005567A0">
        <w:rPr>
          <w:rFonts w:asciiTheme="minorHAnsi" w:hAnsiTheme="minorHAnsi" w:cstheme="minorHAnsi"/>
        </w:rPr>
        <w:t xml:space="preserve">uditor will use their own professional judgement to determine the nature, timing and extent of audit testing to enable them to form and express an opinion about whether the provider has complied with </w:t>
      </w:r>
      <w:r w:rsidR="00461F82" w:rsidRPr="005567A0">
        <w:rPr>
          <w:rFonts w:asciiTheme="minorHAnsi" w:hAnsiTheme="minorHAnsi" w:cstheme="minorHAnsi"/>
        </w:rPr>
        <w:t xml:space="preserve">the </w:t>
      </w:r>
      <w:r w:rsidR="007A002C" w:rsidRPr="005567A0">
        <w:rPr>
          <w:rFonts w:asciiTheme="minorHAnsi" w:hAnsiTheme="minorHAnsi" w:cstheme="minorHAnsi"/>
        </w:rPr>
        <w:t xml:space="preserve">relevant obligations under each of the legislative regimes for the two distinct periods within the </w:t>
      </w:r>
      <w:r w:rsidR="00D23F67" w:rsidRPr="005567A0">
        <w:rPr>
          <w:rFonts w:asciiTheme="minorHAnsi" w:hAnsiTheme="minorHAnsi" w:cstheme="minorHAnsi"/>
        </w:rPr>
        <w:t>reporting period</w:t>
      </w:r>
      <w:r w:rsidR="00814FEB" w:rsidRPr="005567A0">
        <w:rPr>
          <w:rFonts w:asciiTheme="minorHAnsi" w:hAnsiTheme="minorHAnsi" w:cstheme="minorHAnsi"/>
        </w:rPr>
        <w:t>.</w:t>
      </w:r>
    </w:p>
    <w:p w14:paraId="6FC20E4B" w14:textId="25DF4974" w:rsidR="006302EA" w:rsidRPr="004C23B3" w:rsidRDefault="00814FEB" w:rsidP="00655946">
      <w:pPr>
        <w:pStyle w:val="Heading2"/>
      </w:pPr>
      <w:r w:rsidRPr="004C23B3">
        <w:t xml:space="preserve">Content of the </w:t>
      </w:r>
      <w:r w:rsidR="00E73737" w:rsidRPr="004C23B3">
        <w:t>independent audit</w:t>
      </w:r>
    </w:p>
    <w:p w14:paraId="02AB3C4D" w14:textId="6ED2051D" w:rsidR="00814FEB" w:rsidRPr="00607004" w:rsidRDefault="00814FEB" w:rsidP="005567A0">
      <w:pPr>
        <w:spacing w:before="0"/>
      </w:pPr>
      <w:r w:rsidRPr="005567A0">
        <w:rPr>
          <w:rFonts w:asciiTheme="minorHAnsi" w:hAnsiTheme="minorHAnsi" w:cstheme="minorHAnsi"/>
        </w:rPr>
        <w:t xml:space="preserve">The </w:t>
      </w:r>
      <w:r w:rsidR="000A6531" w:rsidRPr="005567A0">
        <w:rPr>
          <w:rFonts w:asciiTheme="minorHAnsi" w:hAnsiTheme="minorHAnsi" w:cstheme="minorHAnsi"/>
        </w:rPr>
        <w:t>Rules</w:t>
      </w:r>
      <w:r w:rsidRPr="005567A0">
        <w:rPr>
          <w:rFonts w:asciiTheme="minorHAnsi" w:hAnsiTheme="minorHAnsi" w:cstheme="minorHAnsi"/>
        </w:rPr>
        <w:t xml:space="preserve"> </w:t>
      </w:r>
      <w:r w:rsidR="00DB0E96" w:rsidRPr="005567A0">
        <w:rPr>
          <w:rFonts w:asciiTheme="minorHAnsi" w:hAnsiTheme="minorHAnsi" w:cstheme="minorHAnsi"/>
        </w:rPr>
        <w:t>require</w:t>
      </w:r>
      <w:r w:rsidRPr="005567A0">
        <w:rPr>
          <w:rFonts w:asciiTheme="minorHAnsi" w:hAnsiTheme="minorHAnsi" w:cstheme="minorHAnsi"/>
        </w:rPr>
        <w:t xml:space="preserve"> the </w:t>
      </w:r>
      <w:r w:rsidR="00A52A3B" w:rsidRPr="005567A0">
        <w:rPr>
          <w:rFonts w:asciiTheme="minorHAnsi" w:hAnsiTheme="minorHAnsi" w:cstheme="minorHAnsi"/>
        </w:rPr>
        <w:t>APCS</w:t>
      </w:r>
      <w:r w:rsidR="00C56DB8" w:rsidRPr="005567A0">
        <w:rPr>
          <w:rFonts w:asciiTheme="minorHAnsi" w:hAnsiTheme="minorHAnsi" w:cstheme="minorHAnsi"/>
        </w:rPr>
        <w:t xml:space="preserve"> </w:t>
      </w:r>
      <w:r w:rsidR="00DB0E96" w:rsidRPr="005567A0">
        <w:rPr>
          <w:rFonts w:asciiTheme="minorHAnsi" w:hAnsiTheme="minorHAnsi" w:cstheme="minorHAnsi"/>
        </w:rPr>
        <w:t>to</w:t>
      </w:r>
      <w:r w:rsidR="00442535" w:rsidRPr="005567A0">
        <w:rPr>
          <w:rFonts w:asciiTheme="minorHAnsi" w:hAnsiTheme="minorHAnsi" w:cstheme="minorHAnsi"/>
        </w:rPr>
        <w:t xml:space="preserve"> include </w:t>
      </w:r>
      <w:r w:rsidR="00514169" w:rsidRPr="005567A0">
        <w:rPr>
          <w:rFonts w:asciiTheme="minorHAnsi" w:hAnsiTheme="minorHAnsi" w:cstheme="minorHAnsi"/>
        </w:rPr>
        <w:t>an audit opinion</w:t>
      </w:r>
      <w:r w:rsidR="005174D9" w:rsidRPr="005567A0">
        <w:rPr>
          <w:rFonts w:asciiTheme="minorHAnsi" w:hAnsiTheme="minorHAnsi" w:cstheme="minorHAnsi"/>
        </w:rPr>
        <w:t>.</w:t>
      </w:r>
      <w:r w:rsidR="00B9079D" w:rsidRPr="005567A0">
        <w:rPr>
          <w:rFonts w:asciiTheme="minorHAnsi" w:hAnsiTheme="minorHAnsi" w:cstheme="minorHAnsi"/>
        </w:rPr>
        <w:t xml:space="preserve"> </w:t>
      </w:r>
      <w:r w:rsidR="005174D9" w:rsidRPr="005567A0">
        <w:rPr>
          <w:rFonts w:asciiTheme="minorHAnsi" w:hAnsiTheme="minorHAnsi" w:cstheme="minorHAnsi"/>
        </w:rPr>
        <w:t>T</w:t>
      </w:r>
      <w:r w:rsidR="00211D06" w:rsidRPr="005567A0">
        <w:rPr>
          <w:rFonts w:asciiTheme="minorHAnsi" w:hAnsiTheme="minorHAnsi" w:cstheme="minorHAnsi"/>
        </w:rPr>
        <w:t xml:space="preserve">he provider must </w:t>
      </w:r>
      <w:r w:rsidRPr="005567A0">
        <w:rPr>
          <w:rFonts w:asciiTheme="minorHAnsi" w:hAnsiTheme="minorHAnsi" w:cstheme="minorHAnsi"/>
        </w:rPr>
        <w:t xml:space="preserve">give </w:t>
      </w:r>
      <w:r w:rsidR="00994770" w:rsidRPr="005567A0">
        <w:rPr>
          <w:rFonts w:asciiTheme="minorHAnsi" w:hAnsiTheme="minorHAnsi" w:cstheme="minorHAnsi"/>
        </w:rPr>
        <w:t xml:space="preserve">an </w:t>
      </w:r>
      <w:r w:rsidR="00A52A3B" w:rsidRPr="005567A0">
        <w:rPr>
          <w:rFonts w:asciiTheme="minorHAnsi" w:hAnsiTheme="minorHAnsi" w:cstheme="minorHAnsi"/>
        </w:rPr>
        <w:t>ACFR</w:t>
      </w:r>
      <w:r w:rsidR="005174D9" w:rsidRPr="005567A0">
        <w:rPr>
          <w:rFonts w:asciiTheme="minorHAnsi" w:hAnsiTheme="minorHAnsi" w:cstheme="minorHAnsi"/>
        </w:rPr>
        <w:t xml:space="preserve">, including </w:t>
      </w:r>
      <w:r w:rsidR="00F91ECA" w:rsidRPr="005567A0">
        <w:rPr>
          <w:rFonts w:asciiTheme="minorHAnsi" w:hAnsiTheme="minorHAnsi" w:cstheme="minorHAnsi"/>
        </w:rPr>
        <w:t xml:space="preserve">the </w:t>
      </w:r>
      <w:r w:rsidR="00A52A3B" w:rsidRPr="005567A0">
        <w:rPr>
          <w:rFonts w:asciiTheme="minorHAnsi" w:hAnsiTheme="minorHAnsi" w:cstheme="minorHAnsi"/>
        </w:rPr>
        <w:t>APCS</w:t>
      </w:r>
      <w:r w:rsidR="00F91ECA" w:rsidRPr="005567A0">
        <w:rPr>
          <w:rFonts w:asciiTheme="minorHAnsi" w:hAnsiTheme="minorHAnsi" w:cstheme="minorHAnsi"/>
        </w:rPr>
        <w:t xml:space="preserve"> and audit opinion,</w:t>
      </w:r>
      <w:r w:rsidR="00994770" w:rsidRPr="005567A0">
        <w:rPr>
          <w:rFonts w:asciiTheme="minorHAnsi" w:hAnsiTheme="minorHAnsi" w:cstheme="minorHAnsi"/>
        </w:rPr>
        <w:t xml:space="preserve"> </w:t>
      </w:r>
      <w:r w:rsidRPr="005567A0">
        <w:rPr>
          <w:rFonts w:asciiTheme="minorHAnsi" w:hAnsiTheme="minorHAnsi" w:cstheme="minorHAnsi"/>
        </w:rPr>
        <w:t>to the</w:t>
      </w:r>
      <w:r w:rsidR="00E004A3" w:rsidRPr="005567A0">
        <w:rPr>
          <w:rFonts w:asciiTheme="minorHAnsi" w:hAnsiTheme="minorHAnsi" w:cstheme="minorHAnsi"/>
        </w:rPr>
        <w:t xml:space="preserve"> System Governor</w:t>
      </w:r>
      <w:r w:rsidRPr="005567A0">
        <w:rPr>
          <w:rFonts w:asciiTheme="minorHAnsi" w:hAnsiTheme="minorHAnsi" w:cstheme="minorHAnsi"/>
        </w:rPr>
        <w:t xml:space="preserve"> within four months after the </w:t>
      </w:r>
      <w:r w:rsidR="00CE0C44" w:rsidRPr="005567A0">
        <w:rPr>
          <w:rFonts w:asciiTheme="minorHAnsi" w:hAnsiTheme="minorHAnsi" w:cstheme="minorHAnsi"/>
        </w:rPr>
        <w:t xml:space="preserve">end of the </w:t>
      </w:r>
      <w:r w:rsidRPr="005567A0">
        <w:rPr>
          <w:rFonts w:asciiTheme="minorHAnsi" w:hAnsiTheme="minorHAnsi" w:cstheme="minorHAnsi"/>
        </w:rPr>
        <w:t xml:space="preserve">provider’s </w:t>
      </w:r>
      <w:r w:rsidR="0024473D" w:rsidRPr="005567A0">
        <w:rPr>
          <w:rFonts w:asciiTheme="minorHAnsi" w:hAnsiTheme="minorHAnsi" w:cstheme="minorHAnsi"/>
        </w:rPr>
        <w:t>reporting period</w:t>
      </w:r>
      <w:r w:rsidR="00F6259D" w:rsidRPr="005567A0">
        <w:rPr>
          <w:rStyle w:val="FootnoteReference"/>
          <w:rFonts w:asciiTheme="minorHAnsi" w:hAnsiTheme="minorHAnsi" w:cstheme="minorHAnsi"/>
        </w:rPr>
        <w:footnoteReference w:id="13"/>
      </w:r>
      <w:r w:rsidRPr="005567A0">
        <w:rPr>
          <w:rFonts w:asciiTheme="minorHAnsi" w:hAnsiTheme="minorHAnsi" w:cstheme="minorHAnsi"/>
        </w:rPr>
        <w:t xml:space="preserve">, and </w:t>
      </w:r>
      <w:r w:rsidR="0088758C" w:rsidRPr="005567A0">
        <w:rPr>
          <w:rFonts w:asciiTheme="minorHAnsi" w:hAnsiTheme="minorHAnsi" w:cstheme="minorHAnsi"/>
        </w:rPr>
        <w:t>if requested</w:t>
      </w:r>
      <w:r w:rsidR="008C4B4A" w:rsidRPr="005567A0">
        <w:rPr>
          <w:rFonts w:asciiTheme="minorHAnsi" w:hAnsiTheme="minorHAnsi" w:cstheme="minorHAnsi"/>
        </w:rPr>
        <w:t xml:space="preserve"> </w:t>
      </w:r>
      <w:r w:rsidRPr="005567A0">
        <w:rPr>
          <w:rFonts w:asciiTheme="minorHAnsi" w:hAnsiTheme="minorHAnsi" w:cstheme="minorHAnsi"/>
        </w:rPr>
        <w:t>to resident</w:t>
      </w:r>
      <w:r w:rsidR="0088758C" w:rsidRPr="005567A0">
        <w:rPr>
          <w:rFonts w:asciiTheme="minorHAnsi" w:hAnsiTheme="minorHAnsi" w:cstheme="minorHAnsi"/>
        </w:rPr>
        <w:t>s</w:t>
      </w:r>
      <w:r w:rsidRPr="005567A0">
        <w:rPr>
          <w:rFonts w:asciiTheme="minorHAnsi" w:hAnsiTheme="minorHAnsi" w:cstheme="minorHAnsi"/>
        </w:rPr>
        <w:t xml:space="preserve"> who ha</w:t>
      </w:r>
      <w:r w:rsidR="0088758C" w:rsidRPr="005567A0">
        <w:rPr>
          <w:rFonts w:asciiTheme="minorHAnsi" w:hAnsiTheme="minorHAnsi" w:cstheme="minorHAnsi"/>
        </w:rPr>
        <w:t>ve</w:t>
      </w:r>
      <w:r w:rsidRPr="005567A0">
        <w:rPr>
          <w:rFonts w:asciiTheme="minorHAnsi" w:hAnsiTheme="minorHAnsi" w:cstheme="minorHAnsi"/>
        </w:rPr>
        <w:t xml:space="preserve"> paid a refundable deposit or bond and </w:t>
      </w:r>
      <w:r w:rsidR="0088758C" w:rsidRPr="005567A0">
        <w:rPr>
          <w:rFonts w:asciiTheme="minorHAnsi" w:hAnsiTheme="minorHAnsi" w:cstheme="minorHAnsi"/>
        </w:rPr>
        <w:t xml:space="preserve">to </w:t>
      </w:r>
      <w:r w:rsidRPr="005567A0">
        <w:rPr>
          <w:rFonts w:asciiTheme="minorHAnsi" w:hAnsiTheme="minorHAnsi" w:cstheme="minorHAnsi"/>
        </w:rPr>
        <w:t>prospective residents. The</w:t>
      </w:r>
      <w:r w:rsidR="002278A5" w:rsidRPr="005567A0">
        <w:rPr>
          <w:rFonts w:asciiTheme="minorHAnsi" w:hAnsiTheme="minorHAnsi" w:cstheme="minorHAnsi"/>
        </w:rPr>
        <w:t xml:space="preserve"> </w:t>
      </w:r>
      <w:r w:rsidRPr="005567A0">
        <w:rPr>
          <w:rFonts w:asciiTheme="minorHAnsi" w:hAnsiTheme="minorHAnsi" w:cstheme="minorHAnsi"/>
        </w:rPr>
        <w:t>provider should ensure the auditor is addressed as follows:</w:t>
      </w:r>
    </w:p>
    <w:p w14:paraId="7E34FC8F" w14:textId="593E983B" w:rsidR="00814FEB" w:rsidRPr="005567A0" w:rsidRDefault="00814FEB" w:rsidP="00404A80">
      <w:pPr>
        <w:ind w:left="284"/>
        <w:rPr>
          <w:rStyle w:val="Strong"/>
          <w:rFonts w:asciiTheme="minorHAnsi" w:hAnsiTheme="minorHAnsi" w:cstheme="minorHAnsi"/>
        </w:rPr>
      </w:pPr>
      <w:r w:rsidRPr="005567A0">
        <w:rPr>
          <w:rStyle w:val="Strong"/>
          <w:rFonts w:asciiTheme="minorHAnsi" w:hAnsiTheme="minorHAnsi" w:cstheme="minorHAnsi"/>
        </w:rPr>
        <w:t xml:space="preserve">To [name of </w:t>
      </w:r>
      <w:r w:rsidR="003A6646" w:rsidRPr="005567A0">
        <w:rPr>
          <w:rStyle w:val="Strong"/>
          <w:rFonts w:asciiTheme="minorHAnsi" w:hAnsiTheme="minorHAnsi" w:cstheme="minorHAnsi"/>
        </w:rPr>
        <w:t xml:space="preserve">registered </w:t>
      </w:r>
      <w:r w:rsidRPr="005567A0">
        <w:rPr>
          <w:rStyle w:val="Strong"/>
          <w:rFonts w:asciiTheme="minorHAnsi" w:hAnsiTheme="minorHAnsi" w:cstheme="minorHAnsi"/>
        </w:rPr>
        <w:t xml:space="preserve">provider] and the </w:t>
      </w:r>
      <w:r w:rsidR="002E0FFA">
        <w:rPr>
          <w:rStyle w:val="Strong"/>
          <w:rFonts w:asciiTheme="minorHAnsi" w:hAnsiTheme="minorHAnsi" w:cstheme="minorHAnsi"/>
        </w:rPr>
        <w:t xml:space="preserve">System </w:t>
      </w:r>
      <w:r w:rsidR="00237F0F">
        <w:rPr>
          <w:rStyle w:val="Strong"/>
          <w:rFonts w:asciiTheme="minorHAnsi" w:hAnsiTheme="minorHAnsi" w:cstheme="minorHAnsi"/>
        </w:rPr>
        <w:t>Governor</w:t>
      </w:r>
    </w:p>
    <w:p w14:paraId="51C9E8B2" w14:textId="77777777" w:rsidR="00814FEB" w:rsidRPr="00607004" w:rsidRDefault="00814FEB" w:rsidP="0087599B">
      <w:r w:rsidRPr="005567A0">
        <w:rPr>
          <w:rFonts w:asciiTheme="minorHAnsi" w:hAnsiTheme="minorHAnsi" w:cstheme="minorHAnsi"/>
        </w:rPr>
        <w:t>The auditor’s opinion must state, as applicable, that:</w:t>
      </w:r>
    </w:p>
    <w:p w14:paraId="2696DE03" w14:textId="5C57E34E" w:rsidR="003F643C" w:rsidRPr="005567A0" w:rsidRDefault="00814FEB" w:rsidP="00404A80">
      <w:pPr>
        <w:ind w:left="284"/>
        <w:rPr>
          <w:rStyle w:val="Strong"/>
          <w:rFonts w:asciiTheme="minorHAnsi" w:hAnsiTheme="minorHAnsi" w:cstheme="minorHAnsi"/>
        </w:rPr>
      </w:pPr>
      <w:r w:rsidRPr="005567A0">
        <w:rPr>
          <w:rStyle w:val="Strong"/>
          <w:rFonts w:asciiTheme="minorHAnsi" w:hAnsiTheme="minorHAnsi" w:cstheme="minorHAnsi"/>
        </w:rPr>
        <w:t xml:space="preserve">The </w:t>
      </w:r>
      <w:r w:rsidR="00DB58BD" w:rsidRPr="005567A0">
        <w:rPr>
          <w:rStyle w:val="Strong"/>
          <w:rFonts w:asciiTheme="minorHAnsi" w:hAnsiTheme="minorHAnsi" w:cstheme="minorHAnsi"/>
        </w:rPr>
        <w:t xml:space="preserve">registered </w:t>
      </w:r>
      <w:r w:rsidRPr="005567A0">
        <w:rPr>
          <w:rStyle w:val="Strong"/>
          <w:rFonts w:asciiTheme="minorHAnsi" w:hAnsiTheme="minorHAnsi" w:cstheme="minorHAnsi"/>
        </w:rPr>
        <w:t>provider has/has not complied, in all material respects, with</w:t>
      </w:r>
      <w:r w:rsidR="003F643C" w:rsidRPr="005567A0">
        <w:rPr>
          <w:rStyle w:val="Strong"/>
          <w:rFonts w:asciiTheme="minorHAnsi" w:hAnsiTheme="minorHAnsi" w:cstheme="minorHAnsi"/>
        </w:rPr>
        <w:t>:</w:t>
      </w:r>
    </w:p>
    <w:p w14:paraId="49F0D10D" w14:textId="37BE8CD0" w:rsidR="00814FEB" w:rsidRPr="0087599B" w:rsidRDefault="00814FEB" w:rsidP="004C23B3">
      <w:pPr>
        <w:pStyle w:val="ListNumber"/>
        <w:rPr>
          <w:rStyle w:val="Strong"/>
          <w:b w:val="0"/>
          <w:bCs w:val="0"/>
        </w:rPr>
      </w:pPr>
      <w:r w:rsidRPr="004C23B3">
        <w:t>the requirements</w:t>
      </w:r>
      <w:r w:rsidRPr="0087599B">
        <w:rPr>
          <w:rStyle w:val="Strong"/>
          <w:b w:val="0"/>
          <w:bCs w:val="0"/>
        </w:rPr>
        <w:t xml:space="preserve"> of Part 5</w:t>
      </w:r>
      <w:r w:rsidR="001D775D" w:rsidRPr="0087599B">
        <w:rPr>
          <w:rStyle w:val="Strong"/>
          <w:b w:val="0"/>
          <w:bCs w:val="0"/>
        </w:rPr>
        <w:t>, Part 6 and Part 7</w:t>
      </w:r>
      <w:r w:rsidRPr="0087599B">
        <w:rPr>
          <w:rStyle w:val="Strong"/>
          <w:b w:val="0"/>
          <w:bCs w:val="0"/>
        </w:rPr>
        <w:t xml:space="preserve"> of the </w:t>
      </w:r>
      <w:r w:rsidRPr="0087599B">
        <w:rPr>
          <w:rStyle w:val="IntenseEmphasis"/>
          <w:rFonts w:ascii="Calibri" w:hAnsi="Calibri"/>
          <w:b w:val="0"/>
          <w:bCs w:val="0"/>
          <w:i w:val="0"/>
        </w:rPr>
        <w:t>Fees and Payments Principles 2014 (No.2</w:t>
      </w:r>
      <w:r w:rsidRPr="0087599B">
        <w:rPr>
          <w:rStyle w:val="Strong"/>
          <w:b w:val="0"/>
          <w:bCs w:val="0"/>
        </w:rPr>
        <w:t xml:space="preserve">) (as amended), for the period </w:t>
      </w:r>
      <w:r w:rsidR="00DB58BD" w:rsidRPr="0087599B">
        <w:rPr>
          <w:rStyle w:val="Strong"/>
          <w:b w:val="0"/>
          <w:bCs w:val="0"/>
        </w:rPr>
        <w:t>1 July 2025 – 31 October 2025</w:t>
      </w:r>
    </w:p>
    <w:p w14:paraId="0FC37564" w14:textId="6AB1647C" w:rsidR="003F643C" w:rsidRPr="004C23B3" w:rsidRDefault="003F643C" w:rsidP="004C23B3">
      <w:pPr>
        <w:pStyle w:val="ListNumber"/>
      </w:pPr>
      <w:r w:rsidRPr="0087599B">
        <w:rPr>
          <w:rStyle w:val="Strong"/>
          <w:b w:val="0"/>
          <w:bCs w:val="0"/>
        </w:rPr>
        <w:t xml:space="preserve">the requirements of </w:t>
      </w:r>
      <w:r w:rsidR="0094233B" w:rsidRPr="0087599B">
        <w:rPr>
          <w:rStyle w:val="Strong"/>
          <w:b w:val="0"/>
          <w:bCs w:val="0"/>
        </w:rPr>
        <w:t>Aged Care Financial and Prudential Standards 2025</w:t>
      </w:r>
      <w:r w:rsidRPr="0087599B">
        <w:rPr>
          <w:rStyle w:val="Strong"/>
          <w:b w:val="0"/>
          <w:bCs w:val="0"/>
        </w:rPr>
        <w:t xml:space="preserve">, </w:t>
      </w:r>
      <w:r w:rsidR="002A089C" w:rsidRPr="0087599B">
        <w:rPr>
          <w:rStyle w:val="Strong"/>
          <w:b w:val="0"/>
          <w:bCs w:val="0"/>
        </w:rPr>
        <w:t>s</w:t>
      </w:r>
      <w:r w:rsidRPr="0087599B">
        <w:rPr>
          <w:rStyle w:val="Strong"/>
          <w:b w:val="0"/>
          <w:bCs w:val="0"/>
        </w:rPr>
        <w:t xml:space="preserve">ection 150A of the Aged Care Act 2024, </w:t>
      </w:r>
      <w:r w:rsidR="002A089C" w:rsidRPr="0087599B">
        <w:rPr>
          <w:rStyle w:val="Strong"/>
          <w:b w:val="0"/>
          <w:bCs w:val="0"/>
        </w:rPr>
        <w:t>s</w:t>
      </w:r>
      <w:r w:rsidRPr="0087599B">
        <w:rPr>
          <w:rStyle w:val="Strong"/>
          <w:b w:val="0"/>
          <w:bCs w:val="0"/>
        </w:rPr>
        <w:t>ections 155</w:t>
      </w:r>
      <w:r w:rsidRPr="0087599B">
        <w:rPr>
          <w:rStyle w:val="Strong"/>
          <w:rFonts w:ascii="Cambria Math" w:hAnsi="Cambria Math" w:cs="Cambria Math"/>
          <w:b w:val="0"/>
          <w:bCs w:val="0"/>
        </w:rPr>
        <w:t>‑</w:t>
      </w:r>
      <w:r w:rsidRPr="0087599B">
        <w:rPr>
          <w:rStyle w:val="Strong"/>
          <w:b w:val="0"/>
          <w:bCs w:val="0"/>
        </w:rPr>
        <w:t>30, 155</w:t>
      </w:r>
      <w:r w:rsidRPr="0087599B">
        <w:rPr>
          <w:rStyle w:val="Strong"/>
          <w:rFonts w:ascii="Cambria Math" w:hAnsi="Cambria Math" w:cs="Cambria Math"/>
          <w:b w:val="0"/>
          <w:bCs w:val="0"/>
        </w:rPr>
        <w:t>‑</w:t>
      </w:r>
      <w:r w:rsidRPr="0087599B">
        <w:rPr>
          <w:rStyle w:val="Strong"/>
          <w:b w:val="0"/>
          <w:bCs w:val="0"/>
        </w:rPr>
        <w:t>35 and 166</w:t>
      </w:r>
      <w:r w:rsidRPr="0087599B">
        <w:rPr>
          <w:rStyle w:val="Strong"/>
          <w:rFonts w:ascii="Cambria Math" w:hAnsi="Cambria Math" w:cs="Cambria Math"/>
          <w:b w:val="0"/>
          <w:bCs w:val="0"/>
        </w:rPr>
        <w:t>‑</w:t>
      </w:r>
      <w:r w:rsidRPr="0087599B">
        <w:rPr>
          <w:rStyle w:val="Strong"/>
          <w:b w:val="0"/>
          <w:bCs w:val="0"/>
        </w:rPr>
        <w:t>360 to 166</w:t>
      </w:r>
      <w:r w:rsidRPr="0087599B">
        <w:rPr>
          <w:rStyle w:val="Strong"/>
          <w:rFonts w:ascii="Cambria Math" w:hAnsi="Cambria Math" w:cs="Cambria Math"/>
          <w:b w:val="0"/>
          <w:bCs w:val="0"/>
        </w:rPr>
        <w:t>‑</w:t>
      </w:r>
      <w:r w:rsidRPr="0087599B">
        <w:rPr>
          <w:rStyle w:val="Strong"/>
          <w:b w:val="0"/>
          <w:bCs w:val="0"/>
        </w:rPr>
        <w:t>385 of the Aged Care Rules 2025 during the period 1 November 2025 – 30 June 2026</w:t>
      </w:r>
      <w:r w:rsidR="0094233B" w:rsidRPr="0087599B">
        <w:rPr>
          <w:rStyle w:val="Strong"/>
          <w:b w:val="0"/>
          <w:bCs w:val="0"/>
        </w:rPr>
        <w:t>.</w:t>
      </w:r>
    </w:p>
    <w:p w14:paraId="1A759CA6" w14:textId="77777777" w:rsidR="0087599B" w:rsidRPr="0087599B" w:rsidRDefault="0087599B" w:rsidP="0087599B">
      <w:pPr>
        <w:pStyle w:val="Bluebox"/>
        <w:rPr>
          <w:rStyle w:val="Strong"/>
        </w:rPr>
      </w:pPr>
      <w:r w:rsidRPr="0087599B">
        <w:rPr>
          <w:rStyle w:val="Strong"/>
        </w:rPr>
        <w:t>Note:</w:t>
      </w:r>
    </w:p>
    <w:p w14:paraId="65C41392" w14:textId="2D075057" w:rsidR="0087599B" w:rsidRDefault="0087599B" w:rsidP="0087599B">
      <w:pPr>
        <w:pStyle w:val="Bluebox"/>
      </w:pPr>
      <w:r w:rsidRPr="0087599B">
        <w:t>This audit opinion template is taken to be a statement that complies with subsection 166-380(g) of the Rules. The audit opinion templates are provided as a guide only. Auditors may draft their own opinions.</w:t>
      </w:r>
    </w:p>
    <w:p w14:paraId="19ABB304" w14:textId="28627F8D" w:rsidR="003F458D" w:rsidRPr="005567A0" w:rsidRDefault="003F458D" w:rsidP="003F458D">
      <w:pPr>
        <w:spacing w:after="0"/>
        <w:rPr>
          <w:rFonts w:asciiTheme="minorHAnsi" w:hAnsiTheme="minorHAnsi" w:cstheme="minorHAnsi"/>
          <w:i/>
          <w:sz w:val="20"/>
        </w:rPr>
      </w:pPr>
      <w:r w:rsidRPr="005567A0">
        <w:rPr>
          <w:rFonts w:asciiTheme="minorHAnsi" w:hAnsiTheme="minorHAnsi" w:cstheme="minorHAnsi"/>
        </w:rPr>
        <w:t>For further information please refer to the</w:t>
      </w:r>
      <w:r w:rsidR="009A2CD6" w:rsidRPr="005567A0">
        <w:rPr>
          <w:rFonts w:asciiTheme="minorHAnsi" w:hAnsiTheme="minorHAnsi" w:cstheme="minorHAnsi"/>
        </w:rPr>
        <w:t xml:space="preserve"> </w:t>
      </w:r>
      <w:hyperlink r:id="rId14" w:history="1">
        <w:r w:rsidR="0044797D" w:rsidRPr="005567A0">
          <w:rPr>
            <w:rStyle w:val="Hyperlink"/>
            <w:rFonts w:asciiTheme="minorHAnsi" w:hAnsiTheme="minorHAnsi" w:cstheme="minorHAnsi"/>
          </w:rPr>
          <w:t>Annual Prudential Compliance Statement (APCS)</w:t>
        </w:r>
        <w:r w:rsidR="00937BB6" w:rsidRPr="005567A0">
          <w:rPr>
            <w:rStyle w:val="Hyperlink"/>
            <w:rFonts w:asciiTheme="minorHAnsi" w:hAnsiTheme="minorHAnsi" w:cstheme="minorHAnsi"/>
          </w:rPr>
          <w:t xml:space="preserve"> guidance</w:t>
        </w:r>
        <w:r w:rsidR="0044797D" w:rsidRPr="005567A0">
          <w:rPr>
            <w:rStyle w:val="Hyperlink"/>
            <w:rFonts w:asciiTheme="minorHAnsi" w:hAnsiTheme="minorHAnsi" w:cstheme="minorHAnsi"/>
          </w:rPr>
          <w:t>.</w:t>
        </w:r>
      </w:hyperlink>
      <w:r w:rsidRPr="00F0139A">
        <w:rPr>
          <w:rFonts w:asciiTheme="minorHAnsi" w:hAnsiTheme="minorHAnsi" w:cstheme="minorHAnsi"/>
          <w:szCs w:val="24"/>
        </w:rPr>
        <w:t xml:space="preserve"> </w:t>
      </w:r>
    </w:p>
    <w:p w14:paraId="6AFF678F" w14:textId="1AAAFF16" w:rsidR="006302EA" w:rsidRPr="00607004" w:rsidRDefault="003F458D" w:rsidP="0087599B">
      <w:pPr>
        <w:pStyle w:val="Sourcetext"/>
      </w:pPr>
      <w:r w:rsidRPr="0087599B">
        <w:t xml:space="preserve">(Source: </w:t>
      </w:r>
      <w:r w:rsidR="00F13C51" w:rsidRPr="0087599B">
        <w:t>https://www.health.gov.au/resources/publications/annual-prudential-compliance-statement-2025-26-resources?language=en</w:t>
      </w:r>
      <w:r w:rsidRPr="0087599B">
        <w:t>)</w:t>
      </w:r>
    </w:p>
    <w:p w14:paraId="6334C13F" w14:textId="4BA8FD24" w:rsidR="00814FEB" w:rsidRPr="00607004" w:rsidRDefault="00814FEB" w:rsidP="005D09FD">
      <w:pPr>
        <w:spacing w:after="0"/>
      </w:pPr>
      <w:r w:rsidRPr="005567A0">
        <w:rPr>
          <w:rFonts w:asciiTheme="minorHAnsi" w:hAnsiTheme="minorHAnsi" w:cstheme="minorHAnsi"/>
        </w:rPr>
        <w:t xml:space="preserve">The provider should ensure that the auditor includes </w:t>
      </w:r>
      <w:r w:rsidR="009B3B1C">
        <w:rPr>
          <w:rFonts w:asciiTheme="minorHAnsi" w:hAnsiTheme="minorHAnsi" w:cstheme="minorHAnsi"/>
        </w:rPr>
        <w:t>in</w:t>
      </w:r>
      <w:r w:rsidR="009B3B1C" w:rsidRPr="005567A0">
        <w:rPr>
          <w:rFonts w:asciiTheme="minorHAnsi" w:hAnsiTheme="minorHAnsi" w:cstheme="minorHAnsi"/>
        </w:rPr>
        <w:t xml:space="preserve"> </w:t>
      </w:r>
      <w:r w:rsidRPr="005567A0">
        <w:rPr>
          <w:rFonts w:asciiTheme="minorHAnsi" w:hAnsiTheme="minorHAnsi" w:cstheme="minorHAnsi"/>
        </w:rPr>
        <w:t xml:space="preserve">the </w:t>
      </w:r>
      <w:r w:rsidR="00EC0D0B">
        <w:rPr>
          <w:rFonts w:asciiTheme="minorHAnsi" w:hAnsiTheme="minorHAnsi" w:cstheme="minorHAnsi"/>
        </w:rPr>
        <w:t>audit</w:t>
      </w:r>
      <w:r w:rsidRPr="005567A0">
        <w:rPr>
          <w:rFonts w:asciiTheme="minorHAnsi" w:hAnsiTheme="minorHAnsi" w:cstheme="minorHAnsi"/>
        </w:rPr>
        <w:t>:</w:t>
      </w:r>
    </w:p>
    <w:p w14:paraId="79E68817" w14:textId="73446959" w:rsidR="005D09FD" w:rsidRPr="00607004" w:rsidRDefault="00814FEB" w:rsidP="0087599B">
      <w:pPr>
        <w:pStyle w:val="ListBullet"/>
      </w:pPr>
      <w:r w:rsidRPr="005567A0">
        <w:t>th</w:t>
      </w:r>
      <w:r w:rsidR="00227270" w:rsidRPr="005567A0">
        <w:t>e auditor’s ASIC Auditor Number</w:t>
      </w:r>
      <w:r w:rsidR="00725EE8" w:rsidRPr="005567A0">
        <w:t xml:space="preserve"> </w:t>
      </w:r>
      <w:r w:rsidRPr="005567A0">
        <w:t>or</w:t>
      </w:r>
    </w:p>
    <w:p w14:paraId="1BFFE460" w14:textId="63226131" w:rsidR="00814FEB" w:rsidRPr="00607004" w:rsidRDefault="00814FEB" w:rsidP="0087599B">
      <w:pPr>
        <w:pStyle w:val="ListBullet"/>
      </w:pPr>
      <w:r w:rsidRPr="005567A0">
        <w:t xml:space="preserve">where the </w:t>
      </w:r>
      <w:r w:rsidR="004969DA" w:rsidRPr="005567A0">
        <w:t>System Governor</w:t>
      </w:r>
      <w:r w:rsidRPr="005567A0">
        <w:t xml:space="preserve"> has granted the</w:t>
      </w:r>
      <w:r w:rsidR="002360F4" w:rsidRPr="005567A0">
        <w:t xml:space="preserve"> </w:t>
      </w:r>
      <w:r w:rsidRPr="005567A0">
        <w:t xml:space="preserve">provider approval to engage an auditor who is not a registered company auditor, </w:t>
      </w:r>
      <w:r w:rsidR="00262B8F" w:rsidRPr="005567A0">
        <w:t xml:space="preserve">details of </w:t>
      </w:r>
      <w:r w:rsidRPr="005567A0">
        <w:t>the decision</w:t>
      </w:r>
      <w:r w:rsidR="00262B8F" w:rsidRPr="005567A0">
        <w:t>.</w:t>
      </w:r>
      <w:r w:rsidRPr="005567A0">
        <w:t xml:space="preserve"> </w:t>
      </w:r>
    </w:p>
    <w:p w14:paraId="42E900D4" w14:textId="72E2C7B6" w:rsidR="00814FEB" w:rsidRPr="00607004" w:rsidRDefault="00814FEB" w:rsidP="00814FEB">
      <w:r w:rsidRPr="005567A0">
        <w:rPr>
          <w:rFonts w:asciiTheme="minorHAnsi" w:hAnsiTheme="minorHAnsi" w:cstheme="minorHAnsi"/>
        </w:rPr>
        <w:t xml:space="preserve">In accordance with the applicable Australian Auditing and Assurance Standards the auditor should </w:t>
      </w:r>
      <w:r w:rsidRPr="005567A0">
        <w:rPr>
          <w:rStyle w:val="Strong"/>
          <w:rFonts w:asciiTheme="minorHAnsi" w:hAnsiTheme="minorHAnsi" w:cstheme="minorHAnsi"/>
        </w:rPr>
        <w:t xml:space="preserve">include in their </w:t>
      </w:r>
      <w:r w:rsidR="005C5A83">
        <w:rPr>
          <w:rStyle w:val="Strong"/>
          <w:rFonts w:asciiTheme="minorHAnsi" w:hAnsiTheme="minorHAnsi" w:cstheme="minorHAnsi"/>
        </w:rPr>
        <w:t>audit</w:t>
      </w:r>
      <w:r w:rsidR="005C5A83" w:rsidRPr="005567A0">
        <w:rPr>
          <w:rStyle w:val="Strong"/>
          <w:rFonts w:asciiTheme="minorHAnsi" w:hAnsiTheme="minorHAnsi" w:cstheme="minorHAnsi"/>
        </w:rPr>
        <w:t xml:space="preserve"> </w:t>
      </w:r>
      <w:r w:rsidRPr="005567A0">
        <w:rPr>
          <w:rStyle w:val="Strong"/>
          <w:rFonts w:asciiTheme="minorHAnsi" w:hAnsiTheme="minorHAnsi" w:cstheme="minorHAnsi"/>
        </w:rPr>
        <w:t>relevant information about the nature and scope</w:t>
      </w:r>
      <w:r w:rsidRPr="005567A0">
        <w:rPr>
          <w:rFonts w:asciiTheme="minorHAnsi" w:hAnsiTheme="minorHAnsi" w:cstheme="minorHAnsi"/>
        </w:rPr>
        <w:t xml:space="preserve"> of the audit testing that enabled them to form an opinion about whether the</w:t>
      </w:r>
      <w:r w:rsidR="00F441DF" w:rsidRPr="005567A0">
        <w:rPr>
          <w:rFonts w:asciiTheme="minorHAnsi" w:hAnsiTheme="minorHAnsi" w:cstheme="minorHAnsi"/>
        </w:rPr>
        <w:t xml:space="preserve"> </w:t>
      </w:r>
      <w:r w:rsidRPr="005567A0">
        <w:rPr>
          <w:rFonts w:asciiTheme="minorHAnsi" w:hAnsiTheme="minorHAnsi" w:cstheme="minorHAnsi"/>
        </w:rPr>
        <w:t xml:space="preserve">provider complied with Part 5 of the Principles during the </w:t>
      </w:r>
      <w:r w:rsidR="007C1BB7" w:rsidRPr="005567A0">
        <w:rPr>
          <w:rFonts w:asciiTheme="minorHAnsi" w:hAnsiTheme="minorHAnsi" w:cstheme="minorHAnsi"/>
        </w:rPr>
        <w:t>period 1 July 2025 – 31 October 2025</w:t>
      </w:r>
      <w:r w:rsidR="00350400" w:rsidRPr="005567A0">
        <w:rPr>
          <w:rFonts w:asciiTheme="minorHAnsi" w:hAnsiTheme="minorHAnsi" w:cstheme="minorHAnsi"/>
        </w:rPr>
        <w:t xml:space="preserve">, and </w:t>
      </w:r>
      <w:r w:rsidR="00F73B51" w:rsidRPr="005567A0">
        <w:rPr>
          <w:rFonts w:asciiTheme="minorHAnsi" w:hAnsiTheme="minorHAnsi" w:cstheme="minorHAnsi"/>
        </w:rPr>
        <w:t xml:space="preserve">the </w:t>
      </w:r>
      <w:r w:rsidR="00DF5F26" w:rsidRPr="005567A0">
        <w:rPr>
          <w:rFonts w:asciiTheme="minorHAnsi" w:hAnsiTheme="minorHAnsi" w:cstheme="minorHAnsi"/>
        </w:rPr>
        <w:t xml:space="preserve">new Standards, </w:t>
      </w:r>
      <w:r w:rsidR="00DD3987">
        <w:rPr>
          <w:rFonts w:asciiTheme="minorHAnsi" w:hAnsiTheme="minorHAnsi" w:cstheme="minorHAnsi"/>
        </w:rPr>
        <w:t>s</w:t>
      </w:r>
      <w:r w:rsidR="00DF5F26" w:rsidRPr="005567A0">
        <w:rPr>
          <w:rFonts w:asciiTheme="minorHAnsi" w:hAnsiTheme="minorHAnsi" w:cstheme="minorHAnsi"/>
        </w:rPr>
        <w:t xml:space="preserve">ection 150A of the new Act, </w:t>
      </w:r>
      <w:r w:rsidR="00DD3987">
        <w:rPr>
          <w:rFonts w:asciiTheme="minorHAnsi" w:hAnsiTheme="minorHAnsi" w:cstheme="minorHAnsi"/>
        </w:rPr>
        <w:t>s</w:t>
      </w:r>
      <w:r w:rsidR="00DF5F26" w:rsidRPr="005567A0">
        <w:rPr>
          <w:rFonts w:asciiTheme="minorHAnsi" w:hAnsiTheme="minorHAnsi" w:cstheme="minorHAnsi"/>
        </w:rPr>
        <w:t>ections 155</w:t>
      </w:r>
      <w:r w:rsidR="00DF5F26" w:rsidRPr="00DF5F26">
        <w:rPr>
          <w:rFonts w:ascii="Cambria Math" w:hAnsi="Cambria Math" w:cs="Cambria Math"/>
        </w:rPr>
        <w:t>‑</w:t>
      </w:r>
      <w:r w:rsidR="00DF5F26" w:rsidRPr="005567A0">
        <w:rPr>
          <w:rFonts w:asciiTheme="minorHAnsi" w:hAnsiTheme="minorHAnsi" w:cstheme="minorHAnsi"/>
        </w:rPr>
        <w:t>30, 155</w:t>
      </w:r>
      <w:r w:rsidR="00DF5F26" w:rsidRPr="00DF5F26">
        <w:rPr>
          <w:rFonts w:ascii="Cambria Math" w:hAnsi="Cambria Math" w:cs="Cambria Math"/>
        </w:rPr>
        <w:t>‑</w:t>
      </w:r>
      <w:r w:rsidR="00DF5F26" w:rsidRPr="005567A0">
        <w:rPr>
          <w:rFonts w:asciiTheme="minorHAnsi" w:hAnsiTheme="minorHAnsi" w:cstheme="minorHAnsi"/>
        </w:rPr>
        <w:t>35 and 166</w:t>
      </w:r>
      <w:r w:rsidR="00DF5F26" w:rsidRPr="00DF5F26">
        <w:rPr>
          <w:rFonts w:ascii="Cambria Math" w:hAnsi="Cambria Math" w:cs="Cambria Math"/>
        </w:rPr>
        <w:t>‑</w:t>
      </w:r>
      <w:r w:rsidR="00DF5F26" w:rsidRPr="005567A0">
        <w:rPr>
          <w:rFonts w:asciiTheme="minorHAnsi" w:hAnsiTheme="minorHAnsi" w:cstheme="minorHAnsi"/>
        </w:rPr>
        <w:t>360 to 166</w:t>
      </w:r>
      <w:r w:rsidR="00DF5F26" w:rsidRPr="00DF5F26">
        <w:rPr>
          <w:rFonts w:ascii="Cambria Math" w:hAnsi="Cambria Math" w:cs="Cambria Math"/>
        </w:rPr>
        <w:t>‑</w:t>
      </w:r>
      <w:r w:rsidR="00DF5F26" w:rsidRPr="005567A0">
        <w:rPr>
          <w:rFonts w:asciiTheme="minorHAnsi" w:hAnsiTheme="minorHAnsi" w:cstheme="minorHAnsi"/>
        </w:rPr>
        <w:t>385 of the Rules</w:t>
      </w:r>
      <w:r w:rsidR="00F73B51" w:rsidRPr="005567A0">
        <w:rPr>
          <w:rFonts w:asciiTheme="minorHAnsi" w:hAnsiTheme="minorHAnsi" w:cstheme="minorHAnsi"/>
        </w:rPr>
        <w:t xml:space="preserve"> during the period 1 November 2025 – 30 June 2026</w:t>
      </w:r>
      <w:r w:rsidR="00DC51A5" w:rsidRPr="005567A0">
        <w:rPr>
          <w:rFonts w:asciiTheme="minorHAnsi" w:hAnsiTheme="minorHAnsi" w:cstheme="minorHAnsi"/>
        </w:rPr>
        <w:t>.</w:t>
      </w:r>
    </w:p>
    <w:p w14:paraId="7FD1A991" w14:textId="013C4BD2" w:rsidR="00814FEB" w:rsidRPr="0087599B" w:rsidRDefault="00814FEB" w:rsidP="00814FEB">
      <w:pPr>
        <w:rPr>
          <w:rStyle w:val="Strong"/>
        </w:rPr>
      </w:pPr>
      <w:r w:rsidRPr="0087599B">
        <w:rPr>
          <w:rStyle w:val="Strong"/>
        </w:rPr>
        <w:t>An audit that does not have the required content will be referred to the provider for correction and resubmission to the Department.</w:t>
      </w:r>
    </w:p>
    <w:p w14:paraId="296316BD" w14:textId="175254E8" w:rsidR="00814FEB" w:rsidRPr="00930275" w:rsidRDefault="00814FEB" w:rsidP="00655946">
      <w:pPr>
        <w:pStyle w:val="Heading2"/>
      </w:pPr>
      <w:r w:rsidRPr="00930275">
        <w:t xml:space="preserve">Materiality or </w:t>
      </w:r>
      <w:r w:rsidR="00B43718" w:rsidRPr="00930275">
        <w:t>s</w:t>
      </w:r>
      <w:r w:rsidRPr="00930275">
        <w:t xml:space="preserve">ignificance of </w:t>
      </w:r>
      <w:r w:rsidR="00B43718" w:rsidRPr="00930275">
        <w:t>n</w:t>
      </w:r>
      <w:r w:rsidRPr="00930275">
        <w:t>on-</w:t>
      </w:r>
      <w:r w:rsidR="00B43718" w:rsidRPr="00930275">
        <w:t>c</w:t>
      </w:r>
      <w:r w:rsidRPr="00930275">
        <w:t>ompliance</w:t>
      </w:r>
    </w:p>
    <w:p w14:paraId="68D1FF4A" w14:textId="0A37E9A6" w:rsidR="003E5742" w:rsidRPr="005567A0" w:rsidRDefault="00814FEB" w:rsidP="005567A0">
      <w:pPr>
        <w:spacing w:before="0"/>
        <w:rPr>
          <w:rFonts w:asciiTheme="minorHAnsi" w:hAnsiTheme="minorHAnsi" w:cstheme="minorHAnsi"/>
        </w:rPr>
      </w:pPr>
      <w:r w:rsidRPr="005567A0">
        <w:rPr>
          <w:rFonts w:asciiTheme="minorHAnsi" w:hAnsiTheme="minorHAnsi" w:cstheme="minorHAnsi"/>
        </w:rPr>
        <w:t xml:space="preserve">The </w:t>
      </w:r>
      <w:r w:rsidR="003E5742" w:rsidRPr="005567A0">
        <w:rPr>
          <w:rFonts w:asciiTheme="minorHAnsi" w:hAnsiTheme="minorHAnsi" w:cstheme="minorHAnsi"/>
        </w:rPr>
        <w:t>Commission</w:t>
      </w:r>
      <w:r w:rsidRPr="005567A0">
        <w:rPr>
          <w:rFonts w:asciiTheme="minorHAnsi" w:hAnsiTheme="minorHAnsi" w:cstheme="minorHAnsi"/>
        </w:rPr>
        <w:t xml:space="preserve"> will assess the APCS to determine what regulatory action, if any, may be necessary in relation to non-compliance reported by the provider or its auditor. </w:t>
      </w:r>
    </w:p>
    <w:p w14:paraId="596C1C43" w14:textId="4A52498B" w:rsidR="00814FEB" w:rsidRPr="00607004" w:rsidRDefault="003E5742" w:rsidP="003E5742">
      <w:r w:rsidRPr="005567A0">
        <w:rPr>
          <w:rFonts w:asciiTheme="minorHAnsi" w:hAnsiTheme="minorHAnsi" w:cstheme="minorHAnsi"/>
        </w:rPr>
        <w:t xml:space="preserve">Auditors are not required to </w:t>
      </w:r>
      <w:r w:rsidR="00814FEB" w:rsidRPr="005567A0">
        <w:rPr>
          <w:rFonts w:asciiTheme="minorHAnsi" w:hAnsiTheme="minorHAnsi" w:cstheme="minorHAnsi"/>
        </w:rPr>
        <w:t>comment on, or give an opinion about, wheth</w:t>
      </w:r>
      <w:r w:rsidR="005D09FD" w:rsidRPr="005567A0">
        <w:rPr>
          <w:rFonts w:asciiTheme="minorHAnsi" w:hAnsiTheme="minorHAnsi" w:cstheme="minorHAnsi"/>
        </w:rPr>
        <w:t>er non-</w:t>
      </w:r>
      <w:r w:rsidR="00814FEB" w:rsidRPr="005567A0">
        <w:rPr>
          <w:rFonts w:asciiTheme="minorHAnsi" w:hAnsiTheme="minorHAnsi" w:cstheme="minorHAnsi"/>
        </w:rPr>
        <w:t>compliance identified during the audit represents a material prudential risk to the security of refundable deposit or bonds. However, the auditor may choose to give such an opinion.</w:t>
      </w:r>
    </w:p>
    <w:p w14:paraId="23851ABF" w14:textId="32B998A9" w:rsidR="00814FEB" w:rsidRPr="005567A0" w:rsidRDefault="006D0138" w:rsidP="005567A0">
      <w:pPr>
        <w:pStyle w:val="Heading1"/>
        <w:spacing w:before="360"/>
        <w:rPr>
          <w:rFonts w:asciiTheme="minorHAnsi" w:hAnsiTheme="minorHAnsi" w:cstheme="minorHAnsi"/>
          <w:color w:val="0070C0"/>
        </w:rPr>
      </w:pPr>
      <w:r w:rsidRPr="005567A0">
        <w:rPr>
          <w:rFonts w:asciiTheme="minorHAnsi" w:hAnsiTheme="minorHAnsi" w:cstheme="minorHAnsi"/>
          <w:color w:val="0070C0"/>
        </w:rPr>
        <w:t>INFORMATION TO ASSIST AUDITORS</w:t>
      </w:r>
    </w:p>
    <w:p w14:paraId="445FD426" w14:textId="7FC830FE" w:rsidR="00814FEB" w:rsidRPr="00607004" w:rsidRDefault="00814FEB" w:rsidP="00814FEB">
      <w:r w:rsidRPr="005567A0">
        <w:rPr>
          <w:rFonts w:asciiTheme="minorHAnsi" w:hAnsiTheme="minorHAnsi" w:cstheme="minorHAnsi"/>
        </w:rPr>
        <w:t xml:space="preserve">The following sections of this guide comprise selected information about prudential compliance. The information is provided to assist auditors in developing their audit programs and is not meant to be an exhaustive list of all required audit procedures. </w:t>
      </w:r>
    </w:p>
    <w:p w14:paraId="357684CB" w14:textId="694AC753" w:rsidR="00814FEB" w:rsidRPr="005567A0" w:rsidRDefault="00BB314C" w:rsidP="00EA6DD7">
      <w:pPr>
        <w:pStyle w:val="Heading2"/>
      </w:pPr>
      <w:r w:rsidRPr="005567A0">
        <w:t xml:space="preserve">Assessing compliance with the </w:t>
      </w:r>
      <w:r w:rsidR="00B45A28">
        <w:t xml:space="preserve">applicable </w:t>
      </w:r>
      <w:r w:rsidRPr="005567A0">
        <w:t>Standards and related Rules</w:t>
      </w:r>
    </w:p>
    <w:p w14:paraId="128BE07F" w14:textId="45D78628" w:rsidR="00A94C8A" w:rsidRDefault="006B4EC0" w:rsidP="3BBB81D8">
      <w:pPr>
        <w:rPr>
          <w:rFonts w:asciiTheme="minorHAnsi" w:hAnsiTheme="minorHAnsi" w:cstheme="minorHAnsi"/>
        </w:rPr>
      </w:pPr>
      <w:r>
        <w:rPr>
          <w:rFonts w:asciiTheme="minorHAnsi" w:hAnsiTheme="minorHAnsi" w:cstheme="minorHAnsi"/>
        </w:rPr>
        <w:t>Many</w:t>
      </w:r>
      <w:r w:rsidR="00236265" w:rsidRPr="005567A0">
        <w:rPr>
          <w:rFonts w:asciiTheme="minorHAnsi" w:hAnsiTheme="minorHAnsi" w:cstheme="minorHAnsi"/>
        </w:rPr>
        <w:t xml:space="preserve"> prudential obligations </w:t>
      </w:r>
      <w:r w:rsidR="008B4521" w:rsidRPr="005567A0">
        <w:rPr>
          <w:rFonts w:asciiTheme="minorHAnsi" w:hAnsiTheme="minorHAnsi" w:cstheme="minorHAnsi"/>
        </w:rPr>
        <w:t>that applied</w:t>
      </w:r>
      <w:r w:rsidR="00A57A55" w:rsidRPr="005567A0">
        <w:rPr>
          <w:rFonts w:asciiTheme="minorHAnsi" w:hAnsiTheme="minorHAnsi" w:cstheme="minorHAnsi"/>
        </w:rPr>
        <w:t xml:space="preserve"> pre</w:t>
      </w:r>
      <w:r>
        <w:rPr>
          <w:rFonts w:asciiTheme="minorHAnsi" w:hAnsiTheme="minorHAnsi" w:cstheme="minorHAnsi"/>
        </w:rPr>
        <w:t>-</w:t>
      </w:r>
      <w:r w:rsidR="00A57A55" w:rsidRPr="005567A0">
        <w:rPr>
          <w:rFonts w:asciiTheme="minorHAnsi" w:hAnsiTheme="minorHAnsi" w:cstheme="minorHAnsi"/>
        </w:rPr>
        <w:t xml:space="preserve">1 November </w:t>
      </w:r>
      <w:r w:rsidR="007A5D28" w:rsidRPr="005567A0">
        <w:rPr>
          <w:rFonts w:asciiTheme="minorHAnsi" w:hAnsiTheme="minorHAnsi" w:cstheme="minorHAnsi"/>
        </w:rPr>
        <w:t xml:space="preserve">under the old legislation continue to </w:t>
      </w:r>
      <w:r w:rsidR="00A94621" w:rsidRPr="005567A0">
        <w:rPr>
          <w:rFonts w:asciiTheme="minorHAnsi" w:hAnsiTheme="minorHAnsi" w:cstheme="minorHAnsi"/>
        </w:rPr>
        <w:t xml:space="preserve">apply under the </w:t>
      </w:r>
      <w:r w:rsidR="00D05A09" w:rsidRPr="005567A0">
        <w:rPr>
          <w:rFonts w:asciiTheme="minorHAnsi" w:hAnsiTheme="minorHAnsi" w:cstheme="minorHAnsi"/>
        </w:rPr>
        <w:t>new Act</w:t>
      </w:r>
      <w:r w:rsidR="00CF4E6B" w:rsidRPr="005567A0">
        <w:rPr>
          <w:rFonts w:asciiTheme="minorHAnsi" w:hAnsiTheme="minorHAnsi" w:cstheme="minorHAnsi"/>
        </w:rPr>
        <w:t xml:space="preserve">, </w:t>
      </w:r>
      <w:r w:rsidR="00F241FE" w:rsidRPr="005567A0">
        <w:rPr>
          <w:rFonts w:asciiTheme="minorHAnsi" w:hAnsiTheme="minorHAnsi" w:cstheme="minorHAnsi"/>
        </w:rPr>
        <w:t>Rules</w:t>
      </w:r>
      <w:r w:rsidR="00CF4E6B" w:rsidRPr="005567A0">
        <w:rPr>
          <w:rFonts w:asciiTheme="minorHAnsi" w:hAnsiTheme="minorHAnsi" w:cstheme="minorHAnsi"/>
        </w:rPr>
        <w:t xml:space="preserve"> and Standards</w:t>
      </w:r>
      <w:r>
        <w:rPr>
          <w:rFonts w:asciiTheme="minorHAnsi" w:hAnsiTheme="minorHAnsi" w:cstheme="minorHAnsi"/>
        </w:rPr>
        <w:t>.</w:t>
      </w:r>
      <w:r w:rsidR="006E3E60" w:rsidRPr="005567A0">
        <w:rPr>
          <w:rFonts w:asciiTheme="minorHAnsi" w:hAnsiTheme="minorHAnsi" w:cstheme="minorHAnsi"/>
        </w:rPr>
        <w:t xml:space="preserve"> </w:t>
      </w:r>
      <w:r>
        <w:rPr>
          <w:rFonts w:asciiTheme="minorHAnsi" w:hAnsiTheme="minorHAnsi" w:cstheme="minorHAnsi"/>
        </w:rPr>
        <w:t>T</w:t>
      </w:r>
      <w:r w:rsidR="006E3E60" w:rsidRPr="005567A0">
        <w:rPr>
          <w:rFonts w:asciiTheme="minorHAnsi" w:hAnsiTheme="minorHAnsi" w:cstheme="minorHAnsi"/>
        </w:rPr>
        <w:t>he following guidance is g</w:t>
      </w:r>
      <w:r w:rsidR="00FF1801" w:rsidRPr="005567A0">
        <w:rPr>
          <w:rFonts w:asciiTheme="minorHAnsi" w:hAnsiTheme="minorHAnsi" w:cstheme="minorHAnsi"/>
        </w:rPr>
        <w:t xml:space="preserve">eneral to the </w:t>
      </w:r>
      <w:r w:rsidR="00076DC5" w:rsidRPr="005567A0">
        <w:rPr>
          <w:rFonts w:asciiTheme="minorHAnsi" w:hAnsiTheme="minorHAnsi" w:cstheme="minorHAnsi"/>
        </w:rPr>
        <w:t>expectation</w:t>
      </w:r>
      <w:r w:rsidR="004B1B02" w:rsidRPr="005567A0">
        <w:rPr>
          <w:rFonts w:asciiTheme="minorHAnsi" w:hAnsiTheme="minorHAnsi" w:cstheme="minorHAnsi"/>
        </w:rPr>
        <w:t xml:space="preserve"> of the obligation</w:t>
      </w:r>
      <w:r w:rsidR="00CB2928" w:rsidRPr="005567A0">
        <w:rPr>
          <w:rFonts w:asciiTheme="minorHAnsi" w:hAnsiTheme="minorHAnsi" w:cstheme="minorHAnsi"/>
        </w:rPr>
        <w:t xml:space="preserve"> </w:t>
      </w:r>
      <w:r w:rsidR="007C6EC2" w:rsidRPr="005567A0">
        <w:rPr>
          <w:rFonts w:asciiTheme="minorHAnsi" w:hAnsiTheme="minorHAnsi" w:cstheme="minorHAnsi"/>
        </w:rPr>
        <w:t xml:space="preserve">rather than the technical </w:t>
      </w:r>
      <w:r w:rsidR="001A04CF" w:rsidRPr="005567A0">
        <w:rPr>
          <w:rFonts w:asciiTheme="minorHAnsi" w:hAnsiTheme="minorHAnsi" w:cstheme="minorHAnsi"/>
        </w:rPr>
        <w:t xml:space="preserve">reference </w:t>
      </w:r>
      <w:r w:rsidR="00CB2928" w:rsidRPr="005567A0">
        <w:rPr>
          <w:rFonts w:asciiTheme="minorHAnsi" w:hAnsiTheme="minorHAnsi" w:cstheme="minorHAnsi"/>
        </w:rPr>
        <w:t xml:space="preserve">and can be </w:t>
      </w:r>
      <w:r w:rsidR="004F1AD2" w:rsidRPr="005567A0">
        <w:rPr>
          <w:rFonts w:asciiTheme="minorHAnsi" w:hAnsiTheme="minorHAnsi" w:cstheme="minorHAnsi"/>
        </w:rPr>
        <w:t xml:space="preserve">considered </w:t>
      </w:r>
      <w:r w:rsidR="00C60AD6" w:rsidRPr="005567A0">
        <w:rPr>
          <w:rFonts w:asciiTheme="minorHAnsi" w:hAnsiTheme="minorHAnsi" w:cstheme="minorHAnsi"/>
        </w:rPr>
        <w:t>for the full reporting period</w:t>
      </w:r>
      <w:r w:rsidR="003B1B36" w:rsidRPr="005567A0">
        <w:rPr>
          <w:rFonts w:asciiTheme="minorHAnsi" w:hAnsiTheme="minorHAnsi" w:cstheme="minorHAnsi"/>
        </w:rPr>
        <w:t>.  A</w:t>
      </w:r>
      <w:r w:rsidR="00E64607" w:rsidRPr="005567A0">
        <w:rPr>
          <w:rFonts w:asciiTheme="minorHAnsi" w:hAnsiTheme="minorHAnsi" w:cstheme="minorHAnsi"/>
        </w:rPr>
        <w:t>ssessing com</w:t>
      </w:r>
      <w:r w:rsidR="00046F71" w:rsidRPr="005567A0">
        <w:rPr>
          <w:rFonts w:asciiTheme="minorHAnsi" w:hAnsiTheme="minorHAnsi" w:cstheme="minorHAnsi"/>
        </w:rPr>
        <w:t xml:space="preserve">pliance under both regimes </w:t>
      </w:r>
      <w:r w:rsidR="00DA4E5F" w:rsidRPr="005567A0">
        <w:rPr>
          <w:rFonts w:asciiTheme="minorHAnsi" w:hAnsiTheme="minorHAnsi" w:cstheme="minorHAnsi"/>
        </w:rPr>
        <w:t>will require similar testing.</w:t>
      </w:r>
      <w:r w:rsidR="006407CE" w:rsidRPr="005567A0">
        <w:rPr>
          <w:rFonts w:asciiTheme="minorHAnsi" w:hAnsiTheme="minorHAnsi" w:cstheme="minorHAnsi"/>
        </w:rPr>
        <w:t xml:space="preserve">  </w:t>
      </w:r>
      <w:r w:rsidR="00310369" w:rsidRPr="005567A0">
        <w:rPr>
          <w:rFonts w:asciiTheme="minorHAnsi" w:hAnsiTheme="minorHAnsi" w:cstheme="minorHAnsi"/>
        </w:rPr>
        <w:t xml:space="preserve">Specific guidance has been provided where </w:t>
      </w:r>
      <w:r w:rsidR="006407CE" w:rsidRPr="005567A0">
        <w:rPr>
          <w:rFonts w:asciiTheme="minorHAnsi" w:hAnsiTheme="minorHAnsi" w:cstheme="minorHAnsi"/>
        </w:rPr>
        <w:t xml:space="preserve">there has been significant change </w:t>
      </w:r>
      <w:r w:rsidR="00900948" w:rsidRPr="005567A0">
        <w:rPr>
          <w:rFonts w:asciiTheme="minorHAnsi" w:hAnsiTheme="minorHAnsi" w:cstheme="minorHAnsi"/>
        </w:rPr>
        <w:t>to obligations</w:t>
      </w:r>
      <w:r w:rsidR="000F5D41" w:rsidRPr="005567A0">
        <w:rPr>
          <w:rFonts w:asciiTheme="minorHAnsi" w:hAnsiTheme="minorHAnsi" w:cstheme="minorHAnsi"/>
        </w:rPr>
        <w:t>.</w:t>
      </w:r>
      <w:r w:rsidR="00DA4E5F" w:rsidRPr="005567A0">
        <w:rPr>
          <w:rFonts w:asciiTheme="minorHAnsi" w:hAnsiTheme="minorHAnsi" w:cstheme="minorHAnsi"/>
        </w:rPr>
        <w:t xml:space="preserve">  In the event n</w:t>
      </w:r>
      <w:r w:rsidR="00F4524A" w:rsidRPr="005567A0">
        <w:rPr>
          <w:rFonts w:asciiTheme="minorHAnsi" w:hAnsiTheme="minorHAnsi" w:cstheme="minorHAnsi"/>
        </w:rPr>
        <w:t xml:space="preserve">on-compliance is detected it is important for </w:t>
      </w:r>
      <w:r w:rsidR="00931CB4">
        <w:rPr>
          <w:rFonts w:asciiTheme="minorHAnsi" w:hAnsiTheme="minorHAnsi" w:cstheme="minorHAnsi"/>
        </w:rPr>
        <w:t>a</w:t>
      </w:r>
      <w:r w:rsidR="00F4524A" w:rsidRPr="005567A0">
        <w:rPr>
          <w:rFonts w:asciiTheme="minorHAnsi" w:hAnsiTheme="minorHAnsi" w:cstheme="minorHAnsi"/>
        </w:rPr>
        <w:t xml:space="preserve">uditors to </w:t>
      </w:r>
      <w:r w:rsidR="00130144" w:rsidRPr="005567A0">
        <w:rPr>
          <w:rFonts w:asciiTheme="minorHAnsi" w:hAnsiTheme="minorHAnsi" w:cstheme="minorHAnsi"/>
        </w:rPr>
        <w:t xml:space="preserve">note </w:t>
      </w:r>
      <w:r w:rsidR="000262B9" w:rsidRPr="005567A0">
        <w:rPr>
          <w:rFonts w:asciiTheme="minorHAnsi" w:hAnsiTheme="minorHAnsi" w:cstheme="minorHAnsi"/>
        </w:rPr>
        <w:t xml:space="preserve">when the non-compliance occurred and </w:t>
      </w:r>
      <w:r w:rsidR="00992F0B" w:rsidRPr="005567A0">
        <w:rPr>
          <w:rFonts w:asciiTheme="minorHAnsi" w:hAnsiTheme="minorHAnsi" w:cstheme="minorHAnsi"/>
        </w:rPr>
        <w:t xml:space="preserve">under which </w:t>
      </w:r>
      <w:r w:rsidR="007B2095" w:rsidRPr="005567A0">
        <w:rPr>
          <w:rFonts w:asciiTheme="minorHAnsi" w:hAnsiTheme="minorHAnsi" w:cstheme="minorHAnsi"/>
        </w:rPr>
        <w:t>regime</w:t>
      </w:r>
      <w:r w:rsidR="000E28BC" w:rsidRPr="005567A0">
        <w:rPr>
          <w:rFonts w:asciiTheme="minorHAnsi" w:hAnsiTheme="minorHAnsi" w:cstheme="minorHAnsi"/>
        </w:rPr>
        <w:t>.</w:t>
      </w:r>
    </w:p>
    <w:p w14:paraId="5CE6CC78" w14:textId="77777777" w:rsidR="00EA6DD7" w:rsidRPr="00EA6DD7" w:rsidRDefault="00EA6DD7" w:rsidP="00EA6DD7">
      <w:pPr>
        <w:pStyle w:val="Bluebox"/>
        <w:rPr>
          <w:rStyle w:val="Strong"/>
        </w:rPr>
      </w:pPr>
      <w:r w:rsidRPr="00EA6DD7">
        <w:rPr>
          <w:rStyle w:val="Strong"/>
        </w:rPr>
        <w:t>Note:</w:t>
      </w:r>
    </w:p>
    <w:p w14:paraId="00753EB2" w14:textId="1D3EF149" w:rsidR="00EA6DD7" w:rsidRPr="005567A0" w:rsidRDefault="00EA6DD7" w:rsidP="00EA6DD7">
      <w:pPr>
        <w:pStyle w:val="Bluebox"/>
      </w:pPr>
      <w:r w:rsidRPr="00EA6DD7">
        <w:t>Whilst the new Standards do not apply to government providers, they were subject to the old Standards. When auditing government providers, auditors are expected to assess and report on compliance with the old Standards for the period until 31 October 2025.</w:t>
      </w:r>
    </w:p>
    <w:p w14:paraId="0B73A709" w14:textId="74808A7C" w:rsidR="00D53D3A" w:rsidRPr="004C23B3" w:rsidRDefault="00A72EC8" w:rsidP="004C23B3">
      <w:pPr>
        <w:pStyle w:val="Heading3"/>
      </w:pPr>
      <w:r w:rsidRPr="004C23B3">
        <w:t>Liquidity</w:t>
      </w:r>
      <w:r w:rsidR="00241B17" w:rsidRPr="004C23B3">
        <w:t xml:space="preserve"> requirements</w:t>
      </w:r>
    </w:p>
    <w:p w14:paraId="39AA3D22" w14:textId="6FED9CA2" w:rsidR="00215812" w:rsidRPr="005567A0" w:rsidRDefault="00814FEB" w:rsidP="005567A0">
      <w:pPr>
        <w:spacing w:before="0"/>
        <w:rPr>
          <w:rFonts w:asciiTheme="minorHAnsi" w:hAnsiTheme="minorHAnsi" w:cstheme="minorHAnsi"/>
        </w:rPr>
      </w:pPr>
      <w:r w:rsidRPr="005567A0">
        <w:rPr>
          <w:rFonts w:asciiTheme="minorHAnsi" w:hAnsiTheme="minorHAnsi" w:cstheme="minorHAnsi"/>
        </w:rPr>
        <w:t xml:space="preserve">A key element of assessing compliance with </w:t>
      </w:r>
      <w:r w:rsidR="009E78CD" w:rsidRPr="005567A0">
        <w:rPr>
          <w:rFonts w:asciiTheme="minorHAnsi" w:hAnsiTheme="minorHAnsi" w:cstheme="minorHAnsi"/>
        </w:rPr>
        <w:t xml:space="preserve">liquidity obligations </w:t>
      </w:r>
      <w:r w:rsidRPr="005567A0">
        <w:rPr>
          <w:rFonts w:asciiTheme="minorHAnsi" w:hAnsiTheme="minorHAnsi" w:cstheme="minorHAnsi"/>
        </w:rPr>
        <w:t>is examining whether the</w:t>
      </w:r>
      <w:r w:rsidR="00F441DF" w:rsidRPr="005567A0">
        <w:rPr>
          <w:rFonts w:asciiTheme="minorHAnsi" w:hAnsiTheme="minorHAnsi" w:cstheme="minorHAnsi"/>
        </w:rPr>
        <w:t xml:space="preserve"> </w:t>
      </w:r>
      <w:r w:rsidRPr="005567A0">
        <w:rPr>
          <w:rFonts w:asciiTheme="minorHAnsi" w:hAnsiTheme="minorHAnsi" w:cstheme="minorHAnsi"/>
        </w:rPr>
        <w:t xml:space="preserve">provider </w:t>
      </w:r>
      <w:r w:rsidR="001C1942" w:rsidRPr="005567A0">
        <w:rPr>
          <w:rFonts w:asciiTheme="minorHAnsi" w:hAnsiTheme="minorHAnsi" w:cstheme="minorHAnsi"/>
        </w:rPr>
        <w:t xml:space="preserve">maintained </w:t>
      </w:r>
      <w:r w:rsidRPr="005567A0">
        <w:rPr>
          <w:rFonts w:asciiTheme="minorHAnsi" w:hAnsiTheme="minorHAnsi" w:cstheme="minorHAnsi"/>
        </w:rPr>
        <w:t>sufficient liquidity to meet ex</w:t>
      </w:r>
      <w:r w:rsidR="008A0E31" w:rsidRPr="005567A0">
        <w:rPr>
          <w:rFonts w:asciiTheme="minorHAnsi" w:hAnsiTheme="minorHAnsi" w:cstheme="minorHAnsi"/>
        </w:rPr>
        <w:t xml:space="preserve">pected refundable deposit, bond </w:t>
      </w:r>
      <w:r w:rsidRPr="005567A0">
        <w:rPr>
          <w:rFonts w:asciiTheme="minorHAnsi" w:hAnsiTheme="minorHAnsi" w:cstheme="minorHAnsi"/>
        </w:rPr>
        <w:t xml:space="preserve">and entry contribution balance refunds over the </w:t>
      </w:r>
      <w:r w:rsidR="00392C5A" w:rsidRPr="005567A0">
        <w:rPr>
          <w:rFonts w:asciiTheme="minorHAnsi" w:hAnsiTheme="minorHAnsi" w:cstheme="minorHAnsi"/>
        </w:rPr>
        <w:t>reporting period</w:t>
      </w:r>
      <w:r w:rsidRPr="005567A0">
        <w:rPr>
          <w:rFonts w:asciiTheme="minorHAnsi" w:hAnsiTheme="minorHAnsi" w:cstheme="minorHAnsi"/>
        </w:rPr>
        <w:t>.</w:t>
      </w:r>
    </w:p>
    <w:p w14:paraId="1ED13DB5" w14:textId="23D149AB" w:rsidR="00814FEB" w:rsidRPr="005567A0" w:rsidRDefault="00814FEB" w:rsidP="3BBB81D8">
      <w:pPr>
        <w:rPr>
          <w:rFonts w:asciiTheme="minorHAnsi" w:hAnsiTheme="minorHAnsi" w:cstheme="minorHAnsi"/>
        </w:rPr>
      </w:pPr>
      <w:r w:rsidRPr="005567A0">
        <w:rPr>
          <w:rFonts w:asciiTheme="minorHAnsi" w:hAnsiTheme="minorHAnsi" w:cstheme="minorHAnsi"/>
        </w:rPr>
        <w:t>As part of the requirements, the provider must have a written Liquidity Management Strategy (LMS</w:t>
      </w:r>
      <w:r w:rsidR="00B749CA" w:rsidRPr="005567A0">
        <w:rPr>
          <w:rFonts w:asciiTheme="minorHAnsi" w:hAnsiTheme="minorHAnsi" w:cstheme="minorHAnsi"/>
        </w:rPr>
        <w:t>)</w:t>
      </w:r>
      <w:r w:rsidR="00C160B7">
        <w:rPr>
          <w:rFonts w:asciiTheme="minorHAnsi" w:hAnsiTheme="minorHAnsi" w:cstheme="minorHAnsi"/>
        </w:rPr>
        <w:t xml:space="preserve"> </w:t>
      </w:r>
      <w:r w:rsidR="00AD29C8" w:rsidRPr="005567A0">
        <w:rPr>
          <w:rFonts w:asciiTheme="minorHAnsi" w:hAnsiTheme="minorHAnsi" w:cstheme="minorHAnsi"/>
        </w:rPr>
        <w:t xml:space="preserve">that </w:t>
      </w:r>
      <w:r w:rsidR="00DB57EF" w:rsidRPr="005567A0">
        <w:rPr>
          <w:rFonts w:asciiTheme="minorHAnsi" w:hAnsiTheme="minorHAnsi" w:cstheme="minorHAnsi"/>
        </w:rPr>
        <w:t xml:space="preserve">documents </w:t>
      </w:r>
      <w:r w:rsidR="00E806E7" w:rsidRPr="005567A0">
        <w:rPr>
          <w:rFonts w:asciiTheme="minorHAnsi" w:hAnsiTheme="minorHAnsi" w:cstheme="minorHAnsi"/>
        </w:rPr>
        <w:t xml:space="preserve">the </w:t>
      </w:r>
      <w:r w:rsidR="00ED0063" w:rsidRPr="005567A0">
        <w:rPr>
          <w:rFonts w:asciiTheme="minorHAnsi" w:hAnsiTheme="minorHAnsi" w:cstheme="minorHAnsi"/>
        </w:rPr>
        <w:t>provider's liquidity obligations</w:t>
      </w:r>
      <w:r w:rsidR="00252B92" w:rsidRPr="005567A0">
        <w:rPr>
          <w:rFonts w:asciiTheme="minorHAnsi" w:hAnsiTheme="minorHAnsi" w:cstheme="minorHAnsi"/>
        </w:rPr>
        <w:t>.</w:t>
      </w:r>
    </w:p>
    <w:p w14:paraId="5C391A0D" w14:textId="43AFDF33" w:rsidR="00814FEB" w:rsidRPr="00607004" w:rsidRDefault="00814FEB" w:rsidP="0066691F">
      <w:pPr>
        <w:spacing w:after="0"/>
      </w:pPr>
      <w:r w:rsidRPr="005567A0">
        <w:rPr>
          <w:rFonts w:asciiTheme="minorHAnsi" w:hAnsiTheme="minorHAnsi" w:cstheme="minorHAnsi"/>
        </w:rPr>
        <w:t>In assessing compliance with the</w:t>
      </w:r>
      <w:r w:rsidR="00643183" w:rsidRPr="005567A0">
        <w:rPr>
          <w:rFonts w:asciiTheme="minorHAnsi" w:hAnsiTheme="minorHAnsi" w:cstheme="minorHAnsi"/>
        </w:rPr>
        <w:t xml:space="preserve"> </w:t>
      </w:r>
      <w:r w:rsidR="00643183" w:rsidRPr="005567A0">
        <w:rPr>
          <w:rFonts w:asciiTheme="minorHAnsi" w:hAnsiTheme="minorHAnsi" w:cstheme="minorHAnsi"/>
          <w:b/>
        </w:rPr>
        <w:t xml:space="preserve">old </w:t>
      </w:r>
      <w:r w:rsidR="00643183" w:rsidRPr="005567A0">
        <w:rPr>
          <w:rStyle w:val="Strong"/>
          <w:rFonts w:asciiTheme="minorHAnsi" w:hAnsiTheme="minorHAnsi" w:cstheme="minorHAnsi"/>
        </w:rPr>
        <w:t>Liquidity Standard</w:t>
      </w:r>
      <w:r w:rsidR="00643183" w:rsidRPr="005567A0">
        <w:rPr>
          <w:rStyle w:val="FootnoteReference"/>
          <w:rFonts w:asciiTheme="minorHAnsi" w:hAnsiTheme="minorHAnsi" w:cstheme="minorHAnsi"/>
        </w:rPr>
        <w:footnoteReference w:id="14"/>
      </w:r>
      <w:r w:rsidRPr="005567A0">
        <w:rPr>
          <w:rFonts w:asciiTheme="minorHAnsi" w:hAnsiTheme="minorHAnsi" w:cstheme="minorHAnsi"/>
        </w:rPr>
        <w:t xml:space="preserve">, </w:t>
      </w:r>
      <w:r w:rsidR="003E5742" w:rsidRPr="005567A0">
        <w:rPr>
          <w:rFonts w:asciiTheme="minorHAnsi" w:hAnsiTheme="minorHAnsi" w:cstheme="minorHAnsi"/>
        </w:rPr>
        <w:t>it is</w:t>
      </w:r>
      <w:r w:rsidRPr="005567A0">
        <w:rPr>
          <w:rFonts w:asciiTheme="minorHAnsi" w:hAnsiTheme="minorHAnsi" w:cstheme="minorHAnsi"/>
        </w:rPr>
        <w:t xml:space="preserve"> expect</w:t>
      </w:r>
      <w:r w:rsidR="003E5742" w:rsidRPr="005567A0">
        <w:rPr>
          <w:rFonts w:asciiTheme="minorHAnsi" w:hAnsiTheme="minorHAnsi" w:cstheme="minorHAnsi"/>
        </w:rPr>
        <w:t>ed</w:t>
      </w:r>
      <w:r w:rsidRPr="005567A0">
        <w:rPr>
          <w:rFonts w:asciiTheme="minorHAnsi" w:hAnsiTheme="minorHAnsi" w:cstheme="minorHAnsi"/>
        </w:rPr>
        <w:t xml:space="preserve"> that the auditor will have regard to factors such as:</w:t>
      </w:r>
    </w:p>
    <w:p w14:paraId="15A941A3" w14:textId="0002E6D3" w:rsidR="00814FEB" w:rsidRPr="00607004" w:rsidRDefault="00814FEB" w:rsidP="0066691F">
      <w:pPr>
        <w:pStyle w:val="ListParagraph"/>
        <w:numPr>
          <w:ilvl w:val="0"/>
          <w:numId w:val="5"/>
        </w:numPr>
        <w:ind w:left="908" w:hanging="454"/>
      </w:pPr>
      <w:r w:rsidRPr="005567A0">
        <w:rPr>
          <w:rFonts w:asciiTheme="minorHAnsi" w:hAnsiTheme="minorHAnsi" w:cstheme="minorHAnsi"/>
        </w:rPr>
        <w:t>whether an LMS exists (</w:t>
      </w:r>
      <w:r w:rsidR="00801485" w:rsidRPr="005567A0">
        <w:rPr>
          <w:rFonts w:asciiTheme="minorHAnsi" w:hAnsiTheme="minorHAnsi" w:cstheme="minorHAnsi"/>
        </w:rPr>
        <w:t>i.e.,</w:t>
      </w:r>
      <w:r w:rsidRPr="005567A0">
        <w:rPr>
          <w:rFonts w:asciiTheme="minorHAnsi" w:hAnsiTheme="minorHAnsi" w:cstheme="minorHAnsi"/>
        </w:rPr>
        <w:t xml:space="preserve"> t</w:t>
      </w:r>
      <w:r w:rsidR="00227270" w:rsidRPr="005567A0">
        <w:rPr>
          <w:rFonts w:asciiTheme="minorHAnsi" w:hAnsiTheme="minorHAnsi" w:cstheme="minorHAnsi"/>
        </w:rPr>
        <w:t>he auditor should sight a copy)</w:t>
      </w:r>
    </w:p>
    <w:p w14:paraId="1947C6AF" w14:textId="5A05444D" w:rsidR="00814FEB" w:rsidRPr="00607004" w:rsidRDefault="00814FEB" w:rsidP="0066691F">
      <w:pPr>
        <w:pStyle w:val="ListParagraph"/>
        <w:numPr>
          <w:ilvl w:val="0"/>
          <w:numId w:val="5"/>
        </w:numPr>
        <w:ind w:left="908" w:hanging="454"/>
      </w:pPr>
      <w:r w:rsidRPr="005567A0">
        <w:rPr>
          <w:rFonts w:asciiTheme="minorHAnsi" w:hAnsiTheme="minorHAnsi" w:cstheme="minorHAnsi"/>
        </w:rPr>
        <w:t>the overall financial position of the</w:t>
      </w:r>
      <w:r w:rsidR="00F441DF" w:rsidRPr="005567A0">
        <w:rPr>
          <w:rFonts w:asciiTheme="minorHAnsi" w:hAnsiTheme="minorHAnsi" w:cstheme="minorHAnsi"/>
        </w:rPr>
        <w:t xml:space="preserve"> </w:t>
      </w:r>
      <w:r w:rsidRPr="005567A0">
        <w:rPr>
          <w:rFonts w:asciiTheme="minorHAnsi" w:hAnsiTheme="minorHAnsi" w:cstheme="minorHAnsi"/>
        </w:rPr>
        <w:t>provider as set out in its most recent audited financial statements</w:t>
      </w:r>
    </w:p>
    <w:p w14:paraId="719DF173" w14:textId="43C01BEB" w:rsidR="00814FEB" w:rsidRPr="00607004" w:rsidRDefault="00814FEB" w:rsidP="0066691F">
      <w:pPr>
        <w:pStyle w:val="ListParagraph"/>
        <w:numPr>
          <w:ilvl w:val="0"/>
          <w:numId w:val="5"/>
        </w:numPr>
        <w:ind w:left="908" w:hanging="454"/>
      </w:pPr>
      <w:r w:rsidRPr="005567A0">
        <w:rPr>
          <w:rFonts w:asciiTheme="minorHAnsi" w:hAnsiTheme="minorHAnsi" w:cstheme="minorHAnsi"/>
        </w:rPr>
        <w:t xml:space="preserve">the LMS and </w:t>
      </w:r>
      <w:r w:rsidR="00E8549B" w:rsidRPr="005567A0">
        <w:rPr>
          <w:rFonts w:asciiTheme="minorHAnsi" w:hAnsiTheme="minorHAnsi" w:cstheme="minorHAnsi"/>
        </w:rPr>
        <w:t xml:space="preserve">whether the provider maintained </w:t>
      </w:r>
      <w:r w:rsidRPr="005567A0">
        <w:rPr>
          <w:rFonts w:asciiTheme="minorHAnsi" w:hAnsiTheme="minorHAnsi" w:cstheme="minorHAnsi"/>
        </w:rPr>
        <w:t>the minimum level of liquidity identified as necessary to meet refund obligations for refundable deposit</w:t>
      </w:r>
      <w:r w:rsidR="00B733E0" w:rsidRPr="005567A0">
        <w:rPr>
          <w:rFonts w:asciiTheme="minorHAnsi" w:hAnsiTheme="minorHAnsi" w:cstheme="minorHAnsi"/>
        </w:rPr>
        <w:t>, bond</w:t>
      </w:r>
      <w:r w:rsidRPr="005567A0">
        <w:rPr>
          <w:rFonts w:asciiTheme="minorHAnsi" w:hAnsiTheme="minorHAnsi" w:cstheme="minorHAnsi"/>
        </w:rPr>
        <w:t xml:space="preserve"> and entry contribution balances, </w:t>
      </w:r>
      <w:proofErr w:type="gramStart"/>
      <w:r w:rsidRPr="005567A0">
        <w:rPr>
          <w:rFonts w:asciiTheme="minorHAnsi" w:hAnsiTheme="minorHAnsi" w:cstheme="minorHAnsi"/>
        </w:rPr>
        <w:t>taking into account</w:t>
      </w:r>
      <w:proofErr w:type="gramEnd"/>
      <w:r w:rsidRPr="005567A0">
        <w:rPr>
          <w:rFonts w:asciiTheme="minorHAnsi" w:hAnsiTheme="minorHAnsi" w:cstheme="minorHAnsi"/>
        </w:rPr>
        <w:t xml:space="preserve"> the nature of the</w:t>
      </w:r>
      <w:r w:rsidR="00F441DF" w:rsidRPr="005567A0">
        <w:rPr>
          <w:rFonts w:asciiTheme="minorHAnsi" w:hAnsiTheme="minorHAnsi" w:cstheme="minorHAnsi"/>
        </w:rPr>
        <w:t xml:space="preserve"> </w:t>
      </w:r>
      <w:r w:rsidRPr="005567A0">
        <w:rPr>
          <w:rFonts w:asciiTheme="minorHAnsi" w:hAnsiTheme="minorHAnsi" w:cstheme="minorHAnsi"/>
        </w:rPr>
        <w:t>provider’s operations.</w:t>
      </w:r>
    </w:p>
    <w:p w14:paraId="5344CCBA" w14:textId="45E70B0B" w:rsidR="00814FEB" w:rsidRPr="00607004" w:rsidRDefault="00814FEB" w:rsidP="00814FEB">
      <w:r w:rsidRPr="005567A0">
        <w:rPr>
          <w:rFonts w:asciiTheme="minorHAnsi" w:hAnsiTheme="minorHAnsi" w:cstheme="minorHAnsi"/>
        </w:rPr>
        <w:t xml:space="preserve">In developing its LMS and determining its minimum level of liquidity, a provider must be able to identify the factors </w:t>
      </w:r>
      <w:proofErr w:type="gramStart"/>
      <w:r w:rsidRPr="005567A0">
        <w:rPr>
          <w:rFonts w:asciiTheme="minorHAnsi" w:hAnsiTheme="minorHAnsi" w:cstheme="minorHAnsi"/>
        </w:rPr>
        <w:t>taken into account</w:t>
      </w:r>
      <w:proofErr w:type="gramEnd"/>
      <w:r w:rsidRPr="005567A0">
        <w:rPr>
          <w:rFonts w:asciiTheme="minorHAnsi" w:hAnsiTheme="minorHAnsi" w:cstheme="minorHAnsi"/>
        </w:rPr>
        <w:t>. The types of factors that a provider could consider incorporating in its LMS include, but are not limited to the:</w:t>
      </w:r>
    </w:p>
    <w:p w14:paraId="116ED078" w14:textId="77777777" w:rsidR="00814FEB" w:rsidRPr="00607004" w:rsidRDefault="00814FEB" w:rsidP="00EA6DD7">
      <w:pPr>
        <w:pStyle w:val="ListBullet"/>
      </w:pPr>
      <w:r w:rsidRPr="005567A0">
        <w:t>historic pattern of refundable d</w:t>
      </w:r>
      <w:r w:rsidR="00227270" w:rsidRPr="005567A0">
        <w:t>eposit and bond balance refunds</w:t>
      </w:r>
      <w:r w:rsidR="00094BED" w:rsidRPr="005567A0">
        <w:t>;</w:t>
      </w:r>
    </w:p>
    <w:p w14:paraId="6340375A" w14:textId="5FF08179" w:rsidR="00814FEB" w:rsidRPr="00607004" w:rsidRDefault="00814FEB" w:rsidP="00EA6DD7">
      <w:pPr>
        <w:pStyle w:val="ListBullet"/>
      </w:pPr>
      <w:r w:rsidRPr="005567A0">
        <w:t>characteristics of the residents for whom the</w:t>
      </w:r>
      <w:r w:rsidR="00F441DF" w:rsidRPr="005567A0">
        <w:t xml:space="preserve"> </w:t>
      </w:r>
      <w:r w:rsidRPr="005567A0">
        <w:t>provider cares that may influence the timing of refundable deposit and bond balance refunds (</w:t>
      </w:r>
      <w:r w:rsidR="00801485" w:rsidRPr="005567A0">
        <w:t>e.g.,</w:t>
      </w:r>
      <w:r w:rsidRPr="005567A0">
        <w:t xml:space="preserve"> the level of the care needs of residents, age, sex, le</w:t>
      </w:r>
      <w:r w:rsidR="00227270" w:rsidRPr="005567A0">
        <w:t>ngth of time spent in care)</w:t>
      </w:r>
    </w:p>
    <w:p w14:paraId="31985488" w14:textId="39CEEEE8" w:rsidR="00814FEB" w:rsidRPr="00930275" w:rsidRDefault="00814FEB" w:rsidP="00EA6DD7">
      <w:pPr>
        <w:pStyle w:val="ListBullet"/>
      </w:pPr>
      <w:r w:rsidRPr="005567A0">
        <w:t>average value of refundable deposit and bond balances</w:t>
      </w:r>
      <w:r w:rsidR="00227270" w:rsidRPr="005567A0">
        <w:t xml:space="preserve"> currently held by the provider</w:t>
      </w:r>
    </w:p>
    <w:p w14:paraId="3BEFC145" w14:textId="77777777" w:rsidR="00814FEB" w:rsidRPr="00930275" w:rsidRDefault="00814FEB" w:rsidP="00EA6DD7">
      <w:pPr>
        <w:pStyle w:val="ListBullet"/>
      </w:pPr>
      <w:r w:rsidRPr="005567A0">
        <w:t>expected number and amount of refundable deposit or bonds that will be paid by new residents.</w:t>
      </w:r>
    </w:p>
    <w:p w14:paraId="1FF771B2" w14:textId="6A9A62CE" w:rsidR="0059438E" w:rsidRPr="005567A0" w:rsidRDefault="001B31DE" w:rsidP="0066691F">
      <w:pPr>
        <w:rPr>
          <w:rStyle w:val="Strong"/>
          <w:rFonts w:asciiTheme="minorHAnsi" w:hAnsiTheme="minorHAnsi" w:cstheme="minorHAnsi"/>
          <w:b w:val="0"/>
        </w:rPr>
      </w:pPr>
      <w:r w:rsidRPr="005567A0">
        <w:rPr>
          <w:rStyle w:val="Strong"/>
          <w:rFonts w:asciiTheme="minorHAnsi" w:hAnsiTheme="minorHAnsi" w:cstheme="minorHAnsi"/>
          <w:b w:val="0"/>
        </w:rPr>
        <w:t>W</w:t>
      </w:r>
      <w:r w:rsidR="00641FF3" w:rsidRPr="005567A0">
        <w:rPr>
          <w:rStyle w:val="Strong"/>
          <w:rFonts w:asciiTheme="minorHAnsi" w:hAnsiTheme="minorHAnsi" w:cstheme="minorHAnsi"/>
          <w:b w:val="0"/>
        </w:rPr>
        <w:t xml:space="preserve">hilst much of the old liquidity standard obligations remain, </w:t>
      </w:r>
      <w:r w:rsidRPr="005567A0">
        <w:rPr>
          <w:rFonts w:asciiTheme="minorHAnsi" w:hAnsiTheme="minorHAnsi" w:cstheme="minorHAnsi"/>
        </w:rPr>
        <w:t xml:space="preserve">the </w:t>
      </w:r>
      <w:r w:rsidRPr="005567A0">
        <w:rPr>
          <w:rFonts w:asciiTheme="minorHAnsi" w:hAnsiTheme="minorHAnsi" w:cstheme="minorHAnsi"/>
          <w:b/>
        </w:rPr>
        <w:t xml:space="preserve">new </w:t>
      </w:r>
      <w:r w:rsidRPr="005567A0">
        <w:rPr>
          <w:rStyle w:val="Strong"/>
          <w:rFonts w:asciiTheme="minorHAnsi" w:hAnsiTheme="minorHAnsi" w:cstheme="minorHAnsi"/>
        </w:rPr>
        <w:t>Liquidity Standard</w:t>
      </w:r>
      <w:r w:rsidRPr="005567A0">
        <w:rPr>
          <w:rStyle w:val="FootnoteReference"/>
          <w:rFonts w:asciiTheme="minorHAnsi" w:hAnsiTheme="minorHAnsi" w:cstheme="minorHAnsi"/>
          <w:b/>
        </w:rPr>
        <w:footnoteReference w:id="15"/>
      </w:r>
      <w:r w:rsidRPr="005567A0">
        <w:rPr>
          <w:rStyle w:val="Strong"/>
          <w:rFonts w:asciiTheme="minorHAnsi" w:hAnsiTheme="minorHAnsi" w:cstheme="minorHAnsi"/>
        </w:rPr>
        <w:t xml:space="preserve"> </w:t>
      </w:r>
      <w:r w:rsidR="00E41C80" w:rsidRPr="005567A0">
        <w:rPr>
          <w:rStyle w:val="Strong"/>
          <w:rFonts w:asciiTheme="minorHAnsi" w:hAnsiTheme="minorHAnsi" w:cstheme="minorHAnsi"/>
          <w:b w:val="0"/>
        </w:rPr>
        <w:t>contains additional responsibilities</w:t>
      </w:r>
      <w:r w:rsidR="00BF1ADA" w:rsidRPr="005567A0">
        <w:rPr>
          <w:rStyle w:val="Strong"/>
          <w:rFonts w:asciiTheme="minorHAnsi" w:hAnsiTheme="minorHAnsi" w:cstheme="minorHAnsi"/>
          <w:b w:val="0"/>
        </w:rPr>
        <w:t xml:space="preserve"> to ensure </w:t>
      </w:r>
      <w:r w:rsidR="00B21EF8" w:rsidRPr="005567A0">
        <w:rPr>
          <w:rStyle w:val="Strong"/>
          <w:rFonts w:asciiTheme="minorHAnsi" w:hAnsiTheme="minorHAnsi" w:cstheme="minorHAnsi"/>
          <w:b w:val="0"/>
        </w:rPr>
        <w:t xml:space="preserve">providers meet both refundable deposit obligations and </w:t>
      </w:r>
      <w:r w:rsidR="00F60D09" w:rsidRPr="005567A0">
        <w:rPr>
          <w:rStyle w:val="Strong"/>
          <w:rFonts w:asciiTheme="minorHAnsi" w:hAnsiTheme="minorHAnsi" w:cstheme="minorHAnsi"/>
          <w:b w:val="0"/>
        </w:rPr>
        <w:t>other financial commitments</w:t>
      </w:r>
      <w:r w:rsidR="002F628F" w:rsidRPr="005567A0">
        <w:rPr>
          <w:rStyle w:val="Strong"/>
          <w:rFonts w:asciiTheme="minorHAnsi" w:hAnsiTheme="minorHAnsi" w:cstheme="minorHAnsi"/>
          <w:b w:val="0"/>
        </w:rPr>
        <w:t>,</w:t>
      </w:r>
      <w:r w:rsidR="006D0588" w:rsidRPr="005567A0">
        <w:rPr>
          <w:rStyle w:val="Strong"/>
          <w:rFonts w:asciiTheme="minorHAnsi" w:hAnsiTheme="minorHAnsi" w:cstheme="minorHAnsi"/>
          <w:b w:val="0"/>
        </w:rPr>
        <w:t xml:space="preserve"> including</w:t>
      </w:r>
      <w:r w:rsidR="00200842" w:rsidRPr="005567A0">
        <w:rPr>
          <w:rStyle w:val="Strong"/>
          <w:rFonts w:asciiTheme="minorHAnsi" w:hAnsiTheme="minorHAnsi" w:cstheme="minorHAnsi"/>
          <w:b w:val="0"/>
        </w:rPr>
        <w:t>:</w:t>
      </w:r>
    </w:p>
    <w:p w14:paraId="5F12389B" w14:textId="509A96B1" w:rsidR="00F17164" w:rsidRPr="005567A0" w:rsidRDefault="00F17164" w:rsidP="00EA6DD7">
      <w:pPr>
        <w:pStyle w:val="ListBullet"/>
        <w:rPr>
          <w:rStyle w:val="Strong"/>
          <w:b w:val="0"/>
        </w:rPr>
      </w:pPr>
      <w:r w:rsidRPr="005567A0">
        <w:rPr>
          <w:rStyle w:val="Strong"/>
          <w:b w:val="0"/>
        </w:rPr>
        <w:t xml:space="preserve">maintaining a written </w:t>
      </w:r>
      <w:r w:rsidR="00B062F4" w:rsidRPr="005567A0">
        <w:rPr>
          <w:rStyle w:val="Strong"/>
          <w:b w:val="0"/>
        </w:rPr>
        <w:t xml:space="preserve">LMS </w:t>
      </w:r>
      <w:r w:rsidR="00FF24D7" w:rsidRPr="005567A0">
        <w:rPr>
          <w:rStyle w:val="Strong"/>
          <w:b w:val="0"/>
        </w:rPr>
        <w:t>that meets the requirements of the new Liquidity Standard</w:t>
      </w:r>
    </w:p>
    <w:p w14:paraId="78FEE43C" w14:textId="0ED8212C" w:rsidR="00200842" w:rsidRPr="005567A0" w:rsidRDefault="00A91F51" w:rsidP="00EA6DD7">
      <w:pPr>
        <w:pStyle w:val="ListBullet"/>
        <w:rPr>
          <w:rStyle w:val="Strong"/>
          <w:b w:val="0"/>
        </w:rPr>
      </w:pPr>
      <w:r w:rsidRPr="005567A0">
        <w:rPr>
          <w:rStyle w:val="Strong"/>
          <w:b w:val="0"/>
        </w:rPr>
        <w:t>determin</w:t>
      </w:r>
      <w:r w:rsidR="0024637E" w:rsidRPr="005567A0">
        <w:rPr>
          <w:rStyle w:val="Strong"/>
          <w:b w:val="0"/>
        </w:rPr>
        <w:t>ing</w:t>
      </w:r>
      <w:r w:rsidRPr="005567A0">
        <w:rPr>
          <w:rStyle w:val="Strong"/>
          <w:b w:val="0"/>
        </w:rPr>
        <w:t xml:space="preserve"> </w:t>
      </w:r>
      <w:r w:rsidR="00EA12C7" w:rsidRPr="005567A0">
        <w:rPr>
          <w:rStyle w:val="Strong"/>
          <w:b w:val="0"/>
        </w:rPr>
        <w:t xml:space="preserve">the </w:t>
      </w:r>
      <w:r w:rsidRPr="005567A0">
        <w:rPr>
          <w:rStyle w:val="Strong"/>
          <w:b w:val="0"/>
        </w:rPr>
        <w:t xml:space="preserve">default minimum liquidity amount </w:t>
      </w:r>
      <w:r w:rsidR="00C1446F" w:rsidRPr="005567A0">
        <w:rPr>
          <w:rStyle w:val="Strong"/>
          <w:b w:val="0"/>
        </w:rPr>
        <w:t xml:space="preserve">(DMLA) </w:t>
      </w:r>
      <w:r w:rsidRPr="005567A0">
        <w:rPr>
          <w:rStyle w:val="Strong"/>
          <w:b w:val="0"/>
        </w:rPr>
        <w:t xml:space="preserve">and evaluated minimum liquidity amount </w:t>
      </w:r>
      <w:r w:rsidR="00C1446F" w:rsidRPr="005567A0">
        <w:rPr>
          <w:rStyle w:val="Strong"/>
          <w:b w:val="0"/>
        </w:rPr>
        <w:t xml:space="preserve">(EMLA) </w:t>
      </w:r>
      <w:r w:rsidRPr="005567A0">
        <w:rPr>
          <w:rStyle w:val="Strong"/>
          <w:b w:val="0"/>
        </w:rPr>
        <w:t>on a quarterly basis</w:t>
      </w:r>
    </w:p>
    <w:p w14:paraId="3180C9D1" w14:textId="01623C49" w:rsidR="0063532D" w:rsidRPr="005567A0" w:rsidRDefault="003979E6" w:rsidP="00EA6DD7">
      <w:pPr>
        <w:pStyle w:val="ListBullet"/>
      </w:pPr>
      <w:r w:rsidRPr="005567A0">
        <w:rPr>
          <w:rStyle w:val="Strong"/>
          <w:b w:val="0"/>
        </w:rPr>
        <w:t xml:space="preserve">whether the provider has </w:t>
      </w:r>
      <w:r w:rsidR="007E16A8" w:rsidRPr="005567A0">
        <w:rPr>
          <w:rStyle w:val="Strong"/>
          <w:b w:val="0"/>
        </w:rPr>
        <w:t>maintain</w:t>
      </w:r>
      <w:r w:rsidRPr="005567A0">
        <w:rPr>
          <w:rStyle w:val="Strong"/>
          <w:b w:val="0"/>
        </w:rPr>
        <w:t>ed their</w:t>
      </w:r>
      <w:r w:rsidR="007E16A8" w:rsidRPr="005567A0">
        <w:rPr>
          <w:rStyle w:val="Strong"/>
          <w:b w:val="0"/>
        </w:rPr>
        <w:t xml:space="preserve"> </w:t>
      </w:r>
      <w:r w:rsidR="00545478" w:rsidRPr="005567A0">
        <w:rPr>
          <w:rStyle w:val="Strong"/>
          <w:b w:val="0"/>
        </w:rPr>
        <w:t>DMLA</w:t>
      </w:r>
      <w:r w:rsidR="007E16A8" w:rsidRPr="005567A0">
        <w:rPr>
          <w:rStyle w:val="Strong"/>
          <w:b w:val="0"/>
        </w:rPr>
        <w:t xml:space="preserve"> amount </w:t>
      </w:r>
      <w:r w:rsidRPr="005567A0">
        <w:rPr>
          <w:rStyle w:val="Strong"/>
          <w:b w:val="0"/>
        </w:rPr>
        <w:t>each</w:t>
      </w:r>
      <w:r w:rsidR="007E16A8" w:rsidRPr="005567A0">
        <w:rPr>
          <w:rStyle w:val="Strong"/>
          <w:b w:val="0"/>
        </w:rPr>
        <w:t xml:space="preserve"> quarter</w:t>
      </w:r>
      <w:r w:rsidRPr="005567A0">
        <w:rPr>
          <w:rStyle w:val="Strong"/>
          <w:b w:val="0"/>
        </w:rPr>
        <w:t>,</w:t>
      </w:r>
      <w:r w:rsidR="007E16A8" w:rsidRPr="005567A0">
        <w:rPr>
          <w:rStyle w:val="Strong"/>
          <w:b w:val="0"/>
        </w:rPr>
        <w:t xml:space="preserve"> unless </w:t>
      </w:r>
      <w:r w:rsidR="0063532D" w:rsidRPr="005567A0">
        <w:t>elect</w:t>
      </w:r>
      <w:r w:rsidR="00B91C62" w:rsidRPr="005567A0">
        <w:t>ing</w:t>
      </w:r>
      <w:r w:rsidR="0063532D" w:rsidRPr="005567A0">
        <w:t xml:space="preserve"> to maintain their </w:t>
      </w:r>
      <w:r w:rsidR="00545478" w:rsidRPr="005567A0">
        <w:t>EMLA</w:t>
      </w:r>
    </w:p>
    <w:p w14:paraId="4D3AC222" w14:textId="0D09D485" w:rsidR="007E53A9" w:rsidRPr="005567A0" w:rsidRDefault="0084535C" w:rsidP="00EA6DD7">
      <w:pPr>
        <w:pStyle w:val="ListBullet"/>
      </w:pPr>
      <w:r w:rsidRPr="005567A0">
        <w:t>r</w:t>
      </w:r>
      <w:r w:rsidR="007E53A9" w:rsidRPr="005567A0">
        <w:t xml:space="preserve">eview </w:t>
      </w:r>
      <w:r w:rsidR="00FF1033" w:rsidRPr="005567A0">
        <w:t>and</w:t>
      </w:r>
      <w:r w:rsidR="00C154ED" w:rsidRPr="005567A0">
        <w:rPr>
          <w:rStyle w:val="Strong"/>
          <w:b w:val="0"/>
          <w:bCs w:val="0"/>
        </w:rPr>
        <w:t>, if required update,</w:t>
      </w:r>
      <w:r w:rsidR="007E53A9" w:rsidRPr="005567A0">
        <w:rPr>
          <w:rStyle w:val="Strong"/>
          <w:b w:val="0"/>
          <w:bCs w:val="0"/>
        </w:rPr>
        <w:t xml:space="preserve"> </w:t>
      </w:r>
      <w:r w:rsidR="00F209AC" w:rsidRPr="005567A0">
        <w:rPr>
          <w:rStyle w:val="Strong"/>
          <w:b w:val="0"/>
          <w:bCs w:val="0"/>
        </w:rPr>
        <w:t>the LMS</w:t>
      </w:r>
      <w:r w:rsidR="00F1614B" w:rsidRPr="005567A0">
        <w:rPr>
          <w:rStyle w:val="Strong"/>
          <w:b w:val="0"/>
          <w:bCs w:val="0"/>
        </w:rPr>
        <w:t xml:space="preserve"> at least </w:t>
      </w:r>
      <w:r w:rsidR="004D4DB7" w:rsidRPr="005567A0">
        <w:rPr>
          <w:rStyle w:val="Strong"/>
          <w:b w:val="0"/>
          <w:bCs w:val="0"/>
        </w:rPr>
        <w:t>once in each financial year</w:t>
      </w:r>
      <w:r w:rsidR="005B6252" w:rsidRPr="005567A0">
        <w:rPr>
          <w:rStyle w:val="Strong"/>
          <w:b w:val="0"/>
          <w:bCs w:val="0"/>
        </w:rPr>
        <w:t xml:space="preserve"> to ensure </w:t>
      </w:r>
      <w:r w:rsidR="00300F77" w:rsidRPr="005567A0">
        <w:rPr>
          <w:rStyle w:val="Strong"/>
          <w:b w:val="0"/>
          <w:bCs w:val="0"/>
        </w:rPr>
        <w:t>its effectiveness in achieving the objectives</w:t>
      </w:r>
      <w:r w:rsidR="00244E2C" w:rsidRPr="005567A0">
        <w:t xml:space="preserve"> </w:t>
      </w:r>
      <w:r w:rsidR="00244E2C" w:rsidRPr="005567A0">
        <w:rPr>
          <w:rStyle w:val="Strong"/>
          <w:b w:val="0"/>
          <w:bCs w:val="0"/>
        </w:rPr>
        <w:t>and compliance with the Standard</w:t>
      </w:r>
      <w:r w:rsidR="7D84DB55" w:rsidRPr="0578F4E1">
        <w:rPr>
          <w:rStyle w:val="Strong"/>
          <w:b w:val="0"/>
          <w:bCs w:val="0"/>
        </w:rPr>
        <w:t>.</w:t>
      </w:r>
    </w:p>
    <w:p w14:paraId="0A0B9DB0" w14:textId="16CAB771" w:rsidR="006711CE" w:rsidRPr="005567A0" w:rsidRDefault="006711CE" w:rsidP="005567A0">
      <w:pPr>
        <w:rPr>
          <w:rFonts w:asciiTheme="minorHAnsi" w:hAnsiTheme="minorHAnsi" w:cstheme="minorHAnsi"/>
        </w:rPr>
      </w:pPr>
      <w:r w:rsidRPr="005567A0">
        <w:rPr>
          <w:rFonts w:asciiTheme="minorHAnsi" w:hAnsiTheme="minorHAnsi" w:cstheme="minorHAnsi"/>
        </w:rPr>
        <w:t xml:space="preserve">Auditors </w:t>
      </w:r>
      <w:r w:rsidR="001817F0" w:rsidRPr="005567A0">
        <w:rPr>
          <w:rFonts w:asciiTheme="minorHAnsi" w:hAnsiTheme="minorHAnsi" w:cstheme="minorHAnsi"/>
        </w:rPr>
        <w:t xml:space="preserve">are </w:t>
      </w:r>
      <w:r w:rsidR="008C53F1" w:rsidRPr="005567A0">
        <w:rPr>
          <w:rFonts w:asciiTheme="minorHAnsi" w:hAnsiTheme="minorHAnsi" w:cstheme="minorHAnsi"/>
        </w:rPr>
        <w:t xml:space="preserve">expected to consider the full </w:t>
      </w:r>
      <w:r w:rsidR="00632C5C" w:rsidRPr="005567A0">
        <w:rPr>
          <w:rFonts w:asciiTheme="minorHAnsi" w:hAnsiTheme="minorHAnsi" w:cstheme="minorHAnsi"/>
        </w:rPr>
        <w:t>legislative</w:t>
      </w:r>
      <w:r w:rsidR="007D3938" w:rsidRPr="005567A0">
        <w:rPr>
          <w:rFonts w:asciiTheme="minorHAnsi" w:hAnsiTheme="minorHAnsi" w:cstheme="minorHAnsi"/>
        </w:rPr>
        <w:t xml:space="preserve"> requirements and should </w:t>
      </w:r>
      <w:r w:rsidR="00E23FFE" w:rsidRPr="005567A0">
        <w:rPr>
          <w:rFonts w:asciiTheme="minorHAnsi" w:hAnsiTheme="minorHAnsi" w:cstheme="minorHAnsi"/>
        </w:rPr>
        <w:t>refer</w:t>
      </w:r>
      <w:r w:rsidR="007D3938" w:rsidRPr="005567A0">
        <w:rPr>
          <w:rFonts w:asciiTheme="minorHAnsi" w:hAnsiTheme="minorHAnsi" w:cstheme="minorHAnsi"/>
        </w:rPr>
        <w:t xml:space="preserve"> to the </w:t>
      </w:r>
      <w:r w:rsidR="00931D3D" w:rsidRPr="005567A0">
        <w:rPr>
          <w:rFonts w:asciiTheme="minorHAnsi" w:hAnsiTheme="minorHAnsi" w:cstheme="minorHAnsi"/>
        </w:rPr>
        <w:t xml:space="preserve">relevant </w:t>
      </w:r>
      <w:r w:rsidR="00980E72" w:rsidRPr="005567A0">
        <w:rPr>
          <w:rFonts w:asciiTheme="minorHAnsi" w:hAnsiTheme="minorHAnsi" w:cstheme="minorHAnsi"/>
        </w:rPr>
        <w:t xml:space="preserve">provisions </w:t>
      </w:r>
      <w:r w:rsidR="00C0676E" w:rsidRPr="005567A0">
        <w:rPr>
          <w:rFonts w:asciiTheme="minorHAnsi" w:hAnsiTheme="minorHAnsi" w:cstheme="minorHAnsi"/>
        </w:rPr>
        <w:t xml:space="preserve">of the new Standards and </w:t>
      </w:r>
      <w:r w:rsidR="00D01FFC" w:rsidRPr="005567A0">
        <w:rPr>
          <w:rFonts w:asciiTheme="minorHAnsi" w:hAnsiTheme="minorHAnsi" w:cstheme="minorHAnsi"/>
        </w:rPr>
        <w:t xml:space="preserve">the Commission’s </w:t>
      </w:r>
      <w:r w:rsidR="000E31D3" w:rsidRPr="005567A0">
        <w:rPr>
          <w:rFonts w:asciiTheme="minorHAnsi" w:hAnsiTheme="minorHAnsi" w:cstheme="minorHAnsi"/>
        </w:rPr>
        <w:t xml:space="preserve">detailed guidance on </w:t>
      </w:r>
      <w:hyperlink r:id="rId15" w:history="1">
        <w:r w:rsidR="0003127D" w:rsidRPr="005567A0">
          <w:rPr>
            <w:rStyle w:val="Hyperlink"/>
            <w:rFonts w:asciiTheme="minorHAnsi" w:hAnsiTheme="minorHAnsi" w:cstheme="minorHAnsi"/>
          </w:rPr>
          <w:t xml:space="preserve">Liquidity Standard </w:t>
        </w:r>
        <w:r w:rsidR="00BC47FD" w:rsidRPr="005567A0">
          <w:rPr>
            <w:rStyle w:val="Hyperlink"/>
            <w:rFonts w:asciiTheme="minorHAnsi" w:hAnsiTheme="minorHAnsi" w:cstheme="minorHAnsi"/>
          </w:rPr>
          <w:t>compliance obligations</w:t>
        </w:r>
      </w:hyperlink>
      <w:r w:rsidR="00BC47FD" w:rsidRPr="005567A0">
        <w:rPr>
          <w:rFonts w:asciiTheme="minorHAnsi" w:hAnsiTheme="minorHAnsi" w:cstheme="minorHAnsi"/>
        </w:rPr>
        <w:t>.</w:t>
      </w:r>
    </w:p>
    <w:p w14:paraId="2E95509D" w14:textId="77777777" w:rsidR="00276878" w:rsidRPr="004C23B3" w:rsidRDefault="00AD23CD" w:rsidP="004C23B3">
      <w:pPr>
        <w:pStyle w:val="Heading3"/>
      </w:pPr>
      <w:r w:rsidRPr="004C23B3">
        <w:t xml:space="preserve">Refundable </w:t>
      </w:r>
      <w:r w:rsidR="00276878" w:rsidRPr="004C23B3">
        <w:t>deposit register</w:t>
      </w:r>
    </w:p>
    <w:p w14:paraId="29C990E3" w14:textId="3DBD51C1" w:rsidR="005702D2" w:rsidRPr="005567A0" w:rsidRDefault="00BA39E8" w:rsidP="005567A0">
      <w:pPr>
        <w:spacing w:before="0" w:after="0"/>
        <w:rPr>
          <w:rFonts w:asciiTheme="minorHAnsi" w:hAnsiTheme="minorHAnsi" w:cstheme="minorHAnsi"/>
        </w:rPr>
      </w:pPr>
      <w:r w:rsidRPr="005567A0">
        <w:rPr>
          <w:rFonts w:asciiTheme="minorHAnsi" w:hAnsiTheme="minorHAnsi" w:cstheme="minorHAnsi"/>
        </w:rPr>
        <w:t>Obligations relating to prudential record keeping</w:t>
      </w:r>
      <w:r w:rsidR="002D79EB" w:rsidRPr="005567A0">
        <w:rPr>
          <w:rFonts w:asciiTheme="minorHAnsi" w:hAnsiTheme="minorHAnsi" w:cstheme="minorHAnsi"/>
        </w:rPr>
        <w:t>,</w:t>
      </w:r>
      <w:r w:rsidRPr="005567A0">
        <w:rPr>
          <w:rFonts w:asciiTheme="minorHAnsi" w:hAnsiTheme="minorHAnsi" w:cstheme="minorHAnsi"/>
        </w:rPr>
        <w:t xml:space="preserve"> </w:t>
      </w:r>
      <w:r w:rsidR="009134DD" w:rsidRPr="005567A0">
        <w:rPr>
          <w:rFonts w:asciiTheme="minorHAnsi" w:hAnsiTheme="minorHAnsi" w:cstheme="minorHAnsi"/>
        </w:rPr>
        <w:t xml:space="preserve">previously </w:t>
      </w:r>
      <w:r w:rsidR="008B3CDE" w:rsidRPr="005567A0">
        <w:rPr>
          <w:rFonts w:asciiTheme="minorHAnsi" w:hAnsiTheme="minorHAnsi" w:cstheme="minorHAnsi"/>
        </w:rPr>
        <w:t xml:space="preserve">contained under the </w:t>
      </w:r>
      <w:r w:rsidR="008B3CDE" w:rsidRPr="005567A0">
        <w:rPr>
          <w:rFonts w:asciiTheme="minorHAnsi" w:hAnsiTheme="minorHAnsi" w:cstheme="minorHAnsi"/>
          <w:b/>
        </w:rPr>
        <w:t>Records Standard</w:t>
      </w:r>
      <w:r w:rsidR="00EA4F44" w:rsidRPr="005567A0">
        <w:rPr>
          <w:rStyle w:val="FootnoteReference"/>
          <w:rFonts w:asciiTheme="minorHAnsi" w:hAnsiTheme="minorHAnsi" w:cstheme="minorHAnsi"/>
          <w:b/>
        </w:rPr>
        <w:footnoteReference w:id="16"/>
      </w:r>
      <w:r w:rsidR="008B3CDE" w:rsidRPr="005567A0">
        <w:rPr>
          <w:rFonts w:asciiTheme="minorHAnsi" w:hAnsiTheme="minorHAnsi" w:cstheme="minorHAnsi"/>
          <w:b/>
        </w:rPr>
        <w:t xml:space="preserve"> </w:t>
      </w:r>
      <w:r w:rsidR="002D79EB" w:rsidRPr="005567A0">
        <w:rPr>
          <w:rFonts w:asciiTheme="minorHAnsi" w:hAnsiTheme="minorHAnsi" w:cstheme="minorHAnsi"/>
        </w:rPr>
        <w:t>and</w:t>
      </w:r>
      <w:r w:rsidR="0071269A" w:rsidRPr="005567A0">
        <w:rPr>
          <w:rFonts w:asciiTheme="minorHAnsi" w:hAnsiTheme="minorHAnsi" w:cstheme="minorHAnsi"/>
        </w:rPr>
        <w:t xml:space="preserve"> now </w:t>
      </w:r>
      <w:r w:rsidR="00D34DD8" w:rsidRPr="005567A0">
        <w:rPr>
          <w:rFonts w:asciiTheme="minorHAnsi" w:hAnsiTheme="minorHAnsi" w:cstheme="minorHAnsi"/>
        </w:rPr>
        <w:t xml:space="preserve">under </w:t>
      </w:r>
      <w:r w:rsidR="00DD3987">
        <w:rPr>
          <w:rFonts w:asciiTheme="minorHAnsi" w:hAnsiTheme="minorHAnsi" w:cstheme="minorHAnsi"/>
        </w:rPr>
        <w:t>s</w:t>
      </w:r>
      <w:r w:rsidR="0065364B">
        <w:rPr>
          <w:rFonts w:asciiTheme="minorHAnsi" w:hAnsiTheme="minorHAnsi" w:cstheme="minorHAnsi"/>
        </w:rPr>
        <w:t xml:space="preserve">ection </w:t>
      </w:r>
      <w:r w:rsidR="0071044F" w:rsidRPr="005567A0">
        <w:rPr>
          <w:rFonts w:asciiTheme="minorHAnsi" w:hAnsiTheme="minorHAnsi" w:cstheme="minorHAnsi"/>
        </w:rPr>
        <w:t>150A of the Act</w:t>
      </w:r>
      <w:r w:rsidR="002D79EB" w:rsidRPr="005567A0">
        <w:rPr>
          <w:rFonts w:asciiTheme="minorHAnsi" w:hAnsiTheme="minorHAnsi" w:cstheme="minorHAnsi"/>
        </w:rPr>
        <w:t xml:space="preserve">, </w:t>
      </w:r>
      <w:r w:rsidRPr="005567A0">
        <w:rPr>
          <w:rFonts w:asciiTheme="minorHAnsi" w:hAnsiTheme="minorHAnsi" w:cstheme="minorHAnsi"/>
        </w:rPr>
        <w:t xml:space="preserve">are consistent </w:t>
      </w:r>
      <w:r w:rsidR="00474C35" w:rsidRPr="005567A0">
        <w:rPr>
          <w:rFonts w:asciiTheme="minorHAnsi" w:hAnsiTheme="minorHAnsi" w:cstheme="minorHAnsi"/>
        </w:rPr>
        <w:t xml:space="preserve">between the two regimes and can be assessed similarly </w:t>
      </w:r>
      <w:r w:rsidR="00EF4937" w:rsidRPr="005567A0">
        <w:rPr>
          <w:rFonts w:asciiTheme="minorHAnsi" w:hAnsiTheme="minorHAnsi" w:cstheme="minorHAnsi"/>
        </w:rPr>
        <w:t>for the full reporting period</w:t>
      </w:r>
      <w:r w:rsidR="005702D2" w:rsidRPr="005567A0">
        <w:rPr>
          <w:rFonts w:asciiTheme="minorHAnsi" w:hAnsiTheme="minorHAnsi" w:cstheme="minorHAnsi"/>
        </w:rPr>
        <w:t>.</w:t>
      </w:r>
    </w:p>
    <w:p w14:paraId="71B16362" w14:textId="568CB4A9" w:rsidR="00814FEB" w:rsidRPr="00930275" w:rsidRDefault="005702D2" w:rsidP="0066691F">
      <w:pPr>
        <w:spacing w:after="0"/>
      </w:pPr>
      <w:r w:rsidRPr="005567A0">
        <w:rPr>
          <w:rFonts w:asciiTheme="minorHAnsi" w:hAnsiTheme="minorHAnsi" w:cstheme="minorHAnsi"/>
        </w:rPr>
        <w:t xml:space="preserve">The legislation </w:t>
      </w:r>
      <w:r w:rsidR="00814FEB" w:rsidRPr="005567A0">
        <w:rPr>
          <w:rFonts w:asciiTheme="minorHAnsi" w:hAnsiTheme="minorHAnsi" w:cstheme="minorHAnsi"/>
        </w:rPr>
        <w:t>requires providers to maintain a refundable deposit register which includes information about their holdings of refundable deposit, bonds and entry contributions. In assessing compliance with the Records Standard</w:t>
      </w:r>
      <w:r w:rsidR="00C77E51" w:rsidRPr="005567A0">
        <w:rPr>
          <w:rFonts w:asciiTheme="minorHAnsi" w:hAnsiTheme="minorHAnsi" w:cstheme="minorHAnsi"/>
        </w:rPr>
        <w:t xml:space="preserve"> and </w:t>
      </w:r>
      <w:r w:rsidR="00DD3987">
        <w:rPr>
          <w:rFonts w:asciiTheme="minorHAnsi" w:hAnsiTheme="minorHAnsi" w:cstheme="minorHAnsi"/>
        </w:rPr>
        <w:t>s</w:t>
      </w:r>
      <w:r w:rsidR="0065364B">
        <w:rPr>
          <w:rFonts w:asciiTheme="minorHAnsi" w:hAnsiTheme="minorHAnsi" w:cstheme="minorHAnsi"/>
        </w:rPr>
        <w:t xml:space="preserve">ection </w:t>
      </w:r>
      <w:r w:rsidR="009279D0" w:rsidRPr="005567A0">
        <w:rPr>
          <w:rFonts w:asciiTheme="minorHAnsi" w:hAnsiTheme="minorHAnsi" w:cstheme="minorHAnsi"/>
        </w:rPr>
        <w:t>150A of the Act</w:t>
      </w:r>
      <w:r w:rsidR="00814FEB" w:rsidRPr="005567A0">
        <w:rPr>
          <w:rFonts w:asciiTheme="minorHAnsi" w:hAnsiTheme="minorHAnsi" w:cstheme="minorHAnsi"/>
        </w:rPr>
        <w:t>, the Department expects that auditors would have regard to issues such as:</w:t>
      </w:r>
    </w:p>
    <w:p w14:paraId="3D3EA54E" w14:textId="61EAC616" w:rsidR="00814FEB" w:rsidRPr="00930275" w:rsidRDefault="00814FEB" w:rsidP="00EA6DD7">
      <w:pPr>
        <w:pStyle w:val="ListBullet"/>
      </w:pPr>
      <w:r w:rsidRPr="005567A0">
        <w:t xml:space="preserve">whether the refundable deposit register covers all items required by </w:t>
      </w:r>
      <w:r w:rsidR="009D6FE7">
        <w:t>s</w:t>
      </w:r>
      <w:r w:rsidRPr="005567A0">
        <w:t>ection 45 of t</w:t>
      </w:r>
      <w:r w:rsidR="00227270" w:rsidRPr="005567A0">
        <w:t xml:space="preserve">he </w:t>
      </w:r>
      <w:proofErr w:type="gramStart"/>
      <w:r w:rsidR="00227270" w:rsidRPr="005567A0">
        <w:t>Principles</w:t>
      </w:r>
      <w:proofErr w:type="gramEnd"/>
      <w:r w:rsidR="00950798">
        <w:t>,</w:t>
      </w:r>
      <w:r w:rsidR="00140D65" w:rsidRPr="005567A0">
        <w:t xml:space="preserve"> </w:t>
      </w:r>
      <w:r w:rsidR="00DD3987">
        <w:t>s</w:t>
      </w:r>
      <w:r w:rsidR="005F6429">
        <w:t>ection</w:t>
      </w:r>
      <w:r w:rsidR="00140D65">
        <w:t xml:space="preserve"> </w:t>
      </w:r>
      <w:r w:rsidR="00EB21A0" w:rsidRPr="005567A0">
        <w:t>150A</w:t>
      </w:r>
      <w:r w:rsidR="00DC6235" w:rsidRPr="005567A0">
        <w:t xml:space="preserve"> of the Act </w:t>
      </w:r>
      <w:r w:rsidR="006A3F3B">
        <w:t xml:space="preserve">and </w:t>
      </w:r>
      <w:r w:rsidR="00DD3987">
        <w:t>s</w:t>
      </w:r>
      <w:r w:rsidR="006A3F3B">
        <w:t xml:space="preserve">ections </w:t>
      </w:r>
      <w:r w:rsidR="0008607A" w:rsidRPr="005567A0">
        <w:t>150A</w:t>
      </w:r>
      <w:r w:rsidR="008D4A2C" w:rsidRPr="005567A0">
        <w:t>-1 to 150A-35 of the Rules</w:t>
      </w:r>
    </w:p>
    <w:p w14:paraId="2758812C" w14:textId="44C0E76A" w:rsidR="00814FEB" w:rsidRPr="00930275" w:rsidRDefault="00814FEB" w:rsidP="00EA6DD7">
      <w:pPr>
        <w:pStyle w:val="ListBullet"/>
      </w:pPr>
      <w:r w:rsidRPr="005567A0">
        <w:t xml:space="preserve">the systems and processes the provider has in place to record and report individual refundable deposit, bond </w:t>
      </w:r>
      <w:r w:rsidR="00227270" w:rsidRPr="005567A0">
        <w:t>and entry contribution balances</w:t>
      </w:r>
    </w:p>
    <w:p w14:paraId="096034AD" w14:textId="77777777" w:rsidR="00814FEB" w:rsidRPr="00930275" w:rsidRDefault="00814FEB" w:rsidP="00EA6DD7">
      <w:pPr>
        <w:pStyle w:val="ListBullet"/>
      </w:pPr>
      <w:r w:rsidRPr="005567A0">
        <w:t>the reconciliation of the refundable deposit register with the receipts, refunds and liabilities for refundable deposits, bonds and entry contributions reported in the financial records.</w:t>
      </w:r>
    </w:p>
    <w:p w14:paraId="60F63615" w14:textId="77777777" w:rsidR="009516B8" w:rsidRPr="004C23B3" w:rsidRDefault="007427C8" w:rsidP="004C23B3">
      <w:pPr>
        <w:pStyle w:val="Heading3"/>
      </w:pPr>
      <w:r w:rsidRPr="004C23B3">
        <w:t>Governance requirements</w:t>
      </w:r>
    </w:p>
    <w:p w14:paraId="245C777F" w14:textId="4C4752FF" w:rsidR="00241B17" w:rsidRPr="005567A0" w:rsidRDefault="00D61285" w:rsidP="0578F4E1">
      <w:pPr>
        <w:spacing w:before="0" w:after="0"/>
        <w:rPr>
          <w:rFonts w:asciiTheme="minorHAnsi" w:hAnsiTheme="minorHAnsi"/>
        </w:rPr>
      </w:pPr>
      <w:r>
        <w:rPr>
          <w:rFonts w:asciiTheme="minorHAnsi" w:hAnsiTheme="minorHAnsi"/>
        </w:rPr>
        <w:t>Auditors should be aware that</w:t>
      </w:r>
      <w:r w:rsidR="009516B8" w:rsidRPr="005567A0">
        <w:rPr>
          <w:rFonts w:asciiTheme="minorHAnsi" w:hAnsiTheme="minorHAnsi"/>
        </w:rPr>
        <w:t xml:space="preserve"> provider governance </w:t>
      </w:r>
      <w:r w:rsidR="007B18A6">
        <w:rPr>
          <w:rFonts w:asciiTheme="minorHAnsi" w:hAnsiTheme="minorHAnsi"/>
        </w:rPr>
        <w:t>obligations</w:t>
      </w:r>
      <w:r w:rsidR="009516B8" w:rsidRPr="005567A0">
        <w:rPr>
          <w:rFonts w:asciiTheme="minorHAnsi" w:hAnsiTheme="minorHAnsi"/>
        </w:rPr>
        <w:t xml:space="preserve"> changed with the </w:t>
      </w:r>
      <w:r w:rsidR="009F4102">
        <w:rPr>
          <w:rFonts w:asciiTheme="minorHAnsi" w:hAnsiTheme="minorHAnsi"/>
        </w:rPr>
        <w:t>commencement of</w:t>
      </w:r>
      <w:r w:rsidR="009516B8" w:rsidRPr="005567A0">
        <w:rPr>
          <w:rFonts w:asciiTheme="minorHAnsi" w:hAnsiTheme="minorHAnsi"/>
        </w:rPr>
        <w:t xml:space="preserve"> the new Act</w:t>
      </w:r>
      <w:r w:rsidR="00BA357A" w:rsidRPr="005567A0">
        <w:rPr>
          <w:rFonts w:asciiTheme="minorHAnsi" w:hAnsiTheme="minorHAnsi"/>
        </w:rPr>
        <w:t xml:space="preserve">.  For this reporting period </w:t>
      </w:r>
      <w:r w:rsidR="00E144DE" w:rsidRPr="0578F4E1">
        <w:rPr>
          <w:rFonts w:asciiTheme="minorHAnsi" w:hAnsiTheme="minorHAnsi"/>
        </w:rPr>
        <w:t>a</w:t>
      </w:r>
      <w:r w:rsidR="00BA357A" w:rsidRPr="005567A0">
        <w:rPr>
          <w:rFonts w:asciiTheme="minorHAnsi" w:hAnsiTheme="minorHAnsi"/>
        </w:rPr>
        <w:t xml:space="preserve">uditors will </w:t>
      </w:r>
      <w:r w:rsidR="00872C1E" w:rsidRPr="005567A0">
        <w:rPr>
          <w:rFonts w:asciiTheme="minorHAnsi" w:hAnsiTheme="minorHAnsi"/>
        </w:rPr>
        <w:t xml:space="preserve">need to consider a </w:t>
      </w:r>
      <w:r w:rsidR="002838FB" w:rsidRPr="005567A0">
        <w:rPr>
          <w:rFonts w:asciiTheme="minorHAnsi" w:hAnsiTheme="minorHAnsi"/>
        </w:rPr>
        <w:t>provider’s</w:t>
      </w:r>
      <w:r w:rsidR="00872C1E" w:rsidRPr="005567A0">
        <w:rPr>
          <w:rFonts w:asciiTheme="minorHAnsi" w:hAnsiTheme="minorHAnsi"/>
        </w:rPr>
        <w:t xml:space="preserve"> compliance with the</w:t>
      </w:r>
      <w:r w:rsidR="00872C1E" w:rsidRPr="005567A0">
        <w:rPr>
          <w:rFonts w:asciiTheme="minorHAnsi" w:hAnsiTheme="minorHAnsi"/>
          <w:b/>
          <w:bCs/>
        </w:rPr>
        <w:t xml:space="preserve"> </w:t>
      </w:r>
      <w:r w:rsidR="00897429" w:rsidRPr="0578F4E1">
        <w:rPr>
          <w:rFonts w:asciiTheme="minorHAnsi" w:hAnsiTheme="minorHAnsi"/>
          <w:b/>
          <w:bCs/>
        </w:rPr>
        <w:t>old Governance Standard</w:t>
      </w:r>
      <w:r w:rsidR="00227270" w:rsidRPr="0578F4E1">
        <w:rPr>
          <w:rStyle w:val="FootnoteReference"/>
          <w:rFonts w:asciiTheme="minorHAnsi" w:hAnsiTheme="minorHAnsi"/>
        </w:rPr>
        <w:footnoteReference w:id="17"/>
      </w:r>
      <w:r w:rsidR="0066691F" w:rsidRPr="005567A0">
        <w:rPr>
          <w:rFonts w:asciiTheme="minorHAnsi" w:hAnsiTheme="minorHAnsi"/>
        </w:rPr>
        <w:t xml:space="preserve"> </w:t>
      </w:r>
      <w:r w:rsidR="00872C1E" w:rsidRPr="005567A0">
        <w:rPr>
          <w:rFonts w:asciiTheme="minorHAnsi" w:hAnsiTheme="minorHAnsi"/>
        </w:rPr>
        <w:t xml:space="preserve">for the first 4 months of the reporting period </w:t>
      </w:r>
      <w:r w:rsidR="00F22FD7" w:rsidRPr="005567A0">
        <w:rPr>
          <w:rFonts w:asciiTheme="minorHAnsi" w:hAnsiTheme="minorHAnsi"/>
        </w:rPr>
        <w:t xml:space="preserve">and will then need to assess against the Investment Standard and </w:t>
      </w:r>
      <w:r w:rsidR="00E76DF6" w:rsidRPr="005567A0">
        <w:rPr>
          <w:rFonts w:asciiTheme="minorHAnsi" w:hAnsiTheme="minorHAnsi"/>
        </w:rPr>
        <w:t xml:space="preserve">Financial and </w:t>
      </w:r>
      <w:r w:rsidR="00F22FD7" w:rsidRPr="005567A0">
        <w:rPr>
          <w:rFonts w:asciiTheme="minorHAnsi" w:hAnsiTheme="minorHAnsi"/>
        </w:rPr>
        <w:t>Prudential Management Standard</w:t>
      </w:r>
      <w:r w:rsidR="00BE2DD2" w:rsidRPr="005567A0">
        <w:rPr>
          <w:rFonts w:asciiTheme="minorHAnsi" w:hAnsiTheme="minorHAnsi"/>
        </w:rPr>
        <w:t xml:space="preserve"> for the remainder of the reporting period</w:t>
      </w:r>
      <w:r w:rsidR="00927975" w:rsidRPr="005567A0">
        <w:rPr>
          <w:rFonts w:asciiTheme="minorHAnsi" w:hAnsiTheme="minorHAnsi"/>
        </w:rPr>
        <w:t>.</w:t>
      </w:r>
    </w:p>
    <w:p w14:paraId="4AD19375" w14:textId="463AEED7" w:rsidR="00814FEB" w:rsidRPr="005567A0" w:rsidRDefault="00B74E98" w:rsidP="005567A0">
      <w:pPr>
        <w:spacing w:after="0"/>
        <w:rPr>
          <w:rFonts w:asciiTheme="minorHAnsi" w:hAnsiTheme="minorHAnsi" w:cstheme="minorHAnsi"/>
        </w:rPr>
      </w:pPr>
      <w:r w:rsidRPr="005567A0">
        <w:rPr>
          <w:rFonts w:asciiTheme="minorHAnsi" w:hAnsiTheme="minorHAnsi" w:cstheme="minorHAnsi"/>
        </w:rPr>
        <w:t xml:space="preserve">Legislation across both regimes </w:t>
      </w:r>
      <w:r w:rsidR="00814FEB" w:rsidRPr="005567A0">
        <w:rPr>
          <w:rFonts w:asciiTheme="minorHAnsi" w:hAnsiTheme="minorHAnsi" w:cstheme="minorHAnsi"/>
        </w:rPr>
        <w:t>requires providers to develop effective governance systems to ensure refundable deposit</w:t>
      </w:r>
      <w:r w:rsidRPr="005567A0">
        <w:rPr>
          <w:rFonts w:asciiTheme="minorHAnsi" w:hAnsiTheme="minorHAnsi" w:cstheme="minorHAnsi"/>
        </w:rPr>
        <w:t>s</w:t>
      </w:r>
      <w:r w:rsidR="00814FEB" w:rsidRPr="005567A0">
        <w:rPr>
          <w:rFonts w:asciiTheme="minorHAnsi" w:hAnsiTheme="minorHAnsi" w:cstheme="minorHAnsi"/>
        </w:rPr>
        <w:t xml:space="preserve"> and bonds are only used for permitted uses</w:t>
      </w:r>
      <w:r w:rsidR="002347F2" w:rsidRPr="005567A0">
        <w:rPr>
          <w:rStyle w:val="FootnoteReference"/>
          <w:rFonts w:asciiTheme="minorHAnsi" w:hAnsiTheme="minorHAnsi" w:cstheme="minorHAnsi"/>
        </w:rPr>
        <w:footnoteReference w:id="18"/>
      </w:r>
      <w:r w:rsidR="00B43718" w:rsidRPr="005567A0">
        <w:rPr>
          <w:rFonts w:asciiTheme="minorHAnsi" w:hAnsiTheme="minorHAnsi" w:cstheme="minorHAnsi"/>
        </w:rPr>
        <w:t xml:space="preserve"> </w:t>
      </w:r>
      <w:r w:rsidR="00814FEB" w:rsidRPr="005567A0">
        <w:rPr>
          <w:rFonts w:asciiTheme="minorHAnsi" w:hAnsiTheme="minorHAnsi" w:cstheme="minorHAnsi"/>
        </w:rPr>
        <w:t xml:space="preserve">and are refunded in accordance with the </w:t>
      </w:r>
      <w:r w:rsidR="00070F58" w:rsidRPr="005567A0">
        <w:rPr>
          <w:rFonts w:asciiTheme="minorHAnsi" w:hAnsiTheme="minorHAnsi" w:cstheme="minorHAnsi"/>
        </w:rPr>
        <w:t xml:space="preserve">new </w:t>
      </w:r>
      <w:r w:rsidR="00814FEB" w:rsidRPr="005567A0">
        <w:rPr>
          <w:rFonts w:asciiTheme="minorHAnsi" w:hAnsiTheme="minorHAnsi" w:cstheme="minorHAnsi"/>
        </w:rPr>
        <w:t xml:space="preserve">Act. </w:t>
      </w:r>
    </w:p>
    <w:p w14:paraId="1F8346F5" w14:textId="64351FDA" w:rsidR="00814FEB" w:rsidRPr="005567A0" w:rsidRDefault="00814FEB" w:rsidP="005567A0">
      <w:pPr>
        <w:spacing w:after="0"/>
        <w:rPr>
          <w:rFonts w:asciiTheme="minorHAnsi" w:hAnsiTheme="minorHAnsi" w:cstheme="minorHAnsi"/>
          <w:i/>
          <w:smallCaps/>
        </w:rPr>
      </w:pPr>
      <w:r w:rsidRPr="005567A0">
        <w:rPr>
          <w:rFonts w:asciiTheme="minorHAnsi" w:hAnsiTheme="minorHAnsi" w:cstheme="minorHAnsi"/>
        </w:rPr>
        <w:t xml:space="preserve">In assessing compliance with the Governance </w:t>
      </w:r>
      <w:r w:rsidR="00255429" w:rsidRPr="005567A0">
        <w:rPr>
          <w:rFonts w:asciiTheme="minorHAnsi" w:hAnsiTheme="minorHAnsi" w:cstheme="minorHAnsi"/>
        </w:rPr>
        <w:t>requirements</w:t>
      </w:r>
      <w:r w:rsidRPr="005567A0">
        <w:rPr>
          <w:rFonts w:asciiTheme="minorHAnsi" w:hAnsiTheme="minorHAnsi" w:cstheme="minorHAnsi"/>
        </w:rPr>
        <w:t xml:space="preserve">, </w:t>
      </w:r>
      <w:r w:rsidR="004559FA" w:rsidRPr="005567A0">
        <w:rPr>
          <w:rFonts w:asciiTheme="minorHAnsi" w:hAnsiTheme="minorHAnsi" w:cstheme="minorHAnsi"/>
        </w:rPr>
        <w:t>it is expected</w:t>
      </w:r>
      <w:r w:rsidRPr="005567A0">
        <w:rPr>
          <w:rFonts w:asciiTheme="minorHAnsi" w:hAnsiTheme="minorHAnsi" w:cstheme="minorHAnsi"/>
        </w:rPr>
        <w:t xml:space="preserve"> that auditors would have regard to issues such as whether</w:t>
      </w:r>
      <w:r w:rsidR="00B55005">
        <w:rPr>
          <w:rFonts w:asciiTheme="minorHAnsi" w:hAnsiTheme="minorHAnsi" w:cstheme="minorHAnsi"/>
        </w:rPr>
        <w:t xml:space="preserve"> </w:t>
      </w:r>
      <w:r w:rsidR="00B55005" w:rsidRPr="008A3443">
        <w:rPr>
          <w:rFonts w:asciiTheme="minorHAnsi" w:hAnsiTheme="minorHAnsi" w:cstheme="minorHAnsi"/>
        </w:rPr>
        <w:t xml:space="preserve">a </w:t>
      </w:r>
      <w:r w:rsidR="00B55005">
        <w:rPr>
          <w:rFonts w:asciiTheme="minorHAnsi" w:hAnsiTheme="minorHAnsi" w:cstheme="minorHAnsi"/>
        </w:rPr>
        <w:t>documented</w:t>
      </w:r>
      <w:r w:rsidR="00B55005" w:rsidRPr="008A3443">
        <w:rPr>
          <w:rFonts w:asciiTheme="minorHAnsi" w:hAnsiTheme="minorHAnsi" w:cstheme="minorHAnsi"/>
        </w:rPr>
        <w:t xml:space="preserve"> governance system exists</w:t>
      </w:r>
      <w:r w:rsidR="00B55005">
        <w:rPr>
          <w:rFonts w:asciiTheme="minorHAnsi" w:hAnsiTheme="minorHAnsi" w:cstheme="minorHAnsi"/>
        </w:rPr>
        <w:t xml:space="preserve"> and contained</w:t>
      </w:r>
      <w:r w:rsidRPr="005567A0">
        <w:rPr>
          <w:rFonts w:asciiTheme="minorHAnsi" w:hAnsiTheme="minorHAnsi" w:cstheme="minorHAnsi"/>
        </w:rPr>
        <w:t>:</w:t>
      </w:r>
    </w:p>
    <w:p w14:paraId="0A45F22F" w14:textId="22B0FC86" w:rsidR="00814FEB" w:rsidRPr="005567A0" w:rsidRDefault="00814FEB" w:rsidP="00EA6DD7">
      <w:pPr>
        <w:pStyle w:val="ListBullet"/>
      </w:pPr>
      <w:r w:rsidRPr="005567A0">
        <w:t xml:space="preserve">responsibilities </w:t>
      </w:r>
      <w:r w:rsidR="00A2519A">
        <w:t xml:space="preserve">for </w:t>
      </w:r>
      <w:r w:rsidRPr="005567A0">
        <w:t>the management of refundable deposit</w:t>
      </w:r>
      <w:r w:rsidR="007656A9">
        <w:t>s</w:t>
      </w:r>
      <w:r w:rsidRPr="005567A0">
        <w:t xml:space="preserve"> and bon</w:t>
      </w:r>
      <w:r w:rsidR="00227270" w:rsidRPr="005567A0">
        <w:t>d</w:t>
      </w:r>
      <w:r w:rsidR="007656A9">
        <w:t xml:space="preserve">s </w:t>
      </w:r>
      <w:r w:rsidR="00951F25">
        <w:t xml:space="preserve">were clearly allocated </w:t>
      </w:r>
      <w:r w:rsidR="007656A9" w:rsidRPr="008A3443">
        <w:t xml:space="preserve">to </w:t>
      </w:r>
      <w:r w:rsidR="007656A9">
        <w:t>key</w:t>
      </w:r>
      <w:r w:rsidR="007656A9" w:rsidRPr="008A3443">
        <w:t xml:space="preserve"> personnel</w:t>
      </w:r>
    </w:p>
    <w:p w14:paraId="3868ABFF" w14:textId="0E02CA03" w:rsidR="00814FEB" w:rsidRPr="00EA6DD7" w:rsidRDefault="00814FEB" w:rsidP="00EA6DD7">
      <w:pPr>
        <w:pStyle w:val="ListBullet"/>
      </w:pPr>
      <w:r w:rsidRPr="005567A0">
        <w:t>monitoring</w:t>
      </w:r>
      <w:r w:rsidR="005C6A26">
        <w:t xml:space="preserve"> and</w:t>
      </w:r>
      <w:r w:rsidRPr="005567A0">
        <w:t xml:space="preserve"> controlling </w:t>
      </w:r>
      <w:r w:rsidR="005C6A26">
        <w:t xml:space="preserve">of </w:t>
      </w:r>
      <w:r w:rsidRPr="005567A0">
        <w:t>any delegation or outsourcing of</w:t>
      </w:r>
      <w:r w:rsidR="00227270" w:rsidRPr="005567A0">
        <w:t xml:space="preserve"> the allocated responsibilities</w:t>
      </w:r>
    </w:p>
    <w:p w14:paraId="229B34F3" w14:textId="07796D23" w:rsidR="00814FEB" w:rsidRPr="00EA6DD7" w:rsidRDefault="00814FEB" w:rsidP="00EA6DD7">
      <w:pPr>
        <w:pStyle w:val="ListBullet"/>
      </w:pPr>
      <w:r w:rsidRPr="005567A0">
        <w:t>reporting mechanisms</w:t>
      </w:r>
      <w:r w:rsidR="004E45CE">
        <w:t xml:space="preserve"> to</w:t>
      </w:r>
      <w:r w:rsidRPr="005567A0">
        <w:t xml:space="preserve"> ensure key personnel who are responsible for the executive decisions of the provider can effectively monitor and control the use of refundable</w:t>
      </w:r>
      <w:r w:rsidR="00227270" w:rsidRPr="005567A0">
        <w:t xml:space="preserve"> deposit and bond balances</w:t>
      </w:r>
    </w:p>
    <w:p w14:paraId="374B038D" w14:textId="148F49F3" w:rsidR="00814FEB" w:rsidRPr="00EA6DD7" w:rsidRDefault="00814FEB" w:rsidP="00EA6DD7">
      <w:pPr>
        <w:pStyle w:val="ListBullet"/>
      </w:pPr>
      <w:r w:rsidRPr="005567A0">
        <w:t xml:space="preserve">processes to ensure </w:t>
      </w:r>
      <w:r w:rsidR="00E835B5">
        <w:t xml:space="preserve">those with </w:t>
      </w:r>
      <w:r w:rsidRPr="005567A0">
        <w:t>allocated</w:t>
      </w:r>
      <w:r w:rsidR="00E835B5">
        <w:t xml:space="preserve"> or delegated</w:t>
      </w:r>
      <w:r w:rsidRPr="005567A0">
        <w:t xml:space="preserve"> responsibilities</w:t>
      </w:r>
      <w:r w:rsidR="00BF3813">
        <w:t xml:space="preserve"> are aware of the provider’s</w:t>
      </w:r>
      <w:r w:rsidR="00E835B5">
        <w:t xml:space="preserve"> </w:t>
      </w:r>
      <w:r w:rsidR="00FA2DF9">
        <w:t>prudential obligations</w:t>
      </w:r>
    </w:p>
    <w:p w14:paraId="53D417AE" w14:textId="5814A440" w:rsidR="00814FEB" w:rsidRPr="00EA6DD7" w:rsidRDefault="00814FEB" w:rsidP="00EA6DD7">
      <w:pPr>
        <w:pStyle w:val="ListBullet"/>
      </w:pPr>
      <w:r w:rsidRPr="005567A0">
        <w:t>processes for detecting, recording and addressing any failure to comply with those requirements.</w:t>
      </w:r>
    </w:p>
    <w:p w14:paraId="39A872E6" w14:textId="33AD0C6A" w:rsidR="007574B3" w:rsidRDefault="0039577F" w:rsidP="0039577F">
      <w:pPr>
        <w:spacing w:after="0"/>
        <w:rPr>
          <w:rFonts w:asciiTheme="minorHAnsi" w:hAnsiTheme="minorHAnsi" w:cstheme="minorHAnsi"/>
        </w:rPr>
      </w:pPr>
      <w:r>
        <w:rPr>
          <w:rFonts w:asciiTheme="minorHAnsi" w:hAnsiTheme="minorHAnsi" w:cstheme="minorHAnsi"/>
        </w:rPr>
        <w:t>Prior to 1 November, i</w:t>
      </w:r>
      <w:r w:rsidR="00814FEB" w:rsidRPr="005567A0">
        <w:rPr>
          <w:rFonts w:asciiTheme="minorHAnsi" w:hAnsiTheme="minorHAnsi" w:cstheme="minorHAnsi"/>
        </w:rPr>
        <w:t>f the</w:t>
      </w:r>
      <w:r w:rsidR="00F441DF" w:rsidRPr="005567A0">
        <w:rPr>
          <w:rFonts w:asciiTheme="minorHAnsi" w:hAnsiTheme="minorHAnsi" w:cstheme="minorHAnsi"/>
        </w:rPr>
        <w:t xml:space="preserve"> </w:t>
      </w:r>
      <w:r w:rsidR="00814FEB" w:rsidRPr="005567A0">
        <w:rPr>
          <w:rFonts w:asciiTheme="minorHAnsi" w:hAnsiTheme="minorHAnsi" w:cstheme="minorHAnsi"/>
        </w:rPr>
        <w:t>provider invest</w:t>
      </w:r>
      <w:r w:rsidR="00D3786F">
        <w:rPr>
          <w:rFonts w:asciiTheme="minorHAnsi" w:hAnsiTheme="minorHAnsi" w:cstheme="minorHAnsi"/>
        </w:rPr>
        <w:t>ed</w:t>
      </w:r>
      <w:r w:rsidR="00814FEB" w:rsidRPr="005567A0">
        <w:rPr>
          <w:rFonts w:asciiTheme="minorHAnsi" w:hAnsiTheme="minorHAnsi" w:cstheme="minorHAnsi"/>
        </w:rPr>
        <w:t xml:space="preserve"> refundable deposit</w:t>
      </w:r>
      <w:r w:rsidR="00AC3A0D" w:rsidRPr="005567A0">
        <w:rPr>
          <w:rFonts w:asciiTheme="minorHAnsi" w:hAnsiTheme="minorHAnsi" w:cstheme="minorHAnsi"/>
        </w:rPr>
        <w:t>s</w:t>
      </w:r>
      <w:r w:rsidR="00814FEB" w:rsidRPr="005567A0">
        <w:rPr>
          <w:rFonts w:asciiTheme="minorHAnsi" w:hAnsiTheme="minorHAnsi" w:cstheme="minorHAnsi"/>
        </w:rPr>
        <w:t xml:space="preserve"> and</w:t>
      </w:r>
      <w:r w:rsidR="00D3786F">
        <w:rPr>
          <w:rFonts w:asciiTheme="minorHAnsi" w:hAnsiTheme="minorHAnsi" w:cstheme="minorHAnsi"/>
        </w:rPr>
        <w:t>/or</w:t>
      </w:r>
      <w:r w:rsidR="00814FEB" w:rsidRPr="005567A0">
        <w:rPr>
          <w:rFonts w:asciiTheme="minorHAnsi" w:hAnsiTheme="minorHAnsi" w:cstheme="minorHAnsi"/>
        </w:rPr>
        <w:t xml:space="preserve"> bonds</w:t>
      </w:r>
      <w:r w:rsidR="00D3786F">
        <w:rPr>
          <w:rFonts w:asciiTheme="minorHAnsi" w:hAnsiTheme="minorHAnsi" w:cstheme="minorHAnsi"/>
        </w:rPr>
        <w:t xml:space="preserve"> </w:t>
      </w:r>
      <w:r w:rsidR="00814FEB" w:rsidRPr="005567A0">
        <w:rPr>
          <w:rFonts w:asciiTheme="minorHAnsi" w:hAnsiTheme="minorHAnsi" w:cstheme="minorHAnsi"/>
        </w:rPr>
        <w:t>in an</w:t>
      </w:r>
      <w:r w:rsidR="0066691F" w:rsidRPr="005567A0">
        <w:rPr>
          <w:rFonts w:asciiTheme="minorHAnsi" w:hAnsiTheme="minorHAnsi" w:cstheme="minorHAnsi"/>
        </w:rPr>
        <w:t>y permitted financial products</w:t>
      </w:r>
      <w:r w:rsidR="00227270" w:rsidRPr="005567A0">
        <w:rPr>
          <w:rStyle w:val="FootnoteReference"/>
          <w:rFonts w:asciiTheme="minorHAnsi" w:hAnsiTheme="minorHAnsi" w:cstheme="minorHAnsi"/>
        </w:rPr>
        <w:footnoteReference w:id="19"/>
      </w:r>
      <w:r w:rsidR="0066691F" w:rsidRPr="005567A0">
        <w:rPr>
          <w:rFonts w:asciiTheme="minorHAnsi" w:hAnsiTheme="minorHAnsi" w:cstheme="minorHAnsi"/>
        </w:rPr>
        <w:t xml:space="preserve"> </w:t>
      </w:r>
      <w:r w:rsidR="00814FEB" w:rsidRPr="005567A0">
        <w:rPr>
          <w:rFonts w:asciiTheme="minorHAnsi" w:hAnsiTheme="minorHAnsi" w:cstheme="minorHAnsi"/>
        </w:rPr>
        <w:t>other than deposits with an authorised deposit-taking institution, it must implement and maintain a written investment management strategy</w:t>
      </w:r>
      <w:r w:rsidR="00B43718" w:rsidRPr="005567A0">
        <w:rPr>
          <w:rFonts w:asciiTheme="minorHAnsi" w:hAnsiTheme="minorHAnsi" w:cstheme="minorHAnsi"/>
        </w:rPr>
        <w:t xml:space="preserve"> (IMS)</w:t>
      </w:r>
      <w:r w:rsidR="007574B3">
        <w:rPr>
          <w:rFonts w:asciiTheme="minorHAnsi" w:hAnsiTheme="minorHAnsi" w:cstheme="minorHAnsi"/>
        </w:rPr>
        <w:t xml:space="preserve">. </w:t>
      </w:r>
    </w:p>
    <w:p w14:paraId="0A9D57CA" w14:textId="7F04F8D5" w:rsidR="00814FEB" w:rsidRPr="00930275" w:rsidRDefault="004A414F" w:rsidP="0066691F">
      <w:pPr>
        <w:spacing w:after="0"/>
      </w:pPr>
      <w:r>
        <w:rPr>
          <w:rFonts w:asciiTheme="minorHAnsi" w:hAnsiTheme="minorHAnsi" w:cstheme="minorHAnsi"/>
        </w:rPr>
        <w:t xml:space="preserve">it is </w:t>
      </w:r>
      <w:r w:rsidRPr="008A3443">
        <w:rPr>
          <w:rFonts w:asciiTheme="minorHAnsi" w:hAnsiTheme="minorHAnsi" w:cstheme="minorHAnsi"/>
        </w:rPr>
        <w:t xml:space="preserve">expected </w:t>
      </w:r>
      <w:r w:rsidR="000F4A3D">
        <w:rPr>
          <w:rFonts w:asciiTheme="minorHAnsi" w:hAnsiTheme="minorHAnsi" w:cstheme="minorHAnsi"/>
        </w:rPr>
        <w:t>the auditor</w:t>
      </w:r>
      <w:r w:rsidR="00001D67">
        <w:rPr>
          <w:rFonts w:asciiTheme="minorHAnsi" w:hAnsiTheme="minorHAnsi" w:cstheme="minorHAnsi"/>
        </w:rPr>
        <w:t xml:space="preserve"> will</w:t>
      </w:r>
      <w:r w:rsidRPr="008A3443">
        <w:rPr>
          <w:rFonts w:asciiTheme="minorHAnsi" w:hAnsiTheme="minorHAnsi" w:cstheme="minorHAnsi"/>
        </w:rPr>
        <w:t xml:space="preserve"> </w:t>
      </w:r>
      <w:r>
        <w:rPr>
          <w:rFonts w:asciiTheme="minorHAnsi" w:hAnsiTheme="minorHAnsi" w:cstheme="minorHAnsi"/>
        </w:rPr>
        <w:t>sight</w:t>
      </w:r>
      <w:r w:rsidRPr="000D3EAB">
        <w:rPr>
          <w:rFonts w:asciiTheme="minorHAnsi" w:hAnsiTheme="minorHAnsi" w:cstheme="minorHAnsi"/>
        </w:rPr>
        <w:t xml:space="preserve"> the </w:t>
      </w:r>
      <w:r>
        <w:rPr>
          <w:rFonts w:asciiTheme="minorHAnsi" w:hAnsiTheme="minorHAnsi" w:cstheme="minorHAnsi"/>
        </w:rPr>
        <w:t>relevant version and consider the</w:t>
      </w:r>
      <w:r w:rsidRPr="000D3EAB">
        <w:rPr>
          <w:rFonts w:asciiTheme="minorHAnsi" w:hAnsiTheme="minorHAnsi" w:cstheme="minorHAnsi"/>
        </w:rPr>
        <w:t xml:space="preserve"> legislative requirements</w:t>
      </w:r>
      <w:r w:rsidR="005D35B7">
        <w:rPr>
          <w:rFonts w:asciiTheme="minorHAnsi" w:hAnsiTheme="minorHAnsi" w:cstheme="minorHAnsi"/>
        </w:rPr>
        <w:t xml:space="preserve"> such as whether the IMS</w:t>
      </w:r>
      <w:r w:rsidR="00814FEB" w:rsidRPr="005567A0">
        <w:rPr>
          <w:rFonts w:asciiTheme="minorHAnsi" w:hAnsiTheme="minorHAnsi" w:cstheme="minorHAnsi"/>
        </w:rPr>
        <w:t xml:space="preserve"> set out</w:t>
      </w:r>
      <w:r w:rsidR="00B93AFD">
        <w:rPr>
          <w:rFonts w:asciiTheme="minorHAnsi" w:hAnsiTheme="minorHAnsi" w:cstheme="minorHAnsi"/>
        </w:rPr>
        <w:t xml:space="preserve"> </w:t>
      </w:r>
      <w:r w:rsidR="00B93AFD" w:rsidRPr="008A3443">
        <w:rPr>
          <w:rFonts w:asciiTheme="minorHAnsi" w:hAnsiTheme="minorHAnsi" w:cstheme="minorHAnsi"/>
        </w:rPr>
        <w:t xml:space="preserve">the </w:t>
      </w:r>
      <w:proofErr w:type="gramStart"/>
      <w:r w:rsidR="00E54166" w:rsidRPr="008A3443">
        <w:rPr>
          <w:rFonts w:asciiTheme="minorHAnsi" w:hAnsiTheme="minorHAnsi" w:cstheme="minorHAnsi"/>
        </w:rPr>
        <w:t>provider</w:t>
      </w:r>
      <w:r w:rsidR="00AC4AAD">
        <w:rPr>
          <w:rFonts w:asciiTheme="minorHAnsi" w:hAnsiTheme="minorHAnsi" w:cstheme="minorHAnsi"/>
        </w:rPr>
        <w:t>’</w:t>
      </w:r>
      <w:r w:rsidR="00E54166" w:rsidRPr="008A3443">
        <w:rPr>
          <w:rFonts w:asciiTheme="minorHAnsi" w:hAnsiTheme="minorHAnsi" w:cstheme="minorHAnsi"/>
        </w:rPr>
        <w:t>s</w:t>
      </w:r>
      <w:proofErr w:type="gramEnd"/>
      <w:r w:rsidR="00814FEB" w:rsidRPr="005567A0">
        <w:rPr>
          <w:rFonts w:asciiTheme="minorHAnsi" w:hAnsiTheme="minorHAnsi" w:cstheme="minorHAnsi"/>
        </w:rPr>
        <w:t>:</w:t>
      </w:r>
    </w:p>
    <w:p w14:paraId="513D913C" w14:textId="36CF5560" w:rsidR="00814FEB" w:rsidRPr="00EA6DD7" w:rsidRDefault="00227270" w:rsidP="00EA6DD7">
      <w:pPr>
        <w:pStyle w:val="ListBullet"/>
      </w:pPr>
      <w:r w:rsidRPr="005567A0">
        <w:t>investment objectives</w:t>
      </w:r>
    </w:p>
    <w:p w14:paraId="41F9951F" w14:textId="5B8A80D3" w:rsidR="00814FEB" w:rsidRPr="00EA6DD7" w:rsidRDefault="00814FEB" w:rsidP="00EA6DD7">
      <w:pPr>
        <w:pStyle w:val="ListBullet"/>
      </w:pPr>
      <w:r w:rsidRPr="005567A0">
        <w:t>assessment of risk to the</w:t>
      </w:r>
      <w:r w:rsidR="00B93AFD">
        <w:t xml:space="preserve">ir </w:t>
      </w:r>
      <w:r w:rsidRPr="005567A0">
        <w:t>ability to refund refundable deposit and b</w:t>
      </w:r>
      <w:r w:rsidR="00094BED" w:rsidRPr="005567A0">
        <w:t xml:space="preserve">ond balances in accordance with the </w:t>
      </w:r>
      <w:proofErr w:type="gramStart"/>
      <w:r w:rsidR="00094BED" w:rsidRPr="005567A0">
        <w:t>Principles</w:t>
      </w:r>
      <w:proofErr w:type="gramEnd"/>
    </w:p>
    <w:p w14:paraId="1EDA9670" w14:textId="185E152D" w:rsidR="00814FEB" w:rsidRPr="00EA6DD7" w:rsidRDefault="00814FEB" w:rsidP="00EA6DD7">
      <w:pPr>
        <w:pStyle w:val="ListBullet"/>
      </w:pPr>
      <w:r w:rsidRPr="005567A0">
        <w:t>strategy for achieving the</w:t>
      </w:r>
      <w:r w:rsidR="00B93AFD">
        <w:t>ir</w:t>
      </w:r>
      <w:r w:rsidRPr="005567A0">
        <w:t xml:space="preserve"> investment objectives </w:t>
      </w:r>
      <w:r w:rsidR="005959C7" w:rsidRPr="005567A0">
        <w:t>whil</w:t>
      </w:r>
      <w:r w:rsidR="005959C7">
        <w:t>st</w:t>
      </w:r>
      <w:r w:rsidR="005959C7" w:rsidRPr="005567A0">
        <w:t xml:space="preserve"> </w:t>
      </w:r>
      <w:r w:rsidRPr="005567A0">
        <w:t>ensuring</w:t>
      </w:r>
      <w:r w:rsidR="005959C7">
        <w:t xml:space="preserve"> ability to</w:t>
      </w:r>
      <w:r w:rsidRPr="005567A0">
        <w:t xml:space="preserve"> refund refundable deposit and bond balances in accordan</w:t>
      </w:r>
      <w:r w:rsidR="00227270" w:rsidRPr="005567A0">
        <w:t>ce with</w:t>
      </w:r>
      <w:r w:rsidR="00094BED" w:rsidRPr="005567A0">
        <w:t xml:space="preserve"> the </w:t>
      </w:r>
      <w:proofErr w:type="gramStart"/>
      <w:r w:rsidR="00094BED" w:rsidRPr="005567A0">
        <w:t>Principles</w:t>
      </w:r>
      <w:proofErr w:type="gramEnd"/>
    </w:p>
    <w:p w14:paraId="42CA07CD" w14:textId="2A2898BB" w:rsidR="00814FEB" w:rsidRPr="005567A0" w:rsidRDefault="00814FEB" w:rsidP="00EA6DD7">
      <w:pPr>
        <w:pStyle w:val="ListBullet"/>
      </w:pPr>
      <w:r w:rsidRPr="005567A0">
        <w:t>the asset cla</w:t>
      </w:r>
      <w:r w:rsidR="00227270" w:rsidRPr="005567A0">
        <w:t xml:space="preserve">sses </w:t>
      </w:r>
      <w:r w:rsidR="005959C7">
        <w:t>they</w:t>
      </w:r>
      <w:r w:rsidR="00227270" w:rsidRPr="005567A0">
        <w:t xml:space="preserve"> </w:t>
      </w:r>
      <w:r w:rsidR="001D7838">
        <w:t>could</w:t>
      </w:r>
      <w:r w:rsidR="001D7838" w:rsidRPr="005567A0">
        <w:t xml:space="preserve"> </w:t>
      </w:r>
      <w:r w:rsidR="00227270" w:rsidRPr="005567A0">
        <w:t>invest in</w:t>
      </w:r>
    </w:p>
    <w:p w14:paraId="5B9A1764" w14:textId="3BBEC322" w:rsidR="00814FEB" w:rsidRPr="005567A0" w:rsidRDefault="00814FEB" w:rsidP="00EA6DD7">
      <w:pPr>
        <w:pStyle w:val="ListBullet"/>
      </w:pPr>
      <w:r w:rsidRPr="005567A0">
        <w:t>investment limits for each asset class are consistent</w:t>
      </w:r>
      <w:r w:rsidR="00227270" w:rsidRPr="005567A0">
        <w:t xml:space="preserve"> with investment objectives</w:t>
      </w:r>
    </w:p>
    <w:p w14:paraId="418041F4" w14:textId="53F5E8FC" w:rsidR="00814FEB" w:rsidRPr="005567A0" w:rsidRDefault="00814FEB" w:rsidP="00EA6DD7">
      <w:pPr>
        <w:pStyle w:val="ListBullet"/>
      </w:pPr>
      <w:r w:rsidRPr="005567A0">
        <w:t xml:space="preserve">key personnel with appropriate skills and experience who </w:t>
      </w:r>
      <w:r w:rsidR="001D7838">
        <w:t>were</w:t>
      </w:r>
      <w:r w:rsidR="001D7838" w:rsidRPr="005567A0">
        <w:t xml:space="preserve"> </w:t>
      </w:r>
      <w:r w:rsidRPr="005567A0">
        <w:t xml:space="preserve">responsible for implementing the </w:t>
      </w:r>
      <w:r w:rsidR="00F31930">
        <w:t>IMS</w:t>
      </w:r>
      <w:r w:rsidRPr="005567A0">
        <w:t>.</w:t>
      </w:r>
    </w:p>
    <w:p w14:paraId="34D2CF2F" w14:textId="12C2F6A7" w:rsidR="00B51B89" w:rsidRDefault="00BE4EC8" w:rsidP="005567A0">
      <w:pPr>
        <w:spacing w:after="0"/>
        <w:rPr>
          <w:rFonts w:asciiTheme="minorHAnsi" w:hAnsiTheme="minorHAnsi" w:cstheme="minorHAnsi"/>
        </w:rPr>
      </w:pPr>
      <w:r>
        <w:rPr>
          <w:rFonts w:asciiTheme="minorHAnsi" w:hAnsiTheme="minorHAnsi" w:cstheme="minorHAnsi"/>
        </w:rPr>
        <w:t>The auditor should also consider whether</w:t>
      </w:r>
      <w:r w:rsidR="00814FEB" w:rsidRPr="005567A0">
        <w:rPr>
          <w:rFonts w:asciiTheme="minorHAnsi" w:hAnsiTheme="minorHAnsi" w:cstheme="minorHAnsi"/>
        </w:rPr>
        <w:t>:</w:t>
      </w:r>
    </w:p>
    <w:p w14:paraId="4E99EF04" w14:textId="5C86B405" w:rsidR="00131833" w:rsidRDefault="00131833" w:rsidP="00EA6DD7">
      <w:pPr>
        <w:pStyle w:val="ListBullet"/>
      </w:pPr>
      <w:r>
        <w:t>t</w:t>
      </w:r>
      <w:r w:rsidRPr="008A3443">
        <w:t xml:space="preserve">he IMS </w:t>
      </w:r>
      <w:r w:rsidR="001D7838">
        <w:t>was</w:t>
      </w:r>
      <w:r w:rsidRPr="008A3443">
        <w:t xml:space="preserve"> </w:t>
      </w:r>
      <w:r w:rsidRPr="005567A0">
        <w:t>endorsed</w:t>
      </w:r>
      <w:r w:rsidRPr="008A3443">
        <w:t xml:space="preserve"> by the </w:t>
      </w:r>
      <w:r w:rsidR="00CA2823">
        <w:t xml:space="preserve">key </w:t>
      </w:r>
      <w:r w:rsidRPr="008A3443">
        <w:t>personnel responsible for the executive decisions of the provider</w:t>
      </w:r>
    </w:p>
    <w:p w14:paraId="3BC03025" w14:textId="77777777" w:rsidR="00B51B89" w:rsidRPr="00B51B89" w:rsidRDefault="00B51B89" w:rsidP="00EA6DD7">
      <w:pPr>
        <w:pStyle w:val="ListBullet"/>
      </w:pPr>
      <w:r w:rsidRPr="00B51B89">
        <w:t>any investment of refundable deposit and bonds was in accordance with the IMS</w:t>
      </w:r>
    </w:p>
    <w:p w14:paraId="25DF38AC" w14:textId="793EBF9E" w:rsidR="00346A56" w:rsidRPr="00B51B89" w:rsidRDefault="00814FEB" w:rsidP="00EA6DD7">
      <w:pPr>
        <w:pStyle w:val="ListBullet"/>
      </w:pPr>
      <w:r w:rsidRPr="005567A0">
        <w:t xml:space="preserve">the </w:t>
      </w:r>
      <w:r w:rsidR="00F508EE" w:rsidRPr="005567A0">
        <w:t>IMS</w:t>
      </w:r>
      <w:r w:rsidRPr="005567A0">
        <w:t xml:space="preserve"> </w:t>
      </w:r>
      <w:r w:rsidR="001D7838" w:rsidRPr="0578F4E1">
        <w:t>was m</w:t>
      </w:r>
      <w:r w:rsidR="00380360">
        <w:t>odified</w:t>
      </w:r>
      <w:r w:rsidR="001D7838" w:rsidRPr="0578F4E1">
        <w:t xml:space="preserve"> or</w:t>
      </w:r>
      <w:r w:rsidRPr="005567A0">
        <w:t xml:space="preserve"> replace</w:t>
      </w:r>
      <w:r w:rsidR="001D7838" w:rsidRPr="005567A0">
        <w:t>d</w:t>
      </w:r>
      <w:r w:rsidRPr="005567A0">
        <w:t xml:space="preserve"> </w:t>
      </w:r>
      <w:r w:rsidR="001D7838" w:rsidRPr="005567A0">
        <w:t>if the provider</w:t>
      </w:r>
      <w:r w:rsidR="00C21C88" w:rsidRPr="005567A0">
        <w:t xml:space="preserve"> bec</w:t>
      </w:r>
      <w:r w:rsidR="001D7838" w:rsidRPr="005567A0">
        <w:t>ame</w:t>
      </w:r>
      <w:r w:rsidRPr="005567A0">
        <w:t xml:space="preserve"> aware </w:t>
      </w:r>
      <w:r w:rsidR="00C54DCE" w:rsidRPr="005567A0">
        <w:t>it</w:t>
      </w:r>
      <w:r w:rsidR="001D7838" w:rsidRPr="005567A0">
        <w:t xml:space="preserve"> was</w:t>
      </w:r>
      <w:r w:rsidR="00F2679F" w:rsidRPr="0578F4E1">
        <w:t xml:space="preserve"> </w:t>
      </w:r>
      <w:r w:rsidRPr="005567A0">
        <w:t xml:space="preserve">no longer </w:t>
      </w:r>
      <w:r w:rsidR="00AB1FC9" w:rsidRPr="005567A0">
        <w:t>compli</w:t>
      </w:r>
      <w:r w:rsidR="00AB1FC9" w:rsidRPr="0578F4E1">
        <w:t>ant.</w:t>
      </w:r>
    </w:p>
    <w:p w14:paraId="6C51D8BC" w14:textId="77777777" w:rsidR="00EA6DD7" w:rsidRPr="00EA6DD7" w:rsidRDefault="00EA6DD7" w:rsidP="00404A80">
      <w:pPr>
        <w:pStyle w:val="Bluebox"/>
        <w:pageBreakBefore/>
        <w:rPr>
          <w:rStyle w:val="Strong"/>
        </w:rPr>
      </w:pPr>
      <w:r w:rsidRPr="00EA6DD7">
        <w:rPr>
          <w:rStyle w:val="Strong"/>
        </w:rPr>
        <w:t>Note:</w:t>
      </w:r>
    </w:p>
    <w:p w14:paraId="1AF48867" w14:textId="77777777" w:rsidR="00EA6DD7" w:rsidRDefault="00EA6DD7" w:rsidP="00EA6DD7">
      <w:pPr>
        <w:pStyle w:val="Bluebox"/>
      </w:pPr>
      <w:r>
        <w:t xml:space="preserve">The requirement for an IMS was previously part of the Governance Standard and was only required if refundable deposits were being invested in financial products other than deposits with an </w:t>
      </w:r>
      <w:proofErr w:type="spellStart"/>
      <w:r>
        <w:t>authorised</w:t>
      </w:r>
      <w:proofErr w:type="spellEnd"/>
      <w:r>
        <w:t xml:space="preserve"> deposit taking institution.</w:t>
      </w:r>
    </w:p>
    <w:p w14:paraId="7ACECC4C" w14:textId="3221A4AC" w:rsidR="00814FEB" w:rsidRPr="007574B3" w:rsidRDefault="00EA6DD7" w:rsidP="00EA6DD7">
      <w:pPr>
        <w:pStyle w:val="Bluebox"/>
      </w:pPr>
      <w:r>
        <w:t xml:space="preserve">Under the new Act – The obligations to maintain an IMS is now contained in the Investment Standard. The standard applies to </w:t>
      </w:r>
      <w:r w:rsidRPr="00EA6DD7">
        <w:rPr>
          <w:rStyle w:val="Strong"/>
        </w:rPr>
        <w:t>all non-government providers</w:t>
      </w:r>
      <w:r>
        <w:t xml:space="preserve"> in category 6 </w:t>
      </w:r>
      <w:r w:rsidRPr="00EA6DD7">
        <w:rPr>
          <w:rStyle w:val="Strong"/>
        </w:rPr>
        <w:t>including providers that do not invest or hold refundable deposits</w:t>
      </w:r>
      <w:r>
        <w:t>.</w:t>
      </w:r>
    </w:p>
    <w:p w14:paraId="5BE29E78" w14:textId="06A072B9" w:rsidR="006736E5" w:rsidRPr="005567A0" w:rsidRDefault="006736E5" w:rsidP="006736E5">
      <w:pPr>
        <w:rPr>
          <w:rFonts w:asciiTheme="minorHAnsi" w:hAnsiTheme="minorHAnsi" w:cstheme="minorHAnsi"/>
        </w:rPr>
      </w:pPr>
      <w:r w:rsidRPr="005567A0">
        <w:rPr>
          <w:rStyle w:val="Strong"/>
          <w:rFonts w:asciiTheme="minorHAnsi" w:hAnsiTheme="minorHAnsi" w:cstheme="minorHAnsi"/>
          <w:b w:val="0"/>
        </w:rPr>
        <w:t xml:space="preserve">Whilst </w:t>
      </w:r>
      <w:r w:rsidR="0074203C" w:rsidRPr="005567A0">
        <w:rPr>
          <w:rStyle w:val="Strong"/>
          <w:rFonts w:asciiTheme="minorHAnsi" w:hAnsiTheme="minorHAnsi" w:cstheme="minorHAnsi"/>
          <w:b w:val="0"/>
        </w:rPr>
        <w:t xml:space="preserve">IMS </w:t>
      </w:r>
      <w:r w:rsidR="00586685" w:rsidRPr="005567A0">
        <w:rPr>
          <w:rStyle w:val="Strong"/>
          <w:rFonts w:asciiTheme="minorHAnsi" w:hAnsiTheme="minorHAnsi" w:cstheme="minorHAnsi"/>
          <w:b w:val="0"/>
        </w:rPr>
        <w:t>requirements</w:t>
      </w:r>
      <w:r w:rsidRPr="005567A0">
        <w:rPr>
          <w:rStyle w:val="Strong"/>
          <w:rFonts w:asciiTheme="minorHAnsi" w:hAnsiTheme="minorHAnsi" w:cstheme="minorHAnsi"/>
          <w:b w:val="0"/>
        </w:rPr>
        <w:t xml:space="preserve"> of the </w:t>
      </w:r>
      <w:r w:rsidR="00586685" w:rsidRPr="005567A0">
        <w:rPr>
          <w:rStyle w:val="Strong"/>
          <w:rFonts w:asciiTheme="minorHAnsi" w:hAnsiTheme="minorHAnsi" w:cstheme="minorHAnsi"/>
          <w:b w:val="0"/>
        </w:rPr>
        <w:t>Governance Standard</w:t>
      </w:r>
      <w:r w:rsidRPr="005567A0">
        <w:rPr>
          <w:rStyle w:val="Strong"/>
          <w:rFonts w:asciiTheme="minorHAnsi" w:hAnsiTheme="minorHAnsi" w:cstheme="minorHAnsi"/>
          <w:b w:val="0"/>
        </w:rPr>
        <w:t xml:space="preserve"> </w:t>
      </w:r>
      <w:r w:rsidR="00FD5FDC" w:rsidRPr="005567A0">
        <w:rPr>
          <w:rStyle w:val="Strong"/>
          <w:rFonts w:asciiTheme="minorHAnsi" w:hAnsiTheme="minorHAnsi" w:cstheme="minorHAnsi"/>
          <w:b w:val="0"/>
        </w:rPr>
        <w:t>focused on the investment of refundable deposit</w:t>
      </w:r>
      <w:r w:rsidR="00021668" w:rsidRPr="005567A0">
        <w:rPr>
          <w:rStyle w:val="Strong"/>
          <w:rFonts w:asciiTheme="minorHAnsi" w:hAnsiTheme="minorHAnsi" w:cstheme="minorHAnsi"/>
          <w:b w:val="0"/>
        </w:rPr>
        <w:t xml:space="preserve">s, the </w:t>
      </w:r>
      <w:r w:rsidR="00B224B7" w:rsidRPr="005567A0">
        <w:rPr>
          <w:rStyle w:val="Strong"/>
          <w:rFonts w:asciiTheme="minorHAnsi" w:hAnsiTheme="minorHAnsi" w:cstheme="minorHAnsi"/>
          <w:b w:val="0"/>
        </w:rPr>
        <w:t xml:space="preserve">IMS requirements under the </w:t>
      </w:r>
      <w:r w:rsidR="006A7001" w:rsidRPr="008A3443">
        <w:rPr>
          <w:rFonts w:asciiTheme="minorHAnsi" w:hAnsiTheme="minorHAnsi" w:cstheme="minorHAnsi"/>
          <w:b/>
        </w:rPr>
        <w:t>Investment Standard</w:t>
      </w:r>
      <w:r w:rsidR="006A7001" w:rsidRPr="008A3443">
        <w:rPr>
          <w:rFonts w:asciiTheme="minorHAnsi" w:hAnsiTheme="minorHAnsi" w:cstheme="minorHAnsi"/>
          <w:b/>
          <w:vertAlign w:val="superscript"/>
        </w:rPr>
        <w:footnoteReference w:id="20"/>
      </w:r>
      <w:r w:rsidRPr="005567A0">
        <w:rPr>
          <w:rStyle w:val="Strong"/>
          <w:rFonts w:asciiTheme="minorHAnsi" w:hAnsiTheme="minorHAnsi" w:cstheme="minorHAnsi"/>
          <w:b w:val="0"/>
        </w:rPr>
        <w:t xml:space="preserve"> </w:t>
      </w:r>
      <w:r w:rsidR="007A75FF" w:rsidRPr="005567A0">
        <w:rPr>
          <w:rFonts w:asciiTheme="minorHAnsi" w:hAnsiTheme="minorHAnsi" w:cstheme="minorHAnsi"/>
        </w:rPr>
        <w:t xml:space="preserve">are focused on the </w:t>
      </w:r>
      <w:r w:rsidR="00FD0670" w:rsidRPr="005567A0">
        <w:rPr>
          <w:rFonts w:asciiTheme="minorHAnsi" w:hAnsiTheme="minorHAnsi" w:cstheme="minorHAnsi"/>
        </w:rPr>
        <w:t xml:space="preserve">provider’s </w:t>
      </w:r>
      <w:r w:rsidR="00D1097C" w:rsidRPr="005567A0">
        <w:rPr>
          <w:rFonts w:asciiTheme="minorHAnsi" w:hAnsiTheme="minorHAnsi" w:cstheme="minorHAnsi"/>
        </w:rPr>
        <w:t>broader</w:t>
      </w:r>
      <w:r w:rsidR="00FD0670" w:rsidRPr="005567A0">
        <w:rPr>
          <w:rFonts w:asciiTheme="minorHAnsi" w:hAnsiTheme="minorHAnsi" w:cstheme="minorHAnsi"/>
        </w:rPr>
        <w:t xml:space="preserve"> </w:t>
      </w:r>
      <w:r w:rsidR="008C2826" w:rsidRPr="005567A0">
        <w:rPr>
          <w:rFonts w:asciiTheme="minorHAnsi" w:hAnsiTheme="minorHAnsi" w:cstheme="minorHAnsi"/>
        </w:rPr>
        <w:t>investment activities and governance arrangements</w:t>
      </w:r>
      <w:r w:rsidR="00D1097C" w:rsidRPr="005567A0">
        <w:rPr>
          <w:rFonts w:asciiTheme="minorHAnsi" w:hAnsiTheme="minorHAnsi" w:cstheme="minorHAnsi"/>
        </w:rPr>
        <w:t>, including:</w:t>
      </w:r>
    </w:p>
    <w:p w14:paraId="49C309E0" w14:textId="638E90B1" w:rsidR="001F4EE8" w:rsidRPr="005567A0" w:rsidRDefault="00033A3B" w:rsidP="00EA6DD7">
      <w:pPr>
        <w:pStyle w:val="ListBullet"/>
      </w:pPr>
      <w:r w:rsidRPr="005567A0">
        <w:t xml:space="preserve">an </w:t>
      </w:r>
      <w:r w:rsidR="0062036E" w:rsidRPr="005567A0">
        <w:t>IMS is documented and aligns with the organisation’s investment goals</w:t>
      </w:r>
    </w:p>
    <w:p w14:paraId="05C12417" w14:textId="77777777" w:rsidR="00D230F3" w:rsidRPr="005567A0" w:rsidRDefault="0023302D" w:rsidP="00EA6DD7">
      <w:pPr>
        <w:pStyle w:val="ListBullet"/>
      </w:pPr>
      <w:r w:rsidRPr="005567A0">
        <w:t xml:space="preserve">investment objectives </w:t>
      </w:r>
      <w:r w:rsidR="001C07F2" w:rsidRPr="005567A0">
        <w:t xml:space="preserve">are </w:t>
      </w:r>
      <w:r w:rsidRPr="005567A0">
        <w:t>in line with the requirements of the Standard</w:t>
      </w:r>
    </w:p>
    <w:p w14:paraId="45F9357E" w14:textId="3A0D05F4" w:rsidR="00D1097C" w:rsidRPr="005567A0" w:rsidRDefault="006907B7" w:rsidP="00EA6DD7">
      <w:pPr>
        <w:pStyle w:val="ListBullet"/>
      </w:pPr>
      <w:r w:rsidRPr="005567A0">
        <w:t>the strategy for achieving th</w:t>
      </w:r>
      <w:r w:rsidR="00D230F3" w:rsidRPr="005567A0">
        <w:t xml:space="preserve">ose </w:t>
      </w:r>
      <w:r w:rsidRPr="005567A0">
        <w:t>objectives</w:t>
      </w:r>
    </w:p>
    <w:p w14:paraId="2CC582F4" w14:textId="2D250C9D" w:rsidR="00A55DEC" w:rsidRPr="005567A0" w:rsidRDefault="00A55DEC" w:rsidP="00EA6DD7">
      <w:pPr>
        <w:pStyle w:val="ListBullet"/>
      </w:pPr>
      <w:r w:rsidRPr="005567A0">
        <w:t>how investment risks</w:t>
      </w:r>
      <w:r w:rsidR="001C07F2" w:rsidRPr="005567A0">
        <w:t xml:space="preserve"> are identified, reduce</w:t>
      </w:r>
      <w:r w:rsidR="008C7F1B">
        <w:t>d</w:t>
      </w:r>
      <w:r w:rsidR="001C07F2" w:rsidRPr="005567A0">
        <w:t xml:space="preserve"> and addressed</w:t>
      </w:r>
    </w:p>
    <w:p w14:paraId="4546AF4B" w14:textId="192C2E0C" w:rsidR="00976C68" w:rsidRPr="005567A0" w:rsidRDefault="00976C68" w:rsidP="00EA6DD7">
      <w:pPr>
        <w:pStyle w:val="ListBullet"/>
      </w:pPr>
      <w:r w:rsidRPr="005567A0">
        <w:t xml:space="preserve">the skills and experience required for key staff </w:t>
      </w:r>
      <w:r w:rsidR="00404762" w:rsidRPr="005567A0">
        <w:t>responsible for</w:t>
      </w:r>
      <w:r w:rsidRPr="005567A0">
        <w:t xml:space="preserve"> develop</w:t>
      </w:r>
      <w:r w:rsidR="00404762" w:rsidRPr="005567A0">
        <w:t>ing</w:t>
      </w:r>
      <w:r w:rsidRPr="005567A0">
        <w:t xml:space="preserve"> and </w:t>
      </w:r>
      <w:r w:rsidR="00404762" w:rsidRPr="005567A0">
        <w:t>using the</w:t>
      </w:r>
      <w:r w:rsidRPr="005567A0">
        <w:t xml:space="preserve"> IMS</w:t>
      </w:r>
    </w:p>
    <w:p w14:paraId="68CB65C1" w14:textId="2F6E838E" w:rsidR="009E4BF2" w:rsidRPr="005567A0" w:rsidRDefault="009E4BF2" w:rsidP="00EA6DD7">
      <w:pPr>
        <w:pStyle w:val="ListBullet"/>
      </w:pPr>
      <w:r w:rsidRPr="005567A0">
        <w:t>review and</w:t>
      </w:r>
      <w:r w:rsidRPr="005567A0">
        <w:rPr>
          <w:rStyle w:val="Strong"/>
          <w:b w:val="0"/>
          <w:bCs w:val="0"/>
        </w:rPr>
        <w:t>, if required update, the IMS at least once in each financial year to ensure its effectiveness in achieving the objectives</w:t>
      </w:r>
      <w:r w:rsidR="00244E2C" w:rsidRPr="005567A0">
        <w:t xml:space="preserve"> </w:t>
      </w:r>
      <w:r w:rsidR="00244E2C" w:rsidRPr="005567A0">
        <w:rPr>
          <w:rStyle w:val="Strong"/>
          <w:b w:val="0"/>
          <w:bCs w:val="0"/>
        </w:rPr>
        <w:t>and compliance with the Standard</w:t>
      </w:r>
      <w:r w:rsidR="4F5CA320" w:rsidRPr="0578F4E1">
        <w:rPr>
          <w:rStyle w:val="Strong"/>
          <w:b w:val="0"/>
          <w:bCs w:val="0"/>
        </w:rPr>
        <w:t>.</w:t>
      </w:r>
    </w:p>
    <w:p w14:paraId="2E312848" w14:textId="5EC41CD1" w:rsidR="00F63FC6" w:rsidRPr="00EA6DD7" w:rsidRDefault="00B71E06" w:rsidP="00EA6DD7">
      <w:r w:rsidRPr="00EA6DD7">
        <w:t>Governance</w:t>
      </w:r>
      <w:r w:rsidR="00DD6530" w:rsidRPr="00EA6DD7">
        <w:t xml:space="preserve"> </w:t>
      </w:r>
      <w:r w:rsidRPr="00EA6DD7">
        <w:t xml:space="preserve">requirements are now </w:t>
      </w:r>
      <w:r w:rsidR="0049726F" w:rsidRPr="00EA6DD7">
        <w:t xml:space="preserve">primarily contained within the </w:t>
      </w:r>
      <w:r w:rsidR="009A3E12" w:rsidRPr="00EA6DD7">
        <w:rPr>
          <w:rStyle w:val="Strong"/>
        </w:rPr>
        <w:t>Financial</w:t>
      </w:r>
      <w:r w:rsidR="0036024F" w:rsidRPr="00EA6DD7">
        <w:rPr>
          <w:rStyle w:val="Strong"/>
        </w:rPr>
        <w:t xml:space="preserve"> and </w:t>
      </w:r>
      <w:r w:rsidR="009A3E12" w:rsidRPr="00EA6DD7">
        <w:rPr>
          <w:rStyle w:val="Strong"/>
        </w:rPr>
        <w:t>Prudential</w:t>
      </w:r>
      <w:r w:rsidR="0036024F" w:rsidRPr="00EA6DD7">
        <w:rPr>
          <w:rStyle w:val="Strong"/>
        </w:rPr>
        <w:t xml:space="preserve"> Management Standard</w:t>
      </w:r>
      <w:r w:rsidR="009A3E12" w:rsidRPr="00EA6DD7">
        <w:rPr>
          <w:vertAlign w:val="superscript"/>
        </w:rPr>
        <w:footnoteReference w:id="21"/>
      </w:r>
      <w:r w:rsidR="001C1B49" w:rsidRPr="00EA6DD7">
        <w:rPr>
          <w:vertAlign w:val="superscript"/>
        </w:rPr>
        <w:t>.</w:t>
      </w:r>
      <w:r w:rsidR="001C1B49" w:rsidRPr="00EA6DD7">
        <w:t xml:space="preserve"> Providers </w:t>
      </w:r>
      <w:r w:rsidR="0052418A" w:rsidRPr="00EA6DD7">
        <w:t>are required to</w:t>
      </w:r>
      <w:r w:rsidR="00F24853" w:rsidRPr="00EA6DD7">
        <w:t xml:space="preserve"> </w:t>
      </w:r>
      <w:r w:rsidR="00EA7E6A" w:rsidRPr="00EA6DD7">
        <w:t>implement and maintain a</w:t>
      </w:r>
      <w:r w:rsidR="00004D3E" w:rsidRPr="00EA6DD7">
        <w:t>n effective</w:t>
      </w:r>
      <w:r w:rsidR="00EA7E6A" w:rsidRPr="00EA6DD7">
        <w:t xml:space="preserve"> </w:t>
      </w:r>
      <w:r w:rsidR="00172B98" w:rsidRPr="00EA6DD7">
        <w:t>financial and prudential</w:t>
      </w:r>
      <w:r w:rsidR="00EA7E6A" w:rsidRPr="00EA6DD7">
        <w:t xml:space="preserve"> management s</w:t>
      </w:r>
      <w:r w:rsidR="00E552F3" w:rsidRPr="00EA6DD7">
        <w:t>ystem</w:t>
      </w:r>
      <w:r w:rsidR="003E289E" w:rsidRPr="00EA6DD7">
        <w:t xml:space="preserve"> that</w:t>
      </w:r>
      <w:r w:rsidR="71B1FC5C" w:rsidRPr="00EA6DD7">
        <w:t>:</w:t>
      </w:r>
    </w:p>
    <w:p w14:paraId="633BFF84" w14:textId="5346F71B" w:rsidR="00022A14" w:rsidRPr="005567A0" w:rsidRDefault="00022A14" w:rsidP="00EA6DD7">
      <w:pPr>
        <w:pStyle w:val="ListBullet"/>
      </w:pPr>
      <w:r w:rsidRPr="005567A0">
        <w:t xml:space="preserve">supports strong </w:t>
      </w:r>
      <w:r w:rsidR="002670EF" w:rsidRPr="005567A0">
        <w:t xml:space="preserve">oversight of </w:t>
      </w:r>
      <w:r w:rsidRPr="005567A0">
        <w:t xml:space="preserve">financial </w:t>
      </w:r>
      <w:r w:rsidR="004D495C" w:rsidRPr="005567A0">
        <w:t>and prudential</w:t>
      </w:r>
      <w:r w:rsidRPr="005567A0">
        <w:t xml:space="preserve"> management across </w:t>
      </w:r>
      <w:r w:rsidR="00ED62B0" w:rsidRPr="005567A0">
        <w:t>the</w:t>
      </w:r>
      <w:r w:rsidRPr="005567A0">
        <w:t xml:space="preserve"> organisation</w:t>
      </w:r>
    </w:p>
    <w:p w14:paraId="3905FD37" w14:textId="1D42F2AD" w:rsidR="00022A14" w:rsidRPr="005567A0" w:rsidRDefault="00C078C6" w:rsidP="00EA6DD7">
      <w:pPr>
        <w:pStyle w:val="ListBullet"/>
      </w:pPr>
      <w:r w:rsidRPr="005567A0">
        <w:t>c</w:t>
      </w:r>
      <w:r w:rsidR="00B96A2E" w:rsidRPr="005567A0">
        <w:t>ontains clearly defined roles and responsibilities for financial and prudential governance</w:t>
      </w:r>
    </w:p>
    <w:p w14:paraId="056D11D1" w14:textId="5DA069F2" w:rsidR="008B74E1" w:rsidRPr="005567A0" w:rsidRDefault="0017639A" w:rsidP="00EA6DD7">
      <w:pPr>
        <w:pStyle w:val="ListBullet"/>
      </w:pPr>
      <w:r w:rsidRPr="005567A0">
        <w:t xml:space="preserve">ensures </w:t>
      </w:r>
      <w:r w:rsidR="0058645C" w:rsidRPr="005567A0">
        <w:t>appropriate</w:t>
      </w:r>
      <w:r w:rsidRPr="005567A0">
        <w:t xml:space="preserve"> </w:t>
      </w:r>
      <w:r w:rsidR="008B74E1" w:rsidRPr="005567A0">
        <w:t xml:space="preserve">management and use of deposited amounts, and the refund of deposited amount balances, is in accordance with the </w:t>
      </w:r>
      <w:r w:rsidR="00E12E4F" w:rsidRPr="005567A0">
        <w:t xml:space="preserve">new </w:t>
      </w:r>
      <w:r w:rsidR="008B74E1" w:rsidRPr="005567A0">
        <w:t xml:space="preserve">Act, the </w:t>
      </w:r>
      <w:r w:rsidR="00E12E4F" w:rsidRPr="005567A0">
        <w:t>R</w:t>
      </w:r>
      <w:r w:rsidR="008B74E1" w:rsidRPr="005567A0">
        <w:t xml:space="preserve">ules and </w:t>
      </w:r>
      <w:r w:rsidR="00E12E4F" w:rsidRPr="005567A0">
        <w:t xml:space="preserve">the </w:t>
      </w:r>
      <w:r w:rsidR="00E25196" w:rsidRPr="005567A0">
        <w:t xml:space="preserve">new </w:t>
      </w:r>
      <w:r w:rsidR="00E12E4F" w:rsidRPr="005567A0">
        <w:t>Standards</w:t>
      </w:r>
    </w:p>
    <w:p w14:paraId="49C4D300" w14:textId="2E13A46C" w:rsidR="002A3435" w:rsidRPr="005567A0" w:rsidRDefault="00A6576F" w:rsidP="00EA6DD7">
      <w:pPr>
        <w:pStyle w:val="ListBullet"/>
      </w:pPr>
      <w:r w:rsidRPr="005567A0">
        <w:t>ensures</w:t>
      </w:r>
      <w:r w:rsidR="002A3435" w:rsidRPr="005567A0">
        <w:t xml:space="preserve"> any </w:t>
      </w:r>
      <w:r w:rsidR="00410FBA" w:rsidRPr="005567A0">
        <w:t xml:space="preserve">risk or </w:t>
      </w:r>
      <w:r w:rsidR="002A3435" w:rsidRPr="005567A0">
        <w:t>non-compliance with the system or this Standard</w:t>
      </w:r>
      <w:r w:rsidRPr="005567A0">
        <w:t xml:space="preserve"> is </w:t>
      </w:r>
      <w:r w:rsidR="00410FBA" w:rsidRPr="005567A0">
        <w:t>detected</w:t>
      </w:r>
      <w:r w:rsidRPr="005567A0">
        <w:t>, record</w:t>
      </w:r>
      <w:r w:rsidR="00410FBA" w:rsidRPr="005567A0">
        <w:t>ed</w:t>
      </w:r>
      <w:r w:rsidRPr="005567A0">
        <w:t xml:space="preserve"> and respond</w:t>
      </w:r>
      <w:r w:rsidR="00410FBA" w:rsidRPr="005567A0">
        <w:t>ed</w:t>
      </w:r>
      <w:r w:rsidRPr="005567A0">
        <w:t xml:space="preserve"> to</w:t>
      </w:r>
    </w:p>
    <w:p w14:paraId="67515BBF" w14:textId="6D5B033A" w:rsidR="00172B98" w:rsidRPr="005567A0" w:rsidRDefault="00F32DA7" w:rsidP="00EA6DD7">
      <w:pPr>
        <w:pStyle w:val="ListBullet"/>
      </w:pPr>
      <w:r w:rsidRPr="005567A0">
        <w:t xml:space="preserve">is </w:t>
      </w:r>
      <w:r w:rsidR="000F17C9" w:rsidRPr="005567A0">
        <w:t>review</w:t>
      </w:r>
      <w:r w:rsidRPr="005567A0">
        <w:t>ed</w:t>
      </w:r>
      <w:r w:rsidR="000F17C9" w:rsidRPr="005567A0">
        <w:t xml:space="preserve"> and, if required update</w:t>
      </w:r>
      <w:r w:rsidRPr="005567A0">
        <w:t>d,</w:t>
      </w:r>
      <w:r w:rsidR="000F17C9" w:rsidRPr="005567A0">
        <w:t xml:space="preserve"> at least once in each financial year to ensure its effectiveness in achieving the objectives</w:t>
      </w:r>
      <w:r w:rsidR="003876DE" w:rsidRPr="005567A0">
        <w:t xml:space="preserve"> and compliance </w:t>
      </w:r>
      <w:r w:rsidR="000A7498" w:rsidRPr="005567A0">
        <w:t>with the Standard</w:t>
      </w:r>
      <w:r w:rsidR="002D6357" w:rsidRPr="005567A0">
        <w:t>.</w:t>
      </w:r>
      <w:r w:rsidR="003876DE" w:rsidRPr="005567A0">
        <w:t xml:space="preserve"> </w:t>
      </w:r>
    </w:p>
    <w:p w14:paraId="60BA89B9" w14:textId="095B6A69" w:rsidR="000F200B" w:rsidRPr="005567A0" w:rsidRDefault="0056375A" w:rsidP="00EA6DD7">
      <w:pPr>
        <w:rPr>
          <w:rFonts w:asciiTheme="minorHAnsi" w:eastAsiaTheme="minorEastAsia" w:hAnsiTheme="minorHAnsi" w:cstheme="minorHAnsi"/>
          <w:szCs w:val="24"/>
        </w:rPr>
      </w:pPr>
      <w:r w:rsidRPr="005567A0">
        <w:rPr>
          <w:rFonts w:asciiTheme="minorHAnsi" w:eastAsiaTheme="minorEastAsia" w:hAnsiTheme="minorHAnsi" w:cstheme="minorHAnsi"/>
          <w:szCs w:val="24"/>
        </w:rPr>
        <w:t xml:space="preserve">Auditors are expected to consider the full legislative requirements and should refer to the relevant provisions of the new Standards and the Commission’s detailed guidance on </w:t>
      </w:r>
      <w:hyperlink r:id="rId16" w:history="1">
        <w:r w:rsidRPr="005567A0">
          <w:rPr>
            <w:rStyle w:val="Hyperlink"/>
            <w:rFonts w:asciiTheme="minorHAnsi" w:eastAsiaTheme="minorEastAsia" w:hAnsiTheme="minorHAnsi" w:cstheme="minorHAnsi"/>
            <w:szCs w:val="24"/>
          </w:rPr>
          <w:t>Financial and Prudential Management Standar</w:t>
        </w:r>
        <w:r w:rsidRPr="005567A0">
          <w:rPr>
            <w:rStyle w:val="Hyperlink"/>
            <w:rFonts w:eastAsiaTheme="minorEastAsia" w:cstheme="minorHAnsi"/>
            <w:szCs w:val="24"/>
          </w:rPr>
          <w:t>d compliance obligations</w:t>
        </w:r>
      </w:hyperlink>
      <w:r w:rsidR="00FB2B91" w:rsidRPr="00700FF5">
        <w:rPr>
          <w:rFonts w:asciiTheme="minorHAnsi" w:eastAsiaTheme="minorEastAsia" w:hAnsiTheme="minorHAnsi" w:cstheme="minorHAnsi"/>
          <w:szCs w:val="24"/>
        </w:rPr>
        <w:t xml:space="preserve"> and </w:t>
      </w:r>
      <w:hyperlink r:id="rId17" w:history="1">
        <w:r w:rsidR="00FB2B91" w:rsidRPr="00700FF5">
          <w:rPr>
            <w:rStyle w:val="Hyperlink"/>
            <w:rFonts w:asciiTheme="minorHAnsi" w:eastAsiaTheme="minorEastAsia" w:hAnsiTheme="minorHAnsi" w:cstheme="minorHAnsi"/>
            <w:szCs w:val="24"/>
          </w:rPr>
          <w:t>Investment Standard compliance obligations</w:t>
        </w:r>
      </w:hyperlink>
      <w:r w:rsidR="00FB2B91" w:rsidRPr="00700FF5">
        <w:rPr>
          <w:rFonts w:asciiTheme="minorHAnsi" w:eastAsiaTheme="minorEastAsia" w:hAnsiTheme="minorHAnsi" w:cstheme="minorHAnsi"/>
          <w:szCs w:val="24"/>
        </w:rPr>
        <w:t>.</w:t>
      </w:r>
    </w:p>
    <w:p w14:paraId="3FD9857B" w14:textId="25B9B752" w:rsidR="00C87534" w:rsidRPr="004C23B3" w:rsidRDefault="00C87534" w:rsidP="004C23B3">
      <w:pPr>
        <w:pStyle w:val="Heading3"/>
      </w:pPr>
      <w:r w:rsidRPr="004C23B3">
        <w:t xml:space="preserve">Disclosure </w:t>
      </w:r>
      <w:r w:rsidR="00F52EA3" w:rsidRPr="004C23B3">
        <w:t>requirements</w:t>
      </w:r>
    </w:p>
    <w:p w14:paraId="7665CEC3" w14:textId="2492681A" w:rsidR="00606ED4" w:rsidRPr="005567A0" w:rsidRDefault="004468C4" w:rsidP="005567A0">
      <w:pPr>
        <w:spacing w:before="0"/>
        <w:rPr>
          <w:rFonts w:asciiTheme="minorHAnsi" w:hAnsiTheme="minorHAnsi" w:cstheme="minorHAnsi"/>
        </w:rPr>
      </w:pPr>
      <w:r w:rsidRPr="005567A0">
        <w:rPr>
          <w:rFonts w:asciiTheme="minorHAnsi" w:hAnsiTheme="minorHAnsi" w:cstheme="minorHAnsi"/>
        </w:rPr>
        <w:t>Disclosure o</w:t>
      </w:r>
      <w:r w:rsidR="00F52EA3" w:rsidRPr="005567A0">
        <w:rPr>
          <w:rFonts w:asciiTheme="minorHAnsi" w:hAnsiTheme="minorHAnsi" w:cstheme="minorHAnsi"/>
        </w:rPr>
        <w:t xml:space="preserve">bligations, previously contained under the </w:t>
      </w:r>
      <w:r w:rsidR="0066691F" w:rsidRPr="005567A0">
        <w:rPr>
          <w:rStyle w:val="Strong"/>
          <w:rFonts w:asciiTheme="minorHAnsi" w:hAnsiTheme="minorHAnsi" w:cstheme="minorHAnsi"/>
        </w:rPr>
        <w:t>Disclosure Standard</w:t>
      </w:r>
      <w:r w:rsidR="00227270" w:rsidRPr="005567A0">
        <w:rPr>
          <w:rStyle w:val="FootnoteReference"/>
          <w:rFonts w:asciiTheme="minorHAnsi" w:hAnsiTheme="minorHAnsi" w:cstheme="minorHAnsi"/>
        </w:rPr>
        <w:footnoteReference w:id="22"/>
      </w:r>
      <w:r w:rsidR="0066691F" w:rsidRPr="005567A0">
        <w:rPr>
          <w:rStyle w:val="Strong"/>
          <w:rFonts w:asciiTheme="minorHAnsi" w:hAnsiTheme="minorHAnsi" w:cstheme="minorHAnsi"/>
        </w:rPr>
        <w:t xml:space="preserve"> </w:t>
      </w:r>
      <w:r w:rsidRPr="005567A0">
        <w:rPr>
          <w:rFonts w:asciiTheme="minorHAnsi" w:hAnsiTheme="minorHAnsi" w:cstheme="minorHAnsi"/>
        </w:rPr>
        <w:t xml:space="preserve">and now under </w:t>
      </w:r>
      <w:r w:rsidR="00F379BF">
        <w:rPr>
          <w:rFonts w:asciiTheme="minorHAnsi" w:hAnsiTheme="minorHAnsi" w:cstheme="minorHAnsi"/>
        </w:rPr>
        <w:t>s</w:t>
      </w:r>
      <w:r w:rsidR="00B43486" w:rsidRPr="005567A0">
        <w:rPr>
          <w:rFonts w:asciiTheme="minorHAnsi" w:hAnsiTheme="minorHAnsi" w:cstheme="minorHAnsi"/>
        </w:rPr>
        <w:t xml:space="preserve">ections 155-30, 155-35, </w:t>
      </w:r>
      <w:r w:rsidR="00062A57" w:rsidRPr="005567A0">
        <w:rPr>
          <w:rFonts w:asciiTheme="minorHAnsi" w:hAnsiTheme="minorHAnsi" w:cstheme="minorHAnsi"/>
        </w:rPr>
        <w:t>155-36</w:t>
      </w:r>
      <w:r w:rsidR="00B43486" w:rsidRPr="005567A0">
        <w:rPr>
          <w:rFonts w:asciiTheme="minorHAnsi" w:hAnsiTheme="minorHAnsi" w:cstheme="minorHAnsi"/>
        </w:rPr>
        <w:t>, 166-365, 166-375 and 166-385 of the Rules</w:t>
      </w:r>
      <w:r w:rsidRPr="005567A0">
        <w:rPr>
          <w:rFonts w:asciiTheme="minorHAnsi" w:hAnsiTheme="minorHAnsi" w:cstheme="minorHAnsi"/>
        </w:rPr>
        <w:t>, are largely consistent for the full reporting period</w:t>
      </w:r>
      <w:r w:rsidR="00B43486" w:rsidRPr="005567A0">
        <w:rPr>
          <w:rFonts w:asciiTheme="minorHAnsi" w:hAnsiTheme="minorHAnsi" w:cstheme="minorHAnsi"/>
        </w:rPr>
        <w:t>.</w:t>
      </w:r>
    </w:p>
    <w:p w14:paraId="78CD9403" w14:textId="3C953828" w:rsidR="00C754AA" w:rsidRPr="005567A0" w:rsidRDefault="00606ED4" w:rsidP="00814FEB">
      <w:pPr>
        <w:rPr>
          <w:rFonts w:asciiTheme="minorHAnsi" w:hAnsiTheme="minorHAnsi" w:cstheme="minorHAnsi"/>
        </w:rPr>
      </w:pPr>
      <w:r w:rsidRPr="005567A0">
        <w:rPr>
          <w:rFonts w:asciiTheme="minorHAnsi" w:hAnsiTheme="minorHAnsi" w:cstheme="minorHAnsi"/>
        </w:rPr>
        <w:t>P</w:t>
      </w:r>
      <w:r w:rsidR="00814FEB" w:rsidRPr="005567A0">
        <w:rPr>
          <w:rFonts w:asciiTheme="minorHAnsi" w:hAnsiTheme="minorHAnsi" w:cstheme="minorHAnsi"/>
        </w:rPr>
        <w:t>roviders</w:t>
      </w:r>
      <w:r w:rsidRPr="005567A0">
        <w:rPr>
          <w:rFonts w:asciiTheme="minorHAnsi" w:hAnsiTheme="minorHAnsi" w:cstheme="minorHAnsi"/>
        </w:rPr>
        <w:t xml:space="preserve"> are required</w:t>
      </w:r>
      <w:r w:rsidR="00814FEB" w:rsidRPr="005567A0">
        <w:rPr>
          <w:rFonts w:asciiTheme="minorHAnsi" w:hAnsiTheme="minorHAnsi" w:cstheme="minorHAnsi"/>
        </w:rPr>
        <w:t xml:space="preserve"> to provide information about their financial position and compliance with prudential obligations to current residents who have paid refundable deposit</w:t>
      </w:r>
      <w:r w:rsidR="00873B41" w:rsidRPr="005567A0">
        <w:rPr>
          <w:rFonts w:asciiTheme="minorHAnsi" w:hAnsiTheme="minorHAnsi" w:cstheme="minorHAnsi"/>
        </w:rPr>
        <w:t>s</w:t>
      </w:r>
      <w:r w:rsidR="00814FEB" w:rsidRPr="005567A0">
        <w:rPr>
          <w:rFonts w:asciiTheme="minorHAnsi" w:hAnsiTheme="minorHAnsi" w:cstheme="minorHAnsi"/>
        </w:rPr>
        <w:t xml:space="preserve"> or bonds, prospective residents, and the Department. </w:t>
      </w:r>
    </w:p>
    <w:p w14:paraId="6A8074CC" w14:textId="6661069D" w:rsidR="00814FEB" w:rsidRPr="00EA6DD7" w:rsidRDefault="00EB408D" w:rsidP="00814FEB">
      <w:r w:rsidRPr="005567A0">
        <w:rPr>
          <w:rFonts w:asciiTheme="minorHAnsi" w:hAnsiTheme="minorHAnsi" w:cstheme="minorHAnsi"/>
        </w:rPr>
        <w:t>P</w:t>
      </w:r>
      <w:r w:rsidR="00814FEB" w:rsidRPr="005567A0">
        <w:rPr>
          <w:rFonts w:asciiTheme="minorHAnsi" w:hAnsiTheme="minorHAnsi" w:cstheme="minorHAnsi"/>
        </w:rPr>
        <w:t>roviders</w:t>
      </w:r>
      <w:r w:rsidRPr="005567A0">
        <w:rPr>
          <w:rFonts w:asciiTheme="minorHAnsi" w:hAnsiTheme="minorHAnsi" w:cstheme="minorHAnsi"/>
        </w:rPr>
        <w:t xml:space="preserve"> are required</w:t>
      </w:r>
      <w:r w:rsidR="00814FEB" w:rsidRPr="005567A0">
        <w:rPr>
          <w:rFonts w:asciiTheme="minorHAnsi" w:hAnsiTheme="minorHAnsi" w:cstheme="minorHAnsi"/>
        </w:rPr>
        <w:t xml:space="preserve"> to provide </w:t>
      </w:r>
      <w:proofErr w:type="gramStart"/>
      <w:r w:rsidR="00814FEB" w:rsidRPr="005567A0">
        <w:rPr>
          <w:rFonts w:asciiTheme="minorHAnsi" w:hAnsiTheme="minorHAnsi" w:cstheme="minorHAnsi"/>
        </w:rPr>
        <w:t>particular information</w:t>
      </w:r>
      <w:proofErr w:type="gramEnd"/>
      <w:r w:rsidR="00814FEB" w:rsidRPr="005567A0">
        <w:rPr>
          <w:rFonts w:asciiTheme="minorHAnsi" w:hAnsiTheme="minorHAnsi" w:cstheme="minorHAnsi"/>
        </w:rPr>
        <w:t xml:space="preserve"> to residents at different times and annually for the Department.</w:t>
      </w:r>
    </w:p>
    <w:p w14:paraId="5D0D933E" w14:textId="3347AF05" w:rsidR="00814FEB" w:rsidRPr="00EA6DD7" w:rsidRDefault="00814FEB" w:rsidP="00814FEB">
      <w:r w:rsidRPr="005567A0">
        <w:rPr>
          <w:rFonts w:asciiTheme="minorHAnsi" w:hAnsiTheme="minorHAnsi" w:cstheme="minorHAnsi"/>
        </w:rPr>
        <w:t xml:space="preserve">In assessing compliance with </w:t>
      </w:r>
      <w:r w:rsidR="00EB408D" w:rsidRPr="005567A0">
        <w:rPr>
          <w:rFonts w:asciiTheme="minorHAnsi" w:hAnsiTheme="minorHAnsi" w:cstheme="minorHAnsi"/>
        </w:rPr>
        <w:t>disclosure obligations</w:t>
      </w:r>
      <w:r w:rsidRPr="005567A0">
        <w:rPr>
          <w:rFonts w:asciiTheme="minorHAnsi" w:hAnsiTheme="minorHAnsi" w:cstheme="minorHAnsi"/>
        </w:rPr>
        <w:t xml:space="preserve">, </w:t>
      </w:r>
      <w:r w:rsidR="004559FA" w:rsidRPr="005567A0">
        <w:rPr>
          <w:rFonts w:asciiTheme="minorHAnsi" w:hAnsiTheme="minorHAnsi" w:cstheme="minorHAnsi"/>
        </w:rPr>
        <w:t>it is expected</w:t>
      </w:r>
      <w:r w:rsidRPr="005567A0">
        <w:rPr>
          <w:rFonts w:asciiTheme="minorHAnsi" w:hAnsiTheme="minorHAnsi" w:cstheme="minorHAnsi"/>
        </w:rPr>
        <w:t xml:space="preserve"> that auditors would have regard to the following:</w:t>
      </w:r>
    </w:p>
    <w:p w14:paraId="6CD6A942" w14:textId="329E8DD8" w:rsidR="00814FEB" w:rsidRPr="00EA6DD7" w:rsidRDefault="00814FEB" w:rsidP="00227270">
      <w:pPr>
        <w:spacing w:after="0"/>
      </w:pPr>
      <w:r w:rsidRPr="005567A0">
        <w:rPr>
          <w:rStyle w:val="Strong"/>
          <w:rFonts w:asciiTheme="minorHAnsi" w:hAnsiTheme="minorHAnsi" w:cstheme="minorHAnsi"/>
        </w:rPr>
        <w:t>On entry</w:t>
      </w:r>
      <w:r w:rsidRPr="005567A0">
        <w:rPr>
          <w:rFonts w:asciiTheme="minorHAnsi" w:hAnsiTheme="minorHAnsi" w:cstheme="minorHAnsi"/>
        </w:rPr>
        <w:t xml:space="preserve">, within seven days of entering into accommodation agreements, </w:t>
      </w:r>
      <w:r w:rsidR="004973EB" w:rsidRPr="005567A0">
        <w:rPr>
          <w:rFonts w:asciiTheme="minorHAnsi" w:hAnsiTheme="minorHAnsi" w:cstheme="minorHAnsi"/>
        </w:rPr>
        <w:t xml:space="preserve">the </w:t>
      </w:r>
      <w:r w:rsidRPr="005567A0">
        <w:rPr>
          <w:rFonts w:asciiTheme="minorHAnsi" w:hAnsiTheme="minorHAnsi" w:cstheme="minorHAnsi"/>
        </w:rPr>
        <w:t>provider must provide the resident or their representative with:</w:t>
      </w:r>
    </w:p>
    <w:p w14:paraId="02282CDC" w14:textId="77777777" w:rsidR="00227270" w:rsidRPr="00EA6DD7" w:rsidRDefault="00814FEB" w:rsidP="00EA6DD7">
      <w:pPr>
        <w:pStyle w:val="ListBullet"/>
      </w:pPr>
      <w:r w:rsidRPr="005567A0">
        <w:t>a copy</w:t>
      </w:r>
      <w:r w:rsidR="00227270" w:rsidRPr="005567A0">
        <w:t xml:space="preserve"> of the accommodation agreement</w:t>
      </w:r>
      <w:r w:rsidR="000E2CA5" w:rsidRPr="005567A0">
        <w:t>; and</w:t>
      </w:r>
    </w:p>
    <w:p w14:paraId="5A4DAC57" w14:textId="77777777" w:rsidR="00814FEB" w:rsidRPr="00EA6DD7" w:rsidRDefault="00814FEB" w:rsidP="00EA6DD7">
      <w:pPr>
        <w:pStyle w:val="ListBullet"/>
      </w:pPr>
      <w:r w:rsidRPr="005567A0">
        <w:t>a written statement explaining what other information is available on request.</w:t>
      </w:r>
    </w:p>
    <w:p w14:paraId="70D97D31" w14:textId="2FC4FCE0" w:rsidR="00814FEB" w:rsidRPr="00EA6DD7" w:rsidRDefault="00814FEB" w:rsidP="00227270">
      <w:pPr>
        <w:spacing w:after="0"/>
      </w:pPr>
      <w:r w:rsidRPr="005567A0">
        <w:rPr>
          <w:rStyle w:val="Strong"/>
          <w:rFonts w:asciiTheme="minorHAnsi" w:hAnsiTheme="minorHAnsi" w:cstheme="minorHAnsi"/>
        </w:rPr>
        <w:t>On request</w:t>
      </w:r>
      <w:r w:rsidRPr="005567A0">
        <w:rPr>
          <w:rFonts w:asciiTheme="minorHAnsi" w:hAnsiTheme="minorHAnsi" w:cstheme="minorHAnsi"/>
        </w:rPr>
        <w:t xml:space="preserve">, </w:t>
      </w:r>
      <w:r w:rsidR="00F441DF" w:rsidRPr="005567A0">
        <w:rPr>
          <w:rFonts w:asciiTheme="minorHAnsi" w:hAnsiTheme="minorHAnsi" w:cstheme="minorHAnsi"/>
        </w:rPr>
        <w:t xml:space="preserve">a </w:t>
      </w:r>
      <w:r w:rsidRPr="005567A0">
        <w:rPr>
          <w:rFonts w:asciiTheme="minorHAnsi" w:hAnsiTheme="minorHAnsi" w:cstheme="minorHAnsi"/>
        </w:rPr>
        <w:t>provider must also provide residents, prospective residents or their representatives with the following information:</w:t>
      </w:r>
    </w:p>
    <w:p w14:paraId="62A4ADBF" w14:textId="3325D93E" w:rsidR="00814FEB" w:rsidRPr="00EA6DD7" w:rsidRDefault="00814FEB" w:rsidP="00EA6DD7">
      <w:pPr>
        <w:pStyle w:val="ListBullet"/>
      </w:pPr>
      <w:r w:rsidRPr="005567A0">
        <w:t>a summary of the permitted uses for which refundable deposit and bonds have been used by the provider dur</w:t>
      </w:r>
      <w:r w:rsidR="00227270" w:rsidRPr="005567A0">
        <w:t>ing the previous financial year</w:t>
      </w:r>
      <w:r w:rsidR="000E2CA5" w:rsidRPr="005567A0">
        <w:t>;</w:t>
      </w:r>
    </w:p>
    <w:p w14:paraId="62AA566C" w14:textId="3D2ACDCB" w:rsidR="00814FEB" w:rsidRPr="00EA6DD7" w:rsidRDefault="00814FEB" w:rsidP="00EA6DD7">
      <w:pPr>
        <w:pStyle w:val="ListBullet"/>
      </w:pPr>
      <w:r w:rsidRPr="005567A0">
        <w:t>information about whether the provider has, during the previous financ</w:t>
      </w:r>
      <w:r w:rsidR="00227270" w:rsidRPr="005567A0">
        <w:t xml:space="preserve">ial year, complied with </w:t>
      </w:r>
      <w:r w:rsidR="00E07744" w:rsidRPr="005567A0">
        <w:t xml:space="preserve">section 310 of </w:t>
      </w:r>
      <w:r w:rsidR="00227270" w:rsidRPr="005567A0">
        <w:t xml:space="preserve">the </w:t>
      </w:r>
      <w:r w:rsidR="00CE2EAA" w:rsidRPr="005567A0">
        <w:t>new</w:t>
      </w:r>
      <w:r w:rsidR="00227270" w:rsidRPr="005567A0">
        <w:t xml:space="preserve"> Act</w:t>
      </w:r>
      <w:r w:rsidR="00CE2EAA" w:rsidRPr="005567A0">
        <w:t xml:space="preserve"> and the new Standards</w:t>
      </w:r>
    </w:p>
    <w:p w14:paraId="3BC24580" w14:textId="2E25B692" w:rsidR="00814FEB" w:rsidRPr="00EA6DD7" w:rsidRDefault="00814FEB" w:rsidP="00EA6DD7">
      <w:pPr>
        <w:pStyle w:val="ListBullet"/>
      </w:pPr>
      <w:r w:rsidRPr="005567A0">
        <w:t xml:space="preserve">information about the number of refundable deposit and bond balances that were not refunded in accordance with the </w:t>
      </w:r>
      <w:r w:rsidR="00C03090" w:rsidRPr="005567A0">
        <w:t xml:space="preserve">new </w:t>
      </w:r>
      <w:r w:rsidRPr="005567A0">
        <w:t xml:space="preserve">Act </w:t>
      </w:r>
      <w:r w:rsidR="00C03090">
        <w:t>and Rules</w:t>
      </w:r>
      <w:r>
        <w:t xml:space="preserve"> </w:t>
      </w:r>
      <w:r w:rsidRPr="005567A0">
        <w:t>or, for entry co</w:t>
      </w:r>
      <w:r w:rsidR="00227270" w:rsidRPr="005567A0">
        <w:t>ntributions, a formal agreement</w:t>
      </w:r>
    </w:p>
    <w:p w14:paraId="26F1184B" w14:textId="77D9C000" w:rsidR="00814FEB" w:rsidRPr="00EA6DD7" w:rsidRDefault="00814FEB" w:rsidP="00EA6DD7">
      <w:pPr>
        <w:pStyle w:val="ListBullet"/>
      </w:pPr>
      <w:r w:rsidRPr="005567A0">
        <w:t>the most recent audited accounts or, if the service is part of a broader organisation, the statement rela</w:t>
      </w:r>
      <w:r w:rsidR="00227270" w:rsidRPr="005567A0">
        <w:t>ting to the aged care component</w:t>
      </w:r>
    </w:p>
    <w:p w14:paraId="0A3DB217" w14:textId="77A7AC58" w:rsidR="00814FEB" w:rsidRPr="00EA6DD7" w:rsidRDefault="00814FEB" w:rsidP="00EA6DD7">
      <w:pPr>
        <w:pStyle w:val="ListBullet"/>
      </w:pPr>
      <w:r w:rsidRPr="005567A0">
        <w:t>if the resident has already paid a refundable deposit or bond</w:t>
      </w:r>
      <w:r w:rsidR="00F508EE" w:rsidRPr="005567A0">
        <w:t>,</w:t>
      </w:r>
      <w:r w:rsidRPr="005567A0">
        <w:t xml:space="preserve"> a copy of the resident’s entry in the refundable deposit register, cur</w:t>
      </w:r>
      <w:r w:rsidR="00227270" w:rsidRPr="005567A0">
        <w:t xml:space="preserve">rent at the time of the </w:t>
      </w:r>
      <w:r w:rsidR="00227270" w:rsidRPr="005567A0">
        <w:rPr>
          <w:szCs w:val="24"/>
        </w:rPr>
        <w:t>request</w:t>
      </w:r>
    </w:p>
    <w:p w14:paraId="7BE5E2B6" w14:textId="768B9EFB" w:rsidR="006302EA" w:rsidRPr="00EA6DD7" w:rsidRDefault="00814FEB" w:rsidP="00EA6DD7">
      <w:pPr>
        <w:pStyle w:val="ListBullet"/>
      </w:pPr>
      <w:r w:rsidRPr="005567A0">
        <w:rPr>
          <w:szCs w:val="24"/>
        </w:rPr>
        <w:t>a summary of the permitted uses that refundable deposit</w:t>
      </w:r>
      <w:r w:rsidR="005D5068" w:rsidRPr="005567A0">
        <w:rPr>
          <w:szCs w:val="24"/>
        </w:rPr>
        <w:t>s</w:t>
      </w:r>
      <w:r w:rsidRPr="005567A0">
        <w:rPr>
          <w:szCs w:val="24"/>
        </w:rPr>
        <w:t xml:space="preserve"> an</w:t>
      </w:r>
      <w:r w:rsidR="00801485" w:rsidRPr="005567A0">
        <w:rPr>
          <w:szCs w:val="24"/>
        </w:rPr>
        <w:t>d</w:t>
      </w:r>
      <w:r w:rsidRPr="005567A0">
        <w:rPr>
          <w:szCs w:val="24"/>
        </w:rPr>
        <w:t xml:space="preserve"> bonds have been used for in the pr</w:t>
      </w:r>
      <w:r w:rsidR="00227270" w:rsidRPr="005567A0">
        <w:rPr>
          <w:szCs w:val="24"/>
        </w:rPr>
        <w:t>evious financial year</w:t>
      </w:r>
    </w:p>
    <w:p w14:paraId="3D374F76" w14:textId="67801E88" w:rsidR="00814FEB" w:rsidRPr="005567A0" w:rsidRDefault="00814FEB" w:rsidP="00EA6DD7">
      <w:pPr>
        <w:pStyle w:val="ListBullet"/>
      </w:pPr>
      <w:r w:rsidRPr="005567A0">
        <w:t>if refundable deposit and bonds have been invested in financial products other than through authorised deposit-taking institutions, a statement explaining the provider’s investment objectives and the asset classes they may invest i</w:t>
      </w:r>
      <w:r w:rsidR="00227270" w:rsidRPr="005567A0">
        <w:t>n</w:t>
      </w:r>
    </w:p>
    <w:p w14:paraId="0DF038B6" w14:textId="39203BC5" w:rsidR="00814FEB" w:rsidRPr="005567A0" w:rsidRDefault="00814FEB" w:rsidP="00EA6DD7">
      <w:pPr>
        <w:pStyle w:val="ListBullet"/>
      </w:pPr>
      <w:r w:rsidRPr="005567A0">
        <w:t>information about whether the provider has complied with the prudential requirements and permitted uses for refundable deposit and bonds.</w:t>
      </w:r>
    </w:p>
    <w:p w14:paraId="53BC6599" w14:textId="77777777" w:rsidR="00814FEB" w:rsidRPr="00EA6DD7" w:rsidRDefault="00814FEB" w:rsidP="00814FEB">
      <w:r w:rsidRPr="005567A0">
        <w:rPr>
          <w:rFonts w:asciiTheme="minorHAnsi" w:hAnsiTheme="minorHAnsi" w:cstheme="minorHAnsi"/>
          <w:szCs w:val="24"/>
        </w:rPr>
        <w:t>The information must be correct at the time the request was made.</w:t>
      </w:r>
    </w:p>
    <w:p w14:paraId="7D92835B" w14:textId="6EF997A2" w:rsidR="00814FEB" w:rsidRPr="00EA6DD7" w:rsidRDefault="00814FEB" w:rsidP="00227270">
      <w:pPr>
        <w:spacing w:after="0"/>
      </w:pPr>
      <w:r w:rsidRPr="005567A0">
        <w:rPr>
          <w:rStyle w:val="Strong"/>
          <w:rFonts w:asciiTheme="minorHAnsi" w:hAnsiTheme="minorHAnsi" w:cstheme="minorHAnsi"/>
          <w:szCs w:val="24"/>
        </w:rPr>
        <w:t xml:space="preserve">Annually </w:t>
      </w:r>
      <w:r w:rsidRPr="005567A0">
        <w:rPr>
          <w:rFonts w:asciiTheme="minorHAnsi" w:hAnsiTheme="minorHAnsi" w:cstheme="minorHAnsi"/>
          <w:szCs w:val="24"/>
        </w:rPr>
        <w:t xml:space="preserve">(for existing residents), within four months of the end of their financial year, </w:t>
      </w:r>
      <w:r w:rsidR="004973EB" w:rsidRPr="005567A0">
        <w:rPr>
          <w:rFonts w:asciiTheme="minorHAnsi" w:hAnsiTheme="minorHAnsi" w:cstheme="minorHAnsi"/>
          <w:szCs w:val="24"/>
        </w:rPr>
        <w:t xml:space="preserve">the </w:t>
      </w:r>
      <w:r w:rsidRPr="005567A0">
        <w:rPr>
          <w:rFonts w:asciiTheme="minorHAnsi" w:hAnsiTheme="minorHAnsi" w:cstheme="minorHAnsi"/>
          <w:szCs w:val="24"/>
        </w:rPr>
        <w:t>provider must provide each resident or their representative with:</w:t>
      </w:r>
    </w:p>
    <w:p w14:paraId="78C64606" w14:textId="0AB99CE9" w:rsidR="00814FEB" w:rsidRPr="00EA6DD7" w:rsidRDefault="00814FEB" w:rsidP="00EA6DD7">
      <w:pPr>
        <w:pStyle w:val="ListBullet"/>
      </w:pPr>
      <w:r w:rsidRPr="005567A0">
        <w:t xml:space="preserve">a copy of the resident’s </w:t>
      </w:r>
      <w:r w:rsidRPr="00EA6DD7">
        <w:t xml:space="preserve">entry in </w:t>
      </w:r>
      <w:r w:rsidR="00227270" w:rsidRPr="00EA6DD7">
        <w:t>the refundable deposit register</w:t>
      </w:r>
    </w:p>
    <w:p w14:paraId="697939B5" w14:textId="77777777" w:rsidR="00814FEB" w:rsidRPr="00EA6DD7" w:rsidRDefault="00814FEB" w:rsidP="00EA6DD7">
      <w:pPr>
        <w:pStyle w:val="ListBullet"/>
      </w:pPr>
      <w:r w:rsidRPr="00EA6DD7">
        <w:t>a written statement explaining what other i</w:t>
      </w:r>
      <w:r w:rsidRPr="005567A0">
        <w:t>nfor</w:t>
      </w:r>
      <w:r w:rsidRPr="00EA6DD7">
        <w:t>mation is available on request</w:t>
      </w:r>
      <w:r w:rsidR="000E2CA5" w:rsidRPr="00EA6DD7">
        <w:t>.</w:t>
      </w:r>
    </w:p>
    <w:p w14:paraId="72F3F750" w14:textId="63F5E1BA" w:rsidR="00083FD6" w:rsidRPr="005567A0" w:rsidRDefault="00174A16" w:rsidP="00174A16">
      <w:pPr>
        <w:spacing w:after="0"/>
        <w:rPr>
          <w:rFonts w:asciiTheme="minorHAnsi" w:hAnsiTheme="minorHAnsi" w:cstheme="minorHAnsi"/>
          <w:szCs w:val="24"/>
        </w:rPr>
      </w:pPr>
      <w:r w:rsidRPr="005567A0">
        <w:rPr>
          <w:rStyle w:val="Strong"/>
          <w:rFonts w:asciiTheme="minorHAnsi" w:hAnsiTheme="minorHAnsi" w:cstheme="minorHAnsi"/>
          <w:szCs w:val="24"/>
        </w:rPr>
        <w:t xml:space="preserve">Annually </w:t>
      </w:r>
      <w:r w:rsidRPr="005567A0">
        <w:rPr>
          <w:rFonts w:asciiTheme="minorHAnsi" w:hAnsiTheme="minorHAnsi" w:cstheme="minorHAnsi"/>
          <w:szCs w:val="24"/>
        </w:rPr>
        <w:t xml:space="preserve">(to the Department), within four months of the end of their financial year, </w:t>
      </w:r>
      <w:r w:rsidR="004973EB" w:rsidRPr="005567A0">
        <w:rPr>
          <w:rFonts w:asciiTheme="minorHAnsi" w:hAnsiTheme="minorHAnsi" w:cstheme="minorHAnsi"/>
          <w:szCs w:val="24"/>
        </w:rPr>
        <w:t xml:space="preserve">the </w:t>
      </w:r>
      <w:r w:rsidRPr="005567A0">
        <w:rPr>
          <w:rFonts w:asciiTheme="minorHAnsi" w:hAnsiTheme="minorHAnsi" w:cstheme="minorHAnsi"/>
          <w:szCs w:val="24"/>
        </w:rPr>
        <w:t xml:space="preserve">provider must submit </w:t>
      </w:r>
      <w:r w:rsidR="005A1A96" w:rsidRPr="005567A0">
        <w:rPr>
          <w:rFonts w:asciiTheme="minorHAnsi" w:hAnsiTheme="minorHAnsi" w:cstheme="minorHAnsi"/>
          <w:szCs w:val="24"/>
        </w:rPr>
        <w:t>a complete APCS</w:t>
      </w:r>
      <w:r w:rsidR="00347BBE" w:rsidRPr="005567A0">
        <w:rPr>
          <w:rFonts w:asciiTheme="minorHAnsi" w:hAnsiTheme="minorHAnsi" w:cstheme="minorHAnsi"/>
          <w:szCs w:val="24"/>
        </w:rPr>
        <w:t xml:space="preserve"> that consists of</w:t>
      </w:r>
      <w:r w:rsidR="00083FD6" w:rsidRPr="005567A0">
        <w:rPr>
          <w:rFonts w:asciiTheme="minorHAnsi" w:hAnsiTheme="minorHAnsi" w:cstheme="minorHAnsi"/>
          <w:szCs w:val="24"/>
        </w:rPr>
        <w:t>:</w:t>
      </w:r>
    </w:p>
    <w:p w14:paraId="608A2B4D" w14:textId="6AE181A5" w:rsidR="00591B75" w:rsidRPr="005567A0" w:rsidRDefault="00D316C3" w:rsidP="00EA6DD7">
      <w:pPr>
        <w:pStyle w:val="ListBullet"/>
      </w:pPr>
      <w:r w:rsidRPr="005567A0">
        <w:t>the provider’s compliance statement against the prudential standards</w:t>
      </w:r>
    </w:p>
    <w:p w14:paraId="61C8DC15" w14:textId="01C3BF0F" w:rsidR="001D4B5E" w:rsidRPr="005567A0" w:rsidRDefault="001D4B5E" w:rsidP="00EA6DD7">
      <w:pPr>
        <w:pStyle w:val="ListBullet"/>
      </w:pPr>
      <w:r w:rsidRPr="005567A0">
        <w:t xml:space="preserve">the statements and information referred to in </w:t>
      </w:r>
      <w:r w:rsidR="006D568C">
        <w:t>s</w:t>
      </w:r>
      <w:r w:rsidRPr="005567A0">
        <w:t xml:space="preserve">ections </w:t>
      </w:r>
      <w:r w:rsidR="007D5E11" w:rsidRPr="005567A0">
        <w:t>166</w:t>
      </w:r>
      <w:r w:rsidR="007D5E11" w:rsidRPr="005567A0">
        <w:noBreakHyphen/>
        <w:t xml:space="preserve">365, </w:t>
      </w:r>
      <w:r w:rsidR="007C3B95" w:rsidRPr="005567A0">
        <w:t>166-375 and 166-380</w:t>
      </w:r>
      <w:r w:rsidR="00110DF3" w:rsidRPr="005567A0">
        <w:t xml:space="preserve"> of the Rules</w:t>
      </w:r>
    </w:p>
    <w:p w14:paraId="1BF58C5C" w14:textId="7354E42D" w:rsidR="00083FD6" w:rsidRPr="00EA6DD7" w:rsidRDefault="00591B75" w:rsidP="00EA6DD7">
      <w:pPr>
        <w:pStyle w:val="ListBullet"/>
      </w:pPr>
      <w:r w:rsidRPr="005567A0">
        <w:rPr>
          <w:rFonts w:eastAsia="Times New Roman" w:cs="Arial"/>
          <w:lang w:eastAsia="en-AU"/>
        </w:rPr>
        <w:t>the audit</w:t>
      </w:r>
      <w:r w:rsidR="004F2CCA" w:rsidRPr="005567A0">
        <w:rPr>
          <w:rFonts w:eastAsia="Times New Roman" w:cs="Arial"/>
          <w:lang w:eastAsia="en-AU"/>
        </w:rPr>
        <w:t xml:space="preserve"> and independent audit opinion</w:t>
      </w:r>
    </w:p>
    <w:p w14:paraId="6AA7B363" w14:textId="79C045FC" w:rsidR="00814FEB" w:rsidRPr="00EA6DD7" w:rsidRDefault="00814FEB" w:rsidP="00EA6DD7">
      <w:r w:rsidRPr="005567A0">
        <w:rPr>
          <w:rFonts w:asciiTheme="minorHAnsi" w:hAnsiTheme="minorHAnsi" w:cstheme="minorHAnsi"/>
          <w:szCs w:val="24"/>
        </w:rPr>
        <w:t xml:space="preserve">In testing compliance with </w:t>
      </w:r>
      <w:r w:rsidR="00EE3A92" w:rsidRPr="005567A0">
        <w:rPr>
          <w:rFonts w:asciiTheme="minorHAnsi" w:hAnsiTheme="minorHAnsi" w:cstheme="minorHAnsi"/>
          <w:szCs w:val="24"/>
        </w:rPr>
        <w:t>disclosure obligations</w:t>
      </w:r>
      <w:r w:rsidRPr="005567A0">
        <w:rPr>
          <w:rFonts w:asciiTheme="minorHAnsi" w:hAnsiTheme="minorHAnsi" w:cstheme="minorHAnsi"/>
          <w:szCs w:val="24"/>
        </w:rPr>
        <w:t xml:space="preserve">, </w:t>
      </w:r>
      <w:r w:rsidR="004559FA" w:rsidRPr="005567A0">
        <w:rPr>
          <w:rFonts w:asciiTheme="minorHAnsi" w:hAnsiTheme="minorHAnsi" w:cstheme="minorHAnsi"/>
          <w:szCs w:val="24"/>
        </w:rPr>
        <w:t>it is</w:t>
      </w:r>
      <w:r w:rsidRPr="005567A0">
        <w:rPr>
          <w:rFonts w:asciiTheme="minorHAnsi" w:hAnsiTheme="minorHAnsi" w:cstheme="minorHAnsi"/>
          <w:szCs w:val="24"/>
        </w:rPr>
        <w:t xml:space="preserve"> not expect</w:t>
      </w:r>
      <w:r w:rsidR="004559FA" w:rsidRPr="005567A0">
        <w:rPr>
          <w:rFonts w:asciiTheme="minorHAnsi" w:hAnsiTheme="minorHAnsi" w:cstheme="minorHAnsi"/>
          <w:szCs w:val="24"/>
        </w:rPr>
        <w:t>ed for</w:t>
      </w:r>
      <w:r w:rsidRPr="005567A0">
        <w:rPr>
          <w:rFonts w:asciiTheme="minorHAnsi" w:hAnsiTheme="minorHAnsi" w:cstheme="minorHAnsi"/>
          <w:szCs w:val="24"/>
        </w:rPr>
        <w:t xml:space="preserve"> </w:t>
      </w:r>
      <w:r w:rsidR="009350E6" w:rsidRPr="00A5676F">
        <w:rPr>
          <w:rFonts w:asciiTheme="minorHAnsi" w:hAnsiTheme="minorHAnsi" w:cstheme="minorHAnsi"/>
          <w:szCs w:val="24"/>
        </w:rPr>
        <w:t xml:space="preserve">the </w:t>
      </w:r>
      <w:r w:rsidRPr="005567A0">
        <w:rPr>
          <w:rFonts w:asciiTheme="minorHAnsi" w:hAnsiTheme="minorHAnsi" w:cstheme="minorHAnsi"/>
          <w:szCs w:val="24"/>
        </w:rPr>
        <w:t>auditor to contact residents or residents’ representatives to confirm that relevant disclosures have been ma</w:t>
      </w:r>
      <w:r w:rsidRPr="00EA6DD7">
        <w:t>de to them.</w:t>
      </w:r>
    </w:p>
    <w:p w14:paraId="3E99C69D" w14:textId="00C72588" w:rsidR="00814FEB" w:rsidRPr="00EA6DD7" w:rsidRDefault="73346AA5" w:rsidP="00EA6DD7">
      <w:r w:rsidRPr="00EA6DD7">
        <w:t>Testing of the provider’s records and systems, including review</w:t>
      </w:r>
      <w:r w:rsidR="004E4E2F" w:rsidRPr="00EA6DD7">
        <w:t xml:space="preserve">ing </w:t>
      </w:r>
      <w:r w:rsidRPr="00EA6DD7">
        <w:t>files</w:t>
      </w:r>
      <w:r w:rsidR="004E4E2F" w:rsidRPr="00EA6DD7">
        <w:t xml:space="preserve"> and </w:t>
      </w:r>
      <w:r w:rsidRPr="00EA6DD7">
        <w:t>correspondence</w:t>
      </w:r>
      <w:r w:rsidR="004E4E2F" w:rsidRPr="00EA6DD7">
        <w:t>,</w:t>
      </w:r>
      <w:r w:rsidR="2EAD30FF" w:rsidRPr="00EA6DD7">
        <w:t xml:space="preserve"> </w:t>
      </w:r>
      <w:r w:rsidRPr="00EA6DD7">
        <w:t>will provide sufficie</w:t>
      </w:r>
      <w:r w:rsidRPr="005567A0">
        <w:rPr>
          <w:rFonts w:asciiTheme="minorHAnsi" w:hAnsiTheme="minorHAnsi" w:cstheme="minorHAnsi"/>
          <w:szCs w:val="24"/>
        </w:rPr>
        <w:t>nt evidence</w:t>
      </w:r>
      <w:r w:rsidRPr="005567A0">
        <w:rPr>
          <w:rFonts w:asciiTheme="minorHAnsi" w:hAnsiTheme="minorHAnsi" w:cstheme="minorHAnsi"/>
        </w:rPr>
        <w:t xml:space="preserve"> of complianc</w:t>
      </w:r>
      <w:r w:rsidR="1B0BAD31" w:rsidRPr="005567A0">
        <w:rPr>
          <w:rFonts w:asciiTheme="minorHAnsi" w:hAnsiTheme="minorHAnsi" w:cstheme="minorHAnsi"/>
        </w:rPr>
        <w:t xml:space="preserve">e for the </w:t>
      </w:r>
      <w:r w:rsidR="53BC8F1A" w:rsidRPr="005567A0">
        <w:rPr>
          <w:rFonts w:asciiTheme="minorHAnsi" w:hAnsiTheme="minorHAnsi" w:cstheme="minorHAnsi"/>
        </w:rPr>
        <w:t>Commission</w:t>
      </w:r>
      <w:r w:rsidR="1B0BAD31" w:rsidRPr="005567A0">
        <w:rPr>
          <w:rFonts w:asciiTheme="minorHAnsi" w:hAnsiTheme="minorHAnsi" w:cstheme="minorHAnsi"/>
        </w:rPr>
        <w:t>’s purposes.</w:t>
      </w:r>
    </w:p>
    <w:p w14:paraId="7DD766AB" w14:textId="135DD364" w:rsidR="00BB314C" w:rsidRPr="005567A0" w:rsidRDefault="005615FF" w:rsidP="0087599B">
      <w:pPr>
        <w:pStyle w:val="Heading2"/>
      </w:pPr>
      <w:r w:rsidRPr="005567A0">
        <w:t>Assessing c</w:t>
      </w:r>
      <w:r w:rsidR="00BB314C" w:rsidRPr="005567A0">
        <w:t xml:space="preserve">ompliance with </w:t>
      </w:r>
      <w:r w:rsidR="00EF0896">
        <w:t xml:space="preserve">the </w:t>
      </w:r>
      <w:r w:rsidR="00BB314C" w:rsidRPr="005567A0">
        <w:t xml:space="preserve">charging </w:t>
      </w:r>
      <w:r w:rsidR="006E08FC">
        <w:t xml:space="preserve">of </w:t>
      </w:r>
      <w:r w:rsidRPr="005567A0">
        <w:t>a</w:t>
      </w:r>
      <w:r w:rsidR="00BB314C" w:rsidRPr="005567A0">
        <w:t>ccommodation payments and contributions</w:t>
      </w:r>
    </w:p>
    <w:p w14:paraId="236CD838" w14:textId="1951862A" w:rsidR="00CA5A9F" w:rsidRPr="004C23B3" w:rsidRDefault="00241B17" w:rsidP="004C23B3">
      <w:pPr>
        <w:pStyle w:val="Heading3"/>
      </w:pPr>
      <w:r w:rsidRPr="004C23B3">
        <w:t>Accommodation</w:t>
      </w:r>
      <w:r w:rsidR="00CA5A9F" w:rsidRPr="004C23B3">
        <w:t xml:space="preserve"> payments</w:t>
      </w:r>
    </w:p>
    <w:p w14:paraId="6AB64EFA" w14:textId="659909E8" w:rsidR="008F5F66" w:rsidRPr="00EA6DD7" w:rsidRDefault="008F5F66" w:rsidP="00EA6DD7">
      <w:pPr>
        <w:rPr>
          <w:lang w:val="en"/>
        </w:rPr>
      </w:pPr>
      <w:r w:rsidRPr="00147289">
        <w:rPr>
          <w:rFonts w:asciiTheme="minorHAnsi" w:hAnsiTheme="minorHAnsi" w:cstheme="minorHAnsi"/>
          <w:color w:val="111111"/>
          <w:szCs w:val="24"/>
          <w:lang w:val="en"/>
        </w:rPr>
        <w:t>Section 52G-</w:t>
      </w:r>
      <w:r w:rsidR="004D795C" w:rsidRPr="00147289">
        <w:rPr>
          <w:rFonts w:asciiTheme="minorHAnsi" w:hAnsiTheme="minorHAnsi" w:cstheme="minorHAnsi"/>
          <w:color w:val="111111"/>
          <w:szCs w:val="24"/>
          <w:lang w:val="en"/>
        </w:rPr>
        <w:t>A</w:t>
      </w:r>
      <w:r w:rsidRPr="00147289">
        <w:rPr>
          <w:rFonts w:asciiTheme="minorHAnsi" w:hAnsiTheme="minorHAnsi" w:cstheme="minorHAnsi"/>
          <w:color w:val="111111"/>
          <w:szCs w:val="24"/>
          <w:lang w:val="en"/>
        </w:rPr>
        <w:t xml:space="preserve"> of the old Act and </w:t>
      </w:r>
      <w:r w:rsidR="006D568C">
        <w:rPr>
          <w:rFonts w:asciiTheme="minorHAnsi" w:hAnsiTheme="minorHAnsi" w:cstheme="minorHAnsi"/>
          <w:color w:val="111111"/>
          <w:szCs w:val="24"/>
          <w:lang w:val="en"/>
        </w:rPr>
        <w:t>s</w:t>
      </w:r>
      <w:r w:rsidRPr="00147289">
        <w:rPr>
          <w:rFonts w:asciiTheme="minorHAnsi" w:hAnsiTheme="minorHAnsi" w:cstheme="minorHAnsi"/>
          <w:color w:val="111111"/>
          <w:szCs w:val="24"/>
          <w:lang w:val="en"/>
        </w:rPr>
        <w:t>ection 29</w:t>
      </w:r>
      <w:r w:rsidR="001C2B42" w:rsidRPr="00147289">
        <w:rPr>
          <w:rFonts w:asciiTheme="minorHAnsi" w:hAnsiTheme="minorHAnsi" w:cstheme="minorHAnsi"/>
          <w:color w:val="111111"/>
          <w:szCs w:val="24"/>
          <w:lang w:val="en"/>
        </w:rPr>
        <w:t>6</w:t>
      </w:r>
      <w:r w:rsidRPr="00147289">
        <w:rPr>
          <w:rFonts w:asciiTheme="minorHAnsi" w:hAnsiTheme="minorHAnsi" w:cstheme="minorHAnsi"/>
          <w:color w:val="111111"/>
          <w:szCs w:val="24"/>
          <w:lang w:val="en"/>
        </w:rPr>
        <w:t xml:space="preserve"> of the new Act provide the conditions a </w:t>
      </w:r>
      <w:r w:rsidRPr="00EA6DD7">
        <w:rPr>
          <w:lang w:val="en"/>
        </w:rPr>
        <w:t xml:space="preserve">provider must follow in relation to charging accommodation </w:t>
      </w:r>
      <w:r w:rsidR="001C2B42" w:rsidRPr="00EA6DD7">
        <w:rPr>
          <w:lang w:val="en"/>
        </w:rPr>
        <w:t>payment</w:t>
      </w:r>
      <w:r w:rsidRPr="00EA6DD7">
        <w:rPr>
          <w:lang w:val="en"/>
        </w:rPr>
        <w:t>s.</w:t>
      </w:r>
    </w:p>
    <w:p w14:paraId="089EA0B5" w14:textId="7452B877" w:rsidR="008F5F66" w:rsidRPr="00147289" w:rsidRDefault="008F5F66" w:rsidP="00EA6DD7">
      <w:pPr>
        <w:rPr>
          <w:rFonts w:asciiTheme="minorHAnsi" w:hAnsiTheme="minorHAnsi" w:cstheme="minorHAnsi"/>
          <w:color w:val="111111"/>
          <w:szCs w:val="24"/>
          <w:lang w:val="en"/>
        </w:rPr>
      </w:pPr>
      <w:r w:rsidRPr="00EA6DD7">
        <w:rPr>
          <w:lang w:val="en"/>
        </w:rPr>
        <w:t xml:space="preserve">In assessing compliance with accommodation </w:t>
      </w:r>
      <w:r w:rsidR="001C2B42" w:rsidRPr="00EA6DD7">
        <w:rPr>
          <w:lang w:val="en"/>
        </w:rPr>
        <w:t>payments</w:t>
      </w:r>
      <w:r w:rsidRPr="00EA6DD7">
        <w:rPr>
          <w:lang w:val="en"/>
        </w:rPr>
        <w:t xml:space="preserve">, it is expected that </w:t>
      </w:r>
      <w:r w:rsidR="00781F00" w:rsidRPr="00EA6DD7">
        <w:rPr>
          <w:lang w:val="en"/>
        </w:rPr>
        <w:t xml:space="preserve">the </w:t>
      </w:r>
      <w:r w:rsidRPr="00EA6DD7">
        <w:rPr>
          <w:lang w:val="en"/>
        </w:rPr>
        <w:t xml:space="preserve">auditor </w:t>
      </w:r>
      <w:proofErr w:type="gramStart"/>
      <w:r w:rsidRPr="00EA6DD7">
        <w:rPr>
          <w:lang w:val="en"/>
        </w:rPr>
        <w:t>would</w:t>
      </w:r>
      <w:proofErr w:type="gramEnd"/>
      <w:r w:rsidRPr="00EA6DD7">
        <w:rPr>
          <w:lang w:val="en"/>
        </w:rPr>
        <w:t xml:space="preserve"> have regard to whether the provide</w:t>
      </w:r>
      <w:r w:rsidRPr="00147289">
        <w:rPr>
          <w:rFonts w:asciiTheme="minorHAnsi" w:hAnsiTheme="minorHAnsi" w:cstheme="minorHAnsi"/>
          <w:color w:val="111111"/>
          <w:szCs w:val="24"/>
          <w:lang w:val="en"/>
        </w:rPr>
        <w:t>r has effective processes in place to ensure:</w:t>
      </w:r>
    </w:p>
    <w:p w14:paraId="15ADC6C3" w14:textId="17764018" w:rsidR="00C74397" w:rsidRPr="00B536CB" w:rsidRDefault="00803971" w:rsidP="00EA6DD7">
      <w:pPr>
        <w:pStyle w:val="ListBullet"/>
        <w:rPr>
          <w:lang w:val="en"/>
        </w:rPr>
      </w:pPr>
      <w:r w:rsidRPr="00B536CB">
        <w:rPr>
          <w:lang w:val="en"/>
        </w:rPr>
        <w:t>a</w:t>
      </w:r>
      <w:r w:rsidR="00C74397" w:rsidRPr="00B536CB">
        <w:rPr>
          <w:lang w:val="en"/>
        </w:rPr>
        <w:t xml:space="preserve">ccommodation </w:t>
      </w:r>
      <w:r w:rsidR="00BB14A0" w:rsidRPr="00B536CB">
        <w:rPr>
          <w:lang w:val="en"/>
        </w:rPr>
        <w:t>payments</w:t>
      </w:r>
      <w:r w:rsidR="00D11DF4" w:rsidRPr="00B536CB">
        <w:rPr>
          <w:lang w:val="en"/>
        </w:rPr>
        <w:t xml:space="preserve"> do </w:t>
      </w:r>
      <w:r w:rsidR="00812918" w:rsidRPr="00B536CB">
        <w:rPr>
          <w:lang w:val="en"/>
        </w:rPr>
        <w:t>not exceed the agreed room price or maximum</w:t>
      </w:r>
      <w:r w:rsidR="00816961" w:rsidRPr="00B536CB">
        <w:rPr>
          <w:lang w:val="en"/>
        </w:rPr>
        <w:t xml:space="preserve"> accommodation payment </w:t>
      </w:r>
      <w:r w:rsidR="00782A92" w:rsidRPr="00B536CB">
        <w:rPr>
          <w:lang w:val="en"/>
        </w:rPr>
        <w:t>amount</w:t>
      </w:r>
      <w:r w:rsidR="00B06C41" w:rsidRPr="00B536CB">
        <w:rPr>
          <w:rStyle w:val="FootnoteReference"/>
          <w:color w:val="111111"/>
          <w:szCs w:val="24"/>
          <w:lang w:val="en"/>
        </w:rPr>
        <w:footnoteReference w:id="23"/>
      </w:r>
    </w:p>
    <w:p w14:paraId="241AC77B" w14:textId="520C47E1" w:rsidR="00277193" w:rsidRPr="00B536CB" w:rsidRDefault="00803971" w:rsidP="00EA6DD7">
      <w:pPr>
        <w:pStyle w:val="ListBullet"/>
        <w:rPr>
          <w:lang w:val="en-US"/>
        </w:rPr>
      </w:pPr>
      <w:r w:rsidRPr="6BCCB64D">
        <w:rPr>
          <w:lang w:val="en-US"/>
        </w:rPr>
        <w:t>a</w:t>
      </w:r>
      <w:r w:rsidR="00277193" w:rsidRPr="6BCCB64D">
        <w:rPr>
          <w:lang w:val="en-US"/>
        </w:rPr>
        <w:t xml:space="preserve">ccommodation payments are correctly calculated </w:t>
      </w:r>
      <w:r w:rsidR="00804642" w:rsidRPr="6BCCB64D">
        <w:rPr>
          <w:lang w:val="en-US"/>
        </w:rPr>
        <w:t xml:space="preserve">and </w:t>
      </w:r>
      <w:r w:rsidR="005166CF" w:rsidRPr="6BCCB64D">
        <w:rPr>
          <w:lang w:val="en-US"/>
        </w:rPr>
        <w:t>charged</w:t>
      </w:r>
      <w:r w:rsidR="00804642" w:rsidRPr="6BCCB64D">
        <w:rPr>
          <w:lang w:val="en-US"/>
        </w:rPr>
        <w:t xml:space="preserve"> in accordance with the </w:t>
      </w:r>
      <w:proofErr w:type="gramStart"/>
      <w:r w:rsidR="00804642" w:rsidRPr="6BCCB64D">
        <w:rPr>
          <w:lang w:val="en-US"/>
        </w:rPr>
        <w:t>residents</w:t>
      </w:r>
      <w:proofErr w:type="gramEnd"/>
      <w:r w:rsidR="00804642" w:rsidRPr="6BCCB64D">
        <w:rPr>
          <w:lang w:val="en-US"/>
        </w:rPr>
        <w:t xml:space="preserve"> </w:t>
      </w:r>
      <w:r w:rsidR="00F9767F" w:rsidRPr="6BCCB64D">
        <w:rPr>
          <w:lang w:val="en-US"/>
        </w:rPr>
        <w:t>elected payment method includ</w:t>
      </w:r>
      <w:r w:rsidR="006A6BA8" w:rsidRPr="6BCCB64D">
        <w:rPr>
          <w:lang w:val="en-US"/>
        </w:rPr>
        <w:t>ing RAD, DAP or combination of both</w:t>
      </w:r>
    </w:p>
    <w:p w14:paraId="1C6CD39E" w14:textId="05FE7686" w:rsidR="001F1DD4" w:rsidRPr="00B536CB" w:rsidRDefault="004640F5" w:rsidP="00EA6DD7">
      <w:pPr>
        <w:pStyle w:val="ListBullet"/>
        <w:rPr>
          <w:lang w:val="en"/>
        </w:rPr>
      </w:pPr>
      <w:r w:rsidRPr="00B536CB">
        <w:rPr>
          <w:lang w:val="en"/>
        </w:rPr>
        <w:t xml:space="preserve">DAPs </w:t>
      </w:r>
      <w:r w:rsidR="000B6D6B" w:rsidRPr="00B536CB">
        <w:rPr>
          <w:lang w:val="en"/>
        </w:rPr>
        <w:t xml:space="preserve">have been calculated using the </w:t>
      </w:r>
      <w:r w:rsidR="001F1DD4" w:rsidRPr="00B536CB">
        <w:rPr>
          <w:lang w:val="en"/>
        </w:rPr>
        <w:t xml:space="preserve">applicable </w:t>
      </w:r>
      <w:r w:rsidR="000B6D6B" w:rsidRPr="00B536CB">
        <w:rPr>
          <w:lang w:val="en"/>
        </w:rPr>
        <w:t>MPIR</w:t>
      </w:r>
      <w:r w:rsidR="001F1DD4" w:rsidRPr="00B536CB">
        <w:rPr>
          <w:lang w:val="en"/>
        </w:rPr>
        <w:t xml:space="preserve"> at date of agreement and consider any RAD paid</w:t>
      </w:r>
    </w:p>
    <w:p w14:paraId="58F6CCC1" w14:textId="3049EE96" w:rsidR="00742694" w:rsidRPr="00B536CB" w:rsidRDefault="00803971" w:rsidP="00EA6DD7">
      <w:pPr>
        <w:pStyle w:val="ListBullet"/>
        <w:rPr>
          <w:lang w:val="en-US"/>
        </w:rPr>
      </w:pPr>
      <w:r w:rsidRPr="6BCCB64D">
        <w:rPr>
          <w:lang w:val="en-US"/>
        </w:rPr>
        <w:t>deductions</w:t>
      </w:r>
      <w:r w:rsidR="00CF29B1" w:rsidRPr="6BCCB64D">
        <w:rPr>
          <w:lang w:val="en-US"/>
        </w:rPr>
        <w:t xml:space="preserve"> from </w:t>
      </w:r>
      <w:r w:rsidR="00555EB3" w:rsidRPr="6BCCB64D">
        <w:rPr>
          <w:lang w:val="en-US"/>
        </w:rPr>
        <w:t xml:space="preserve">the RAD balance have only </w:t>
      </w:r>
      <w:r w:rsidR="003A6E8D" w:rsidRPr="6BCCB64D">
        <w:rPr>
          <w:lang w:val="en-US"/>
        </w:rPr>
        <w:t xml:space="preserve">been made </w:t>
      </w:r>
      <w:proofErr w:type="gramStart"/>
      <w:r w:rsidR="00742694" w:rsidRPr="6BCCB64D">
        <w:rPr>
          <w:lang w:val="en-US"/>
        </w:rPr>
        <w:t>where</w:t>
      </w:r>
      <w:proofErr w:type="gramEnd"/>
      <w:r w:rsidR="00742694" w:rsidRPr="6BCCB64D">
        <w:rPr>
          <w:lang w:val="en-US"/>
        </w:rPr>
        <w:t xml:space="preserve"> </w:t>
      </w:r>
      <w:r w:rsidRPr="6BCCB64D">
        <w:rPr>
          <w:lang w:val="en-US"/>
        </w:rPr>
        <w:t>permitted</w:t>
      </w:r>
      <w:r w:rsidR="00742694" w:rsidRPr="6BCCB64D">
        <w:rPr>
          <w:lang w:val="en-US"/>
        </w:rPr>
        <w:t xml:space="preserve"> by </w:t>
      </w:r>
      <w:r w:rsidRPr="6BCCB64D">
        <w:rPr>
          <w:lang w:val="en-US"/>
        </w:rPr>
        <w:t>legislation</w:t>
      </w:r>
    </w:p>
    <w:p w14:paraId="3C310BE2" w14:textId="27A9F7C6" w:rsidR="006A6BA8" w:rsidRPr="00B536CB" w:rsidRDefault="00803971" w:rsidP="00EA6DD7">
      <w:pPr>
        <w:pStyle w:val="ListBullet"/>
        <w:rPr>
          <w:lang w:val="en"/>
        </w:rPr>
      </w:pPr>
      <w:r w:rsidRPr="005567A0">
        <w:t xml:space="preserve">where an </w:t>
      </w:r>
      <w:r w:rsidR="00350E9D" w:rsidRPr="005567A0">
        <w:t>individual was charged more than the maximum amount of accommodation payment</w:t>
      </w:r>
      <w:r w:rsidR="00CE50C6" w:rsidRPr="005567A0">
        <w:t xml:space="preserve"> that the</w:t>
      </w:r>
      <w:r w:rsidR="00186EBC" w:rsidRPr="005567A0">
        <w:t>re was a current approval in place from the Pricing Authority</w:t>
      </w:r>
    </w:p>
    <w:p w14:paraId="43FB99D1" w14:textId="7406FF41" w:rsidR="009E1D30" w:rsidRPr="00B536CB" w:rsidRDefault="00A97FF9" w:rsidP="00EA6DD7">
      <w:pPr>
        <w:pStyle w:val="ListBullet"/>
        <w:rPr>
          <w:lang w:val="en"/>
        </w:rPr>
      </w:pPr>
      <w:r w:rsidRPr="0578F4E1">
        <w:rPr>
          <w:lang w:val="en"/>
        </w:rPr>
        <w:t xml:space="preserve">for residents that entered the aged care home after 31 October 2025 </w:t>
      </w:r>
      <w:r w:rsidR="00F56787" w:rsidRPr="0578F4E1">
        <w:rPr>
          <w:lang w:val="en"/>
        </w:rPr>
        <w:t xml:space="preserve">and </w:t>
      </w:r>
      <w:r w:rsidR="007F71D3" w:rsidRPr="0578F4E1">
        <w:rPr>
          <w:lang w:val="en"/>
        </w:rPr>
        <w:t>whose</w:t>
      </w:r>
      <w:r w:rsidR="00F56787" w:rsidRPr="0578F4E1">
        <w:rPr>
          <w:lang w:val="en"/>
        </w:rPr>
        <w:t xml:space="preserve"> </w:t>
      </w:r>
      <w:r w:rsidR="004F6464" w:rsidRPr="0578F4E1">
        <w:rPr>
          <w:lang w:val="en"/>
        </w:rPr>
        <w:t>accommodation payment</w:t>
      </w:r>
      <w:r w:rsidR="004741BB" w:rsidRPr="0578F4E1">
        <w:rPr>
          <w:lang w:val="en"/>
        </w:rPr>
        <w:t xml:space="preserve"> includes a </w:t>
      </w:r>
      <w:r w:rsidR="009970B6" w:rsidRPr="0578F4E1">
        <w:rPr>
          <w:lang w:val="en"/>
        </w:rPr>
        <w:t>DAP component -</w:t>
      </w:r>
      <w:r w:rsidRPr="0578F4E1">
        <w:rPr>
          <w:lang w:val="en"/>
        </w:rPr>
        <w:t xml:space="preserve"> </w:t>
      </w:r>
      <w:r w:rsidR="00D64C03" w:rsidRPr="0578F4E1">
        <w:rPr>
          <w:lang w:val="en"/>
        </w:rPr>
        <w:t xml:space="preserve">DAP </w:t>
      </w:r>
      <w:r w:rsidR="009E1D30" w:rsidRPr="0578F4E1">
        <w:rPr>
          <w:lang w:val="en"/>
        </w:rPr>
        <w:t>indexation</w:t>
      </w:r>
      <w:r w:rsidR="00265641" w:rsidRPr="0578F4E1">
        <w:t xml:space="preserve"> </w:t>
      </w:r>
      <w:r w:rsidR="00D24F46" w:rsidRPr="0578F4E1">
        <w:t>is</w:t>
      </w:r>
      <w:r w:rsidR="00D24F46" w:rsidRPr="005567A0">
        <w:t xml:space="preserve"> </w:t>
      </w:r>
      <w:r w:rsidR="0019139D" w:rsidRPr="005567A0">
        <w:t xml:space="preserve">calculated and applied in accordance with </w:t>
      </w:r>
      <w:r w:rsidR="006C7466" w:rsidRPr="0578F4E1">
        <w:t>s</w:t>
      </w:r>
      <w:r w:rsidR="00323905" w:rsidRPr="005567A0">
        <w:t>ection 302-10</w:t>
      </w:r>
      <w:r w:rsidR="000B310B" w:rsidRPr="005567A0">
        <w:t xml:space="preserve"> of</w:t>
      </w:r>
      <w:r w:rsidR="00AD1087" w:rsidRPr="005567A0">
        <w:t xml:space="preserve"> the </w:t>
      </w:r>
      <w:r w:rsidR="000B310B" w:rsidRPr="005567A0">
        <w:t>Rules</w:t>
      </w:r>
      <w:r w:rsidR="20D49BBD" w:rsidRPr="0578F4E1">
        <w:t>.</w:t>
      </w:r>
    </w:p>
    <w:p w14:paraId="18FAE028" w14:textId="1945083F" w:rsidR="00820AD0" w:rsidRPr="004C23B3" w:rsidRDefault="00CA5A9F" w:rsidP="004C23B3">
      <w:pPr>
        <w:pStyle w:val="Heading3"/>
      </w:pPr>
      <w:r w:rsidRPr="004C23B3">
        <w:t>Accommodation contributions</w:t>
      </w:r>
    </w:p>
    <w:p w14:paraId="2F0E9EE2" w14:textId="6A6A0433" w:rsidR="00970BC7" w:rsidRPr="00EA6DD7" w:rsidRDefault="006A46A2" w:rsidP="00EA6DD7">
      <w:pPr>
        <w:rPr>
          <w:lang w:val="en"/>
        </w:rPr>
      </w:pPr>
      <w:r w:rsidRPr="00EA6DD7">
        <w:rPr>
          <w:lang w:val="en"/>
        </w:rPr>
        <w:t>Section</w:t>
      </w:r>
      <w:r w:rsidR="00AD44A1" w:rsidRPr="00EA6DD7">
        <w:rPr>
          <w:lang w:val="en"/>
        </w:rPr>
        <w:t xml:space="preserve"> 52G-6 of the old Act and </w:t>
      </w:r>
      <w:r w:rsidR="006C7466" w:rsidRPr="00EA6DD7">
        <w:rPr>
          <w:lang w:val="en"/>
        </w:rPr>
        <w:t>s</w:t>
      </w:r>
      <w:r w:rsidR="00970BC7" w:rsidRPr="00EA6DD7">
        <w:rPr>
          <w:lang w:val="en"/>
        </w:rPr>
        <w:t>ection</w:t>
      </w:r>
      <w:r w:rsidRPr="00EA6DD7">
        <w:rPr>
          <w:lang w:val="en"/>
        </w:rPr>
        <w:t xml:space="preserve"> </w:t>
      </w:r>
      <w:r w:rsidR="008665CF" w:rsidRPr="00EA6DD7">
        <w:rPr>
          <w:lang w:val="en"/>
        </w:rPr>
        <w:t xml:space="preserve">298 of the new Act </w:t>
      </w:r>
      <w:r w:rsidR="00AC1522" w:rsidRPr="00EA6DD7">
        <w:rPr>
          <w:lang w:val="en"/>
        </w:rPr>
        <w:t xml:space="preserve">provide the </w:t>
      </w:r>
      <w:r w:rsidR="003E0B9A" w:rsidRPr="00EA6DD7">
        <w:rPr>
          <w:lang w:val="en"/>
        </w:rPr>
        <w:t xml:space="preserve">conditions a provider must </w:t>
      </w:r>
      <w:r w:rsidR="00D019E9" w:rsidRPr="00EA6DD7">
        <w:rPr>
          <w:lang w:val="en"/>
        </w:rPr>
        <w:t xml:space="preserve">follow in relation to charging </w:t>
      </w:r>
      <w:r w:rsidR="00970BC7" w:rsidRPr="00EA6DD7">
        <w:rPr>
          <w:lang w:val="en"/>
        </w:rPr>
        <w:t>accommodation</w:t>
      </w:r>
      <w:r w:rsidR="00D019E9" w:rsidRPr="00EA6DD7">
        <w:rPr>
          <w:lang w:val="en"/>
        </w:rPr>
        <w:t xml:space="preserve"> contributions.</w:t>
      </w:r>
    </w:p>
    <w:p w14:paraId="199C7E6D" w14:textId="3580F39D" w:rsidR="00331D82" w:rsidRPr="00EA6DD7" w:rsidRDefault="00A375E7" w:rsidP="00EA6DD7">
      <w:pPr>
        <w:rPr>
          <w:lang w:val="en"/>
        </w:rPr>
      </w:pPr>
      <w:r w:rsidRPr="00EA6DD7">
        <w:rPr>
          <w:lang w:val="en"/>
        </w:rPr>
        <w:t xml:space="preserve">In assessing compliance with </w:t>
      </w:r>
      <w:r w:rsidR="000113B9" w:rsidRPr="00EA6DD7">
        <w:rPr>
          <w:lang w:val="en"/>
        </w:rPr>
        <w:t>accommodation</w:t>
      </w:r>
      <w:r w:rsidRPr="00EA6DD7">
        <w:rPr>
          <w:lang w:val="en"/>
        </w:rPr>
        <w:t xml:space="preserve"> contributions</w:t>
      </w:r>
      <w:r w:rsidR="00F62BA2" w:rsidRPr="00EA6DD7">
        <w:rPr>
          <w:lang w:val="en"/>
        </w:rPr>
        <w:t xml:space="preserve">, it is expected that </w:t>
      </w:r>
      <w:r w:rsidR="00331D82" w:rsidRPr="00EA6DD7">
        <w:rPr>
          <w:lang w:val="en"/>
        </w:rPr>
        <w:t>auditors would have regards to whether</w:t>
      </w:r>
      <w:r w:rsidR="001054B8" w:rsidRPr="00EA6DD7">
        <w:rPr>
          <w:lang w:val="en"/>
        </w:rPr>
        <w:t xml:space="preserve"> t</w:t>
      </w:r>
      <w:r w:rsidR="00A213AC" w:rsidRPr="00EA6DD7">
        <w:rPr>
          <w:lang w:val="en"/>
        </w:rPr>
        <w:t>he provider has</w:t>
      </w:r>
      <w:r w:rsidR="001054B8" w:rsidRPr="00EA6DD7">
        <w:rPr>
          <w:lang w:val="en"/>
        </w:rPr>
        <w:t xml:space="preserve"> </w:t>
      </w:r>
      <w:r w:rsidR="000113B9" w:rsidRPr="00EA6DD7">
        <w:rPr>
          <w:lang w:val="en"/>
        </w:rPr>
        <w:t>effective processes</w:t>
      </w:r>
      <w:r w:rsidR="00A213AC" w:rsidRPr="00EA6DD7">
        <w:rPr>
          <w:lang w:val="en"/>
        </w:rPr>
        <w:t xml:space="preserve"> in place to </w:t>
      </w:r>
      <w:r w:rsidR="002B1CE7" w:rsidRPr="00EA6DD7">
        <w:rPr>
          <w:lang w:val="en"/>
        </w:rPr>
        <w:t>ensure:</w:t>
      </w:r>
    </w:p>
    <w:p w14:paraId="42F5158C" w14:textId="00367D73" w:rsidR="002B1CE7" w:rsidRPr="005567A0" w:rsidRDefault="00501647" w:rsidP="00EA6DD7">
      <w:pPr>
        <w:pStyle w:val="ListBullet"/>
      </w:pPr>
      <w:r w:rsidRPr="005567A0">
        <w:t>a</w:t>
      </w:r>
      <w:r w:rsidR="007820C5" w:rsidRPr="005567A0">
        <w:t xml:space="preserve">ccommodation </w:t>
      </w:r>
      <w:r w:rsidR="007E2660" w:rsidRPr="005567A0">
        <w:t>contributions</w:t>
      </w:r>
      <w:r w:rsidR="00063F6B" w:rsidRPr="005567A0">
        <w:t xml:space="preserve"> charged to residents do not exceed </w:t>
      </w:r>
      <w:r w:rsidR="008F667D" w:rsidRPr="005567A0">
        <w:t>the lower of:</w:t>
      </w:r>
    </w:p>
    <w:p w14:paraId="01651D82" w14:textId="2580E42D" w:rsidR="008F667D" w:rsidRPr="005567A0" w:rsidRDefault="001342F7" w:rsidP="00EA6DD7">
      <w:pPr>
        <w:pStyle w:val="ListBullet2"/>
      </w:pPr>
      <w:r w:rsidRPr="005567A0">
        <w:t>t</w:t>
      </w:r>
      <w:r w:rsidR="00BF3B26" w:rsidRPr="005567A0">
        <w:t>he resident’s means-</w:t>
      </w:r>
      <w:r w:rsidR="004D41E5" w:rsidRPr="005567A0">
        <w:t>tested accommodation contribution amount</w:t>
      </w:r>
    </w:p>
    <w:p w14:paraId="6B13BB27" w14:textId="546CA693" w:rsidR="004D41E5" w:rsidRDefault="001342F7" w:rsidP="00EA6DD7">
      <w:pPr>
        <w:pStyle w:val="ListBullet2"/>
      </w:pPr>
      <w:r w:rsidRPr="005567A0">
        <w:t>t</w:t>
      </w:r>
      <w:r w:rsidR="00466839" w:rsidRPr="005567A0">
        <w:t xml:space="preserve">he accommodation </w:t>
      </w:r>
      <w:r w:rsidR="000113B9" w:rsidRPr="005567A0">
        <w:t xml:space="preserve">supplement </w:t>
      </w:r>
      <w:r w:rsidR="00466839" w:rsidRPr="005567A0">
        <w:t>applicable to the aged care home</w:t>
      </w:r>
    </w:p>
    <w:p w14:paraId="10AF3D8B" w14:textId="2778839A" w:rsidR="00466839" w:rsidRPr="005567A0" w:rsidRDefault="001342F7" w:rsidP="00EA6DD7">
      <w:pPr>
        <w:pStyle w:val="ListBullet2"/>
      </w:pPr>
      <w:r w:rsidRPr="005567A0">
        <w:t>the agreed room price</w:t>
      </w:r>
      <w:r w:rsidR="000964F4" w:rsidRPr="000964F4">
        <w:t xml:space="preserve"> </w:t>
      </w:r>
      <w:r w:rsidR="000964F4" w:rsidRPr="005567A0">
        <w:t xml:space="preserve">expressed as a daily </w:t>
      </w:r>
      <w:r w:rsidR="000964F4">
        <w:t>rate (DAP)</w:t>
      </w:r>
      <w:r w:rsidR="00D37429" w:rsidRPr="005567A0">
        <w:rPr>
          <w:rStyle w:val="FootnoteReference"/>
          <w:color w:val="111111"/>
          <w:szCs w:val="24"/>
          <w:lang w:val="en" w:eastAsia="en-AU"/>
        </w:rPr>
        <w:footnoteReference w:id="24"/>
      </w:r>
    </w:p>
    <w:p w14:paraId="4B5BE53D" w14:textId="41B151EC" w:rsidR="00501647" w:rsidRPr="005567A0" w:rsidRDefault="00113B44" w:rsidP="00EA6DD7">
      <w:pPr>
        <w:pStyle w:val="ListBullet"/>
      </w:pPr>
      <w:r w:rsidRPr="005567A0">
        <w:t>accommo</w:t>
      </w:r>
      <w:r w:rsidR="00E12246" w:rsidRPr="005567A0">
        <w:t>dation contribution amount</w:t>
      </w:r>
      <w:r w:rsidR="00FD6B76" w:rsidRPr="005567A0">
        <w:t xml:space="preserve">s are updated from the correct effective date </w:t>
      </w:r>
      <w:r w:rsidR="008960B4" w:rsidRPr="005567A0">
        <w:t>following notification of a</w:t>
      </w:r>
      <w:r w:rsidR="00D46D5A" w:rsidRPr="005567A0">
        <w:t>n updated means assessed amount</w:t>
      </w:r>
    </w:p>
    <w:p w14:paraId="1BB82DD1" w14:textId="50704326" w:rsidR="005974CF" w:rsidRPr="005567A0" w:rsidRDefault="005974CF" w:rsidP="00EA6DD7">
      <w:pPr>
        <w:pStyle w:val="ListBullet"/>
      </w:pPr>
      <w:r w:rsidRPr="005567A0">
        <w:t xml:space="preserve">accommodation contribution amounts are updated where the aged care home does not meet the 40% supported resident ratio in a calendar </w:t>
      </w:r>
      <w:proofErr w:type="gramStart"/>
      <w:r w:rsidRPr="005567A0">
        <w:t>month as a whole, and</w:t>
      </w:r>
      <w:proofErr w:type="gramEnd"/>
      <w:r w:rsidRPr="005567A0">
        <w:t xml:space="preserve"> the accommodation supplement is the lower of the contribution amounts</w:t>
      </w:r>
    </w:p>
    <w:p w14:paraId="392E0C4C" w14:textId="5E4A801B" w:rsidR="00700012" w:rsidRPr="005567A0" w:rsidRDefault="00700012" w:rsidP="00EA6DD7">
      <w:pPr>
        <w:pStyle w:val="ListBullet"/>
      </w:pPr>
      <w:r w:rsidRPr="005567A0">
        <w:t>an</w:t>
      </w:r>
      <w:r w:rsidR="00021BBC" w:rsidRPr="005567A0">
        <w:t>y</w:t>
      </w:r>
      <w:r w:rsidRPr="005567A0">
        <w:t xml:space="preserve"> refundable accommodation </w:t>
      </w:r>
      <w:r w:rsidR="00882836" w:rsidRPr="005567A0">
        <w:t>contribution</w:t>
      </w:r>
      <w:r w:rsidR="00635899" w:rsidRPr="005567A0">
        <w:t>s</w:t>
      </w:r>
      <w:r w:rsidR="002F2BA7" w:rsidRPr="005567A0">
        <w:t xml:space="preserve"> (RAC) </w:t>
      </w:r>
      <w:r w:rsidRPr="005567A0">
        <w:t>held</w:t>
      </w:r>
      <w:r w:rsidR="007C5664" w:rsidRPr="005567A0">
        <w:t xml:space="preserve"> </w:t>
      </w:r>
      <w:r w:rsidR="003A08D2" w:rsidRPr="005567A0">
        <w:t>reflects</w:t>
      </w:r>
      <w:r w:rsidR="007C5664" w:rsidRPr="005567A0">
        <w:t xml:space="preserve"> the current </w:t>
      </w:r>
      <w:r w:rsidR="00021BBC" w:rsidRPr="005567A0">
        <w:t>contribution amount</w:t>
      </w:r>
      <w:r w:rsidR="00C87863" w:rsidRPr="005567A0">
        <w:t xml:space="preserve">, including when </w:t>
      </w:r>
      <w:r w:rsidR="00A074BD" w:rsidRPr="005567A0">
        <w:t xml:space="preserve">adjusted </w:t>
      </w:r>
      <w:proofErr w:type="gramStart"/>
      <w:r w:rsidR="00A074BD" w:rsidRPr="005567A0">
        <w:t>as a result of</w:t>
      </w:r>
      <w:proofErr w:type="gramEnd"/>
      <w:r w:rsidR="00A074BD" w:rsidRPr="005567A0">
        <w:t xml:space="preserve"> an </w:t>
      </w:r>
      <w:r w:rsidR="00A16A6F" w:rsidRPr="005567A0">
        <w:t>updated means assessment or change to supported resident ratio</w:t>
      </w:r>
    </w:p>
    <w:p w14:paraId="3EDCAB56" w14:textId="1673D26B" w:rsidR="001A6873" w:rsidRPr="005567A0" w:rsidRDefault="001A6873" w:rsidP="00EA6DD7">
      <w:pPr>
        <w:pStyle w:val="ListBullet"/>
      </w:pPr>
      <w:r w:rsidRPr="005567A0">
        <w:t xml:space="preserve">where a part RAC is held, </w:t>
      </w:r>
      <w:r w:rsidR="00D5769A" w:rsidRPr="005567A0">
        <w:t xml:space="preserve">the provider correctly calculates the </w:t>
      </w:r>
      <w:r w:rsidR="009049DF" w:rsidRPr="005567A0">
        <w:t xml:space="preserve">DAC </w:t>
      </w:r>
      <w:r w:rsidR="00CA711B" w:rsidRPr="005567A0">
        <w:t>component</w:t>
      </w:r>
    </w:p>
    <w:p w14:paraId="27B3C309" w14:textId="69DFF89B" w:rsidR="00635899" w:rsidRPr="005567A0" w:rsidRDefault="00635899" w:rsidP="00EA6DD7">
      <w:pPr>
        <w:pStyle w:val="ListBullet"/>
      </w:pPr>
      <w:r w:rsidRPr="005567A0">
        <w:t>where an adjustment to the accommodation contribution amount results in an overpaid contribution amount (DAC or RAC), that the overpaid amount is refunded to the individual within 28 days of the day when the provider becomes aware of the overpaid amount</w:t>
      </w:r>
      <w:r w:rsidR="007E08C4" w:rsidRPr="005567A0">
        <w:t>.</w:t>
      </w:r>
    </w:p>
    <w:p w14:paraId="170EC076" w14:textId="42E9EB62" w:rsidR="00BB314C" w:rsidRPr="004C23B3" w:rsidRDefault="001B7BB1" w:rsidP="004C23B3">
      <w:pPr>
        <w:pStyle w:val="Heading3"/>
      </w:pPr>
      <w:r w:rsidRPr="004C23B3">
        <w:t>Retentio</w:t>
      </w:r>
      <w:r w:rsidR="001D0105" w:rsidRPr="004C23B3">
        <w:t>n amounts</w:t>
      </w:r>
    </w:p>
    <w:p w14:paraId="7F57600D" w14:textId="52E02A91" w:rsidR="0096604D" w:rsidRPr="005567A0" w:rsidRDefault="0096604D" w:rsidP="005567A0">
      <w:pPr>
        <w:spacing w:before="0"/>
        <w:rPr>
          <w:rFonts w:asciiTheme="minorHAnsi" w:hAnsiTheme="minorHAnsi" w:cstheme="minorHAnsi"/>
          <w:color w:val="111111"/>
          <w:szCs w:val="24"/>
          <w:lang w:val="en" w:eastAsia="en-AU"/>
        </w:rPr>
      </w:pPr>
      <w:r w:rsidRPr="005567A0">
        <w:rPr>
          <w:rFonts w:asciiTheme="minorHAnsi" w:hAnsiTheme="minorHAnsi" w:cstheme="minorHAnsi"/>
          <w:color w:val="111111"/>
          <w:szCs w:val="24"/>
          <w:lang w:val="en" w:eastAsia="en-AU"/>
        </w:rPr>
        <w:t xml:space="preserve">Section </w:t>
      </w:r>
      <w:r w:rsidR="00761E33" w:rsidRPr="005567A0">
        <w:rPr>
          <w:rFonts w:asciiTheme="minorHAnsi" w:hAnsiTheme="minorHAnsi" w:cstheme="minorHAnsi"/>
          <w:color w:val="111111"/>
          <w:szCs w:val="24"/>
          <w:lang w:val="en" w:eastAsia="en-AU"/>
        </w:rPr>
        <w:t xml:space="preserve">308 of the new Act introduced </w:t>
      </w:r>
      <w:r w:rsidR="000454C6" w:rsidRPr="005567A0">
        <w:rPr>
          <w:rFonts w:asciiTheme="minorHAnsi" w:hAnsiTheme="minorHAnsi" w:cstheme="minorHAnsi"/>
          <w:color w:val="111111"/>
          <w:szCs w:val="24"/>
          <w:lang w:val="en" w:eastAsia="en-AU"/>
        </w:rPr>
        <w:t xml:space="preserve">a requirement for providers to </w:t>
      </w:r>
      <w:r w:rsidR="0040563A" w:rsidRPr="005567A0">
        <w:rPr>
          <w:rFonts w:asciiTheme="minorHAnsi" w:hAnsiTheme="minorHAnsi" w:cstheme="minorHAnsi"/>
          <w:color w:val="111111"/>
          <w:szCs w:val="24"/>
          <w:lang w:val="en" w:eastAsia="en-AU"/>
        </w:rPr>
        <w:t xml:space="preserve">deduct </w:t>
      </w:r>
      <w:r w:rsidR="002D6357" w:rsidRPr="00A46299">
        <w:rPr>
          <w:rFonts w:asciiTheme="minorHAnsi" w:hAnsiTheme="minorHAnsi" w:cstheme="minorHAnsi"/>
          <w:color w:val="111111"/>
          <w:szCs w:val="24"/>
          <w:lang w:val="en" w:eastAsia="en-AU"/>
        </w:rPr>
        <w:t>retention</w:t>
      </w:r>
      <w:r w:rsidR="0040563A" w:rsidRPr="005567A0">
        <w:rPr>
          <w:rFonts w:asciiTheme="minorHAnsi" w:hAnsiTheme="minorHAnsi" w:cstheme="minorHAnsi"/>
          <w:color w:val="111111"/>
          <w:szCs w:val="24"/>
          <w:lang w:val="en" w:eastAsia="en-AU"/>
        </w:rPr>
        <w:t xml:space="preserve"> </w:t>
      </w:r>
      <w:r w:rsidR="00AD7F19" w:rsidRPr="00A46299">
        <w:rPr>
          <w:rFonts w:asciiTheme="minorHAnsi" w:hAnsiTheme="minorHAnsi" w:cstheme="minorHAnsi"/>
          <w:color w:val="111111"/>
          <w:szCs w:val="24"/>
          <w:lang w:val="en" w:eastAsia="en-AU"/>
        </w:rPr>
        <w:t>amounts</w:t>
      </w:r>
      <w:r w:rsidR="0040563A" w:rsidRPr="005567A0">
        <w:rPr>
          <w:rFonts w:asciiTheme="minorHAnsi" w:hAnsiTheme="minorHAnsi" w:cstheme="minorHAnsi"/>
          <w:color w:val="111111"/>
          <w:szCs w:val="24"/>
          <w:lang w:val="en" w:eastAsia="en-AU"/>
        </w:rPr>
        <w:t xml:space="preserve"> from an individual’s </w:t>
      </w:r>
      <w:r w:rsidR="00162F83" w:rsidRPr="005567A0">
        <w:rPr>
          <w:rFonts w:asciiTheme="minorHAnsi" w:hAnsiTheme="minorHAnsi" w:cstheme="minorHAnsi"/>
          <w:color w:val="111111"/>
          <w:szCs w:val="24"/>
          <w:lang w:val="en" w:eastAsia="en-AU"/>
        </w:rPr>
        <w:t>refundable deposit balance</w:t>
      </w:r>
      <w:r w:rsidR="006A57CF" w:rsidRPr="005567A0">
        <w:rPr>
          <w:rFonts w:asciiTheme="minorHAnsi" w:hAnsiTheme="minorHAnsi" w:cstheme="minorHAnsi"/>
          <w:color w:val="111111"/>
          <w:szCs w:val="24"/>
          <w:lang w:val="en" w:eastAsia="en-AU"/>
        </w:rPr>
        <w:t>, both RADs and RACs.</w:t>
      </w:r>
    </w:p>
    <w:p w14:paraId="642039BB" w14:textId="72F5CB7E" w:rsidR="006A57CF" w:rsidRPr="00AC1ECB" w:rsidRDefault="00DF682D" w:rsidP="6BCCB64D">
      <w:pPr>
        <w:rPr>
          <w:rFonts w:asciiTheme="minorHAnsi" w:hAnsiTheme="minorHAnsi"/>
          <w:color w:val="111111"/>
          <w:lang w:val="en-US" w:eastAsia="en-AU"/>
        </w:rPr>
      </w:pPr>
      <w:r w:rsidRPr="005567A0">
        <w:rPr>
          <w:rFonts w:asciiTheme="minorHAnsi" w:hAnsiTheme="minorHAnsi"/>
          <w:color w:val="111111"/>
          <w:lang w:val="en-US" w:eastAsia="en-AU"/>
        </w:rPr>
        <w:t xml:space="preserve">In assessing compliance with accommodation </w:t>
      </w:r>
      <w:r w:rsidR="00E6201F" w:rsidRPr="6BCCB64D">
        <w:rPr>
          <w:rFonts w:asciiTheme="minorHAnsi" w:hAnsiTheme="minorHAnsi"/>
          <w:color w:val="111111"/>
          <w:lang w:val="en-US" w:eastAsia="en-AU"/>
        </w:rPr>
        <w:t>contributions,</w:t>
      </w:r>
      <w:r w:rsidR="0071051F" w:rsidRPr="005567A0">
        <w:rPr>
          <w:rFonts w:asciiTheme="minorHAnsi" w:hAnsiTheme="minorHAnsi"/>
          <w:color w:val="111111"/>
          <w:lang w:val="en-US" w:eastAsia="en-AU"/>
        </w:rPr>
        <w:t xml:space="preserve"> it is expected that auditors will </w:t>
      </w:r>
      <w:r w:rsidR="00BD5520" w:rsidRPr="005567A0">
        <w:rPr>
          <w:rFonts w:asciiTheme="minorHAnsi" w:hAnsiTheme="minorHAnsi"/>
          <w:color w:val="111111"/>
          <w:lang w:val="en-US" w:eastAsia="en-AU"/>
        </w:rPr>
        <w:t xml:space="preserve">verify that </w:t>
      </w:r>
      <w:r w:rsidR="00E6201F" w:rsidRPr="6BCCB64D">
        <w:rPr>
          <w:rFonts w:asciiTheme="minorHAnsi" w:hAnsiTheme="minorHAnsi"/>
          <w:color w:val="111111"/>
          <w:lang w:val="en-US" w:eastAsia="en-AU"/>
        </w:rPr>
        <w:t>retention</w:t>
      </w:r>
      <w:r w:rsidR="00A8358D" w:rsidRPr="005567A0">
        <w:rPr>
          <w:rFonts w:asciiTheme="minorHAnsi" w:hAnsiTheme="minorHAnsi"/>
          <w:color w:val="111111"/>
          <w:lang w:val="en-US" w:eastAsia="en-AU"/>
        </w:rPr>
        <w:t xml:space="preserve"> amounts have been </w:t>
      </w:r>
      <w:r w:rsidR="00E8348A" w:rsidRPr="005567A0">
        <w:rPr>
          <w:rFonts w:asciiTheme="minorHAnsi" w:hAnsiTheme="minorHAnsi"/>
          <w:color w:val="111111"/>
          <w:lang w:val="en-US" w:eastAsia="en-AU"/>
        </w:rPr>
        <w:t xml:space="preserve">correctly </w:t>
      </w:r>
      <w:r w:rsidR="001B2AFE" w:rsidRPr="005567A0">
        <w:rPr>
          <w:rFonts w:asciiTheme="minorHAnsi" w:hAnsiTheme="minorHAnsi"/>
          <w:color w:val="111111"/>
          <w:lang w:val="en-US" w:eastAsia="en-AU"/>
        </w:rPr>
        <w:t>calculated, deducted and recorded</w:t>
      </w:r>
      <w:r w:rsidR="00AD7F19" w:rsidRPr="6BCCB64D">
        <w:rPr>
          <w:rFonts w:asciiTheme="minorHAnsi" w:hAnsiTheme="minorHAnsi"/>
          <w:color w:val="111111"/>
          <w:lang w:val="en-US" w:eastAsia="en-AU"/>
        </w:rPr>
        <w:t xml:space="preserve">, </w:t>
      </w:r>
      <w:r w:rsidR="008973F8" w:rsidRPr="6BCCB64D">
        <w:rPr>
          <w:rFonts w:asciiTheme="minorHAnsi" w:hAnsiTheme="minorHAnsi"/>
          <w:color w:val="111111"/>
          <w:lang w:val="en-US" w:eastAsia="en-AU"/>
        </w:rPr>
        <w:t>to ensure</w:t>
      </w:r>
      <w:r w:rsidR="00563BC6" w:rsidRPr="6BCCB64D">
        <w:rPr>
          <w:rFonts w:asciiTheme="minorHAnsi" w:hAnsiTheme="minorHAnsi"/>
          <w:color w:val="111111"/>
          <w:lang w:val="en-US" w:eastAsia="en-AU"/>
        </w:rPr>
        <w:t xml:space="preserve"> retention amounts are</w:t>
      </w:r>
      <w:r w:rsidR="00AD7F19" w:rsidRPr="6BCCB64D">
        <w:rPr>
          <w:rFonts w:asciiTheme="minorHAnsi" w:hAnsiTheme="minorHAnsi"/>
          <w:color w:val="111111"/>
          <w:lang w:val="en-US" w:eastAsia="en-AU"/>
        </w:rPr>
        <w:t>:</w:t>
      </w:r>
    </w:p>
    <w:p w14:paraId="465160E1" w14:textId="7A3716C4" w:rsidR="00622CD9" w:rsidRPr="005567A0" w:rsidRDefault="004A33C5" w:rsidP="00EA6DD7">
      <w:pPr>
        <w:pStyle w:val="ListBullet"/>
        <w:rPr>
          <w:lang w:val="en-US" w:eastAsia="en-AU"/>
        </w:rPr>
      </w:pPr>
      <w:r w:rsidRPr="005567A0">
        <w:rPr>
          <w:lang w:val="en-US" w:eastAsia="en-AU"/>
        </w:rPr>
        <w:t>c</w:t>
      </w:r>
      <w:r w:rsidR="007D6220" w:rsidRPr="005567A0">
        <w:rPr>
          <w:lang w:val="en-US" w:eastAsia="en-AU"/>
        </w:rPr>
        <w:t>alculated at a rate of 2% per annu</w:t>
      </w:r>
      <w:r w:rsidR="00074049" w:rsidRPr="005567A0">
        <w:rPr>
          <w:lang w:val="en-US" w:eastAsia="en-AU"/>
        </w:rPr>
        <w:t xml:space="preserve">m </w:t>
      </w:r>
      <w:proofErr w:type="gramStart"/>
      <w:r w:rsidR="001840FE" w:rsidRPr="005567A0">
        <w:rPr>
          <w:lang w:val="en-US" w:eastAsia="en-AU"/>
        </w:rPr>
        <w:t>on a daily basis</w:t>
      </w:r>
      <w:proofErr w:type="gramEnd"/>
    </w:p>
    <w:p w14:paraId="07607DB6" w14:textId="5527AAF5" w:rsidR="001840FE" w:rsidRPr="005567A0" w:rsidRDefault="002C020B" w:rsidP="00EA6DD7">
      <w:pPr>
        <w:pStyle w:val="ListBullet"/>
        <w:rPr>
          <w:lang w:val="en-US" w:eastAsia="en-AU"/>
        </w:rPr>
      </w:pPr>
      <w:r w:rsidRPr="005567A0">
        <w:rPr>
          <w:lang w:val="en-US" w:eastAsia="en-AU"/>
        </w:rPr>
        <w:t xml:space="preserve">calculated on the current refundable deposit balance, considering any deductions </w:t>
      </w:r>
      <w:r w:rsidR="00B92EEF" w:rsidRPr="005567A0">
        <w:rPr>
          <w:lang w:val="en-US" w:eastAsia="en-AU"/>
        </w:rPr>
        <w:t xml:space="preserve">or top ups. </w:t>
      </w:r>
      <w:r w:rsidR="00D04B01" w:rsidRPr="005567A0">
        <w:rPr>
          <w:lang w:val="en-US" w:eastAsia="en-AU"/>
        </w:rPr>
        <w:t xml:space="preserve">Including changes in the balance </w:t>
      </w:r>
      <w:proofErr w:type="gramStart"/>
      <w:r w:rsidR="00D04B01" w:rsidRPr="005567A0">
        <w:rPr>
          <w:lang w:val="en-US" w:eastAsia="en-AU"/>
        </w:rPr>
        <w:t>as a result of</w:t>
      </w:r>
      <w:proofErr w:type="gramEnd"/>
      <w:r w:rsidR="00D04B01" w:rsidRPr="005567A0">
        <w:rPr>
          <w:lang w:val="en-US" w:eastAsia="en-AU"/>
        </w:rPr>
        <w:t xml:space="preserve"> </w:t>
      </w:r>
      <w:r w:rsidR="008B51BF" w:rsidRPr="005567A0">
        <w:rPr>
          <w:lang w:val="en-US" w:eastAsia="en-AU"/>
        </w:rPr>
        <w:t xml:space="preserve">retentions and other </w:t>
      </w:r>
      <w:proofErr w:type="gramStart"/>
      <w:r w:rsidR="00476216" w:rsidRPr="005567A0">
        <w:rPr>
          <w:lang w:val="en-US" w:eastAsia="en-AU"/>
        </w:rPr>
        <w:t>deductions</w:t>
      </w:r>
      <w:proofErr w:type="gramEnd"/>
    </w:p>
    <w:p w14:paraId="54A5F778" w14:textId="3D3B8B10" w:rsidR="00563BC6" w:rsidRPr="005567A0" w:rsidRDefault="00622CD9" w:rsidP="00EA6DD7">
      <w:pPr>
        <w:pStyle w:val="ListBullet"/>
        <w:rPr>
          <w:szCs w:val="24"/>
          <w:lang w:val="en" w:eastAsia="en-AU"/>
        </w:rPr>
      </w:pPr>
      <w:r w:rsidRPr="005567A0">
        <w:rPr>
          <w:szCs w:val="24"/>
          <w:lang w:val="en" w:eastAsia="en-AU"/>
        </w:rPr>
        <w:t>o</w:t>
      </w:r>
      <w:r w:rsidR="00046BB5" w:rsidRPr="005567A0">
        <w:rPr>
          <w:szCs w:val="24"/>
          <w:lang w:val="en" w:eastAsia="en-AU"/>
        </w:rPr>
        <w:t xml:space="preserve">nly deducted from </w:t>
      </w:r>
      <w:r w:rsidR="002C020B" w:rsidRPr="005567A0">
        <w:rPr>
          <w:szCs w:val="24"/>
          <w:lang w:val="en" w:eastAsia="en-AU"/>
        </w:rPr>
        <w:t>residents’</w:t>
      </w:r>
      <w:r w:rsidRPr="005567A0">
        <w:rPr>
          <w:szCs w:val="24"/>
          <w:lang w:val="en" w:eastAsia="en-AU"/>
        </w:rPr>
        <w:t xml:space="preserve"> refundable deposits</w:t>
      </w:r>
      <w:r w:rsidR="00046BB5" w:rsidRPr="005567A0">
        <w:rPr>
          <w:szCs w:val="24"/>
          <w:lang w:val="en" w:eastAsia="en-AU"/>
        </w:rPr>
        <w:t xml:space="preserve"> who are on the 1 November 2025 accommodation arrangements</w:t>
      </w:r>
    </w:p>
    <w:p w14:paraId="7BB57D94" w14:textId="38D5808E" w:rsidR="00563BC6" w:rsidRPr="005567A0" w:rsidRDefault="00324D0C" w:rsidP="00EA6DD7">
      <w:pPr>
        <w:pStyle w:val="ListBullet"/>
        <w:rPr>
          <w:szCs w:val="24"/>
          <w:lang w:val="en" w:eastAsia="en-AU"/>
        </w:rPr>
      </w:pPr>
      <w:r w:rsidRPr="005567A0">
        <w:rPr>
          <w:szCs w:val="24"/>
          <w:lang w:val="en" w:eastAsia="en-AU"/>
        </w:rPr>
        <w:t xml:space="preserve">deducted </w:t>
      </w:r>
      <w:r w:rsidR="00476216" w:rsidRPr="005567A0">
        <w:rPr>
          <w:szCs w:val="24"/>
          <w:lang w:val="en" w:eastAsia="en-AU"/>
        </w:rPr>
        <w:t>no</w:t>
      </w:r>
      <w:r w:rsidR="00BA5E05" w:rsidRPr="005567A0">
        <w:rPr>
          <w:szCs w:val="24"/>
          <w:lang w:val="en" w:eastAsia="en-AU"/>
        </w:rPr>
        <w:t xml:space="preserve"> more than once a month</w:t>
      </w:r>
      <w:r w:rsidRPr="005567A0">
        <w:rPr>
          <w:szCs w:val="24"/>
          <w:lang w:val="en" w:eastAsia="en-AU"/>
        </w:rPr>
        <w:t xml:space="preserve"> and at least once in each 3</w:t>
      </w:r>
      <w:r w:rsidRPr="005567A0">
        <w:rPr>
          <w:szCs w:val="24"/>
          <w:lang w:val="en" w:eastAsia="en-AU"/>
        </w:rPr>
        <w:noBreakHyphen/>
        <w:t>month period</w:t>
      </w:r>
    </w:p>
    <w:p w14:paraId="460B4025" w14:textId="02905E5A" w:rsidR="00252AFC" w:rsidRPr="005567A0" w:rsidRDefault="0012412F" w:rsidP="005567A0">
      <w:pPr>
        <w:pStyle w:val="ListParagraph"/>
        <w:numPr>
          <w:ilvl w:val="0"/>
          <w:numId w:val="42"/>
        </w:numPr>
        <w:rPr>
          <w:rFonts w:asciiTheme="minorHAnsi" w:eastAsia="Times New Roman" w:hAnsiTheme="minorHAnsi"/>
          <w:color w:val="111111"/>
          <w:lang w:val="en-US" w:eastAsia="en-AU"/>
        </w:rPr>
      </w:pPr>
      <w:r w:rsidRPr="005567A0">
        <w:rPr>
          <w:rFonts w:asciiTheme="minorHAnsi" w:eastAsia="Times New Roman" w:hAnsiTheme="minorHAnsi"/>
          <w:color w:val="111111"/>
          <w:lang w:val="en-US" w:eastAsia="en-AU"/>
        </w:rPr>
        <w:t xml:space="preserve">not charged after </w:t>
      </w:r>
      <w:r w:rsidR="0084240A" w:rsidRPr="005567A0">
        <w:rPr>
          <w:rFonts w:asciiTheme="minorHAnsi" w:eastAsia="Times New Roman" w:hAnsiTheme="minorHAnsi"/>
          <w:color w:val="111111"/>
          <w:lang w:val="en-US" w:eastAsia="en-AU"/>
        </w:rPr>
        <w:t xml:space="preserve">a resident </w:t>
      </w:r>
      <w:r w:rsidR="000F1FB6" w:rsidRPr="005567A0">
        <w:rPr>
          <w:rFonts w:asciiTheme="minorHAnsi" w:eastAsia="Times New Roman" w:hAnsiTheme="minorHAnsi"/>
          <w:color w:val="111111"/>
          <w:lang w:val="en-US" w:eastAsia="en-AU"/>
        </w:rPr>
        <w:t xml:space="preserve">has permanently </w:t>
      </w:r>
      <w:r w:rsidRPr="005567A0">
        <w:rPr>
          <w:rFonts w:asciiTheme="minorHAnsi" w:eastAsia="Times New Roman" w:hAnsiTheme="minorHAnsi"/>
          <w:color w:val="111111"/>
          <w:lang w:val="en-US" w:eastAsia="en-AU"/>
        </w:rPr>
        <w:t>left</w:t>
      </w:r>
      <w:r w:rsidR="00382EA9" w:rsidRPr="005567A0">
        <w:rPr>
          <w:rFonts w:asciiTheme="minorHAnsi" w:eastAsia="Times New Roman" w:hAnsiTheme="minorHAnsi"/>
          <w:color w:val="111111"/>
          <w:lang w:val="en-US" w:eastAsia="en-AU"/>
        </w:rPr>
        <w:t xml:space="preserve"> care</w:t>
      </w:r>
      <w:r w:rsidR="000F1FB6" w:rsidRPr="005567A0">
        <w:rPr>
          <w:rFonts w:asciiTheme="minorHAnsi" w:eastAsia="Times New Roman" w:hAnsiTheme="minorHAnsi"/>
          <w:color w:val="111111"/>
          <w:lang w:val="en-US" w:eastAsia="en-AU"/>
        </w:rPr>
        <w:t xml:space="preserve">, </w:t>
      </w:r>
      <w:r w:rsidR="00F836AD" w:rsidRPr="005567A0">
        <w:rPr>
          <w:rFonts w:asciiTheme="minorHAnsi" w:eastAsia="Times New Roman" w:hAnsiTheme="minorHAnsi"/>
          <w:color w:val="111111"/>
          <w:lang w:val="en-US" w:eastAsia="en-AU"/>
        </w:rPr>
        <w:t xml:space="preserve">including </w:t>
      </w:r>
      <w:r w:rsidR="009331C9" w:rsidRPr="005567A0">
        <w:rPr>
          <w:rFonts w:asciiTheme="minorHAnsi" w:eastAsia="Times New Roman" w:hAnsiTheme="minorHAnsi"/>
          <w:color w:val="111111"/>
          <w:lang w:val="en-US" w:eastAsia="en-AU"/>
        </w:rPr>
        <w:t xml:space="preserve">if </w:t>
      </w:r>
      <w:r w:rsidR="0073364D" w:rsidRPr="005567A0">
        <w:rPr>
          <w:rFonts w:asciiTheme="minorHAnsi" w:eastAsia="Times New Roman" w:hAnsiTheme="minorHAnsi"/>
          <w:color w:val="111111"/>
          <w:lang w:val="en-US" w:eastAsia="en-AU"/>
        </w:rPr>
        <w:t xml:space="preserve">their refundable deposit is </w:t>
      </w:r>
      <w:r w:rsidR="00AA2DAB" w:rsidRPr="005567A0">
        <w:rPr>
          <w:rFonts w:asciiTheme="minorHAnsi" w:eastAsia="Times New Roman" w:hAnsiTheme="minorHAnsi"/>
          <w:color w:val="111111"/>
          <w:lang w:val="en-US" w:eastAsia="en-AU"/>
        </w:rPr>
        <w:t>still being held by the</w:t>
      </w:r>
      <w:r w:rsidR="009331C9" w:rsidRPr="005567A0">
        <w:rPr>
          <w:rFonts w:asciiTheme="minorHAnsi" w:eastAsia="Times New Roman" w:hAnsiTheme="minorHAnsi"/>
          <w:color w:val="111111"/>
          <w:lang w:val="en-US" w:eastAsia="en-AU"/>
        </w:rPr>
        <w:t xml:space="preserve"> provider</w:t>
      </w:r>
      <w:r w:rsidR="00141F4D" w:rsidRPr="005567A0">
        <w:rPr>
          <w:rFonts w:asciiTheme="minorHAnsi" w:eastAsia="Times New Roman" w:hAnsiTheme="minorHAnsi"/>
          <w:color w:val="111111"/>
          <w:lang w:val="en-US" w:eastAsia="en-AU"/>
        </w:rPr>
        <w:t>.</w:t>
      </w:r>
      <w:r w:rsidR="009331C9" w:rsidRPr="005567A0">
        <w:rPr>
          <w:rFonts w:asciiTheme="minorHAnsi" w:eastAsia="Times New Roman" w:hAnsiTheme="minorHAnsi"/>
          <w:color w:val="111111"/>
          <w:lang w:val="en-US" w:eastAsia="en-AU"/>
        </w:rPr>
        <w:t xml:space="preserve"> </w:t>
      </w:r>
    </w:p>
    <w:p w14:paraId="1FC9529F" w14:textId="77777777" w:rsidR="00241B17" w:rsidRPr="005567A0" w:rsidRDefault="00241B17" w:rsidP="0087599B">
      <w:pPr>
        <w:pStyle w:val="Heading2"/>
        <w:rPr>
          <w:i/>
          <w:smallCaps/>
        </w:rPr>
      </w:pPr>
      <w:r w:rsidRPr="005567A0">
        <w:t>Assessing compliance with refunding obligations</w:t>
      </w:r>
    </w:p>
    <w:p w14:paraId="09735FED" w14:textId="77777777" w:rsidR="00241B17" w:rsidRPr="005567A0" w:rsidRDefault="00241B17" w:rsidP="00241B17">
      <w:pPr>
        <w:rPr>
          <w:rFonts w:asciiTheme="minorHAnsi" w:hAnsiTheme="minorHAnsi" w:cstheme="minorHAnsi"/>
          <w:szCs w:val="24"/>
        </w:rPr>
      </w:pPr>
      <w:r w:rsidRPr="005567A0">
        <w:rPr>
          <w:rFonts w:asciiTheme="minorHAnsi" w:hAnsiTheme="minorHAnsi" w:cstheme="minorHAnsi"/>
          <w:szCs w:val="24"/>
        </w:rPr>
        <w:t xml:space="preserve">The rules for refunding refundable deposits, bond and entry contribution balances are consistent across both legislative regimes. </w:t>
      </w:r>
    </w:p>
    <w:p w14:paraId="2A33C97C" w14:textId="081C9F0A" w:rsidR="00241B17" w:rsidRPr="00404A80" w:rsidRDefault="00241B17" w:rsidP="00241B17">
      <w:r w:rsidRPr="005567A0">
        <w:rPr>
          <w:rFonts w:asciiTheme="minorHAnsi" w:hAnsiTheme="minorHAnsi" w:cstheme="minorHAnsi"/>
          <w:szCs w:val="24"/>
        </w:rPr>
        <w:t xml:space="preserve">Section 52P-1 of the old Act and 311 of the new Act specify the timeframes within which refundable deposit and bond balances must be refunded. The refund of entry contribution balances must be made in accordance with the formal agreement between the provider and the resident. </w:t>
      </w:r>
    </w:p>
    <w:p w14:paraId="1FC57157" w14:textId="77777777" w:rsidR="00241B17" w:rsidRPr="003A094E" w:rsidRDefault="00241B17" w:rsidP="00404A80">
      <w:pPr>
        <w:keepNext/>
      </w:pPr>
      <w:r w:rsidRPr="005567A0">
        <w:rPr>
          <w:rFonts w:asciiTheme="minorHAnsi" w:hAnsiTheme="minorHAnsi" w:cstheme="minorHAnsi"/>
          <w:szCs w:val="24"/>
        </w:rPr>
        <w:t>Interest must be paid on outstanding refundable deposit or bond balances</w:t>
      </w:r>
      <w:r w:rsidRPr="005567A0">
        <w:rPr>
          <w:rStyle w:val="FootnoteReference"/>
          <w:rFonts w:asciiTheme="minorHAnsi" w:hAnsiTheme="minorHAnsi" w:cstheme="minorHAnsi"/>
          <w:szCs w:val="24"/>
        </w:rPr>
        <w:footnoteReference w:id="25"/>
      </w:r>
      <w:r w:rsidRPr="005567A0">
        <w:rPr>
          <w:rFonts w:asciiTheme="minorHAnsi" w:hAnsiTheme="minorHAnsi" w:cstheme="minorHAnsi"/>
          <w:szCs w:val="24"/>
        </w:rPr>
        <w:t>, being:</w:t>
      </w:r>
    </w:p>
    <w:tbl>
      <w:tblPr>
        <w:tblStyle w:val="TableGrid"/>
        <w:tblW w:w="0" w:type="auto"/>
        <w:tblLook w:val="01E0" w:firstRow="1" w:lastRow="1" w:firstColumn="1" w:lastColumn="1" w:noHBand="0" w:noVBand="0"/>
        <w:tblDescription w:val="This table contains a list of the rate of interest applicable for the 2016/2017 financial year. This table contains 3 heading level: 1. Residential leaving care periods, 2. base interest rates and 3. Maximum permissible interest rates."/>
      </w:tblPr>
      <w:tblGrid>
        <w:gridCol w:w="3256"/>
        <w:gridCol w:w="2409"/>
        <w:gridCol w:w="2595"/>
      </w:tblGrid>
      <w:tr w:rsidR="00241B17" w:rsidRPr="005B5C55" w14:paraId="56AE8559" w14:textId="77777777" w:rsidTr="003A094E">
        <w:trPr>
          <w:tblHeader/>
        </w:trPr>
        <w:tc>
          <w:tcPr>
            <w:tcW w:w="3256" w:type="dxa"/>
            <w:shd w:val="clear" w:color="auto" w:fill="DBE5F1" w:themeFill="accent1" w:themeFillTint="33"/>
            <w:vAlign w:val="bottom"/>
          </w:tcPr>
          <w:p w14:paraId="7499E188" w14:textId="77777777" w:rsidR="00241B17" w:rsidRPr="005567A0" w:rsidRDefault="00241B17" w:rsidP="005567A0">
            <w:pPr>
              <w:spacing w:before="0" w:after="60"/>
              <w:jc w:val="center"/>
              <w:rPr>
                <w:rFonts w:asciiTheme="minorHAnsi" w:eastAsiaTheme="majorEastAsia" w:hAnsiTheme="minorHAnsi" w:cstheme="minorHAnsi"/>
                <w:b/>
                <w:i/>
                <w:smallCaps/>
              </w:rPr>
            </w:pPr>
            <w:r w:rsidRPr="005567A0">
              <w:rPr>
                <w:rFonts w:asciiTheme="minorHAnsi" w:eastAsiaTheme="majorEastAsia" w:hAnsiTheme="minorHAnsi" w:cstheme="minorHAnsi"/>
                <w:b/>
              </w:rPr>
              <w:t>For residents leaving care in the period</w:t>
            </w:r>
            <w:r w:rsidRPr="005567A0">
              <w:rPr>
                <w:rStyle w:val="FootnoteReference"/>
                <w:rFonts w:asciiTheme="minorHAnsi" w:eastAsiaTheme="majorEastAsia" w:hAnsiTheme="minorHAnsi" w:cstheme="minorHAnsi"/>
                <w:b/>
              </w:rPr>
              <w:footnoteReference w:id="26"/>
            </w:r>
          </w:p>
        </w:tc>
        <w:tc>
          <w:tcPr>
            <w:tcW w:w="2409" w:type="dxa"/>
            <w:shd w:val="clear" w:color="auto" w:fill="DBE5F1" w:themeFill="accent1" w:themeFillTint="33"/>
            <w:vAlign w:val="bottom"/>
          </w:tcPr>
          <w:p w14:paraId="4E6E10D2" w14:textId="77777777" w:rsidR="00241B17" w:rsidRPr="005567A0" w:rsidRDefault="00241B17" w:rsidP="005567A0">
            <w:pPr>
              <w:spacing w:before="0" w:after="60"/>
              <w:jc w:val="center"/>
              <w:rPr>
                <w:rFonts w:asciiTheme="minorHAnsi" w:eastAsiaTheme="majorEastAsia" w:hAnsiTheme="minorHAnsi" w:cstheme="minorHAnsi"/>
                <w:b/>
                <w:i/>
                <w:smallCaps/>
              </w:rPr>
            </w:pPr>
            <w:r w:rsidRPr="005567A0">
              <w:rPr>
                <w:rFonts w:asciiTheme="minorHAnsi" w:eastAsiaTheme="majorEastAsia" w:hAnsiTheme="minorHAnsi" w:cstheme="minorHAnsi"/>
                <w:b/>
              </w:rPr>
              <w:t>Base Interest Rate (BIR)</w:t>
            </w:r>
          </w:p>
        </w:tc>
        <w:tc>
          <w:tcPr>
            <w:tcW w:w="2595" w:type="dxa"/>
            <w:shd w:val="clear" w:color="auto" w:fill="DBE5F1" w:themeFill="accent1" w:themeFillTint="33"/>
            <w:vAlign w:val="bottom"/>
          </w:tcPr>
          <w:p w14:paraId="6F883036" w14:textId="77777777" w:rsidR="00241B17" w:rsidRPr="005567A0" w:rsidRDefault="00241B17" w:rsidP="005567A0">
            <w:pPr>
              <w:spacing w:before="0" w:after="60"/>
              <w:jc w:val="center"/>
              <w:rPr>
                <w:rFonts w:asciiTheme="minorHAnsi" w:eastAsiaTheme="majorEastAsia" w:hAnsiTheme="minorHAnsi" w:cstheme="minorHAnsi"/>
                <w:b/>
                <w:i/>
                <w:smallCaps/>
              </w:rPr>
            </w:pPr>
            <w:r w:rsidRPr="005567A0">
              <w:rPr>
                <w:rFonts w:asciiTheme="minorHAnsi" w:eastAsiaTheme="majorEastAsia" w:hAnsiTheme="minorHAnsi" w:cstheme="minorHAnsi"/>
                <w:b/>
              </w:rPr>
              <w:t>Maximum Permissible Interest Rate (MPIR)</w:t>
            </w:r>
          </w:p>
        </w:tc>
      </w:tr>
      <w:tr w:rsidR="00241B17" w:rsidRPr="005B5C55" w14:paraId="5C939AD5" w14:textId="77777777" w:rsidTr="003A094E">
        <w:tc>
          <w:tcPr>
            <w:tcW w:w="3256" w:type="dxa"/>
            <w:vAlign w:val="bottom"/>
          </w:tcPr>
          <w:p w14:paraId="003E7962" w14:textId="77777777" w:rsidR="00241B17" w:rsidRPr="005567A0" w:rsidRDefault="00241B17">
            <w:pPr>
              <w:spacing w:before="0" w:after="0"/>
              <w:jc w:val="center"/>
              <w:rPr>
                <w:rFonts w:asciiTheme="minorHAnsi" w:hAnsiTheme="minorHAnsi" w:cstheme="minorHAnsi"/>
                <w:sz w:val="22"/>
                <w:szCs w:val="22"/>
                <w:highlight w:val="yellow"/>
              </w:rPr>
            </w:pPr>
            <w:r w:rsidRPr="005567A0">
              <w:rPr>
                <w:rFonts w:asciiTheme="minorHAnsi" w:hAnsiTheme="minorHAnsi" w:cstheme="minorHAnsi"/>
                <w:sz w:val="22"/>
              </w:rPr>
              <w:t>1/04/2026 to 30/06/2026</w:t>
            </w:r>
          </w:p>
        </w:tc>
        <w:tc>
          <w:tcPr>
            <w:tcW w:w="2409" w:type="dxa"/>
            <w:vAlign w:val="bottom"/>
          </w:tcPr>
          <w:p w14:paraId="77C3541A" w14:textId="77777777" w:rsidR="00241B17" w:rsidRPr="005567A0" w:rsidRDefault="00241B17">
            <w:pPr>
              <w:spacing w:before="0" w:after="0"/>
              <w:jc w:val="center"/>
              <w:rPr>
                <w:rFonts w:asciiTheme="minorHAnsi" w:hAnsiTheme="minorHAnsi" w:cstheme="minorHAnsi"/>
                <w:sz w:val="22"/>
                <w:highlight w:val="yellow"/>
              </w:rPr>
            </w:pPr>
            <w:r w:rsidRPr="005567A0">
              <w:rPr>
                <w:rFonts w:asciiTheme="minorHAnsi" w:hAnsiTheme="minorHAnsi" w:cstheme="minorHAnsi"/>
                <w:sz w:val="22"/>
              </w:rPr>
              <w:t>3.25%</w:t>
            </w:r>
          </w:p>
        </w:tc>
        <w:tc>
          <w:tcPr>
            <w:tcW w:w="2595" w:type="dxa"/>
            <w:vAlign w:val="bottom"/>
          </w:tcPr>
          <w:p w14:paraId="1B7E6FCC" w14:textId="77777777" w:rsidR="00241B17" w:rsidRPr="005567A0" w:rsidRDefault="00241B17">
            <w:pPr>
              <w:spacing w:before="0" w:after="0"/>
              <w:jc w:val="center"/>
              <w:rPr>
                <w:rFonts w:asciiTheme="minorHAnsi" w:hAnsiTheme="minorHAnsi" w:cstheme="minorHAnsi"/>
                <w:sz w:val="22"/>
                <w:szCs w:val="22"/>
                <w:highlight w:val="yellow"/>
              </w:rPr>
            </w:pPr>
            <w:r w:rsidRPr="005567A0">
              <w:rPr>
                <w:rFonts w:asciiTheme="minorHAnsi" w:hAnsiTheme="minorHAnsi" w:cstheme="minorHAnsi"/>
                <w:sz w:val="22"/>
              </w:rPr>
              <w:t>7.96%</w:t>
            </w:r>
          </w:p>
        </w:tc>
      </w:tr>
      <w:tr w:rsidR="00241B17" w:rsidRPr="005B5C55" w14:paraId="4BD1783A" w14:textId="77777777" w:rsidTr="003A094E">
        <w:tc>
          <w:tcPr>
            <w:tcW w:w="3256" w:type="dxa"/>
            <w:vAlign w:val="center"/>
          </w:tcPr>
          <w:p w14:paraId="25A7C049" w14:textId="77777777" w:rsidR="00241B17" w:rsidRPr="005567A0" w:rsidRDefault="00241B17">
            <w:pPr>
              <w:spacing w:before="0" w:after="0"/>
              <w:jc w:val="center"/>
              <w:rPr>
                <w:rFonts w:asciiTheme="minorHAnsi" w:hAnsiTheme="minorHAnsi" w:cstheme="minorHAnsi"/>
                <w:sz w:val="22"/>
                <w:szCs w:val="22"/>
                <w:highlight w:val="yellow"/>
              </w:rPr>
            </w:pPr>
            <w:r w:rsidRPr="005567A0">
              <w:rPr>
                <w:rFonts w:asciiTheme="minorHAnsi" w:hAnsiTheme="minorHAnsi" w:cstheme="minorHAnsi"/>
                <w:sz w:val="22"/>
              </w:rPr>
              <w:t>1/01/2026 to 31/03/2026</w:t>
            </w:r>
          </w:p>
        </w:tc>
        <w:tc>
          <w:tcPr>
            <w:tcW w:w="2409" w:type="dxa"/>
          </w:tcPr>
          <w:p w14:paraId="2F88815E" w14:textId="77777777" w:rsidR="00241B17" w:rsidRPr="005567A0" w:rsidRDefault="00241B17">
            <w:pPr>
              <w:spacing w:before="0" w:after="0"/>
              <w:jc w:val="center"/>
              <w:rPr>
                <w:rFonts w:asciiTheme="minorHAnsi" w:hAnsiTheme="minorHAnsi" w:cstheme="minorHAnsi"/>
                <w:sz w:val="22"/>
                <w:highlight w:val="yellow"/>
              </w:rPr>
            </w:pPr>
            <w:r w:rsidRPr="005567A0">
              <w:rPr>
                <w:rFonts w:asciiTheme="minorHAnsi" w:hAnsiTheme="minorHAnsi" w:cstheme="minorHAnsi"/>
                <w:sz w:val="22"/>
              </w:rPr>
              <w:t>2.75%</w:t>
            </w:r>
          </w:p>
        </w:tc>
        <w:tc>
          <w:tcPr>
            <w:tcW w:w="2595" w:type="dxa"/>
          </w:tcPr>
          <w:p w14:paraId="22D7CC9D" w14:textId="77777777" w:rsidR="00241B17" w:rsidRPr="005567A0" w:rsidRDefault="00241B17">
            <w:pPr>
              <w:spacing w:before="0" w:after="0"/>
              <w:jc w:val="center"/>
              <w:rPr>
                <w:rFonts w:asciiTheme="minorHAnsi" w:hAnsiTheme="minorHAnsi" w:cstheme="minorHAnsi"/>
                <w:sz w:val="22"/>
                <w:szCs w:val="22"/>
                <w:highlight w:val="yellow"/>
              </w:rPr>
            </w:pPr>
            <w:r w:rsidRPr="005567A0">
              <w:rPr>
                <w:rFonts w:asciiTheme="minorHAnsi" w:hAnsiTheme="minorHAnsi" w:cstheme="minorHAnsi"/>
                <w:sz w:val="22"/>
              </w:rPr>
              <w:t>7.65%</w:t>
            </w:r>
          </w:p>
        </w:tc>
      </w:tr>
      <w:tr w:rsidR="00241B17" w:rsidRPr="005B5C55" w14:paraId="40A538B2" w14:textId="77777777" w:rsidTr="003A094E">
        <w:tc>
          <w:tcPr>
            <w:tcW w:w="3256" w:type="dxa"/>
            <w:vAlign w:val="center"/>
          </w:tcPr>
          <w:p w14:paraId="3DFE3711" w14:textId="77777777" w:rsidR="00241B17" w:rsidRPr="005567A0" w:rsidRDefault="00241B17">
            <w:pPr>
              <w:spacing w:before="0" w:after="0"/>
              <w:jc w:val="center"/>
              <w:rPr>
                <w:rFonts w:asciiTheme="minorHAnsi" w:hAnsiTheme="minorHAnsi" w:cstheme="minorHAnsi"/>
                <w:sz w:val="22"/>
                <w:szCs w:val="22"/>
              </w:rPr>
            </w:pPr>
            <w:r w:rsidRPr="005567A0">
              <w:rPr>
                <w:rFonts w:asciiTheme="minorHAnsi" w:hAnsiTheme="minorHAnsi" w:cstheme="minorHAnsi"/>
                <w:sz w:val="22"/>
              </w:rPr>
              <w:t>1/10/2025 to 31/12/2025</w:t>
            </w:r>
          </w:p>
        </w:tc>
        <w:tc>
          <w:tcPr>
            <w:tcW w:w="2409" w:type="dxa"/>
          </w:tcPr>
          <w:p w14:paraId="5C935387" w14:textId="77777777" w:rsidR="00241B17" w:rsidRPr="005567A0" w:rsidRDefault="00241B17">
            <w:pPr>
              <w:spacing w:before="0" w:after="0"/>
              <w:jc w:val="center"/>
              <w:rPr>
                <w:rFonts w:asciiTheme="minorHAnsi" w:hAnsiTheme="minorHAnsi" w:cstheme="minorHAnsi"/>
                <w:sz w:val="22"/>
              </w:rPr>
            </w:pPr>
            <w:r w:rsidRPr="005567A0">
              <w:rPr>
                <w:rFonts w:asciiTheme="minorHAnsi" w:hAnsiTheme="minorHAnsi" w:cstheme="minorHAnsi"/>
                <w:sz w:val="22"/>
              </w:rPr>
              <w:t>2.75%</w:t>
            </w:r>
          </w:p>
        </w:tc>
        <w:tc>
          <w:tcPr>
            <w:tcW w:w="2595" w:type="dxa"/>
          </w:tcPr>
          <w:p w14:paraId="1AF83F68" w14:textId="77777777" w:rsidR="00241B17" w:rsidRPr="005567A0" w:rsidRDefault="00241B17">
            <w:pPr>
              <w:spacing w:before="0" w:after="0"/>
              <w:jc w:val="center"/>
              <w:rPr>
                <w:rFonts w:asciiTheme="minorHAnsi" w:hAnsiTheme="minorHAnsi" w:cstheme="minorHAnsi"/>
                <w:sz w:val="22"/>
                <w:szCs w:val="22"/>
              </w:rPr>
            </w:pPr>
            <w:r w:rsidRPr="005567A0">
              <w:rPr>
                <w:rFonts w:asciiTheme="minorHAnsi" w:hAnsiTheme="minorHAnsi" w:cstheme="minorHAnsi"/>
                <w:sz w:val="22"/>
              </w:rPr>
              <w:t>7.61%</w:t>
            </w:r>
          </w:p>
        </w:tc>
      </w:tr>
      <w:tr w:rsidR="00241B17" w:rsidRPr="005B5C55" w14:paraId="0187A5D7" w14:textId="77777777" w:rsidTr="003A094E">
        <w:tc>
          <w:tcPr>
            <w:tcW w:w="3256" w:type="dxa"/>
            <w:vAlign w:val="center"/>
          </w:tcPr>
          <w:p w14:paraId="1D7CDC2F" w14:textId="77777777" w:rsidR="00241B17" w:rsidRPr="005567A0" w:rsidRDefault="00241B17">
            <w:pPr>
              <w:spacing w:before="0" w:after="0"/>
              <w:jc w:val="center"/>
              <w:rPr>
                <w:rFonts w:asciiTheme="minorHAnsi" w:hAnsiTheme="minorHAnsi" w:cstheme="minorHAnsi"/>
                <w:sz w:val="22"/>
                <w:szCs w:val="22"/>
              </w:rPr>
            </w:pPr>
            <w:r w:rsidRPr="005567A0">
              <w:rPr>
                <w:rFonts w:asciiTheme="minorHAnsi" w:hAnsiTheme="minorHAnsi" w:cstheme="minorHAnsi"/>
                <w:sz w:val="22"/>
              </w:rPr>
              <w:t>1/07/2025 to 30/09/2025</w:t>
            </w:r>
          </w:p>
        </w:tc>
        <w:tc>
          <w:tcPr>
            <w:tcW w:w="2409" w:type="dxa"/>
          </w:tcPr>
          <w:p w14:paraId="5A17B08B" w14:textId="77777777" w:rsidR="00241B17" w:rsidRPr="005567A0" w:rsidRDefault="00241B17">
            <w:pPr>
              <w:spacing w:before="0" w:after="0"/>
              <w:jc w:val="center"/>
              <w:rPr>
                <w:rFonts w:asciiTheme="minorHAnsi" w:hAnsiTheme="minorHAnsi" w:cstheme="minorHAnsi"/>
                <w:sz w:val="22"/>
              </w:rPr>
            </w:pPr>
            <w:r w:rsidRPr="005567A0">
              <w:rPr>
                <w:rFonts w:asciiTheme="minorHAnsi" w:hAnsiTheme="minorHAnsi" w:cstheme="minorHAnsi"/>
                <w:sz w:val="22"/>
              </w:rPr>
              <w:t>2.25%</w:t>
            </w:r>
          </w:p>
        </w:tc>
        <w:tc>
          <w:tcPr>
            <w:tcW w:w="2595" w:type="dxa"/>
          </w:tcPr>
          <w:p w14:paraId="59DCAA8C" w14:textId="77777777" w:rsidR="00241B17" w:rsidRPr="005567A0" w:rsidRDefault="00241B17">
            <w:pPr>
              <w:spacing w:before="0" w:after="0"/>
              <w:jc w:val="center"/>
              <w:rPr>
                <w:rFonts w:asciiTheme="minorHAnsi" w:hAnsiTheme="minorHAnsi" w:cstheme="minorHAnsi"/>
                <w:sz w:val="22"/>
                <w:szCs w:val="22"/>
              </w:rPr>
            </w:pPr>
            <w:r w:rsidRPr="005567A0">
              <w:rPr>
                <w:rFonts w:asciiTheme="minorHAnsi" w:hAnsiTheme="minorHAnsi" w:cstheme="minorHAnsi"/>
                <w:sz w:val="22"/>
              </w:rPr>
              <w:t>7.78%</w:t>
            </w:r>
          </w:p>
        </w:tc>
      </w:tr>
    </w:tbl>
    <w:p w14:paraId="4BF1C893" w14:textId="46A9E333" w:rsidR="00241B17" w:rsidRPr="005567A0" w:rsidRDefault="00241B17" w:rsidP="00EA6DD7">
      <w:pPr>
        <w:pStyle w:val="ListBullet"/>
        <w:rPr>
          <w:lang w:val="en-US" w:eastAsia="en-AU"/>
        </w:rPr>
      </w:pPr>
      <w:r w:rsidRPr="005567A0">
        <w:rPr>
          <w:lang w:val="en-US" w:eastAsia="en-AU"/>
        </w:rPr>
        <w:t xml:space="preserve">BIR – if paid within the legislated timeframe (the statutory refund period), BIR must be paid on the refundable deposit or bond balance from the day after the provider ceases to provide care up to and including the date of the refund </w:t>
      </w:r>
    </w:p>
    <w:p w14:paraId="15A89456" w14:textId="77777777" w:rsidR="00241B17" w:rsidRPr="005567A0" w:rsidRDefault="00241B17" w:rsidP="00EA6DD7">
      <w:pPr>
        <w:pStyle w:val="ListBullet"/>
        <w:rPr>
          <w:szCs w:val="24"/>
          <w:lang w:val="en" w:eastAsia="en-AU"/>
        </w:rPr>
      </w:pPr>
      <w:r w:rsidRPr="005567A0">
        <w:rPr>
          <w:szCs w:val="24"/>
          <w:lang w:val="en" w:eastAsia="en-AU"/>
        </w:rPr>
        <w:t>MPIR - if paid after the legislated timeframe (the statutory refund period), BIR must be paid on the refundable deposit or bond balance for each day of the statutory refund period and MPIR must be paid on the refundable deposit or bond balance from the day after the end of the statutory refund period up to and including day the balance is repaid.</w:t>
      </w:r>
    </w:p>
    <w:p w14:paraId="7F4F5984" w14:textId="5EC2D3BC" w:rsidR="00241B17" w:rsidRPr="003A094E" w:rsidRDefault="00241B17" w:rsidP="00241B17">
      <w:r w:rsidRPr="005567A0">
        <w:rPr>
          <w:rFonts w:asciiTheme="minorHAnsi" w:hAnsiTheme="minorHAnsi" w:cstheme="minorHAnsi"/>
        </w:rPr>
        <w:t>For entry contributions, the MPIR is payable on late refunds made after the day on which a refund was due under the formal agreement between the provider and the resident.</w:t>
      </w:r>
    </w:p>
    <w:p w14:paraId="222A1896" w14:textId="77777777" w:rsidR="00241B17" w:rsidRPr="003A094E" w:rsidRDefault="00241B17" w:rsidP="00241B17">
      <w:r w:rsidRPr="005567A0">
        <w:rPr>
          <w:rFonts w:asciiTheme="minorHAnsi" w:hAnsiTheme="minorHAnsi" w:cstheme="minorHAnsi"/>
        </w:rPr>
        <w:t>BIR and MPIR (if applicable) must be paid to the resident the day the refund is made.</w:t>
      </w:r>
    </w:p>
    <w:p w14:paraId="43FE013E" w14:textId="5CAB9E93" w:rsidR="00241B17" w:rsidRPr="00A46299" w:rsidRDefault="00241B17" w:rsidP="0578F4E1">
      <w:pPr>
        <w:rPr>
          <w:rFonts w:asciiTheme="minorHAnsi" w:hAnsiTheme="minorHAnsi"/>
          <w:sz w:val="22"/>
        </w:rPr>
      </w:pPr>
      <w:r w:rsidRPr="005567A0">
        <w:rPr>
          <w:rFonts w:asciiTheme="minorHAnsi" w:hAnsiTheme="minorHAnsi"/>
        </w:rPr>
        <w:t xml:space="preserve">The prescribed interest rates may be varied from time to time. Further information about the </w:t>
      </w:r>
      <w:hyperlink r:id="rId18" w:history="1">
        <w:r w:rsidRPr="005567A0">
          <w:rPr>
            <w:rStyle w:val="Hyperlink"/>
            <w:rFonts w:asciiTheme="minorHAnsi" w:hAnsiTheme="minorHAnsi"/>
          </w:rPr>
          <w:t>base interest rate (BIR) and maximum permissible interest rate (MPIR)</w:t>
        </w:r>
      </w:hyperlink>
      <w:r w:rsidRPr="005567A0">
        <w:rPr>
          <w:rFonts w:asciiTheme="minorHAnsi" w:hAnsiTheme="minorHAnsi"/>
        </w:rPr>
        <w:t xml:space="preserve"> can be found on the Department website</w:t>
      </w:r>
      <w:r w:rsidR="00551FF7">
        <w:rPr>
          <w:rFonts w:asciiTheme="minorHAnsi" w:hAnsiTheme="minorHAnsi"/>
        </w:rPr>
        <w:t>.</w:t>
      </w:r>
      <w:r w:rsidRPr="005567A0">
        <w:rPr>
          <w:rFonts w:asciiTheme="minorHAnsi" w:hAnsiTheme="minorHAnsi"/>
        </w:rPr>
        <w:t xml:space="preserve"> </w:t>
      </w:r>
    </w:p>
    <w:p w14:paraId="6E369EF9" w14:textId="50FB27E3" w:rsidR="00B57891" w:rsidRPr="005567A0" w:rsidRDefault="005615FF" w:rsidP="0087599B">
      <w:pPr>
        <w:pStyle w:val="Heading2"/>
      </w:pPr>
      <w:r w:rsidRPr="005567A0">
        <w:t xml:space="preserve">Assessing compliance with </w:t>
      </w:r>
      <w:r w:rsidR="008715C2">
        <w:t xml:space="preserve">the charging of </w:t>
      </w:r>
      <w:r w:rsidRPr="005567A0">
        <w:t>other care and services fees</w:t>
      </w:r>
      <w:r w:rsidR="00A67E9E" w:rsidRPr="005567A0">
        <w:t xml:space="preserve"> and HELF</w:t>
      </w:r>
    </w:p>
    <w:p w14:paraId="407DA2F4" w14:textId="5765DFE8" w:rsidR="00B57891" w:rsidRPr="00A46299" w:rsidRDefault="00A46E69" w:rsidP="00EA6DD7">
      <w:pPr>
        <w:rPr>
          <w:rFonts w:asciiTheme="minorHAnsi" w:hAnsiTheme="minorHAnsi" w:cstheme="minorHAnsi"/>
          <w:color w:val="111111"/>
          <w:szCs w:val="24"/>
          <w:lang w:val="en"/>
        </w:rPr>
      </w:pPr>
      <w:r w:rsidRPr="00523012">
        <w:rPr>
          <w:rFonts w:asciiTheme="minorHAnsi" w:hAnsiTheme="minorHAnsi" w:cstheme="minorHAnsi"/>
          <w:color w:val="111111"/>
          <w:szCs w:val="24"/>
          <w:lang w:val="en"/>
        </w:rPr>
        <w:t>Division</w:t>
      </w:r>
      <w:r w:rsidR="00324064" w:rsidRPr="007B0DB5">
        <w:rPr>
          <w:rFonts w:asciiTheme="minorHAnsi" w:hAnsiTheme="minorHAnsi" w:cstheme="minorHAnsi"/>
          <w:color w:val="111111"/>
          <w:szCs w:val="24"/>
          <w:lang w:val="en"/>
        </w:rPr>
        <w:t>s</w:t>
      </w:r>
      <w:r w:rsidRPr="007B0DB5">
        <w:rPr>
          <w:rFonts w:asciiTheme="minorHAnsi" w:hAnsiTheme="minorHAnsi" w:cstheme="minorHAnsi"/>
          <w:color w:val="111111"/>
          <w:szCs w:val="24"/>
          <w:lang w:val="en"/>
        </w:rPr>
        <w:t xml:space="preserve"> 52C and 56 </w:t>
      </w:r>
      <w:r w:rsidRPr="00A62905">
        <w:rPr>
          <w:rFonts w:asciiTheme="minorHAnsi" w:hAnsiTheme="minorHAnsi" w:cstheme="minorHAnsi"/>
          <w:color w:val="111111"/>
          <w:szCs w:val="24"/>
          <w:lang w:val="en"/>
        </w:rPr>
        <w:t>of t</w:t>
      </w:r>
      <w:r w:rsidR="765C6520" w:rsidRPr="00523012">
        <w:rPr>
          <w:rFonts w:asciiTheme="minorHAnsi" w:hAnsiTheme="minorHAnsi" w:cstheme="minorHAnsi"/>
          <w:color w:val="111111"/>
          <w:szCs w:val="24"/>
          <w:lang w:val="en"/>
        </w:rPr>
        <w:t xml:space="preserve">he </w:t>
      </w:r>
      <w:r w:rsidR="006A53B8" w:rsidRPr="007B0DB5">
        <w:rPr>
          <w:rFonts w:asciiTheme="minorHAnsi" w:hAnsiTheme="minorHAnsi" w:cstheme="minorHAnsi"/>
          <w:color w:val="111111"/>
          <w:szCs w:val="24"/>
          <w:lang w:val="en"/>
        </w:rPr>
        <w:t xml:space="preserve">old </w:t>
      </w:r>
      <w:r w:rsidR="765C6520" w:rsidRPr="00523012">
        <w:rPr>
          <w:rFonts w:asciiTheme="minorHAnsi" w:hAnsiTheme="minorHAnsi" w:cstheme="minorHAnsi"/>
          <w:color w:val="111111"/>
          <w:szCs w:val="24"/>
          <w:lang w:val="en"/>
        </w:rPr>
        <w:t xml:space="preserve">Act and </w:t>
      </w:r>
      <w:r w:rsidR="007B0DB5">
        <w:rPr>
          <w:rFonts w:asciiTheme="minorHAnsi" w:hAnsiTheme="minorHAnsi" w:cstheme="minorHAnsi"/>
          <w:color w:val="111111"/>
          <w:szCs w:val="24"/>
          <w:lang w:val="en"/>
        </w:rPr>
        <w:t>D</w:t>
      </w:r>
      <w:r w:rsidR="00324064" w:rsidRPr="007B0DB5">
        <w:rPr>
          <w:rFonts w:asciiTheme="minorHAnsi" w:hAnsiTheme="minorHAnsi" w:cstheme="minorHAnsi"/>
          <w:color w:val="111111"/>
          <w:szCs w:val="24"/>
          <w:lang w:val="en"/>
        </w:rPr>
        <w:t xml:space="preserve">ivisions 57 and </w:t>
      </w:r>
      <w:r w:rsidR="00ED6AED" w:rsidRPr="007B0DB5">
        <w:rPr>
          <w:rFonts w:asciiTheme="minorHAnsi" w:hAnsiTheme="minorHAnsi" w:cstheme="minorHAnsi"/>
          <w:color w:val="111111"/>
          <w:szCs w:val="24"/>
          <w:lang w:val="en"/>
        </w:rPr>
        <w:t>58 of</w:t>
      </w:r>
      <w:r w:rsidR="765C6520" w:rsidRPr="00A62905">
        <w:rPr>
          <w:rFonts w:asciiTheme="minorHAnsi" w:hAnsiTheme="minorHAnsi" w:cstheme="minorHAnsi"/>
          <w:color w:val="111111"/>
          <w:szCs w:val="24"/>
          <w:lang w:val="en"/>
        </w:rPr>
        <w:t xml:space="preserve"> </w:t>
      </w:r>
      <w:r w:rsidR="765C6520" w:rsidRPr="00196E42">
        <w:rPr>
          <w:rFonts w:asciiTheme="minorHAnsi" w:hAnsiTheme="minorHAnsi" w:cstheme="minorHAnsi"/>
          <w:color w:val="111111"/>
          <w:szCs w:val="24"/>
          <w:lang w:val="en"/>
        </w:rPr>
        <w:t xml:space="preserve">the </w:t>
      </w:r>
      <w:r w:rsidR="765C6520" w:rsidRPr="000D1766">
        <w:rPr>
          <w:rFonts w:asciiTheme="minorHAnsi" w:hAnsiTheme="minorHAnsi" w:cstheme="minorHAnsi"/>
          <w:i/>
          <w:color w:val="111111"/>
          <w:szCs w:val="24"/>
          <w:lang w:val="en"/>
        </w:rPr>
        <w:t>Aged Care (Transitional Provisions) Act 1997</w:t>
      </w:r>
      <w:r w:rsidR="765C6520" w:rsidRPr="005567A0">
        <w:rPr>
          <w:rFonts w:asciiTheme="minorHAnsi" w:hAnsiTheme="minorHAnsi" w:cstheme="minorHAnsi"/>
          <w:i/>
          <w:color w:val="111111"/>
          <w:szCs w:val="24"/>
          <w:lang w:val="en"/>
        </w:rPr>
        <w:t xml:space="preserve"> </w:t>
      </w:r>
      <w:r w:rsidR="765C6520" w:rsidRPr="00523012">
        <w:rPr>
          <w:rFonts w:asciiTheme="minorHAnsi" w:hAnsiTheme="minorHAnsi" w:cstheme="minorHAnsi"/>
          <w:color w:val="111111"/>
          <w:szCs w:val="24"/>
          <w:lang w:val="en"/>
        </w:rPr>
        <w:t xml:space="preserve">provide a complete scheme of fees that aged care providers </w:t>
      </w:r>
      <w:r w:rsidR="00594FCB" w:rsidRPr="0029418D">
        <w:rPr>
          <w:rFonts w:asciiTheme="minorHAnsi" w:hAnsiTheme="minorHAnsi" w:cstheme="minorHAnsi"/>
          <w:color w:val="111111"/>
          <w:szCs w:val="24"/>
          <w:lang w:val="en"/>
        </w:rPr>
        <w:t xml:space="preserve">could </w:t>
      </w:r>
      <w:r w:rsidR="765C6520" w:rsidRPr="00523012">
        <w:rPr>
          <w:rFonts w:asciiTheme="minorHAnsi" w:hAnsiTheme="minorHAnsi" w:cstheme="minorHAnsi"/>
          <w:color w:val="111111"/>
          <w:szCs w:val="24"/>
          <w:lang w:val="en"/>
        </w:rPr>
        <w:t>charge to residents</w:t>
      </w:r>
      <w:r w:rsidR="00E92925" w:rsidRPr="007B0DB5">
        <w:rPr>
          <w:rFonts w:asciiTheme="minorHAnsi" w:hAnsiTheme="minorHAnsi" w:cstheme="minorHAnsi"/>
          <w:color w:val="111111"/>
          <w:szCs w:val="24"/>
          <w:lang w:val="en"/>
        </w:rPr>
        <w:t xml:space="preserve"> prior to 1 November</w:t>
      </w:r>
      <w:r w:rsidR="00BD6553" w:rsidRPr="007B0DB5">
        <w:rPr>
          <w:rFonts w:asciiTheme="minorHAnsi" w:hAnsiTheme="minorHAnsi" w:cstheme="minorHAnsi"/>
          <w:color w:val="111111"/>
          <w:szCs w:val="24"/>
          <w:lang w:val="en"/>
        </w:rPr>
        <w:t xml:space="preserve"> 2025</w:t>
      </w:r>
      <w:r w:rsidR="765C6520" w:rsidRPr="00523012">
        <w:rPr>
          <w:rFonts w:asciiTheme="minorHAnsi" w:hAnsiTheme="minorHAnsi" w:cstheme="minorHAnsi"/>
          <w:color w:val="111111"/>
          <w:szCs w:val="24"/>
          <w:lang w:val="en"/>
        </w:rPr>
        <w:t>.</w:t>
      </w:r>
      <w:r w:rsidR="00A36BA6" w:rsidRPr="007B0DB5">
        <w:rPr>
          <w:rFonts w:asciiTheme="minorHAnsi" w:hAnsiTheme="minorHAnsi" w:cstheme="minorHAnsi"/>
          <w:color w:val="111111"/>
          <w:szCs w:val="24"/>
          <w:lang w:val="en"/>
        </w:rPr>
        <w:t xml:space="preserve"> From 1 November </w:t>
      </w:r>
      <w:r w:rsidR="000C601F" w:rsidRPr="007B0DB5">
        <w:rPr>
          <w:rFonts w:asciiTheme="minorHAnsi" w:hAnsiTheme="minorHAnsi" w:cstheme="minorHAnsi"/>
          <w:color w:val="111111"/>
          <w:szCs w:val="24"/>
          <w:lang w:val="en"/>
        </w:rPr>
        <w:t>2025 the</w:t>
      </w:r>
      <w:r w:rsidR="765C6520" w:rsidRPr="00523012">
        <w:rPr>
          <w:rFonts w:asciiTheme="minorHAnsi" w:hAnsiTheme="minorHAnsi" w:cstheme="minorHAnsi"/>
          <w:color w:val="111111"/>
          <w:szCs w:val="24"/>
          <w:lang w:val="en"/>
        </w:rPr>
        <w:t xml:space="preserve"> </w:t>
      </w:r>
      <w:r w:rsidR="000C601F" w:rsidRPr="0029418D">
        <w:rPr>
          <w:rFonts w:asciiTheme="minorHAnsi" w:hAnsiTheme="minorHAnsi" w:cstheme="minorHAnsi"/>
          <w:color w:val="111111"/>
          <w:szCs w:val="24"/>
          <w:lang w:val="en"/>
        </w:rPr>
        <w:t>r</w:t>
      </w:r>
      <w:r w:rsidR="765C6520" w:rsidRPr="00523012">
        <w:rPr>
          <w:rFonts w:asciiTheme="minorHAnsi" w:hAnsiTheme="minorHAnsi" w:cstheme="minorHAnsi"/>
          <w:color w:val="111111"/>
          <w:szCs w:val="24"/>
          <w:lang w:val="en"/>
        </w:rPr>
        <w:t>elevant provisions are found in</w:t>
      </w:r>
      <w:r w:rsidR="765C6520" w:rsidRPr="007B0DB5">
        <w:rPr>
          <w:rFonts w:asciiTheme="minorHAnsi" w:hAnsiTheme="minorHAnsi" w:cstheme="minorHAnsi"/>
          <w:color w:val="111111"/>
          <w:szCs w:val="24"/>
          <w:lang w:val="en"/>
        </w:rPr>
        <w:t xml:space="preserve"> </w:t>
      </w:r>
      <w:r w:rsidR="007B0DB5">
        <w:rPr>
          <w:rFonts w:asciiTheme="minorHAnsi" w:hAnsiTheme="minorHAnsi" w:cstheme="minorHAnsi"/>
          <w:color w:val="111111"/>
          <w:szCs w:val="24"/>
          <w:lang w:val="en"/>
        </w:rPr>
        <w:t>P</w:t>
      </w:r>
      <w:r w:rsidR="003F251A" w:rsidRPr="007B0DB5">
        <w:rPr>
          <w:rFonts w:asciiTheme="minorHAnsi" w:hAnsiTheme="minorHAnsi" w:cstheme="minorHAnsi"/>
          <w:color w:val="111111"/>
          <w:szCs w:val="24"/>
          <w:lang w:val="en"/>
        </w:rPr>
        <w:t xml:space="preserve">art 3 of </w:t>
      </w:r>
      <w:r w:rsidR="00196E42">
        <w:rPr>
          <w:rFonts w:asciiTheme="minorHAnsi" w:hAnsiTheme="minorHAnsi" w:cstheme="minorHAnsi"/>
          <w:color w:val="111111"/>
          <w:szCs w:val="24"/>
          <w:lang w:val="en"/>
        </w:rPr>
        <w:t>C</w:t>
      </w:r>
      <w:r w:rsidR="003F251A" w:rsidRPr="00196E42">
        <w:rPr>
          <w:rFonts w:asciiTheme="minorHAnsi" w:hAnsiTheme="minorHAnsi" w:cstheme="minorHAnsi"/>
          <w:color w:val="111111"/>
          <w:szCs w:val="24"/>
          <w:lang w:val="en"/>
        </w:rPr>
        <w:t>hapter 4 of</w:t>
      </w:r>
      <w:r w:rsidR="765C6520" w:rsidRPr="00523012">
        <w:rPr>
          <w:rFonts w:asciiTheme="minorHAnsi" w:hAnsiTheme="minorHAnsi" w:cstheme="minorHAnsi"/>
          <w:color w:val="111111"/>
          <w:szCs w:val="24"/>
          <w:lang w:val="en"/>
        </w:rPr>
        <w:t xml:space="preserve"> </w:t>
      </w:r>
      <w:r w:rsidR="000C601F" w:rsidRPr="0029418D">
        <w:rPr>
          <w:rFonts w:asciiTheme="minorHAnsi" w:hAnsiTheme="minorHAnsi" w:cstheme="minorHAnsi"/>
          <w:color w:val="111111"/>
          <w:szCs w:val="24"/>
          <w:lang w:val="en"/>
        </w:rPr>
        <w:t>the new Act.</w:t>
      </w:r>
    </w:p>
    <w:p w14:paraId="2EE14515" w14:textId="77777777" w:rsidR="00B57891" w:rsidRPr="005567A0" w:rsidRDefault="00B57891" w:rsidP="00B57891">
      <w:pPr>
        <w:rPr>
          <w:rFonts w:asciiTheme="minorHAnsi" w:eastAsia="Times New Roman" w:hAnsiTheme="minorHAnsi" w:cstheme="minorHAnsi"/>
          <w:color w:val="111111"/>
          <w:szCs w:val="24"/>
          <w:lang w:val="en" w:eastAsia="en-AU"/>
        </w:rPr>
      </w:pPr>
      <w:r w:rsidRPr="005567A0">
        <w:rPr>
          <w:rFonts w:asciiTheme="minorHAnsi" w:eastAsia="Times New Roman" w:hAnsiTheme="minorHAnsi" w:cstheme="minorHAnsi"/>
          <w:color w:val="111111"/>
          <w:szCs w:val="24"/>
          <w:lang w:val="en" w:eastAsia="en-AU"/>
        </w:rPr>
        <w:t xml:space="preserve">It is a provider’s responsibility to ensure that any fees they charge to residents are consistent with aged care legislation. </w:t>
      </w:r>
    </w:p>
    <w:p w14:paraId="488C9F92" w14:textId="3BF3EDAA" w:rsidR="00AE02D6" w:rsidRPr="005567A0" w:rsidRDefault="00AE02D6" w:rsidP="00A655B1">
      <w:pPr>
        <w:rPr>
          <w:rFonts w:asciiTheme="minorHAnsi" w:eastAsia="Times New Roman" w:hAnsiTheme="minorHAnsi" w:cstheme="minorHAnsi"/>
          <w:color w:val="111111"/>
          <w:szCs w:val="24"/>
          <w:lang w:val="en" w:eastAsia="en-AU"/>
        </w:rPr>
      </w:pPr>
      <w:r w:rsidRPr="005567A0">
        <w:rPr>
          <w:rFonts w:asciiTheme="minorHAnsi" w:eastAsia="Times New Roman" w:hAnsiTheme="minorHAnsi" w:cstheme="minorHAnsi"/>
          <w:color w:val="111111"/>
          <w:szCs w:val="24"/>
          <w:lang w:val="en" w:eastAsia="en-AU"/>
        </w:rPr>
        <w:t xml:space="preserve">Fees payable </w:t>
      </w:r>
      <w:r w:rsidR="0073068A" w:rsidRPr="005567A0">
        <w:rPr>
          <w:rFonts w:asciiTheme="minorHAnsi" w:eastAsia="Times New Roman" w:hAnsiTheme="minorHAnsi" w:cstheme="minorHAnsi"/>
          <w:color w:val="111111"/>
          <w:szCs w:val="24"/>
          <w:lang w:val="en" w:eastAsia="en-AU"/>
        </w:rPr>
        <w:t>prior to 1 November 2025 include:</w:t>
      </w:r>
    </w:p>
    <w:p w14:paraId="0DB11D4B" w14:textId="77777777" w:rsidR="00A655B1" w:rsidRPr="005567A0" w:rsidRDefault="00A655B1" w:rsidP="00EA6DD7">
      <w:pPr>
        <w:pStyle w:val="ListBullet"/>
        <w:rPr>
          <w:lang w:val="en" w:eastAsia="en-AU"/>
        </w:rPr>
      </w:pPr>
      <w:r w:rsidRPr="005567A0">
        <w:rPr>
          <w:lang w:val="en" w:eastAsia="en-AU"/>
        </w:rPr>
        <w:t>basic daily fee</w:t>
      </w:r>
    </w:p>
    <w:p w14:paraId="5EBD71B4" w14:textId="77777777" w:rsidR="00A655B1" w:rsidRPr="005567A0" w:rsidRDefault="00A655B1" w:rsidP="00EA6DD7">
      <w:pPr>
        <w:pStyle w:val="ListBullet"/>
        <w:rPr>
          <w:lang w:val="en" w:eastAsia="en-AU"/>
        </w:rPr>
      </w:pPr>
      <w:r w:rsidRPr="005567A0">
        <w:rPr>
          <w:lang w:val="en" w:eastAsia="en-AU"/>
        </w:rPr>
        <w:t>means tested care fee</w:t>
      </w:r>
    </w:p>
    <w:p w14:paraId="24BFEDB8" w14:textId="77777777" w:rsidR="00A655B1" w:rsidRPr="005567A0" w:rsidRDefault="00A655B1" w:rsidP="00EA6DD7">
      <w:pPr>
        <w:pStyle w:val="ListBullet"/>
        <w:rPr>
          <w:lang w:val="en" w:eastAsia="en-AU"/>
        </w:rPr>
      </w:pPr>
      <w:r w:rsidRPr="005567A0">
        <w:rPr>
          <w:lang w:val="en" w:eastAsia="en-AU"/>
        </w:rPr>
        <w:t>accommodation payment or accommodation contribution</w:t>
      </w:r>
    </w:p>
    <w:p w14:paraId="720F71D3" w14:textId="77777777" w:rsidR="00A655B1" w:rsidRPr="005567A0" w:rsidRDefault="00A655B1" w:rsidP="00EA6DD7">
      <w:pPr>
        <w:pStyle w:val="ListBullet"/>
        <w:rPr>
          <w:lang w:val="en-US" w:eastAsia="en-AU"/>
        </w:rPr>
      </w:pPr>
      <w:r w:rsidRPr="005567A0">
        <w:rPr>
          <w:lang w:val="en-US" w:eastAsia="en-AU"/>
        </w:rPr>
        <w:t>additional service fees</w:t>
      </w:r>
    </w:p>
    <w:p w14:paraId="4662A891" w14:textId="7988758D" w:rsidR="0073068A" w:rsidRPr="005567A0" w:rsidRDefault="00A655B1" w:rsidP="00EA6DD7">
      <w:pPr>
        <w:pStyle w:val="ListBullet"/>
        <w:rPr>
          <w:lang w:val="en" w:eastAsia="en-AU"/>
        </w:rPr>
      </w:pPr>
      <w:r w:rsidRPr="005567A0">
        <w:rPr>
          <w:lang w:val="en" w:eastAsia="en-AU"/>
        </w:rPr>
        <w:t>extra service fee</w:t>
      </w:r>
      <w:r w:rsidR="00CE0453" w:rsidRPr="005567A0">
        <w:rPr>
          <w:lang w:val="en" w:eastAsia="en-AU"/>
        </w:rPr>
        <w:t>.</w:t>
      </w:r>
    </w:p>
    <w:p w14:paraId="2307D262" w14:textId="72FD5DD9" w:rsidR="000A1FB8" w:rsidRPr="005567A0" w:rsidRDefault="000A1FB8" w:rsidP="000A1FB8">
      <w:pPr>
        <w:rPr>
          <w:rFonts w:asciiTheme="minorHAnsi" w:eastAsia="Times New Roman" w:hAnsiTheme="minorHAnsi" w:cstheme="minorHAnsi"/>
          <w:color w:val="111111"/>
          <w:szCs w:val="24"/>
          <w:lang w:val="en" w:eastAsia="en-AU"/>
        </w:rPr>
      </w:pPr>
      <w:r w:rsidRPr="005567A0">
        <w:rPr>
          <w:rFonts w:asciiTheme="minorHAnsi" w:eastAsia="Times New Roman" w:hAnsiTheme="minorHAnsi" w:cstheme="minorHAnsi"/>
          <w:color w:val="111111"/>
          <w:szCs w:val="24"/>
          <w:lang w:val="en" w:eastAsia="en-AU"/>
        </w:rPr>
        <w:t xml:space="preserve">Fees payable after </w:t>
      </w:r>
      <w:r w:rsidR="00DD4034">
        <w:rPr>
          <w:rFonts w:asciiTheme="minorHAnsi" w:eastAsia="Times New Roman" w:hAnsiTheme="minorHAnsi" w:cstheme="minorHAnsi"/>
          <w:color w:val="111111"/>
          <w:szCs w:val="24"/>
          <w:lang w:val="en" w:eastAsia="en-AU"/>
        </w:rPr>
        <w:t>3</w:t>
      </w:r>
      <w:r w:rsidRPr="005567A0">
        <w:rPr>
          <w:rFonts w:asciiTheme="minorHAnsi" w:eastAsia="Times New Roman" w:hAnsiTheme="minorHAnsi" w:cstheme="minorHAnsi"/>
          <w:color w:val="111111"/>
          <w:szCs w:val="24"/>
          <w:lang w:val="en" w:eastAsia="en-AU"/>
        </w:rPr>
        <w:t>1 October</w:t>
      </w:r>
      <w:r w:rsidR="000A3B0F" w:rsidRPr="005567A0">
        <w:rPr>
          <w:rFonts w:asciiTheme="minorHAnsi" w:eastAsia="Times New Roman" w:hAnsiTheme="minorHAnsi" w:cstheme="minorHAnsi"/>
          <w:color w:val="111111"/>
          <w:szCs w:val="24"/>
          <w:lang w:val="en" w:eastAsia="en-AU"/>
        </w:rPr>
        <w:t xml:space="preserve"> 2025</w:t>
      </w:r>
      <w:r w:rsidRPr="005567A0">
        <w:rPr>
          <w:rFonts w:asciiTheme="minorHAnsi" w:eastAsia="Times New Roman" w:hAnsiTheme="minorHAnsi" w:cstheme="minorHAnsi"/>
          <w:color w:val="111111"/>
          <w:szCs w:val="24"/>
          <w:lang w:val="en" w:eastAsia="en-AU"/>
        </w:rPr>
        <w:t xml:space="preserve"> include</w:t>
      </w:r>
      <w:r w:rsidR="000A3B0F" w:rsidRPr="005567A0">
        <w:rPr>
          <w:rFonts w:asciiTheme="minorHAnsi" w:eastAsia="Times New Roman" w:hAnsiTheme="minorHAnsi" w:cstheme="minorHAnsi"/>
          <w:color w:val="111111"/>
          <w:szCs w:val="24"/>
          <w:lang w:val="en" w:eastAsia="en-AU"/>
        </w:rPr>
        <w:t>:</w:t>
      </w:r>
    </w:p>
    <w:p w14:paraId="6DCE0C53" w14:textId="77777777" w:rsidR="00E7261F" w:rsidRPr="005567A0" w:rsidRDefault="00E7261F" w:rsidP="00EA6DD7">
      <w:pPr>
        <w:pStyle w:val="ListBullet"/>
        <w:rPr>
          <w:lang w:val="en" w:eastAsia="en-AU"/>
        </w:rPr>
      </w:pPr>
      <w:r w:rsidRPr="005567A0">
        <w:rPr>
          <w:lang w:val="en" w:eastAsia="en-AU"/>
        </w:rPr>
        <w:t>basic daily fee</w:t>
      </w:r>
    </w:p>
    <w:p w14:paraId="599E4EB0" w14:textId="70287114" w:rsidR="00796859" w:rsidRPr="005567A0" w:rsidRDefault="00383045" w:rsidP="00EA6DD7">
      <w:pPr>
        <w:pStyle w:val="ListBullet"/>
        <w:rPr>
          <w:lang w:val="en-US" w:eastAsia="en-AU"/>
        </w:rPr>
      </w:pPr>
      <w:proofErr w:type="spellStart"/>
      <w:r w:rsidRPr="005567A0">
        <w:rPr>
          <w:lang w:val="en-US" w:eastAsia="en-AU"/>
        </w:rPr>
        <w:t>h</w:t>
      </w:r>
      <w:r w:rsidR="00796859" w:rsidRPr="005567A0">
        <w:rPr>
          <w:lang w:val="en-US" w:eastAsia="en-AU"/>
        </w:rPr>
        <w:t>otelling</w:t>
      </w:r>
      <w:proofErr w:type="spellEnd"/>
      <w:r w:rsidR="00796859" w:rsidRPr="005567A0">
        <w:rPr>
          <w:lang w:val="en-US" w:eastAsia="en-AU"/>
        </w:rPr>
        <w:t xml:space="preserve"> contribution</w:t>
      </w:r>
    </w:p>
    <w:p w14:paraId="7D7C3775" w14:textId="1557A10C" w:rsidR="00D000C5" w:rsidRPr="005567A0" w:rsidRDefault="00383045" w:rsidP="00EA6DD7">
      <w:pPr>
        <w:pStyle w:val="ListBullet"/>
        <w:rPr>
          <w:lang w:val="en" w:eastAsia="en-AU"/>
        </w:rPr>
      </w:pPr>
      <w:r w:rsidRPr="005567A0">
        <w:rPr>
          <w:lang w:eastAsia="en-AU"/>
        </w:rPr>
        <w:t>n</w:t>
      </w:r>
      <w:r w:rsidR="00D000C5" w:rsidRPr="005567A0">
        <w:rPr>
          <w:lang w:eastAsia="en-AU"/>
        </w:rPr>
        <w:t>on-clinical care contribution (NCCC)</w:t>
      </w:r>
    </w:p>
    <w:p w14:paraId="01D2854C" w14:textId="77777777" w:rsidR="00E7261F" w:rsidRDefault="00E7261F" w:rsidP="00EA6DD7">
      <w:pPr>
        <w:pStyle w:val="ListBullet"/>
        <w:rPr>
          <w:lang w:val="en" w:eastAsia="en-AU"/>
        </w:rPr>
      </w:pPr>
      <w:r w:rsidRPr="005567A0">
        <w:rPr>
          <w:lang w:val="en" w:eastAsia="en-AU"/>
        </w:rPr>
        <w:t>accommodation payment or accommodation contribution</w:t>
      </w:r>
    </w:p>
    <w:p w14:paraId="79592821" w14:textId="77777777" w:rsidR="00FE1DEE" w:rsidRPr="005567A0" w:rsidRDefault="00FE1DEE" w:rsidP="00EA6DD7">
      <w:pPr>
        <w:pStyle w:val="ListBullet"/>
        <w:rPr>
          <w:lang w:val="en-US" w:eastAsia="en-AU"/>
        </w:rPr>
      </w:pPr>
      <w:r w:rsidRPr="005567A0">
        <w:rPr>
          <w:lang w:val="en-US" w:eastAsia="en-AU"/>
        </w:rPr>
        <w:t>additional service fees</w:t>
      </w:r>
    </w:p>
    <w:p w14:paraId="1140ADD3" w14:textId="6C6567D5" w:rsidR="00FE1DEE" w:rsidRPr="005567A0" w:rsidRDefault="00FE1DEE" w:rsidP="00EA6DD7">
      <w:pPr>
        <w:pStyle w:val="ListBullet"/>
        <w:rPr>
          <w:lang w:val="en" w:eastAsia="en-AU"/>
        </w:rPr>
      </w:pPr>
      <w:r w:rsidRPr="005567A0">
        <w:rPr>
          <w:lang w:val="en" w:eastAsia="en-AU"/>
        </w:rPr>
        <w:t>extra service fee</w:t>
      </w:r>
    </w:p>
    <w:p w14:paraId="2938F65A" w14:textId="2FC6E877" w:rsidR="0093794F" w:rsidRPr="00643A44" w:rsidRDefault="0093794F" w:rsidP="00EA6DD7">
      <w:pPr>
        <w:pStyle w:val="ListBullet"/>
        <w:rPr>
          <w:lang w:val="en" w:eastAsia="en-AU"/>
        </w:rPr>
      </w:pPr>
      <w:r w:rsidRPr="005567A0">
        <w:rPr>
          <w:lang w:eastAsia="en-AU"/>
        </w:rPr>
        <w:t>higher everyday living fee</w:t>
      </w:r>
      <w:r w:rsidR="00F403FA">
        <w:rPr>
          <w:lang w:eastAsia="en-AU"/>
        </w:rPr>
        <w:t xml:space="preserve"> (HELF)</w:t>
      </w:r>
      <w:r w:rsidR="002D6357" w:rsidRPr="005567A0">
        <w:rPr>
          <w:lang w:eastAsia="en-AU"/>
        </w:rPr>
        <w:t>.</w:t>
      </w:r>
    </w:p>
    <w:p w14:paraId="59353850" w14:textId="77777777" w:rsidR="00EA6DD7" w:rsidRPr="00EA6DD7" w:rsidRDefault="00EA6DD7" w:rsidP="00EA6DD7">
      <w:pPr>
        <w:pStyle w:val="Bluebox"/>
        <w:rPr>
          <w:rStyle w:val="Strong"/>
        </w:rPr>
      </w:pPr>
      <w:r w:rsidRPr="00EA6DD7">
        <w:rPr>
          <w:rStyle w:val="Strong"/>
        </w:rPr>
        <w:t>Note:</w:t>
      </w:r>
    </w:p>
    <w:p w14:paraId="69BE4C7F" w14:textId="77777777" w:rsidR="00EA6DD7" w:rsidRPr="00EA6DD7" w:rsidRDefault="00EA6DD7" w:rsidP="00EA6DD7">
      <w:pPr>
        <w:pStyle w:val="Bluebox"/>
        <w:rPr>
          <w:lang w:eastAsia="en-AU"/>
        </w:rPr>
      </w:pPr>
      <w:r w:rsidRPr="00EA6DD7">
        <w:rPr>
          <w:lang w:eastAsia="en-AU"/>
        </w:rPr>
        <w:t xml:space="preserve">From 1 November 2025 providers cannot enter into new extra and additional service fee agreements. Existing agreements may continue but residents must be transitioned to HELF agreements by 1 November 2026. </w:t>
      </w:r>
    </w:p>
    <w:p w14:paraId="120003DE" w14:textId="44899282" w:rsidR="00643A44" w:rsidRPr="005567A0" w:rsidRDefault="00EA6DD7" w:rsidP="00EA6DD7">
      <w:pPr>
        <w:pStyle w:val="Bluebox"/>
        <w:rPr>
          <w:lang w:eastAsia="en-AU"/>
        </w:rPr>
      </w:pPr>
      <w:r w:rsidRPr="00EA6DD7">
        <w:rPr>
          <w:lang w:eastAsia="en-AU"/>
        </w:rPr>
        <w:t>The auditor should verify compliance with these requirements and consider whether the provider has appropriate processes in place to manage this transition.</w:t>
      </w:r>
    </w:p>
    <w:p w14:paraId="23CCED1A" w14:textId="53F6E295" w:rsidR="00814FEB" w:rsidRPr="005567A0" w:rsidRDefault="00814FEB" w:rsidP="0087599B">
      <w:pPr>
        <w:pStyle w:val="Heading2"/>
      </w:pPr>
      <w:r w:rsidRPr="005567A0">
        <w:t xml:space="preserve">Further </w:t>
      </w:r>
      <w:r w:rsidR="00F508EE" w:rsidRPr="005567A0">
        <w:t>i</w:t>
      </w:r>
      <w:r w:rsidRPr="005567A0">
        <w:t>nformation</w:t>
      </w:r>
    </w:p>
    <w:p w14:paraId="5C02DD94" w14:textId="4848976D" w:rsidR="007051E1" w:rsidRPr="00EA6DD7" w:rsidRDefault="007D3530" w:rsidP="00EA5073">
      <w:r w:rsidRPr="007051E1">
        <w:rPr>
          <w:rFonts w:asciiTheme="minorHAnsi" w:hAnsiTheme="minorHAnsi" w:cstheme="minorHAnsi"/>
          <w:szCs w:val="24"/>
        </w:rPr>
        <w:t>Refer to the link for</w:t>
      </w:r>
      <w:r w:rsidRPr="007051E1">
        <w:rPr>
          <w:rFonts w:asciiTheme="minorHAnsi" w:hAnsiTheme="minorHAnsi" w:cstheme="minorHAnsi"/>
          <w:i/>
          <w:szCs w:val="24"/>
        </w:rPr>
        <w:t xml:space="preserve"> </w:t>
      </w:r>
      <w:r w:rsidRPr="007051E1">
        <w:rPr>
          <w:rFonts w:asciiTheme="minorHAnsi" w:hAnsiTheme="minorHAnsi" w:cstheme="minorHAnsi"/>
          <w:szCs w:val="24"/>
        </w:rPr>
        <w:t>f</w:t>
      </w:r>
      <w:r w:rsidR="00814FEB" w:rsidRPr="007051E1">
        <w:rPr>
          <w:rFonts w:asciiTheme="minorHAnsi" w:hAnsiTheme="minorHAnsi" w:cstheme="minorHAnsi"/>
          <w:szCs w:val="24"/>
        </w:rPr>
        <w:t>urther</w:t>
      </w:r>
      <w:r w:rsidRPr="007051E1">
        <w:rPr>
          <w:rFonts w:asciiTheme="minorHAnsi" w:hAnsiTheme="minorHAnsi" w:cstheme="minorHAnsi"/>
          <w:i/>
          <w:smallCaps/>
          <w:szCs w:val="24"/>
        </w:rPr>
        <w:t xml:space="preserve"> </w:t>
      </w:r>
      <w:r w:rsidR="00814FEB" w:rsidRPr="007051E1">
        <w:rPr>
          <w:rFonts w:asciiTheme="minorHAnsi" w:hAnsiTheme="minorHAnsi" w:cstheme="minorHAnsi"/>
          <w:szCs w:val="24"/>
        </w:rPr>
        <w:t xml:space="preserve">information about the </w:t>
      </w:r>
      <w:hyperlink r:id="rId19" w:history="1">
        <w:r w:rsidR="00EA5073" w:rsidRPr="005567A0">
          <w:rPr>
            <w:rStyle w:val="Hyperlink"/>
            <w:rFonts w:asciiTheme="minorHAnsi" w:hAnsiTheme="minorHAnsi" w:cstheme="minorHAnsi"/>
            <w:i/>
            <w:spacing w:val="5"/>
            <w:szCs w:val="24"/>
          </w:rPr>
          <w:t>Aged Care Act 1997</w:t>
        </w:r>
      </w:hyperlink>
      <w:r w:rsidR="00814FEB" w:rsidRPr="007051E1">
        <w:rPr>
          <w:rFonts w:asciiTheme="minorHAnsi" w:hAnsiTheme="minorHAnsi" w:cstheme="minorHAnsi"/>
          <w:szCs w:val="24"/>
        </w:rPr>
        <w:t>, the</w:t>
      </w:r>
      <w:r w:rsidR="00814FEB" w:rsidRPr="005567A0">
        <w:rPr>
          <w:rFonts w:asciiTheme="minorHAnsi" w:hAnsiTheme="minorHAnsi" w:cstheme="minorHAnsi"/>
          <w:i/>
          <w:szCs w:val="24"/>
        </w:rPr>
        <w:t xml:space="preserve"> </w:t>
      </w:r>
      <w:hyperlink r:id="rId20" w:history="1">
        <w:r w:rsidR="007051E1" w:rsidRPr="005567A0">
          <w:rPr>
            <w:rStyle w:val="Hyperlink"/>
            <w:rFonts w:asciiTheme="minorHAnsi" w:hAnsiTheme="minorHAnsi" w:cstheme="minorHAnsi"/>
            <w:i/>
            <w:iCs/>
            <w:szCs w:val="24"/>
          </w:rPr>
          <w:t>Fees and Payments Principles 2014 (No.2)</w:t>
        </w:r>
      </w:hyperlink>
      <w:r w:rsidR="007051E1" w:rsidRPr="007051E1">
        <w:rPr>
          <w:rFonts w:asciiTheme="minorHAnsi" w:hAnsiTheme="minorHAnsi" w:cstheme="minorHAnsi"/>
        </w:rPr>
        <w:t xml:space="preserve">, the </w:t>
      </w:r>
      <w:hyperlink r:id="rId21" w:history="1">
        <w:r w:rsidR="007051E1" w:rsidRPr="005567A0">
          <w:rPr>
            <w:rStyle w:val="Hyperlink"/>
            <w:rFonts w:asciiTheme="minorHAnsi" w:hAnsiTheme="minorHAnsi" w:cstheme="minorHAnsi"/>
            <w:i/>
            <w:iCs/>
          </w:rPr>
          <w:t>Aged Care Act 2024</w:t>
        </w:r>
      </w:hyperlink>
      <w:r w:rsidR="007051E1" w:rsidRPr="007051E1">
        <w:rPr>
          <w:rFonts w:asciiTheme="minorHAnsi" w:hAnsiTheme="minorHAnsi" w:cstheme="minorHAnsi"/>
        </w:rPr>
        <w:t xml:space="preserve">, the </w:t>
      </w:r>
      <w:hyperlink r:id="rId22" w:history="1">
        <w:r w:rsidR="007051E1" w:rsidRPr="005567A0">
          <w:rPr>
            <w:rStyle w:val="Hyperlink"/>
            <w:rFonts w:asciiTheme="minorHAnsi" w:hAnsiTheme="minorHAnsi" w:cstheme="minorHAnsi"/>
            <w:i/>
            <w:iCs/>
          </w:rPr>
          <w:t>Aged Care Rules 2025</w:t>
        </w:r>
      </w:hyperlink>
      <w:r w:rsidR="007051E1" w:rsidRPr="007051E1">
        <w:rPr>
          <w:rFonts w:asciiTheme="minorHAnsi" w:hAnsiTheme="minorHAnsi" w:cstheme="minorHAnsi"/>
        </w:rPr>
        <w:t xml:space="preserve"> and the </w:t>
      </w:r>
      <w:hyperlink r:id="rId23" w:history="1">
        <w:r w:rsidR="007051E1" w:rsidRPr="005567A0">
          <w:rPr>
            <w:rStyle w:val="Hyperlink"/>
            <w:i/>
          </w:rPr>
          <w:t>Aged Care Financial and Prudential Standards 2025</w:t>
        </w:r>
      </w:hyperlink>
      <w:r w:rsidR="007051E1" w:rsidRPr="007051E1">
        <w:rPr>
          <w:rFonts w:asciiTheme="minorHAnsi" w:hAnsiTheme="minorHAnsi" w:cstheme="minorHAnsi"/>
        </w:rPr>
        <w:t>.</w:t>
      </w:r>
    </w:p>
    <w:p w14:paraId="25D96088" w14:textId="0F0277D1" w:rsidR="00D05549" w:rsidRPr="005567A0" w:rsidRDefault="005F5C87" w:rsidP="00EA5073">
      <w:pPr>
        <w:rPr>
          <w:rFonts w:asciiTheme="minorHAnsi" w:hAnsiTheme="minorHAnsi" w:cstheme="minorHAnsi"/>
        </w:rPr>
      </w:pPr>
      <w:r w:rsidRPr="005567A0">
        <w:rPr>
          <w:rFonts w:asciiTheme="minorHAnsi" w:hAnsiTheme="minorHAnsi" w:cstheme="minorHAnsi"/>
        </w:rPr>
        <w:t>Compliance and enforcement information</w:t>
      </w:r>
      <w:r w:rsidR="00474B7C" w:rsidRPr="005567A0">
        <w:rPr>
          <w:rFonts w:asciiTheme="minorHAnsi" w:hAnsiTheme="minorHAnsi" w:cstheme="minorHAnsi"/>
        </w:rPr>
        <w:t xml:space="preserve">, including actions we can take </w:t>
      </w:r>
      <w:r w:rsidR="001F09EA" w:rsidRPr="005567A0">
        <w:rPr>
          <w:rFonts w:asciiTheme="minorHAnsi" w:hAnsiTheme="minorHAnsi" w:cstheme="minorHAnsi"/>
        </w:rPr>
        <w:t>to uphold the rights of older people,</w:t>
      </w:r>
      <w:r w:rsidR="00814FEB" w:rsidRPr="005567A0">
        <w:rPr>
          <w:rFonts w:asciiTheme="minorHAnsi" w:hAnsiTheme="minorHAnsi" w:cstheme="minorHAnsi"/>
        </w:rPr>
        <w:t xml:space="preserve"> is available </w:t>
      </w:r>
      <w:r w:rsidR="001F09EA" w:rsidRPr="005567A0">
        <w:rPr>
          <w:rFonts w:asciiTheme="minorHAnsi" w:hAnsiTheme="minorHAnsi" w:cstheme="minorHAnsi"/>
        </w:rPr>
        <w:t xml:space="preserve">on the </w:t>
      </w:r>
      <w:hyperlink r:id="rId24" w:history="1">
        <w:r w:rsidR="001F09EA" w:rsidRPr="005567A0">
          <w:rPr>
            <w:rStyle w:val="Hyperlink"/>
            <w:rFonts w:asciiTheme="minorHAnsi" w:hAnsiTheme="minorHAnsi" w:cstheme="minorHAnsi"/>
          </w:rPr>
          <w:t>Commission’s</w:t>
        </w:r>
        <w:r w:rsidR="007D3530" w:rsidRPr="005567A0">
          <w:rPr>
            <w:rStyle w:val="Hyperlink"/>
            <w:rFonts w:asciiTheme="minorHAnsi" w:hAnsiTheme="minorHAnsi" w:cstheme="minorHAnsi"/>
          </w:rPr>
          <w:t xml:space="preserve"> website</w:t>
        </w:r>
      </w:hyperlink>
      <w:r w:rsidR="007D3530" w:rsidRPr="005567A0">
        <w:rPr>
          <w:rFonts w:asciiTheme="minorHAnsi" w:hAnsiTheme="minorHAnsi" w:cstheme="minorHAnsi"/>
          <w:i/>
          <w:smallCaps/>
        </w:rPr>
        <w:t>.</w:t>
      </w:r>
    </w:p>
    <w:p w14:paraId="5F85511A" w14:textId="77777777" w:rsidR="002D6357" w:rsidRPr="005567A0" w:rsidRDefault="00814FEB" w:rsidP="001A1C63">
      <w:pPr>
        <w:rPr>
          <w:rFonts w:asciiTheme="minorHAnsi" w:hAnsiTheme="minorHAnsi" w:cstheme="minorHAnsi"/>
        </w:rPr>
      </w:pPr>
      <w:r w:rsidRPr="005567A0">
        <w:rPr>
          <w:rFonts w:asciiTheme="minorHAnsi" w:hAnsiTheme="minorHAnsi" w:cstheme="minorHAnsi"/>
          <w:szCs w:val="24"/>
        </w:rPr>
        <w:t xml:space="preserve">If you want to contact the </w:t>
      </w:r>
      <w:r w:rsidR="00851988" w:rsidRPr="005567A0">
        <w:rPr>
          <w:rFonts w:asciiTheme="minorHAnsi" w:hAnsiTheme="minorHAnsi" w:cstheme="minorHAnsi"/>
          <w:szCs w:val="24"/>
        </w:rPr>
        <w:t>Commission</w:t>
      </w:r>
      <w:r w:rsidRPr="005567A0">
        <w:rPr>
          <w:rFonts w:asciiTheme="minorHAnsi" w:hAnsiTheme="minorHAnsi" w:cstheme="minorHAnsi"/>
          <w:szCs w:val="24"/>
        </w:rPr>
        <w:t xml:space="preserve"> about the prudential requirements, this guide or the APCS please</w:t>
      </w:r>
      <w:r w:rsidR="00D717C1" w:rsidRPr="005567A0">
        <w:rPr>
          <w:rFonts w:asciiTheme="minorHAnsi" w:hAnsiTheme="minorHAnsi" w:cstheme="minorHAnsi"/>
          <w:i/>
          <w:smallCaps/>
          <w:szCs w:val="24"/>
        </w:rPr>
        <w:t xml:space="preserve"> </w:t>
      </w:r>
      <w:r w:rsidRPr="005567A0">
        <w:rPr>
          <w:rFonts w:asciiTheme="minorHAnsi" w:hAnsiTheme="minorHAnsi" w:cstheme="minorHAnsi"/>
          <w:szCs w:val="24"/>
        </w:rPr>
        <w:t>e</w:t>
      </w:r>
      <w:r w:rsidR="006F38FF" w:rsidRPr="005567A0">
        <w:rPr>
          <w:rFonts w:asciiTheme="minorHAnsi" w:hAnsiTheme="minorHAnsi" w:cstheme="minorHAnsi"/>
          <w:szCs w:val="24"/>
        </w:rPr>
        <w:t>-</w:t>
      </w:r>
      <w:r w:rsidRPr="005567A0">
        <w:rPr>
          <w:rFonts w:asciiTheme="minorHAnsi" w:hAnsiTheme="minorHAnsi" w:cstheme="minorHAnsi"/>
          <w:szCs w:val="24"/>
        </w:rPr>
        <w:t xml:space="preserve">mail: </w:t>
      </w:r>
      <w:r w:rsidR="002D6357" w:rsidRPr="005567A0">
        <w:rPr>
          <w:rFonts w:asciiTheme="minorHAnsi" w:hAnsiTheme="minorHAnsi" w:cstheme="minorHAnsi"/>
          <w:szCs w:val="24"/>
        </w:rPr>
        <w:fldChar w:fldCharType="begin"/>
      </w:r>
      <w:r w:rsidR="002D6357" w:rsidRPr="005567A0">
        <w:rPr>
          <w:rFonts w:asciiTheme="minorHAnsi" w:hAnsiTheme="minorHAnsi" w:cstheme="minorHAnsi"/>
          <w:szCs w:val="24"/>
        </w:rPr>
        <w:instrText>HYPERLINK "mailto:</w:instrText>
      </w:r>
      <w:r w:rsidR="002D6357" w:rsidRPr="005567A0">
        <w:rPr>
          <w:rFonts w:asciiTheme="minorHAnsi" w:hAnsiTheme="minorHAnsi" w:cstheme="minorHAnsi"/>
        </w:rPr>
        <w:instrText>prudential@agedcarequality.gov.au.</w:instrText>
      </w:r>
    </w:p>
    <w:p w14:paraId="18854277" w14:textId="126937D9" w:rsidR="002D6357" w:rsidRPr="003A094E" w:rsidRDefault="002D6357" w:rsidP="003A094E">
      <w:pPr>
        <w:rPr>
          <w:rStyle w:val="Hyperlink"/>
        </w:rPr>
      </w:pPr>
      <w:r w:rsidRPr="005567A0">
        <w:rPr>
          <w:rFonts w:asciiTheme="minorHAnsi" w:hAnsiTheme="minorHAnsi" w:cstheme="minorHAnsi"/>
          <w:szCs w:val="24"/>
        </w:rPr>
        <w:instrText>"</w:instrText>
      </w:r>
      <w:r w:rsidRPr="005567A0">
        <w:rPr>
          <w:rFonts w:asciiTheme="minorHAnsi" w:hAnsiTheme="minorHAnsi" w:cstheme="minorHAnsi"/>
          <w:szCs w:val="24"/>
        </w:rPr>
      </w:r>
      <w:r w:rsidRPr="005567A0">
        <w:rPr>
          <w:rFonts w:asciiTheme="minorHAnsi" w:hAnsiTheme="minorHAnsi" w:cstheme="minorHAnsi"/>
          <w:szCs w:val="24"/>
        </w:rPr>
        <w:fldChar w:fldCharType="separate"/>
      </w:r>
      <w:r w:rsidRPr="003A094E">
        <w:rPr>
          <w:rStyle w:val="Hyperlink"/>
        </w:rPr>
        <w:t>prudential@agedcarequality.gov.au.</w:t>
      </w:r>
    </w:p>
    <w:p w14:paraId="5959663D" w14:textId="0773BE68" w:rsidR="00814FEB" w:rsidRPr="005567A0" w:rsidRDefault="002D6357" w:rsidP="005567A0">
      <w:pPr>
        <w:pStyle w:val="Heading1"/>
        <w:spacing w:before="360"/>
        <w:rPr>
          <w:rFonts w:asciiTheme="minorHAnsi" w:hAnsiTheme="minorHAnsi" w:cstheme="minorHAnsi"/>
          <w:color w:val="0070C0"/>
        </w:rPr>
      </w:pPr>
      <w:r w:rsidRPr="005567A0">
        <w:rPr>
          <w:rFonts w:asciiTheme="minorHAnsi" w:hAnsiTheme="minorHAnsi" w:cstheme="minorHAnsi"/>
          <w:szCs w:val="24"/>
        </w:rPr>
        <w:fldChar w:fldCharType="end"/>
      </w:r>
      <w:r w:rsidR="006724B6" w:rsidRPr="005567A0">
        <w:rPr>
          <w:rFonts w:asciiTheme="minorHAnsi" w:hAnsiTheme="minorHAnsi" w:cstheme="minorHAnsi"/>
          <w:color w:val="0070C0"/>
        </w:rPr>
        <w:t xml:space="preserve">SELECTION OF PRUDENTIAL REQUIREMENTS THAT SHOULD BE CONSIDERED IN THE SCOPE OF THE AUDIT  </w:t>
      </w:r>
    </w:p>
    <w:p w14:paraId="55B42506" w14:textId="77777777" w:rsidR="00814FEB" w:rsidRPr="003A094E" w:rsidRDefault="006F38FF" w:rsidP="00896254">
      <w:pPr>
        <w:pStyle w:val="ListNumber3"/>
      </w:pPr>
      <w:r w:rsidRPr="005567A0">
        <w:t xml:space="preserve">Refundable deposits, </w:t>
      </w:r>
      <w:r w:rsidR="00814FEB" w:rsidRPr="005567A0">
        <w:t>bonds and entry contributions held</w:t>
      </w:r>
    </w:p>
    <w:p w14:paraId="7AFD4279" w14:textId="36B84462" w:rsidR="00814FEB" w:rsidRPr="005567A0" w:rsidRDefault="00814FEB" w:rsidP="00EA6DD7">
      <w:pPr>
        <w:pStyle w:val="ListBullet"/>
      </w:pPr>
      <w:r w:rsidRPr="005567A0">
        <w:t>the number and value of refundable deposit, bond band entry contribution balances held by the provider at the end of the financial year</w:t>
      </w:r>
    </w:p>
    <w:p w14:paraId="60EC205B" w14:textId="77777777" w:rsidR="00814FEB" w:rsidRPr="003A094E" w:rsidRDefault="00814FEB" w:rsidP="00896254">
      <w:pPr>
        <w:pStyle w:val="ListNumber3"/>
      </w:pPr>
      <w:r w:rsidRPr="005567A0">
        <w:t>Refund of refundable deposit, bond and entry contributions</w:t>
      </w:r>
    </w:p>
    <w:p w14:paraId="5DA21B66" w14:textId="56242829" w:rsidR="00814FEB" w:rsidRPr="005567A0" w:rsidRDefault="00814FEB" w:rsidP="00EA6DD7">
      <w:pPr>
        <w:pStyle w:val="ListBullet"/>
      </w:pPr>
      <w:r w:rsidRPr="005567A0">
        <w:t>the total number of refundable deposit and bonds or entry contributions not refunded within the legislated timeframe</w:t>
      </w:r>
    </w:p>
    <w:p w14:paraId="2F01F7D0" w14:textId="77777777" w:rsidR="00814FEB" w:rsidRPr="003A094E" w:rsidRDefault="00814FEB" w:rsidP="00896254">
      <w:pPr>
        <w:pStyle w:val="ListNumber3"/>
      </w:pPr>
      <w:r w:rsidRPr="005567A0">
        <w:t>Allowable deduc</w:t>
      </w:r>
      <w:r w:rsidR="00305785" w:rsidRPr="005567A0">
        <w:t xml:space="preserve">tions from refundable deposit, </w:t>
      </w:r>
      <w:r w:rsidRPr="005567A0">
        <w:t>bond and entry contribution balances</w:t>
      </w:r>
    </w:p>
    <w:p w14:paraId="798CC5A5" w14:textId="1C5CBD39" w:rsidR="00D05549" w:rsidRPr="005567A0" w:rsidRDefault="00814FEB" w:rsidP="00EA6DD7">
      <w:pPr>
        <w:pStyle w:val="ListBullet"/>
      </w:pPr>
      <w:r w:rsidRPr="005567A0">
        <w:t xml:space="preserve">the total amount deducted from refundable deposit, bond or entry contribution balances in accordance with </w:t>
      </w:r>
      <w:r w:rsidR="004712A9" w:rsidRPr="005567A0">
        <w:t>s</w:t>
      </w:r>
      <w:r w:rsidRPr="005567A0">
        <w:t xml:space="preserve">ection 52J-7of the </w:t>
      </w:r>
      <w:r w:rsidR="0064626D" w:rsidRPr="005567A0">
        <w:t xml:space="preserve">old </w:t>
      </w:r>
      <w:r w:rsidRPr="005567A0">
        <w:t>Act</w:t>
      </w:r>
      <w:r w:rsidR="00395F73" w:rsidRPr="005567A0">
        <w:t xml:space="preserve"> and </w:t>
      </w:r>
      <w:r w:rsidR="004712A9" w:rsidRPr="005567A0">
        <w:t>s</w:t>
      </w:r>
      <w:r w:rsidR="00022DA5" w:rsidRPr="005567A0">
        <w:t>ection 307</w:t>
      </w:r>
      <w:r w:rsidR="0067288E" w:rsidRPr="005567A0">
        <w:t xml:space="preserve"> and </w:t>
      </w:r>
      <w:r w:rsidR="00022DA5" w:rsidRPr="005567A0">
        <w:t>of the new Act</w:t>
      </w:r>
    </w:p>
    <w:p w14:paraId="3F39C2FB" w14:textId="1AD44E0F" w:rsidR="00B856EB" w:rsidRPr="005567A0" w:rsidRDefault="00124553" w:rsidP="00EA6DD7">
      <w:pPr>
        <w:pStyle w:val="ListBullet"/>
      </w:pPr>
      <w:r w:rsidRPr="005567A0">
        <w:t xml:space="preserve">from 1 November </w:t>
      </w:r>
      <w:r w:rsidR="000B43A8" w:rsidRPr="005567A0">
        <w:t xml:space="preserve">consider </w:t>
      </w:r>
      <w:r w:rsidR="00501194" w:rsidRPr="005567A0">
        <w:t xml:space="preserve">the </w:t>
      </w:r>
      <w:r w:rsidR="00CC0967" w:rsidRPr="005567A0">
        <w:t xml:space="preserve">deduction of </w:t>
      </w:r>
      <w:r w:rsidR="00BE585E" w:rsidRPr="005567A0">
        <w:t>retention</w:t>
      </w:r>
      <w:r w:rsidR="00E50790" w:rsidRPr="005567A0">
        <w:t xml:space="preserve"> amounts required by </w:t>
      </w:r>
      <w:r w:rsidR="004712A9" w:rsidRPr="005567A0">
        <w:t>s</w:t>
      </w:r>
      <w:r w:rsidR="00E50790" w:rsidRPr="005567A0">
        <w:t xml:space="preserve">ection 308 of the </w:t>
      </w:r>
      <w:r w:rsidR="009E64DC" w:rsidRPr="005567A0">
        <w:t>new Act</w:t>
      </w:r>
      <w:r w:rsidR="00501194" w:rsidRPr="005567A0">
        <w:t xml:space="preserve"> </w:t>
      </w:r>
    </w:p>
    <w:p w14:paraId="2887380A" w14:textId="77777777" w:rsidR="00D05549" w:rsidRPr="005567A0" w:rsidRDefault="00D05549" w:rsidP="00896254">
      <w:pPr>
        <w:pStyle w:val="ListNumber3"/>
      </w:pPr>
      <w:r w:rsidRPr="005567A0">
        <w:t>Compliance with the Liquidity Standard</w:t>
      </w:r>
    </w:p>
    <w:p w14:paraId="7D93A01A" w14:textId="77777777" w:rsidR="004677CB" w:rsidRPr="005567A0" w:rsidRDefault="00D05549" w:rsidP="00EA6DD7">
      <w:pPr>
        <w:pStyle w:val="ListBullet"/>
      </w:pPr>
      <w:r w:rsidRPr="005567A0">
        <w:t>the existence of an LMS</w:t>
      </w:r>
    </w:p>
    <w:p w14:paraId="667D9D17" w14:textId="2CD40229" w:rsidR="00D05549" w:rsidRPr="005567A0" w:rsidRDefault="001958F3" w:rsidP="00EA6DD7">
      <w:pPr>
        <w:pStyle w:val="ListBullet"/>
      </w:pPr>
      <w:r w:rsidRPr="005567A0">
        <w:t>f</w:t>
      </w:r>
      <w:r w:rsidR="0013134C" w:rsidRPr="005567A0">
        <w:t xml:space="preserve">rom 1 November the </w:t>
      </w:r>
      <w:r w:rsidR="00561E24" w:rsidRPr="005567A0">
        <w:t>Liquidity Standard requires providers to calculate two minimum liquidity amount</w:t>
      </w:r>
      <w:r w:rsidR="00545C01" w:rsidRPr="005567A0">
        <w:t>s</w:t>
      </w:r>
      <w:r w:rsidR="00561E24" w:rsidRPr="005567A0">
        <w:t xml:space="preserve"> (MLA)</w:t>
      </w:r>
      <w:r w:rsidR="004B3411" w:rsidRPr="005567A0">
        <w:t>:</w:t>
      </w:r>
    </w:p>
    <w:p w14:paraId="7F13F42C" w14:textId="02237F32" w:rsidR="004B3411" w:rsidRPr="005567A0" w:rsidRDefault="004B3411" w:rsidP="00EA6DD7">
      <w:pPr>
        <w:pStyle w:val="ListBullet2"/>
      </w:pPr>
      <w:r w:rsidRPr="005567A0">
        <w:t xml:space="preserve">a </w:t>
      </w:r>
      <w:r w:rsidR="00F364EB">
        <w:t>D</w:t>
      </w:r>
      <w:r w:rsidRPr="005567A0">
        <w:t xml:space="preserve">MLA (Calculated using the formula in the Standard) </w:t>
      </w:r>
    </w:p>
    <w:p w14:paraId="11EB6571" w14:textId="5DC2B4F5" w:rsidR="004B3411" w:rsidRPr="005567A0" w:rsidRDefault="004B3411" w:rsidP="00EA6DD7">
      <w:pPr>
        <w:pStyle w:val="ListBullet2"/>
      </w:pPr>
      <w:r w:rsidRPr="005567A0">
        <w:t xml:space="preserve">an </w:t>
      </w:r>
      <w:r w:rsidR="00F364EB">
        <w:t>E</w:t>
      </w:r>
      <w:r w:rsidRPr="005567A0">
        <w:t>MLA (based on the provider’s individual financial situation)</w:t>
      </w:r>
    </w:p>
    <w:p w14:paraId="7E97DE23" w14:textId="73F8AC69" w:rsidR="00AD3779" w:rsidRPr="005567A0" w:rsidRDefault="007D7267" w:rsidP="00EA6DD7">
      <w:pPr>
        <w:pStyle w:val="ListBullet"/>
      </w:pPr>
      <w:r w:rsidRPr="005567A0">
        <w:t xml:space="preserve">whether </w:t>
      </w:r>
      <w:r w:rsidR="00BA2280" w:rsidRPr="005567A0">
        <w:t xml:space="preserve">the provider </w:t>
      </w:r>
      <w:r w:rsidR="00AF7C21" w:rsidRPr="005567A0">
        <w:t>has maintained</w:t>
      </w:r>
      <w:r w:rsidRPr="005567A0">
        <w:t xml:space="preserve"> </w:t>
      </w:r>
      <w:r w:rsidR="00001633" w:rsidRPr="005567A0">
        <w:t>their</w:t>
      </w:r>
      <w:r w:rsidRPr="005567A0">
        <w:t xml:space="preserve"> </w:t>
      </w:r>
      <w:r w:rsidR="00AD3779" w:rsidRPr="005567A0">
        <w:t>chosen MLA method</w:t>
      </w:r>
    </w:p>
    <w:p w14:paraId="7C0063CD" w14:textId="7C5C56BD" w:rsidR="00D05549" w:rsidRPr="005567A0" w:rsidRDefault="00726EB0" w:rsidP="00EA6DD7">
      <w:pPr>
        <w:pStyle w:val="ListBullet"/>
      </w:pPr>
      <w:r w:rsidRPr="005567A0">
        <w:t>whether the provider has notified the Commission if maintaining their evaluated MLA</w:t>
      </w:r>
    </w:p>
    <w:p w14:paraId="7AEE03E2" w14:textId="0613245D" w:rsidR="00D05549" w:rsidRPr="005567A0" w:rsidRDefault="00D05549" w:rsidP="00EA6DD7">
      <w:pPr>
        <w:pStyle w:val="ListBullet"/>
      </w:pPr>
      <w:r w:rsidRPr="005567A0">
        <w:t xml:space="preserve">the </w:t>
      </w:r>
      <w:r w:rsidR="00586937" w:rsidRPr="005567A0">
        <w:t xml:space="preserve">types of liquidity </w:t>
      </w:r>
      <w:r w:rsidR="009C15A7" w:rsidRPr="005567A0">
        <w:t>the provider has to</w:t>
      </w:r>
      <w:r w:rsidRPr="005567A0">
        <w:t xml:space="preserve"> maintain the </w:t>
      </w:r>
      <w:r w:rsidR="009C15A7" w:rsidRPr="005567A0">
        <w:t>MLA</w:t>
      </w:r>
    </w:p>
    <w:p w14:paraId="1817ECFD" w14:textId="2766BFF4" w:rsidR="00D05549" w:rsidRPr="005567A0" w:rsidRDefault="00001633" w:rsidP="00EA6DD7">
      <w:pPr>
        <w:pStyle w:val="ListBullet"/>
      </w:pPr>
      <w:r w:rsidRPr="005567A0">
        <w:t xml:space="preserve">whether </w:t>
      </w:r>
      <w:r w:rsidR="00D05549" w:rsidRPr="005567A0">
        <w:t>the provider</w:t>
      </w:r>
      <w:r w:rsidRPr="005567A0">
        <w:t>’s governing body has reviewed and sign off these amounts each quarter</w:t>
      </w:r>
    </w:p>
    <w:p w14:paraId="0CAB21BE" w14:textId="23508222" w:rsidR="009D45B5" w:rsidRPr="005567A0" w:rsidRDefault="009D45B5" w:rsidP="00896254">
      <w:pPr>
        <w:pStyle w:val="ListNumber3"/>
      </w:pPr>
      <w:r w:rsidRPr="005567A0">
        <w:t>Compliance with the Financial and Prudential Management Standard</w:t>
      </w:r>
      <w:r w:rsidR="001E3D78" w:rsidRPr="005567A0">
        <w:t xml:space="preserve"> (post 31 October)</w:t>
      </w:r>
    </w:p>
    <w:p w14:paraId="4D74A729" w14:textId="1CD331B0" w:rsidR="000126D4" w:rsidRPr="005567A0" w:rsidRDefault="006C5BBE" w:rsidP="00EA6DD7">
      <w:pPr>
        <w:pStyle w:val="ListBullet"/>
      </w:pPr>
      <w:r w:rsidRPr="005567A0">
        <w:t>whether</w:t>
      </w:r>
      <w:r w:rsidR="003D4923" w:rsidRPr="005567A0">
        <w:t xml:space="preserve"> a written financial and prudential management system</w:t>
      </w:r>
      <w:r w:rsidRPr="005567A0">
        <w:t xml:space="preserve"> is in place and includes:</w:t>
      </w:r>
    </w:p>
    <w:p w14:paraId="764DEB23" w14:textId="43FBB1A1" w:rsidR="00170B39" w:rsidRPr="005567A0" w:rsidRDefault="00170B39" w:rsidP="00EA6DD7">
      <w:pPr>
        <w:pStyle w:val="ListBullet2"/>
      </w:pPr>
      <w:r w:rsidRPr="005567A0">
        <w:t>how the provider detects, records, and responds to any non-compliance with the system</w:t>
      </w:r>
    </w:p>
    <w:p w14:paraId="32828A4E" w14:textId="6558BE56" w:rsidR="00253750" w:rsidRPr="005567A0" w:rsidRDefault="00253750" w:rsidP="00EA6DD7">
      <w:pPr>
        <w:pStyle w:val="ListBullet2"/>
      </w:pPr>
      <w:r w:rsidRPr="005567A0">
        <w:t>descriptions of the roles and responsibilities for financial and prudential governance</w:t>
      </w:r>
    </w:p>
    <w:p w14:paraId="2336A1F1" w14:textId="1E0C7C08" w:rsidR="006C5BBE" w:rsidRPr="005567A0" w:rsidRDefault="009B6261" w:rsidP="00EA6DD7">
      <w:pPr>
        <w:pStyle w:val="ListBullet2"/>
      </w:pPr>
      <w:r w:rsidRPr="005567A0">
        <w:t>accountabilities and processes to manage refundable deposits</w:t>
      </w:r>
    </w:p>
    <w:p w14:paraId="73F2052A" w14:textId="4DDA6D5C" w:rsidR="000126D4" w:rsidRPr="005567A0" w:rsidRDefault="00331BD9" w:rsidP="00896254">
      <w:pPr>
        <w:pStyle w:val="ListNumber3"/>
      </w:pPr>
      <w:r w:rsidRPr="005567A0">
        <w:t>Compliance</w:t>
      </w:r>
      <w:r w:rsidR="000126D4" w:rsidRPr="005567A0">
        <w:t xml:space="preserve"> with the Investment Standard</w:t>
      </w:r>
      <w:r w:rsidR="000A37D8" w:rsidRPr="005567A0">
        <w:t xml:space="preserve"> (post </w:t>
      </w:r>
      <w:r w:rsidR="001E3D78" w:rsidRPr="005567A0">
        <w:t>31 October)</w:t>
      </w:r>
    </w:p>
    <w:p w14:paraId="5FA29F2E" w14:textId="3217250F" w:rsidR="00501DCF" w:rsidRPr="005567A0" w:rsidRDefault="000D2B79" w:rsidP="00EA6DD7">
      <w:pPr>
        <w:pStyle w:val="ListBullet"/>
      </w:pPr>
      <w:r w:rsidRPr="005567A0">
        <w:t>w</w:t>
      </w:r>
      <w:r w:rsidR="00501DCF" w:rsidRPr="005567A0">
        <w:t>hether</w:t>
      </w:r>
      <w:r w:rsidRPr="005567A0">
        <w:t xml:space="preserve"> an IMS is in place</w:t>
      </w:r>
      <w:r w:rsidR="003A6D89" w:rsidRPr="005567A0">
        <w:t xml:space="preserve"> and includes:</w:t>
      </w:r>
    </w:p>
    <w:p w14:paraId="60A90BCB" w14:textId="77777777" w:rsidR="003A6D89" w:rsidRPr="005567A0" w:rsidRDefault="003A6D89" w:rsidP="00EA6DD7">
      <w:pPr>
        <w:pStyle w:val="ListBullet2"/>
      </w:pPr>
      <w:r w:rsidRPr="005567A0">
        <w:t xml:space="preserve">strategy for achieving investment objectives </w:t>
      </w:r>
    </w:p>
    <w:p w14:paraId="5C97D6B3" w14:textId="77777777" w:rsidR="003A6D89" w:rsidRPr="005567A0" w:rsidRDefault="003A6D89" w:rsidP="00EA6DD7">
      <w:pPr>
        <w:pStyle w:val="ListBullet2"/>
      </w:pPr>
      <w:r w:rsidRPr="005567A0">
        <w:t xml:space="preserve">roles and responsibilities for people implementing the strategy, and the skills and experience those people need </w:t>
      </w:r>
    </w:p>
    <w:p w14:paraId="7B86518A" w14:textId="77777777" w:rsidR="002B72A8" w:rsidRPr="005567A0" w:rsidRDefault="003A6D89" w:rsidP="00EA6DD7">
      <w:pPr>
        <w:pStyle w:val="ListBullet2"/>
      </w:pPr>
      <w:r w:rsidRPr="005567A0">
        <w:t>process for identifying, reducing and addressing risk</w:t>
      </w:r>
      <w:r w:rsidR="002B72A8" w:rsidRPr="005567A0">
        <w:t>s</w:t>
      </w:r>
    </w:p>
    <w:p w14:paraId="066E61E4" w14:textId="35222F88" w:rsidR="003A6D89" w:rsidRPr="005567A0" w:rsidRDefault="003A6D89" w:rsidP="00EA6DD7">
      <w:pPr>
        <w:pStyle w:val="ListBullet2"/>
      </w:pPr>
      <w:r w:rsidRPr="005567A0">
        <w:t xml:space="preserve"> processes for reporting and oversight of the implementation of the strategy.</w:t>
      </w:r>
    </w:p>
    <w:p w14:paraId="5824FF0D" w14:textId="312F870B" w:rsidR="001E3D78" w:rsidRPr="005567A0" w:rsidRDefault="001E3D78" w:rsidP="00896254">
      <w:pPr>
        <w:pStyle w:val="ListNumber3"/>
      </w:pPr>
      <w:r w:rsidRPr="005567A0">
        <w:t>Compliance with the Governance Standard (pre 1 November)</w:t>
      </w:r>
    </w:p>
    <w:p w14:paraId="1E598A17" w14:textId="77777777" w:rsidR="001E3D78" w:rsidRPr="005567A0" w:rsidRDefault="001E3D78" w:rsidP="00EA6DD7">
      <w:pPr>
        <w:pStyle w:val="ListBullet"/>
      </w:pPr>
      <w:r w:rsidRPr="005567A0">
        <w:t>whether a written governance system is implemented and mechanisms are in place to ensure it is kept up to date</w:t>
      </w:r>
    </w:p>
    <w:p w14:paraId="6C134B33" w14:textId="77777777" w:rsidR="001E3D78" w:rsidRPr="005567A0" w:rsidRDefault="001E3D78" w:rsidP="00EA6DD7">
      <w:pPr>
        <w:pStyle w:val="ListBullet"/>
      </w:pPr>
      <w:r w:rsidRPr="005567A0">
        <w:t xml:space="preserve">whether procedures are in place to ensure responsible key personnel can monitor and control the use of refundable deposits and bonds </w:t>
      </w:r>
    </w:p>
    <w:p w14:paraId="3B38E23B" w14:textId="0A7BA9D4" w:rsidR="001E3D78" w:rsidRPr="005567A0" w:rsidRDefault="001E3D78" w:rsidP="00EA6DD7">
      <w:pPr>
        <w:pStyle w:val="ListBullet"/>
      </w:pPr>
      <w:r w:rsidRPr="005567A0">
        <w:t xml:space="preserve">whether (if applicable) the </w:t>
      </w:r>
      <w:r w:rsidR="00405738">
        <w:t xml:space="preserve">IMS </w:t>
      </w:r>
      <w:r w:rsidRPr="005567A0">
        <w:t>is approved by the key personnel who are responsible for the provider’s executive decisions.</w:t>
      </w:r>
    </w:p>
    <w:p w14:paraId="68EB715C" w14:textId="1CABE2CC" w:rsidR="00D05549" w:rsidRPr="003A094E" w:rsidRDefault="00D05549" w:rsidP="00896254">
      <w:pPr>
        <w:pStyle w:val="ListNumber3"/>
      </w:pPr>
      <w:r w:rsidRPr="003A094E">
        <w:t xml:space="preserve">Compliance with </w:t>
      </w:r>
      <w:r w:rsidR="00E06CBE" w:rsidRPr="003A094E">
        <w:t>records obligations</w:t>
      </w:r>
    </w:p>
    <w:p w14:paraId="2B68D341" w14:textId="278AFDBA" w:rsidR="00D05549" w:rsidRPr="005567A0" w:rsidRDefault="00D05549" w:rsidP="00EA6DD7">
      <w:pPr>
        <w:pStyle w:val="ListBullet"/>
      </w:pPr>
      <w:r w:rsidRPr="005567A0">
        <w:t xml:space="preserve">whether a refundable deposit register </w:t>
      </w:r>
      <w:r w:rsidR="009176EC" w:rsidRPr="005567A0">
        <w:t xml:space="preserve">was maintained </w:t>
      </w:r>
      <w:r w:rsidRPr="005567A0">
        <w:t xml:space="preserve">that includes all the information required by </w:t>
      </w:r>
      <w:r w:rsidR="009176EC" w:rsidRPr="005567A0">
        <w:t>the Records Standard</w:t>
      </w:r>
      <w:r w:rsidR="00511AC3" w:rsidRPr="005567A0">
        <w:t xml:space="preserve"> and </w:t>
      </w:r>
      <w:r w:rsidR="005241F0" w:rsidRPr="005567A0">
        <w:t xml:space="preserve">sections </w:t>
      </w:r>
      <w:r w:rsidR="00511AC3" w:rsidRPr="005567A0">
        <w:t>150A-5</w:t>
      </w:r>
      <w:r w:rsidR="00C05B90" w:rsidRPr="005567A0">
        <w:t xml:space="preserve"> to</w:t>
      </w:r>
      <w:r w:rsidR="00511AC3" w:rsidRPr="005567A0">
        <w:t xml:space="preserve"> 150A-35 of the Rules</w:t>
      </w:r>
      <w:r w:rsidRPr="005567A0">
        <w:t xml:space="preserve"> for refundable deposits, bonds and entry contributions</w:t>
      </w:r>
    </w:p>
    <w:p w14:paraId="51CE6457" w14:textId="2BF44248" w:rsidR="00D05549" w:rsidRPr="003A094E" w:rsidRDefault="00D05549" w:rsidP="00896254">
      <w:pPr>
        <w:pStyle w:val="ListNumber3"/>
      </w:pPr>
      <w:r w:rsidRPr="003A094E">
        <w:t xml:space="preserve">Compliance with </w:t>
      </w:r>
      <w:r w:rsidR="009A535F" w:rsidRPr="003A094E">
        <w:t xml:space="preserve">disclosure </w:t>
      </w:r>
      <w:r w:rsidR="003B4D66" w:rsidRPr="003A094E">
        <w:t>obligations</w:t>
      </w:r>
    </w:p>
    <w:p w14:paraId="75EC36EB" w14:textId="07BCD0FF" w:rsidR="00D05549" w:rsidRPr="005567A0" w:rsidRDefault="00D05549" w:rsidP="00EA6DD7">
      <w:pPr>
        <w:pStyle w:val="ListBullet"/>
      </w:pPr>
      <w:r w:rsidRPr="005567A0">
        <w:t xml:space="preserve">whether the provider has given residents who have paid refundable deposits or bonds and prospective residents, and/or their representatives, information required by the </w:t>
      </w:r>
      <w:r w:rsidR="00EA2BEE" w:rsidRPr="005567A0">
        <w:t>Disclosure Standard and</w:t>
      </w:r>
      <w:r w:rsidR="00816C57" w:rsidRPr="005567A0">
        <w:t xml:space="preserve"> </w:t>
      </w:r>
      <w:r w:rsidR="005241F0" w:rsidRPr="005567A0">
        <w:t>s</w:t>
      </w:r>
      <w:r w:rsidR="00816C57" w:rsidRPr="005567A0">
        <w:t>ections 155-30, 155-35</w:t>
      </w:r>
      <w:r w:rsidR="008E1B23" w:rsidRPr="005567A0">
        <w:t xml:space="preserve"> </w:t>
      </w:r>
      <w:r w:rsidR="00816C57" w:rsidRPr="005567A0">
        <w:t>of the Rules</w:t>
      </w:r>
    </w:p>
    <w:p w14:paraId="0203C2FF" w14:textId="71AA85E0" w:rsidR="00D05549" w:rsidRPr="005567A0" w:rsidRDefault="00D05549" w:rsidP="00EA6DD7">
      <w:pPr>
        <w:pStyle w:val="ListBullet"/>
      </w:pPr>
      <w:r w:rsidRPr="005567A0">
        <w:t>whether any information disclosed in the APCS submitted for previous financial year is known to be incorrect</w:t>
      </w:r>
      <w:r w:rsidR="009A535F" w:rsidRPr="005567A0">
        <w:t>.</w:t>
      </w:r>
    </w:p>
    <w:p w14:paraId="655C5A38" w14:textId="77777777" w:rsidR="00D05549" w:rsidRPr="003A094E" w:rsidRDefault="00D05549" w:rsidP="00896254">
      <w:pPr>
        <w:pStyle w:val="ListNumber3"/>
      </w:pPr>
      <w:r w:rsidRPr="003A094E">
        <w:t>Compliance with charging requirements</w:t>
      </w:r>
    </w:p>
    <w:p w14:paraId="22FE0F48" w14:textId="2C8B637F" w:rsidR="00D05549" w:rsidRPr="005567A0" w:rsidRDefault="00D05549" w:rsidP="00EA6DD7">
      <w:pPr>
        <w:pStyle w:val="ListBullet"/>
      </w:pPr>
      <w:r w:rsidRPr="005567A0">
        <w:t xml:space="preserve">whether room prices were </w:t>
      </w:r>
      <w:r w:rsidR="00BF7B0A" w:rsidRPr="005567A0">
        <w:t>publicly</w:t>
      </w:r>
      <w:r w:rsidRPr="005567A0">
        <w:t xml:space="preserve"> available on the ‘My Aged Care’ website</w:t>
      </w:r>
    </w:p>
    <w:p w14:paraId="40E16975" w14:textId="781CB345" w:rsidR="007A292B" w:rsidRPr="005567A0" w:rsidRDefault="000C3AE0" w:rsidP="00EA6DD7">
      <w:pPr>
        <w:pStyle w:val="ListBullet"/>
      </w:pPr>
      <w:r w:rsidRPr="005567A0">
        <w:t>whether</w:t>
      </w:r>
      <w:r w:rsidR="00BD177B" w:rsidRPr="005567A0">
        <w:t xml:space="preserve"> the provider </w:t>
      </w:r>
      <w:r w:rsidR="00CA2D59" w:rsidRPr="005567A0">
        <w:t xml:space="preserve">had a current </w:t>
      </w:r>
      <w:r w:rsidR="001C30E9" w:rsidRPr="005567A0">
        <w:t xml:space="preserve">Pricing Authority </w:t>
      </w:r>
      <w:r w:rsidR="00CA2D59" w:rsidRPr="005567A0">
        <w:t xml:space="preserve">approval </w:t>
      </w:r>
      <w:r w:rsidR="001C30E9" w:rsidRPr="005567A0">
        <w:t>for</w:t>
      </w:r>
      <w:r w:rsidR="00D22465" w:rsidRPr="005567A0">
        <w:t xml:space="preserve"> each occasion an individual was charged more than</w:t>
      </w:r>
      <w:r w:rsidR="00F957C5" w:rsidRPr="005567A0">
        <w:t xml:space="preserve"> </w:t>
      </w:r>
      <w:r w:rsidRPr="005567A0">
        <w:t>the maximum amount of accommodation payment</w:t>
      </w:r>
    </w:p>
    <w:p w14:paraId="0519228B" w14:textId="5CD720AD" w:rsidR="00780F30" w:rsidRPr="005567A0" w:rsidRDefault="00431CE8" w:rsidP="00EA6DD7">
      <w:pPr>
        <w:pStyle w:val="ListBullet"/>
      </w:pPr>
      <w:r w:rsidRPr="005567A0">
        <w:t xml:space="preserve">whether </w:t>
      </w:r>
      <w:r w:rsidR="00662DF2" w:rsidRPr="005567A0">
        <w:t xml:space="preserve">the </w:t>
      </w:r>
      <w:r w:rsidR="00056A81" w:rsidRPr="005567A0">
        <w:t xml:space="preserve">provider </w:t>
      </w:r>
      <w:r w:rsidR="009D1C42" w:rsidRPr="005567A0">
        <w:t>r</w:t>
      </w:r>
      <w:r w:rsidR="00812465" w:rsidRPr="005567A0">
        <w:t xml:space="preserve">efunded, within 28 days, any overpaid </w:t>
      </w:r>
      <w:r w:rsidR="00191666" w:rsidRPr="005567A0">
        <w:t xml:space="preserve">accommodation </w:t>
      </w:r>
      <w:r w:rsidR="00812465" w:rsidRPr="005567A0">
        <w:t xml:space="preserve">contribution amounts </w:t>
      </w:r>
      <w:r w:rsidR="009D41E8" w:rsidRPr="005567A0">
        <w:t>resulting</w:t>
      </w:r>
      <w:r w:rsidR="00E12446" w:rsidRPr="005567A0">
        <w:t xml:space="preserve"> from a</w:t>
      </w:r>
      <w:r w:rsidR="00493D36" w:rsidRPr="005567A0">
        <w:t xml:space="preserve"> reduction in </w:t>
      </w:r>
      <w:r w:rsidR="009D41E8" w:rsidRPr="005567A0">
        <w:t>residents’</w:t>
      </w:r>
      <w:r w:rsidR="00493D36" w:rsidRPr="005567A0">
        <w:t xml:space="preserve"> means tested contribution</w:t>
      </w:r>
      <w:r w:rsidR="00191666" w:rsidRPr="005567A0">
        <w:t>s</w:t>
      </w:r>
      <w:r w:rsidR="00493D36" w:rsidRPr="005567A0">
        <w:t xml:space="preserve"> or </w:t>
      </w:r>
      <w:r w:rsidR="00823CA2" w:rsidRPr="005567A0">
        <w:t>the aged care home d</w:t>
      </w:r>
      <w:r w:rsidR="00DE6AEC" w:rsidRPr="005567A0">
        <w:t>id</w:t>
      </w:r>
      <w:r w:rsidR="00823CA2" w:rsidRPr="005567A0">
        <w:t xml:space="preserve"> not meet the 40% supported resident ratio in a calendar month</w:t>
      </w:r>
    </w:p>
    <w:p w14:paraId="079D0E15" w14:textId="7D8E0D32" w:rsidR="00D05549" w:rsidRPr="005567A0" w:rsidRDefault="00A543C7" w:rsidP="00EA6DD7">
      <w:pPr>
        <w:pStyle w:val="ListBullet"/>
      </w:pPr>
      <w:r w:rsidRPr="005567A0">
        <w:t>p</w:t>
      </w:r>
      <w:r w:rsidR="00591606" w:rsidRPr="005567A0">
        <w:t xml:space="preserve">re-1 November: </w:t>
      </w:r>
      <w:r w:rsidR="00D05549" w:rsidRPr="005567A0">
        <w:t xml:space="preserve">whether accommodation agreements </w:t>
      </w:r>
      <w:r w:rsidR="005611B2" w:rsidRPr="005567A0">
        <w:t xml:space="preserve">were </w:t>
      </w:r>
      <w:r w:rsidR="00D05549" w:rsidRPr="005567A0">
        <w:t>entered into with all residents within 28 days</w:t>
      </w:r>
      <w:r w:rsidR="0011391A" w:rsidRPr="005567A0">
        <w:t xml:space="preserve"> </w:t>
      </w:r>
      <w:r w:rsidR="006C281A" w:rsidRPr="005567A0">
        <w:t>after</w:t>
      </w:r>
      <w:r w:rsidR="0011391A" w:rsidRPr="005567A0">
        <w:t xml:space="preserve"> entry into </w:t>
      </w:r>
      <w:r w:rsidR="006C281A" w:rsidRPr="005567A0">
        <w:t>the provider’s service</w:t>
      </w:r>
    </w:p>
    <w:p w14:paraId="3BA8A8DC" w14:textId="3D8D0BBE" w:rsidR="00F63B41" w:rsidRPr="005567A0" w:rsidRDefault="00A543C7" w:rsidP="00EA6DD7">
      <w:pPr>
        <w:pStyle w:val="ListBullet"/>
      </w:pPr>
      <w:r w:rsidRPr="005567A0">
        <w:t xml:space="preserve">post-31 October: </w:t>
      </w:r>
      <w:r w:rsidR="001F1D7C" w:rsidRPr="005567A0">
        <w:t>whether accommodation agreements were entered into with all residents</w:t>
      </w:r>
      <w:r w:rsidR="0073615C" w:rsidRPr="005567A0">
        <w:t xml:space="preserve"> before the provider starts delivering ongoing funded aged care services to the individual in the home</w:t>
      </w:r>
    </w:p>
    <w:p w14:paraId="2A7F9EF1" w14:textId="21A70ACF" w:rsidR="005C6054" w:rsidRPr="005567A0" w:rsidRDefault="007B2CED" w:rsidP="00EA6DD7">
      <w:pPr>
        <w:pStyle w:val="ListBullet"/>
      </w:pPr>
      <w:r w:rsidRPr="005567A0">
        <w:t xml:space="preserve">post-31 October: whether </w:t>
      </w:r>
      <w:r w:rsidR="000110F0" w:rsidRPr="005567A0">
        <w:t>DAP</w:t>
      </w:r>
      <w:r w:rsidR="00FB23C6" w:rsidRPr="005567A0">
        <w:t>s</w:t>
      </w:r>
      <w:r w:rsidR="000110F0" w:rsidRPr="005567A0">
        <w:t xml:space="preserve"> are properly indexed and </w:t>
      </w:r>
      <w:r w:rsidR="00596354" w:rsidRPr="005567A0">
        <w:t>indexation is only</w:t>
      </w:r>
      <w:r w:rsidR="00C23776" w:rsidRPr="005567A0">
        <w:t xml:space="preserve"> applied to </w:t>
      </w:r>
      <w:r w:rsidR="005A24D1" w:rsidRPr="005567A0">
        <w:t xml:space="preserve">DAPs of residents </w:t>
      </w:r>
      <w:r w:rsidR="006F34C9" w:rsidRPr="005567A0">
        <w:t>entering</w:t>
      </w:r>
      <w:r w:rsidR="005A24D1" w:rsidRPr="005567A0">
        <w:t xml:space="preserve"> the aged care home after </w:t>
      </w:r>
      <w:r w:rsidR="00C019C2" w:rsidRPr="005567A0">
        <w:t>31 October 2026</w:t>
      </w:r>
      <w:r w:rsidR="00596354" w:rsidRPr="005567A0">
        <w:t xml:space="preserve"> </w:t>
      </w:r>
    </w:p>
    <w:p w14:paraId="2F31F5B3" w14:textId="77777777" w:rsidR="00D05549" w:rsidRPr="003A094E" w:rsidRDefault="00D05549" w:rsidP="00896254">
      <w:pPr>
        <w:pStyle w:val="ListNumber3"/>
      </w:pPr>
      <w:r w:rsidRPr="003A094E">
        <w:t>Compliance with refunding responsibilities</w:t>
      </w:r>
    </w:p>
    <w:p w14:paraId="2AABA51A" w14:textId="238D0108" w:rsidR="00D05549" w:rsidRPr="005567A0" w:rsidRDefault="00D05549" w:rsidP="00EA6DD7">
      <w:pPr>
        <w:pStyle w:val="ListBullet"/>
      </w:pPr>
      <w:r w:rsidRPr="005567A0">
        <w:t xml:space="preserve">whether all refundable deposit and bond balances were refunded as, and when, they fell due as required in </w:t>
      </w:r>
      <w:r w:rsidR="00D04222" w:rsidRPr="005567A0">
        <w:t>s</w:t>
      </w:r>
      <w:r w:rsidRPr="005567A0">
        <w:t xml:space="preserve">ection 52P-1 of the </w:t>
      </w:r>
      <w:r w:rsidR="00B66D65" w:rsidRPr="005567A0">
        <w:t xml:space="preserve">old </w:t>
      </w:r>
      <w:r w:rsidRPr="005567A0">
        <w:t>Act</w:t>
      </w:r>
      <w:r w:rsidR="00B66D65" w:rsidRPr="005567A0">
        <w:t xml:space="preserve"> and</w:t>
      </w:r>
      <w:r w:rsidR="00EC4869" w:rsidRPr="005567A0">
        <w:t xml:space="preserve"> </w:t>
      </w:r>
      <w:r w:rsidR="0029418D" w:rsidRPr="005567A0">
        <w:t>s</w:t>
      </w:r>
      <w:r w:rsidR="00B564B2" w:rsidRPr="005567A0">
        <w:t xml:space="preserve">ection </w:t>
      </w:r>
      <w:r w:rsidR="00EC4869" w:rsidRPr="005567A0">
        <w:t>311 of the new Act</w:t>
      </w:r>
    </w:p>
    <w:p w14:paraId="15E99E74" w14:textId="13BA9375" w:rsidR="00D05549" w:rsidRPr="005567A0" w:rsidRDefault="00D05549" w:rsidP="00EA6DD7">
      <w:pPr>
        <w:pStyle w:val="ListBullet"/>
      </w:pPr>
      <w:r w:rsidRPr="005567A0">
        <w:t xml:space="preserve">whether the correct amount of interest was paid at the time and to the person as required in </w:t>
      </w:r>
      <w:r w:rsidR="00D04222" w:rsidRPr="005567A0">
        <w:t>s</w:t>
      </w:r>
      <w:r w:rsidRPr="005567A0">
        <w:t xml:space="preserve">ection 68 of the </w:t>
      </w:r>
      <w:proofErr w:type="gramStart"/>
      <w:r w:rsidRPr="005567A0">
        <w:t>Principles</w:t>
      </w:r>
      <w:proofErr w:type="gramEnd"/>
      <w:r w:rsidR="007F5170" w:rsidRPr="005567A0">
        <w:t xml:space="preserve"> and </w:t>
      </w:r>
      <w:r w:rsidR="0029418D" w:rsidRPr="005567A0">
        <w:t>s</w:t>
      </w:r>
      <w:r w:rsidR="00B564B2" w:rsidRPr="005567A0">
        <w:t xml:space="preserve">ection </w:t>
      </w:r>
      <w:r w:rsidR="007F5170" w:rsidRPr="005567A0">
        <w:t>313 of the new Act</w:t>
      </w:r>
    </w:p>
    <w:p w14:paraId="3E7090F9" w14:textId="77B7B93B" w:rsidR="00D20753" w:rsidRPr="005567A0" w:rsidRDefault="00D20753" w:rsidP="00EA6DD7">
      <w:pPr>
        <w:pStyle w:val="ListBullet"/>
      </w:pPr>
      <w:r w:rsidRPr="005567A0">
        <w:t>whether all entry contribution balances were refunded as, and when, they became payable in accordance with each formal agreement</w:t>
      </w:r>
    </w:p>
    <w:p w14:paraId="7F766935" w14:textId="584CAC8C" w:rsidR="00D20753" w:rsidRPr="005567A0" w:rsidRDefault="00D20753" w:rsidP="00EA6DD7">
      <w:pPr>
        <w:pStyle w:val="ListBullet"/>
      </w:pPr>
      <w:r w:rsidRPr="005567A0">
        <w:t xml:space="preserve">whether the correct amount of interest was paid in the time and to the person as required in </w:t>
      </w:r>
      <w:r w:rsidR="00D04222" w:rsidRPr="005567A0">
        <w:t>s</w:t>
      </w:r>
      <w:r w:rsidRPr="005567A0">
        <w:t xml:space="preserve">ection 52P-3 of the </w:t>
      </w:r>
      <w:r w:rsidR="003E782B" w:rsidRPr="005567A0">
        <w:t xml:space="preserve">old </w:t>
      </w:r>
      <w:r w:rsidRPr="005567A0">
        <w:t>Act</w:t>
      </w:r>
      <w:r w:rsidR="00196248" w:rsidRPr="005567A0">
        <w:t xml:space="preserve"> and </w:t>
      </w:r>
      <w:r w:rsidR="0029418D" w:rsidRPr="005567A0">
        <w:t>s</w:t>
      </w:r>
      <w:r w:rsidR="00196248" w:rsidRPr="005567A0">
        <w:t>ection 287</w:t>
      </w:r>
      <w:r w:rsidR="00196248" w:rsidRPr="005567A0">
        <w:noBreakHyphen/>
        <w:t>160 of the new Act</w:t>
      </w:r>
    </w:p>
    <w:p w14:paraId="7CAF24C4" w14:textId="77777777" w:rsidR="00D20753" w:rsidRPr="003A094E" w:rsidRDefault="00D20753" w:rsidP="00896254">
      <w:pPr>
        <w:pStyle w:val="ListNumber3"/>
      </w:pPr>
      <w:r w:rsidRPr="003A094E">
        <w:t>Other compliance requirements</w:t>
      </w:r>
    </w:p>
    <w:p w14:paraId="66225F9F" w14:textId="4393A119" w:rsidR="00D20753" w:rsidRPr="005567A0" w:rsidRDefault="00D20753" w:rsidP="00EA6DD7">
      <w:pPr>
        <w:pStyle w:val="ListBullet"/>
      </w:pPr>
      <w:r w:rsidRPr="005567A0">
        <w:t xml:space="preserve">whether the approved provider has complied with </w:t>
      </w:r>
      <w:r w:rsidR="0029418D" w:rsidRPr="005567A0">
        <w:t>D</w:t>
      </w:r>
      <w:r w:rsidRPr="005567A0">
        <w:t xml:space="preserve">ivision 1 of Part 4 of the Principles </w:t>
      </w:r>
      <w:r w:rsidR="00910C2A" w:rsidRPr="005567A0">
        <w:t xml:space="preserve">and </w:t>
      </w:r>
      <w:r w:rsidR="0029418D" w:rsidRPr="005567A0">
        <w:t>C</w:t>
      </w:r>
      <w:r w:rsidR="000801BC" w:rsidRPr="005567A0">
        <w:t xml:space="preserve">hapter 4, </w:t>
      </w:r>
      <w:r w:rsidR="0029418D" w:rsidRPr="005567A0">
        <w:t>Pa</w:t>
      </w:r>
      <w:r w:rsidR="008B633D" w:rsidRPr="005567A0">
        <w:t xml:space="preserve">rt 4, </w:t>
      </w:r>
      <w:r w:rsidR="0029418D" w:rsidRPr="005567A0">
        <w:t>D</w:t>
      </w:r>
      <w:r w:rsidR="000801BC" w:rsidRPr="005567A0">
        <w:t>ivision 3</w:t>
      </w:r>
      <w:r w:rsidR="008B633D" w:rsidRPr="005567A0">
        <w:t xml:space="preserve"> of the new Act </w:t>
      </w:r>
      <w:r w:rsidRPr="005567A0">
        <w:t>(Accommodation agreement requirements).</w:t>
      </w:r>
    </w:p>
    <w:sectPr w:rsidR="00D20753" w:rsidRPr="005567A0" w:rsidSect="000F592E">
      <w:headerReference w:type="even" r:id="rId25"/>
      <w:headerReference w:type="default" r:id="rId26"/>
      <w:footerReference w:type="even" r:id="rId27"/>
      <w:footerReference w:type="default" r:id="rId28"/>
      <w:pgSz w:w="11906" w:h="16838"/>
      <w:pgMar w:top="993" w:right="1440" w:bottom="1258"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6896" w14:textId="77777777" w:rsidR="00B82A7D" w:rsidRDefault="00B82A7D" w:rsidP="00814FEB">
      <w:pPr>
        <w:spacing w:after="0"/>
      </w:pPr>
      <w:r>
        <w:separator/>
      </w:r>
    </w:p>
  </w:endnote>
  <w:endnote w:type="continuationSeparator" w:id="0">
    <w:p w14:paraId="34FF1E0B" w14:textId="77777777" w:rsidR="00B82A7D" w:rsidRDefault="00B82A7D" w:rsidP="00814FEB">
      <w:pPr>
        <w:spacing w:after="0"/>
      </w:pPr>
      <w:r>
        <w:continuationSeparator/>
      </w:r>
    </w:p>
  </w:endnote>
  <w:endnote w:type="continuationNotice" w:id="1">
    <w:p w14:paraId="6D1E9BA7" w14:textId="77777777" w:rsidR="00B82A7D" w:rsidRDefault="00B82A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0813" w14:textId="02CA374D" w:rsidR="004A251E" w:rsidRDefault="004A251E">
    <w:pPr>
      <w:pStyle w:val="Footer"/>
    </w:pPr>
    <w:r>
      <w:rPr>
        <w:noProof/>
      </w:rPr>
      <mc:AlternateContent>
        <mc:Choice Requires="wps">
          <w:drawing>
            <wp:anchor distT="0" distB="0" distL="0" distR="0" simplePos="0" relativeHeight="251662336" behindDoc="0" locked="0" layoutInCell="1" allowOverlap="1" wp14:anchorId="22B84197" wp14:editId="16EF99C4">
              <wp:simplePos x="635" y="635"/>
              <wp:positionH relativeFrom="page">
                <wp:align>center</wp:align>
              </wp:positionH>
              <wp:positionV relativeFrom="page">
                <wp:align>bottom</wp:align>
              </wp:positionV>
              <wp:extent cx="622300" cy="452755"/>
              <wp:effectExtent l="0" t="0" r="6350" b="0"/>
              <wp:wrapNone/>
              <wp:docPr id="4462916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079DEE1" w14:textId="0E68490A" w:rsidR="004A251E" w:rsidRPr="004A251E" w:rsidRDefault="004A251E" w:rsidP="004A251E">
                          <w:pPr>
                            <w:spacing w:after="0"/>
                            <w:rPr>
                              <w:rFonts w:ascii="Aptos" w:eastAsia="Aptos" w:hAnsi="Aptos" w:cs="Aptos"/>
                              <w:noProof/>
                              <w:color w:val="FF0000"/>
                              <w:szCs w:val="24"/>
                            </w:rPr>
                          </w:pPr>
                          <w:r w:rsidRPr="004A251E">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84197" id="_x0000_t202" coordsize="21600,21600" o:spt="202" path="m,l,21600r21600,l21600,xe">
              <v:stroke joinstyle="miter"/>
              <v:path gradientshapeok="t" o:connecttype="rect"/>
            </v:shapetype>
            <v:shape id="Text Box 6" o:spid="_x0000_s1027"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7079DEE1" w14:textId="0E68490A" w:rsidR="004A251E" w:rsidRPr="004A251E" w:rsidRDefault="004A251E" w:rsidP="004A251E">
                    <w:pPr>
                      <w:spacing w:after="0"/>
                      <w:rPr>
                        <w:rFonts w:ascii="Aptos" w:eastAsia="Aptos" w:hAnsi="Aptos" w:cs="Aptos"/>
                        <w:noProof/>
                        <w:color w:val="FF0000"/>
                        <w:szCs w:val="24"/>
                      </w:rPr>
                    </w:pPr>
                    <w:r w:rsidRPr="004A251E">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AB30" w14:textId="609FF1B2" w:rsidR="00814FEB" w:rsidRPr="00930275" w:rsidRDefault="62B789B3" w:rsidP="00930275">
    <w:pPr>
      <w:pStyle w:val="Footer"/>
    </w:pPr>
    <w:r w:rsidRPr="62B789B3">
      <w:t>AUDIT GUIDELINE 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A5FB" w14:textId="77777777" w:rsidR="00B82A7D" w:rsidRDefault="00B82A7D" w:rsidP="00814FEB">
      <w:pPr>
        <w:spacing w:after="0"/>
      </w:pPr>
      <w:r>
        <w:separator/>
      </w:r>
    </w:p>
  </w:footnote>
  <w:footnote w:type="continuationSeparator" w:id="0">
    <w:p w14:paraId="46C6CD81" w14:textId="77777777" w:rsidR="00B82A7D" w:rsidRDefault="00B82A7D" w:rsidP="00814FEB">
      <w:pPr>
        <w:spacing w:after="0"/>
      </w:pPr>
      <w:r>
        <w:continuationSeparator/>
      </w:r>
    </w:p>
  </w:footnote>
  <w:footnote w:type="continuationNotice" w:id="1">
    <w:p w14:paraId="06955C25" w14:textId="77777777" w:rsidR="00B82A7D" w:rsidRDefault="00B82A7D">
      <w:pPr>
        <w:spacing w:before="0" w:after="0"/>
      </w:pPr>
    </w:p>
  </w:footnote>
  <w:footnote w:id="2">
    <w:p w14:paraId="2E852393" w14:textId="5878F591" w:rsidR="00E45619" w:rsidRDefault="00E45619">
      <w:pPr>
        <w:pStyle w:val="FootnoteText"/>
      </w:pPr>
      <w:r>
        <w:rPr>
          <w:rStyle w:val="FootnoteReference"/>
        </w:rPr>
        <w:footnoteRef/>
      </w:r>
      <w:r>
        <w:t xml:space="preserve"> </w:t>
      </w:r>
      <w:r w:rsidR="00DB57DF" w:rsidRPr="00DB57DF">
        <w:t xml:space="preserve">The System Governor is the main decision maker who is responsible for overseeing the funded aged care system. The Secretary of the Department of Health, Disability and Ageing </w:t>
      </w:r>
      <w:proofErr w:type="gramStart"/>
      <w:r w:rsidR="00DB57DF" w:rsidRPr="00DB57DF">
        <w:t>holds</w:t>
      </w:r>
      <w:proofErr w:type="gramEnd"/>
      <w:r w:rsidR="00DB57DF" w:rsidRPr="00DB57DF">
        <w:t xml:space="preserve"> this role.</w:t>
      </w:r>
    </w:p>
  </w:footnote>
  <w:footnote w:id="3">
    <w:p w14:paraId="536AA34C" w14:textId="2BDD4004" w:rsidR="00AB5EF1" w:rsidRPr="00AB5EF1" w:rsidRDefault="0066691F">
      <w:pPr>
        <w:pStyle w:val="FootnoteText"/>
      </w:pPr>
      <w:r>
        <w:rPr>
          <w:rStyle w:val="FootnoteReference"/>
        </w:rPr>
        <w:footnoteRef/>
      </w:r>
      <w:r>
        <w:t xml:space="preserve"> </w:t>
      </w:r>
      <w:r w:rsidRPr="0066691F">
        <w:t>Other AUASB Standards, including ASAE 3000 Assurance Engagements Other than Audits or Reviews of Historical Financial Information, may be applicable</w:t>
      </w:r>
      <w:r>
        <w:t>.</w:t>
      </w:r>
    </w:p>
  </w:footnote>
  <w:footnote w:id="4">
    <w:p w14:paraId="6F7FF1E3" w14:textId="312E2F68" w:rsidR="00694891" w:rsidRDefault="00694891">
      <w:pPr>
        <w:pStyle w:val="FootnoteText"/>
      </w:pPr>
      <w:r>
        <w:rPr>
          <w:rStyle w:val="FootnoteReference"/>
        </w:rPr>
        <w:footnoteRef/>
      </w:r>
      <w:r>
        <w:t xml:space="preserve"> </w:t>
      </w:r>
      <w:r w:rsidR="005C6D7A">
        <w:t>W</w:t>
      </w:r>
      <w:r w:rsidR="009E78C2" w:rsidRPr="009E78C2">
        <w:t xml:space="preserve">ithin the meaning of </w:t>
      </w:r>
      <w:r w:rsidR="004712A9">
        <w:t>s</w:t>
      </w:r>
      <w:r w:rsidR="009E78C2">
        <w:t xml:space="preserve">ection 9 of </w:t>
      </w:r>
      <w:r w:rsidR="009E78C2" w:rsidRPr="009E78C2">
        <w:t>the Corporations Act 2001</w:t>
      </w:r>
      <w:r w:rsidR="005C6D7A">
        <w:t>.</w:t>
      </w:r>
    </w:p>
  </w:footnote>
  <w:footnote w:id="5">
    <w:p w14:paraId="638D0076" w14:textId="53DD7B5A" w:rsidR="00227270" w:rsidRDefault="00227270" w:rsidP="004C23B3">
      <w:pPr>
        <w:pStyle w:val="FootnoteText"/>
      </w:pPr>
      <w:r>
        <w:rPr>
          <w:rStyle w:val="FootnoteReference"/>
        </w:rPr>
        <w:footnoteRef/>
      </w:r>
      <w:r>
        <w:t xml:space="preserve"> </w:t>
      </w:r>
      <w:r w:rsidRPr="00227270">
        <w:t xml:space="preserve">Part 5 of the </w:t>
      </w:r>
      <w:proofErr w:type="gramStart"/>
      <w:r w:rsidRPr="005C6D7A">
        <w:t>Principles</w:t>
      </w:r>
      <w:proofErr w:type="gramEnd"/>
      <w:r w:rsidR="00C67537" w:rsidRPr="005C6D7A">
        <w:t xml:space="preserve"> (which includes Part 6 and Part 7)</w:t>
      </w:r>
      <w:r w:rsidR="005C6D7A" w:rsidRPr="005C6D7A">
        <w:t>.</w:t>
      </w:r>
    </w:p>
  </w:footnote>
  <w:footnote w:id="6">
    <w:p w14:paraId="7D13C8B0" w14:textId="72D20BFA" w:rsidR="00C67537" w:rsidRDefault="00C67537">
      <w:pPr>
        <w:pStyle w:val="FootnoteText"/>
      </w:pPr>
      <w:r>
        <w:rPr>
          <w:rStyle w:val="FootnoteReference"/>
        </w:rPr>
        <w:footnoteRef/>
      </w:r>
      <w:r>
        <w:t xml:space="preserve"> Section 61 of the </w:t>
      </w:r>
      <w:proofErr w:type="gramStart"/>
      <w:r>
        <w:t>Principles</w:t>
      </w:r>
      <w:proofErr w:type="gramEnd"/>
      <w:r w:rsidR="005C6D7A">
        <w:t>.</w:t>
      </w:r>
    </w:p>
  </w:footnote>
  <w:footnote w:id="7">
    <w:p w14:paraId="6862E6F8" w14:textId="7F225F51" w:rsidR="0052255B" w:rsidRDefault="0052255B">
      <w:pPr>
        <w:pStyle w:val="FootnoteText"/>
      </w:pPr>
      <w:r>
        <w:rPr>
          <w:rStyle w:val="FootnoteReference"/>
        </w:rPr>
        <w:footnoteRef/>
      </w:r>
      <w:r>
        <w:t xml:space="preserve"> Part 3A</w:t>
      </w:r>
      <w:r w:rsidR="00A93FFF">
        <w:t>.2 of the old Act</w:t>
      </w:r>
      <w:r w:rsidR="005C6D7A">
        <w:t>.</w:t>
      </w:r>
    </w:p>
  </w:footnote>
  <w:footnote w:id="8">
    <w:p w14:paraId="4513BB67" w14:textId="64AF9D09" w:rsidR="0014751B" w:rsidRDefault="0014751B">
      <w:pPr>
        <w:pStyle w:val="FootnoteText"/>
      </w:pPr>
      <w:r>
        <w:rPr>
          <w:rStyle w:val="FootnoteReference"/>
        </w:rPr>
        <w:footnoteRef/>
      </w:r>
      <w:r>
        <w:t xml:space="preserve"> </w:t>
      </w:r>
      <w:r w:rsidR="00E42EFD">
        <w:t>S</w:t>
      </w:r>
      <w:r w:rsidR="00E42EFD" w:rsidRPr="00E42EFD">
        <w:t xml:space="preserve">ections 155-30, 155-35, </w:t>
      </w:r>
      <w:r w:rsidR="00944F29">
        <w:t>155-36</w:t>
      </w:r>
      <w:r w:rsidR="00E42EFD" w:rsidRPr="00E42EFD">
        <w:t>, 166-365, 166-375 and 166-385 of the Rules</w:t>
      </w:r>
      <w:r w:rsidR="005C6D7A">
        <w:t>.</w:t>
      </w:r>
    </w:p>
  </w:footnote>
  <w:footnote w:id="9">
    <w:p w14:paraId="48885A3A" w14:textId="1B5813D0" w:rsidR="62B789B3" w:rsidRDefault="62B789B3" w:rsidP="62B789B3">
      <w:pPr>
        <w:pStyle w:val="FootnoteText"/>
      </w:pPr>
      <w:r w:rsidRPr="62B789B3">
        <w:rPr>
          <w:rStyle w:val="FootnoteReference"/>
        </w:rPr>
        <w:footnoteRef/>
      </w:r>
      <w:r>
        <w:t xml:space="preserve"> Section </w:t>
      </w:r>
      <w:r w:rsidR="00BD513C">
        <w:t>310 of the new Act</w:t>
      </w:r>
      <w:r w:rsidR="005C6D7A">
        <w:t>.</w:t>
      </w:r>
    </w:p>
  </w:footnote>
  <w:footnote w:id="10">
    <w:p w14:paraId="090CAA73" w14:textId="65B02C26" w:rsidR="00910CF6" w:rsidRPr="004C23B3" w:rsidRDefault="00910CF6" w:rsidP="004C23B3">
      <w:pPr>
        <w:pStyle w:val="FootnoteText"/>
      </w:pPr>
      <w:r>
        <w:rPr>
          <w:rStyle w:val="FootnoteReference"/>
        </w:rPr>
        <w:footnoteRef/>
      </w:r>
      <w:r>
        <w:t xml:space="preserve"> Divisions 4 and 5 of the new Act</w:t>
      </w:r>
      <w:r w:rsidR="005C6D7A">
        <w:t>.</w:t>
      </w:r>
    </w:p>
  </w:footnote>
  <w:footnote w:id="11">
    <w:p w14:paraId="40919483" w14:textId="7DA67548" w:rsidR="00227270" w:rsidRDefault="00227270">
      <w:pPr>
        <w:pStyle w:val="FootnoteText"/>
      </w:pPr>
      <w:r>
        <w:rPr>
          <w:rStyle w:val="FootnoteReference"/>
        </w:rPr>
        <w:footnoteRef/>
      </w:r>
      <w:r>
        <w:t xml:space="preserve"> </w:t>
      </w:r>
      <w:r w:rsidR="0028574B">
        <w:t>S</w:t>
      </w:r>
      <w:r w:rsidRPr="00227270">
        <w:t xml:space="preserve">ection 1281 </w:t>
      </w:r>
      <w:r w:rsidR="006D074D">
        <w:t xml:space="preserve">of the </w:t>
      </w:r>
      <w:r w:rsidRPr="00227270">
        <w:rPr>
          <w:i/>
        </w:rPr>
        <w:t>Corporations Act 2001</w:t>
      </w:r>
      <w:r w:rsidR="006D074D">
        <w:rPr>
          <w:i/>
        </w:rPr>
        <w:t>.</w:t>
      </w:r>
    </w:p>
  </w:footnote>
  <w:footnote w:id="12">
    <w:p w14:paraId="3759E5CE" w14:textId="1CFCE609" w:rsidR="62B789B3" w:rsidRDefault="62B789B3" w:rsidP="62B789B3">
      <w:pPr>
        <w:pStyle w:val="FootnoteText"/>
      </w:pPr>
      <w:r w:rsidRPr="62B789B3">
        <w:rPr>
          <w:rStyle w:val="FootnoteReference"/>
        </w:rPr>
        <w:footnoteRef/>
      </w:r>
      <w:r>
        <w:t xml:space="preserve"> Section 56(1) of the </w:t>
      </w:r>
      <w:proofErr w:type="gramStart"/>
      <w:r>
        <w:t>Principles</w:t>
      </w:r>
      <w:proofErr w:type="gramEnd"/>
      <w:r w:rsidR="006D074D">
        <w:t>.</w:t>
      </w:r>
    </w:p>
  </w:footnote>
  <w:footnote w:id="13">
    <w:p w14:paraId="251F176D" w14:textId="36B6E753" w:rsidR="00F6259D" w:rsidRDefault="00F6259D">
      <w:pPr>
        <w:pStyle w:val="FootnoteText"/>
      </w:pPr>
      <w:r>
        <w:rPr>
          <w:rStyle w:val="FootnoteReference"/>
        </w:rPr>
        <w:footnoteRef/>
      </w:r>
      <w:r>
        <w:t xml:space="preserve"> </w:t>
      </w:r>
      <w:r w:rsidR="00F53915">
        <w:t>S</w:t>
      </w:r>
      <w:r w:rsidR="00666545">
        <w:t>ubs</w:t>
      </w:r>
      <w:r w:rsidR="00F53915">
        <w:t xml:space="preserve">ection </w:t>
      </w:r>
      <w:r w:rsidR="00F53915" w:rsidRPr="00F53915">
        <w:t>166</w:t>
      </w:r>
      <w:r w:rsidR="00F53915" w:rsidRPr="00F53915">
        <w:noBreakHyphen/>
        <w:t>310</w:t>
      </w:r>
      <w:r w:rsidR="00F53915">
        <w:t>(3)</w:t>
      </w:r>
      <w:r w:rsidR="0035448A">
        <w:t xml:space="preserve"> of the Rules</w:t>
      </w:r>
      <w:r w:rsidR="006D074D">
        <w:t>.</w:t>
      </w:r>
    </w:p>
  </w:footnote>
  <w:footnote w:id="14">
    <w:p w14:paraId="2D889B12" w14:textId="30DA0321" w:rsidR="00643183" w:rsidRDefault="00643183" w:rsidP="00643183">
      <w:pPr>
        <w:pStyle w:val="FootnoteText"/>
      </w:pPr>
      <w:r>
        <w:rPr>
          <w:rStyle w:val="FootnoteReference"/>
        </w:rPr>
        <w:footnoteRef/>
      </w:r>
      <w:r>
        <w:t xml:space="preserve"> </w:t>
      </w:r>
      <w:r w:rsidRPr="00227270">
        <w:t>Section 43 of the Fees and Payments Principles</w:t>
      </w:r>
      <w:r w:rsidR="006D074D">
        <w:t>.</w:t>
      </w:r>
    </w:p>
  </w:footnote>
  <w:footnote w:id="15">
    <w:p w14:paraId="0AA836E3" w14:textId="13CE9F06" w:rsidR="001B31DE" w:rsidRDefault="001B31DE" w:rsidP="001B31DE">
      <w:pPr>
        <w:pStyle w:val="FootnoteText"/>
      </w:pPr>
      <w:r>
        <w:rPr>
          <w:rStyle w:val="FootnoteReference"/>
        </w:rPr>
        <w:footnoteRef/>
      </w:r>
      <w:r>
        <w:t xml:space="preserve"> Part 3 of the new</w:t>
      </w:r>
      <w:r w:rsidRPr="007F4C89">
        <w:t xml:space="preserve"> Standards</w:t>
      </w:r>
      <w:r w:rsidR="006D074D">
        <w:t>.</w:t>
      </w:r>
    </w:p>
  </w:footnote>
  <w:footnote w:id="16">
    <w:p w14:paraId="47BB2986" w14:textId="78B77395" w:rsidR="00EA4F44" w:rsidRDefault="00EA4F44">
      <w:pPr>
        <w:pStyle w:val="FootnoteText"/>
      </w:pPr>
      <w:r>
        <w:rPr>
          <w:rStyle w:val="FootnoteReference"/>
        </w:rPr>
        <w:footnoteRef/>
      </w:r>
      <w:r>
        <w:t xml:space="preserve"> </w:t>
      </w:r>
      <w:r w:rsidR="009F4F9D">
        <w:t xml:space="preserve">Division 3 of Part 5 of the </w:t>
      </w:r>
      <w:proofErr w:type="gramStart"/>
      <w:r w:rsidR="009F4F9D">
        <w:t>Principles</w:t>
      </w:r>
      <w:proofErr w:type="gramEnd"/>
      <w:r w:rsidR="006D074D">
        <w:t>.</w:t>
      </w:r>
    </w:p>
  </w:footnote>
  <w:footnote w:id="17">
    <w:p w14:paraId="0F21EA56" w14:textId="2D11A816" w:rsidR="00227270" w:rsidRDefault="00227270">
      <w:pPr>
        <w:pStyle w:val="FootnoteText"/>
      </w:pPr>
      <w:r>
        <w:rPr>
          <w:rStyle w:val="FootnoteReference"/>
        </w:rPr>
        <w:footnoteRef/>
      </w:r>
      <w:r>
        <w:t xml:space="preserve"> </w:t>
      </w:r>
      <w:r w:rsidR="00F5451C" w:rsidRPr="00F5451C">
        <w:t xml:space="preserve">Division </w:t>
      </w:r>
      <w:r w:rsidR="00F5451C">
        <w:t>4</w:t>
      </w:r>
      <w:r w:rsidR="00F5451C" w:rsidRPr="00F5451C">
        <w:t xml:space="preserve"> of Part 5 of the </w:t>
      </w:r>
      <w:proofErr w:type="gramStart"/>
      <w:r w:rsidR="00F5451C" w:rsidRPr="00F5451C">
        <w:t>Principles</w:t>
      </w:r>
      <w:proofErr w:type="gramEnd"/>
      <w:r w:rsidR="006D074D">
        <w:t>.</w:t>
      </w:r>
    </w:p>
  </w:footnote>
  <w:footnote w:id="18">
    <w:p w14:paraId="20EB92F9" w14:textId="59F46D67" w:rsidR="002347F2" w:rsidRDefault="002347F2">
      <w:pPr>
        <w:pStyle w:val="FootnoteText"/>
      </w:pPr>
      <w:r>
        <w:rPr>
          <w:rStyle w:val="FootnoteReference"/>
        </w:rPr>
        <w:footnoteRef/>
      </w:r>
      <w:r>
        <w:t xml:space="preserve"> Section 61 of the </w:t>
      </w:r>
      <w:proofErr w:type="gramStart"/>
      <w:r>
        <w:t>Principles</w:t>
      </w:r>
      <w:proofErr w:type="gramEnd"/>
      <w:r w:rsidR="006D074D">
        <w:t>.</w:t>
      </w:r>
    </w:p>
  </w:footnote>
  <w:footnote w:id="19">
    <w:p w14:paraId="23279293" w14:textId="196A0C0B" w:rsidR="00227270" w:rsidRDefault="00227270">
      <w:pPr>
        <w:pStyle w:val="FootnoteText"/>
      </w:pPr>
      <w:r>
        <w:rPr>
          <w:rStyle w:val="FootnoteReference"/>
        </w:rPr>
        <w:footnoteRef/>
      </w:r>
      <w:r>
        <w:t xml:space="preserve"> </w:t>
      </w:r>
      <w:r w:rsidRPr="00227270">
        <w:t>Financial products for paragraph 52N-1(3)</w:t>
      </w:r>
      <w:r w:rsidR="009A2CD6">
        <w:t>(e)</w:t>
      </w:r>
      <w:r w:rsidRPr="00227270">
        <w:t xml:space="preserve"> of the Act are </w:t>
      </w:r>
      <w:r w:rsidR="009A2CD6">
        <w:t>specified</w:t>
      </w:r>
      <w:r w:rsidRPr="00227270">
        <w:t xml:space="preserve"> in </w:t>
      </w:r>
      <w:r w:rsidR="00BE5A22">
        <w:t>S</w:t>
      </w:r>
      <w:r w:rsidRPr="00227270">
        <w:t xml:space="preserve">ection </w:t>
      </w:r>
      <w:r w:rsidR="009A2CD6">
        <w:t>64</w:t>
      </w:r>
      <w:r w:rsidRPr="00227270">
        <w:t xml:space="preserve"> of the </w:t>
      </w:r>
      <w:proofErr w:type="gramStart"/>
      <w:r w:rsidRPr="00227270">
        <w:t>Principles</w:t>
      </w:r>
      <w:proofErr w:type="gramEnd"/>
      <w:r w:rsidR="006D074D">
        <w:t>.</w:t>
      </w:r>
    </w:p>
  </w:footnote>
  <w:footnote w:id="20">
    <w:p w14:paraId="30149AF6" w14:textId="1A947542" w:rsidR="006A7001" w:rsidRDefault="006A7001" w:rsidP="006A7001">
      <w:pPr>
        <w:pStyle w:val="FootnoteText"/>
      </w:pPr>
      <w:r>
        <w:rPr>
          <w:rStyle w:val="FootnoteReference"/>
        </w:rPr>
        <w:footnoteRef/>
      </w:r>
      <w:r>
        <w:t xml:space="preserve"> </w:t>
      </w:r>
      <w:r w:rsidRPr="00DC761D">
        <w:t xml:space="preserve">Part </w:t>
      </w:r>
      <w:r>
        <w:t>4</w:t>
      </w:r>
      <w:r w:rsidRPr="00DC761D">
        <w:t xml:space="preserve"> of the new Standards</w:t>
      </w:r>
      <w:r w:rsidR="006D074D">
        <w:t>.</w:t>
      </w:r>
    </w:p>
  </w:footnote>
  <w:footnote w:id="21">
    <w:p w14:paraId="1F5A53F4" w14:textId="4C632710" w:rsidR="009A3E12" w:rsidRDefault="009A3E12">
      <w:pPr>
        <w:pStyle w:val="FootnoteText"/>
      </w:pPr>
      <w:r>
        <w:rPr>
          <w:rStyle w:val="FootnoteReference"/>
        </w:rPr>
        <w:footnoteRef/>
      </w:r>
      <w:r>
        <w:t xml:space="preserve"> </w:t>
      </w:r>
      <w:r w:rsidRPr="009A3E12">
        <w:t xml:space="preserve">Part </w:t>
      </w:r>
      <w:r w:rsidR="00551861">
        <w:t>2</w:t>
      </w:r>
      <w:r w:rsidRPr="009A3E12">
        <w:t xml:space="preserve"> of the new Standards</w:t>
      </w:r>
      <w:r w:rsidR="006D074D">
        <w:t>.</w:t>
      </w:r>
    </w:p>
  </w:footnote>
  <w:footnote w:id="22">
    <w:p w14:paraId="402EE71F" w14:textId="145CB061" w:rsidR="00227270" w:rsidRDefault="00227270">
      <w:pPr>
        <w:pStyle w:val="FootnoteText"/>
      </w:pPr>
      <w:r>
        <w:rPr>
          <w:rStyle w:val="FootnoteReference"/>
        </w:rPr>
        <w:footnoteRef/>
      </w:r>
      <w:r>
        <w:t xml:space="preserve"> </w:t>
      </w:r>
      <w:r w:rsidR="00E7535F" w:rsidRPr="00E7535F">
        <w:t xml:space="preserve">Division </w:t>
      </w:r>
      <w:r w:rsidR="00E7535F">
        <w:t>5</w:t>
      </w:r>
      <w:r w:rsidR="00E7535F" w:rsidRPr="00E7535F">
        <w:t xml:space="preserve"> of Part 5 of the </w:t>
      </w:r>
      <w:proofErr w:type="gramStart"/>
      <w:r w:rsidR="00E7535F" w:rsidRPr="00E7535F">
        <w:t>Principles</w:t>
      </w:r>
      <w:proofErr w:type="gramEnd"/>
      <w:r w:rsidR="006D074D">
        <w:t>.</w:t>
      </w:r>
      <w:r>
        <w:t xml:space="preserve"> </w:t>
      </w:r>
    </w:p>
  </w:footnote>
  <w:footnote w:id="23">
    <w:p w14:paraId="1E777CAB" w14:textId="41E3A980" w:rsidR="00B06C41" w:rsidRDefault="00B06C41">
      <w:pPr>
        <w:pStyle w:val="FootnoteText"/>
      </w:pPr>
      <w:r>
        <w:rPr>
          <w:rStyle w:val="FootnoteReference"/>
        </w:rPr>
        <w:footnoteRef/>
      </w:r>
      <w:r>
        <w:t xml:space="preserve"> </w:t>
      </w:r>
      <w:r w:rsidRPr="00B06C41">
        <w:t>Section 289-5 of the Rules prescribes $758,627 as the maximum amount of accommodation payment</w:t>
      </w:r>
      <w:r w:rsidR="006D074D">
        <w:t>.</w:t>
      </w:r>
    </w:p>
  </w:footnote>
  <w:footnote w:id="24">
    <w:p w14:paraId="231636C8" w14:textId="5D773972" w:rsidR="00D37429" w:rsidRDefault="00D37429">
      <w:pPr>
        <w:pStyle w:val="FootnoteText"/>
      </w:pPr>
      <w:r>
        <w:rPr>
          <w:rStyle w:val="FootnoteReference"/>
        </w:rPr>
        <w:footnoteRef/>
      </w:r>
      <w:r>
        <w:t xml:space="preserve"> </w:t>
      </w:r>
      <w:r w:rsidR="007F59DB">
        <w:t xml:space="preserve">This condition only applies to residents </w:t>
      </w:r>
      <w:r w:rsidR="007F59DB" w:rsidRPr="007F59DB">
        <w:t>who are on the</w:t>
      </w:r>
      <w:r w:rsidR="00ED53BC">
        <w:t xml:space="preserve"> 1 November 2025 accommodation arrangements</w:t>
      </w:r>
      <w:r w:rsidR="006D074D">
        <w:t>.</w:t>
      </w:r>
    </w:p>
  </w:footnote>
  <w:footnote w:id="25">
    <w:p w14:paraId="02827DB2" w14:textId="42E4C570" w:rsidR="00241B17" w:rsidRDefault="00241B17" w:rsidP="00241B17">
      <w:pPr>
        <w:pStyle w:val="FootnoteText"/>
      </w:pPr>
      <w:r>
        <w:rPr>
          <w:rStyle w:val="FootnoteReference"/>
        </w:rPr>
        <w:footnoteRef/>
      </w:r>
      <w:r>
        <w:t xml:space="preserve"> Section 313-10 of the Rules</w:t>
      </w:r>
      <w:r w:rsidR="006D074D">
        <w:t>.</w:t>
      </w:r>
    </w:p>
  </w:footnote>
  <w:footnote w:id="26">
    <w:p w14:paraId="631CC4CB" w14:textId="4E2CED81" w:rsidR="00241B17" w:rsidRDefault="00241B17" w:rsidP="00241B17">
      <w:pPr>
        <w:pStyle w:val="FootnoteText"/>
      </w:pPr>
      <w:r>
        <w:rPr>
          <w:rStyle w:val="FootnoteReference"/>
        </w:rPr>
        <w:footnoteRef/>
      </w:r>
      <w:r>
        <w:t xml:space="preserve"> </w:t>
      </w:r>
      <w:r w:rsidRPr="006F1380">
        <w:t xml:space="preserve">The BIR to be used </w:t>
      </w:r>
      <w:r>
        <w:t xml:space="preserve">in calculating interest is the </w:t>
      </w:r>
      <w:r w:rsidRPr="006F1380">
        <w:t>rate applicable on the day after the resident's departure or, if the person has died, the rate applicable on the day after the provider is shown a copy of probate or letters of 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0EE1" w14:textId="0B37B0BD" w:rsidR="004A251E" w:rsidRDefault="004A251E">
    <w:pPr>
      <w:pStyle w:val="Header"/>
    </w:pPr>
    <w:r>
      <w:rPr>
        <w:noProof/>
      </w:rPr>
      <mc:AlternateContent>
        <mc:Choice Requires="wps">
          <w:drawing>
            <wp:anchor distT="0" distB="0" distL="0" distR="0" simplePos="0" relativeHeight="251659264" behindDoc="0" locked="0" layoutInCell="1" allowOverlap="1" wp14:anchorId="7283F708" wp14:editId="209174C4">
              <wp:simplePos x="635" y="635"/>
              <wp:positionH relativeFrom="page">
                <wp:align>center</wp:align>
              </wp:positionH>
              <wp:positionV relativeFrom="page">
                <wp:align>top</wp:align>
              </wp:positionV>
              <wp:extent cx="622300" cy="452755"/>
              <wp:effectExtent l="0" t="0" r="6350" b="4445"/>
              <wp:wrapNone/>
              <wp:docPr id="2544518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57EE475" w14:textId="000F427C" w:rsidR="004A251E" w:rsidRPr="004A251E" w:rsidRDefault="004A251E" w:rsidP="004A251E">
                          <w:pPr>
                            <w:spacing w:after="0"/>
                            <w:rPr>
                              <w:rFonts w:ascii="Aptos" w:eastAsia="Aptos" w:hAnsi="Aptos" w:cs="Aptos"/>
                              <w:noProof/>
                              <w:color w:val="FF0000"/>
                              <w:szCs w:val="24"/>
                            </w:rPr>
                          </w:pPr>
                          <w:r w:rsidRPr="004A251E">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3F708" id="_x0000_t202" coordsize="21600,21600" o:spt="202" path="m,l,21600r21600,l21600,xe">
              <v:stroke joinstyle="miter"/>
              <v:path gradientshapeok="t" o:connecttype="rect"/>
            </v:shapetype>
            <v:shape id="Text Box 3" o:spid="_x0000_s1026" type="#_x0000_t202" alt="OFFICIAL" style="position:absolute;left:0;text-align:left;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557EE475" w14:textId="000F427C" w:rsidR="004A251E" w:rsidRPr="004A251E" w:rsidRDefault="004A251E" w:rsidP="004A251E">
                    <w:pPr>
                      <w:spacing w:after="0"/>
                      <w:rPr>
                        <w:rFonts w:ascii="Aptos" w:eastAsia="Aptos" w:hAnsi="Aptos" w:cs="Aptos"/>
                        <w:noProof/>
                        <w:color w:val="FF0000"/>
                        <w:szCs w:val="24"/>
                      </w:rPr>
                    </w:pPr>
                    <w:r w:rsidRPr="004A251E">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B8A2" w14:textId="13CDFD19" w:rsidR="00814FEB" w:rsidRPr="0087599B" w:rsidRDefault="00814FEB" w:rsidP="0087599B">
    <w:pPr>
      <w:pStyle w:val="Header"/>
    </w:pPr>
    <w:r w:rsidRPr="0087599B">
      <w:t>ANNUAL PRUDENTIAL</w:t>
    </w:r>
  </w:p>
  <w:p w14:paraId="4CA2F159" w14:textId="77777777" w:rsidR="00814FEB" w:rsidRPr="0087599B" w:rsidRDefault="00814FEB" w:rsidP="0087599B">
    <w:pPr>
      <w:pStyle w:val="Header"/>
    </w:pPr>
    <w:r w:rsidRPr="0087599B">
      <w:t>COMPLIANCE STATEMENT</w:t>
    </w:r>
  </w:p>
  <w:p w14:paraId="2211BCA6" w14:textId="734DD924" w:rsidR="00814FEB" w:rsidRPr="0087599B" w:rsidRDefault="00000000" w:rsidP="00814FEB">
    <w:pPr>
      <w:pStyle w:val="Header"/>
    </w:pPr>
    <w:sdt>
      <w:sdtPr>
        <w:id w:val="1739976737"/>
        <w:docPartObj>
          <w:docPartGallery w:val="Page Numbers (Top of Page)"/>
          <w:docPartUnique/>
        </w:docPartObj>
      </w:sdtPr>
      <w:sdtEndPr>
        <w:rPr>
          <w:b w:val="0"/>
          <w:color w:val="008BBC"/>
        </w:rPr>
      </w:sdtEndPr>
      <w:sdtContent>
        <w:r w:rsidR="00814FEB" w:rsidRPr="0087599B">
          <w:fldChar w:fldCharType="begin"/>
        </w:r>
        <w:r w:rsidR="00814FEB" w:rsidRPr="0087599B">
          <w:instrText xml:space="preserve"> PAGE   \* MERGEFORMAT </w:instrText>
        </w:r>
        <w:r w:rsidR="00814FEB" w:rsidRPr="0087599B">
          <w:fldChar w:fldCharType="separate"/>
        </w:r>
        <w:r w:rsidR="00E4150A" w:rsidRPr="0087599B">
          <w:t>11</w:t>
        </w:r>
        <w:r w:rsidR="00814FEB" w:rsidRPr="0087599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E45F2A"/>
    <w:lvl w:ilvl="0">
      <w:start w:val="1"/>
      <w:numFmt w:val="lowerRoman"/>
      <w:pStyle w:val="ListNumber3"/>
      <w:lvlText w:val="(%1)"/>
      <w:lvlJc w:val="left"/>
      <w:pPr>
        <w:ind w:left="587" w:hanging="360"/>
      </w:pPr>
    </w:lvl>
  </w:abstractNum>
  <w:abstractNum w:abstractNumId="1" w15:restartNumberingAfterBreak="0">
    <w:nsid w:val="FFFFFF7F"/>
    <w:multiLevelType w:val="singleLevel"/>
    <w:tmpl w:val="E2B4BA0C"/>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DB889DD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1BC746A"/>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F69C5D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EB61B1"/>
    <w:multiLevelType w:val="hybridMultilevel"/>
    <w:tmpl w:val="867602FE"/>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680E77"/>
    <w:multiLevelType w:val="hybridMultilevel"/>
    <w:tmpl w:val="28E2D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715CF9"/>
    <w:multiLevelType w:val="hybridMultilevel"/>
    <w:tmpl w:val="0EE84D42"/>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1D7615"/>
    <w:multiLevelType w:val="hybridMultilevel"/>
    <w:tmpl w:val="CB586210"/>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20373E"/>
    <w:multiLevelType w:val="hybridMultilevel"/>
    <w:tmpl w:val="F9F6D55A"/>
    <w:lvl w:ilvl="0" w:tplc="12A805DC">
      <w:start w:val="1"/>
      <w:numFmt w:val="bullet"/>
      <w:lvlText w:val=""/>
      <w:lvlJc w:val="left"/>
      <w:pPr>
        <w:ind w:left="1440" w:hanging="360"/>
      </w:pPr>
      <w:rPr>
        <w:rFonts w:ascii="Webdings" w:hAnsi="Webdings" w:hint="default"/>
        <w:color w:val="0099CC"/>
        <w:sz w:val="24"/>
        <w:szCs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0A592D24"/>
    <w:multiLevelType w:val="hybridMultilevel"/>
    <w:tmpl w:val="DF1E0F80"/>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5333AB"/>
    <w:multiLevelType w:val="hybridMultilevel"/>
    <w:tmpl w:val="C068E7A8"/>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825FD2"/>
    <w:multiLevelType w:val="hybridMultilevel"/>
    <w:tmpl w:val="9F4CA526"/>
    <w:lvl w:ilvl="0" w:tplc="0298047A">
      <w:start w:val="1"/>
      <w:numFmt w:val="bullet"/>
      <w:lvlText w:val=""/>
      <w:lvlJc w:val="left"/>
      <w:pPr>
        <w:ind w:left="720" w:hanging="360"/>
      </w:pPr>
      <w:rPr>
        <w:rFonts w:ascii="Webdings" w:hAnsi="Webdings" w:hint="default"/>
        <w:color w:val="0099C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764977"/>
    <w:multiLevelType w:val="hybridMultilevel"/>
    <w:tmpl w:val="47560B00"/>
    <w:lvl w:ilvl="0" w:tplc="0298047A">
      <w:start w:val="1"/>
      <w:numFmt w:val="bullet"/>
      <w:lvlText w:val=""/>
      <w:lvlJc w:val="left"/>
      <w:pPr>
        <w:ind w:left="720" w:hanging="360"/>
      </w:pPr>
      <w:rPr>
        <w:rFonts w:ascii="Webdings" w:hAnsi="Webdings" w:hint="default"/>
        <w:color w:val="0099C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A85D8D"/>
    <w:multiLevelType w:val="hybridMultilevel"/>
    <w:tmpl w:val="4604543E"/>
    <w:lvl w:ilvl="0" w:tplc="FFC4A564">
      <w:start w:val="1"/>
      <w:numFmt w:val="bullet"/>
      <w:pStyle w:val="ListBullet"/>
      <w:lvlText w:val=""/>
      <w:lvlJc w:val="left"/>
      <w:pPr>
        <w:ind w:left="814" w:hanging="360"/>
      </w:pPr>
      <w:rPr>
        <w:rFonts w:ascii="Webdings" w:hAnsi="Webdings" w:cs="Webdings" w:hint="default"/>
        <w:b w:val="0"/>
        <w:i w:val="0"/>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DB273E"/>
    <w:multiLevelType w:val="hybridMultilevel"/>
    <w:tmpl w:val="E53E0E0A"/>
    <w:lvl w:ilvl="0" w:tplc="FFFFFFFF">
      <w:start w:val="1"/>
      <w:numFmt w:val="lowerRoman"/>
      <w:lvlText w:val="(%1)"/>
      <w:lvlJc w:val="left"/>
      <w:pPr>
        <w:ind w:left="502" w:hanging="360"/>
      </w:pPr>
      <w:rPr>
        <w:rFonts w:hint="default"/>
        <w:b/>
      </w:rPr>
    </w:lvl>
    <w:lvl w:ilvl="1" w:tplc="0C09000F">
      <w:start w:val="1"/>
      <w:numFmt w:val="decimal"/>
      <w:lvlText w:val="%2."/>
      <w:lvlJc w:val="left"/>
      <w:pPr>
        <w:ind w:left="1222" w:hanging="360"/>
      </w:p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11E4063C"/>
    <w:multiLevelType w:val="hybridMultilevel"/>
    <w:tmpl w:val="0C6ABEF0"/>
    <w:lvl w:ilvl="0" w:tplc="30F46156">
      <w:start w:val="1"/>
      <w:numFmt w:val="bullet"/>
      <w:lvlText w:val=""/>
      <w:lvlJc w:val="left"/>
      <w:pPr>
        <w:ind w:left="360" w:hanging="360"/>
      </w:pPr>
      <w:rPr>
        <w:rFonts w:ascii="Webdings" w:hAnsi="Webdings" w:hint="default"/>
        <w:color w:val="0099CC"/>
        <w:sz w:val="24"/>
        <w:szCs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A572E0"/>
    <w:multiLevelType w:val="hybridMultilevel"/>
    <w:tmpl w:val="7574463C"/>
    <w:lvl w:ilvl="0" w:tplc="30F46156">
      <w:start w:val="1"/>
      <w:numFmt w:val="bullet"/>
      <w:lvlText w:val=""/>
      <w:lvlJc w:val="left"/>
      <w:pPr>
        <w:ind w:left="720" w:hanging="360"/>
      </w:pPr>
      <w:rPr>
        <w:rFonts w:ascii="Webdings" w:hAnsi="Webdings" w:hint="default"/>
        <w:color w:val="0099CC"/>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5A6458A"/>
    <w:multiLevelType w:val="hybridMultilevel"/>
    <w:tmpl w:val="F55A1BEC"/>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2842E8"/>
    <w:multiLevelType w:val="hybridMultilevel"/>
    <w:tmpl w:val="FE8A7AF6"/>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FA45BC"/>
    <w:multiLevelType w:val="hybridMultilevel"/>
    <w:tmpl w:val="0C5ED540"/>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FE4BA3"/>
    <w:multiLevelType w:val="hybridMultilevel"/>
    <w:tmpl w:val="E078EAD8"/>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FD584E"/>
    <w:multiLevelType w:val="hybridMultilevel"/>
    <w:tmpl w:val="D95C36BC"/>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EB5CF7"/>
    <w:multiLevelType w:val="hybridMultilevel"/>
    <w:tmpl w:val="54326C48"/>
    <w:lvl w:ilvl="0" w:tplc="0298047A">
      <w:start w:val="1"/>
      <w:numFmt w:val="bullet"/>
      <w:lvlText w:val=""/>
      <w:lvlJc w:val="left"/>
      <w:pPr>
        <w:ind w:left="720" w:hanging="360"/>
      </w:pPr>
      <w:rPr>
        <w:rFonts w:ascii="Webdings" w:hAnsi="Webdings" w:hint="default"/>
        <w:color w:val="0099C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2071BC6"/>
    <w:multiLevelType w:val="hybridMultilevel"/>
    <w:tmpl w:val="5AF6FA02"/>
    <w:lvl w:ilvl="0" w:tplc="0298047A">
      <w:start w:val="1"/>
      <w:numFmt w:val="bullet"/>
      <w:lvlText w:val=""/>
      <w:lvlJc w:val="left"/>
      <w:pPr>
        <w:ind w:left="720" w:hanging="360"/>
      </w:pPr>
      <w:rPr>
        <w:rFonts w:ascii="Webdings" w:hAnsi="Webdings" w:hint="default"/>
        <w:b/>
        <w:color w:val="0099C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4A62099"/>
    <w:multiLevelType w:val="hybridMultilevel"/>
    <w:tmpl w:val="91F87F6A"/>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526CFA"/>
    <w:multiLevelType w:val="hybridMultilevel"/>
    <w:tmpl w:val="C2001320"/>
    <w:lvl w:ilvl="0" w:tplc="FFFFFFFF">
      <w:start w:val="1"/>
      <w:numFmt w:val="bullet"/>
      <w:lvlText w:val=""/>
      <w:lvlJc w:val="left"/>
      <w:pPr>
        <w:ind w:left="360" w:hanging="360"/>
      </w:pPr>
      <w:rPr>
        <w:rFonts w:ascii="Webdings" w:hAnsi="Webdings" w:hint="default"/>
        <w:color w:val="0099CC"/>
        <w:sz w:val="24"/>
        <w:szCs w:val="24"/>
      </w:rPr>
    </w:lvl>
    <w:lvl w:ilvl="1" w:tplc="30F46156">
      <w:start w:val="1"/>
      <w:numFmt w:val="bullet"/>
      <w:lvlText w:val=""/>
      <w:lvlJc w:val="left"/>
      <w:pPr>
        <w:ind w:left="1080" w:hanging="360"/>
      </w:pPr>
      <w:rPr>
        <w:rFonts w:ascii="Webdings" w:hAnsi="Webdings" w:hint="default"/>
        <w:color w:val="0099CC"/>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29D16E92"/>
    <w:multiLevelType w:val="hybridMultilevel"/>
    <w:tmpl w:val="5608F4F0"/>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D5A7E83"/>
    <w:multiLevelType w:val="hybridMultilevel"/>
    <w:tmpl w:val="5BB6D8C6"/>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F22C19"/>
    <w:multiLevelType w:val="multilevel"/>
    <w:tmpl w:val="0F48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5742A"/>
    <w:multiLevelType w:val="hybridMultilevel"/>
    <w:tmpl w:val="91481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4654F8C"/>
    <w:multiLevelType w:val="multilevel"/>
    <w:tmpl w:val="D28E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C1462E"/>
    <w:multiLevelType w:val="hybridMultilevel"/>
    <w:tmpl w:val="106A0C20"/>
    <w:lvl w:ilvl="0" w:tplc="715C4008">
      <w:start w:val="1"/>
      <w:numFmt w:val="lowerRoman"/>
      <w:lvlText w:val="(%1)"/>
      <w:lvlJc w:val="righ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672A46"/>
    <w:multiLevelType w:val="hybridMultilevel"/>
    <w:tmpl w:val="14F0AE92"/>
    <w:lvl w:ilvl="0" w:tplc="30F46156">
      <w:start w:val="1"/>
      <w:numFmt w:val="bullet"/>
      <w:lvlText w:val=""/>
      <w:lvlJc w:val="left"/>
      <w:pPr>
        <w:ind w:left="360" w:hanging="360"/>
      </w:pPr>
      <w:rPr>
        <w:rFonts w:ascii="Webdings" w:hAnsi="Webdings" w:hint="default"/>
        <w:color w:val="0099CC"/>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A7E7D21"/>
    <w:multiLevelType w:val="hybridMultilevel"/>
    <w:tmpl w:val="788C169C"/>
    <w:lvl w:ilvl="0" w:tplc="FFFFFFFF">
      <w:start w:val="1"/>
      <w:numFmt w:val="lowerRoman"/>
      <w:lvlText w:val="(%1)"/>
      <w:lvlJc w:val="left"/>
      <w:pPr>
        <w:ind w:left="502" w:hanging="360"/>
      </w:pPr>
      <w:rPr>
        <w:rFonts w:hint="default"/>
        <w:b/>
      </w:rPr>
    </w:lvl>
    <w:lvl w:ilvl="1" w:tplc="12A805DC">
      <w:start w:val="1"/>
      <w:numFmt w:val="bullet"/>
      <w:lvlText w:val=""/>
      <w:lvlJc w:val="left"/>
      <w:pPr>
        <w:ind w:left="1222" w:hanging="360"/>
      </w:pPr>
      <w:rPr>
        <w:rFonts w:ascii="Webdings" w:hAnsi="Webdings" w:hint="default"/>
        <w:color w:val="0099CC"/>
        <w:sz w:val="24"/>
        <w:szCs w:val="24"/>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5" w15:restartNumberingAfterBreak="0">
    <w:nsid w:val="4C621760"/>
    <w:multiLevelType w:val="hybridMultilevel"/>
    <w:tmpl w:val="00D89DDE"/>
    <w:lvl w:ilvl="0" w:tplc="0298047A">
      <w:start w:val="1"/>
      <w:numFmt w:val="bullet"/>
      <w:lvlText w:val=""/>
      <w:lvlJc w:val="left"/>
      <w:pPr>
        <w:ind w:left="720" w:hanging="360"/>
      </w:pPr>
      <w:rPr>
        <w:rFonts w:ascii="Webdings" w:hAnsi="Webdings" w:hint="default"/>
        <w:color w:val="0099C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DD5907"/>
    <w:multiLevelType w:val="hybridMultilevel"/>
    <w:tmpl w:val="9AFC2E52"/>
    <w:lvl w:ilvl="0" w:tplc="FFFFFFFF">
      <w:start w:val="1"/>
      <w:numFmt w:val="lowerRoman"/>
      <w:lvlText w:val="(%1)"/>
      <w:lvlJc w:val="left"/>
      <w:pPr>
        <w:ind w:left="502" w:hanging="360"/>
      </w:pPr>
      <w:rPr>
        <w:rFonts w:hint="default"/>
        <w:b/>
      </w:rPr>
    </w:lvl>
    <w:lvl w:ilvl="1" w:tplc="FFFFFFFF">
      <w:start w:val="1"/>
      <w:numFmt w:val="bullet"/>
      <w:lvlText w:val=""/>
      <w:lvlJc w:val="left"/>
      <w:pPr>
        <w:ind w:left="1222" w:hanging="360"/>
      </w:pPr>
      <w:rPr>
        <w:rFonts w:ascii="Webdings" w:hAnsi="Webdings" w:hint="default"/>
        <w:color w:val="0099CC"/>
        <w:sz w:val="24"/>
        <w:szCs w:val="24"/>
      </w:rPr>
    </w:lvl>
    <w:lvl w:ilvl="2" w:tplc="12A805DC">
      <w:start w:val="1"/>
      <w:numFmt w:val="bullet"/>
      <w:lvlText w:val=""/>
      <w:lvlJc w:val="left"/>
      <w:pPr>
        <w:ind w:left="2122" w:hanging="360"/>
      </w:pPr>
      <w:rPr>
        <w:rFonts w:ascii="Webdings" w:hAnsi="Webdings" w:hint="default"/>
        <w:color w:val="0099CC"/>
        <w:sz w:val="24"/>
        <w:szCs w:val="24"/>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15:restartNumberingAfterBreak="0">
    <w:nsid w:val="4F8D1C7E"/>
    <w:multiLevelType w:val="hybridMultilevel"/>
    <w:tmpl w:val="6A220C52"/>
    <w:lvl w:ilvl="0" w:tplc="60CC069A">
      <w:start w:val="1"/>
      <w:numFmt w:val="lowerRoman"/>
      <w:lvlText w:val="(%1)"/>
      <w:lvlJc w:val="left"/>
      <w:pPr>
        <w:ind w:left="502" w:hanging="360"/>
      </w:pPr>
      <w:rPr>
        <w:rFonts w:hint="default"/>
        <w:b/>
      </w:rPr>
    </w:lvl>
    <w:lvl w:ilvl="1" w:tplc="30F46156">
      <w:start w:val="1"/>
      <w:numFmt w:val="bullet"/>
      <w:lvlText w:val=""/>
      <w:lvlJc w:val="left"/>
      <w:pPr>
        <w:ind w:left="1222" w:hanging="360"/>
      </w:pPr>
      <w:rPr>
        <w:rFonts w:ascii="Webdings" w:hAnsi="Webdings" w:hint="default"/>
        <w:color w:val="0099CC"/>
        <w:sz w:val="24"/>
        <w:szCs w:val="24"/>
      </w:r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8" w15:restartNumberingAfterBreak="0">
    <w:nsid w:val="52857461"/>
    <w:multiLevelType w:val="multilevel"/>
    <w:tmpl w:val="036C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4F7689"/>
    <w:multiLevelType w:val="hybridMultilevel"/>
    <w:tmpl w:val="9008F7A6"/>
    <w:lvl w:ilvl="0" w:tplc="30F46156">
      <w:start w:val="1"/>
      <w:numFmt w:val="bullet"/>
      <w:lvlText w:val=""/>
      <w:lvlJc w:val="left"/>
      <w:pPr>
        <w:ind w:left="1571" w:hanging="360"/>
      </w:pPr>
      <w:rPr>
        <w:rFonts w:ascii="Webdings" w:hAnsi="Webdings" w:hint="default"/>
        <w:color w:val="0099CC"/>
        <w:sz w:val="24"/>
        <w:szCs w:val="24"/>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0" w15:restartNumberingAfterBreak="0">
    <w:nsid w:val="586B3B70"/>
    <w:multiLevelType w:val="hybridMultilevel"/>
    <w:tmpl w:val="A9780E9A"/>
    <w:lvl w:ilvl="0" w:tplc="FFFFFFFF">
      <w:start w:val="1"/>
      <w:numFmt w:val="lowerRoman"/>
      <w:lvlText w:val="(%1)"/>
      <w:lvlJc w:val="left"/>
      <w:pPr>
        <w:ind w:left="502" w:hanging="360"/>
      </w:pPr>
      <w:rPr>
        <w:rFonts w:hint="default"/>
        <w:b/>
      </w:rPr>
    </w:lvl>
    <w:lvl w:ilvl="1" w:tplc="FFFFFFFF">
      <w:start w:val="1"/>
      <w:numFmt w:val="decimal"/>
      <w:lvlText w:val="%2."/>
      <w:lvlJc w:val="left"/>
      <w:pPr>
        <w:ind w:left="1222" w:hanging="360"/>
      </w:pPr>
    </w:lvl>
    <w:lvl w:ilvl="2" w:tplc="0C09000F">
      <w:start w:val="1"/>
      <w:numFmt w:val="decimal"/>
      <w:lvlText w:val="%3."/>
      <w:lvlJc w:val="left"/>
      <w:pPr>
        <w:ind w:left="1080" w:hanging="360"/>
      </w:p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1" w15:restartNumberingAfterBreak="0">
    <w:nsid w:val="59735AE1"/>
    <w:multiLevelType w:val="hybridMultilevel"/>
    <w:tmpl w:val="57421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ACA32F2"/>
    <w:multiLevelType w:val="hybridMultilevel"/>
    <w:tmpl w:val="560435B8"/>
    <w:lvl w:ilvl="0" w:tplc="FFFFFFFF">
      <w:start w:val="1"/>
      <w:numFmt w:val="lowerRoman"/>
      <w:lvlText w:val="(%1)"/>
      <w:lvlJc w:val="left"/>
      <w:pPr>
        <w:ind w:left="502" w:hanging="360"/>
      </w:pPr>
      <w:rPr>
        <w:rFonts w:hint="default"/>
        <w:b/>
      </w:rPr>
    </w:lvl>
    <w:lvl w:ilvl="1" w:tplc="12A805DC">
      <w:start w:val="1"/>
      <w:numFmt w:val="bullet"/>
      <w:lvlText w:val=""/>
      <w:lvlJc w:val="left"/>
      <w:pPr>
        <w:ind w:left="1222" w:hanging="360"/>
      </w:pPr>
      <w:rPr>
        <w:rFonts w:ascii="Webdings" w:hAnsi="Webdings" w:hint="default"/>
        <w:color w:val="0099CC"/>
        <w:sz w:val="24"/>
        <w:szCs w:val="24"/>
      </w:rPr>
    </w:lvl>
    <w:lvl w:ilvl="2" w:tplc="FFFFFFFF">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3" w15:restartNumberingAfterBreak="0">
    <w:nsid w:val="5B3E1FC3"/>
    <w:multiLevelType w:val="hybridMultilevel"/>
    <w:tmpl w:val="75D859A8"/>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CDF2379"/>
    <w:multiLevelType w:val="hybridMultilevel"/>
    <w:tmpl w:val="03F89384"/>
    <w:lvl w:ilvl="0" w:tplc="0298047A">
      <w:start w:val="1"/>
      <w:numFmt w:val="bullet"/>
      <w:lvlText w:val=""/>
      <w:lvlJc w:val="left"/>
      <w:pPr>
        <w:ind w:left="720" w:hanging="360"/>
      </w:pPr>
      <w:rPr>
        <w:rFonts w:ascii="Webdings" w:hAnsi="Webdings" w:hint="default"/>
        <w:color w:val="0099C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EF7770B"/>
    <w:multiLevelType w:val="hybridMultilevel"/>
    <w:tmpl w:val="A564635C"/>
    <w:lvl w:ilvl="0" w:tplc="30F46156">
      <w:start w:val="1"/>
      <w:numFmt w:val="bullet"/>
      <w:lvlText w:val=""/>
      <w:lvlJc w:val="left"/>
      <w:pPr>
        <w:ind w:left="720" w:hanging="360"/>
      </w:pPr>
      <w:rPr>
        <w:rFonts w:ascii="Webdings" w:hAnsi="Webdings" w:hint="default"/>
        <w:color w:val="0099CC"/>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01C5E03"/>
    <w:multiLevelType w:val="hybridMultilevel"/>
    <w:tmpl w:val="D908C5C8"/>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0FE36B1"/>
    <w:multiLevelType w:val="hybridMultilevel"/>
    <w:tmpl w:val="CADCE836"/>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1E83F03"/>
    <w:multiLevelType w:val="hybridMultilevel"/>
    <w:tmpl w:val="1CB497E0"/>
    <w:lvl w:ilvl="0" w:tplc="0298047A">
      <w:start w:val="1"/>
      <w:numFmt w:val="bullet"/>
      <w:lvlText w:val=""/>
      <w:lvlJc w:val="left"/>
      <w:pPr>
        <w:ind w:left="720" w:hanging="360"/>
      </w:pPr>
      <w:rPr>
        <w:rFonts w:ascii="Webdings" w:hAnsi="Webdings" w:hint="default"/>
        <w:color w:val="0099C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2844015"/>
    <w:multiLevelType w:val="hybridMultilevel"/>
    <w:tmpl w:val="68B6870E"/>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6D53B79"/>
    <w:multiLevelType w:val="hybridMultilevel"/>
    <w:tmpl w:val="A66AA068"/>
    <w:lvl w:ilvl="0" w:tplc="30F46156">
      <w:start w:val="1"/>
      <w:numFmt w:val="bullet"/>
      <w:lvlText w:val=""/>
      <w:lvlJc w:val="left"/>
      <w:pPr>
        <w:ind w:left="720" w:hanging="360"/>
      </w:pPr>
      <w:rPr>
        <w:rFonts w:ascii="Webdings" w:hAnsi="Webdings" w:hint="default"/>
        <w:color w:val="0099CC"/>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F3A62DF"/>
    <w:multiLevelType w:val="hybridMultilevel"/>
    <w:tmpl w:val="E4E608F8"/>
    <w:lvl w:ilvl="0" w:tplc="5928DF64">
      <w:start w:val="1"/>
      <w:numFmt w:val="decimal"/>
      <w:pStyle w:val="ListNumber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720C138C"/>
    <w:multiLevelType w:val="hybridMultilevel"/>
    <w:tmpl w:val="396A2272"/>
    <w:lvl w:ilvl="0" w:tplc="944CB586">
      <w:start w:val="1"/>
      <w:numFmt w:val="bullet"/>
      <w:lvlText w:val=""/>
      <w:lvlJc w:val="left"/>
      <w:pPr>
        <w:ind w:left="1800" w:hanging="360"/>
      </w:pPr>
      <w:rPr>
        <w:rFonts w:ascii="Webdings" w:hAnsi="Webdings" w:hint="default"/>
        <w:color w:val="0099CC"/>
        <w:sz w:val="24"/>
        <w:szCs w:val="24"/>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3" w15:restartNumberingAfterBreak="0">
    <w:nsid w:val="73DA4FE1"/>
    <w:multiLevelType w:val="hybridMultilevel"/>
    <w:tmpl w:val="7B7472D6"/>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46F0FEB"/>
    <w:multiLevelType w:val="hybridMultilevel"/>
    <w:tmpl w:val="B8A8AC22"/>
    <w:lvl w:ilvl="0" w:tplc="0298047A">
      <w:start w:val="1"/>
      <w:numFmt w:val="bullet"/>
      <w:lvlText w:val=""/>
      <w:lvlJc w:val="left"/>
      <w:pPr>
        <w:ind w:left="720" w:hanging="360"/>
      </w:pPr>
      <w:rPr>
        <w:rFonts w:ascii="Webdings" w:hAnsi="Webdings" w:hint="default"/>
        <w:color w:val="0099CC"/>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57972CF"/>
    <w:multiLevelType w:val="hybridMultilevel"/>
    <w:tmpl w:val="B6BCC45E"/>
    <w:lvl w:ilvl="0" w:tplc="FFFFFFFF">
      <w:start w:val="1"/>
      <w:numFmt w:val="lowerRoman"/>
      <w:lvlText w:val="(%1)"/>
      <w:lvlJc w:val="left"/>
      <w:pPr>
        <w:ind w:left="502" w:hanging="360"/>
      </w:pPr>
      <w:rPr>
        <w:rFonts w:hint="default"/>
        <w:b/>
      </w:rPr>
    </w:lvl>
    <w:lvl w:ilvl="1" w:tplc="01E86D64">
      <w:start w:val="1"/>
      <w:numFmt w:val="bullet"/>
      <w:pStyle w:val="ListBullet2"/>
      <w:lvlText w:val=""/>
      <w:lvlJc w:val="left"/>
      <w:pPr>
        <w:ind w:left="1222" w:hanging="360"/>
      </w:pPr>
      <w:rPr>
        <w:rFonts w:ascii="Webdings" w:hAnsi="Webdings" w:hint="default"/>
        <w:color w:val="0099CC"/>
        <w:sz w:val="24"/>
        <w:szCs w:val="24"/>
      </w:rPr>
    </w:lvl>
    <w:lvl w:ilvl="2" w:tplc="12A805DC">
      <w:start w:val="1"/>
      <w:numFmt w:val="bullet"/>
      <w:lvlText w:val=""/>
      <w:lvlJc w:val="left"/>
      <w:pPr>
        <w:ind w:left="2122" w:hanging="360"/>
      </w:pPr>
      <w:rPr>
        <w:rFonts w:ascii="Webdings" w:hAnsi="Webdings" w:hint="default"/>
        <w:color w:val="0099CC"/>
        <w:sz w:val="24"/>
        <w:szCs w:val="24"/>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6" w15:restartNumberingAfterBreak="0">
    <w:nsid w:val="7587200A"/>
    <w:multiLevelType w:val="hybridMultilevel"/>
    <w:tmpl w:val="CD002478"/>
    <w:lvl w:ilvl="0" w:tplc="30F46156">
      <w:start w:val="1"/>
      <w:numFmt w:val="bullet"/>
      <w:lvlText w:val=""/>
      <w:lvlJc w:val="left"/>
      <w:pPr>
        <w:ind w:left="720" w:hanging="360"/>
      </w:pPr>
      <w:rPr>
        <w:rFonts w:ascii="Webdings" w:hAnsi="Webdings" w:hint="default"/>
        <w:color w:val="0099CC"/>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AAF4CB5"/>
    <w:multiLevelType w:val="multilevel"/>
    <w:tmpl w:val="0760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404327"/>
    <w:multiLevelType w:val="multilevel"/>
    <w:tmpl w:val="ED100916"/>
    <w:lvl w:ilvl="0">
      <w:start w:val="1"/>
      <w:numFmt w:val="bullet"/>
      <w:lvlText w:val=""/>
      <w:lvlJc w:val="left"/>
      <w:pPr>
        <w:tabs>
          <w:tab w:val="num" w:pos="720"/>
        </w:tabs>
        <w:ind w:left="720" w:hanging="360"/>
      </w:pPr>
      <w:rPr>
        <w:rFonts w:ascii="Webdings" w:hAnsi="Webdings" w:hint="default"/>
        <w:color w:val="0099CC"/>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660921">
    <w:abstractNumId w:val="14"/>
  </w:num>
  <w:num w:numId="2" w16cid:durableId="1028139126">
    <w:abstractNumId w:val="18"/>
  </w:num>
  <w:num w:numId="3" w16cid:durableId="303899976">
    <w:abstractNumId w:val="20"/>
  </w:num>
  <w:num w:numId="4" w16cid:durableId="1396852980">
    <w:abstractNumId w:val="11"/>
  </w:num>
  <w:num w:numId="5" w16cid:durableId="539706942">
    <w:abstractNumId w:val="46"/>
  </w:num>
  <w:num w:numId="6" w16cid:durableId="1684211709">
    <w:abstractNumId w:val="21"/>
  </w:num>
  <w:num w:numId="7" w16cid:durableId="761990324">
    <w:abstractNumId w:val="25"/>
  </w:num>
  <w:num w:numId="8" w16cid:durableId="1994525416">
    <w:abstractNumId w:val="56"/>
  </w:num>
  <w:num w:numId="9" w16cid:durableId="266079857">
    <w:abstractNumId w:val="47"/>
  </w:num>
  <w:num w:numId="10" w16cid:durableId="1999379417">
    <w:abstractNumId w:val="27"/>
  </w:num>
  <w:num w:numId="11" w16cid:durableId="612443803">
    <w:abstractNumId w:val="7"/>
  </w:num>
  <w:num w:numId="12" w16cid:durableId="526020505">
    <w:abstractNumId w:val="22"/>
  </w:num>
  <w:num w:numId="13" w16cid:durableId="1200436942">
    <w:abstractNumId w:val="43"/>
  </w:num>
  <w:num w:numId="14" w16cid:durableId="754786979">
    <w:abstractNumId w:val="49"/>
  </w:num>
  <w:num w:numId="15" w16cid:durableId="2048211603">
    <w:abstractNumId w:val="16"/>
  </w:num>
  <w:num w:numId="16" w16cid:durableId="378162696">
    <w:abstractNumId w:val="37"/>
  </w:num>
  <w:num w:numId="17" w16cid:durableId="2002655700">
    <w:abstractNumId w:val="32"/>
  </w:num>
  <w:num w:numId="18" w16cid:durableId="299112234">
    <w:abstractNumId w:val="12"/>
  </w:num>
  <w:num w:numId="19" w16cid:durableId="538976738">
    <w:abstractNumId w:val="44"/>
  </w:num>
  <w:num w:numId="20" w16cid:durableId="193471479">
    <w:abstractNumId w:val="23"/>
  </w:num>
  <w:num w:numId="21" w16cid:durableId="603922454">
    <w:abstractNumId w:val="48"/>
  </w:num>
  <w:num w:numId="22" w16cid:durableId="1774589702">
    <w:abstractNumId w:val="35"/>
  </w:num>
  <w:num w:numId="23" w16cid:durableId="781144516">
    <w:abstractNumId w:val="13"/>
  </w:num>
  <w:num w:numId="24" w16cid:durableId="770709401">
    <w:abstractNumId w:val="24"/>
  </w:num>
  <w:num w:numId="25" w16cid:durableId="12339983">
    <w:abstractNumId w:val="54"/>
  </w:num>
  <w:num w:numId="26" w16cid:durableId="158930589">
    <w:abstractNumId w:val="52"/>
  </w:num>
  <w:num w:numId="27" w16cid:durableId="999307550">
    <w:abstractNumId w:val="58"/>
  </w:num>
  <w:num w:numId="28" w16cid:durableId="2062972625">
    <w:abstractNumId w:val="5"/>
  </w:num>
  <w:num w:numId="29" w16cid:durableId="881399534">
    <w:abstractNumId w:val="51"/>
  </w:num>
  <w:num w:numId="30" w16cid:durableId="1018234947">
    <w:abstractNumId w:val="42"/>
  </w:num>
  <w:num w:numId="31" w16cid:durableId="672680949">
    <w:abstractNumId w:val="36"/>
  </w:num>
  <w:num w:numId="32" w16cid:durableId="1598057951">
    <w:abstractNumId w:val="39"/>
  </w:num>
  <w:num w:numId="33" w16cid:durableId="793330998">
    <w:abstractNumId w:val="15"/>
  </w:num>
  <w:num w:numId="34" w16cid:durableId="29382503">
    <w:abstractNumId w:val="40"/>
  </w:num>
  <w:num w:numId="35" w16cid:durableId="970013113">
    <w:abstractNumId w:val="30"/>
  </w:num>
  <w:num w:numId="36" w16cid:durableId="1042513130">
    <w:abstractNumId w:val="17"/>
  </w:num>
  <w:num w:numId="37" w16cid:durableId="656616671">
    <w:abstractNumId w:val="19"/>
  </w:num>
  <w:num w:numId="38" w16cid:durableId="265499746">
    <w:abstractNumId w:val="26"/>
  </w:num>
  <w:num w:numId="39" w16cid:durableId="2092114413">
    <w:abstractNumId w:val="33"/>
  </w:num>
  <w:num w:numId="40" w16cid:durableId="291635412">
    <w:abstractNumId w:val="8"/>
  </w:num>
  <w:num w:numId="41" w16cid:durableId="1899629699">
    <w:abstractNumId w:val="31"/>
  </w:num>
  <w:num w:numId="42" w16cid:durableId="303051388">
    <w:abstractNumId w:val="10"/>
  </w:num>
  <w:num w:numId="43" w16cid:durableId="983049151">
    <w:abstractNumId w:val="29"/>
  </w:num>
  <w:num w:numId="44" w16cid:durableId="1133673069">
    <w:abstractNumId w:val="6"/>
  </w:num>
  <w:num w:numId="45" w16cid:durableId="634413537">
    <w:abstractNumId w:val="45"/>
  </w:num>
  <w:num w:numId="46" w16cid:durableId="647251092">
    <w:abstractNumId w:val="28"/>
  </w:num>
  <w:num w:numId="47" w16cid:durableId="1107114704">
    <w:abstractNumId w:val="57"/>
  </w:num>
  <w:num w:numId="48" w16cid:durableId="1424060695">
    <w:abstractNumId w:val="38"/>
  </w:num>
  <w:num w:numId="49" w16cid:durableId="1875145011">
    <w:abstractNumId w:val="53"/>
  </w:num>
  <w:num w:numId="50" w16cid:durableId="765157837">
    <w:abstractNumId w:val="34"/>
  </w:num>
  <w:num w:numId="51" w16cid:durableId="1307466954">
    <w:abstractNumId w:val="55"/>
  </w:num>
  <w:num w:numId="52" w16cid:durableId="1558977012">
    <w:abstractNumId w:val="41"/>
  </w:num>
  <w:num w:numId="53" w16cid:durableId="1056507659">
    <w:abstractNumId w:val="50"/>
  </w:num>
  <w:num w:numId="54" w16cid:durableId="1432697235">
    <w:abstractNumId w:val="9"/>
  </w:num>
  <w:num w:numId="55" w16cid:durableId="1572233468">
    <w:abstractNumId w:val="4"/>
  </w:num>
  <w:num w:numId="56" w16cid:durableId="1175148599">
    <w:abstractNumId w:val="2"/>
  </w:num>
  <w:num w:numId="57" w16cid:durableId="143133422">
    <w:abstractNumId w:val="1"/>
  </w:num>
  <w:num w:numId="58" w16cid:durableId="2058429610">
    <w:abstractNumId w:val="3"/>
  </w:num>
  <w:num w:numId="59" w16cid:durableId="1432319854">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FEB"/>
    <w:rsid w:val="00001633"/>
    <w:rsid w:val="00001D67"/>
    <w:rsid w:val="00002520"/>
    <w:rsid w:val="00002CAC"/>
    <w:rsid w:val="0000355B"/>
    <w:rsid w:val="00003646"/>
    <w:rsid w:val="0000395C"/>
    <w:rsid w:val="00004D3E"/>
    <w:rsid w:val="00005E35"/>
    <w:rsid w:val="00006395"/>
    <w:rsid w:val="00006631"/>
    <w:rsid w:val="000066D3"/>
    <w:rsid w:val="00007A0C"/>
    <w:rsid w:val="000110F0"/>
    <w:rsid w:val="000113B9"/>
    <w:rsid w:val="00011A89"/>
    <w:rsid w:val="00011B54"/>
    <w:rsid w:val="000126D4"/>
    <w:rsid w:val="000131D5"/>
    <w:rsid w:val="00013497"/>
    <w:rsid w:val="000145B6"/>
    <w:rsid w:val="0001555A"/>
    <w:rsid w:val="0001576E"/>
    <w:rsid w:val="00015A76"/>
    <w:rsid w:val="00015F66"/>
    <w:rsid w:val="00016FD7"/>
    <w:rsid w:val="00017FCB"/>
    <w:rsid w:val="00020259"/>
    <w:rsid w:val="00020A4B"/>
    <w:rsid w:val="00020B8D"/>
    <w:rsid w:val="00020CEF"/>
    <w:rsid w:val="000213EA"/>
    <w:rsid w:val="00021569"/>
    <w:rsid w:val="00021668"/>
    <w:rsid w:val="00021BBC"/>
    <w:rsid w:val="00021D8F"/>
    <w:rsid w:val="00022A14"/>
    <w:rsid w:val="00022DA5"/>
    <w:rsid w:val="00022F0E"/>
    <w:rsid w:val="00023407"/>
    <w:rsid w:val="00023521"/>
    <w:rsid w:val="00023775"/>
    <w:rsid w:val="00023B7E"/>
    <w:rsid w:val="00024252"/>
    <w:rsid w:val="00024A78"/>
    <w:rsid w:val="00024C73"/>
    <w:rsid w:val="000262B9"/>
    <w:rsid w:val="00026C0E"/>
    <w:rsid w:val="00027050"/>
    <w:rsid w:val="00030052"/>
    <w:rsid w:val="0003078C"/>
    <w:rsid w:val="0003127D"/>
    <w:rsid w:val="000322E3"/>
    <w:rsid w:val="0003261A"/>
    <w:rsid w:val="00033A3B"/>
    <w:rsid w:val="00035743"/>
    <w:rsid w:val="000362E0"/>
    <w:rsid w:val="00036CB4"/>
    <w:rsid w:val="00040159"/>
    <w:rsid w:val="000413D0"/>
    <w:rsid w:val="0004181A"/>
    <w:rsid w:val="000431A7"/>
    <w:rsid w:val="00043E7A"/>
    <w:rsid w:val="000454C6"/>
    <w:rsid w:val="000465A1"/>
    <w:rsid w:val="000469A5"/>
    <w:rsid w:val="00046BB5"/>
    <w:rsid w:val="00046F71"/>
    <w:rsid w:val="00047BDA"/>
    <w:rsid w:val="000502BE"/>
    <w:rsid w:val="00050870"/>
    <w:rsid w:val="0005118D"/>
    <w:rsid w:val="00052B41"/>
    <w:rsid w:val="00053348"/>
    <w:rsid w:val="0005380A"/>
    <w:rsid w:val="00053EED"/>
    <w:rsid w:val="00053FF3"/>
    <w:rsid w:val="00054395"/>
    <w:rsid w:val="0005487B"/>
    <w:rsid w:val="00056550"/>
    <w:rsid w:val="000567F0"/>
    <w:rsid w:val="00056A81"/>
    <w:rsid w:val="00057709"/>
    <w:rsid w:val="00060C53"/>
    <w:rsid w:val="00061E63"/>
    <w:rsid w:val="00061F68"/>
    <w:rsid w:val="00062045"/>
    <w:rsid w:val="00062A57"/>
    <w:rsid w:val="00063129"/>
    <w:rsid w:val="0006340C"/>
    <w:rsid w:val="00063F6B"/>
    <w:rsid w:val="00064F91"/>
    <w:rsid w:val="0006658E"/>
    <w:rsid w:val="00067878"/>
    <w:rsid w:val="00067C34"/>
    <w:rsid w:val="00070F58"/>
    <w:rsid w:val="00072173"/>
    <w:rsid w:val="0007294D"/>
    <w:rsid w:val="00072C05"/>
    <w:rsid w:val="00074049"/>
    <w:rsid w:val="0007434C"/>
    <w:rsid w:val="000749D8"/>
    <w:rsid w:val="00074F41"/>
    <w:rsid w:val="00075918"/>
    <w:rsid w:val="00075BA5"/>
    <w:rsid w:val="00076DC5"/>
    <w:rsid w:val="00076ED1"/>
    <w:rsid w:val="000771EA"/>
    <w:rsid w:val="000775C0"/>
    <w:rsid w:val="00077EB7"/>
    <w:rsid w:val="000800AC"/>
    <w:rsid w:val="000801BC"/>
    <w:rsid w:val="0008039B"/>
    <w:rsid w:val="00081DC6"/>
    <w:rsid w:val="00082E48"/>
    <w:rsid w:val="00083FD6"/>
    <w:rsid w:val="00084642"/>
    <w:rsid w:val="00085107"/>
    <w:rsid w:val="000855C9"/>
    <w:rsid w:val="0008607A"/>
    <w:rsid w:val="00087C73"/>
    <w:rsid w:val="00087FD2"/>
    <w:rsid w:val="00090ECA"/>
    <w:rsid w:val="000928E5"/>
    <w:rsid w:val="00092BAB"/>
    <w:rsid w:val="00092E34"/>
    <w:rsid w:val="00094BED"/>
    <w:rsid w:val="00094FA2"/>
    <w:rsid w:val="00095EEA"/>
    <w:rsid w:val="000960DB"/>
    <w:rsid w:val="000964F4"/>
    <w:rsid w:val="000975B4"/>
    <w:rsid w:val="000A0EA5"/>
    <w:rsid w:val="000A12D7"/>
    <w:rsid w:val="000A1FB8"/>
    <w:rsid w:val="000A2429"/>
    <w:rsid w:val="000A2568"/>
    <w:rsid w:val="000A3497"/>
    <w:rsid w:val="000A349B"/>
    <w:rsid w:val="000A37D8"/>
    <w:rsid w:val="000A3B0F"/>
    <w:rsid w:val="000A3B41"/>
    <w:rsid w:val="000A3DF0"/>
    <w:rsid w:val="000A47D9"/>
    <w:rsid w:val="000A6531"/>
    <w:rsid w:val="000A6824"/>
    <w:rsid w:val="000A7498"/>
    <w:rsid w:val="000B1219"/>
    <w:rsid w:val="000B310B"/>
    <w:rsid w:val="000B43A8"/>
    <w:rsid w:val="000B6C88"/>
    <w:rsid w:val="000B6D6B"/>
    <w:rsid w:val="000B7EBB"/>
    <w:rsid w:val="000C028A"/>
    <w:rsid w:val="000C3AE0"/>
    <w:rsid w:val="000C48EC"/>
    <w:rsid w:val="000C5EF9"/>
    <w:rsid w:val="000C601F"/>
    <w:rsid w:val="000C795B"/>
    <w:rsid w:val="000C7D51"/>
    <w:rsid w:val="000D007A"/>
    <w:rsid w:val="000D0798"/>
    <w:rsid w:val="000D1766"/>
    <w:rsid w:val="000D23EB"/>
    <w:rsid w:val="000D2B79"/>
    <w:rsid w:val="000D2B8D"/>
    <w:rsid w:val="000D2CFF"/>
    <w:rsid w:val="000D3EAB"/>
    <w:rsid w:val="000D4E79"/>
    <w:rsid w:val="000D4FA5"/>
    <w:rsid w:val="000D55A4"/>
    <w:rsid w:val="000D646E"/>
    <w:rsid w:val="000D66F4"/>
    <w:rsid w:val="000D706A"/>
    <w:rsid w:val="000D7254"/>
    <w:rsid w:val="000D76CB"/>
    <w:rsid w:val="000D79E2"/>
    <w:rsid w:val="000E06ED"/>
    <w:rsid w:val="000E075A"/>
    <w:rsid w:val="000E1777"/>
    <w:rsid w:val="000E28BC"/>
    <w:rsid w:val="000E2CA5"/>
    <w:rsid w:val="000E31D3"/>
    <w:rsid w:val="000E34D9"/>
    <w:rsid w:val="000E3A0D"/>
    <w:rsid w:val="000E48E1"/>
    <w:rsid w:val="000E6C58"/>
    <w:rsid w:val="000E6E2F"/>
    <w:rsid w:val="000E6EDF"/>
    <w:rsid w:val="000E73C6"/>
    <w:rsid w:val="000F0191"/>
    <w:rsid w:val="000F17C9"/>
    <w:rsid w:val="000F1FB6"/>
    <w:rsid w:val="000F200B"/>
    <w:rsid w:val="000F30FC"/>
    <w:rsid w:val="000F31AF"/>
    <w:rsid w:val="000F4A3D"/>
    <w:rsid w:val="000F4F6D"/>
    <w:rsid w:val="000F5549"/>
    <w:rsid w:val="000F581D"/>
    <w:rsid w:val="000F5902"/>
    <w:rsid w:val="000F592E"/>
    <w:rsid w:val="000F5B3A"/>
    <w:rsid w:val="000F5D41"/>
    <w:rsid w:val="000F6282"/>
    <w:rsid w:val="000F6DD1"/>
    <w:rsid w:val="000F75BD"/>
    <w:rsid w:val="000F76CC"/>
    <w:rsid w:val="00100317"/>
    <w:rsid w:val="00100610"/>
    <w:rsid w:val="00100B44"/>
    <w:rsid w:val="00100BAE"/>
    <w:rsid w:val="00100CE2"/>
    <w:rsid w:val="001011EB"/>
    <w:rsid w:val="001012A5"/>
    <w:rsid w:val="00101D45"/>
    <w:rsid w:val="00102569"/>
    <w:rsid w:val="001027D3"/>
    <w:rsid w:val="001030A8"/>
    <w:rsid w:val="00104539"/>
    <w:rsid w:val="001045CD"/>
    <w:rsid w:val="00104F5A"/>
    <w:rsid w:val="001054B8"/>
    <w:rsid w:val="00106C22"/>
    <w:rsid w:val="001073CF"/>
    <w:rsid w:val="001074D3"/>
    <w:rsid w:val="00107B8A"/>
    <w:rsid w:val="00110425"/>
    <w:rsid w:val="00110C77"/>
    <w:rsid w:val="00110DF3"/>
    <w:rsid w:val="0011234F"/>
    <w:rsid w:val="00112BC9"/>
    <w:rsid w:val="00112BF1"/>
    <w:rsid w:val="0011391A"/>
    <w:rsid w:val="00113B44"/>
    <w:rsid w:val="00114991"/>
    <w:rsid w:val="00114BE7"/>
    <w:rsid w:val="0011545B"/>
    <w:rsid w:val="00115C4F"/>
    <w:rsid w:val="0011734A"/>
    <w:rsid w:val="00120586"/>
    <w:rsid w:val="00120F8A"/>
    <w:rsid w:val="00121D7D"/>
    <w:rsid w:val="001227C7"/>
    <w:rsid w:val="00122B5D"/>
    <w:rsid w:val="00123335"/>
    <w:rsid w:val="0012412F"/>
    <w:rsid w:val="001242A9"/>
    <w:rsid w:val="00124553"/>
    <w:rsid w:val="00124D65"/>
    <w:rsid w:val="001263F8"/>
    <w:rsid w:val="001268AC"/>
    <w:rsid w:val="00127580"/>
    <w:rsid w:val="00130144"/>
    <w:rsid w:val="0013134C"/>
    <w:rsid w:val="00131833"/>
    <w:rsid w:val="00132563"/>
    <w:rsid w:val="00133339"/>
    <w:rsid w:val="001342F7"/>
    <w:rsid w:val="001354DC"/>
    <w:rsid w:val="001357D1"/>
    <w:rsid w:val="00135CC8"/>
    <w:rsid w:val="00136F22"/>
    <w:rsid w:val="0013718D"/>
    <w:rsid w:val="00140AD1"/>
    <w:rsid w:val="00140D65"/>
    <w:rsid w:val="00140EF8"/>
    <w:rsid w:val="00141043"/>
    <w:rsid w:val="0014136B"/>
    <w:rsid w:val="00141776"/>
    <w:rsid w:val="00141BFF"/>
    <w:rsid w:val="00141F4D"/>
    <w:rsid w:val="0014308C"/>
    <w:rsid w:val="0014440B"/>
    <w:rsid w:val="0014607B"/>
    <w:rsid w:val="0014673D"/>
    <w:rsid w:val="00146D7F"/>
    <w:rsid w:val="00147289"/>
    <w:rsid w:val="001473E6"/>
    <w:rsid w:val="0014751B"/>
    <w:rsid w:val="001477FF"/>
    <w:rsid w:val="00147813"/>
    <w:rsid w:val="001479F5"/>
    <w:rsid w:val="00152E59"/>
    <w:rsid w:val="0015357F"/>
    <w:rsid w:val="00154440"/>
    <w:rsid w:val="0015461E"/>
    <w:rsid w:val="00154CCD"/>
    <w:rsid w:val="0015508E"/>
    <w:rsid w:val="00156889"/>
    <w:rsid w:val="001576E2"/>
    <w:rsid w:val="001611CE"/>
    <w:rsid w:val="001616B4"/>
    <w:rsid w:val="001628F5"/>
    <w:rsid w:val="00162F03"/>
    <w:rsid w:val="00162F83"/>
    <w:rsid w:val="001630C6"/>
    <w:rsid w:val="00164291"/>
    <w:rsid w:val="00164B00"/>
    <w:rsid w:val="00166599"/>
    <w:rsid w:val="0016714D"/>
    <w:rsid w:val="00170B39"/>
    <w:rsid w:val="00171273"/>
    <w:rsid w:val="00172A45"/>
    <w:rsid w:val="00172B98"/>
    <w:rsid w:val="00172D5F"/>
    <w:rsid w:val="00172ED3"/>
    <w:rsid w:val="00172FF2"/>
    <w:rsid w:val="0017365C"/>
    <w:rsid w:val="001743B3"/>
    <w:rsid w:val="0017485B"/>
    <w:rsid w:val="00174A16"/>
    <w:rsid w:val="00174ABA"/>
    <w:rsid w:val="00174DE0"/>
    <w:rsid w:val="0017639A"/>
    <w:rsid w:val="001764E5"/>
    <w:rsid w:val="00177268"/>
    <w:rsid w:val="001774E6"/>
    <w:rsid w:val="00177974"/>
    <w:rsid w:val="001817F0"/>
    <w:rsid w:val="0018221E"/>
    <w:rsid w:val="00182DCE"/>
    <w:rsid w:val="00183209"/>
    <w:rsid w:val="001840FE"/>
    <w:rsid w:val="00184310"/>
    <w:rsid w:val="00184C47"/>
    <w:rsid w:val="00185B4D"/>
    <w:rsid w:val="00185BEE"/>
    <w:rsid w:val="00185F4B"/>
    <w:rsid w:val="00185F95"/>
    <w:rsid w:val="00186462"/>
    <w:rsid w:val="00186EBC"/>
    <w:rsid w:val="0018788C"/>
    <w:rsid w:val="00190546"/>
    <w:rsid w:val="00190CBA"/>
    <w:rsid w:val="00190EF3"/>
    <w:rsid w:val="0019139D"/>
    <w:rsid w:val="00191666"/>
    <w:rsid w:val="001918DA"/>
    <w:rsid w:val="001924E0"/>
    <w:rsid w:val="00193284"/>
    <w:rsid w:val="001933EA"/>
    <w:rsid w:val="0019371D"/>
    <w:rsid w:val="00193A4B"/>
    <w:rsid w:val="00193A63"/>
    <w:rsid w:val="001941B5"/>
    <w:rsid w:val="00194ED3"/>
    <w:rsid w:val="00195817"/>
    <w:rsid w:val="00195851"/>
    <w:rsid w:val="001958F3"/>
    <w:rsid w:val="00196248"/>
    <w:rsid w:val="00196E42"/>
    <w:rsid w:val="001A0405"/>
    <w:rsid w:val="001A04CF"/>
    <w:rsid w:val="001A1C63"/>
    <w:rsid w:val="001A26EB"/>
    <w:rsid w:val="001A3CFF"/>
    <w:rsid w:val="001A3F6A"/>
    <w:rsid w:val="001A4863"/>
    <w:rsid w:val="001A521D"/>
    <w:rsid w:val="001A6873"/>
    <w:rsid w:val="001A6D66"/>
    <w:rsid w:val="001A7ABF"/>
    <w:rsid w:val="001B028E"/>
    <w:rsid w:val="001B0637"/>
    <w:rsid w:val="001B10BE"/>
    <w:rsid w:val="001B1829"/>
    <w:rsid w:val="001B1FEB"/>
    <w:rsid w:val="001B2AFE"/>
    <w:rsid w:val="001B2E35"/>
    <w:rsid w:val="001B31DE"/>
    <w:rsid w:val="001B3247"/>
    <w:rsid w:val="001B49D1"/>
    <w:rsid w:val="001B4AFA"/>
    <w:rsid w:val="001B7293"/>
    <w:rsid w:val="001B7BB1"/>
    <w:rsid w:val="001C07F2"/>
    <w:rsid w:val="001C0DED"/>
    <w:rsid w:val="001C0EC0"/>
    <w:rsid w:val="001C1942"/>
    <w:rsid w:val="001C1B49"/>
    <w:rsid w:val="001C26B9"/>
    <w:rsid w:val="001C2B42"/>
    <w:rsid w:val="001C2FE8"/>
    <w:rsid w:val="001C30E9"/>
    <w:rsid w:val="001C42ED"/>
    <w:rsid w:val="001C470D"/>
    <w:rsid w:val="001C719E"/>
    <w:rsid w:val="001C73C9"/>
    <w:rsid w:val="001D0105"/>
    <w:rsid w:val="001D01CF"/>
    <w:rsid w:val="001D040B"/>
    <w:rsid w:val="001D04B4"/>
    <w:rsid w:val="001D070D"/>
    <w:rsid w:val="001D1A5F"/>
    <w:rsid w:val="001D1D33"/>
    <w:rsid w:val="001D1E9A"/>
    <w:rsid w:val="001D22CD"/>
    <w:rsid w:val="001D2801"/>
    <w:rsid w:val="001D3D98"/>
    <w:rsid w:val="001D4B5E"/>
    <w:rsid w:val="001D6529"/>
    <w:rsid w:val="001D775D"/>
    <w:rsid w:val="001D7838"/>
    <w:rsid w:val="001D7B7E"/>
    <w:rsid w:val="001E09F9"/>
    <w:rsid w:val="001E0A04"/>
    <w:rsid w:val="001E128F"/>
    <w:rsid w:val="001E1940"/>
    <w:rsid w:val="001E1D6F"/>
    <w:rsid w:val="001E1DB1"/>
    <w:rsid w:val="001E2713"/>
    <w:rsid w:val="001E3B1F"/>
    <w:rsid w:val="001E3D78"/>
    <w:rsid w:val="001E4658"/>
    <w:rsid w:val="001E4C7F"/>
    <w:rsid w:val="001E4CA7"/>
    <w:rsid w:val="001E4E34"/>
    <w:rsid w:val="001E50E8"/>
    <w:rsid w:val="001E630D"/>
    <w:rsid w:val="001E6B5A"/>
    <w:rsid w:val="001E7029"/>
    <w:rsid w:val="001E7318"/>
    <w:rsid w:val="001E7570"/>
    <w:rsid w:val="001F0831"/>
    <w:rsid w:val="001F09EA"/>
    <w:rsid w:val="001F0D90"/>
    <w:rsid w:val="001F1D7C"/>
    <w:rsid w:val="001F1DD4"/>
    <w:rsid w:val="001F1FA5"/>
    <w:rsid w:val="001F267F"/>
    <w:rsid w:val="001F3844"/>
    <w:rsid w:val="001F38D5"/>
    <w:rsid w:val="001F4CBF"/>
    <w:rsid w:val="001F4EE8"/>
    <w:rsid w:val="001F4F03"/>
    <w:rsid w:val="001F52BF"/>
    <w:rsid w:val="001F78B8"/>
    <w:rsid w:val="001F7B18"/>
    <w:rsid w:val="00200842"/>
    <w:rsid w:val="00201525"/>
    <w:rsid w:val="002019F3"/>
    <w:rsid w:val="00202B83"/>
    <w:rsid w:val="00203646"/>
    <w:rsid w:val="002040BA"/>
    <w:rsid w:val="00204AA5"/>
    <w:rsid w:val="00205655"/>
    <w:rsid w:val="00205EA3"/>
    <w:rsid w:val="0020682B"/>
    <w:rsid w:val="00206831"/>
    <w:rsid w:val="00206877"/>
    <w:rsid w:val="00207936"/>
    <w:rsid w:val="00210878"/>
    <w:rsid w:val="00210CAB"/>
    <w:rsid w:val="002113D0"/>
    <w:rsid w:val="00211D06"/>
    <w:rsid w:val="00212D90"/>
    <w:rsid w:val="002133FF"/>
    <w:rsid w:val="00213C4D"/>
    <w:rsid w:val="00214BB7"/>
    <w:rsid w:val="00214FD2"/>
    <w:rsid w:val="00215019"/>
    <w:rsid w:val="00215812"/>
    <w:rsid w:val="00215DE3"/>
    <w:rsid w:val="00220D10"/>
    <w:rsid w:val="00221488"/>
    <w:rsid w:val="002259A4"/>
    <w:rsid w:val="002260E8"/>
    <w:rsid w:val="00226543"/>
    <w:rsid w:val="00226E47"/>
    <w:rsid w:val="00227270"/>
    <w:rsid w:val="002278A5"/>
    <w:rsid w:val="00232430"/>
    <w:rsid w:val="0023264D"/>
    <w:rsid w:val="0023302D"/>
    <w:rsid w:val="002330ED"/>
    <w:rsid w:val="0023392F"/>
    <w:rsid w:val="00233B20"/>
    <w:rsid w:val="002342E0"/>
    <w:rsid w:val="002347F2"/>
    <w:rsid w:val="00235EFC"/>
    <w:rsid w:val="002360F4"/>
    <w:rsid w:val="00236209"/>
    <w:rsid w:val="00236265"/>
    <w:rsid w:val="00236C6F"/>
    <w:rsid w:val="00237EE2"/>
    <w:rsid w:val="00237F0F"/>
    <w:rsid w:val="00241706"/>
    <w:rsid w:val="00241B17"/>
    <w:rsid w:val="00241F0A"/>
    <w:rsid w:val="00242B00"/>
    <w:rsid w:val="00243D02"/>
    <w:rsid w:val="00243D43"/>
    <w:rsid w:val="00243F6D"/>
    <w:rsid w:val="00244724"/>
    <w:rsid w:val="0024473D"/>
    <w:rsid w:val="00244E2C"/>
    <w:rsid w:val="00245B81"/>
    <w:rsid w:val="002460A3"/>
    <w:rsid w:val="0024637E"/>
    <w:rsid w:val="00246FD8"/>
    <w:rsid w:val="00247762"/>
    <w:rsid w:val="002501FB"/>
    <w:rsid w:val="00251A22"/>
    <w:rsid w:val="00251DDD"/>
    <w:rsid w:val="00252AFC"/>
    <w:rsid w:val="00252B92"/>
    <w:rsid w:val="00253750"/>
    <w:rsid w:val="002546E1"/>
    <w:rsid w:val="00254E90"/>
    <w:rsid w:val="00254EEF"/>
    <w:rsid w:val="00255174"/>
    <w:rsid w:val="002551D2"/>
    <w:rsid w:val="00255429"/>
    <w:rsid w:val="002555AB"/>
    <w:rsid w:val="00256534"/>
    <w:rsid w:val="0025716F"/>
    <w:rsid w:val="00257DDF"/>
    <w:rsid w:val="00257F46"/>
    <w:rsid w:val="002600E8"/>
    <w:rsid w:val="002616B5"/>
    <w:rsid w:val="002616E4"/>
    <w:rsid w:val="002623AF"/>
    <w:rsid w:val="00262B8F"/>
    <w:rsid w:val="0026326F"/>
    <w:rsid w:val="0026350B"/>
    <w:rsid w:val="00264A05"/>
    <w:rsid w:val="002655B6"/>
    <w:rsid w:val="00265641"/>
    <w:rsid w:val="002670EF"/>
    <w:rsid w:val="0027013A"/>
    <w:rsid w:val="002729CA"/>
    <w:rsid w:val="00272DCC"/>
    <w:rsid w:val="00273D3A"/>
    <w:rsid w:val="0027496E"/>
    <w:rsid w:val="00274B90"/>
    <w:rsid w:val="00275686"/>
    <w:rsid w:val="00276652"/>
    <w:rsid w:val="00276878"/>
    <w:rsid w:val="00277193"/>
    <w:rsid w:val="00277752"/>
    <w:rsid w:val="002778AD"/>
    <w:rsid w:val="00280232"/>
    <w:rsid w:val="00280598"/>
    <w:rsid w:val="00280F8D"/>
    <w:rsid w:val="002811A9"/>
    <w:rsid w:val="002813A0"/>
    <w:rsid w:val="00281654"/>
    <w:rsid w:val="002838FB"/>
    <w:rsid w:val="00284617"/>
    <w:rsid w:val="002846BE"/>
    <w:rsid w:val="00284814"/>
    <w:rsid w:val="0028573D"/>
    <w:rsid w:val="0028574B"/>
    <w:rsid w:val="002858AB"/>
    <w:rsid w:val="0028696F"/>
    <w:rsid w:val="002905E2"/>
    <w:rsid w:val="00291052"/>
    <w:rsid w:val="00293110"/>
    <w:rsid w:val="0029399F"/>
    <w:rsid w:val="00293CB6"/>
    <w:rsid w:val="0029418D"/>
    <w:rsid w:val="002958AC"/>
    <w:rsid w:val="002A0651"/>
    <w:rsid w:val="002A089C"/>
    <w:rsid w:val="002A125E"/>
    <w:rsid w:val="002A20DC"/>
    <w:rsid w:val="002A2A15"/>
    <w:rsid w:val="002A3435"/>
    <w:rsid w:val="002A3FE0"/>
    <w:rsid w:val="002A4E5B"/>
    <w:rsid w:val="002A5C90"/>
    <w:rsid w:val="002A6747"/>
    <w:rsid w:val="002A70AB"/>
    <w:rsid w:val="002B0AFC"/>
    <w:rsid w:val="002B0CD4"/>
    <w:rsid w:val="002B1CE7"/>
    <w:rsid w:val="002B284A"/>
    <w:rsid w:val="002B4FDB"/>
    <w:rsid w:val="002B5620"/>
    <w:rsid w:val="002B5AE4"/>
    <w:rsid w:val="002B5FE8"/>
    <w:rsid w:val="002B60CC"/>
    <w:rsid w:val="002B6E54"/>
    <w:rsid w:val="002B72A8"/>
    <w:rsid w:val="002C020B"/>
    <w:rsid w:val="002C1A64"/>
    <w:rsid w:val="002C22C0"/>
    <w:rsid w:val="002C2AC8"/>
    <w:rsid w:val="002C2D71"/>
    <w:rsid w:val="002C3C7D"/>
    <w:rsid w:val="002C4C8A"/>
    <w:rsid w:val="002C599C"/>
    <w:rsid w:val="002C6DB2"/>
    <w:rsid w:val="002C7B18"/>
    <w:rsid w:val="002D00B9"/>
    <w:rsid w:val="002D03CB"/>
    <w:rsid w:val="002D0632"/>
    <w:rsid w:val="002D0CC6"/>
    <w:rsid w:val="002D1173"/>
    <w:rsid w:val="002D118F"/>
    <w:rsid w:val="002D13C6"/>
    <w:rsid w:val="002D1F64"/>
    <w:rsid w:val="002D24C2"/>
    <w:rsid w:val="002D29E7"/>
    <w:rsid w:val="002D2A08"/>
    <w:rsid w:val="002D36F2"/>
    <w:rsid w:val="002D39F7"/>
    <w:rsid w:val="002D5134"/>
    <w:rsid w:val="002D6357"/>
    <w:rsid w:val="002D79EB"/>
    <w:rsid w:val="002E0FFA"/>
    <w:rsid w:val="002E1C54"/>
    <w:rsid w:val="002E26D4"/>
    <w:rsid w:val="002E2C8B"/>
    <w:rsid w:val="002E3590"/>
    <w:rsid w:val="002E3B31"/>
    <w:rsid w:val="002E4EDA"/>
    <w:rsid w:val="002E5518"/>
    <w:rsid w:val="002E591E"/>
    <w:rsid w:val="002E5DBC"/>
    <w:rsid w:val="002E7C90"/>
    <w:rsid w:val="002F0ABC"/>
    <w:rsid w:val="002F1672"/>
    <w:rsid w:val="002F2BA7"/>
    <w:rsid w:val="002F2F59"/>
    <w:rsid w:val="002F3D77"/>
    <w:rsid w:val="002F4FC9"/>
    <w:rsid w:val="002F628F"/>
    <w:rsid w:val="002F685A"/>
    <w:rsid w:val="002F77ED"/>
    <w:rsid w:val="00300C10"/>
    <w:rsid w:val="00300F77"/>
    <w:rsid w:val="003022DF"/>
    <w:rsid w:val="00302B11"/>
    <w:rsid w:val="00303177"/>
    <w:rsid w:val="00303607"/>
    <w:rsid w:val="0030500A"/>
    <w:rsid w:val="00305785"/>
    <w:rsid w:val="003058C9"/>
    <w:rsid w:val="00305D72"/>
    <w:rsid w:val="00306716"/>
    <w:rsid w:val="003067CD"/>
    <w:rsid w:val="00307A65"/>
    <w:rsid w:val="00307BB5"/>
    <w:rsid w:val="00310369"/>
    <w:rsid w:val="00311727"/>
    <w:rsid w:val="00312A50"/>
    <w:rsid w:val="0031302F"/>
    <w:rsid w:val="00315370"/>
    <w:rsid w:val="00315938"/>
    <w:rsid w:val="00315B31"/>
    <w:rsid w:val="00317E69"/>
    <w:rsid w:val="00317FD0"/>
    <w:rsid w:val="00321E10"/>
    <w:rsid w:val="0032372A"/>
    <w:rsid w:val="00323905"/>
    <w:rsid w:val="00324064"/>
    <w:rsid w:val="0032449C"/>
    <w:rsid w:val="00324D0C"/>
    <w:rsid w:val="00324DA3"/>
    <w:rsid w:val="003264C1"/>
    <w:rsid w:val="00326D14"/>
    <w:rsid w:val="00330508"/>
    <w:rsid w:val="00330CE4"/>
    <w:rsid w:val="00331BD9"/>
    <w:rsid w:val="00331D82"/>
    <w:rsid w:val="00332013"/>
    <w:rsid w:val="003338A0"/>
    <w:rsid w:val="003343B9"/>
    <w:rsid w:val="00334D09"/>
    <w:rsid w:val="003350D7"/>
    <w:rsid w:val="00336460"/>
    <w:rsid w:val="0033689F"/>
    <w:rsid w:val="00337B43"/>
    <w:rsid w:val="00337D20"/>
    <w:rsid w:val="003406AD"/>
    <w:rsid w:val="00340D9F"/>
    <w:rsid w:val="003410B1"/>
    <w:rsid w:val="00341368"/>
    <w:rsid w:val="00341A31"/>
    <w:rsid w:val="00341EA8"/>
    <w:rsid w:val="00343427"/>
    <w:rsid w:val="0034348E"/>
    <w:rsid w:val="003453EC"/>
    <w:rsid w:val="00346572"/>
    <w:rsid w:val="00346A56"/>
    <w:rsid w:val="00346E79"/>
    <w:rsid w:val="00347041"/>
    <w:rsid w:val="00347BBE"/>
    <w:rsid w:val="00350400"/>
    <w:rsid w:val="00350E9D"/>
    <w:rsid w:val="00350FB4"/>
    <w:rsid w:val="00351150"/>
    <w:rsid w:val="0035212D"/>
    <w:rsid w:val="0035448A"/>
    <w:rsid w:val="00356141"/>
    <w:rsid w:val="0035716A"/>
    <w:rsid w:val="0036024F"/>
    <w:rsid w:val="0036048A"/>
    <w:rsid w:val="00361DD2"/>
    <w:rsid w:val="00361F41"/>
    <w:rsid w:val="003624BB"/>
    <w:rsid w:val="00363916"/>
    <w:rsid w:val="00364F8E"/>
    <w:rsid w:val="003658C1"/>
    <w:rsid w:val="00365A7B"/>
    <w:rsid w:val="003670D0"/>
    <w:rsid w:val="00367256"/>
    <w:rsid w:val="003678E8"/>
    <w:rsid w:val="00370301"/>
    <w:rsid w:val="00370459"/>
    <w:rsid w:val="0037233D"/>
    <w:rsid w:val="00373839"/>
    <w:rsid w:val="00374834"/>
    <w:rsid w:val="00374ACD"/>
    <w:rsid w:val="003751E7"/>
    <w:rsid w:val="0037534C"/>
    <w:rsid w:val="00375814"/>
    <w:rsid w:val="00375D9E"/>
    <w:rsid w:val="00376239"/>
    <w:rsid w:val="00376E1F"/>
    <w:rsid w:val="00376EDB"/>
    <w:rsid w:val="00380360"/>
    <w:rsid w:val="00381F78"/>
    <w:rsid w:val="003825D9"/>
    <w:rsid w:val="00382EA9"/>
    <w:rsid w:val="00383045"/>
    <w:rsid w:val="00383730"/>
    <w:rsid w:val="003876DE"/>
    <w:rsid w:val="00390C26"/>
    <w:rsid w:val="00390ECC"/>
    <w:rsid w:val="00391464"/>
    <w:rsid w:val="00391B93"/>
    <w:rsid w:val="003927A2"/>
    <w:rsid w:val="00392973"/>
    <w:rsid w:val="00392994"/>
    <w:rsid w:val="00392C5A"/>
    <w:rsid w:val="00393019"/>
    <w:rsid w:val="0039577F"/>
    <w:rsid w:val="00395828"/>
    <w:rsid w:val="00395CF7"/>
    <w:rsid w:val="00395EFC"/>
    <w:rsid w:val="00395F73"/>
    <w:rsid w:val="00396297"/>
    <w:rsid w:val="00396316"/>
    <w:rsid w:val="00396A9C"/>
    <w:rsid w:val="003979CE"/>
    <w:rsid w:val="003979E6"/>
    <w:rsid w:val="003A0436"/>
    <w:rsid w:val="003A08D2"/>
    <w:rsid w:val="003A094E"/>
    <w:rsid w:val="003A0969"/>
    <w:rsid w:val="003A0CB7"/>
    <w:rsid w:val="003A1664"/>
    <w:rsid w:val="003A1A5F"/>
    <w:rsid w:val="003A3132"/>
    <w:rsid w:val="003A4DCC"/>
    <w:rsid w:val="003A6646"/>
    <w:rsid w:val="003A6CB4"/>
    <w:rsid w:val="003A6D89"/>
    <w:rsid w:val="003A6E8D"/>
    <w:rsid w:val="003A7429"/>
    <w:rsid w:val="003A75B5"/>
    <w:rsid w:val="003A7B2A"/>
    <w:rsid w:val="003A7FED"/>
    <w:rsid w:val="003B1A27"/>
    <w:rsid w:val="003B1A9F"/>
    <w:rsid w:val="003B1B36"/>
    <w:rsid w:val="003B282C"/>
    <w:rsid w:val="003B2BB8"/>
    <w:rsid w:val="003B2D84"/>
    <w:rsid w:val="003B3168"/>
    <w:rsid w:val="003B498B"/>
    <w:rsid w:val="003B4D66"/>
    <w:rsid w:val="003B5548"/>
    <w:rsid w:val="003B5FE2"/>
    <w:rsid w:val="003B6428"/>
    <w:rsid w:val="003B672F"/>
    <w:rsid w:val="003B7A6D"/>
    <w:rsid w:val="003B7D70"/>
    <w:rsid w:val="003C0302"/>
    <w:rsid w:val="003C102E"/>
    <w:rsid w:val="003C1B3D"/>
    <w:rsid w:val="003C3303"/>
    <w:rsid w:val="003C3465"/>
    <w:rsid w:val="003C4CFF"/>
    <w:rsid w:val="003C5292"/>
    <w:rsid w:val="003C57AB"/>
    <w:rsid w:val="003C5811"/>
    <w:rsid w:val="003C6A7A"/>
    <w:rsid w:val="003C7231"/>
    <w:rsid w:val="003C7415"/>
    <w:rsid w:val="003C7C98"/>
    <w:rsid w:val="003D0687"/>
    <w:rsid w:val="003D0D33"/>
    <w:rsid w:val="003D0E96"/>
    <w:rsid w:val="003D12DB"/>
    <w:rsid w:val="003D34FF"/>
    <w:rsid w:val="003D4923"/>
    <w:rsid w:val="003E0B9A"/>
    <w:rsid w:val="003E1462"/>
    <w:rsid w:val="003E289E"/>
    <w:rsid w:val="003E5742"/>
    <w:rsid w:val="003E5924"/>
    <w:rsid w:val="003E69DC"/>
    <w:rsid w:val="003E6B4B"/>
    <w:rsid w:val="003E782B"/>
    <w:rsid w:val="003E796D"/>
    <w:rsid w:val="003F0079"/>
    <w:rsid w:val="003F251A"/>
    <w:rsid w:val="003F3CBC"/>
    <w:rsid w:val="003F3D6F"/>
    <w:rsid w:val="003F458D"/>
    <w:rsid w:val="003F500B"/>
    <w:rsid w:val="003F573A"/>
    <w:rsid w:val="003F643C"/>
    <w:rsid w:val="003F65F0"/>
    <w:rsid w:val="003F66DF"/>
    <w:rsid w:val="003F6724"/>
    <w:rsid w:val="003F6D4E"/>
    <w:rsid w:val="003F75F5"/>
    <w:rsid w:val="003F75FA"/>
    <w:rsid w:val="003F7B13"/>
    <w:rsid w:val="003F7F5F"/>
    <w:rsid w:val="004016B6"/>
    <w:rsid w:val="00401AEB"/>
    <w:rsid w:val="0040383E"/>
    <w:rsid w:val="00404762"/>
    <w:rsid w:val="00404A80"/>
    <w:rsid w:val="0040563A"/>
    <w:rsid w:val="00405738"/>
    <w:rsid w:val="00405F9E"/>
    <w:rsid w:val="004060B7"/>
    <w:rsid w:val="0040697B"/>
    <w:rsid w:val="004072CA"/>
    <w:rsid w:val="00410CC6"/>
    <w:rsid w:val="00410FBA"/>
    <w:rsid w:val="0041330E"/>
    <w:rsid w:val="00413431"/>
    <w:rsid w:val="004148D6"/>
    <w:rsid w:val="00414918"/>
    <w:rsid w:val="004153C3"/>
    <w:rsid w:val="004169E4"/>
    <w:rsid w:val="004174F6"/>
    <w:rsid w:val="00421069"/>
    <w:rsid w:val="004228D3"/>
    <w:rsid w:val="00423523"/>
    <w:rsid w:val="00424437"/>
    <w:rsid w:val="00424DDB"/>
    <w:rsid w:val="00426292"/>
    <w:rsid w:val="004269B6"/>
    <w:rsid w:val="0042790D"/>
    <w:rsid w:val="00427B87"/>
    <w:rsid w:val="00427E8E"/>
    <w:rsid w:val="00430401"/>
    <w:rsid w:val="00430972"/>
    <w:rsid w:val="004313CC"/>
    <w:rsid w:val="00431CC5"/>
    <w:rsid w:val="00431CE8"/>
    <w:rsid w:val="00432601"/>
    <w:rsid w:val="004330A0"/>
    <w:rsid w:val="00433F5A"/>
    <w:rsid w:val="00434060"/>
    <w:rsid w:val="004354B1"/>
    <w:rsid w:val="004360C4"/>
    <w:rsid w:val="00437263"/>
    <w:rsid w:val="00441AA7"/>
    <w:rsid w:val="00442535"/>
    <w:rsid w:val="00442545"/>
    <w:rsid w:val="00442C2F"/>
    <w:rsid w:val="00443A73"/>
    <w:rsid w:val="00444B8C"/>
    <w:rsid w:val="00445966"/>
    <w:rsid w:val="00445DEE"/>
    <w:rsid w:val="004468C4"/>
    <w:rsid w:val="00446CC8"/>
    <w:rsid w:val="00446CDE"/>
    <w:rsid w:val="00446FD6"/>
    <w:rsid w:val="004477A8"/>
    <w:rsid w:val="0044797D"/>
    <w:rsid w:val="004509C5"/>
    <w:rsid w:val="00451050"/>
    <w:rsid w:val="004511FE"/>
    <w:rsid w:val="00452641"/>
    <w:rsid w:val="0045264D"/>
    <w:rsid w:val="00453091"/>
    <w:rsid w:val="004554A1"/>
    <w:rsid w:val="004559FA"/>
    <w:rsid w:val="00455EF0"/>
    <w:rsid w:val="004562F8"/>
    <w:rsid w:val="00456BBB"/>
    <w:rsid w:val="00457E7C"/>
    <w:rsid w:val="004605EF"/>
    <w:rsid w:val="00460A1F"/>
    <w:rsid w:val="00460F66"/>
    <w:rsid w:val="00460FDA"/>
    <w:rsid w:val="00461F82"/>
    <w:rsid w:val="00462719"/>
    <w:rsid w:val="00462A66"/>
    <w:rsid w:val="0046308B"/>
    <w:rsid w:val="004634AF"/>
    <w:rsid w:val="00463508"/>
    <w:rsid w:val="00463BEC"/>
    <w:rsid w:val="00463F2E"/>
    <w:rsid w:val="004640F5"/>
    <w:rsid w:val="004650FE"/>
    <w:rsid w:val="004663D9"/>
    <w:rsid w:val="00466699"/>
    <w:rsid w:val="00466839"/>
    <w:rsid w:val="004677CB"/>
    <w:rsid w:val="0047011B"/>
    <w:rsid w:val="00471020"/>
    <w:rsid w:val="004712A9"/>
    <w:rsid w:val="004715CB"/>
    <w:rsid w:val="004718B1"/>
    <w:rsid w:val="004722EB"/>
    <w:rsid w:val="00472743"/>
    <w:rsid w:val="004741BB"/>
    <w:rsid w:val="004744C5"/>
    <w:rsid w:val="00474B7C"/>
    <w:rsid w:val="00474C35"/>
    <w:rsid w:val="004758DE"/>
    <w:rsid w:val="004759E2"/>
    <w:rsid w:val="00476216"/>
    <w:rsid w:val="00476EDD"/>
    <w:rsid w:val="00477053"/>
    <w:rsid w:val="00477057"/>
    <w:rsid w:val="0047713C"/>
    <w:rsid w:val="004818EF"/>
    <w:rsid w:val="00481989"/>
    <w:rsid w:val="00481A8A"/>
    <w:rsid w:val="00481E01"/>
    <w:rsid w:val="00482584"/>
    <w:rsid w:val="0048262B"/>
    <w:rsid w:val="00482C1F"/>
    <w:rsid w:val="0048447D"/>
    <w:rsid w:val="00484DBE"/>
    <w:rsid w:val="00484E77"/>
    <w:rsid w:val="0048519F"/>
    <w:rsid w:val="00490920"/>
    <w:rsid w:val="00490C94"/>
    <w:rsid w:val="00491ACE"/>
    <w:rsid w:val="00493D36"/>
    <w:rsid w:val="00493D86"/>
    <w:rsid w:val="004946F1"/>
    <w:rsid w:val="00494AD1"/>
    <w:rsid w:val="0049561D"/>
    <w:rsid w:val="0049686F"/>
    <w:rsid w:val="004969DA"/>
    <w:rsid w:val="0049726F"/>
    <w:rsid w:val="00497273"/>
    <w:rsid w:val="004973EB"/>
    <w:rsid w:val="004A0FDF"/>
    <w:rsid w:val="004A158A"/>
    <w:rsid w:val="004A251E"/>
    <w:rsid w:val="004A33C5"/>
    <w:rsid w:val="004A3BBB"/>
    <w:rsid w:val="004A414F"/>
    <w:rsid w:val="004A461D"/>
    <w:rsid w:val="004A49F4"/>
    <w:rsid w:val="004A4AE3"/>
    <w:rsid w:val="004A5D4E"/>
    <w:rsid w:val="004A5FB1"/>
    <w:rsid w:val="004A6632"/>
    <w:rsid w:val="004A7161"/>
    <w:rsid w:val="004A734A"/>
    <w:rsid w:val="004A756D"/>
    <w:rsid w:val="004A783D"/>
    <w:rsid w:val="004B0BD2"/>
    <w:rsid w:val="004B1B02"/>
    <w:rsid w:val="004B2893"/>
    <w:rsid w:val="004B3411"/>
    <w:rsid w:val="004B3912"/>
    <w:rsid w:val="004B3C44"/>
    <w:rsid w:val="004B54CA"/>
    <w:rsid w:val="004B60E3"/>
    <w:rsid w:val="004B6B1A"/>
    <w:rsid w:val="004B702E"/>
    <w:rsid w:val="004C097B"/>
    <w:rsid w:val="004C2066"/>
    <w:rsid w:val="004C23B3"/>
    <w:rsid w:val="004C23D6"/>
    <w:rsid w:val="004C26F9"/>
    <w:rsid w:val="004C359C"/>
    <w:rsid w:val="004C4BC2"/>
    <w:rsid w:val="004C4BEA"/>
    <w:rsid w:val="004C51C5"/>
    <w:rsid w:val="004D0C41"/>
    <w:rsid w:val="004D26BB"/>
    <w:rsid w:val="004D272F"/>
    <w:rsid w:val="004D3F2B"/>
    <w:rsid w:val="004D41E5"/>
    <w:rsid w:val="004D461F"/>
    <w:rsid w:val="004D495C"/>
    <w:rsid w:val="004D4DB7"/>
    <w:rsid w:val="004D4FFE"/>
    <w:rsid w:val="004D6B28"/>
    <w:rsid w:val="004D7123"/>
    <w:rsid w:val="004D795C"/>
    <w:rsid w:val="004D7C22"/>
    <w:rsid w:val="004E0AEF"/>
    <w:rsid w:val="004E0FEB"/>
    <w:rsid w:val="004E2D7F"/>
    <w:rsid w:val="004E3A23"/>
    <w:rsid w:val="004E45CE"/>
    <w:rsid w:val="004E4E2F"/>
    <w:rsid w:val="004E5CBF"/>
    <w:rsid w:val="004E5E75"/>
    <w:rsid w:val="004E5FC9"/>
    <w:rsid w:val="004E6137"/>
    <w:rsid w:val="004E65CA"/>
    <w:rsid w:val="004E6793"/>
    <w:rsid w:val="004E6CF7"/>
    <w:rsid w:val="004E7026"/>
    <w:rsid w:val="004F0867"/>
    <w:rsid w:val="004F120E"/>
    <w:rsid w:val="004F1AD2"/>
    <w:rsid w:val="004F1D84"/>
    <w:rsid w:val="004F2CCA"/>
    <w:rsid w:val="004F41F4"/>
    <w:rsid w:val="004F44F7"/>
    <w:rsid w:val="004F47A5"/>
    <w:rsid w:val="004F4BC0"/>
    <w:rsid w:val="004F5362"/>
    <w:rsid w:val="004F5533"/>
    <w:rsid w:val="004F63EA"/>
    <w:rsid w:val="004F6464"/>
    <w:rsid w:val="004F79FD"/>
    <w:rsid w:val="0050012A"/>
    <w:rsid w:val="00500885"/>
    <w:rsid w:val="00501194"/>
    <w:rsid w:val="00501647"/>
    <w:rsid w:val="00501AB4"/>
    <w:rsid w:val="00501DCF"/>
    <w:rsid w:val="0050250A"/>
    <w:rsid w:val="005025C5"/>
    <w:rsid w:val="00502708"/>
    <w:rsid w:val="00502CE6"/>
    <w:rsid w:val="0050357C"/>
    <w:rsid w:val="00504DA8"/>
    <w:rsid w:val="00505C3B"/>
    <w:rsid w:val="005060F0"/>
    <w:rsid w:val="005067B1"/>
    <w:rsid w:val="00507309"/>
    <w:rsid w:val="005079FA"/>
    <w:rsid w:val="00511AC3"/>
    <w:rsid w:val="0051242F"/>
    <w:rsid w:val="00512661"/>
    <w:rsid w:val="005127DE"/>
    <w:rsid w:val="00512FD1"/>
    <w:rsid w:val="0051330B"/>
    <w:rsid w:val="005138EE"/>
    <w:rsid w:val="00513E0F"/>
    <w:rsid w:val="00514169"/>
    <w:rsid w:val="00514246"/>
    <w:rsid w:val="00514B18"/>
    <w:rsid w:val="0051537D"/>
    <w:rsid w:val="005166CF"/>
    <w:rsid w:val="005174D9"/>
    <w:rsid w:val="00517797"/>
    <w:rsid w:val="00520F48"/>
    <w:rsid w:val="0052255B"/>
    <w:rsid w:val="00523012"/>
    <w:rsid w:val="005230D6"/>
    <w:rsid w:val="00523AB6"/>
    <w:rsid w:val="0052418A"/>
    <w:rsid w:val="005241F0"/>
    <w:rsid w:val="0052497E"/>
    <w:rsid w:val="00525008"/>
    <w:rsid w:val="00525D98"/>
    <w:rsid w:val="00525EC0"/>
    <w:rsid w:val="005260D8"/>
    <w:rsid w:val="0052675D"/>
    <w:rsid w:val="0052703C"/>
    <w:rsid w:val="00527F2F"/>
    <w:rsid w:val="00530302"/>
    <w:rsid w:val="00530A2A"/>
    <w:rsid w:val="005321D8"/>
    <w:rsid w:val="0053235D"/>
    <w:rsid w:val="00533F1A"/>
    <w:rsid w:val="0053417F"/>
    <w:rsid w:val="005342E9"/>
    <w:rsid w:val="005344D8"/>
    <w:rsid w:val="00534A81"/>
    <w:rsid w:val="00534B2C"/>
    <w:rsid w:val="00535078"/>
    <w:rsid w:val="0053740C"/>
    <w:rsid w:val="005378F1"/>
    <w:rsid w:val="00537CB4"/>
    <w:rsid w:val="00537D84"/>
    <w:rsid w:val="00537F0B"/>
    <w:rsid w:val="005402DB"/>
    <w:rsid w:val="0054270D"/>
    <w:rsid w:val="00542B82"/>
    <w:rsid w:val="00545478"/>
    <w:rsid w:val="00545C01"/>
    <w:rsid w:val="005465B9"/>
    <w:rsid w:val="00551132"/>
    <w:rsid w:val="00551564"/>
    <w:rsid w:val="00551861"/>
    <w:rsid w:val="00551FF7"/>
    <w:rsid w:val="005537B3"/>
    <w:rsid w:val="00553A00"/>
    <w:rsid w:val="00553E06"/>
    <w:rsid w:val="005543DF"/>
    <w:rsid w:val="00554A35"/>
    <w:rsid w:val="00554ACC"/>
    <w:rsid w:val="00555EB3"/>
    <w:rsid w:val="00555FE0"/>
    <w:rsid w:val="005567A0"/>
    <w:rsid w:val="00556E8F"/>
    <w:rsid w:val="00557E60"/>
    <w:rsid w:val="00560C70"/>
    <w:rsid w:val="005611B2"/>
    <w:rsid w:val="005615FF"/>
    <w:rsid w:val="00561E24"/>
    <w:rsid w:val="00563051"/>
    <w:rsid w:val="0056375A"/>
    <w:rsid w:val="00563BC6"/>
    <w:rsid w:val="0056482A"/>
    <w:rsid w:val="00565624"/>
    <w:rsid w:val="00565FB6"/>
    <w:rsid w:val="00566BBE"/>
    <w:rsid w:val="00567FD8"/>
    <w:rsid w:val="005702D2"/>
    <w:rsid w:val="00572172"/>
    <w:rsid w:val="0057228A"/>
    <w:rsid w:val="00574193"/>
    <w:rsid w:val="005767AA"/>
    <w:rsid w:val="00576F28"/>
    <w:rsid w:val="00577F24"/>
    <w:rsid w:val="005809F5"/>
    <w:rsid w:val="0058157F"/>
    <w:rsid w:val="0058256A"/>
    <w:rsid w:val="00584731"/>
    <w:rsid w:val="0058502A"/>
    <w:rsid w:val="00585A11"/>
    <w:rsid w:val="0058645C"/>
    <w:rsid w:val="00586685"/>
    <w:rsid w:val="00586937"/>
    <w:rsid w:val="00586F0F"/>
    <w:rsid w:val="0059019F"/>
    <w:rsid w:val="00591606"/>
    <w:rsid w:val="005916AF"/>
    <w:rsid w:val="0059195B"/>
    <w:rsid w:val="00591AD7"/>
    <w:rsid w:val="00591B75"/>
    <w:rsid w:val="00592E41"/>
    <w:rsid w:val="00593CE7"/>
    <w:rsid w:val="0059438E"/>
    <w:rsid w:val="00594548"/>
    <w:rsid w:val="00594FCB"/>
    <w:rsid w:val="005959C7"/>
    <w:rsid w:val="00596354"/>
    <w:rsid w:val="00596BF8"/>
    <w:rsid w:val="00597197"/>
    <w:rsid w:val="005974CF"/>
    <w:rsid w:val="00597CAB"/>
    <w:rsid w:val="00597F13"/>
    <w:rsid w:val="005A1367"/>
    <w:rsid w:val="005A1A96"/>
    <w:rsid w:val="005A20D9"/>
    <w:rsid w:val="005A24D1"/>
    <w:rsid w:val="005A25AA"/>
    <w:rsid w:val="005A2CA8"/>
    <w:rsid w:val="005A3557"/>
    <w:rsid w:val="005A3975"/>
    <w:rsid w:val="005A3FE7"/>
    <w:rsid w:val="005A4740"/>
    <w:rsid w:val="005A507E"/>
    <w:rsid w:val="005A60EB"/>
    <w:rsid w:val="005B022A"/>
    <w:rsid w:val="005B030F"/>
    <w:rsid w:val="005B1D47"/>
    <w:rsid w:val="005B31B3"/>
    <w:rsid w:val="005B3680"/>
    <w:rsid w:val="005B3A35"/>
    <w:rsid w:val="005B3CC2"/>
    <w:rsid w:val="005B5C86"/>
    <w:rsid w:val="005B5D44"/>
    <w:rsid w:val="005B60DE"/>
    <w:rsid w:val="005B6135"/>
    <w:rsid w:val="005B6252"/>
    <w:rsid w:val="005B7572"/>
    <w:rsid w:val="005B76CE"/>
    <w:rsid w:val="005C1901"/>
    <w:rsid w:val="005C1CC3"/>
    <w:rsid w:val="005C22B1"/>
    <w:rsid w:val="005C2331"/>
    <w:rsid w:val="005C275D"/>
    <w:rsid w:val="005C3417"/>
    <w:rsid w:val="005C3AA9"/>
    <w:rsid w:val="005C42D1"/>
    <w:rsid w:val="005C5489"/>
    <w:rsid w:val="005C5A83"/>
    <w:rsid w:val="005C6054"/>
    <w:rsid w:val="005C6647"/>
    <w:rsid w:val="005C6A26"/>
    <w:rsid w:val="005C6BBD"/>
    <w:rsid w:val="005C6D7A"/>
    <w:rsid w:val="005C7B61"/>
    <w:rsid w:val="005C7D0C"/>
    <w:rsid w:val="005D0276"/>
    <w:rsid w:val="005D09FD"/>
    <w:rsid w:val="005D35B7"/>
    <w:rsid w:val="005D4220"/>
    <w:rsid w:val="005D46DD"/>
    <w:rsid w:val="005D5068"/>
    <w:rsid w:val="005D57E2"/>
    <w:rsid w:val="005D64E4"/>
    <w:rsid w:val="005D71C0"/>
    <w:rsid w:val="005E0061"/>
    <w:rsid w:val="005E031B"/>
    <w:rsid w:val="005E06DB"/>
    <w:rsid w:val="005E1DFF"/>
    <w:rsid w:val="005E2E8D"/>
    <w:rsid w:val="005E4779"/>
    <w:rsid w:val="005E483C"/>
    <w:rsid w:val="005E6882"/>
    <w:rsid w:val="005F11D2"/>
    <w:rsid w:val="005F27A7"/>
    <w:rsid w:val="005F3F0F"/>
    <w:rsid w:val="005F5C87"/>
    <w:rsid w:val="005F609A"/>
    <w:rsid w:val="005F6429"/>
    <w:rsid w:val="005F6AE8"/>
    <w:rsid w:val="00600950"/>
    <w:rsid w:val="00600BC1"/>
    <w:rsid w:val="00600E95"/>
    <w:rsid w:val="006029F4"/>
    <w:rsid w:val="00602F50"/>
    <w:rsid w:val="00603291"/>
    <w:rsid w:val="006057FD"/>
    <w:rsid w:val="006068C3"/>
    <w:rsid w:val="00606C05"/>
    <w:rsid w:val="00606ED4"/>
    <w:rsid w:val="00607004"/>
    <w:rsid w:val="0061002E"/>
    <w:rsid w:val="0061177B"/>
    <w:rsid w:val="00612DE3"/>
    <w:rsid w:val="0061316D"/>
    <w:rsid w:val="0061345E"/>
    <w:rsid w:val="00613F69"/>
    <w:rsid w:val="0061404C"/>
    <w:rsid w:val="0061435D"/>
    <w:rsid w:val="0061680E"/>
    <w:rsid w:val="00617334"/>
    <w:rsid w:val="00617800"/>
    <w:rsid w:val="00620086"/>
    <w:rsid w:val="0062036E"/>
    <w:rsid w:val="00620BF1"/>
    <w:rsid w:val="00620CEC"/>
    <w:rsid w:val="00621434"/>
    <w:rsid w:val="006214AC"/>
    <w:rsid w:val="00621D55"/>
    <w:rsid w:val="00622CD9"/>
    <w:rsid w:val="00623108"/>
    <w:rsid w:val="00623D88"/>
    <w:rsid w:val="00623F3E"/>
    <w:rsid w:val="00625170"/>
    <w:rsid w:val="006252D6"/>
    <w:rsid w:val="00625765"/>
    <w:rsid w:val="00625A74"/>
    <w:rsid w:val="00625DF5"/>
    <w:rsid w:val="00626B13"/>
    <w:rsid w:val="00626D9A"/>
    <w:rsid w:val="006276C8"/>
    <w:rsid w:val="006302EA"/>
    <w:rsid w:val="00630684"/>
    <w:rsid w:val="00631130"/>
    <w:rsid w:val="006313EC"/>
    <w:rsid w:val="006314C1"/>
    <w:rsid w:val="00632065"/>
    <w:rsid w:val="00632C5C"/>
    <w:rsid w:val="00632EB3"/>
    <w:rsid w:val="00633D95"/>
    <w:rsid w:val="00634A2B"/>
    <w:rsid w:val="0063532D"/>
    <w:rsid w:val="00635899"/>
    <w:rsid w:val="00635FF0"/>
    <w:rsid w:val="00636CF6"/>
    <w:rsid w:val="006370FC"/>
    <w:rsid w:val="00637525"/>
    <w:rsid w:val="006407CE"/>
    <w:rsid w:val="006416B1"/>
    <w:rsid w:val="00641FF3"/>
    <w:rsid w:val="00643183"/>
    <w:rsid w:val="00643A44"/>
    <w:rsid w:val="00643B34"/>
    <w:rsid w:val="0064419F"/>
    <w:rsid w:val="00644AF4"/>
    <w:rsid w:val="00644C83"/>
    <w:rsid w:val="00644F18"/>
    <w:rsid w:val="0064626D"/>
    <w:rsid w:val="00647C52"/>
    <w:rsid w:val="0065075E"/>
    <w:rsid w:val="00650A51"/>
    <w:rsid w:val="00651C7C"/>
    <w:rsid w:val="006526B9"/>
    <w:rsid w:val="006531DE"/>
    <w:rsid w:val="00653360"/>
    <w:rsid w:val="0065349F"/>
    <w:rsid w:val="0065364B"/>
    <w:rsid w:val="0065368A"/>
    <w:rsid w:val="00654559"/>
    <w:rsid w:val="00655098"/>
    <w:rsid w:val="00655811"/>
    <w:rsid w:val="00655946"/>
    <w:rsid w:val="006570D1"/>
    <w:rsid w:val="00657CA7"/>
    <w:rsid w:val="006608BD"/>
    <w:rsid w:val="00660AF4"/>
    <w:rsid w:val="00660EE3"/>
    <w:rsid w:val="00660F11"/>
    <w:rsid w:val="00661312"/>
    <w:rsid w:val="00661851"/>
    <w:rsid w:val="00662DF2"/>
    <w:rsid w:val="006631BB"/>
    <w:rsid w:val="006654E9"/>
    <w:rsid w:val="006655C5"/>
    <w:rsid w:val="006657FC"/>
    <w:rsid w:val="00666545"/>
    <w:rsid w:val="006666A9"/>
    <w:rsid w:val="006666C7"/>
    <w:rsid w:val="0066691F"/>
    <w:rsid w:val="00666FBA"/>
    <w:rsid w:val="006670A9"/>
    <w:rsid w:val="006670F1"/>
    <w:rsid w:val="0066779B"/>
    <w:rsid w:val="00670BE6"/>
    <w:rsid w:val="00670FCC"/>
    <w:rsid w:val="006711CE"/>
    <w:rsid w:val="00671D1F"/>
    <w:rsid w:val="0067211C"/>
    <w:rsid w:val="006724B6"/>
    <w:rsid w:val="00672873"/>
    <w:rsid w:val="0067288E"/>
    <w:rsid w:val="00673621"/>
    <w:rsid w:val="006736E5"/>
    <w:rsid w:val="006739C2"/>
    <w:rsid w:val="00673FBB"/>
    <w:rsid w:val="006748F8"/>
    <w:rsid w:val="0067540B"/>
    <w:rsid w:val="006767E6"/>
    <w:rsid w:val="00677C40"/>
    <w:rsid w:val="0068146B"/>
    <w:rsid w:val="00681E3A"/>
    <w:rsid w:val="00683D56"/>
    <w:rsid w:val="00683E84"/>
    <w:rsid w:val="00683FBA"/>
    <w:rsid w:val="006844E9"/>
    <w:rsid w:val="00684913"/>
    <w:rsid w:val="006849CD"/>
    <w:rsid w:val="00684BAC"/>
    <w:rsid w:val="00686194"/>
    <w:rsid w:val="00686FC9"/>
    <w:rsid w:val="00687AA1"/>
    <w:rsid w:val="006900AE"/>
    <w:rsid w:val="006907B7"/>
    <w:rsid w:val="00692252"/>
    <w:rsid w:val="006922DC"/>
    <w:rsid w:val="00692659"/>
    <w:rsid w:val="00694891"/>
    <w:rsid w:val="00694D8F"/>
    <w:rsid w:val="00695394"/>
    <w:rsid w:val="006A3706"/>
    <w:rsid w:val="006A3CC0"/>
    <w:rsid w:val="006A3F3B"/>
    <w:rsid w:val="006A46A2"/>
    <w:rsid w:val="006A4AF8"/>
    <w:rsid w:val="006A4CE7"/>
    <w:rsid w:val="006A53B8"/>
    <w:rsid w:val="006A57CF"/>
    <w:rsid w:val="006A5C1D"/>
    <w:rsid w:val="006A6BA8"/>
    <w:rsid w:val="006A7001"/>
    <w:rsid w:val="006B0E7F"/>
    <w:rsid w:val="006B1CCA"/>
    <w:rsid w:val="006B33F0"/>
    <w:rsid w:val="006B341E"/>
    <w:rsid w:val="006B4EC0"/>
    <w:rsid w:val="006B5FEA"/>
    <w:rsid w:val="006B7B8E"/>
    <w:rsid w:val="006B7BEF"/>
    <w:rsid w:val="006B7D6E"/>
    <w:rsid w:val="006C00E7"/>
    <w:rsid w:val="006C180B"/>
    <w:rsid w:val="006C1ADB"/>
    <w:rsid w:val="006C281A"/>
    <w:rsid w:val="006C284E"/>
    <w:rsid w:val="006C492B"/>
    <w:rsid w:val="006C4BB5"/>
    <w:rsid w:val="006C5AFD"/>
    <w:rsid w:val="006C5BBE"/>
    <w:rsid w:val="006C6F9F"/>
    <w:rsid w:val="006C713C"/>
    <w:rsid w:val="006C7466"/>
    <w:rsid w:val="006C750D"/>
    <w:rsid w:val="006D0138"/>
    <w:rsid w:val="006D0588"/>
    <w:rsid w:val="006D074D"/>
    <w:rsid w:val="006D1104"/>
    <w:rsid w:val="006D239F"/>
    <w:rsid w:val="006D3795"/>
    <w:rsid w:val="006D3D73"/>
    <w:rsid w:val="006D429B"/>
    <w:rsid w:val="006D4D25"/>
    <w:rsid w:val="006D568C"/>
    <w:rsid w:val="006D6E3D"/>
    <w:rsid w:val="006E08FC"/>
    <w:rsid w:val="006E124C"/>
    <w:rsid w:val="006E2693"/>
    <w:rsid w:val="006E2709"/>
    <w:rsid w:val="006E2D00"/>
    <w:rsid w:val="006E3D61"/>
    <w:rsid w:val="006E3E60"/>
    <w:rsid w:val="006E43D5"/>
    <w:rsid w:val="006E45E9"/>
    <w:rsid w:val="006E537F"/>
    <w:rsid w:val="006E5613"/>
    <w:rsid w:val="006E6FE7"/>
    <w:rsid w:val="006F0D91"/>
    <w:rsid w:val="006F1083"/>
    <w:rsid w:val="006F1380"/>
    <w:rsid w:val="006F1D68"/>
    <w:rsid w:val="006F1F50"/>
    <w:rsid w:val="006F27FD"/>
    <w:rsid w:val="006F2DBB"/>
    <w:rsid w:val="006F2E69"/>
    <w:rsid w:val="006F34C9"/>
    <w:rsid w:val="006F38FF"/>
    <w:rsid w:val="006F3DC8"/>
    <w:rsid w:val="006F436E"/>
    <w:rsid w:val="006F4822"/>
    <w:rsid w:val="006F4A6F"/>
    <w:rsid w:val="006F4B4D"/>
    <w:rsid w:val="006F4F80"/>
    <w:rsid w:val="006F4FA9"/>
    <w:rsid w:val="006F5752"/>
    <w:rsid w:val="006F5C73"/>
    <w:rsid w:val="006F6975"/>
    <w:rsid w:val="006F6F7D"/>
    <w:rsid w:val="00700012"/>
    <w:rsid w:val="00700B42"/>
    <w:rsid w:val="00700FF5"/>
    <w:rsid w:val="00702212"/>
    <w:rsid w:val="007036B1"/>
    <w:rsid w:val="007051E1"/>
    <w:rsid w:val="007067B6"/>
    <w:rsid w:val="0070741B"/>
    <w:rsid w:val="007074C6"/>
    <w:rsid w:val="00707768"/>
    <w:rsid w:val="00710201"/>
    <w:rsid w:val="0071044F"/>
    <w:rsid w:val="0071051F"/>
    <w:rsid w:val="00711304"/>
    <w:rsid w:val="00711590"/>
    <w:rsid w:val="00712691"/>
    <w:rsid w:val="0071269A"/>
    <w:rsid w:val="00712982"/>
    <w:rsid w:val="00713A2A"/>
    <w:rsid w:val="0071414B"/>
    <w:rsid w:val="00715620"/>
    <w:rsid w:val="00715CB7"/>
    <w:rsid w:val="00715E2F"/>
    <w:rsid w:val="0071607D"/>
    <w:rsid w:val="007164AE"/>
    <w:rsid w:val="00716B4F"/>
    <w:rsid w:val="00716E20"/>
    <w:rsid w:val="007177A6"/>
    <w:rsid w:val="00720BAE"/>
    <w:rsid w:val="00720DD5"/>
    <w:rsid w:val="007215BF"/>
    <w:rsid w:val="00722C01"/>
    <w:rsid w:val="00722FA9"/>
    <w:rsid w:val="007235AE"/>
    <w:rsid w:val="00725B4E"/>
    <w:rsid w:val="00725C7D"/>
    <w:rsid w:val="00725EE8"/>
    <w:rsid w:val="00726EB0"/>
    <w:rsid w:val="007278EF"/>
    <w:rsid w:val="00727EAC"/>
    <w:rsid w:val="0073068A"/>
    <w:rsid w:val="00730BD9"/>
    <w:rsid w:val="00730C6A"/>
    <w:rsid w:val="0073148F"/>
    <w:rsid w:val="0073364D"/>
    <w:rsid w:val="00734158"/>
    <w:rsid w:val="007342D5"/>
    <w:rsid w:val="0073615C"/>
    <w:rsid w:val="00737097"/>
    <w:rsid w:val="00737B2F"/>
    <w:rsid w:val="00737D74"/>
    <w:rsid w:val="0074164E"/>
    <w:rsid w:val="00741D41"/>
    <w:rsid w:val="0074203C"/>
    <w:rsid w:val="00742694"/>
    <w:rsid w:val="007427C8"/>
    <w:rsid w:val="00742A57"/>
    <w:rsid w:val="00743A87"/>
    <w:rsid w:val="0074417C"/>
    <w:rsid w:val="00744B92"/>
    <w:rsid w:val="00745931"/>
    <w:rsid w:val="00746256"/>
    <w:rsid w:val="00746535"/>
    <w:rsid w:val="00746939"/>
    <w:rsid w:val="007476D3"/>
    <w:rsid w:val="00747ADF"/>
    <w:rsid w:val="00750820"/>
    <w:rsid w:val="00751F80"/>
    <w:rsid w:val="007524CC"/>
    <w:rsid w:val="00752557"/>
    <w:rsid w:val="00753477"/>
    <w:rsid w:val="00753E97"/>
    <w:rsid w:val="00754083"/>
    <w:rsid w:val="00754C0F"/>
    <w:rsid w:val="007557DE"/>
    <w:rsid w:val="00756747"/>
    <w:rsid w:val="00756A54"/>
    <w:rsid w:val="00757438"/>
    <w:rsid w:val="007574B3"/>
    <w:rsid w:val="007608EE"/>
    <w:rsid w:val="007612C8"/>
    <w:rsid w:val="00761571"/>
    <w:rsid w:val="00761E33"/>
    <w:rsid w:val="00763AB3"/>
    <w:rsid w:val="00763E31"/>
    <w:rsid w:val="007642E1"/>
    <w:rsid w:val="007655E8"/>
    <w:rsid w:val="007656A9"/>
    <w:rsid w:val="00766461"/>
    <w:rsid w:val="007674A0"/>
    <w:rsid w:val="0076753B"/>
    <w:rsid w:val="00767ADB"/>
    <w:rsid w:val="0077125C"/>
    <w:rsid w:val="00773A46"/>
    <w:rsid w:val="007768CD"/>
    <w:rsid w:val="00777842"/>
    <w:rsid w:val="00777D75"/>
    <w:rsid w:val="00780AD3"/>
    <w:rsid w:val="00780F30"/>
    <w:rsid w:val="00781B1B"/>
    <w:rsid w:val="00781F00"/>
    <w:rsid w:val="007820C5"/>
    <w:rsid w:val="00782A92"/>
    <w:rsid w:val="00782BC9"/>
    <w:rsid w:val="00784955"/>
    <w:rsid w:val="00784B7C"/>
    <w:rsid w:val="0078502E"/>
    <w:rsid w:val="00785261"/>
    <w:rsid w:val="00786707"/>
    <w:rsid w:val="00787B9C"/>
    <w:rsid w:val="00787EC7"/>
    <w:rsid w:val="00791053"/>
    <w:rsid w:val="00791158"/>
    <w:rsid w:val="00791729"/>
    <w:rsid w:val="00791BD6"/>
    <w:rsid w:val="00793396"/>
    <w:rsid w:val="0079395C"/>
    <w:rsid w:val="00793ECE"/>
    <w:rsid w:val="0079451D"/>
    <w:rsid w:val="00795069"/>
    <w:rsid w:val="00795899"/>
    <w:rsid w:val="00795CA3"/>
    <w:rsid w:val="00796859"/>
    <w:rsid w:val="00796D88"/>
    <w:rsid w:val="007A002C"/>
    <w:rsid w:val="007A16B6"/>
    <w:rsid w:val="007A1755"/>
    <w:rsid w:val="007A292B"/>
    <w:rsid w:val="007A3426"/>
    <w:rsid w:val="007A448B"/>
    <w:rsid w:val="007A5646"/>
    <w:rsid w:val="007A5BE1"/>
    <w:rsid w:val="007A5D28"/>
    <w:rsid w:val="007A63FE"/>
    <w:rsid w:val="007A73CC"/>
    <w:rsid w:val="007A75FF"/>
    <w:rsid w:val="007A7D43"/>
    <w:rsid w:val="007B0256"/>
    <w:rsid w:val="007B0DB5"/>
    <w:rsid w:val="007B1863"/>
    <w:rsid w:val="007B18A6"/>
    <w:rsid w:val="007B2095"/>
    <w:rsid w:val="007B2CED"/>
    <w:rsid w:val="007B3FDD"/>
    <w:rsid w:val="007B471A"/>
    <w:rsid w:val="007B5769"/>
    <w:rsid w:val="007B590B"/>
    <w:rsid w:val="007B5A26"/>
    <w:rsid w:val="007B6E69"/>
    <w:rsid w:val="007B72D3"/>
    <w:rsid w:val="007C03C3"/>
    <w:rsid w:val="007C0CE1"/>
    <w:rsid w:val="007C1B23"/>
    <w:rsid w:val="007C1BB7"/>
    <w:rsid w:val="007C23D2"/>
    <w:rsid w:val="007C2912"/>
    <w:rsid w:val="007C3B95"/>
    <w:rsid w:val="007C3BBA"/>
    <w:rsid w:val="007C3D63"/>
    <w:rsid w:val="007C43EA"/>
    <w:rsid w:val="007C4DE8"/>
    <w:rsid w:val="007C5664"/>
    <w:rsid w:val="007C5693"/>
    <w:rsid w:val="007C595A"/>
    <w:rsid w:val="007C59EC"/>
    <w:rsid w:val="007C6EC2"/>
    <w:rsid w:val="007C7F1D"/>
    <w:rsid w:val="007D1457"/>
    <w:rsid w:val="007D1C6B"/>
    <w:rsid w:val="007D3530"/>
    <w:rsid w:val="007D3938"/>
    <w:rsid w:val="007D39AC"/>
    <w:rsid w:val="007D4975"/>
    <w:rsid w:val="007D5E11"/>
    <w:rsid w:val="007D6220"/>
    <w:rsid w:val="007D6AB7"/>
    <w:rsid w:val="007D7267"/>
    <w:rsid w:val="007D7AD1"/>
    <w:rsid w:val="007D7BAC"/>
    <w:rsid w:val="007E08C4"/>
    <w:rsid w:val="007E16A8"/>
    <w:rsid w:val="007E2283"/>
    <w:rsid w:val="007E2660"/>
    <w:rsid w:val="007E3006"/>
    <w:rsid w:val="007E502D"/>
    <w:rsid w:val="007E52EE"/>
    <w:rsid w:val="007E53A9"/>
    <w:rsid w:val="007E5C37"/>
    <w:rsid w:val="007E6297"/>
    <w:rsid w:val="007E7085"/>
    <w:rsid w:val="007F2ACB"/>
    <w:rsid w:val="007F435B"/>
    <w:rsid w:val="007F4C89"/>
    <w:rsid w:val="007F5170"/>
    <w:rsid w:val="007F5945"/>
    <w:rsid w:val="007F59DB"/>
    <w:rsid w:val="007F5A85"/>
    <w:rsid w:val="007F638E"/>
    <w:rsid w:val="007F6901"/>
    <w:rsid w:val="007F71D3"/>
    <w:rsid w:val="00800835"/>
    <w:rsid w:val="00801485"/>
    <w:rsid w:val="00801D6E"/>
    <w:rsid w:val="008037EC"/>
    <w:rsid w:val="00803971"/>
    <w:rsid w:val="00803F9F"/>
    <w:rsid w:val="00804642"/>
    <w:rsid w:val="00805D93"/>
    <w:rsid w:val="00805DE6"/>
    <w:rsid w:val="00805F0C"/>
    <w:rsid w:val="0081007D"/>
    <w:rsid w:val="00810676"/>
    <w:rsid w:val="008111A1"/>
    <w:rsid w:val="00812465"/>
    <w:rsid w:val="00812918"/>
    <w:rsid w:val="00813DF3"/>
    <w:rsid w:val="00814CCB"/>
    <w:rsid w:val="00814EDE"/>
    <w:rsid w:val="00814FEB"/>
    <w:rsid w:val="00816961"/>
    <w:rsid w:val="00816C57"/>
    <w:rsid w:val="00820AD0"/>
    <w:rsid w:val="00820DA6"/>
    <w:rsid w:val="008215BE"/>
    <w:rsid w:val="00821C26"/>
    <w:rsid w:val="00822FD4"/>
    <w:rsid w:val="0082378F"/>
    <w:rsid w:val="00823839"/>
    <w:rsid w:val="00823CA2"/>
    <w:rsid w:val="00824D58"/>
    <w:rsid w:val="008252E0"/>
    <w:rsid w:val="00825E0E"/>
    <w:rsid w:val="008261D5"/>
    <w:rsid w:val="008266F9"/>
    <w:rsid w:val="00826EFB"/>
    <w:rsid w:val="00827351"/>
    <w:rsid w:val="0082791E"/>
    <w:rsid w:val="00827A5E"/>
    <w:rsid w:val="00832BBB"/>
    <w:rsid w:val="00833BF7"/>
    <w:rsid w:val="00834AA7"/>
    <w:rsid w:val="00834DDF"/>
    <w:rsid w:val="00835928"/>
    <w:rsid w:val="008359A2"/>
    <w:rsid w:val="00836CB8"/>
    <w:rsid w:val="00836F0A"/>
    <w:rsid w:val="008402A8"/>
    <w:rsid w:val="00840EEA"/>
    <w:rsid w:val="00841520"/>
    <w:rsid w:val="0084240A"/>
    <w:rsid w:val="00842E10"/>
    <w:rsid w:val="00843140"/>
    <w:rsid w:val="008434F1"/>
    <w:rsid w:val="008435FD"/>
    <w:rsid w:val="00844283"/>
    <w:rsid w:val="0084535C"/>
    <w:rsid w:val="0084565A"/>
    <w:rsid w:val="00851988"/>
    <w:rsid w:val="00851D24"/>
    <w:rsid w:val="00851F6C"/>
    <w:rsid w:val="00852452"/>
    <w:rsid w:val="00852CF0"/>
    <w:rsid w:val="0085403C"/>
    <w:rsid w:val="0085499D"/>
    <w:rsid w:val="00855F2F"/>
    <w:rsid w:val="008561D0"/>
    <w:rsid w:val="0085652F"/>
    <w:rsid w:val="00856808"/>
    <w:rsid w:val="0086173E"/>
    <w:rsid w:val="00862154"/>
    <w:rsid w:val="0086474B"/>
    <w:rsid w:val="0086498C"/>
    <w:rsid w:val="008665CF"/>
    <w:rsid w:val="0087137E"/>
    <w:rsid w:val="008713AA"/>
    <w:rsid w:val="00871477"/>
    <w:rsid w:val="008715C2"/>
    <w:rsid w:val="00871F34"/>
    <w:rsid w:val="00872683"/>
    <w:rsid w:val="00872868"/>
    <w:rsid w:val="00872C1E"/>
    <w:rsid w:val="00873B41"/>
    <w:rsid w:val="008748AB"/>
    <w:rsid w:val="0087517B"/>
    <w:rsid w:val="0087599B"/>
    <w:rsid w:val="00875C00"/>
    <w:rsid w:val="00876098"/>
    <w:rsid w:val="0087727A"/>
    <w:rsid w:val="00877D46"/>
    <w:rsid w:val="00881014"/>
    <w:rsid w:val="008813F8"/>
    <w:rsid w:val="008822AF"/>
    <w:rsid w:val="00882836"/>
    <w:rsid w:val="008832A3"/>
    <w:rsid w:val="008848FF"/>
    <w:rsid w:val="00884C9A"/>
    <w:rsid w:val="00885065"/>
    <w:rsid w:val="0088654A"/>
    <w:rsid w:val="008872D9"/>
    <w:rsid w:val="0088758C"/>
    <w:rsid w:val="0088793A"/>
    <w:rsid w:val="0089213E"/>
    <w:rsid w:val="00892D11"/>
    <w:rsid w:val="00894136"/>
    <w:rsid w:val="008954D3"/>
    <w:rsid w:val="008956B1"/>
    <w:rsid w:val="00895ABF"/>
    <w:rsid w:val="00895EFD"/>
    <w:rsid w:val="008960B4"/>
    <w:rsid w:val="00896254"/>
    <w:rsid w:val="00896A82"/>
    <w:rsid w:val="008973F8"/>
    <w:rsid w:val="00897429"/>
    <w:rsid w:val="008A0E31"/>
    <w:rsid w:val="008A124D"/>
    <w:rsid w:val="008A1A96"/>
    <w:rsid w:val="008A1C8A"/>
    <w:rsid w:val="008A1F73"/>
    <w:rsid w:val="008A2D89"/>
    <w:rsid w:val="008A308E"/>
    <w:rsid w:val="008B0175"/>
    <w:rsid w:val="008B0B4E"/>
    <w:rsid w:val="008B1EE1"/>
    <w:rsid w:val="008B26DA"/>
    <w:rsid w:val="008B3CDE"/>
    <w:rsid w:val="008B3E2A"/>
    <w:rsid w:val="008B426D"/>
    <w:rsid w:val="008B4521"/>
    <w:rsid w:val="008B4A2A"/>
    <w:rsid w:val="008B50B0"/>
    <w:rsid w:val="008B51BF"/>
    <w:rsid w:val="008B633D"/>
    <w:rsid w:val="008B74E1"/>
    <w:rsid w:val="008B7846"/>
    <w:rsid w:val="008C005D"/>
    <w:rsid w:val="008C0A83"/>
    <w:rsid w:val="008C2311"/>
    <w:rsid w:val="008C2348"/>
    <w:rsid w:val="008C2826"/>
    <w:rsid w:val="008C2C32"/>
    <w:rsid w:val="008C403F"/>
    <w:rsid w:val="008C4130"/>
    <w:rsid w:val="008C456B"/>
    <w:rsid w:val="008C4B0C"/>
    <w:rsid w:val="008C4B4A"/>
    <w:rsid w:val="008C4DE6"/>
    <w:rsid w:val="008C53F1"/>
    <w:rsid w:val="008C6EA6"/>
    <w:rsid w:val="008C7458"/>
    <w:rsid w:val="008C74BA"/>
    <w:rsid w:val="008C778D"/>
    <w:rsid w:val="008C78E2"/>
    <w:rsid w:val="008C7F1B"/>
    <w:rsid w:val="008D1F77"/>
    <w:rsid w:val="008D47FA"/>
    <w:rsid w:val="008D4A2C"/>
    <w:rsid w:val="008D62A3"/>
    <w:rsid w:val="008D6707"/>
    <w:rsid w:val="008D72F9"/>
    <w:rsid w:val="008E00B6"/>
    <w:rsid w:val="008E0AEA"/>
    <w:rsid w:val="008E187C"/>
    <w:rsid w:val="008E1B23"/>
    <w:rsid w:val="008E25B1"/>
    <w:rsid w:val="008E3105"/>
    <w:rsid w:val="008E3131"/>
    <w:rsid w:val="008E33C0"/>
    <w:rsid w:val="008E409B"/>
    <w:rsid w:val="008E4652"/>
    <w:rsid w:val="008E4A2E"/>
    <w:rsid w:val="008E5A99"/>
    <w:rsid w:val="008E5BBB"/>
    <w:rsid w:val="008E71AB"/>
    <w:rsid w:val="008E7FB1"/>
    <w:rsid w:val="008F0491"/>
    <w:rsid w:val="008F3DD6"/>
    <w:rsid w:val="008F44CE"/>
    <w:rsid w:val="008F54E7"/>
    <w:rsid w:val="008F5F66"/>
    <w:rsid w:val="008F667D"/>
    <w:rsid w:val="008F6F3D"/>
    <w:rsid w:val="00900047"/>
    <w:rsid w:val="00900948"/>
    <w:rsid w:val="00900DAB"/>
    <w:rsid w:val="0090213F"/>
    <w:rsid w:val="009024FC"/>
    <w:rsid w:val="009025F4"/>
    <w:rsid w:val="00902956"/>
    <w:rsid w:val="009049DF"/>
    <w:rsid w:val="00904EFF"/>
    <w:rsid w:val="00905076"/>
    <w:rsid w:val="00907210"/>
    <w:rsid w:val="009072F8"/>
    <w:rsid w:val="00910C2A"/>
    <w:rsid w:val="00910C74"/>
    <w:rsid w:val="00910CF6"/>
    <w:rsid w:val="009116EB"/>
    <w:rsid w:val="00912713"/>
    <w:rsid w:val="00912899"/>
    <w:rsid w:val="00912A79"/>
    <w:rsid w:val="009134DD"/>
    <w:rsid w:val="00913E9F"/>
    <w:rsid w:val="009143EE"/>
    <w:rsid w:val="00914D13"/>
    <w:rsid w:val="0091501D"/>
    <w:rsid w:val="00915FC4"/>
    <w:rsid w:val="00916190"/>
    <w:rsid w:val="00916381"/>
    <w:rsid w:val="0091661E"/>
    <w:rsid w:val="009176EC"/>
    <w:rsid w:val="00922060"/>
    <w:rsid w:val="009225F0"/>
    <w:rsid w:val="009228EE"/>
    <w:rsid w:val="00923014"/>
    <w:rsid w:val="00923100"/>
    <w:rsid w:val="00923278"/>
    <w:rsid w:val="00923DFE"/>
    <w:rsid w:val="0092460F"/>
    <w:rsid w:val="009258B5"/>
    <w:rsid w:val="009273E9"/>
    <w:rsid w:val="00927975"/>
    <w:rsid w:val="009279D0"/>
    <w:rsid w:val="00930275"/>
    <w:rsid w:val="0093141C"/>
    <w:rsid w:val="00931CB4"/>
    <w:rsid w:val="00931D3D"/>
    <w:rsid w:val="00932A59"/>
    <w:rsid w:val="00932A9E"/>
    <w:rsid w:val="009331C9"/>
    <w:rsid w:val="00933282"/>
    <w:rsid w:val="00933711"/>
    <w:rsid w:val="00934B50"/>
    <w:rsid w:val="009350E6"/>
    <w:rsid w:val="00935D40"/>
    <w:rsid w:val="00935D45"/>
    <w:rsid w:val="00935FA7"/>
    <w:rsid w:val="00935FFC"/>
    <w:rsid w:val="009361E8"/>
    <w:rsid w:val="009363E7"/>
    <w:rsid w:val="009368A4"/>
    <w:rsid w:val="00936EB9"/>
    <w:rsid w:val="0093794F"/>
    <w:rsid w:val="00937BB6"/>
    <w:rsid w:val="00940133"/>
    <w:rsid w:val="009402A3"/>
    <w:rsid w:val="00941F32"/>
    <w:rsid w:val="0094233B"/>
    <w:rsid w:val="009428CA"/>
    <w:rsid w:val="009431E2"/>
    <w:rsid w:val="00943BDA"/>
    <w:rsid w:val="00944D64"/>
    <w:rsid w:val="00944F29"/>
    <w:rsid w:val="00947349"/>
    <w:rsid w:val="009473BE"/>
    <w:rsid w:val="00947B79"/>
    <w:rsid w:val="00950798"/>
    <w:rsid w:val="009516B8"/>
    <w:rsid w:val="00951F25"/>
    <w:rsid w:val="0095284D"/>
    <w:rsid w:val="00953F09"/>
    <w:rsid w:val="00954256"/>
    <w:rsid w:val="00954767"/>
    <w:rsid w:val="00955061"/>
    <w:rsid w:val="0095523F"/>
    <w:rsid w:val="009556E4"/>
    <w:rsid w:val="00955E01"/>
    <w:rsid w:val="009563DB"/>
    <w:rsid w:val="009577B8"/>
    <w:rsid w:val="00960986"/>
    <w:rsid w:val="00961256"/>
    <w:rsid w:val="009618CD"/>
    <w:rsid w:val="00961A54"/>
    <w:rsid w:val="00961CC3"/>
    <w:rsid w:val="00961FD3"/>
    <w:rsid w:val="009627AF"/>
    <w:rsid w:val="00963605"/>
    <w:rsid w:val="009636FE"/>
    <w:rsid w:val="00964432"/>
    <w:rsid w:val="009645B3"/>
    <w:rsid w:val="009647AD"/>
    <w:rsid w:val="00965659"/>
    <w:rsid w:val="0096604D"/>
    <w:rsid w:val="00966EBB"/>
    <w:rsid w:val="009676DA"/>
    <w:rsid w:val="009679A4"/>
    <w:rsid w:val="00970BC7"/>
    <w:rsid w:val="009714AF"/>
    <w:rsid w:val="009719E5"/>
    <w:rsid w:val="00971AFE"/>
    <w:rsid w:val="00973503"/>
    <w:rsid w:val="00973714"/>
    <w:rsid w:val="00973826"/>
    <w:rsid w:val="0097450C"/>
    <w:rsid w:val="009751CA"/>
    <w:rsid w:val="00975B95"/>
    <w:rsid w:val="009763FB"/>
    <w:rsid w:val="009766EA"/>
    <w:rsid w:val="00976C68"/>
    <w:rsid w:val="0097796C"/>
    <w:rsid w:val="00980E72"/>
    <w:rsid w:val="009823D2"/>
    <w:rsid w:val="0098447B"/>
    <w:rsid w:val="00984D4C"/>
    <w:rsid w:val="00985555"/>
    <w:rsid w:val="00986B8C"/>
    <w:rsid w:val="009871CD"/>
    <w:rsid w:val="00987418"/>
    <w:rsid w:val="0098755A"/>
    <w:rsid w:val="0098799E"/>
    <w:rsid w:val="00987D02"/>
    <w:rsid w:val="009900BC"/>
    <w:rsid w:val="009907DF"/>
    <w:rsid w:val="00990A82"/>
    <w:rsid w:val="00990F67"/>
    <w:rsid w:val="0099167B"/>
    <w:rsid w:val="00991C5E"/>
    <w:rsid w:val="00991D9B"/>
    <w:rsid w:val="00991E3D"/>
    <w:rsid w:val="00992384"/>
    <w:rsid w:val="00992F0B"/>
    <w:rsid w:val="00993E0E"/>
    <w:rsid w:val="00994770"/>
    <w:rsid w:val="00994EC8"/>
    <w:rsid w:val="009952D0"/>
    <w:rsid w:val="00995638"/>
    <w:rsid w:val="0099612F"/>
    <w:rsid w:val="009969F1"/>
    <w:rsid w:val="00996DA3"/>
    <w:rsid w:val="009970B6"/>
    <w:rsid w:val="00997441"/>
    <w:rsid w:val="009A2CD6"/>
    <w:rsid w:val="009A3121"/>
    <w:rsid w:val="009A3E12"/>
    <w:rsid w:val="009A535F"/>
    <w:rsid w:val="009A6728"/>
    <w:rsid w:val="009A7EC2"/>
    <w:rsid w:val="009B11B0"/>
    <w:rsid w:val="009B13EE"/>
    <w:rsid w:val="009B2D8F"/>
    <w:rsid w:val="009B33FD"/>
    <w:rsid w:val="009B3838"/>
    <w:rsid w:val="009B3B1C"/>
    <w:rsid w:val="009B4EAA"/>
    <w:rsid w:val="009B6261"/>
    <w:rsid w:val="009B6B8F"/>
    <w:rsid w:val="009B7646"/>
    <w:rsid w:val="009B7C48"/>
    <w:rsid w:val="009C0FE2"/>
    <w:rsid w:val="009C15A7"/>
    <w:rsid w:val="009C2C7E"/>
    <w:rsid w:val="009C387E"/>
    <w:rsid w:val="009C4F5B"/>
    <w:rsid w:val="009C50DA"/>
    <w:rsid w:val="009C523E"/>
    <w:rsid w:val="009C5BBC"/>
    <w:rsid w:val="009C722A"/>
    <w:rsid w:val="009C7AA7"/>
    <w:rsid w:val="009D0014"/>
    <w:rsid w:val="009D0C76"/>
    <w:rsid w:val="009D1077"/>
    <w:rsid w:val="009D13FB"/>
    <w:rsid w:val="009D1C42"/>
    <w:rsid w:val="009D2563"/>
    <w:rsid w:val="009D2671"/>
    <w:rsid w:val="009D26DB"/>
    <w:rsid w:val="009D2706"/>
    <w:rsid w:val="009D2C7A"/>
    <w:rsid w:val="009D2E60"/>
    <w:rsid w:val="009D3D51"/>
    <w:rsid w:val="009D41E8"/>
    <w:rsid w:val="009D45B5"/>
    <w:rsid w:val="009D4CB8"/>
    <w:rsid w:val="009D6D86"/>
    <w:rsid w:val="009D6FE7"/>
    <w:rsid w:val="009D722E"/>
    <w:rsid w:val="009D7477"/>
    <w:rsid w:val="009D7623"/>
    <w:rsid w:val="009D786F"/>
    <w:rsid w:val="009E0047"/>
    <w:rsid w:val="009E02E5"/>
    <w:rsid w:val="009E0F92"/>
    <w:rsid w:val="009E1020"/>
    <w:rsid w:val="009E188A"/>
    <w:rsid w:val="009E1BDC"/>
    <w:rsid w:val="009E1D30"/>
    <w:rsid w:val="009E2DBA"/>
    <w:rsid w:val="009E2EBA"/>
    <w:rsid w:val="009E33AF"/>
    <w:rsid w:val="009E4BF2"/>
    <w:rsid w:val="009E4E30"/>
    <w:rsid w:val="009E506F"/>
    <w:rsid w:val="009E56AE"/>
    <w:rsid w:val="009E598F"/>
    <w:rsid w:val="009E5F9D"/>
    <w:rsid w:val="009E64DC"/>
    <w:rsid w:val="009E70E4"/>
    <w:rsid w:val="009E71DC"/>
    <w:rsid w:val="009E78C2"/>
    <w:rsid w:val="009E78CD"/>
    <w:rsid w:val="009F111A"/>
    <w:rsid w:val="009F18D7"/>
    <w:rsid w:val="009F24DF"/>
    <w:rsid w:val="009F2BC0"/>
    <w:rsid w:val="009F4102"/>
    <w:rsid w:val="009F4F9D"/>
    <w:rsid w:val="009F6F5E"/>
    <w:rsid w:val="00A0259C"/>
    <w:rsid w:val="00A038AE"/>
    <w:rsid w:val="00A04B60"/>
    <w:rsid w:val="00A074BD"/>
    <w:rsid w:val="00A109B7"/>
    <w:rsid w:val="00A10F7F"/>
    <w:rsid w:val="00A1116A"/>
    <w:rsid w:val="00A12C99"/>
    <w:rsid w:val="00A12E9A"/>
    <w:rsid w:val="00A12FF1"/>
    <w:rsid w:val="00A1481F"/>
    <w:rsid w:val="00A14EBC"/>
    <w:rsid w:val="00A1529D"/>
    <w:rsid w:val="00A15932"/>
    <w:rsid w:val="00A1605E"/>
    <w:rsid w:val="00A16229"/>
    <w:rsid w:val="00A16386"/>
    <w:rsid w:val="00A16439"/>
    <w:rsid w:val="00A16A6F"/>
    <w:rsid w:val="00A173BD"/>
    <w:rsid w:val="00A1760A"/>
    <w:rsid w:val="00A179B1"/>
    <w:rsid w:val="00A17FB4"/>
    <w:rsid w:val="00A207A0"/>
    <w:rsid w:val="00A213AC"/>
    <w:rsid w:val="00A2478F"/>
    <w:rsid w:val="00A24D61"/>
    <w:rsid w:val="00A24D85"/>
    <w:rsid w:val="00A2519A"/>
    <w:rsid w:val="00A26285"/>
    <w:rsid w:val="00A26D0A"/>
    <w:rsid w:val="00A26D42"/>
    <w:rsid w:val="00A26E70"/>
    <w:rsid w:val="00A27E9C"/>
    <w:rsid w:val="00A32309"/>
    <w:rsid w:val="00A32658"/>
    <w:rsid w:val="00A3360A"/>
    <w:rsid w:val="00A33A01"/>
    <w:rsid w:val="00A34C15"/>
    <w:rsid w:val="00A34CFA"/>
    <w:rsid w:val="00A353AB"/>
    <w:rsid w:val="00A36BA6"/>
    <w:rsid w:val="00A375E7"/>
    <w:rsid w:val="00A37DC2"/>
    <w:rsid w:val="00A403B5"/>
    <w:rsid w:val="00A40484"/>
    <w:rsid w:val="00A406E1"/>
    <w:rsid w:val="00A40A4D"/>
    <w:rsid w:val="00A40AC5"/>
    <w:rsid w:val="00A420EC"/>
    <w:rsid w:val="00A4229E"/>
    <w:rsid w:val="00A42A2E"/>
    <w:rsid w:val="00A42C9D"/>
    <w:rsid w:val="00A46299"/>
    <w:rsid w:val="00A463EB"/>
    <w:rsid w:val="00A466CF"/>
    <w:rsid w:val="00A46A56"/>
    <w:rsid w:val="00A46AC8"/>
    <w:rsid w:val="00A46AD6"/>
    <w:rsid w:val="00A46E69"/>
    <w:rsid w:val="00A511BD"/>
    <w:rsid w:val="00A52A3B"/>
    <w:rsid w:val="00A543C7"/>
    <w:rsid w:val="00A55DEC"/>
    <w:rsid w:val="00A56222"/>
    <w:rsid w:val="00A5676F"/>
    <w:rsid w:val="00A57790"/>
    <w:rsid w:val="00A57A55"/>
    <w:rsid w:val="00A625AF"/>
    <w:rsid w:val="00A62905"/>
    <w:rsid w:val="00A63618"/>
    <w:rsid w:val="00A655B1"/>
    <w:rsid w:val="00A6576F"/>
    <w:rsid w:val="00A65CBE"/>
    <w:rsid w:val="00A65ECB"/>
    <w:rsid w:val="00A662C5"/>
    <w:rsid w:val="00A66F7A"/>
    <w:rsid w:val="00A671FB"/>
    <w:rsid w:val="00A67E9E"/>
    <w:rsid w:val="00A70561"/>
    <w:rsid w:val="00A7218A"/>
    <w:rsid w:val="00A72A93"/>
    <w:rsid w:val="00A72DE1"/>
    <w:rsid w:val="00A72EC8"/>
    <w:rsid w:val="00A73153"/>
    <w:rsid w:val="00A7457E"/>
    <w:rsid w:val="00A74E71"/>
    <w:rsid w:val="00A80B6D"/>
    <w:rsid w:val="00A8137B"/>
    <w:rsid w:val="00A816FA"/>
    <w:rsid w:val="00A8358D"/>
    <w:rsid w:val="00A8466C"/>
    <w:rsid w:val="00A8471B"/>
    <w:rsid w:val="00A85CC7"/>
    <w:rsid w:val="00A86093"/>
    <w:rsid w:val="00A864EA"/>
    <w:rsid w:val="00A86620"/>
    <w:rsid w:val="00A86920"/>
    <w:rsid w:val="00A86EE3"/>
    <w:rsid w:val="00A87151"/>
    <w:rsid w:val="00A87E53"/>
    <w:rsid w:val="00A87EE6"/>
    <w:rsid w:val="00A90F6F"/>
    <w:rsid w:val="00A9146F"/>
    <w:rsid w:val="00A91F51"/>
    <w:rsid w:val="00A92C4E"/>
    <w:rsid w:val="00A93176"/>
    <w:rsid w:val="00A934D2"/>
    <w:rsid w:val="00A93F85"/>
    <w:rsid w:val="00A93FFF"/>
    <w:rsid w:val="00A9436A"/>
    <w:rsid w:val="00A94621"/>
    <w:rsid w:val="00A94C8A"/>
    <w:rsid w:val="00A959A2"/>
    <w:rsid w:val="00A97389"/>
    <w:rsid w:val="00A97F49"/>
    <w:rsid w:val="00A97FF9"/>
    <w:rsid w:val="00AA2DAB"/>
    <w:rsid w:val="00AA4FBC"/>
    <w:rsid w:val="00AA64BE"/>
    <w:rsid w:val="00AA707E"/>
    <w:rsid w:val="00AA7C07"/>
    <w:rsid w:val="00AB091C"/>
    <w:rsid w:val="00AB1FC9"/>
    <w:rsid w:val="00AB1FEE"/>
    <w:rsid w:val="00AB2B9E"/>
    <w:rsid w:val="00AB2D37"/>
    <w:rsid w:val="00AB2FAA"/>
    <w:rsid w:val="00AB5EF1"/>
    <w:rsid w:val="00AB636F"/>
    <w:rsid w:val="00AB641C"/>
    <w:rsid w:val="00AB64DD"/>
    <w:rsid w:val="00AC1522"/>
    <w:rsid w:val="00AC159F"/>
    <w:rsid w:val="00AC1ECB"/>
    <w:rsid w:val="00AC22E5"/>
    <w:rsid w:val="00AC2BEF"/>
    <w:rsid w:val="00AC3A0D"/>
    <w:rsid w:val="00AC4AAD"/>
    <w:rsid w:val="00AC56B4"/>
    <w:rsid w:val="00AC5C95"/>
    <w:rsid w:val="00AC69DD"/>
    <w:rsid w:val="00AC6D38"/>
    <w:rsid w:val="00AC70FE"/>
    <w:rsid w:val="00AD0886"/>
    <w:rsid w:val="00AD1087"/>
    <w:rsid w:val="00AD1522"/>
    <w:rsid w:val="00AD1F27"/>
    <w:rsid w:val="00AD23CD"/>
    <w:rsid w:val="00AD29C8"/>
    <w:rsid w:val="00AD2EBB"/>
    <w:rsid w:val="00AD3779"/>
    <w:rsid w:val="00AD44A1"/>
    <w:rsid w:val="00AD47C1"/>
    <w:rsid w:val="00AD4EA2"/>
    <w:rsid w:val="00AD5327"/>
    <w:rsid w:val="00AD5A66"/>
    <w:rsid w:val="00AD7F19"/>
    <w:rsid w:val="00AE02D6"/>
    <w:rsid w:val="00AE0C2F"/>
    <w:rsid w:val="00AE4A65"/>
    <w:rsid w:val="00AE4C01"/>
    <w:rsid w:val="00AE5617"/>
    <w:rsid w:val="00AE588A"/>
    <w:rsid w:val="00AE599D"/>
    <w:rsid w:val="00AE7BB8"/>
    <w:rsid w:val="00AF106A"/>
    <w:rsid w:val="00AF1A7C"/>
    <w:rsid w:val="00AF2011"/>
    <w:rsid w:val="00AF23DA"/>
    <w:rsid w:val="00AF2608"/>
    <w:rsid w:val="00AF3573"/>
    <w:rsid w:val="00AF37E0"/>
    <w:rsid w:val="00AF3A29"/>
    <w:rsid w:val="00AF5CED"/>
    <w:rsid w:val="00AF67C5"/>
    <w:rsid w:val="00AF6CC3"/>
    <w:rsid w:val="00AF711C"/>
    <w:rsid w:val="00AF7A1A"/>
    <w:rsid w:val="00AF7C21"/>
    <w:rsid w:val="00B01327"/>
    <w:rsid w:val="00B01512"/>
    <w:rsid w:val="00B02213"/>
    <w:rsid w:val="00B03107"/>
    <w:rsid w:val="00B04FA4"/>
    <w:rsid w:val="00B05D16"/>
    <w:rsid w:val="00B062F4"/>
    <w:rsid w:val="00B068F0"/>
    <w:rsid w:val="00B06C41"/>
    <w:rsid w:val="00B12F32"/>
    <w:rsid w:val="00B13416"/>
    <w:rsid w:val="00B13761"/>
    <w:rsid w:val="00B14F12"/>
    <w:rsid w:val="00B1569D"/>
    <w:rsid w:val="00B15C38"/>
    <w:rsid w:val="00B15C5E"/>
    <w:rsid w:val="00B15D8C"/>
    <w:rsid w:val="00B16DA0"/>
    <w:rsid w:val="00B174FC"/>
    <w:rsid w:val="00B176CC"/>
    <w:rsid w:val="00B2018C"/>
    <w:rsid w:val="00B20B71"/>
    <w:rsid w:val="00B21575"/>
    <w:rsid w:val="00B21EF8"/>
    <w:rsid w:val="00B224B7"/>
    <w:rsid w:val="00B25DCB"/>
    <w:rsid w:val="00B26032"/>
    <w:rsid w:val="00B27463"/>
    <w:rsid w:val="00B30BE5"/>
    <w:rsid w:val="00B31DF8"/>
    <w:rsid w:val="00B320D7"/>
    <w:rsid w:val="00B330EB"/>
    <w:rsid w:val="00B34136"/>
    <w:rsid w:val="00B3492F"/>
    <w:rsid w:val="00B356C8"/>
    <w:rsid w:val="00B3788A"/>
    <w:rsid w:val="00B37C1B"/>
    <w:rsid w:val="00B40F1D"/>
    <w:rsid w:val="00B40F9C"/>
    <w:rsid w:val="00B410FC"/>
    <w:rsid w:val="00B416E8"/>
    <w:rsid w:val="00B424C7"/>
    <w:rsid w:val="00B43486"/>
    <w:rsid w:val="00B43718"/>
    <w:rsid w:val="00B43932"/>
    <w:rsid w:val="00B4422D"/>
    <w:rsid w:val="00B4551C"/>
    <w:rsid w:val="00B45A28"/>
    <w:rsid w:val="00B46278"/>
    <w:rsid w:val="00B47688"/>
    <w:rsid w:val="00B51B89"/>
    <w:rsid w:val="00B53569"/>
    <w:rsid w:val="00B536CB"/>
    <w:rsid w:val="00B54144"/>
    <w:rsid w:val="00B55005"/>
    <w:rsid w:val="00B5536D"/>
    <w:rsid w:val="00B55B1F"/>
    <w:rsid w:val="00B55D44"/>
    <w:rsid w:val="00B55F07"/>
    <w:rsid w:val="00B564B2"/>
    <w:rsid w:val="00B565E0"/>
    <w:rsid w:val="00B567B5"/>
    <w:rsid w:val="00B57840"/>
    <w:rsid w:val="00B57891"/>
    <w:rsid w:val="00B602EE"/>
    <w:rsid w:val="00B60585"/>
    <w:rsid w:val="00B60B08"/>
    <w:rsid w:val="00B6157A"/>
    <w:rsid w:val="00B61D45"/>
    <w:rsid w:val="00B61D64"/>
    <w:rsid w:val="00B628F3"/>
    <w:rsid w:val="00B6344A"/>
    <w:rsid w:val="00B64FE6"/>
    <w:rsid w:val="00B65134"/>
    <w:rsid w:val="00B65663"/>
    <w:rsid w:val="00B66D65"/>
    <w:rsid w:val="00B67C55"/>
    <w:rsid w:val="00B70694"/>
    <w:rsid w:val="00B70C06"/>
    <w:rsid w:val="00B71153"/>
    <w:rsid w:val="00B7196C"/>
    <w:rsid w:val="00B71B53"/>
    <w:rsid w:val="00B71E06"/>
    <w:rsid w:val="00B727C8"/>
    <w:rsid w:val="00B733E0"/>
    <w:rsid w:val="00B73FC3"/>
    <w:rsid w:val="00B749CA"/>
    <w:rsid w:val="00B74C5F"/>
    <w:rsid w:val="00B74E98"/>
    <w:rsid w:val="00B75D38"/>
    <w:rsid w:val="00B760C6"/>
    <w:rsid w:val="00B760E1"/>
    <w:rsid w:val="00B76274"/>
    <w:rsid w:val="00B802C3"/>
    <w:rsid w:val="00B80C02"/>
    <w:rsid w:val="00B811FA"/>
    <w:rsid w:val="00B81947"/>
    <w:rsid w:val="00B81F27"/>
    <w:rsid w:val="00B82304"/>
    <w:rsid w:val="00B824EF"/>
    <w:rsid w:val="00B82A7D"/>
    <w:rsid w:val="00B83086"/>
    <w:rsid w:val="00B83A96"/>
    <w:rsid w:val="00B84899"/>
    <w:rsid w:val="00B85008"/>
    <w:rsid w:val="00B856EB"/>
    <w:rsid w:val="00B85761"/>
    <w:rsid w:val="00B85C53"/>
    <w:rsid w:val="00B9079D"/>
    <w:rsid w:val="00B90C48"/>
    <w:rsid w:val="00B9177F"/>
    <w:rsid w:val="00B91C62"/>
    <w:rsid w:val="00B91CFE"/>
    <w:rsid w:val="00B92EEF"/>
    <w:rsid w:val="00B93AFD"/>
    <w:rsid w:val="00B9449C"/>
    <w:rsid w:val="00B944E3"/>
    <w:rsid w:val="00B9591E"/>
    <w:rsid w:val="00B95DAC"/>
    <w:rsid w:val="00B9646F"/>
    <w:rsid w:val="00B965BF"/>
    <w:rsid w:val="00B96A2E"/>
    <w:rsid w:val="00B97E6C"/>
    <w:rsid w:val="00BA166C"/>
    <w:rsid w:val="00BA1DC6"/>
    <w:rsid w:val="00BA2280"/>
    <w:rsid w:val="00BA2B25"/>
    <w:rsid w:val="00BA2DB9"/>
    <w:rsid w:val="00BA357A"/>
    <w:rsid w:val="00BA39E8"/>
    <w:rsid w:val="00BA416E"/>
    <w:rsid w:val="00BA57A2"/>
    <w:rsid w:val="00BA5E05"/>
    <w:rsid w:val="00BB0AEB"/>
    <w:rsid w:val="00BB14A0"/>
    <w:rsid w:val="00BB16FC"/>
    <w:rsid w:val="00BB1AB9"/>
    <w:rsid w:val="00BB1E21"/>
    <w:rsid w:val="00BB24F3"/>
    <w:rsid w:val="00BB2F09"/>
    <w:rsid w:val="00BB314C"/>
    <w:rsid w:val="00BB53DE"/>
    <w:rsid w:val="00BB5B32"/>
    <w:rsid w:val="00BB615C"/>
    <w:rsid w:val="00BB7624"/>
    <w:rsid w:val="00BC09CB"/>
    <w:rsid w:val="00BC19F9"/>
    <w:rsid w:val="00BC1F7C"/>
    <w:rsid w:val="00BC44C9"/>
    <w:rsid w:val="00BC45DC"/>
    <w:rsid w:val="00BC47FD"/>
    <w:rsid w:val="00BC659E"/>
    <w:rsid w:val="00BC70CB"/>
    <w:rsid w:val="00BC7A50"/>
    <w:rsid w:val="00BD025C"/>
    <w:rsid w:val="00BD0827"/>
    <w:rsid w:val="00BD177B"/>
    <w:rsid w:val="00BD1A4F"/>
    <w:rsid w:val="00BD1E06"/>
    <w:rsid w:val="00BD2F1A"/>
    <w:rsid w:val="00BD4C26"/>
    <w:rsid w:val="00BD513C"/>
    <w:rsid w:val="00BD5520"/>
    <w:rsid w:val="00BD6221"/>
    <w:rsid w:val="00BD6553"/>
    <w:rsid w:val="00BD6A57"/>
    <w:rsid w:val="00BD77C8"/>
    <w:rsid w:val="00BE04F1"/>
    <w:rsid w:val="00BE0F36"/>
    <w:rsid w:val="00BE2409"/>
    <w:rsid w:val="00BE243C"/>
    <w:rsid w:val="00BE2800"/>
    <w:rsid w:val="00BE2B2E"/>
    <w:rsid w:val="00BE2DD2"/>
    <w:rsid w:val="00BE4433"/>
    <w:rsid w:val="00BE4A7E"/>
    <w:rsid w:val="00BE4DAB"/>
    <w:rsid w:val="00BE4EC8"/>
    <w:rsid w:val="00BE50B1"/>
    <w:rsid w:val="00BE585E"/>
    <w:rsid w:val="00BE5A22"/>
    <w:rsid w:val="00BE7148"/>
    <w:rsid w:val="00BE7519"/>
    <w:rsid w:val="00BE7890"/>
    <w:rsid w:val="00BE795E"/>
    <w:rsid w:val="00BF0009"/>
    <w:rsid w:val="00BF01F6"/>
    <w:rsid w:val="00BF0795"/>
    <w:rsid w:val="00BF0DF2"/>
    <w:rsid w:val="00BF1ADA"/>
    <w:rsid w:val="00BF1D4F"/>
    <w:rsid w:val="00BF3813"/>
    <w:rsid w:val="00BF3B26"/>
    <w:rsid w:val="00BF3E11"/>
    <w:rsid w:val="00BF42B1"/>
    <w:rsid w:val="00BF6996"/>
    <w:rsid w:val="00BF6EAA"/>
    <w:rsid w:val="00BF79F7"/>
    <w:rsid w:val="00BF7B0A"/>
    <w:rsid w:val="00BF7F4F"/>
    <w:rsid w:val="00C019C2"/>
    <w:rsid w:val="00C026DE"/>
    <w:rsid w:val="00C02946"/>
    <w:rsid w:val="00C02984"/>
    <w:rsid w:val="00C03090"/>
    <w:rsid w:val="00C03275"/>
    <w:rsid w:val="00C0350C"/>
    <w:rsid w:val="00C050ED"/>
    <w:rsid w:val="00C054EC"/>
    <w:rsid w:val="00C05B90"/>
    <w:rsid w:val="00C05BE3"/>
    <w:rsid w:val="00C0676E"/>
    <w:rsid w:val="00C06B81"/>
    <w:rsid w:val="00C078C6"/>
    <w:rsid w:val="00C100CE"/>
    <w:rsid w:val="00C10244"/>
    <w:rsid w:val="00C10830"/>
    <w:rsid w:val="00C10A5F"/>
    <w:rsid w:val="00C13823"/>
    <w:rsid w:val="00C1441B"/>
    <w:rsid w:val="00C1446F"/>
    <w:rsid w:val="00C14A14"/>
    <w:rsid w:val="00C1538A"/>
    <w:rsid w:val="00C154ED"/>
    <w:rsid w:val="00C15B93"/>
    <w:rsid w:val="00C160B7"/>
    <w:rsid w:val="00C164D4"/>
    <w:rsid w:val="00C166B3"/>
    <w:rsid w:val="00C16DA4"/>
    <w:rsid w:val="00C171D7"/>
    <w:rsid w:val="00C1738A"/>
    <w:rsid w:val="00C174DC"/>
    <w:rsid w:val="00C20AAC"/>
    <w:rsid w:val="00C21C88"/>
    <w:rsid w:val="00C21EF8"/>
    <w:rsid w:val="00C23776"/>
    <w:rsid w:val="00C23D2A"/>
    <w:rsid w:val="00C246A0"/>
    <w:rsid w:val="00C256FB"/>
    <w:rsid w:val="00C2670B"/>
    <w:rsid w:val="00C269DF"/>
    <w:rsid w:val="00C300C5"/>
    <w:rsid w:val="00C3063C"/>
    <w:rsid w:val="00C31405"/>
    <w:rsid w:val="00C3146E"/>
    <w:rsid w:val="00C32A35"/>
    <w:rsid w:val="00C337B9"/>
    <w:rsid w:val="00C3463F"/>
    <w:rsid w:val="00C34ABA"/>
    <w:rsid w:val="00C3513C"/>
    <w:rsid w:val="00C353F2"/>
    <w:rsid w:val="00C36141"/>
    <w:rsid w:val="00C40F47"/>
    <w:rsid w:val="00C41433"/>
    <w:rsid w:val="00C42756"/>
    <w:rsid w:val="00C43FAE"/>
    <w:rsid w:val="00C445C1"/>
    <w:rsid w:val="00C44F00"/>
    <w:rsid w:val="00C44F35"/>
    <w:rsid w:val="00C466A4"/>
    <w:rsid w:val="00C47695"/>
    <w:rsid w:val="00C47767"/>
    <w:rsid w:val="00C500C8"/>
    <w:rsid w:val="00C50557"/>
    <w:rsid w:val="00C51E70"/>
    <w:rsid w:val="00C54DCE"/>
    <w:rsid w:val="00C558DA"/>
    <w:rsid w:val="00C56DB8"/>
    <w:rsid w:val="00C60AD6"/>
    <w:rsid w:val="00C60EDF"/>
    <w:rsid w:val="00C61072"/>
    <w:rsid w:val="00C6194C"/>
    <w:rsid w:val="00C6267B"/>
    <w:rsid w:val="00C63E8A"/>
    <w:rsid w:val="00C669CC"/>
    <w:rsid w:val="00C6737D"/>
    <w:rsid w:val="00C67537"/>
    <w:rsid w:val="00C67591"/>
    <w:rsid w:val="00C71237"/>
    <w:rsid w:val="00C7170D"/>
    <w:rsid w:val="00C71912"/>
    <w:rsid w:val="00C71B49"/>
    <w:rsid w:val="00C71ED7"/>
    <w:rsid w:val="00C73E5D"/>
    <w:rsid w:val="00C74397"/>
    <w:rsid w:val="00C74536"/>
    <w:rsid w:val="00C754AA"/>
    <w:rsid w:val="00C76539"/>
    <w:rsid w:val="00C76DD1"/>
    <w:rsid w:val="00C77E51"/>
    <w:rsid w:val="00C8026C"/>
    <w:rsid w:val="00C80F50"/>
    <w:rsid w:val="00C810AD"/>
    <w:rsid w:val="00C810B1"/>
    <w:rsid w:val="00C83B2B"/>
    <w:rsid w:val="00C83FD9"/>
    <w:rsid w:val="00C854DD"/>
    <w:rsid w:val="00C86632"/>
    <w:rsid w:val="00C86763"/>
    <w:rsid w:val="00C869D2"/>
    <w:rsid w:val="00C87534"/>
    <w:rsid w:val="00C876C1"/>
    <w:rsid w:val="00C8779E"/>
    <w:rsid w:val="00C87863"/>
    <w:rsid w:val="00C90122"/>
    <w:rsid w:val="00C901B6"/>
    <w:rsid w:val="00C91B12"/>
    <w:rsid w:val="00C921A4"/>
    <w:rsid w:val="00C92392"/>
    <w:rsid w:val="00C928E0"/>
    <w:rsid w:val="00C96B28"/>
    <w:rsid w:val="00C97ED3"/>
    <w:rsid w:val="00CA0B3F"/>
    <w:rsid w:val="00CA14F2"/>
    <w:rsid w:val="00CA27D4"/>
    <w:rsid w:val="00CA2823"/>
    <w:rsid w:val="00CA2D59"/>
    <w:rsid w:val="00CA3981"/>
    <w:rsid w:val="00CA3D60"/>
    <w:rsid w:val="00CA5A9F"/>
    <w:rsid w:val="00CA711B"/>
    <w:rsid w:val="00CA72B4"/>
    <w:rsid w:val="00CA7A18"/>
    <w:rsid w:val="00CB0BA9"/>
    <w:rsid w:val="00CB12B8"/>
    <w:rsid w:val="00CB1916"/>
    <w:rsid w:val="00CB25C5"/>
    <w:rsid w:val="00CB2928"/>
    <w:rsid w:val="00CB2980"/>
    <w:rsid w:val="00CB2D37"/>
    <w:rsid w:val="00CB2D89"/>
    <w:rsid w:val="00CB2E9B"/>
    <w:rsid w:val="00CB503B"/>
    <w:rsid w:val="00CB512E"/>
    <w:rsid w:val="00CB52FF"/>
    <w:rsid w:val="00CB543B"/>
    <w:rsid w:val="00CB7568"/>
    <w:rsid w:val="00CB770C"/>
    <w:rsid w:val="00CB79E4"/>
    <w:rsid w:val="00CB7EBC"/>
    <w:rsid w:val="00CC060E"/>
    <w:rsid w:val="00CC0751"/>
    <w:rsid w:val="00CC0967"/>
    <w:rsid w:val="00CC1718"/>
    <w:rsid w:val="00CC1787"/>
    <w:rsid w:val="00CC180B"/>
    <w:rsid w:val="00CC250B"/>
    <w:rsid w:val="00CC304F"/>
    <w:rsid w:val="00CC49AF"/>
    <w:rsid w:val="00CC5408"/>
    <w:rsid w:val="00CC67A1"/>
    <w:rsid w:val="00CC7694"/>
    <w:rsid w:val="00CC79D8"/>
    <w:rsid w:val="00CD001F"/>
    <w:rsid w:val="00CD09B2"/>
    <w:rsid w:val="00CD0A83"/>
    <w:rsid w:val="00CD0A98"/>
    <w:rsid w:val="00CD1006"/>
    <w:rsid w:val="00CD1B2B"/>
    <w:rsid w:val="00CD22CE"/>
    <w:rsid w:val="00CD45F9"/>
    <w:rsid w:val="00CD51EA"/>
    <w:rsid w:val="00CD75ED"/>
    <w:rsid w:val="00CE0453"/>
    <w:rsid w:val="00CE0A0C"/>
    <w:rsid w:val="00CE0C44"/>
    <w:rsid w:val="00CE12EF"/>
    <w:rsid w:val="00CE1690"/>
    <w:rsid w:val="00CE17A1"/>
    <w:rsid w:val="00CE2C3A"/>
    <w:rsid w:val="00CE2EAA"/>
    <w:rsid w:val="00CE4514"/>
    <w:rsid w:val="00CE50C6"/>
    <w:rsid w:val="00CE5AC0"/>
    <w:rsid w:val="00CE5BDA"/>
    <w:rsid w:val="00CE620F"/>
    <w:rsid w:val="00CE77BB"/>
    <w:rsid w:val="00CE7B19"/>
    <w:rsid w:val="00CE7F60"/>
    <w:rsid w:val="00CF0F51"/>
    <w:rsid w:val="00CF13E0"/>
    <w:rsid w:val="00CF242D"/>
    <w:rsid w:val="00CF29B1"/>
    <w:rsid w:val="00CF328E"/>
    <w:rsid w:val="00CF3437"/>
    <w:rsid w:val="00CF43DB"/>
    <w:rsid w:val="00CF4C4B"/>
    <w:rsid w:val="00CF4E6B"/>
    <w:rsid w:val="00CF61CD"/>
    <w:rsid w:val="00CF628C"/>
    <w:rsid w:val="00CF640C"/>
    <w:rsid w:val="00CF6B4A"/>
    <w:rsid w:val="00CF7066"/>
    <w:rsid w:val="00CF71FA"/>
    <w:rsid w:val="00CF722A"/>
    <w:rsid w:val="00CF77CD"/>
    <w:rsid w:val="00D000C5"/>
    <w:rsid w:val="00D019E9"/>
    <w:rsid w:val="00D01B81"/>
    <w:rsid w:val="00D01FFC"/>
    <w:rsid w:val="00D02E5B"/>
    <w:rsid w:val="00D04222"/>
    <w:rsid w:val="00D04973"/>
    <w:rsid w:val="00D04B01"/>
    <w:rsid w:val="00D05549"/>
    <w:rsid w:val="00D05A09"/>
    <w:rsid w:val="00D05C66"/>
    <w:rsid w:val="00D06B5B"/>
    <w:rsid w:val="00D078C9"/>
    <w:rsid w:val="00D1097C"/>
    <w:rsid w:val="00D11DF4"/>
    <w:rsid w:val="00D131E6"/>
    <w:rsid w:val="00D135B4"/>
    <w:rsid w:val="00D135F5"/>
    <w:rsid w:val="00D13A36"/>
    <w:rsid w:val="00D13C5D"/>
    <w:rsid w:val="00D14851"/>
    <w:rsid w:val="00D16013"/>
    <w:rsid w:val="00D16680"/>
    <w:rsid w:val="00D16A20"/>
    <w:rsid w:val="00D173E2"/>
    <w:rsid w:val="00D17B1D"/>
    <w:rsid w:val="00D17E89"/>
    <w:rsid w:val="00D20753"/>
    <w:rsid w:val="00D208E1"/>
    <w:rsid w:val="00D215B9"/>
    <w:rsid w:val="00D215CB"/>
    <w:rsid w:val="00D22417"/>
    <w:rsid w:val="00D22465"/>
    <w:rsid w:val="00D22EB3"/>
    <w:rsid w:val="00D230F3"/>
    <w:rsid w:val="00D23F67"/>
    <w:rsid w:val="00D24F46"/>
    <w:rsid w:val="00D2522F"/>
    <w:rsid w:val="00D25866"/>
    <w:rsid w:val="00D26CAE"/>
    <w:rsid w:val="00D26ED2"/>
    <w:rsid w:val="00D277BC"/>
    <w:rsid w:val="00D2788F"/>
    <w:rsid w:val="00D278CB"/>
    <w:rsid w:val="00D279F9"/>
    <w:rsid w:val="00D27C86"/>
    <w:rsid w:val="00D30F2D"/>
    <w:rsid w:val="00D311C6"/>
    <w:rsid w:val="00D3168E"/>
    <w:rsid w:val="00D316C3"/>
    <w:rsid w:val="00D31FCD"/>
    <w:rsid w:val="00D335DD"/>
    <w:rsid w:val="00D34DD8"/>
    <w:rsid w:val="00D352C0"/>
    <w:rsid w:val="00D3540D"/>
    <w:rsid w:val="00D36B8D"/>
    <w:rsid w:val="00D373FA"/>
    <w:rsid w:val="00D37429"/>
    <w:rsid w:val="00D3786F"/>
    <w:rsid w:val="00D4004C"/>
    <w:rsid w:val="00D4067E"/>
    <w:rsid w:val="00D41083"/>
    <w:rsid w:val="00D42756"/>
    <w:rsid w:val="00D42766"/>
    <w:rsid w:val="00D43C10"/>
    <w:rsid w:val="00D45761"/>
    <w:rsid w:val="00D46334"/>
    <w:rsid w:val="00D46D5A"/>
    <w:rsid w:val="00D47EFA"/>
    <w:rsid w:val="00D51BF2"/>
    <w:rsid w:val="00D52138"/>
    <w:rsid w:val="00D5304A"/>
    <w:rsid w:val="00D533F0"/>
    <w:rsid w:val="00D53D3A"/>
    <w:rsid w:val="00D53DA8"/>
    <w:rsid w:val="00D546FE"/>
    <w:rsid w:val="00D55AC8"/>
    <w:rsid w:val="00D566F3"/>
    <w:rsid w:val="00D5769A"/>
    <w:rsid w:val="00D60399"/>
    <w:rsid w:val="00D60AE4"/>
    <w:rsid w:val="00D61230"/>
    <w:rsid w:val="00D61285"/>
    <w:rsid w:val="00D6143F"/>
    <w:rsid w:val="00D6243F"/>
    <w:rsid w:val="00D6342C"/>
    <w:rsid w:val="00D647A8"/>
    <w:rsid w:val="00D64C03"/>
    <w:rsid w:val="00D64EDA"/>
    <w:rsid w:val="00D653F0"/>
    <w:rsid w:val="00D65FBA"/>
    <w:rsid w:val="00D67BE4"/>
    <w:rsid w:val="00D70FFD"/>
    <w:rsid w:val="00D7101A"/>
    <w:rsid w:val="00D717C1"/>
    <w:rsid w:val="00D719D6"/>
    <w:rsid w:val="00D72A2E"/>
    <w:rsid w:val="00D73A80"/>
    <w:rsid w:val="00D7595C"/>
    <w:rsid w:val="00D76884"/>
    <w:rsid w:val="00D76BB8"/>
    <w:rsid w:val="00D800E3"/>
    <w:rsid w:val="00D81263"/>
    <w:rsid w:val="00D821C4"/>
    <w:rsid w:val="00D82D61"/>
    <w:rsid w:val="00D830F4"/>
    <w:rsid w:val="00D834A3"/>
    <w:rsid w:val="00D850DC"/>
    <w:rsid w:val="00D86448"/>
    <w:rsid w:val="00D8742A"/>
    <w:rsid w:val="00D9080B"/>
    <w:rsid w:val="00D908E7"/>
    <w:rsid w:val="00D90904"/>
    <w:rsid w:val="00D921F7"/>
    <w:rsid w:val="00D92365"/>
    <w:rsid w:val="00D923AE"/>
    <w:rsid w:val="00D93142"/>
    <w:rsid w:val="00D93FA1"/>
    <w:rsid w:val="00D946E1"/>
    <w:rsid w:val="00D94CB3"/>
    <w:rsid w:val="00D95E5F"/>
    <w:rsid w:val="00D9740A"/>
    <w:rsid w:val="00D9762A"/>
    <w:rsid w:val="00DA010E"/>
    <w:rsid w:val="00DA2627"/>
    <w:rsid w:val="00DA278C"/>
    <w:rsid w:val="00DA3004"/>
    <w:rsid w:val="00DA39BB"/>
    <w:rsid w:val="00DA3D5F"/>
    <w:rsid w:val="00DA4E5F"/>
    <w:rsid w:val="00DA59B0"/>
    <w:rsid w:val="00DA5E55"/>
    <w:rsid w:val="00DA668E"/>
    <w:rsid w:val="00DB0E96"/>
    <w:rsid w:val="00DB1D42"/>
    <w:rsid w:val="00DB45A7"/>
    <w:rsid w:val="00DB49E5"/>
    <w:rsid w:val="00DB4CE9"/>
    <w:rsid w:val="00DB57DF"/>
    <w:rsid w:val="00DB57EF"/>
    <w:rsid w:val="00DB58BD"/>
    <w:rsid w:val="00DB7E77"/>
    <w:rsid w:val="00DB7FF5"/>
    <w:rsid w:val="00DC038D"/>
    <w:rsid w:val="00DC0938"/>
    <w:rsid w:val="00DC16B1"/>
    <w:rsid w:val="00DC2AA3"/>
    <w:rsid w:val="00DC2E63"/>
    <w:rsid w:val="00DC3C69"/>
    <w:rsid w:val="00DC3EB1"/>
    <w:rsid w:val="00DC51A5"/>
    <w:rsid w:val="00DC5634"/>
    <w:rsid w:val="00DC5BEB"/>
    <w:rsid w:val="00DC5DEE"/>
    <w:rsid w:val="00DC5DF1"/>
    <w:rsid w:val="00DC6235"/>
    <w:rsid w:val="00DC6FAB"/>
    <w:rsid w:val="00DC761D"/>
    <w:rsid w:val="00DD174A"/>
    <w:rsid w:val="00DD3067"/>
    <w:rsid w:val="00DD3987"/>
    <w:rsid w:val="00DD3F27"/>
    <w:rsid w:val="00DD3F28"/>
    <w:rsid w:val="00DD4034"/>
    <w:rsid w:val="00DD4E3E"/>
    <w:rsid w:val="00DD4F69"/>
    <w:rsid w:val="00DD5556"/>
    <w:rsid w:val="00DD588D"/>
    <w:rsid w:val="00DD611B"/>
    <w:rsid w:val="00DD6530"/>
    <w:rsid w:val="00DD7188"/>
    <w:rsid w:val="00DD7207"/>
    <w:rsid w:val="00DD78BA"/>
    <w:rsid w:val="00DE2B5B"/>
    <w:rsid w:val="00DE683A"/>
    <w:rsid w:val="00DE6936"/>
    <w:rsid w:val="00DE6A21"/>
    <w:rsid w:val="00DE6AEC"/>
    <w:rsid w:val="00DE713B"/>
    <w:rsid w:val="00DF0476"/>
    <w:rsid w:val="00DF14E2"/>
    <w:rsid w:val="00DF1B0F"/>
    <w:rsid w:val="00DF1F72"/>
    <w:rsid w:val="00DF2E13"/>
    <w:rsid w:val="00DF3649"/>
    <w:rsid w:val="00DF43AE"/>
    <w:rsid w:val="00DF5128"/>
    <w:rsid w:val="00DF5F26"/>
    <w:rsid w:val="00DF5FD9"/>
    <w:rsid w:val="00DF682D"/>
    <w:rsid w:val="00E004A3"/>
    <w:rsid w:val="00E00FD4"/>
    <w:rsid w:val="00E014DF"/>
    <w:rsid w:val="00E038E0"/>
    <w:rsid w:val="00E038FD"/>
    <w:rsid w:val="00E046FB"/>
    <w:rsid w:val="00E06CBE"/>
    <w:rsid w:val="00E07744"/>
    <w:rsid w:val="00E07A48"/>
    <w:rsid w:val="00E07E5D"/>
    <w:rsid w:val="00E1005B"/>
    <w:rsid w:val="00E10938"/>
    <w:rsid w:val="00E1158C"/>
    <w:rsid w:val="00E12054"/>
    <w:rsid w:val="00E12246"/>
    <w:rsid w:val="00E12446"/>
    <w:rsid w:val="00E12BE7"/>
    <w:rsid w:val="00E12E4F"/>
    <w:rsid w:val="00E144DE"/>
    <w:rsid w:val="00E15BE5"/>
    <w:rsid w:val="00E17B10"/>
    <w:rsid w:val="00E20E12"/>
    <w:rsid w:val="00E219A6"/>
    <w:rsid w:val="00E226C1"/>
    <w:rsid w:val="00E2322D"/>
    <w:rsid w:val="00E2391C"/>
    <w:rsid w:val="00E23FFE"/>
    <w:rsid w:val="00E24517"/>
    <w:rsid w:val="00E25196"/>
    <w:rsid w:val="00E25AE4"/>
    <w:rsid w:val="00E25D03"/>
    <w:rsid w:val="00E271BA"/>
    <w:rsid w:val="00E27344"/>
    <w:rsid w:val="00E300D7"/>
    <w:rsid w:val="00E304AC"/>
    <w:rsid w:val="00E304EE"/>
    <w:rsid w:val="00E335CF"/>
    <w:rsid w:val="00E33884"/>
    <w:rsid w:val="00E34413"/>
    <w:rsid w:val="00E35481"/>
    <w:rsid w:val="00E35C2C"/>
    <w:rsid w:val="00E36564"/>
    <w:rsid w:val="00E367CC"/>
    <w:rsid w:val="00E370D7"/>
    <w:rsid w:val="00E40225"/>
    <w:rsid w:val="00E40B6C"/>
    <w:rsid w:val="00E4150A"/>
    <w:rsid w:val="00E419E8"/>
    <w:rsid w:val="00E41BAA"/>
    <w:rsid w:val="00E41C80"/>
    <w:rsid w:val="00E42A07"/>
    <w:rsid w:val="00E42EFD"/>
    <w:rsid w:val="00E43A6B"/>
    <w:rsid w:val="00E43AFF"/>
    <w:rsid w:val="00E44F93"/>
    <w:rsid w:val="00E45619"/>
    <w:rsid w:val="00E468F3"/>
    <w:rsid w:val="00E46BD8"/>
    <w:rsid w:val="00E4744F"/>
    <w:rsid w:val="00E47B89"/>
    <w:rsid w:val="00E50790"/>
    <w:rsid w:val="00E50F10"/>
    <w:rsid w:val="00E51F2F"/>
    <w:rsid w:val="00E5352A"/>
    <w:rsid w:val="00E54166"/>
    <w:rsid w:val="00E54C4C"/>
    <w:rsid w:val="00E54D2F"/>
    <w:rsid w:val="00E54DA6"/>
    <w:rsid w:val="00E5508E"/>
    <w:rsid w:val="00E552F3"/>
    <w:rsid w:val="00E55787"/>
    <w:rsid w:val="00E55CB3"/>
    <w:rsid w:val="00E55D4D"/>
    <w:rsid w:val="00E5613E"/>
    <w:rsid w:val="00E567F9"/>
    <w:rsid w:val="00E601BE"/>
    <w:rsid w:val="00E6055D"/>
    <w:rsid w:val="00E61E41"/>
    <w:rsid w:val="00E6201F"/>
    <w:rsid w:val="00E640A7"/>
    <w:rsid w:val="00E64607"/>
    <w:rsid w:val="00E65D2D"/>
    <w:rsid w:val="00E660A7"/>
    <w:rsid w:val="00E67A03"/>
    <w:rsid w:val="00E701FE"/>
    <w:rsid w:val="00E71579"/>
    <w:rsid w:val="00E71910"/>
    <w:rsid w:val="00E7261F"/>
    <w:rsid w:val="00E73737"/>
    <w:rsid w:val="00E73A5B"/>
    <w:rsid w:val="00E74213"/>
    <w:rsid w:val="00E74907"/>
    <w:rsid w:val="00E74C43"/>
    <w:rsid w:val="00E7535F"/>
    <w:rsid w:val="00E75481"/>
    <w:rsid w:val="00E75C67"/>
    <w:rsid w:val="00E75DC8"/>
    <w:rsid w:val="00E76A7A"/>
    <w:rsid w:val="00E76DF6"/>
    <w:rsid w:val="00E806E7"/>
    <w:rsid w:val="00E825E7"/>
    <w:rsid w:val="00E832EE"/>
    <w:rsid w:val="00E8348A"/>
    <w:rsid w:val="00E835B5"/>
    <w:rsid w:val="00E842D1"/>
    <w:rsid w:val="00E8460C"/>
    <w:rsid w:val="00E84CE0"/>
    <w:rsid w:val="00E84E31"/>
    <w:rsid w:val="00E85147"/>
    <w:rsid w:val="00E8549B"/>
    <w:rsid w:val="00E87062"/>
    <w:rsid w:val="00E871ED"/>
    <w:rsid w:val="00E8790B"/>
    <w:rsid w:val="00E9065B"/>
    <w:rsid w:val="00E90CA4"/>
    <w:rsid w:val="00E90CAD"/>
    <w:rsid w:val="00E918E2"/>
    <w:rsid w:val="00E91B7B"/>
    <w:rsid w:val="00E923B6"/>
    <w:rsid w:val="00E927F7"/>
    <w:rsid w:val="00E92925"/>
    <w:rsid w:val="00E93727"/>
    <w:rsid w:val="00E94749"/>
    <w:rsid w:val="00E96C33"/>
    <w:rsid w:val="00E973E5"/>
    <w:rsid w:val="00E97403"/>
    <w:rsid w:val="00E979C2"/>
    <w:rsid w:val="00EA08E9"/>
    <w:rsid w:val="00EA1140"/>
    <w:rsid w:val="00EA119F"/>
    <w:rsid w:val="00EA12C7"/>
    <w:rsid w:val="00EA2BEE"/>
    <w:rsid w:val="00EA3155"/>
    <w:rsid w:val="00EA356B"/>
    <w:rsid w:val="00EA4F44"/>
    <w:rsid w:val="00EA5073"/>
    <w:rsid w:val="00EA5549"/>
    <w:rsid w:val="00EA6DD7"/>
    <w:rsid w:val="00EA6DE2"/>
    <w:rsid w:val="00EA7E6A"/>
    <w:rsid w:val="00EB1167"/>
    <w:rsid w:val="00EB12CD"/>
    <w:rsid w:val="00EB161A"/>
    <w:rsid w:val="00EB21A0"/>
    <w:rsid w:val="00EB231F"/>
    <w:rsid w:val="00EB315E"/>
    <w:rsid w:val="00EB37AA"/>
    <w:rsid w:val="00EB3D28"/>
    <w:rsid w:val="00EB408D"/>
    <w:rsid w:val="00EB42BE"/>
    <w:rsid w:val="00EB5FF8"/>
    <w:rsid w:val="00EB6089"/>
    <w:rsid w:val="00EB6207"/>
    <w:rsid w:val="00EC0D0B"/>
    <w:rsid w:val="00EC0EFA"/>
    <w:rsid w:val="00EC170B"/>
    <w:rsid w:val="00EC1CD3"/>
    <w:rsid w:val="00EC414F"/>
    <w:rsid w:val="00EC4869"/>
    <w:rsid w:val="00EC4DA0"/>
    <w:rsid w:val="00EC5BCE"/>
    <w:rsid w:val="00EC6DBB"/>
    <w:rsid w:val="00ED0063"/>
    <w:rsid w:val="00ED168F"/>
    <w:rsid w:val="00ED2217"/>
    <w:rsid w:val="00ED268E"/>
    <w:rsid w:val="00ED2B2E"/>
    <w:rsid w:val="00ED2D28"/>
    <w:rsid w:val="00ED3025"/>
    <w:rsid w:val="00ED53BC"/>
    <w:rsid w:val="00ED62B0"/>
    <w:rsid w:val="00ED6450"/>
    <w:rsid w:val="00ED6AED"/>
    <w:rsid w:val="00ED6C9D"/>
    <w:rsid w:val="00ED75C9"/>
    <w:rsid w:val="00ED7FEF"/>
    <w:rsid w:val="00EE03A3"/>
    <w:rsid w:val="00EE0CDD"/>
    <w:rsid w:val="00EE0E33"/>
    <w:rsid w:val="00EE0E80"/>
    <w:rsid w:val="00EE1BCA"/>
    <w:rsid w:val="00EE3A92"/>
    <w:rsid w:val="00EE4299"/>
    <w:rsid w:val="00EE6CB9"/>
    <w:rsid w:val="00EE6D29"/>
    <w:rsid w:val="00EE6E59"/>
    <w:rsid w:val="00EE6F37"/>
    <w:rsid w:val="00EE7B86"/>
    <w:rsid w:val="00EE7CB0"/>
    <w:rsid w:val="00EE7DFE"/>
    <w:rsid w:val="00EF074F"/>
    <w:rsid w:val="00EF0896"/>
    <w:rsid w:val="00EF19D2"/>
    <w:rsid w:val="00EF19E1"/>
    <w:rsid w:val="00EF1D22"/>
    <w:rsid w:val="00EF2316"/>
    <w:rsid w:val="00EF300F"/>
    <w:rsid w:val="00EF3F8A"/>
    <w:rsid w:val="00EF43FC"/>
    <w:rsid w:val="00EF4937"/>
    <w:rsid w:val="00EF4C09"/>
    <w:rsid w:val="00EF5D4A"/>
    <w:rsid w:val="00EF744A"/>
    <w:rsid w:val="00EF7F4F"/>
    <w:rsid w:val="00F00C58"/>
    <w:rsid w:val="00F00FAD"/>
    <w:rsid w:val="00F0112F"/>
    <w:rsid w:val="00F0134E"/>
    <w:rsid w:val="00F0139A"/>
    <w:rsid w:val="00F020BA"/>
    <w:rsid w:val="00F02948"/>
    <w:rsid w:val="00F02987"/>
    <w:rsid w:val="00F0389C"/>
    <w:rsid w:val="00F053AB"/>
    <w:rsid w:val="00F069C5"/>
    <w:rsid w:val="00F069CC"/>
    <w:rsid w:val="00F06A3B"/>
    <w:rsid w:val="00F06DBB"/>
    <w:rsid w:val="00F06E78"/>
    <w:rsid w:val="00F07362"/>
    <w:rsid w:val="00F077B8"/>
    <w:rsid w:val="00F1129C"/>
    <w:rsid w:val="00F13C51"/>
    <w:rsid w:val="00F14642"/>
    <w:rsid w:val="00F1473B"/>
    <w:rsid w:val="00F14940"/>
    <w:rsid w:val="00F154FE"/>
    <w:rsid w:val="00F155D6"/>
    <w:rsid w:val="00F15C2C"/>
    <w:rsid w:val="00F1614B"/>
    <w:rsid w:val="00F17164"/>
    <w:rsid w:val="00F2049C"/>
    <w:rsid w:val="00F209AC"/>
    <w:rsid w:val="00F21828"/>
    <w:rsid w:val="00F218DE"/>
    <w:rsid w:val="00F22FD7"/>
    <w:rsid w:val="00F23561"/>
    <w:rsid w:val="00F241FE"/>
    <w:rsid w:val="00F2422C"/>
    <w:rsid w:val="00F24853"/>
    <w:rsid w:val="00F2679F"/>
    <w:rsid w:val="00F27519"/>
    <w:rsid w:val="00F27F51"/>
    <w:rsid w:val="00F27FDF"/>
    <w:rsid w:val="00F3118F"/>
    <w:rsid w:val="00F31525"/>
    <w:rsid w:val="00F31930"/>
    <w:rsid w:val="00F31B0D"/>
    <w:rsid w:val="00F31B68"/>
    <w:rsid w:val="00F31CF2"/>
    <w:rsid w:val="00F3248C"/>
    <w:rsid w:val="00F32DA7"/>
    <w:rsid w:val="00F33CFD"/>
    <w:rsid w:val="00F33E86"/>
    <w:rsid w:val="00F34FC7"/>
    <w:rsid w:val="00F353DB"/>
    <w:rsid w:val="00F36196"/>
    <w:rsid w:val="00F3623A"/>
    <w:rsid w:val="00F364EB"/>
    <w:rsid w:val="00F368E7"/>
    <w:rsid w:val="00F36F12"/>
    <w:rsid w:val="00F37060"/>
    <w:rsid w:val="00F379BF"/>
    <w:rsid w:val="00F40005"/>
    <w:rsid w:val="00F403FA"/>
    <w:rsid w:val="00F4165B"/>
    <w:rsid w:val="00F41686"/>
    <w:rsid w:val="00F4191C"/>
    <w:rsid w:val="00F42476"/>
    <w:rsid w:val="00F42603"/>
    <w:rsid w:val="00F428EB"/>
    <w:rsid w:val="00F42FE1"/>
    <w:rsid w:val="00F431CE"/>
    <w:rsid w:val="00F43B2E"/>
    <w:rsid w:val="00F441DF"/>
    <w:rsid w:val="00F4524A"/>
    <w:rsid w:val="00F46D84"/>
    <w:rsid w:val="00F46F2D"/>
    <w:rsid w:val="00F50608"/>
    <w:rsid w:val="00F508EE"/>
    <w:rsid w:val="00F50AAF"/>
    <w:rsid w:val="00F50C69"/>
    <w:rsid w:val="00F5180C"/>
    <w:rsid w:val="00F51D55"/>
    <w:rsid w:val="00F51F0F"/>
    <w:rsid w:val="00F52EA3"/>
    <w:rsid w:val="00F52F3E"/>
    <w:rsid w:val="00F53064"/>
    <w:rsid w:val="00F53915"/>
    <w:rsid w:val="00F5451C"/>
    <w:rsid w:val="00F546A9"/>
    <w:rsid w:val="00F56322"/>
    <w:rsid w:val="00F56787"/>
    <w:rsid w:val="00F5692B"/>
    <w:rsid w:val="00F56C7F"/>
    <w:rsid w:val="00F6066D"/>
    <w:rsid w:val="00F60D09"/>
    <w:rsid w:val="00F61091"/>
    <w:rsid w:val="00F615F3"/>
    <w:rsid w:val="00F61B48"/>
    <w:rsid w:val="00F6248A"/>
    <w:rsid w:val="00F6248C"/>
    <w:rsid w:val="00F6259D"/>
    <w:rsid w:val="00F627F3"/>
    <w:rsid w:val="00F62BA2"/>
    <w:rsid w:val="00F630FD"/>
    <w:rsid w:val="00F63518"/>
    <w:rsid w:val="00F63B41"/>
    <w:rsid w:val="00F63E2D"/>
    <w:rsid w:val="00F63FC6"/>
    <w:rsid w:val="00F643F8"/>
    <w:rsid w:val="00F64E7D"/>
    <w:rsid w:val="00F654BD"/>
    <w:rsid w:val="00F65823"/>
    <w:rsid w:val="00F66191"/>
    <w:rsid w:val="00F66454"/>
    <w:rsid w:val="00F66980"/>
    <w:rsid w:val="00F66D03"/>
    <w:rsid w:val="00F66F6B"/>
    <w:rsid w:val="00F712BD"/>
    <w:rsid w:val="00F714E4"/>
    <w:rsid w:val="00F71B65"/>
    <w:rsid w:val="00F71C67"/>
    <w:rsid w:val="00F729E2"/>
    <w:rsid w:val="00F73B51"/>
    <w:rsid w:val="00F73F73"/>
    <w:rsid w:val="00F74B0D"/>
    <w:rsid w:val="00F74BF7"/>
    <w:rsid w:val="00F74EBD"/>
    <w:rsid w:val="00F764F8"/>
    <w:rsid w:val="00F77A40"/>
    <w:rsid w:val="00F77DC5"/>
    <w:rsid w:val="00F80DB4"/>
    <w:rsid w:val="00F8114D"/>
    <w:rsid w:val="00F823B7"/>
    <w:rsid w:val="00F836AD"/>
    <w:rsid w:val="00F838AC"/>
    <w:rsid w:val="00F87C5A"/>
    <w:rsid w:val="00F91562"/>
    <w:rsid w:val="00F91ECA"/>
    <w:rsid w:val="00F94E5B"/>
    <w:rsid w:val="00F9507A"/>
    <w:rsid w:val="00F95170"/>
    <w:rsid w:val="00F957C5"/>
    <w:rsid w:val="00F9702C"/>
    <w:rsid w:val="00F97251"/>
    <w:rsid w:val="00F97285"/>
    <w:rsid w:val="00F9767F"/>
    <w:rsid w:val="00F97FAA"/>
    <w:rsid w:val="00FA0024"/>
    <w:rsid w:val="00FA0178"/>
    <w:rsid w:val="00FA05A8"/>
    <w:rsid w:val="00FA07DA"/>
    <w:rsid w:val="00FA07DE"/>
    <w:rsid w:val="00FA21FA"/>
    <w:rsid w:val="00FA2373"/>
    <w:rsid w:val="00FA2779"/>
    <w:rsid w:val="00FA2DF9"/>
    <w:rsid w:val="00FA36CA"/>
    <w:rsid w:val="00FA3E6D"/>
    <w:rsid w:val="00FA4141"/>
    <w:rsid w:val="00FA4B85"/>
    <w:rsid w:val="00FA59DD"/>
    <w:rsid w:val="00FA6500"/>
    <w:rsid w:val="00FA6F89"/>
    <w:rsid w:val="00FB0360"/>
    <w:rsid w:val="00FB0F5C"/>
    <w:rsid w:val="00FB18F0"/>
    <w:rsid w:val="00FB1C3E"/>
    <w:rsid w:val="00FB23C6"/>
    <w:rsid w:val="00FB2B91"/>
    <w:rsid w:val="00FB468E"/>
    <w:rsid w:val="00FB4D0B"/>
    <w:rsid w:val="00FB5107"/>
    <w:rsid w:val="00FB53AD"/>
    <w:rsid w:val="00FB544D"/>
    <w:rsid w:val="00FB7AB3"/>
    <w:rsid w:val="00FB7AF9"/>
    <w:rsid w:val="00FC0305"/>
    <w:rsid w:val="00FC0619"/>
    <w:rsid w:val="00FC0BE8"/>
    <w:rsid w:val="00FC2A99"/>
    <w:rsid w:val="00FC3217"/>
    <w:rsid w:val="00FC439F"/>
    <w:rsid w:val="00FC4657"/>
    <w:rsid w:val="00FC4982"/>
    <w:rsid w:val="00FC5AE9"/>
    <w:rsid w:val="00FC701F"/>
    <w:rsid w:val="00FC7032"/>
    <w:rsid w:val="00FC73F6"/>
    <w:rsid w:val="00FC7BB8"/>
    <w:rsid w:val="00FC7BC6"/>
    <w:rsid w:val="00FD0610"/>
    <w:rsid w:val="00FD0670"/>
    <w:rsid w:val="00FD0DA5"/>
    <w:rsid w:val="00FD2405"/>
    <w:rsid w:val="00FD37B7"/>
    <w:rsid w:val="00FD421A"/>
    <w:rsid w:val="00FD4663"/>
    <w:rsid w:val="00FD4EDF"/>
    <w:rsid w:val="00FD5234"/>
    <w:rsid w:val="00FD5FDC"/>
    <w:rsid w:val="00FD6B76"/>
    <w:rsid w:val="00FD6CD9"/>
    <w:rsid w:val="00FD753D"/>
    <w:rsid w:val="00FD7CF2"/>
    <w:rsid w:val="00FE0396"/>
    <w:rsid w:val="00FE0DF4"/>
    <w:rsid w:val="00FE1DEE"/>
    <w:rsid w:val="00FE25DD"/>
    <w:rsid w:val="00FE2B0A"/>
    <w:rsid w:val="00FE36FA"/>
    <w:rsid w:val="00FE3747"/>
    <w:rsid w:val="00FE48BA"/>
    <w:rsid w:val="00FE54C0"/>
    <w:rsid w:val="00FE69B1"/>
    <w:rsid w:val="00FE75F2"/>
    <w:rsid w:val="00FF07D4"/>
    <w:rsid w:val="00FF1033"/>
    <w:rsid w:val="00FF1323"/>
    <w:rsid w:val="00FF1801"/>
    <w:rsid w:val="00FF1C97"/>
    <w:rsid w:val="00FF2492"/>
    <w:rsid w:val="00FF24D7"/>
    <w:rsid w:val="00FF25FC"/>
    <w:rsid w:val="00FF3030"/>
    <w:rsid w:val="00FF4599"/>
    <w:rsid w:val="00FF52B8"/>
    <w:rsid w:val="00FF5853"/>
    <w:rsid w:val="00FF70EA"/>
    <w:rsid w:val="01003F0A"/>
    <w:rsid w:val="01A71F38"/>
    <w:rsid w:val="028C0FB8"/>
    <w:rsid w:val="02C83F97"/>
    <w:rsid w:val="04D9CA9B"/>
    <w:rsid w:val="0578F4E1"/>
    <w:rsid w:val="05C9ABCB"/>
    <w:rsid w:val="07748CA1"/>
    <w:rsid w:val="0951C811"/>
    <w:rsid w:val="0A5269BC"/>
    <w:rsid w:val="0B095517"/>
    <w:rsid w:val="0DBFF87F"/>
    <w:rsid w:val="0F6BEB0C"/>
    <w:rsid w:val="0F6E4042"/>
    <w:rsid w:val="1305C43F"/>
    <w:rsid w:val="13E39CB4"/>
    <w:rsid w:val="147C37D6"/>
    <w:rsid w:val="14E861C2"/>
    <w:rsid w:val="16CD71F9"/>
    <w:rsid w:val="18430D00"/>
    <w:rsid w:val="1883884D"/>
    <w:rsid w:val="19D941CF"/>
    <w:rsid w:val="1A706DC3"/>
    <w:rsid w:val="1A88BEB4"/>
    <w:rsid w:val="1B0BAD31"/>
    <w:rsid w:val="1B94B13C"/>
    <w:rsid w:val="1BD6A79F"/>
    <w:rsid w:val="1C4C29C1"/>
    <w:rsid w:val="1C7D2487"/>
    <w:rsid w:val="1D1F29F6"/>
    <w:rsid w:val="1DD070E5"/>
    <w:rsid w:val="1FA42B68"/>
    <w:rsid w:val="20D49BBD"/>
    <w:rsid w:val="20EC9BE5"/>
    <w:rsid w:val="20F3B1D3"/>
    <w:rsid w:val="21313BC1"/>
    <w:rsid w:val="2144CF22"/>
    <w:rsid w:val="21C1DF23"/>
    <w:rsid w:val="22D59F0C"/>
    <w:rsid w:val="248A48E3"/>
    <w:rsid w:val="26DDBC00"/>
    <w:rsid w:val="278F7742"/>
    <w:rsid w:val="27E09436"/>
    <w:rsid w:val="282B43DE"/>
    <w:rsid w:val="28EE0CEF"/>
    <w:rsid w:val="29486235"/>
    <w:rsid w:val="2A71C521"/>
    <w:rsid w:val="2B33A33A"/>
    <w:rsid w:val="2B844C6B"/>
    <w:rsid w:val="2C5700DB"/>
    <w:rsid w:val="2C88D030"/>
    <w:rsid w:val="2CAD0371"/>
    <w:rsid w:val="2CDA3FFC"/>
    <w:rsid w:val="2E61CBAD"/>
    <w:rsid w:val="2EAD30FF"/>
    <w:rsid w:val="2F19E23A"/>
    <w:rsid w:val="2FBEE498"/>
    <w:rsid w:val="30BECFF8"/>
    <w:rsid w:val="31B6A3D3"/>
    <w:rsid w:val="31EF5711"/>
    <w:rsid w:val="31F0E700"/>
    <w:rsid w:val="3386372E"/>
    <w:rsid w:val="33D77DA6"/>
    <w:rsid w:val="34241AC5"/>
    <w:rsid w:val="34644E8A"/>
    <w:rsid w:val="36154F75"/>
    <w:rsid w:val="363D7B84"/>
    <w:rsid w:val="381F0CB1"/>
    <w:rsid w:val="3854FF33"/>
    <w:rsid w:val="3A8D2926"/>
    <w:rsid w:val="3B029629"/>
    <w:rsid w:val="3B2D025B"/>
    <w:rsid w:val="3BBB81D8"/>
    <w:rsid w:val="3C2977B3"/>
    <w:rsid w:val="3C391209"/>
    <w:rsid w:val="3C9F3AAA"/>
    <w:rsid w:val="3CC500B9"/>
    <w:rsid w:val="3D0EC70C"/>
    <w:rsid w:val="3D802419"/>
    <w:rsid w:val="3E76D96B"/>
    <w:rsid w:val="3E83F3E5"/>
    <w:rsid w:val="3FF24CA8"/>
    <w:rsid w:val="403B4967"/>
    <w:rsid w:val="4042A8EF"/>
    <w:rsid w:val="40AFAA1E"/>
    <w:rsid w:val="41460680"/>
    <w:rsid w:val="418096D0"/>
    <w:rsid w:val="41951A9F"/>
    <w:rsid w:val="42E72F79"/>
    <w:rsid w:val="433272BB"/>
    <w:rsid w:val="459370A7"/>
    <w:rsid w:val="46882413"/>
    <w:rsid w:val="4722EA1E"/>
    <w:rsid w:val="476C0239"/>
    <w:rsid w:val="47FB9155"/>
    <w:rsid w:val="495FE7CD"/>
    <w:rsid w:val="4AAB21EB"/>
    <w:rsid w:val="4B257B71"/>
    <w:rsid w:val="4B7CC01D"/>
    <w:rsid w:val="4B948953"/>
    <w:rsid w:val="4BC22F3D"/>
    <w:rsid w:val="4C117A0E"/>
    <w:rsid w:val="4D5C992C"/>
    <w:rsid w:val="4E383D25"/>
    <w:rsid w:val="4E9E0E0C"/>
    <w:rsid w:val="4F5CA320"/>
    <w:rsid w:val="4FC3AB2F"/>
    <w:rsid w:val="512F8089"/>
    <w:rsid w:val="5298B2CF"/>
    <w:rsid w:val="53BC8F1A"/>
    <w:rsid w:val="54EC662E"/>
    <w:rsid w:val="56A25D24"/>
    <w:rsid w:val="56E2D8C8"/>
    <w:rsid w:val="586C5413"/>
    <w:rsid w:val="5884B324"/>
    <w:rsid w:val="58D131DF"/>
    <w:rsid w:val="5A90671D"/>
    <w:rsid w:val="5B22DB4A"/>
    <w:rsid w:val="5C9DA102"/>
    <w:rsid w:val="5CAAFE12"/>
    <w:rsid w:val="5DC76C26"/>
    <w:rsid w:val="5DFAC1FC"/>
    <w:rsid w:val="5E70F911"/>
    <w:rsid w:val="5EAC7192"/>
    <w:rsid w:val="5F503D1F"/>
    <w:rsid w:val="5F562A2B"/>
    <w:rsid w:val="60589BB4"/>
    <w:rsid w:val="60D40CFA"/>
    <w:rsid w:val="62B789B3"/>
    <w:rsid w:val="62C8DE5E"/>
    <w:rsid w:val="638D06A8"/>
    <w:rsid w:val="643EC750"/>
    <w:rsid w:val="658CB2BA"/>
    <w:rsid w:val="66A95324"/>
    <w:rsid w:val="68358C14"/>
    <w:rsid w:val="68EB80D7"/>
    <w:rsid w:val="6935F59E"/>
    <w:rsid w:val="6A0C87AF"/>
    <w:rsid w:val="6BCCB64D"/>
    <w:rsid w:val="6CFB1FBC"/>
    <w:rsid w:val="6D85466F"/>
    <w:rsid w:val="6DC5341A"/>
    <w:rsid w:val="6E8D36ED"/>
    <w:rsid w:val="6EBDB08E"/>
    <w:rsid w:val="6ED2EFA2"/>
    <w:rsid w:val="6F7B7C60"/>
    <w:rsid w:val="6FB99047"/>
    <w:rsid w:val="70A5DED9"/>
    <w:rsid w:val="71B1CE71"/>
    <w:rsid w:val="71B1FC5C"/>
    <w:rsid w:val="71E0C5D1"/>
    <w:rsid w:val="71F484AF"/>
    <w:rsid w:val="73346AA5"/>
    <w:rsid w:val="747BCB35"/>
    <w:rsid w:val="758F8966"/>
    <w:rsid w:val="75A923A7"/>
    <w:rsid w:val="75BB2F3F"/>
    <w:rsid w:val="760CE3BE"/>
    <w:rsid w:val="765C6520"/>
    <w:rsid w:val="7686D507"/>
    <w:rsid w:val="76CF0A63"/>
    <w:rsid w:val="78FF23BA"/>
    <w:rsid w:val="79DDD0AE"/>
    <w:rsid w:val="79E66C9A"/>
    <w:rsid w:val="7ABA1B69"/>
    <w:rsid w:val="7CFCA59B"/>
    <w:rsid w:val="7D84DB55"/>
    <w:rsid w:val="7DB7E007"/>
    <w:rsid w:val="7ED7E55B"/>
    <w:rsid w:val="7EEB6770"/>
    <w:rsid w:val="7F454F1E"/>
    <w:rsid w:val="7FB83BA5"/>
    <w:rsid w:val="7FD2D9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8E58C"/>
  <w15:docId w15:val="{73D51187-D24F-47E0-81D0-DC75033C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3B3"/>
    <w:pPr>
      <w:spacing w:before="120" w:after="120"/>
    </w:pPr>
    <w:rPr>
      <w:rFonts w:ascii="Calibri" w:hAnsi="Calibri"/>
      <w:sz w:val="24"/>
    </w:rPr>
  </w:style>
  <w:style w:type="paragraph" w:styleId="Heading1">
    <w:name w:val="heading 1"/>
    <w:basedOn w:val="Normal"/>
    <w:next w:val="Normal"/>
    <w:link w:val="Heading1Char"/>
    <w:uiPriority w:val="9"/>
    <w:qFormat/>
    <w:rsid w:val="00376239"/>
    <w:pPr>
      <w:spacing w:before="240" w:after="240"/>
      <w:outlineLvl w:val="0"/>
    </w:pPr>
    <w:rPr>
      <w:rFonts w:eastAsiaTheme="majorEastAsia" w:cstheme="majorBidi"/>
      <w:b/>
      <w:bCs/>
      <w:color w:val="007FAC"/>
      <w:sz w:val="28"/>
      <w:szCs w:val="28"/>
    </w:rPr>
  </w:style>
  <w:style w:type="paragraph" w:styleId="Heading2">
    <w:name w:val="heading 2"/>
    <w:basedOn w:val="Heading1"/>
    <w:next w:val="Normal"/>
    <w:link w:val="Heading2Char"/>
    <w:uiPriority w:val="9"/>
    <w:unhideWhenUsed/>
    <w:qFormat/>
    <w:rsid w:val="0087599B"/>
    <w:pPr>
      <w:keepNext/>
      <w:spacing w:after="120"/>
      <w:outlineLvl w:val="1"/>
    </w:pPr>
    <w:rPr>
      <w:rFonts w:asciiTheme="minorHAnsi" w:hAnsiTheme="minorHAnsi" w:cstheme="minorHAnsi"/>
      <w:bCs w:val="0"/>
      <w:color w:val="0070C0"/>
    </w:rPr>
  </w:style>
  <w:style w:type="paragraph" w:styleId="Heading3">
    <w:name w:val="heading 3"/>
    <w:basedOn w:val="Normal"/>
    <w:next w:val="Normal"/>
    <w:link w:val="Heading3Char"/>
    <w:uiPriority w:val="9"/>
    <w:unhideWhenUsed/>
    <w:qFormat/>
    <w:rsid w:val="00930275"/>
    <w:pPr>
      <w:keepNext/>
      <w:spacing w:before="240" w:after="0"/>
      <w:outlineLvl w:val="2"/>
    </w:pPr>
    <w:rPr>
      <w:rFonts w:asciiTheme="minorHAnsi" w:hAnsiTheme="minorHAnsi" w:cstheme="minorHAnsi"/>
      <w:b/>
      <w:sz w:val="26"/>
      <w:szCs w:val="26"/>
    </w:rPr>
  </w:style>
  <w:style w:type="paragraph" w:styleId="Heading4">
    <w:name w:val="heading 4"/>
    <w:basedOn w:val="Normal"/>
    <w:next w:val="Normal"/>
    <w:link w:val="Heading4Char"/>
    <w:uiPriority w:val="9"/>
    <w:unhideWhenUsed/>
    <w:qFormat/>
    <w:rsid w:val="00814FEB"/>
    <w:pPr>
      <w:outlineLvl w:val="3"/>
    </w:pPr>
    <w:rPr>
      <w:rFonts w:eastAsiaTheme="majorEastAsia" w:cstheme="majorBidi"/>
      <w:b/>
      <w:bCs/>
      <w:iCs/>
      <w:color w:val="0D7CB3"/>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239"/>
    <w:rPr>
      <w:rFonts w:ascii="Calibri" w:eastAsiaTheme="majorEastAsia" w:hAnsi="Calibri" w:cstheme="majorBidi"/>
      <w:b/>
      <w:bCs/>
      <w:color w:val="007FAC"/>
      <w:sz w:val="28"/>
      <w:szCs w:val="28"/>
    </w:rPr>
  </w:style>
  <w:style w:type="character" w:customStyle="1" w:styleId="Heading2Char">
    <w:name w:val="Heading 2 Char"/>
    <w:basedOn w:val="DefaultParagraphFont"/>
    <w:link w:val="Heading2"/>
    <w:uiPriority w:val="9"/>
    <w:rsid w:val="0087599B"/>
    <w:rPr>
      <w:rFonts w:eastAsiaTheme="majorEastAsia" w:cstheme="minorHAnsi"/>
      <w:b/>
      <w:color w:val="0070C0"/>
      <w:sz w:val="28"/>
      <w:szCs w:val="28"/>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930275"/>
    <w:rPr>
      <w:rFonts w:cstheme="minorHAnsi"/>
      <w:b/>
      <w:sz w:val="26"/>
      <w:szCs w:val="26"/>
    </w:rPr>
  </w:style>
  <w:style w:type="character" w:customStyle="1" w:styleId="Heading4Char">
    <w:name w:val="Heading 4 Char"/>
    <w:basedOn w:val="DefaultParagraphFont"/>
    <w:link w:val="Heading4"/>
    <w:uiPriority w:val="9"/>
    <w:rsid w:val="00814FEB"/>
    <w:rPr>
      <w:rFonts w:ascii="Calibri" w:eastAsiaTheme="majorEastAsia" w:hAnsi="Calibri" w:cstheme="majorBidi"/>
      <w:b/>
      <w:bCs/>
      <w:iCs/>
      <w:color w:val="0D7CB3"/>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next w:val="Normal"/>
    <w:link w:val="TitleChar"/>
    <w:uiPriority w:val="10"/>
    <w:qFormat/>
    <w:rsid w:val="00892D11"/>
    <w:pPr>
      <w:spacing w:before="360" w:after="240"/>
      <w:outlineLvl w:val="0"/>
    </w:pPr>
    <w:rPr>
      <w:rFonts w:ascii="Calibri" w:eastAsiaTheme="majorEastAsia" w:hAnsi="Calibri" w:cstheme="majorBidi"/>
      <w:b/>
      <w:bCs/>
      <w:color w:val="008BBC"/>
      <w:sz w:val="40"/>
      <w:szCs w:val="28"/>
    </w:rPr>
  </w:style>
  <w:style w:type="character" w:customStyle="1" w:styleId="TitleChar">
    <w:name w:val="Title Char"/>
    <w:basedOn w:val="DefaultParagraphFont"/>
    <w:link w:val="Title"/>
    <w:uiPriority w:val="10"/>
    <w:rsid w:val="00892D11"/>
    <w:rPr>
      <w:rFonts w:ascii="Calibri" w:eastAsiaTheme="majorEastAsia" w:hAnsi="Calibri" w:cstheme="majorBidi"/>
      <w:b/>
      <w:bCs/>
      <w:color w:val="008BBC"/>
      <w:sz w:val="40"/>
      <w:szCs w:val="28"/>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link w:val="ListParagraphChar"/>
    <w:uiPriority w:val="34"/>
    <w:qFormat/>
    <w:rsid w:val="004B54CA"/>
    <w:pPr>
      <w:ind w:left="720"/>
      <w:contextualSpacing/>
    </w:pPr>
  </w:style>
  <w:style w:type="character" w:styleId="Emphasis">
    <w:name w:val="Emphasis"/>
    <w:basedOn w:val="DefaultParagraphFont"/>
    <w:uiPriority w:val="20"/>
    <w:qFormat/>
    <w:rsid w:val="006F2E69"/>
    <w:rPr>
      <w:rFonts w:asciiTheme="minorHAnsi" w:hAnsiTheme="minorHAnsi"/>
      <w:i/>
      <w:iCs/>
      <w:caps w:val="0"/>
      <w:smallCaps w:val="0"/>
      <w:spacing w:val="5"/>
      <w:sz w:val="24"/>
    </w:rPr>
  </w:style>
  <w:style w:type="character" w:styleId="IntenseEmphasis">
    <w:name w:val="Intense Emphasis"/>
    <w:uiPriority w:val="21"/>
    <w:qFormat/>
    <w:rsid w:val="00B356C8"/>
    <w:rPr>
      <w:rFonts w:asciiTheme="minorHAnsi" w:hAnsiTheme="minorHAnsi"/>
      <w:b/>
      <w:bCs/>
      <w:i/>
      <w:sz w:val="24"/>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892D11"/>
    <w:pPr>
      <w:tabs>
        <w:tab w:val="center" w:pos="4513"/>
        <w:tab w:val="right" w:pos="9026"/>
      </w:tabs>
      <w:spacing w:before="0" w:after="0"/>
      <w:jc w:val="right"/>
    </w:pPr>
    <w:rPr>
      <w:b/>
      <w:color w:val="4BACC6" w:themeColor="accent5"/>
    </w:rPr>
  </w:style>
  <w:style w:type="character" w:customStyle="1" w:styleId="HeaderChar">
    <w:name w:val="Header Char"/>
    <w:basedOn w:val="DefaultParagraphFont"/>
    <w:link w:val="Header"/>
    <w:uiPriority w:val="99"/>
    <w:rsid w:val="00892D11"/>
    <w:rPr>
      <w:rFonts w:ascii="Calibri" w:hAnsi="Calibri"/>
      <w:b/>
      <w:color w:val="4BACC6" w:themeColor="accent5"/>
      <w:sz w:val="24"/>
    </w:rPr>
  </w:style>
  <w:style w:type="paragraph" w:styleId="Footer">
    <w:name w:val="footer"/>
    <w:basedOn w:val="Normal"/>
    <w:link w:val="FooterChar"/>
    <w:uiPriority w:val="99"/>
    <w:unhideWhenUsed/>
    <w:rsid w:val="00892D11"/>
    <w:pPr>
      <w:tabs>
        <w:tab w:val="center" w:pos="4513"/>
        <w:tab w:val="right" w:pos="9026"/>
      </w:tabs>
      <w:spacing w:after="0"/>
    </w:pPr>
    <w:rPr>
      <w:b/>
      <w:color w:val="4BACC6" w:themeColor="accent5"/>
    </w:rPr>
  </w:style>
  <w:style w:type="character" w:customStyle="1" w:styleId="FooterChar">
    <w:name w:val="Footer Char"/>
    <w:basedOn w:val="DefaultParagraphFont"/>
    <w:link w:val="Footer"/>
    <w:uiPriority w:val="99"/>
    <w:rsid w:val="00892D11"/>
    <w:rPr>
      <w:rFonts w:ascii="Calibri" w:hAnsi="Calibri"/>
      <w:b/>
      <w:color w:val="4BACC6" w:themeColor="accent5"/>
      <w:sz w:val="24"/>
    </w:rPr>
  </w:style>
  <w:style w:type="paragraph" w:styleId="BalloonText">
    <w:name w:val="Balloon Text"/>
    <w:basedOn w:val="Normal"/>
    <w:link w:val="BalloonTextChar"/>
    <w:uiPriority w:val="99"/>
    <w:semiHidden/>
    <w:unhideWhenUsed/>
    <w:rsid w:val="00814F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FEB"/>
    <w:rPr>
      <w:rFonts w:ascii="Tahoma" w:hAnsi="Tahoma" w:cs="Tahoma"/>
      <w:sz w:val="16"/>
      <w:szCs w:val="16"/>
    </w:rPr>
  </w:style>
  <w:style w:type="character" w:styleId="Hyperlink">
    <w:name w:val="Hyperlink"/>
    <w:basedOn w:val="DefaultParagraphFont"/>
    <w:uiPriority w:val="99"/>
    <w:unhideWhenUsed/>
    <w:rsid w:val="005D09FD"/>
    <w:rPr>
      <w:color w:val="0000FF" w:themeColor="hyperlink"/>
      <w:u w:val="single"/>
    </w:rPr>
  </w:style>
  <w:style w:type="table" w:styleId="TableGrid">
    <w:name w:val="Table Grid"/>
    <w:basedOn w:val="TableNormal"/>
    <w:rsid w:val="0066691F"/>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C23B3"/>
    <w:pPr>
      <w:spacing w:before="40" w:after="0"/>
    </w:pPr>
    <w:rPr>
      <w:sz w:val="20"/>
      <w:szCs w:val="20"/>
    </w:rPr>
  </w:style>
  <w:style w:type="character" w:customStyle="1" w:styleId="FootnoteTextChar">
    <w:name w:val="Footnote Text Char"/>
    <w:basedOn w:val="DefaultParagraphFont"/>
    <w:link w:val="FootnoteText"/>
    <w:uiPriority w:val="99"/>
    <w:rsid w:val="004C23B3"/>
    <w:rPr>
      <w:rFonts w:ascii="Calibri" w:hAnsi="Calibri"/>
      <w:sz w:val="20"/>
      <w:szCs w:val="20"/>
    </w:rPr>
  </w:style>
  <w:style w:type="character" w:styleId="FootnoteReference">
    <w:name w:val="footnote reference"/>
    <w:basedOn w:val="DefaultParagraphFont"/>
    <w:uiPriority w:val="99"/>
    <w:semiHidden/>
    <w:unhideWhenUsed/>
    <w:rsid w:val="0066691F"/>
    <w:rPr>
      <w:vertAlign w:val="superscript"/>
    </w:rPr>
  </w:style>
  <w:style w:type="character" w:styleId="FollowedHyperlink">
    <w:name w:val="FollowedHyperlink"/>
    <w:basedOn w:val="DefaultParagraphFont"/>
    <w:uiPriority w:val="99"/>
    <w:semiHidden/>
    <w:unhideWhenUsed/>
    <w:rsid w:val="00490C94"/>
    <w:rPr>
      <w:color w:val="0000FF"/>
      <w:u w:val="single"/>
    </w:rPr>
  </w:style>
  <w:style w:type="paragraph" w:styleId="BodyText">
    <w:name w:val="Body Text"/>
    <w:basedOn w:val="Normal"/>
    <w:link w:val="BodyTextChar"/>
    <w:rsid w:val="00B37C1B"/>
    <w:pPr>
      <w:spacing w:before="40"/>
    </w:pPr>
    <w:rPr>
      <w:rFonts w:asciiTheme="minorHAnsi" w:eastAsia="Times New Roman" w:hAnsiTheme="minorHAnsi" w:cs="Times New Roman"/>
      <w:szCs w:val="24"/>
      <w:lang w:eastAsia="en-AU"/>
    </w:rPr>
  </w:style>
  <w:style w:type="character" w:customStyle="1" w:styleId="BodyTextChar">
    <w:name w:val="Body Text Char"/>
    <w:basedOn w:val="DefaultParagraphFont"/>
    <w:link w:val="BodyText"/>
    <w:rsid w:val="00B37C1B"/>
    <w:rPr>
      <w:rFonts w:eastAsia="Times New Roman" w:cs="Times New Roman"/>
      <w:sz w:val="24"/>
      <w:szCs w:val="24"/>
      <w:lang w:eastAsia="en-AU"/>
    </w:rPr>
  </w:style>
  <w:style w:type="paragraph" w:styleId="ListNumber">
    <w:name w:val="List Number"/>
    <w:basedOn w:val="Normal"/>
    <w:uiPriority w:val="99"/>
    <w:unhideWhenUsed/>
    <w:rsid w:val="004C23B3"/>
    <w:pPr>
      <w:numPr>
        <w:numId w:val="58"/>
      </w:numPr>
      <w:contextualSpacing/>
    </w:pPr>
  </w:style>
  <w:style w:type="paragraph" w:styleId="ListNumber3">
    <w:name w:val="List Number 3"/>
    <w:basedOn w:val="Normal"/>
    <w:uiPriority w:val="99"/>
    <w:unhideWhenUsed/>
    <w:rsid w:val="00896254"/>
    <w:pPr>
      <w:numPr>
        <w:numId w:val="59"/>
      </w:numPr>
      <w:spacing w:after="60"/>
      <w:ind w:left="590" w:hanging="590"/>
    </w:pPr>
    <w:rPr>
      <w:b/>
    </w:rPr>
  </w:style>
  <w:style w:type="paragraph" w:customStyle="1" w:styleId="Sourcetext">
    <w:name w:val="Source text"/>
    <w:basedOn w:val="Normal"/>
    <w:qFormat/>
    <w:rsid w:val="003F458D"/>
    <w:rPr>
      <w:i/>
      <w:sz w:val="20"/>
    </w:rPr>
  </w:style>
  <w:style w:type="character" w:customStyle="1" w:styleId="ListParagraphChar">
    <w:name w:val="List Paragraph Char"/>
    <w:link w:val="ListParagraph"/>
    <w:uiPriority w:val="34"/>
    <w:locked/>
    <w:rsid w:val="00B57891"/>
    <w:rPr>
      <w:rFonts w:ascii="Calibri" w:hAnsi="Calibri"/>
      <w:sz w:val="24"/>
    </w:rPr>
  </w:style>
  <w:style w:type="character" w:styleId="CommentReference">
    <w:name w:val="annotation reference"/>
    <w:basedOn w:val="DefaultParagraphFont"/>
    <w:uiPriority w:val="99"/>
    <w:semiHidden/>
    <w:unhideWhenUsed/>
    <w:rsid w:val="00154440"/>
    <w:rPr>
      <w:sz w:val="16"/>
      <w:szCs w:val="16"/>
    </w:rPr>
  </w:style>
  <w:style w:type="paragraph" w:styleId="CommentText">
    <w:name w:val="annotation text"/>
    <w:basedOn w:val="Normal"/>
    <w:link w:val="CommentTextChar"/>
    <w:uiPriority w:val="99"/>
    <w:unhideWhenUsed/>
    <w:rsid w:val="00154440"/>
    <w:rPr>
      <w:sz w:val="20"/>
      <w:szCs w:val="20"/>
    </w:rPr>
  </w:style>
  <w:style w:type="character" w:customStyle="1" w:styleId="CommentTextChar">
    <w:name w:val="Comment Text Char"/>
    <w:basedOn w:val="DefaultParagraphFont"/>
    <w:link w:val="CommentText"/>
    <w:uiPriority w:val="99"/>
    <w:rsid w:val="0015444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54440"/>
    <w:rPr>
      <w:b/>
      <w:bCs/>
    </w:rPr>
  </w:style>
  <w:style w:type="character" w:customStyle="1" w:styleId="CommentSubjectChar">
    <w:name w:val="Comment Subject Char"/>
    <w:basedOn w:val="CommentTextChar"/>
    <w:link w:val="CommentSubject"/>
    <w:uiPriority w:val="99"/>
    <w:semiHidden/>
    <w:rsid w:val="00154440"/>
    <w:rPr>
      <w:rFonts w:ascii="Calibri" w:hAnsi="Calibri"/>
      <w:b/>
      <w:bCs/>
      <w:sz w:val="20"/>
      <w:szCs w:val="20"/>
    </w:rPr>
  </w:style>
  <w:style w:type="paragraph" w:styleId="Revision">
    <w:name w:val="Revision"/>
    <w:hidden/>
    <w:uiPriority w:val="99"/>
    <w:semiHidden/>
    <w:rsid w:val="002D118F"/>
    <w:rPr>
      <w:rFonts w:ascii="Calibri" w:hAnsi="Calibri"/>
      <w:sz w:val="24"/>
    </w:rPr>
  </w:style>
  <w:style w:type="character" w:styleId="Mention">
    <w:name w:val="Mention"/>
    <w:basedOn w:val="DefaultParagraphFont"/>
    <w:uiPriority w:val="99"/>
    <w:unhideWhenUsed/>
    <w:rsid w:val="0011234F"/>
    <w:rPr>
      <w:color w:val="2B579A"/>
      <w:shd w:val="clear" w:color="auto" w:fill="E1DFDD"/>
    </w:rPr>
  </w:style>
  <w:style w:type="character" w:styleId="UnresolvedMention">
    <w:name w:val="Unresolved Mention"/>
    <w:basedOn w:val="DefaultParagraphFont"/>
    <w:uiPriority w:val="99"/>
    <w:semiHidden/>
    <w:unhideWhenUsed/>
    <w:rsid w:val="007A3426"/>
    <w:rPr>
      <w:color w:val="605E5C"/>
      <w:shd w:val="clear" w:color="auto" w:fill="E1DFDD"/>
    </w:rPr>
  </w:style>
  <w:style w:type="paragraph" w:styleId="EndnoteText">
    <w:name w:val="endnote text"/>
    <w:basedOn w:val="Normal"/>
    <w:link w:val="EndnoteTextChar"/>
    <w:uiPriority w:val="99"/>
    <w:semiHidden/>
    <w:unhideWhenUsed/>
    <w:rsid w:val="009D0C76"/>
    <w:pPr>
      <w:spacing w:before="0" w:after="0"/>
    </w:pPr>
    <w:rPr>
      <w:sz w:val="20"/>
      <w:szCs w:val="20"/>
    </w:rPr>
  </w:style>
  <w:style w:type="character" w:customStyle="1" w:styleId="EndnoteTextChar">
    <w:name w:val="Endnote Text Char"/>
    <w:basedOn w:val="DefaultParagraphFont"/>
    <w:link w:val="EndnoteText"/>
    <w:uiPriority w:val="99"/>
    <w:semiHidden/>
    <w:rsid w:val="009D0C76"/>
    <w:rPr>
      <w:rFonts w:ascii="Calibri" w:hAnsi="Calibri"/>
      <w:sz w:val="20"/>
      <w:szCs w:val="20"/>
    </w:rPr>
  </w:style>
  <w:style w:type="character" w:styleId="EndnoteReference">
    <w:name w:val="endnote reference"/>
    <w:basedOn w:val="DefaultParagraphFont"/>
    <w:uiPriority w:val="99"/>
    <w:semiHidden/>
    <w:unhideWhenUsed/>
    <w:rsid w:val="009D0C76"/>
    <w:rPr>
      <w:vertAlign w:val="superscript"/>
    </w:rPr>
  </w:style>
  <w:style w:type="paragraph" w:styleId="ListBullet">
    <w:name w:val="List Bullet"/>
    <w:basedOn w:val="ListParagraph"/>
    <w:uiPriority w:val="99"/>
    <w:unhideWhenUsed/>
    <w:rsid w:val="001030A8"/>
    <w:pPr>
      <w:numPr>
        <w:numId w:val="1"/>
      </w:numPr>
      <w:spacing w:after="60"/>
      <w:contextualSpacing w:val="0"/>
    </w:pPr>
    <w:rPr>
      <w:rFonts w:asciiTheme="minorHAnsi" w:hAnsiTheme="minorHAnsi" w:cstheme="minorHAnsi"/>
    </w:rPr>
  </w:style>
  <w:style w:type="paragraph" w:styleId="ListBullet2">
    <w:name w:val="List Bullet 2"/>
    <w:basedOn w:val="ListParagraph"/>
    <w:uiPriority w:val="99"/>
    <w:unhideWhenUsed/>
    <w:rsid w:val="00896254"/>
    <w:pPr>
      <w:numPr>
        <w:ilvl w:val="1"/>
        <w:numId w:val="51"/>
      </w:numPr>
      <w:spacing w:after="60"/>
      <w:ind w:left="1548" w:hanging="357"/>
      <w:contextualSpacing w:val="0"/>
    </w:pPr>
    <w:rPr>
      <w:rFonts w:asciiTheme="minorHAnsi" w:eastAsiaTheme="minorEastAsia" w:hAnsiTheme="minorHAnsi"/>
    </w:rPr>
  </w:style>
  <w:style w:type="paragraph" w:customStyle="1" w:styleId="Boxtext">
    <w:name w:val="Box text"/>
    <w:basedOn w:val="Normal"/>
    <w:link w:val="BoxtextChar"/>
    <w:qFormat/>
    <w:rsid w:val="0087599B"/>
    <w:pPr>
      <w:pBdr>
        <w:top w:val="single" w:sz="12" w:space="1"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F2F2F2" w:themeFill="background1" w:themeFillShade="F2"/>
    </w:pPr>
  </w:style>
  <w:style w:type="character" w:customStyle="1" w:styleId="BoxtextChar">
    <w:name w:val="Box text Char"/>
    <w:basedOn w:val="DefaultParagraphFont"/>
    <w:link w:val="Boxtext"/>
    <w:rsid w:val="0087599B"/>
    <w:rPr>
      <w:rFonts w:ascii="Calibri" w:hAnsi="Calibri"/>
      <w:sz w:val="24"/>
      <w:shd w:val="clear" w:color="auto" w:fill="F2F2F2" w:themeFill="background1" w:themeFillShade="F2"/>
    </w:rPr>
  </w:style>
  <w:style w:type="paragraph" w:customStyle="1" w:styleId="Importance">
    <w:name w:val="Importance"/>
    <w:basedOn w:val="Boxtext"/>
    <w:link w:val="ImportanceChar"/>
    <w:qFormat/>
    <w:rsid w:val="0087599B"/>
    <w:rPr>
      <w:b/>
      <w:color w:val="FF0000"/>
      <w:sz w:val="32"/>
    </w:rPr>
  </w:style>
  <w:style w:type="character" w:customStyle="1" w:styleId="ImportanceChar">
    <w:name w:val="Importance Char"/>
    <w:basedOn w:val="BoxtextChar"/>
    <w:link w:val="Importance"/>
    <w:rsid w:val="0087599B"/>
    <w:rPr>
      <w:rFonts w:ascii="Calibri" w:hAnsi="Calibri"/>
      <w:b/>
      <w:sz w:val="32"/>
      <w:shd w:val="clear" w:color="auto" w:fill="F2F2F2" w:themeFill="background1" w:themeFillShade="F2"/>
    </w:rPr>
  </w:style>
  <w:style w:type="paragraph" w:customStyle="1" w:styleId="Bluebox">
    <w:name w:val="Blue box"/>
    <w:basedOn w:val="Normal"/>
    <w:link w:val="BlueboxChar"/>
    <w:qFormat/>
    <w:rsid w:val="0087599B"/>
    <w:pPr>
      <w:pBdr>
        <w:top w:val="single" w:sz="12" w:space="1" w:color="F2F2F2" w:themeColor="background1" w:themeShade="F2"/>
        <w:left w:val="single" w:sz="12" w:space="4" w:color="F2F2F2" w:themeColor="background1" w:themeShade="F2"/>
        <w:bottom w:val="single" w:sz="12" w:space="1" w:color="F2F2F2" w:themeColor="background1" w:themeShade="F2"/>
        <w:right w:val="single" w:sz="12" w:space="4" w:color="F2F2F2" w:themeColor="background1" w:themeShade="F2"/>
      </w:pBdr>
      <w:shd w:val="clear" w:color="auto" w:fill="DBE5F1" w:themeFill="accent1" w:themeFillTint="33"/>
    </w:pPr>
    <w:rPr>
      <w:lang w:val="en-US"/>
    </w:rPr>
  </w:style>
  <w:style w:type="character" w:customStyle="1" w:styleId="BlueboxChar">
    <w:name w:val="Blue box Char"/>
    <w:basedOn w:val="DefaultParagraphFont"/>
    <w:link w:val="Bluebox"/>
    <w:rsid w:val="0087599B"/>
    <w:rPr>
      <w:rFonts w:ascii="Calibri" w:hAnsi="Calibri"/>
      <w:sz w:val="24"/>
      <w:shd w:val="clear" w:color="auto" w:fill="DBE5F1" w:themeFill="accent1" w:themeFillTint="33"/>
      <w:lang w:val="en-US"/>
    </w:rPr>
  </w:style>
  <w:style w:type="paragraph" w:styleId="ListNumber2">
    <w:name w:val="List Number 2"/>
    <w:basedOn w:val="ListParagraph"/>
    <w:uiPriority w:val="99"/>
    <w:unhideWhenUsed/>
    <w:rsid w:val="0087599B"/>
    <w:pPr>
      <w:numPr>
        <w:numId w:val="29"/>
      </w:numPr>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formsadministration.com.au/dss.nsf/DSSContacts.xsp" TargetMode="External"/><Relationship Id="rId18" Type="http://schemas.openxmlformats.org/officeDocument/2006/relationships/hyperlink" Target="https://www.health.gov.au/resources/publications/base-interest-rate-bir-and-maximum-permissible-interest-rate-mpir-for-residential-aged-car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legislation.gov.au/C2024A00104/latest/text"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agedcarequality.gov.au/providers/financial-prudential-standards/investment-standar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gedcarequality.gov.au/providers/financial-prudential-standards/financial-and-prudential-management-standard" TargetMode="External"/><Relationship Id="rId20" Type="http://schemas.openxmlformats.org/officeDocument/2006/relationships/hyperlink" Target="https://www.legislation.gov.au/F2014L00829/latest/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gedcarequality.gov.au/providers/compliance-enforcement" TargetMode="External"/><Relationship Id="rId5" Type="http://schemas.openxmlformats.org/officeDocument/2006/relationships/numbering" Target="numbering.xml"/><Relationship Id="rId15" Type="http://schemas.openxmlformats.org/officeDocument/2006/relationships/hyperlink" Target="https://www.agedcarequality.gov.au/providers/financial-prudential-standards/liquidity-standard" TargetMode="External"/><Relationship Id="rId23" Type="http://schemas.openxmlformats.org/officeDocument/2006/relationships/hyperlink" Target="https://www.legislation.gov.au/F2025L01306/asmade/tex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gov.au/C2004A05206/latest/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annual-prudential-compliance-statement-2025-26-resources?language=en" TargetMode="External"/><Relationship Id="rId22" Type="http://schemas.openxmlformats.org/officeDocument/2006/relationships/hyperlink" Target="https://www.legislation.gov.au/F2025L01173/latest/text"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Executive xmlns="1968325b-ff37-4c12-8874-b019e0ec7e46" xsi:nil="true"/>
    <Project_x0020_Manager xmlns="1968325b-ff37-4c12-8874-b019e0ec7e46" xsi:nil="true"/>
    <Executive_x0020_Sponsor xmlns="1968325b-ff37-4c12-8874-b019e0ec7e46" xsi:nil="true"/>
    <Project_x0020_Name xmlns="1968325b-ff37-4c12-8874-b019e0ec7e46" xsi:nil="true"/>
    <Trim_x0020_Reference xmlns="5e7f40d8-cffe-4c78-aa89-cf3a753838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ct Proposal" ma:contentTypeID="0x01010074D0C9023F11DD4491EC4C53128AF42F01006C40B5ED74B3414DB5576316C7BFD36C" ma:contentTypeVersion="11" ma:contentTypeDescription="Create project proposal document" ma:contentTypeScope="" ma:versionID="24bc94ab6679af39be270b843e948f52">
  <xsd:schema xmlns:xsd="http://www.w3.org/2001/XMLSchema" xmlns:xs="http://www.w3.org/2001/XMLSchema" xmlns:p="http://schemas.microsoft.com/office/2006/metadata/properties" xmlns:ns2="1968325b-ff37-4c12-8874-b019e0ec7e46" xmlns:ns3="5e7f40d8-cffe-4c78-aa89-cf3a75383874" targetNamespace="http://schemas.microsoft.com/office/2006/metadata/properties" ma:root="true" ma:fieldsID="c7d9e840f7ac0f8b650bd152f8f947a0" ns2:_="" ns3:_="">
    <xsd:import namespace="1968325b-ff37-4c12-8874-b019e0ec7e46"/>
    <xsd:import namespace="5e7f40d8-cffe-4c78-aa89-cf3a75383874"/>
    <xsd:element name="properties">
      <xsd:complexType>
        <xsd:sequence>
          <xsd:element name="documentManagement">
            <xsd:complexType>
              <xsd:all>
                <xsd:element ref="ns2:Project_x0020_Name" minOccurs="0"/>
                <xsd:element ref="ns2:Project_x0020_Executive" minOccurs="0"/>
                <xsd:element ref="ns2:Project_x0020_Manager" minOccurs="0"/>
                <xsd:element ref="ns2:Executive_x0020_Sponsor" minOccurs="0"/>
                <xsd:element ref="ns3:Trim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Project_x0020_Name" ma:index="3" nillable="true" ma:displayName="Project Name" ma:internalName="Project_x0020_Name" ma:readOnly="false">
      <xsd:simpleType>
        <xsd:restriction base="dms:Text">
          <xsd:maxLength value="255"/>
        </xsd:restriction>
      </xsd:simpleType>
    </xsd:element>
    <xsd:element name="Project_x0020_Executive" ma:index="4" nillable="true" ma:displayName="Project Executive" ma:internalName="Project_x0020_Executive" ma:readOnly="false">
      <xsd:simpleType>
        <xsd:restriction base="dms:Text">
          <xsd:maxLength value="255"/>
        </xsd:restriction>
      </xsd:simpleType>
    </xsd:element>
    <xsd:element name="Project_x0020_Manager" ma:index="5" nillable="true" ma:displayName="Project Manager" ma:internalName="Project_x0020_Manager" ma:readOnly="false">
      <xsd:simpleType>
        <xsd:restriction base="dms:Text">
          <xsd:maxLength value="255"/>
        </xsd:restriction>
      </xsd:simpleType>
    </xsd:element>
    <xsd:element name="Executive_x0020_Sponsor" ma:index="6" nillable="true" ma:displayName="Executive Sponsor" ma:description="Provide the name and title of the executive proposing this project" ma:internalName="Executive_x0020_Sponso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Trim_x0020_Reference" ma:index="13" nillable="true" ma:displayName="Trim Reference" ma:description="Document reference in TRIM" ma:internalName="Trim_x0020_Reference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2C551-9644-4B2B-A5E6-F7A79969B6E4}">
  <ds:schemaRefs>
    <ds:schemaRef ds:uri="http://schemas.microsoft.com/sharepoint/v3/contenttype/forms"/>
  </ds:schemaRefs>
</ds:datastoreItem>
</file>

<file path=customXml/itemProps2.xml><?xml version="1.0" encoding="utf-8"?>
<ds:datastoreItem xmlns:ds="http://schemas.openxmlformats.org/officeDocument/2006/customXml" ds:itemID="{8F9F5CB7-E39F-4036-8286-C3681479410A}">
  <ds:schemaRefs>
    <ds:schemaRef ds:uri="http://schemas.microsoft.com/office/2006/metadata/properties"/>
    <ds:schemaRef ds:uri="http://schemas.microsoft.com/office/infopath/2007/PartnerControls"/>
    <ds:schemaRef ds:uri="1968325b-ff37-4c12-8874-b019e0ec7e46"/>
    <ds:schemaRef ds:uri="5e7f40d8-cffe-4c78-aa89-cf3a75383874"/>
  </ds:schemaRefs>
</ds:datastoreItem>
</file>

<file path=customXml/itemProps3.xml><?xml version="1.0" encoding="utf-8"?>
<ds:datastoreItem xmlns:ds="http://schemas.openxmlformats.org/officeDocument/2006/customXml" ds:itemID="{7C823C9B-0D07-41D6-9906-ACA19FC5B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8325b-ff37-4c12-8874-b019e0ec7e46"/>
    <ds:schemaRef ds:uri="5e7f40d8-cffe-4c78-aa89-cf3a75383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96976-25D5-43A4-B8FB-8A79CD38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6004</Words>
  <Characters>32785</Characters>
  <Application>Microsoft Office Word</Application>
  <DocSecurity>0</DocSecurity>
  <Lines>630</Lines>
  <Paragraphs>362</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Annual Prudential Compliance Statement 2025–26</vt:lpstr>
      <vt:lpstr>Audit Guidance Annual Prudential Compliance Statement</vt:lpstr>
      <vt:lpstr>    Objectives of this guide</vt:lpstr>
      <vt:lpstr>    Auditor’s responsibility</vt:lpstr>
      <vt:lpstr>    Requirement for audit</vt:lpstr>
      <vt:lpstr>THE INDEPENDENT AUDIT AND OPINION</vt:lpstr>
      <vt:lpstr>    Who may conduct an audit?</vt:lpstr>
      <vt:lpstr>    Scope of the audit opinion</vt:lpstr>
      <vt:lpstr>    The nature, timing and extent of the audit tests</vt:lpstr>
      <vt:lpstr>    Content of the independent audit</vt:lpstr>
      <vt:lpstr>    Materiality or significance of non-compliance</vt:lpstr>
      <vt:lpstr>INFORMATION TO ASSIST AUDITORS</vt:lpstr>
      <vt:lpstr>    Assessing compliance with the applicable Standards and related Rules</vt:lpstr>
      <vt:lpstr>        Liquidity requirements</vt:lpstr>
      <vt:lpstr>        Refundable deposit register</vt:lpstr>
      <vt:lpstr>        Governance requirements</vt:lpstr>
      <vt:lpstr>        Disclosure requirements</vt:lpstr>
      <vt:lpstr>    Assessing compliance with the charging of accommodation payments and contributio</vt:lpstr>
      <vt:lpstr>        Accommodation payments</vt:lpstr>
      <vt:lpstr>        Accommodation contributions</vt:lpstr>
      <vt:lpstr>        Retention amounts</vt:lpstr>
      <vt:lpstr>    Assessing compliance with refunding obligations</vt:lpstr>
      <vt:lpstr>    Assessing compliance with the charging of other care and services fees and HELF</vt:lpstr>
      <vt:lpstr>    Further information</vt:lpstr>
      <vt:lpstr>SELECTION OF PRUDENTIAL REQUIREMENTS THAT SHOULD BE CONSIDERED IN THE SCOPE OF T</vt:lpstr>
    </vt:vector>
  </TitlesOfParts>
  <Company/>
  <LinksUpToDate>false</LinksUpToDate>
  <CharactersWithSpaces>38427</CharactersWithSpaces>
  <SharedDoc>false</SharedDoc>
  <HLinks>
    <vt:vector size="90" baseType="variant">
      <vt:variant>
        <vt:i4>2752636</vt:i4>
      </vt:variant>
      <vt:variant>
        <vt:i4>42</vt:i4>
      </vt:variant>
      <vt:variant>
        <vt:i4>0</vt:i4>
      </vt:variant>
      <vt:variant>
        <vt:i4>5</vt:i4>
      </vt:variant>
      <vt:variant>
        <vt:lpwstr>mailto:prudential@agedcarequality.gov.au._x000d_</vt:lpwstr>
      </vt:variant>
      <vt:variant>
        <vt:lpwstr/>
      </vt:variant>
      <vt:variant>
        <vt:i4>7602235</vt:i4>
      </vt:variant>
      <vt:variant>
        <vt:i4>39</vt:i4>
      </vt:variant>
      <vt:variant>
        <vt:i4>0</vt:i4>
      </vt:variant>
      <vt:variant>
        <vt:i4>5</vt:i4>
      </vt:variant>
      <vt:variant>
        <vt:lpwstr>https://www.agedcarequality.gov.au/providers/compliance-enforcement</vt:lpwstr>
      </vt:variant>
      <vt:variant>
        <vt:lpwstr/>
      </vt:variant>
      <vt:variant>
        <vt:i4>2687032</vt:i4>
      </vt:variant>
      <vt:variant>
        <vt:i4>33</vt:i4>
      </vt:variant>
      <vt:variant>
        <vt:i4>0</vt:i4>
      </vt:variant>
      <vt:variant>
        <vt:i4>5</vt:i4>
      </vt:variant>
      <vt:variant>
        <vt:lpwstr>https://www.legislation.gov.au/F2025L01306/asmade/text</vt:lpwstr>
      </vt:variant>
      <vt:variant>
        <vt:lpwstr/>
      </vt:variant>
      <vt:variant>
        <vt:i4>2949176</vt:i4>
      </vt:variant>
      <vt:variant>
        <vt:i4>30</vt:i4>
      </vt:variant>
      <vt:variant>
        <vt:i4>0</vt:i4>
      </vt:variant>
      <vt:variant>
        <vt:i4>5</vt:i4>
      </vt:variant>
      <vt:variant>
        <vt:lpwstr>https://www.legislation.gov.au/F2025L01173/latest/text</vt:lpwstr>
      </vt:variant>
      <vt:variant>
        <vt:lpwstr/>
      </vt:variant>
      <vt:variant>
        <vt:i4>3014707</vt:i4>
      </vt:variant>
      <vt:variant>
        <vt:i4>27</vt:i4>
      </vt:variant>
      <vt:variant>
        <vt:i4>0</vt:i4>
      </vt:variant>
      <vt:variant>
        <vt:i4>5</vt:i4>
      </vt:variant>
      <vt:variant>
        <vt:lpwstr>https://www.legislation.gov.au/C2024A00104/latest/text</vt:lpwstr>
      </vt:variant>
      <vt:variant>
        <vt:lpwstr/>
      </vt:variant>
      <vt:variant>
        <vt:i4>3080255</vt:i4>
      </vt:variant>
      <vt:variant>
        <vt:i4>24</vt:i4>
      </vt:variant>
      <vt:variant>
        <vt:i4>0</vt:i4>
      </vt:variant>
      <vt:variant>
        <vt:i4>5</vt:i4>
      </vt:variant>
      <vt:variant>
        <vt:lpwstr>https://www.legislation.gov.au/F2014L00829/latest/text</vt:lpwstr>
      </vt:variant>
      <vt:variant>
        <vt:lpwstr/>
      </vt:variant>
      <vt:variant>
        <vt:i4>3080244</vt:i4>
      </vt:variant>
      <vt:variant>
        <vt:i4>21</vt:i4>
      </vt:variant>
      <vt:variant>
        <vt:i4>0</vt:i4>
      </vt:variant>
      <vt:variant>
        <vt:i4>5</vt:i4>
      </vt:variant>
      <vt:variant>
        <vt:lpwstr>https://www.legislation.gov.au/C2004A05206/latest/text</vt:lpwstr>
      </vt:variant>
      <vt:variant>
        <vt:lpwstr/>
      </vt:variant>
      <vt:variant>
        <vt:i4>5963842</vt:i4>
      </vt:variant>
      <vt:variant>
        <vt:i4>18</vt:i4>
      </vt:variant>
      <vt:variant>
        <vt:i4>0</vt:i4>
      </vt:variant>
      <vt:variant>
        <vt:i4>5</vt:i4>
      </vt:variant>
      <vt:variant>
        <vt:lpwstr>https://www.health.gov.au/resources/publications/base-interest-rate-bir-and-maximum-permissible-interest-rate-mpir-for-residential-aged-care</vt:lpwstr>
      </vt:variant>
      <vt:variant>
        <vt:lpwstr/>
      </vt:variant>
      <vt:variant>
        <vt:i4>3735587</vt:i4>
      </vt:variant>
      <vt:variant>
        <vt:i4>15</vt:i4>
      </vt:variant>
      <vt:variant>
        <vt:i4>0</vt:i4>
      </vt:variant>
      <vt:variant>
        <vt:i4>5</vt:i4>
      </vt:variant>
      <vt:variant>
        <vt:lpwstr>https://www.agedcarequality.gov.au/providers/financial-prudential-standards/investment-standard</vt:lpwstr>
      </vt:variant>
      <vt:variant>
        <vt:lpwstr/>
      </vt:variant>
      <vt:variant>
        <vt:i4>2031700</vt:i4>
      </vt:variant>
      <vt:variant>
        <vt:i4>12</vt:i4>
      </vt:variant>
      <vt:variant>
        <vt:i4>0</vt:i4>
      </vt:variant>
      <vt:variant>
        <vt:i4>5</vt:i4>
      </vt:variant>
      <vt:variant>
        <vt:lpwstr>https://www.agedcarequality.gov.au/providers/financial-prudential-standards/financial-and-prudential-management-standard</vt:lpwstr>
      </vt:variant>
      <vt:variant>
        <vt:lpwstr/>
      </vt:variant>
      <vt:variant>
        <vt:i4>7143546</vt:i4>
      </vt:variant>
      <vt:variant>
        <vt:i4>9</vt:i4>
      </vt:variant>
      <vt:variant>
        <vt:i4>0</vt:i4>
      </vt:variant>
      <vt:variant>
        <vt:i4>5</vt:i4>
      </vt:variant>
      <vt:variant>
        <vt:lpwstr>https://www.agedcarequality.gov.au/providers/financial-prudential-standards/liquidity-standard</vt:lpwstr>
      </vt:variant>
      <vt:variant>
        <vt:lpwstr/>
      </vt:variant>
      <vt:variant>
        <vt:i4>5505047</vt:i4>
      </vt:variant>
      <vt:variant>
        <vt:i4>3</vt:i4>
      </vt:variant>
      <vt:variant>
        <vt:i4>0</vt:i4>
      </vt:variant>
      <vt:variant>
        <vt:i4>5</vt:i4>
      </vt:variant>
      <vt:variant>
        <vt:lpwstr>https://www.health.gov.au/resources/publications/annual-prudential-compliance-statement-2025-26-resources?language=en</vt:lpwstr>
      </vt:variant>
      <vt:variant>
        <vt:lpwstr/>
      </vt:variant>
      <vt:variant>
        <vt:i4>1441800</vt:i4>
      </vt:variant>
      <vt:variant>
        <vt:i4>0</vt:i4>
      </vt:variant>
      <vt:variant>
        <vt:i4>0</vt:i4>
      </vt:variant>
      <vt:variant>
        <vt:i4>5</vt:i4>
      </vt:variant>
      <vt:variant>
        <vt:lpwstr>https://health.formsadministration.com.au/dss.nsf/DSSContacts.xsp</vt:lpwstr>
      </vt:variant>
      <vt:variant>
        <vt:lpwstr/>
      </vt:variant>
      <vt:variant>
        <vt:i4>4391024</vt:i4>
      </vt:variant>
      <vt:variant>
        <vt:i4>3</vt:i4>
      </vt:variant>
      <vt:variant>
        <vt:i4>0</vt:i4>
      </vt:variant>
      <vt:variant>
        <vt:i4>5</vt:i4>
      </vt:variant>
      <vt:variant>
        <vt:lpwstr>mailto:Liam.Devlin@agedcarequality.gov.au</vt:lpwstr>
      </vt:variant>
      <vt:variant>
        <vt:lpwstr/>
      </vt:variant>
      <vt:variant>
        <vt:i4>3145846</vt:i4>
      </vt:variant>
      <vt:variant>
        <vt:i4>0</vt:i4>
      </vt:variant>
      <vt:variant>
        <vt:i4>0</vt:i4>
      </vt:variant>
      <vt:variant>
        <vt:i4>5</vt:i4>
      </vt:variant>
      <vt:variant>
        <vt:lpwstr>https://www.health.gov.au/sites/default/files/2025-09/aged-care-financial-report-guidance-and-faqs-2025-26.pdf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Guidance Annual Prudential Compliance Statement</dc:title>
  <dc:subject>Aged Care</dc:subject>
  <dc:creator>Australian Government Department of Health, Disability and Ageing</dc:creator>
  <cp:keywords>APSC;  Audit; guide; Approved Provider’s Compliance with the Prudential Requirements</cp:keywords>
  <dc:description/>
  <cp:lastModifiedBy>MASCHKE, Elvia</cp:lastModifiedBy>
  <cp:revision>23</cp:revision>
  <dcterms:created xsi:type="dcterms:W3CDTF">2026-07-08T03:41:00Z</dcterms:created>
  <dcterms:modified xsi:type="dcterms:W3CDTF">2026-07-16T03:31:00Z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0x01010074D0C9023F11DD4491EC4C53128AF42F01006C40B5ED74B3414DB5576316C7BFD36C</vt:lpwstr>
  </property>
  <property fmtid="{D5CDD505-2E9C-101B-9397-08002B2CF9AE}" pid="3" name="Order">
    <vt:r8>70217000</vt:r8>
  </property>
  <property fmtid="{D5CDD505-2E9C-101B-9397-08002B2CF9AE}" pid="4" name="Owner">
    <vt:lpwstr>ACQSC ACQSCD ACIB Prudential Compliance SN</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TriggerFlowInfo">
    <vt:lpwstr/>
  </property>
  <property fmtid="{D5CDD505-2E9C-101B-9397-08002B2CF9AE}" pid="9" name="xd_Signature">
    <vt:bool>false</vt:bool>
  </property>
  <property fmtid="{D5CDD505-2E9C-101B-9397-08002B2CF9AE}" pid="10" name="RetentionSch">
    <vt:lpwstr>61967</vt:lpwstr>
  </property>
  <property fmtid="{D5CDD505-2E9C-101B-9397-08002B2CF9AE}" pid="11" name="ProvidedACRC">
    <vt:lpwstr>No</vt:lpwstr>
  </property>
  <property fmtid="{D5CDD505-2E9C-101B-9397-08002B2CF9AE}" pid="12" name="UniqueID0">
    <vt:lpwstr>216234686</vt:lpwstr>
  </property>
  <property fmtid="{D5CDD505-2E9C-101B-9397-08002B2CF9AE}" pid="13" name="DOS">
    <vt:lpwstr>A7216234686_Attachment C - 2020-2021 APCS - Guide to Audit of Approved Providers Compliance with the Prudential Requirements - approved.DOCX</vt:lpwstr>
  </property>
  <property fmtid="{D5CDD505-2E9C-101B-9397-08002B2CF9AE}" pid="14" name="MigrationSource">
    <vt:lpwstr>19. ACQSC Docs 10.txt</vt:lpwstr>
  </property>
  <property fmtid="{D5CDD505-2E9C-101B-9397-08002B2CF9AE}" pid="15" name="IMT">
    <vt:lpwstr>application/vnd.openxmlformats-officedocument.wordprocessingml.document</vt:lpwstr>
  </property>
  <property fmtid="{D5CDD505-2E9C-101B-9397-08002B2CF9AE}" pid="16" name="Creator">
    <vt:lpwstr>Todorovski, Laura</vt:lpwstr>
  </property>
  <property fmtid="{D5CDD505-2E9C-101B-9397-08002B2CF9AE}" pid="17" name="FirstPrev">
    <vt:lpwstr>D2021-01610746;</vt:lpwstr>
  </property>
  <property fmtid="{D5CDD505-2E9C-101B-9397-08002B2CF9AE}" pid="18" name="Sec">
    <vt:lpwstr>OFFICIAL</vt:lpwstr>
  </property>
  <property fmtid="{D5CDD505-2E9C-101B-9397-08002B2CF9AE}" pid="19" name="RecordType">
    <vt:lpwstr>Corporate Document</vt:lpwstr>
  </property>
  <property fmtid="{D5CDD505-2E9C-101B-9397-08002B2CF9AE}" pid="20" name="ClassificationContentMarkingHeaderShapeIds">
    <vt:lpwstr>3fa3650b,f2aa087,22bc5c6</vt:lpwstr>
  </property>
  <property fmtid="{D5CDD505-2E9C-101B-9397-08002B2CF9AE}" pid="21" name="ClassificationContentMarkingHeaderFontProps">
    <vt:lpwstr>#ff0000,12,Aptos</vt:lpwstr>
  </property>
  <property fmtid="{D5CDD505-2E9C-101B-9397-08002B2CF9AE}" pid="22" name="ClassificationContentMarkingHeaderText">
    <vt:lpwstr>OFFICIAL</vt:lpwstr>
  </property>
  <property fmtid="{D5CDD505-2E9C-101B-9397-08002B2CF9AE}" pid="23" name="ClassificationContentMarkingFooterShapeIds">
    <vt:lpwstr>70b808e9,1a99deaa,7744115c</vt:lpwstr>
  </property>
  <property fmtid="{D5CDD505-2E9C-101B-9397-08002B2CF9AE}" pid="24" name="ClassificationContentMarkingFooterFontProps">
    <vt:lpwstr>#ff0000,12,Aptos</vt:lpwstr>
  </property>
  <property fmtid="{D5CDD505-2E9C-101B-9397-08002B2CF9AE}" pid="25" name="ClassificationContentMarkingFooterText">
    <vt:lpwstr>OFFICIAL</vt:lpwstr>
  </property>
  <property fmtid="{D5CDD505-2E9C-101B-9397-08002B2CF9AE}" pid="26" name="MSIP_Label_7cd3e8b9-ffed-43a8-b7f4-cc2fa0382d36_Enabled">
    <vt:lpwstr>true</vt:lpwstr>
  </property>
  <property fmtid="{D5CDD505-2E9C-101B-9397-08002B2CF9AE}" pid="27" name="MSIP_Label_7cd3e8b9-ffed-43a8-b7f4-cc2fa0382d36_SetDate">
    <vt:lpwstr>2026-07-14T03:13:39Z</vt:lpwstr>
  </property>
  <property fmtid="{D5CDD505-2E9C-101B-9397-08002B2CF9AE}" pid="28" name="MSIP_Label_7cd3e8b9-ffed-43a8-b7f4-cc2fa0382d36_Method">
    <vt:lpwstr>Privileged</vt:lpwstr>
  </property>
  <property fmtid="{D5CDD505-2E9C-101B-9397-08002B2CF9AE}" pid="29" name="MSIP_Label_7cd3e8b9-ffed-43a8-b7f4-cc2fa0382d36_Name">
    <vt:lpwstr>O</vt:lpwstr>
  </property>
  <property fmtid="{D5CDD505-2E9C-101B-9397-08002B2CF9AE}" pid="30" name="MSIP_Label_7cd3e8b9-ffed-43a8-b7f4-cc2fa0382d36_SiteId">
    <vt:lpwstr>34a3929c-73cf-4954-abfe-147dc3517892</vt:lpwstr>
  </property>
  <property fmtid="{D5CDD505-2E9C-101B-9397-08002B2CF9AE}" pid="31" name="MSIP_Label_7cd3e8b9-ffed-43a8-b7f4-cc2fa0382d36_ActionId">
    <vt:lpwstr>08ceee53-95d7-43d9-8c6e-b86ee9707ce3</vt:lpwstr>
  </property>
  <property fmtid="{D5CDD505-2E9C-101B-9397-08002B2CF9AE}" pid="32" name="MSIP_Label_7cd3e8b9-ffed-43a8-b7f4-cc2fa0382d36_ContentBits">
    <vt:lpwstr>3</vt:lpwstr>
  </property>
  <property fmtid="{D5CDD505-2E9C-101B-9397-08002B2CF9AE}" pid="33" name="MSIP_Label_7cd3e8b9-ffed-43a8-b7f4-cc2fa0382d36_Tag">
    <vt:lpwstr>10, 0, 1, 1</vt:lpwstr>
  </property>
</Properties>
</file>